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BA93F" w14:textId="77777777" w:rsidR="000A02C8" w:rsidRDefault="000A02C8" w:rsidP="00B73061">
      <w:pPr>
        <w:pStyle w:val="Heading1"/>
        <w:spacing w:before="0" w:after="0"/>
      </w:pPr>
      <w:r>
        <w:t>Title page</w:t>
      </w:r>
    </w:p>
    <w:p w14:paraId="612895B9" w14:textId="6FE8FFA1" w:rsidR="00116FA7" w:rsidRPr="0045000F" w:rsidRDefault="00FA7D20" w:rsidP="00B73061">
      <w:pPr>
        <w:rPr>
          <w:b/>
          <w:bCs/>
          <w:sz w:val="20"/>
          <w:highlight w:val="yellow"/>
        </w:rPr>
      </w:pPr>
      <w:r>
        <w:rPr>
          <w:b/>
          <w:szCs w:val="24"/>
        </w:rPr>
        <w:t>T</w:t>
      </w:r>
      <w:r w:rsidR="000A02C8" w:rsidRPr="000A02C8">
        <w:rPr>
          <w:b/>
          <w:szCs w:val="24"/>
        </w:rPr>
        <w:t>itle</w:t>
      </w:r>
      <w:r w:rsidR="000A02C8" w:rsidRPr="000A02C8">
        <w:rPr>
          <w:szCs w:val="24"/>
        </w:rPr>
        <w:t>:</w:t>
      </w:r>
      <w:r w:rsidR="00061C9D">
        <w:rPr>
          <w:szCs w:val="24"/>
        </w:rPr>
        <w:t xml:space="preserve"> </w:t>
      </w:r>
      <w:r w:rsidR="003226DE">
        <w:rPr>
          <w:szCs w:val="24"/>
        </w:rPr>
        <w:t>R</w:t>
      </w:r>
      <w:r w:rsidR="00CB4252">
        <w:rPr>
          <w:szCs w:val="24"/>
        </w:rPr>
        <w:t xml:space="preserve">isk of </w:t>
      </w:r>
      <w:r w:rsidR="00967848">
        <w:rPr>
          <w:szCs w:val="24"/>
        </w:rPr>
        <w:t>complications and mortality</w:t>
      </w:r>
      <w:r w:rsidR="005973EF" w:rsidRPr="005973EF">
        <w:rPr>
          <w:szCs w:val="24"/>
        </w:rPr>
        <w:t xml:space="preserve"> following </w:t>
      </w:r>
      <w:r w:rsidR="00096BEF">
        <w:rPr>
          <w:szCs w:val="24"/>
        </w:rPr>
        <w:t xml:space="preserve">recurrent and non-recurrent </w:t>
      </w:r>
      <w:proofErr w:type="spellStart"/>
      <w:r w:rsidR="005973EF" w:rsidRPr="00C548AC">
        <w:rPr>
          <w:i/>
          <w:szCs w:val="24"/>
        </w:rPr>
        <w:t>Clostridioides</w:t>
      </w:r>
      <w:proofErr w:type="spellEnd"/>
      <w:r w:rsidR="005973EF" w:rsidRPr="00C548AC">
        <w:rPr>
          <w:i/>
          <w:szCs w:val="24"/>
        </w:rPr>
        <w:t xml:space="preserve"> </w:t>
      </w:r>
      <w:r w:rsidR="00967848" w:rsidRPr="00C548AC">
        <w:rPr>
          <w:szCs w:val="24"/>
        </w:rPr>
        <w:t>(</w:t>
      </w:r>
      <w:r w:rsidR="00967848">
        <w:rPr>
          <w:i/>
          <w:szCs w:val="24"/>
        </w:rPr>
        <w:t>Clostridium</w:t>
      </w:r>
      <w:r w:rsidR="00967848" w:rsidRPr="00C548AC">
        <w:rPr>
          <w:szCs w:val="24"/>
        </w:rPr>
        <w:t>)</w:t>
      </w:r>
      <w:r w:rsidR="00967848">
        <w:rPr>
          <w:i/>
          <w:szCs w:val="24"/>
        </w:rPr>
        <w:t xml:space="preserve"> </w:t>
      </w:r>
      <w:r w:rsidR="005973EF" w:rsidRPr="00C548AC">
        <w:rPr>
          <w:i/>
          <w:szCs w:val="24"/>
        </w:rPr>
        <w:t>difficile</w:t>
      </w:r>
      <w:r w:rsidR="005973EF" w:rsidRPr="005973EF">
        <w:rPr>
          <w:szCs w:val="24"/>
        </w:rPr>
        <w:t xml:space="preserve"> infection</w:t>
      </w:r>
      <w:r w:rsidR="005973EF">
        <w:rPr>
          <w:szCs w:val="24"/>
        </w:rPr>
        <w:t xml:space="preserve">: </w:t>
      </w:r>
      <w:r w:rsidR="005973EF" w:rsidRPr="005973EF">
        <w:rPr>
          <w:szCs w:val="24"/>
        </w:rPr>
        <w:t xml:space="preserve">a </w:t>
      </w:r>
      <w:r w:rsidR="00A03919">
        <w:rPr>
          <w:szCs w:val="24"/>
        </w:rPr>
        <w:t xml:space="preserve">retrospective, observational, </w:t>
      </w:r>
      <w:r w:rsidR="005973EF" w:rsidRPr="005973EF">
        <w:rPr>
          <w:szCs w:val="24"/>
        </w:rPr>
        <w:t>database study</w:t>
      </w:r>
      <w:r w:rsidR="008D031A">
        <w:rPr>
          <w:szCs w:val="24"/>
        </w:rPr>
        <w:t xml:space="preserve"> </w:t>
      </w:r>
      <w:r w:rsidR="00A03919">
        <w:rPr>
          <w:szCs w:val="24"/>
        </w:rPr>
        <w:t>in England</w:t>
      </w:r>
    </w:p>
    <w:p w14:paraId="6D04D11E" w14:textId="77777777" w:rsidR="00947BBA" w:rsidRPr="00C25695" w:rsidRDefault="00947BBA" w:rsidP="00B73061"/>
    <w:p w14:paraId="6CD74FDA" w14:textId="0BE559EE" w:rsidR="00947BBA" w:rsidRDefault="00947BBA" w:rsidP="00B73061">
      <w:r w:rsidRPr="00C25695">
        <w:rPr>
          <w:b/>
          <w:bCs/>
        </w:rPr>
        <w:t>Authors</w:t>
      </w:r>
      <w:r w:rsidR="008A7D53" w:rsidRPr="00C25695">
        <w:t xml:space="preserve">: </w:t>
      </w:r>
      <w:r w:rsidR="00061C9D" w:rsidRPr="00061C9D">
        <w:t xml:space="preserve">David </w:t>
      </w:r>
      <w:r w:rsidR="00A65EC5">
        <w:t xml:space="preserve">A </w:t>
      </w:r>
      <w:r w:rsidR="00061C9D" w:rsidRPr="00061C9D">
        <w:t>Enoch</w:t>
      </w:r>
      <w:r w:rsidR="00061C9D" w:rsidRPr="00061C9D">
        <w:rPr>
          <w:vertAlign w:val="superscript"/>
        </w:rPr>
        <w:t>1</w:t>
      </w:r>
      <w:r w:rsidR="003226DE">
        <w:t>*</w:t>
      </w:r>
      <w:r w:rsidR="00061C9D" w:rsidRPr="00061C9D">
        <w:t>, Tarita Murray-Thomas</w:t>
      </w:r>
      <w:r w:rsidR="00061C9D" w:rsidRPr="00061C9D">
        <w:rPr>
          <w:vertAlign w:val="superscript"/>
        </w:rPr>
        <w:t>2</w:t>
      </w:r>
      <w:r w:rsidR="00061C9D" w:rsidRPr="00061C9D">
        <w:t xml:space="preserve">, </w:t>
      </w:r>
      <w:r w:rsidR="00291F22" w:rsidRPr="00061C9D">
        <w:t>Nicholas Adomakoh</w:t>
      </w:r>
      <w:r w:rsidR="00291F22">
        <w:rPr>
          <w:vertAlign w:val="superscript"/>
        </w:rPr>
        <w:t>3</w:t>
      </w:r>
      <w:r w:rsidR="00291F22" w:rsidRPr="00061C9D">
        <w:t xml:space="preserve">, </w:t>
      </w:r>
      <w:r w:rsidR="00061C9D" w:rsidRPr="00061C9D">
        <w:t>Daniel Dedman</w:t>
      </w:r>
      <w:r w:rsidR="00027D0E" w:rsidRPr="00061C9D">
        <w:rPr>
          <w:vertAlign w:val="superscript"/>
        </w:rPr>
        <w:t>2</w:t>
      </w:r>
      <w:r w:rsidR="00061C9D" w:rsidRPr="00061C9D">
        <w:t>, Areti Georgopali</w:t>
      </w:r>
      <w:r w:rsidR="00027D0E">
        <w:rPr>
          <w:vertAlign w:val="superscript"/>
        </w:rPr>
        <w:t>3</w:t>
      </w:r>
      <w:r w:rsidR="00061C9D" w:rsidRPr="00061C9D">
        <w:t>, Nick Francis</w:t>
      </w:r>
      <w:r w:rsidR="00B83E67">
        <w:rPr>
          <w:vertAlign w:val="superscript"/>
        </w:rPr>
        <w:t>4</w:t>
      </w:r>
      <w:r w:rsidR="003226DE">
        <w:rPr>
          <w:rFonts w:cs="Arial"/>
          <w:vertAlign w:val="superscript"/>
        </w:rPr>
        <w:t>†</w:t>
      </w:r>
      <w:r w:rsidR="00061C9D" w:rsidRPr="00061C9D">
        <w:t>, Andreas Karas</w:t>
      </w:r>
      <w:r w:rsidR="00B83E67">
        <w:rPr>
          <w:vertAlign w:val="superscript"/>
        </w:rPr>
        <w:t>3</w:t>
      </w:r>
      <w:r w:rsidR="00061C9D">
        <w:t xml:space="preserve"> </w:t>
      </w:r>
    </w:p>
    <w:p w14:paraId="78B7C42B" w14:textId="77777777" w:rsidR="009A4EC6" w:rsidRPr="00C25695" w:rsidRDefault="009A4EC6" w:rsidP="00B73061"/>
    <w:p w14:paraId="1B1F4407" w14:textId="77777777" w:rsidR="00947BBA" w:rsidRDefault="00B83E67" w:rsidP="00B73061">
      <w:r w:rsidRPr="00C25695">
        <w:rPr>
          <w:b/>
          <w:bCs/>
        </w:rPr>
        <w:t>Affiliations</w:t>
      </w:r>
      <w:r w:rsidRPr="00C25695">
        <w:t>:</w:t>
      </w:r>
      <w:r w:rsidRPr="00C25695">
        <w:rPr>
          <w:b/>
          <w:bCs/>
        </w:rPr>
        <w:t xml:space="preserve"> </w:t>
      </w:r>
      <w:r w:rsidR="00061C9D" w:rsidRPr="00061C9D">
        <w:rPr>
          <w:vertAlign w:val="superscript"/>
        </w:rPr>
        <w:t>1</w:t>
      </w:r>
      <w:r w:rsidR="00061C9D" w:rsidRPr="00061C9D">
        <w:t>Public Health England, Addenbrooke</w:t>
      </w:r>
      <w:r w:rsidR="00C50235">
        <w:t>’</w:t>
      </w:r>
      <w:r w:rsidR="00061C9D" w:rsidRPr="00061C9D">
        <w:t>s Hospital, Cambridge</w:t>
      </w:r>
      <w:r w:rsidR="00061C9D">
        <w:t xml:space="preserve">, UK; </w:t>
      </w:r>
      <w:r w:rsidR="00061C9D" w:rsidRPr="00061C9D">
        <w:rPr>
          <w:vertAlign w:val="superscript"/>
        </w:rPr>
        <w:t>2</w:t>
      </w:r>
      <w:r w:rsidR="00061C9D" w:rsidRPr="00061C9D">
        <w:t>Clinical Practice Research Datalink, London, UK</w:t>
      </w:r>
      <w:r w:rsidR="00061C9D">
        <w:t xml:space="preserve">; </w:t>
      </w:r>
      <w:r w:rsidR="00027D0E">
        <w:rPr>
          <w:vertAlign w:val="superscript"/>
        </w:rPr>
        <w:t>3</w:t>
      </w:r>
      <w:r w:rsidR="00027D0E" w:rsidRPr="00027D0E">
        <w:t>Astellas Pharma Europe Ltd, Chertsey, UK</w:t>
      </w:r>
      <w:r w:rsidR="00027D0E">
        <w:t>;</w:t>
      </w:r>
      <w:r w:rsidR="00027D0E" w:rsidRPr="00061C9D">
        <w:rPr>
          <w:vertAlign w:val="superscript"/>
        </w:rPr>
        <w:t xml:space="preserve"> </w:t>
      </w:r>
      <w:r w:rsidR="00027D0E">
        <w:rPr>
          <w:vertAlign w:val="superscript"/>
        </w:rPr>
        <w:t>4</w:t>
      </w:r>
      <w:r w:rsidR="007D4123">
        <w:t>Division of Population Medicine</w:t>
      </w:r>
      <w:r w:rsidR="007D4123" w:rsidRPr="00061C9D">
        <w:t xml:space="preserve">, </w:t>
      </w:r>
      <w:r w:rsidR="007D4123">
        <w:t>Cardiff University</w:t>
      </w:r>
      <w:r w:rsidR="00061C9D" w:rsidRPr="00061C9D">
        <w:t>, Cardiff, UK</w:t>
      </w:r>
    </w:p>
    <w:p w14:paraId="19816E54" w14:textId="3CED951D" w:rsidR="003226DE" w:rsidRDefault="009E136A" w:rsidP="00B73061">
      <w:pPr>
        <w:rPr>
          <w:rFonts w:cs="Arial"/>
        </w:rPr>
      </w:pPr>
      <w:r>
        <w:rPr>
          <w:rFonts w:cs="Arial"/>
          <w:vertAlign w:val="superscript"/>
        </w:rPr>
        <w:t>†</w:t>
      </w:r>
      <w:r>
        <w:rPr>
          <w:rFonts w:cs="Arial"/>
        </w:rPr>
        <w:t xml:space="preserve">Current affiliation: </w:t>
      </w:r>
      <w:r w:rsidRPr="003226DE">
        <w:rPr>
          <w:rFonts w:cs="Arial"/>
        </w:rPr>
        <w:t>School of Primary Care, Population Sciences and Medical Education, University of Southampton, UK</w:t>
      </w:r>
    </w:p>
    <w:p w14:paraId="017E5E2B" w14:textId="77777777" w:rsidR="009A4EC6" w:rsidRPr="003226DE" w:rsidRDefault="009A4EC6" w:rsidP="00B73061"/>
    <w:p w14:paraId="15723F52" w14:textId="13946FB5" w:rsidR="00947BBA" w:rsidRDefault="00947BBA" w:rsidP="00B73061">
      <w:pPr>
        <w:rPr>
          <w:i/>
        </w:rPr>
      </w:pPr>
      <w:r w:rsidRPr="00C25695">
        <w:rPr>
          <w:b/>
          <w:bCs/>
        </w:rPr>
        <w:t>Target journal</w:t>
      </w:r>
      <w:r w:rsidRPr="00C25695">
        <w:t>:</w:t>
      </w:r>
      <w:r w:rsidR="001A7ED1" w:rsidRPr="00C25695">
        <w:t xml:space="preserve"> </w:t>
      </w:r>
      <w:r w:rsidR="000A02C8">
        <w:rPr>
          <w:i/>
        </w:rPr>
        <w:t>J Hosp Infect</w:t>
      </w:r>
      <w:r w:rsidR="009336E0">
        <w:rPr>
          <w:i/>
        </w:rPr>
        <w:t xml:space="preserve"> </w:t>
      </w:r>
    </w:p>
    <w:p w14:paraId="408E2C86" w14:textId="77777777" w:rsidR="009A4EC6" w:rsidRPr="000A02C8" w:rsidRDefault="009A4EC6" w:rsidP="00B73061"/>
    <w:p w14:paraId="5AF3E61C" w14:textId="3685CE7B" w:rsidR="00947BBA" w:rsidRPr="00C25695" w:rsidRDefault="00947BBA" w:rsidP="00B73061">
      <w:r w:rsidRPr="00C25695">
        <w:rPr>
          <w:b/>
          <w:bCs/>
        </w:rPr>
        <w:t>Word count</w:t>
      </w:r>
      <w:r w:rsidR="001A7ED1" w:rsidRPr="00C25695">
        <w:rPr>
          <w:b/>
          <w:bCs/>
        </w:rPr>
        <w:t xml:space="preserve"> </w:t>
      </w:r>
      <w:r w:rsidR="001A7ED1" w:rsidRPr="000A02C8">
        <w:rPr>
          <w:bCs/>
        </w:rPr>
        <w:t xml:space="preserve">(max. </w:t>
      </w:r>
      <w:r w:rsidR="000A02C8" w:rsidRPr="004B40A1">
        <w:rPr>
          <w:bCs/>
        </w:rPr>
        <w:t>40</w:t>
      </w:r>
      <w:r w:rsidR="001A7ED1" w:rsidRPr="004B40A1">
        <w:rPr>
          <w:bCs/>
        </w:rPr>
        <w:t>00</w:t>
      </w:r>
      <w:r w:rsidR="001A7ED1" w:rsidRPr="000A02C8">
        <w:rPr>
          <w:bCs/>
        </w:rPr>
        <w:t xml:space="preserve"> words</w:t>
      </w:r>
      <w:r w:rsidR="000A02C8" w:rsidRPr="000A02C8">
        <w:rPr>
          <w:bCs/>
        </w:rPr>
        <w:t>; each figure and/or table counts as 200 words towards the total</w:t>
      </w:r>
      <w:r w:rsidR="000C1C8A">
        <w:rPr>
          <w:bCs/>
        </w:rPr>
        <w:t>; not including author declaration</w:t>
      </w:r>
      <w:r w:rsidR="001A7ED1" w:rsidRPr="000A02C8">
        <w:rPr>
          <w:bCs/>
        </w:rPr>
        <w:t>)</w:t>
      </w:r>
      <w:r w:rsidRPr="000A02C8">
        <w:t>:</w:t>
      </w:r>
      <w:r w:rsidRPr="00C25695">
        <w:t xml:space="preserve"> </w:t>
      </w:r>
      <w:r w:rsidR="00A4324E" w:rsidRPr="00AD6E7E">
        <w:t>3</w:t>
      </w:r>
      <w:r w:rsidR="009850A7">
        <w:t>40</w:t>
      </w:r>
      <w:r w:rsidR="007C7F14">
        <w:t>8</w:t>
      </w:r>
      <w:r w:rsidR="00FE5AAD" w:rsidRPr="00AD6E7E">
        <w:t xml:space="preserve"> </w:t>
      </w:r>
      <w:r w:rsidR="006432F4" w:rsidRPr="00AD6E7E">
        <w:t xml:space="preserve">+ </w:t>
      </w:r>
      <w:r w:rsidR="00AF001E" w:rsidRPr="00AD6E7E">
        <w:t>3</w:t>
      </w:r>
      <w:r w:rsidR="006432F4" w:rsidRPr="00AD6E7E">
        <w:t xml:space="preserve"> tables</w:t>
      </w:r>
      <w:r w:rsidR="00735BBA" w:rsidRPr="00AD6E7E">
        <w:t xml:space="preserve"> +</w:t>
      </w:r>
      <w:r w:rsidR="006432F4" w:rsidRPr="00AD6E7E">
        <w:t xml:space="preserve"> </w:t>
      </w:r>
      <w:r w:rsidR="00735BBA" w:rsidRPr="00AD6E7E">
        <w:t xml:space="preserve">2 figures </w:t>
      </w:r>
      <w:r w:rsidR="006432F4" w:rsidRPr="00AD6E7E">
        <w:t xml:space="preserve">= </w:t>
      </w:r>
      <w:r w:rsidR="00A4324E" w:rsidRPr="00AD6E7E">
        <w:t>4</w:t>
      </w:r>
      <w:r w:rsidR="007C7F14">
        <w:t>408</w:t>
      </w:r>
    </w:p>
    <w:p w14:paraId="59CF9849" w14:textId="0FDC9431" w:rsidR="001A7ED1" w:rsidRPr="001A15A8" w:rsidRDefault="000A02C8" w:rsidP="00B73061">
      <w:pPr>
        <w:rPr>
          <w:b/>
        </w:rPr>
      </w:pPr>
      <w:r>
        <w:rPr>
          <w:b/>
        </w:rPr>
        <w:t>Structured summary</w:t>
      </w:r>
      <w:r w:rsidR="00877524" w:rsidRPr="001A15A8">
        <w:rPr>
          <w:b/>
        </w:rPr>
        <w:t xml:space="preserve"> </w:t>
      </w:r>
      <w:r w:rsidR="001A7ED1" w:rsidRPr="000A02C8">
        <w:t xml:space="preserve">(max. </w:t>
      </w:r>
      <w:r w:rsidR="001A7ED1" w:rsidRPr="004B40A1">
        <w:t>250</w:t>
      </w:r>
      <w:r w:rsidR="001A7ED1" w:rsidRPr="000A02C8">
        <w:t xml:space="preserve"> words):</w:t>
      </w:r>
      <w:r w:rsidR="001A7ED1" w:rsidRPr="001A15A8">
        <w:rPr>
          <w:b/>
        </w:rPr>
        <w:t xml:space="preserve"> </w:t>
      </w:r>
      <w:r w:rsidR="003440E6">
        <w:t>2</w:t>
      </w:r>
      <w:r w:rsidR="000C6525">
        <w:t>48</w:t>
      </w:r>
    </w:p>
    <w:p w14:paraId="0C1219BD" w14:textId="77777777" w:rsidR="00947BBA" w:rsidRPr="00304821" w:rsidRDefault="00947BBA" w:rsidP="00B73061">
      <w:r w:rsidRPr="00433021">
        <w:rPr>
          <w:b/>
          <w:bCs/>
        </w:rPr>
        <w:t>Number of proposed figures</w:t>
      </w:r>
      <w:r w:rsidR="00330B04" w:rsidRPr="00C25695">
        <w:rPr>
          <w:b/>
          <w:bCs/>
        </w:rPr>
        <w:t xml:space="preserve"> </w:t>
      </w:r>
      <w:r w:rsidR="00330B04" w:rsidRPr="000A02C8">
        <w:rPr>
          <w:bCs/>
        </w:rPr>
        <w:t>(</w:t>
      </w:r>
      <w:r w:rsidR="00BD7957">
        <w:rPr>
          <w:bCs/>
        </w:rPr>
        <w:t xml:space="preserve">no </w:t>
      </w:r>
      <w:r w:rsidR="00592895" w:rsidRPr="00BD7957">
        <w:rPr>
          <w:bCs/>
        </w:rPr>
        <w:t>maximum</w:t>
      </w:r>
      <w:r w:rsidR="00BD7957" w:rsidRPr="00BD7957">
        <w:rPr>
          <w:bCs/>
        </w:rPr>
        <w:t xml:space="preserve"> given</w:t>
      </w:r>
      <w:r w:rsidR="00330B04" w:rsidRPr="000A02C8">
        <w:rPr>
          <w:bCs/>
        </w:rPr>
        <w:t>)</w:t>
      </w:r>
      <w:r w:rsidRPr="000A02C8">
        <w:t>:</w:t>
      </w:r>
      <w:r w:rsidR="00592895">
        <w:t xml:space="preserve"> </w:t>
      </w:r>
      <w:r w:rsidR="00735BBA">
        <w:t xml:space="preserve">2 </w:t>
      </w:r>
      <w:r w:rsidR="00BF2D59">
        <w:t xml:space="preserve">(counted as </w:t>
      </w:r>
      <w:r w:rsidR="00735BBA">
        <w:t>4</w:t>
      </w:r>
      <w:r w:rsidR="00BF2D59">
        <w:t>00 words</w:t>
      </w:r>
      <w:r w:rsidR="00BD7957">
        <w:t xml:space="preserve"> in total</w:t>
      </w:r>
      <w:r w:rsidR="00BF2D59">
        <w:t>)</w:t>
      </w:r>
    </w:p>
    <w:p w14:paraId="2D722CBF" w14:textId="7201FFC4" w:rsidR="00947BBA" w:rsidRDefault="00947BBA" w:rsidP="00B73061">
      <w:pPr>
        <w:rPr>
          <w:b/>
        </w:rPr>
      </w:pPr>
      <w:r w:rsidRPr="00304821">
        <w:rPr>
          <w:b/>
          <w:bCs/>
        </w:rPr>
        <w:t>Number of proposed tables</w:t>
      </w:r>
      <w:r w:rsidR="00DB7D9D" w:rsidRPr="003277B3">
        <w:rPr>
          <w:b/>
          <w:bCs/>
        </w:rPr>
        <w:t xml:space="preserve"> </w:t>
      </w:r>
      <w:r w:rsidR="00DB7D9D" w:rsidRPr="000A02C8">
        <w:rPr>
          <w:bCs/>
        </w:rPr>
        <w:t>(</w:t>
      </w:r>
      <w:r w:rsidR="00BD7957">
        <w:rPr>
          <w:bCs/>
        </w:rPr>
        <w:t xml:space="preserve">no </w:t>
      </w:r>
      <w:r w:rsidR="00592895" w:rsidRPr="00BD7957">
        <w:rPr>
          <w:bCs/>
        </w:rPr>
        <w:t>maximum</w:t>
      </w:r>
      <w:r w:rsidR="00BD7957" w:rsidRPr="00BD7957">
        <w:rPr>
          <w:bCs/>
        </w:rPr>
        <w:t xml:space="preserve"> given</w:t>
      </w:r>
      <w:r w:rsidR="00DB7D9D" w:rsidRPr="000A02C8">
        <w:rPr>
          <w:bCs/>
        </w:rPr>
        <w:t>)</w:t>
      </w:r>
      <w:r w:rsidRPr="000A02C8">
        <w:t>:</w:t>
      </w:r>
      <w:r w:rsidRPr="00BF2D59">
        <w:t xml:space="preserve"> </w:t>
      </w:r>
      <w:r w:rsidR="00E31DDC">
        <w:t>3</w:t>
      </w:r>
      <w:r w:rsidR="00735BBA">
        <w:rPr>
          <w:b/>
        </w:rPr>
        <w:t xml:space="preserve"> </w:t>
      </w:r>
      <w:r w:rsidR="00BF2D59" w:rsidRPr="00BF2D59">
        <w:t xml:space="preserve">(counted as </w:t>
      </w:r>
      <w:r w:rsidR="00E31DDC">
        <w:t>6</w:t>
      </w:r>
      <w:r w:rsidR="00BF2D59" w:rsidRPr="00BF2D59">
        <w:t>00 words</w:t>
      </w:r>
      <w:r w:rsidR="00BD7957">
        <w:t xml:space="preserve"> in total</w:t>
      </w:r>
      <w:r w:rsidR="00BF2D59" w:rsidRPr="00BF2D59">
        <w:t>)</w:t>
      </w:r>
    </w:p>
    <w:p w14:paraId="102B6100" w14:textId="464F0BA4" w:rsidR="00877524" w:rsidRPr="003277B3" w:rsidRDefault="00877524" w:rsidP="00B73061">
      <w:r>
        <w:rPr>
          <w:b/>
          <w:bCs/>
        </w:rPr>
        <w:t>R</w:t>
      </w:r>
      <w:r w:rsidRPr="001163FE">
        <w:rPr>
          <w:b/>
          <w:bCs/>
        </w:rPr>
        <w:t>eferenc</w:t>
      </w:r>
      <w:r w:rsidRPr="00304821">
        <w:rPr>
          <w:b/>
          <w:bCs/>
        </w:rPr>
        <w:t xml:space="preserve">es </w:t>
      </w:r>
      <w:r w:rsidRPr="000A02C8">
        <w:rPr>
          <w:bCs/>
        </w:rPr>
        <w:t>(</w:t>
      </w:r>
      <w:r w:rsidR="00C521E3" w:rsidRPr="00C521E3">
        <w:rPr>
          <w:bCs/>
        </w:rPr>
        <w:t>no maximum given</w:t>
      </w:r>
      <w:r w:rsidRPr="000A02C8">
        <w:rPr>
          <w:bCs/>
        </w:rPr>
        <w:t>)</w:t>
      </w:r>
      <w:r w:rsidRPr="000A02C8">
        <w:t>:</w:t>
      </w:r>
      <w:r w:rsidRPr="001163FE">
        <w:t xml:space="preserve"> </w:t>
      </w:r>
      <w:r w:rsidR="00DB6648">
        <w:t>5</w:t>
      </w:r>
      <w:r w:rsidR="009850A7">
        <w:t>1</w:t>
      </w:r>
    </w:p>
    <w:p w14:paraId="6B34E6A8" w14:textId="1F3EA56E" w:rsidR="00DB7D9D" w:rsidRDefault="00984348" w:rsidP="00B73061">
      <w:r>
        <w:rPr>
          <w:b/>
        </w:rPr>
        <w:t>Online</w:t>
      </w:r>
      <w:r w:rsidR="00E31DDC">
        <w:rPr>
          <w:b/>
        </w:rPr>
        <w:t xml:space="preserve"> s</w:t>
      </w:r>
      <w:r w:rsidR="00DB7D9D" w:rsidRPr="001A15A8">
        <w:rPr>
          <w:b/>
        </w:rPr>
        <w:t xml:space="preserve">upplementary </w:t>
      </w:r>
      <w:r>
        <w:rPr>
          <w:b/>
        </w:rPr>
        <w:t>material</w:t>
      </w:r>
      <w:r w:rsidR="00794412">
        <w:rPr>
          <w:b/>
        </w:rPr>
        <w:t xml:space="preserve">: </w:t>
      </w:r>
      <w:r w:rsidR="00080F90">
        <w:rPr>
          <w:b/>
        </w:rPr>
        <w:t xml:space="preserve">Supplementary </w:t>
      </w:r>
      <w:r w:rsidR="00080F90">
        <w:t>m</w:t>
      </w:r>
      <w:r w:rsidR="00D17655">
        <w:t>ethods, Tables A.I</w:t>
      </w:r>
      <w:r w:rsidR="00D17655">
        <w:rPr>
          <w:rFonts w:cs="Arial"/>
        </w:rPr>
        <w:t>–</w:t>
      </w:r>
      <w:r w:rsidR="00D17655">
        <w:t>A.</w:t>
      </w:r>
      <w:r w:rsidR="00E31DDC">
        <w:t>III</w:t>
      </w:r>
      <w:r w:rsidR="00D17655">
        <w:t>, Figure A.1</w:t>
      </w:r>
    </w:p>
    <w:p w14:paraId="46FDD9AC" w14:textId="77777777" w:rsidR="009A4EC6" w:rsidRPr="001372DC" w:rsidRDefault="009A4EC6" w:rsidP="00B73061"/>
    <w:p w14:paraId="6781BAEF" w14:textId="415D24B5" w:rsidR="00AC65FB" w:rsidRPr="00C25695" w:rsidRDefault="00AC65FB" w:rsidP="00B73061">
      <w:pPr>
        <w:rPr>
          <w:b/>
          <w:bCs/>
        </w:rPr>
      </w:pPr>
      <w:r w:rsidRPr="00304821">
        <w:rPr>
          <w:b/>
          <w:bCs/>
        </w:rPr>
        <w:t>Running title</w:t>
      </w:r>
      <w:r w:rsidR="004B40A1" w:rsidRPr="004B40A1">
        <w:rPr>
          <w:bCs/>
        </w:rPr>
        <w:t xml:space="preserve"> (max. 40 characters including spaces)</w:t>
      </w:r>
      <w:r w:rsidR="00784F8E" w:rsidRPr="004B40A1">
        <w:t>:</w:t>
      </w:r>
      <w:r w:rsidR="00784F8E" w:rsidRPr="00965D18">
        <w:t xml:space="preserve"> </w:t>
      </w:r>
      <w:r w:rsidR="0079414F">
        <w:t xml:space="preserve">Outcomes after </w:t>
      </w:r>
      <w:r w:rsidR="0079414F" w:rsidRPr="00645AAD">
        <w:rPr>
          <w:i/>
        </w:rPr>
        <w:t>C</w:t>
      </w:r>
      <w:r w:rsidR="0079414F">
        <w:rPr>
          <w:i/>
        </w:rPr>
        <w:t>.</w:t>
      </w:r>
      <w:r w:rsidR="0079414F" w:rsidRPr="00645AAD">
        <w:rPr>
          <w:i/>
        </w:rPr>
        <w:t xml:space="preserve"> difficile</w:t>
      </w:r>
      <w:r w:rsidR="0079414F">
        <w:t xml:space="preserve"> infection [</w:t>
      </w:r>
      <w:r w:rsidR="0079414F" w:rsidRPr="00AD6E7E">
        <w:t>38</w:t>
      </w:r>
      <w:r w:rsidR="0079414F">
        <w:t xml:space="preserve"> characters </w:t>
      </w:r>
      <w:r w:rsidR="007C7F14">
        <w:t xml:space="preserve">including </w:t>
      </w:r>
      <w:r w:rsidR="0079414F">
        <w:t>spaces]</w:t>
      </w:r>
    </w:p>
    <w:p w14:paraId="76ED3F0F" w14:textId="77777777" w:rsidR="00947BBA" w:rsidRPr="00C25695" w:rsidRDefault="00947BBA" w:rsidP="00B73061"/>
    <w:p w14:paraId="0699134C" w14:textId="2F9E52EC" w:rsidR="002A2705" w:rsidRPr="00C25695" w:rsidRDefault="008A7D53" w:rsidP="003B3515">
      <w:pPr>
        <w:keepNext/>
      </w:pPr>
      <w:r w:rsidRPr="00C25695">
        <w:t>*</w:t>
      </w:r>
      <w:r w:rsidR="00947BBA" w:rsidRPr="00C25695">
        <w:rPr>
          <w:b/>
          <w:bCs/>
        </w:rPr>
        <w:t>Corresponding author</w:t>
      </w:r>
      <w:r w:rsidR="00947BBA" w:rsidRPr="00C25695">
        <w:t>:</w:t>
      </w:r>
    </w:p>
    <w:p w14:paraId="3985ED01" w14:textId="67DFE2ED" w:rsidR="00947BBA" w:rsidRPr="00C25695" w:rsidRDefault="00592895" w:rsidP="003B3515">
      <w:r w:rsidRPr="00FA52AD">
        <w:rPr>
          <w:b/>
        </w:rPr>
        <w:t>Name</w:t>
      </w:r>
      <w:r w:rsidR="003226DE">
        <w:t xml:space="preserve">: </w:t>
      </w:r>
      <w:r w:rsidR="00A00022">
        <w:t>David Enoch</w:t>
      </w:r>
    </w:p>
    <w:p w14:paraId="61E20126" w14:textId="13118AF9" w:rsidR="00745E53" w:rsidRPr="00C25695" w:rsidRDefault="00592895" w:rsidP="003B3515">
      <w:r w:rsidRPr="00FA52AD">
        <w:rPr>
          <w:b/>
        </w:rPr>
        <w:t>Address</w:t>
      </w:r>
      <w:r w:rsidR="003226DE">
        <w:t xml:space="preserve">: </w:t>
      </w:r>
      <w:r w:rsidR="00A00022">
        <w:t>Clinical Microbiology &amp; Public Health Laboratory, National Infection Service, Public Health England, Box 236, Addenbrookes Hospital, Hills Road, Cambridge, CB2 0QW</w:t>
      </w:r>
    </w:p>
    <w:p w14:paraId="3652FB14" w14:textId="230D2303" w:rsidR="004C0DA5" w:rsidRDefault="00745E53" w:rsidP="003B3515">
      <w:r w:rsidRPr="00FA52AD">
        <w:rPr>
          <w:b/>
        </w:rPr>
        <w:t>Tel</w:t>
      </w:r>
      <w:r w:rsidRPr="00C25695">
        <w:t>.</w:t>
      </w:r>
      <w:r w:rsidR="00762C28">
        <w:t>:</w:t>
      </w:r>
      <w:r w:rsidRPr="00C25695">
        <w:t xml:space="preserve"> </w:t>
      </w:r>
      <w:r w:rsidR="00A00022">
        <w:t>01223 257035</w:t>
      </w:r>
    </w:p>
    <w:p w14:paraId="7673C886" w14:textId="426E795C" w:rsidR="00745E53" w:rsidRPr="00C25695" w:rsidRDefault="00592895" w:rsidP="003B3515">
      <w:r w:rsidRPr="00FA52AD">
        <w:rPr>
          <w:b/>
        </w:rPr>
        <w:t>Email</w:t>
      </w:r>
      <w:r w:rsidR="00762C28">
        <w:t xml:space="preserve">: </w:t>
      </w:r>
      <w:r w:rsidR="00A00022">
        <w:t xml:space="preserve">david.enoch@addenbrookes.nhs.uk </w:t>
      </w:r>
    </w:p>
    <w:p w14:paraId="52E0C0B4" w14:textId="77777777" w:rsidR="00947BBA" w:rsidRPr="00C25695" w:rsidRDefault="00947BBA"/>
    <w:p w14:paraId="134D9555" w14:textId="77777777" w:rsidR="00947BBA" w:rsidRPr="00C25695" w:rsidRDefault="00947BBA">
      <w:r w:rsidRPr="00C25695">
        <w:br w:type="page"/>
      </w:r>
    </w:p>
    <w:p w14:paraId="22668C7D" w14:textId="77777777" w:rsidR="00947BBA" w:rsidRPr="00C25695" w:rsidRDefault="004B40A1" w:rsidP="0073622B">
      <w:pPr>
        <w:pStyle w:val="Heading1"/>
        <w:spacing w:before="0" w:after="0"/>
      </w:pPr>
      <w:r>
        <w:lastRenderedPageBreak/>
        <w:t>Structured summary</w:t>
      </w:r>
    </w:p>
    <w:p w14:paraId="53284A23" w14:textId="294EEC3E" w:rsidR="000175FF" w:rsidRDefault="00D578E7">
      <w:r w:rsidRPr="00C25695">
        <w:rPr>
          <w:b/>
          <w:bCs/>
        </w:rPr>
        <w:t>Word count</w:t>
      </w:r>
      <w:r w:rsidR="003969AB" w:rsidRPr="00C25695">
        <w:t xml:space="preserve">: </w:t>
      </w:r>
      <w:r w:rsidR="002B0C2A" w:rsidRPr="003B3515">
        <w:t>24</w:t>
      </w:r>
      <w:r w:rsidR="000C6525" w:rsidRPr="003B3515">
        <w:t>8</w:t>
      </w:r>
      <w:r w:rsidR="002B0C2A" w:rsidRPr="003B3515">
        <w:t xml:space="preserve"> </w:t>
      </w:r>
      <w:r w:rsidR="00DB7D9D" w:rsidRPr="003B3515">
        <w:t xml:space="preserve">/ </w:t>
      </w:r>
      <w:r w:rsidR="004B40A1" w:rsidRPr="003B3515">
        <w:t>250</w:t>
      </w:r>
      <w:r w:rsidR="00DB7D9D" w:rsidRPr="00AF2637">
        <w:t xml:space="preserve"> words</w:t>
      </w:r>
      <w:r w:rsidRPr="00C25695">
        <w:t xml:space="preserve"> </w:t>
      </w:r>
    </w:p>
    <w:p w14:paraId="53C9DF03" w14:textId="77777777" w:rsidR="009A4EC6" w:rsidRDefault="009A4EC6"/>
    <w:p w14:paraId="4BB0F96E" w14:textId="387CBB16" w:rsidR="004B40A1" w:rsidRDefault="004B40A1">
      <w:r w:rsidRPr="00762C28">
        <w:rPr>
          <w:b/>
        </w:rPr>
        <w:t>Background</w:t>
      </w:r>
      <w:r>
        <w:t>:</w:t>
      </w:r>
      <w:r w:rsidR="00456633">
        <w:t xml:space="preserve"> </w:t>
      </w:r>
      <w:proofErr w:type="spellStart"/>
      <w:r w:rsidR="00751BCA" w:rsidRPr="00645AAD">
        <w:rPr>
          <w:i/>
        </w:rPr>
        <w:t>C</w:t>
      </w:r>
      <w:r w:rsidR="0093377F" w:rsidRPr="00645AAD">
        <w:rPr>
          <w:i/>
        </w:rPr>
        <w:t>lostridioides</w:t>
      </w:r>
      <w:proofErr w:type="spellEnd"/>
      <w:r w:rsidR="00E166DD">
        <w:rPr>
          <w:i/>
        </w:rPr>
        <w:t xml:space="preserve"> </w:t>
      </w:r>
      <w:r w:rsidR="0093377F" w:rsidRPr="00645AAD">
        <w:rPr>
          <w:i/>
        </w:rPr>
        <w:t>difficile</w:t>
      </w:r>
      <w:r w:rsidR="0093377F">
        <w:t xml:space="preserve"> infection (CDI) </w:t>
      </w:r>
      <w:r w:rsidR="003A6288">
        <w:t>increase</w:t>
      </w:r>
      <w:r w:rsidR="006B28D6">
        <w:t>s the</w:t>
      </w:r>
      <w:r w:rsidR="003A6288">
        <w:t xml:space="preserve"> </w:t>
      </w:r>
      <w:r w:rsidR="00E166DD">
        <w:t>risk</w:t>
      </w:r>
      <w:r w:rsidR="00485683">
        <w:t xml:space="preserve"> of </w:t>
      </w:r>
      <w:r w:rsidR="003A6288">
        <w:t>complications</w:t>
      </w:r>
      <w:r w:rsidR="00175872">
        <w:t xml:space="preserve"> and mortality. </w:t>
      </w:r>
      <w:r w:rsidR="0042669E">
        <w:t>We assessed the</w:t>
      </w:r>
      <w:r w:rsidR="0042669E" w:rsidRPr="00E166DD">
        <w:t xml:space="preserve"> magnitude</w:t>
      </w:r>
      <w:r w:rsidR="006B28D6">
        <w:t xml:space="preserve"> </w:t>
      </w:r>
      <w:r w:rsidR="0042669E" w:rsidRPr="00E166DD">
        <w:t xml:space="preserve">of </w:t>
      </w:r>
      <w:r w:rsidR="0042669E">
        <w:t xml:space="preserve">these outcomes </w:t>
      </w:r>
      <w:r w:rsidR="006B28D6">
        <w:t xml:space="preserve">in a </w:t>
      </w:r>
      <w:r w:rsidR="0042669E">
        <w:t xml:space="preserve">large </w:t>
      </w:r>
      <w:r w:rsidR="006B28D6">
        <w:t xml:space="preserve">cohort of English patients </w:t>
      </w:r>
      <w:r w:rsidR="0042669E">
        <w:t>with initial and recurrent CDI</w:t>
      </w:r>
      <w:r w:rsidR="006E3356">
        <w:t xml:space="preserve">. </w:t>
      </w:r>
    </w:p>
    <w:p w14:paraId="2421FAFC" w14:textId="77777777" w:rsidR="009A4EC6" w:rsidRDefault="009A4EC6"/>
    <w:p w14:paraId="5F5DCD32" w14:textId="3CD8039A" w:rsidR="004B40A1" w:rsidRDefault="004B40A1">
      <w:r w:rsidRPr="00762C28">
        <w:rPr>
          <w:b/>
        </w:rPr>
        <w:t>Aim</w:t>
      </w:r>
      <w:r>
        <w:t xml:space="preserve">: </w:t>
      </w:r>
      <w:r w:rsidR="0026762C">
        <w:t>T</w:t>
      </w:r>
      <w:r w:rsidR="00751BCA">
        <w:t>o compare the risk of complications and all-cause mortality</w:t>
      </w:r>
      <w:r w:rsidR="00CF385D">
        <w:t>,</w:t>
      </w:r>
      <w:r w:rsidR="00751BCA">
        <w:t xml:space="preserve"> </w:t>
      </w:r>
      <w:r w:rsidR="006B28D6">
        <w:t>within</w:t>
      </w:r>
      <w:r w:rsidR="00775095">
        <w:t xml:space="preserve"> 12 months</w:t>
      </w:r>
      <w:r w:rsidR="00CF385D">
        <w:t>,</w:t>
      </w:r>
      <w:r w:rsidR="00775095">
        <w:t xml:space="preserve"> </w:t>
      </w:r>
      <w:r w:rsidR="00CF385D">
        <w:t xml:space="preserve">among </w:t>
      </w:r>
      <w:r w:rsidR="0053432F">
        <w:t>hospitali</w:t>
      </w:r>
      <w:r w:rsidR="0064553B">
        <w:t>z</w:t>
      </w:r>
      <w:r w:rsidR="0053432F">
        <w:t xml:space="preserve">ed </w:t>
      </w:r>
      <w:r w:rsidR="00751BCA">
        <w:t>patients</w:t>
      </w:r>
      <w:r w:rsidR="0042669E">
        <w:t xml:space="preserve"> </w:t>
      </w:r>
      <w:r w:rsidR="0042669E">
        <w:rPr>
          <w:rFonts w:cs="Arial"/>
        </w:rPr>
        <w:t>≥</w:t>
      </w:r>
      <w:r w:rsidR="0042669E">
        <w:t>18 years old</w:t>
      </w:r>
      <w:r w:rsidR="00751BCA">
        <w:t xml:space="preserve"> with </w:t>
      </w:r>
      <w:r w:rsidR="00924715" w:rsidRPr="00456633">
        <w:rPr>
          <w:iCs/>
        </w:rPr>
        <w:t>h</w:t>
      </w:r>
      <w:r w:rsidR="00924715">
        <w:rPr>
          <w:iCs/>
        </w:rPr>
        <w:t>ospital</w:t>
      </w:r>
      <w:r w:rsidR="0026762C" w:rsidRPr="00456633">
        <w:rPr>
          <w:iCs/>
        </w:rPr>
        <w:t>-associated</w:t>
      </w:r>
      <w:r w:rsidR="0026762C" w:rsidRPr="00B138BD">
        <w:t xml:space="preserve"> </w:t>
      </w:r>
      <w:r w:rsidR="0026762C">
        <w:t>(HA</w:t>
      </w:r>
      <w:r w:rsidR="00677558">
        <w:t>-</w:t>
      </w:r>
      <w:r w:rsidR="0026762C">
        <w:t>)</w:t>
      </w:r>
      <w:r w:rsidR="006B28D6">
        <w:t xml:space="preserve"> </w:t>
      </w:r>
      <w:r w:rsidR="0026762C">
        <w:t>CDI and recurrent CDI</w:t>
      </w:r>
      <w:r w:rsidR="006B28D6">
        <w:t>.</w:t>
      </w:r>
      <w:r w:rsidR="0026762C">
        <w:t xml:space="preserve"> </w:t>
      </w:r>
    </w:p>
    <w:p w14:paraId="74FE74D5" w14:textId="77777777" w:rsidR="009A4EC6" w:rsidRDefault="009A4EC6"/>
    <w:p w14:paraId="2C95E802" w14:textId="45E48AF9" w:rsidR="004B40A1" w:rsidRDefault="004B40A1">
      <w:r w:rsidRPr="00762C28">
        <w:rPr>
          <w:b/>
        </w:rPr>
        <w:t>Methods</w:t>
      </w:r>
      <w:r>
        <w:t>:</w:t>
      </w:r>
      <w:r w:rsidR="00456633">
        <w:t xml:space="preserve"> </w:t>
      </w:r>
      <w:r w:rsidR="00D616C2">
        <w:t xml:space="preserve">Patients with HA-CDI </w:t>
      </w:r>
      <w:r w:rsidR="00485683">
        <w:t>during 2002</w:t>
      </w:r>
      <w:r w:rsidR="00485683">
        <w:rPr>
          <w:rFonts w:cs="Arial"/>
        </w:rPr>
        <w:t>–</w:t>
      </w:r>
      <w:r w:rsidR="00485683">
        <w:t xml:space="preserve">2013 </w:t>
      </w:r>
      <w:r w:rsidR="0072100F">
        <w:t>were</w:t>
      </w:r>
      <w:r w:rsidR="004E2940">
        <w:t xml:space="preserve"> </w:t>
      </w:r>
      <w:r w:rsidR="0019186E">
        <w:t>identified</w:t>
      </w:r>
      <w:r w:rsidR="0072100F">
        <w:t xml:space="preserve"> </w:t>
      </w:r>
      <w:r w:rsidR="00485683">
        <w:t xml:space="preserve">using </w:t>
      </w:r>
      <w:r w:rsidR="00A9079A">
        <w:t xml:space="preserve">inpatient </w:t>
      </w:r>
      <w:r w:rsidR="009632BF">
        <w:t xml:space="preserve">hospital </w:t>
      </w:r>
      <w:r w:rsidR="00D616C2">
        <w:t>d</w:t>
      </w:r>
      <w:r w:rsidR="0026762C">
        <w:t>ata</w:t>
      </w:r>
      <w:r w:rsidR="0042669E">
        <w:t xml:space="preserve"> </w:t>
      </w:r>
      <w:r w:rsidR="0026762C">
        <w:t xml:space="preserve">linked to </w:t>
      </w:r>
      <w:r w:rsidR="009632BF">
        <w:t xml:space="preserve">primary care </w:t>
      </w:r>
      <w:r w:rsidR="000F1323">
        <w:t>and death</w:t>
      </w:r>
      <w:r w:rsidR="000C1384">
        <w:t xml:space="preserve"> data</w:t>
      </w:r>
      <w:r w:rsidR="0026762C">
        <w:t xml:space="preserve">. </w:t>
      </w:r>
      <w:r w:rsidR="00D616C2">
        <w:t xml:space="preserve">Each HA-CDI </w:t>
      </w:r>
      <w:r w:rsidR="00485683">
        <w:t xml:space="preserve">case </w:t>
      </w:r>
      <w:r w:rsidR="00D616C2">
        <w:t xml:space="preserve">was frequency matched </w:t>
      </w:r>
      <w:r w:rsidR="0072100F">
        <w:t>to two hospitali</w:t>
      </w:r>
      <w:r w:rsidR="0064553B">
        <w:t>z</w:t>
      </w:r>
      <w:r w:rsidR="0072100F">
        <w:t xml:space="preserve">ed patients without CDI </w:t>
      </w:r>
      <w:r w:rsidR="00CF385D">
        <w:t xml:space="preserve">on </w:t>
      </w:r>
      <w:r w:rsidR="0019186E" w:rsidRPr="00485683">
        <w:t>age</w:t>
      </w:r>
      <w:r w:rsidR="001063F1">
        <w:t xml:space="preserve"> group</w:t>
      </w:r>
      <w:r w:rsidR="0019186E">
        <w:t xml:space="preserve">, </w:t>
      </w:r>
      <w:r w:rsidR="00A11193">
        <w:t>sex</w:t>
      </w:r>
      <w:r w:rsidR="00CF385D" w:rsidRPr="00485683">
        <w:t xml:space="preserve">, </w:t>
      </w:r>
      <w:r w:rsidR="0019186E" w:rsidRPr="00485683">
        <w:t xml:space="preserve">calendar year of </w:t>
      </w:r>
      <w:r w:rsidR="0019186E">
        <w:t>admission</w:t>
      </w:r>
      <w:r w:rsidR="0019186E" w:rsidRPr="00485683">
        <w:t>,</w:t>
      </w:r>
      <w:r w:rsidR="0019186E">
        <w:t xml:space="preserve"> </w:t>
      </w:r>
      <w:r w:rsidR="00CF385D" w:rsidRPr="00485683">
        <w:t>admission method</w:t>
      </w:r>
      <w:r w:rsidR="00CF385D">
        <w:t xml:space="preserve"> and number of hospital care episodes. </w:t>
      </w:r>
      <w:r w:rsidR="00D616C2">
        <w:t>A</w:t>
      </w:r>
      <w:r w:rsidR="00D616C2" w:rsidRPr="00D616C2">
        <w:t xml:space="preserve"> second CDI episode </w:t>
      </w:r>
      <w:r w:rsidR="003426C9">
        <w:t xml:space="preserve">starting </w:t>
      </w:r>
      <w:r w:rsidR="00E97B6D">
        <w:t>on</w:t>
      </w:r>
      <w:r w:rsidR="003426C9" w:rsidRPr="00D616C2">
        <w:t xml:space="preserve"> </w:t>
      </w:r>
      <w:r w:rsidR="00A11193">
        <w:t>D</w:t>
      </w:r>
      <w:r w:rsidR="00D616C2" w:rsidRPr="00D616C2">
        <w:t xml:space="preserve">ays 13−56 </w:t>
      </w:r>
      <w:r w:rsidR="00D616C2">
        <w:t xml:space="preserve">was defined as recurrence. </w:t>
      </w:r>
      <w:r w:rsidR="00963E8A">
        <w:t>Risk</w:t>
      </w:r>
      <w:r w:rsidR="003426C9">
        <w:t>s</w:t>
      </w:r>
      <w:r w:rsidR="00963E8A">
        <w:t xml:space="preserve"> of </w:t>
      </w:r>
      <w:r w:rsidR="008274C1">
        <w:t xml:space="preserve">mortality and </w:t>
      </w:r>
      <w:r w:rsidR="00CF385D">
        <w:t xml:space="preserve">complications </w:t>
      </w:r>
      <w:r w:rsidR="002B0C2A">
        <w:t xml:space="preserve">at 12 months </w:t>
      </w:r>
      <w:r w:rsidR="003426C9">
        <w:t xml:space="preserve">were </w:t>
      </w:r>
      <w:r w:rsidR="00963E8A">
        <w:t xml:space="preserve">analysed </w:t>
      </w:r>
      <w:r w:rsidR="00963E8A" w:rsidRPr="00AF001E">
        <w:t>using</w:t>
      </w:r>
      <w:r w:rsidR="00CF385D" w:rsidRPr="00AF001E">
        <w:t xml:space="preserve"> </w:t>
      </w:r>
      <w:r w:rsidR="00963E8A" w:rsidRPr="00AF001E">
        <w:t xml:space="preserve">Cox proportional hazard </w:t>
      </w:r>
      <w:r w:rsidR="00CF385D" w:rsidRPr="00AF001E">
        <w:t>models</w:t>
      </w:r>
      <w:r w:rsidR="00963E8A" w:rsidRPr="00AF001E">
        <w:t xml:space="preserve">. </w:t>
      </w:r>
    </w:p>
    <w:p w14:paraId="64E6C55D" w14:textId="77777777" w:rsidR="009A4EC6" w:rsidRPr="00AF001E" w:rsidRDefault="009A4EC6"/>
    <w:p w14:paraId="0DF25D56" w14:textId="042E5F59" w:rsidR="004B40A1" w:rsidRDefault="004B40A1">
      <w:r w:rsidRPr="00AF001E">
        <w:rPr>
          <w:b/>
        </w:rPr>
        <w:t>Findings</w:t>
      </w:r>
      <w:r w:rsidRPr="00AF001E">
        <w:t>:</w:t>
      </w:r>
      <w:r w:rsidR="00963E8A" w:rsidRPr="00AF001E">
        <w:t xml:space="preserve"> </w:t>
      </w:r>
      <w:r w:rsidR="009059C7" w:rsidRPr="00AF001E">
        <w:t>We included</w:t>
      </w:r>
      <w:r w:rsidR="009059C7" w:rsidRPr="00456633" w:rsidDel="00CF385D">
        <w:t xml:space="preserve"> </w:t>
      </w:r>
      <w:r w:rsidR="00793897" w:rsidRPr="00456633">
        <w:t>6,862</w:t>
      </w:r>
      <w:r w:rsidR="00793897" w:rsidRPr="00AF001E">
        <w:t xml:space="preserve"> patients with HA-CDI and </w:t>
      </w:r>
      <w:r w:rsidR="00793897" w:rsidRPr="00456633">
        <w:t>13,724</w:t>
      </w:r>
      <w:r w:rsidR="00793897" w:rsidRPr="00AF001E">
        <w:t xml:space="preserve"> without CDI</w:t>
      </w:r>
      <w:r w:rsidR="009059C7" w:rsidRPr="00AF001E">
        <w:t>. M</w:t>
      </w:r>
      <w:r w:rsidR="00CF385D" w:rsidRPr="00AF001E">
        <w:t>e</w:t>
      </w:r>
      <w:r w:rsidR="00C55513" w:rsidRPr="00AF001E">
        <w:t>dian</w:t>
      </w:r>
      <w:r w:rsidR="00CF385D" w:rsidRPr="00AF001E">
        <w:t xml:space="preserve"> age was </w:t>
      </w:r>
      <w:r w:rsidR="00C55513" w:rsidRPr="00456633">
        <w:t>81.0</w:t>
      </w:r>
      <w:r w:rsidR="001063F1" w:rsidRPr="00456633">
        <w:t xml:space="preserve"> </w:t>
      </w:r>
      <w:r w:rsidR="00CF385D" w:rsidRPr="00456633">
        <w:t>(</w:t>
      </w:r>
      <w:r w:rsidR="00C55513" w:rsidRPr="00456633">
        <w:t>71.0–87.0</w:t>
      </w:r>
      <w:r w:rsidR="004E2940" w:rsidRPr="00456633">
        <w:t>)</w:t>
      </w:r>
      <w:r w:rsidR="00A9079A">
        <w:t>.</w:t>
      </w:r>
      <w:r w:rsidR="008274C1" w:rsidRPr="00AF001E">
        <w:t xml:space="preserve"> </w:t>
      </w:r>
      <w:r w:rsidR="00A9079A">
        <w:t>P</w:t>
      </w:r>
      <w:r w:rsidR="00A9079A" w:rsidRPr="00AF001E">
        <w:t xml:space="preserve">atients </w:t>
      </w:r>
      <w:r w:rsidR="0019186E" w:rsidRPr="00AF001E">
        <w:t>with HA-CDI had more</w:t>
      </w:r>
      <w:r w:rsidR="00120A84" w:rsidRPr="00AF001E">
        <w:t xml:space="preserve"> </w:t>
      </w:r>
      <w:r w:rsidR="0019186E" w:rsidRPr="00AF001E">
        <w:t>comorbidities</w:t>
      </w:r>
      <w:r w:rsidR="008274C1" w:rsidRPr="00AF001E">
        <w:t xml:space="preserve"> than those without CDI</w:t>
      </w:r>
      <w:r w:rsidR="002B0C2A">
        <w:t>,</w:t>
      </w:r>
      <w:r w:rsidR="00546E1C">
        <w:t xml:space="preserve"> and </w:t>
      </w:r>
      <w:r w:rsidR="00E97B6D" w:rsidRPr="00AF001E">
        <w:t>significantly higher risk</w:t>
      </w:r>
      <w:r w:rsidR="00C97B98" w:rsidRPr="00AF001E">
        <w:t xml:space="preserve">s </w:t>
      </w:r>
      <w:r w:rsidR="00E97B6D" w:rsidRPr="00AF001E">
        <w:t xml:space="preserve">of </w:t>
      </w:r>
      <w:r w:rsidR="0085432A" w:rsidRPr="00924715">
        <w:t xml:space="preserve">mortality </w:t>
      </w:r>
      <w:r w:rsidR="0085432A" w:rsidRPr="00E31DDC">
        <w:t>(</w:t>
      </w:r>
      <w:r w:rsidR="0085432A" w:rsidRPr="00AF001E">
        <w:t xml:space="preserve">adjusted hazard ratio (95% </w:t>
      </w:r>
      <w:r w:rsidR="000C6525">
        <w:t>confidence interval</w:t>
      </w:r>
      <w:r w:rsidR="0085432A" w:rsidRPr="00AF001E">
        <w:t xml:space="preserve">) </w:t>
      </w:r>
      <w:r w:rsidR="0085432A" w:rsidRPr="00456633">
        <w:t>1.77 (1.67–1.87))</w:t>
      </w:r>
      <w:r w:rsidR="0085432A" w:rsidRPr="00AF001E">
        <w:t xml:space="preserve"> and </w:t>
      </w:r>
      <w:r w:rsidR="00E97B6D" w:rsidRPr="00AF001E">
        <w:t xml:space="preserve">complications </w:t>
      </w:r>
      <w:r w:rsidR="00677558" w:rsidRPr="00AF001E">
        <w:t>(</w:t>
      </w:r>
      <w:r w:rsidR="00677558" w:rsidRPr="00456633">
        <w:t xml:space="preserve">1.66 </w:t>
      </w:r>
      <w:r w:rsidR="007855CF" w:rsidRPr="00456633">
        <w:t>(</w:t>
      </w:r>
      <w:r w:rsidR="00677558" w:rsidRPr="00456633">
        <w:t>1.46–1.88</w:t>
      </w:r>
      <w:r w:rsidR="007855CF" w:rsidRPr="00456633">
        <w:t>)</w:t>
      </w:r>
      <w:r w:rsidR="00F7336C" w:rsidRPr="00456633">
        <w:t>)</w:t>
      </w:r>
      <w:r w:rsidR="00677558" w:rsidRPr="00AF001E">
        <w:t xml:space="preserve"> </w:t>
      </w:r>
      <w:r w:rsidR="00CF385D" w:rsidRPr="00AF001E">
        <w:t xml:space="preserve">within </w:t>
      </w:r>
      <w:r w:rsidR="00BB5F0E">
        <w:t>12 months</w:t>
      </w:r>
      <w:r w:rsidR="00677558" w:rsidRPr="00AF001E">
        <w:t xml:space="preserve"> from</w:t>
      </w:r>
      <w:r w:rsidR="009632BF" w:rsidRPr="00AF001E">
        <w:t xml:space="preserve"> hospital admission</w:t>
      </w:r>
      <w:r w:rsidR="00677558" w:rsidRPr="00AF001E">
        <w:t>.</w:t>
      </w:r>
      <w:r w:rsidR="00070FCE" w:rsidRPr="00AF001E">
        <w:t xml:space="preserve"> </w:t>
      </w:r>
      <w:r w:rsidR="003426C9" w:rsidRPr="00AF001E">
        <w:t xml:space="preserve">Of </w:t>
      </w:r>
      <w:r w:rsidR="00793897" w:rsidRPr="00AF001E">
        <w:t>those</w:t>
      </w:r>
      <w:r w:rsidR="003426C9" w:rsidRPr="00AF001E">
        <w:t xml:space="preserve"> with HA-CDI</w:t>
      </w:r>
      <w:r w:rsidR="00793897" w:rsidRPr="00AF001E">
        <w:t>,</w:t>
      </w:r>
      <w:r w:rsidR="003426C9" w:rsidRPr="00AF001E">
        <w:t xml:space="preserve"> </w:t>
      </w:r>
      <w:r w:rsidR="003426C9" w:rsidRPr="00456633">
        <w:t>1,140 (16.6%)</w:t>
      </w:r>
      <w:r w:rsidR="003426C9" w:rsidRPr="00AF001E">
        <w:t xml:space="preserve"> experienced CDI recurrence. </w:t>
      </w:r>
      <w:r w:rsidR="009D0992" w:rsidRPr="00AF001E">
        <w:t>P</w:t>
      </w:r>
      <w:r w:rsidR="000618D0" w:rsidRPr="00AF001E">
        <w:t xml:space="preserve">atients with recurrent </w:t>
      </w:r>
      <w:r w:rsidR="009D0992" w:rsidRPr="00AF001E">
        <w:t xml:space="preserve">versus non-recurrent CDI </w:t>
      </w:r>
      <w:r w:rsidR="00120A84" w:rsidRPr="00AF001E">
        <w:t xml:space="preserve">also </w:t>
      </w:r>
      <w:r w:rsidR="000618D0" w:rsidRPr="00AF001E">
        <w:t xml:space="preserve">had significantly increased risk of </w:t>
      </w:r>
      <w:r w:rsidR="0085432A" w:rsidRPr="00AF001E">
        <w:t xml:space="preserve">mortality </w:t>
      </w:r>
      <w:r w:rsidR="0085432A" w:rsidRPr="00456633">
        <w:t>(1.32 (1.20−1.45))</w:t>
      </w:r>
      <w:r w:rsidR="0085432A" w:rsidRPr="00AF001E">
        <w:t xml:space="preserve"> and </w:t>
      </w:r>
      <w:r w:rsidR="00415818" w:rsidRPr="00AF001E">
        <w:t xml:space="preserve">complications </w:t>
      </w:r>
      <w:r w:rsidR="00415818" w:rsidRPr="00456633">
        <w:t xml:space="preserve">(1.37 </w:t>
      </w:r>
      <w:r w:rsidR="007855CF" w:rsidRPr="00456633">
        <w:t>(</w:t>
      </w:r>
      <w:r w:rsidR="00415818" w:rsidRPr="00456633">
        <w:t>1.01−1.84</w:t>
      </w:r>
      <w:r w:rsidR="007855CF" w:rsidRPr="00456633">
        <w:t>)</w:t>
      </w:r>
      <w:r w:rsidR="00415818" w:rsidRPr="00456633">
        <w:t>)</w:t>
      </w:r>
      <w:r w:rsidR="000618D0" w:rsidRPr="00AF001E">
        <w:t xml:space="preserve"> </w:t>
      </w:r>
      <w:r w:rsidR="00415818" w:rsidRPr="00AF001E">
        <w:t>in the</w:t>
      </w:r>
      <w:r w:rsidR="000618D0" w:rsidRPr="00AF001E">
        <w:t xml:space="preserve"> 12 months from the initial CDI. </w:t>
      </w:r>
    </w:p>
    <w:p w14:paraId="020C95A7" w14:textId="77777777" w:rsidR="009A4EC6" w:rsidRPr="00AF001E" w:rsidRDefault="009A4EC6"/>
    <w:p w14:paraId="25F36018" w14:textId="3DB0A1C5" w:rsidR="004B40A1" w:rsidRDefault="004B40A1">
      <w:r w:rsidRPr="00762C28">
        <w:rPr>
          <w:b/>
        </w:rPr>
        <w:t>Conclusions</w:t>
      </w:r>
      <w:r>
        <w:t>:</w:t>
      </w:r>
      <w:r w:rsidR="000618D0">
        <w:t xml:space="preserve"> </w:t>
      </w:r>
      <w:r w:rsidR="00415818">
        <w:t>HA-CDI (versus no CDI) and r</w:t>
      </w:r>
      <w:r w:rsidR="000618D0">
        <w:t xml:space="preserve">ecurrent CDI </w:t>
      </w:r>
      <w:r w:rsidR="00415818">
        <w:t>are both</w:t>
      </w:r>
      <w:r w:rsidR="000618D0">
        <w:t xml:space="preserve"> associated with significantly </w:t>
      </w:r>
      <w:r w:rsidR="009D0992">
        <w:t>higher</w:t>
      </w:r>
      <w:r w:rsidR="000618D0">
        <w:t xml:space="preserve"> risk</w:t>
      </w:r>
      <w:r w:rsidR="00677558">
        <w:t>s</w:t>
      </w:r>
      <w:r w:rsidR="000618D0">
        <w:t xml:space="preserve"> of complications or death within </w:t>
      </w:r>
      <w:r w:rsidR="00BB5F0E">
        <w:t>12 months</w:t>
      </w:r>
      <w:r w:rsidR="000618D0">
        <w:t xml:space="preserve"> of the initial CDI episode</w:t>
      </w:r>
      <w:r w:rsidR="004F639A">
        <w:t xml:space="preserve">. </w:t>
      </w:r>
    </w:p>
    <w:p w14:paraId="3C3AD7FC" w14:textId="77777777" w:rsidR="009A4EC6" w:rsidRDefault="009A4EC6"/>
    <w:p w14:paraId="2ACDF3BA" w14:textId="77777777" w:rsidR="008A57FC" w:rsidRDefault="00762C28" w:rsidP="00B73061">
      <w:r w:rsidRPr="00762C28">
        <w:rPr>
          <w:b/>
        </w:rPr>
        <w:t>Keywords</w:t>
      </w:r>
      <w:r>
        <w:t xml:space="preserve"> (max. 6</w:t>
      </w:r>
      <w:r w:rsidR="004A1613">
        <w:t>; to be derived from the summary</w:t>
      </w:r>
      <w:r>
        <w:t xml:space="preserve">): </w:t>
      </w:r>
      <w:proofErr w:type="spellStart"/>
      <w:r w:rsidR="00415FDA" w:rsidRPr="00645AAD">
        <w:rPr>
          <w:i/>
        </w:rPr>
        <w:t>Clostridioides</w:t>
      </w:r>
      <w:proofErr w:type="spellEnd"/>
      <w:r w:rsidR="00415FDA" w:rsidRPr="00645AAD">
        <w:rPr>
          <w:i/>
        </w:rPr>
        <w:t xml:space="preserve"> difficile</w:t>
      </w:r>
      <w:r w:rsidR="00415FDA">
        <w:t xml:space="preserve"> infection, </w:t>
      </w:r>
      <w:r w:rsidR="004A1613">
        <w:t>recurrence, mortality, complications</w:t>
      </w:r>
    </w:p>
    <w:p w14:paraId="5BFC19F7" w14:textId="77777777" w:rsidR="008A57FC" w:rsidRDefault="008A57FC" w:rsidP="00B73061">
      <w:pPr>
        <w:sectPr w:rsidR="008A57FC" w:rsidSect="00A32B5D">
          <w:footerReference w:type="default" r:id="rId11"/>
          <w:pgSz w:w="11906" w:h="16838"/>
          <w:pgMar w:top="1440" w:right="1440" w:bottom="1440" w:left="1440" w:header="709" w:footer="709" w:gutter="0"/>
          <w:cols w:space="708"/>
          <w:docGrid w:linePitch="360"/>
        </w:sectPr>
      </w:pPr>
    </w:p>
    <w:p w14:paraId="3BACB0D6" w14:textId="24F166A9" w:rsidR="00947BBA" w:rsidRPr="00C25695" w:rsidRDefault="00947BBA">
      <w:r w:rsidRPr="00C25695">
        <w:br w:type="page"/>
      </w:r>
    </w:p>
    <w:p w14:paraId="6B08E0C0" w14:textId="77777777" w:rsidR="00C521E3" w:rsidRDefault="00C521E3">
      <w:pPr>
        <w:pStyle w:val="Heading1"/>
        <w:spacing w:before="0" w:after="0"/>
        <w:sectPr w:rsidR="00C521E3" w:rsidSect="008A57FC">
          <w:type w:val="continuous"/>
          <w:pgSz w:w="11906" w:h="16838"/>
          <w:pgMar w:top="1440" w:right="1440" w:bottom="1440" w:left="1440" w:header="709" w:footer="709" w:gutter="0"/>
          <w:cols w:space="708"/>
          <w:docGrid w:linePitch="360"/>
        </w:sectPr>
      </w:pPr>
    </w:p>
    <w:p w14:paraId="4EA30BE0" w14:textId="77777777" w:rsidR="00C521E3" w:rsidRDefault="00C521E3">
      <w:pPr>
        <w:pStyle w:val="Heading1"/>
        <w:spacing w:before="0" w:after="0"/>
      </w:pPr>
      <w:r>
        <w:lastRenderedPageBreak/>
        <w:t>Abbreviations</w:t>
      </w:r>
    </w:p>
    <w:p w14:paraId="600B8064" w14:textId="77777777" w:rsidR="00762C28" w:rsidRDefault="00762C28">
      <w:r w:rsidRPr="00AD6E7E">
        <w:t>[</w:t>
      </w:r>
      <w:r w:rsidR="00484B33" w:rsidRPr="00AD6E7E">
        <w:t>T</w:t>
      </w:r>
      <w:r w:rsidR="00431D22" w:rsidRPr="00AD6E7E">
        <w:t>o contain only non-standard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13"/>
        <w:gridCol w:w="5237"/>
      </w:tblGrid>
      <w:tr w:rsidR="00516005" w14:paraId="10F302B2" w14:textId="77777777" w:rsidTr="00296EF0">
        <w:tc>
          <w:tcPr>
            <w:tcW w:w="1413" w:type="dxa"/>
          </w:tcPr>
          <w:p w14:paraId="34496B5F" w14:textId="77777777" w:rsidR="00516005" w:rsidRDefault="00516005" w:rsidP="003B3515">
            <w:r>
              <w:t>APC</w:t>
            </w:r>
          </w:p>
        </w:tc>
        <w:tc>
          <w:tcPr>
            <w:tcW w:w="0" w:type="auto"/>
          </w:tcPr>
          <w:p w14:paraId="7FA8FCB1" w14:textId="77777777" w:rsidR="00516005" w:rsidRDefault="00516005" w:rsidP="003B3515">
            <w:r>
              <w:t>Admitted Patient Care</w:t>
            </w:r>
          </w:p>
        </w:tc>
      </w:tr>
      <w:tr w:rsidR="00516005" w14:paraId="25CE4556" w14:textId="77777777" w:rsidTr="00296EF0">
        <w:tc>
          <w:tcPr>
            <w:tcW w:w="1413" w:type="dxa"/>
          </w:tcPr>
          <w:p w14:paraId="55BB2BD2" w14:textId="77777777" w:rsidR="00516005" w:rsidRDefault="00516005" w:rsidP="003B3515">
            <w:r>
              <w:t>CA</w:t>
            </w:r>
          </w:p>
        </w:tc>
        <w:tc>
          <w:tcPr>
            <w:tcW w:w="0" w:type="auto"/>
          </w:tcPr>
          <w:p w14:paraId="088D0A3C" w14:textId="77777777" w:rsidR="00516005" w:rsidRDefault="00516005" w:rsidP="003B3515">
            <w:r>
              <w:t>Community</w:t>
            </w:r>
            <w:r w:rsidR="00E05D16">
              <w:t xml:space="preserve"> </w:t>
            </w:r>
            <w:r>
              <w:t>associated</w:t>
            </w:r>
          </w:p>
        </w:tc>
      </w:tr>
      <w:tr w:rsidR="00516005" w14:paraId="49834654" w14:textId="77777777" w:rsidTr="00296EF0">
        <w:tc>
          <w:tcPr>
            <w:tcW w:w="1413" w:type="dxa"/>
          </w:tcPr>
          <w:p w14:paraId="7546CE27" w14:textId="77777777" w:rsidR="00516005" w:rsidRDefault="00516005" w:rsidP="003B3515">
            <w:r>
              <w:t>CDI</w:t>
            </w:r>
          </w:p>
        </w:tc>
        <w:tc>
          <w:tcPr>
            <w:tcW w:w="0" w:type="auto"/>
          </w:tcPr>
          <w:p w14:paraId="385FAD2C" w14:textId="77777777" w:rsidR="00516005" w:rsidRPr="00516005" w:rsidRDefault="00516005" w:rsidP="003B3515">
            <w:pPr>
              <w:rPr>
                <w:i/>
              </w:rPr>
            </w:pPr>
            <w:proofErr w:type="spellStart"/>
            <w:r w:rsidRPr="00CB453E">
              <w:rPr>
                <w:i/>
              </w:rPr>
              <w:t>Clostridioides</w:t>
            </w:r>
            <w:proofErr w:type="spellEnd"/>
            <w:r w:rsidRPr="00CB453E">
              <w:rPr>
                <w:i/>
              </w:rPr>
              <w:t xml:space="preserve"> </w:t>
            </w:r>
            <w:r w:rsidR="00FC474C">
              <w:rPr>
                <w:i/>
              </w:rPr>
              <w:t xml:space="preserve">(Clostridium) </w:t>
            </w:r>
            <w:r w:rsidRPr="00CB453E">
              <w:rPr>
                <w:i/>
              </w:rPr>
              <w:t>difficile</w:t>
            </w:r>
            <w:r>
              <w:t xml:space="preserve"> infection</w:t>
            </w:r>
          </w:p>
        </w:tc>
      </w:tr>
      <w:tr w:rsidR="00516005" w14:paraId="2238BD8F" w14:textId="77777777" w:rsidTr="00296EF0">
        <w:tc>
          <w:tcPr>
            <w:tcW w:w="1413" w:type="dxa"/>
          </w:tcPr>
          <w:p w14:paraId="4C2DDA15" w14:textId="77777777" w:rsidR="00516005" w:rsidRDefault="00516005" w:rsidP="003B3515">
            <w:r>
              <w:t>CPRD</w:t>
            </w:r>
          </w:p>
        </w:tc>
        <w:tc>
          <w:tcPr>
            <w:tcW w:w="0" w:type="auto"/>
          </w:tcPr>
          <w:p w14:paraId="1614421B" w14:textId="77777777" w:rsidR="00516005" w:rsidRPr="00A32B5D" w:rsidRDefault="00516005" w:rsidP="003B3515">
            <w:r w:rsidRPr="003870AB">
              <w:t>Clinical Practice Research Datalink</w:t>
            </w:r>
          </w:p>
        </w:tc>
      </w:tr>
      <w:tr w:rsidR="00516005" w14:paraId="3132BDBC" w14:textId="77777777" w:rsidTr="00296EF0">
        <w:tc>
          <w:tcPr>
            <w:tcW w:w="1413" w:type="dxa"/>
          </w:tcPr>
          <w:p w14:paraId="75CCCFD1" w14:textId="77777777" w:rsidR="00516005" w:rsidRDefault="00516005" w:rsidP="003B3515">
            <w:r>
              <w:t>GOLD</w:t>
            </w:r>
          </w:p>
        </w:tc>
        <w:tc>
          <w:tcPr>
            <w:tcW w:w="0" w:type="auto"/>
          </w:tcPr>
          <w:p w14:paraId="4D4D7FF5" w14:textId="77777777" w:rsidR="00516005" w:rsidRPr="003870AB" w:rsidRDefault="00516005" w:rsidP="003B3515">
            <w:r>
              <w:t>GP Online Data</w:t>
            </w:r>
          </w:p>
        </w:tc>
      </w:tr>
      <w:tr w:rsidR="00516005" w14:paraId="770CD995" w14:textId="77777777" w:rsidTr="00296EF0">
        <w:tc>
          <w:tcPr>
            <w:tcW w:w="1413" w:type="dxa"/>
          </w:tcPr>
          <w:p w14:paraId="02A5A613" w14:textId="77777777" w:rsidR="00516005" w:rsidRDefault="00516005" w:rsidP="003B3515">
            <w:r>
              <w:t>HA</w:t>
            </w:r>
          </w:p>
        </w:tc>
        <w:tc>
          <w:tcPr>
            <w:tcW w:w="0" w:type="auto"/>
          </w:tcPr>
          <w:p w14:paraId="27E0D309" w14:textId="77777777" w:rsidR="00516005" w:rsidRPr="00A32B5D" w:rsidRDefault="00516005" w:rsidP="003B3515">
            <w:r w:rsidRPr="00A32B5D">
              <w:t>Hospital</w:t>
            </w:r>
            <w:r w:rsidR="00E05D16">
              <w:t xml:space="preserve"> </w:t>
            </w:r>
            <w:r w:rsidRPr="00A32B5D">
              <w:t>associated</w:t>
            </w:r>
          </w:p>
        </w:tc>
      </w:tr>
      <w:tr w:rsidR="00516005" w14:paraId="7047E8E6" w14:textId="77777777" w:rsidTr="00296EF0">
        <w:tc>
          <w:tcPr>
            <w:tcW w:w="1413" w:type="dxa"/>
          </w:tcPr>
          <w:p w14:paraId="43042DC1" w14:textId="77777777" w:rsidR="00516005" w:rsidRDefault="00516005" w:rsidP="003B3515">
            <w:r>
              <w:t>HES</w:t>
            </w:r>
          </w:p>
        </w:tc>
        <w:tc>
          <w:tcPr>
            <w:tcW w:w="0" w:type="auto"/>
          </w:tcPr>
          <w:p w14:paraId="125C0C13" w14:textId="77777777" w:rsidR="00516005" w:rsidRDefault="00516005" w:rsidP="003B3515">
            <w:r>
              <w:t>Hospital Episode Statistics</w:t>
            </w:r>
          </w:p>
        </w:tc>
      </w:tr>
      <w:tr w:rsidR="00484B33" w14:paraId="602C9EC8" w14:textId="77777777" w:rsidTr="00296EF0">
        <w:tc>
          <w:tcPr>
            <w:tcW w:w="1413" w:type="dxa"/>
          </w:tcPr>
          <w:p w14:paraId="11BEC202" w14:textId="77777777" w:rsidR="00484B33" w:rsidRDefault="00484B33" w:rsidP="003B3515">
            <w:r>
              <w:t>IBD</w:t>
            </w:r>
          </w:p>
        </w:tc>
        <w:tc>
          <w:tcPr>
            <w:tcW w:w="0" w:type="auto"/>
          </w:tcPr>
          <w:p w14:paraId="5E258358" w14:textId="77777777" w:rsidR="00484B33" w:rsidRDefault="00484B33" w:rsidP="003B3515">
            <w:r>
              <w:t>Inflammatory bowel disease</w:t>
            </w:r>
          </w:p>
        </w:tc>
      </w:tr>
      <w:tr w:rsidR="00484B33" w14:paraId="7A3EA22A" w14:textId="77777777" w:rsidTr="00296EF0">
        <w:tc>
          <w:tcPr>
            <w:tcW w:w="1413" w:type="dxa"/>
          </w:tcPr>
          <w:p w14:paraId="2AD45A5D" w14:textId="77777777" w:rsidR="00484B33" w:rsidRDefault="00484B33" w:rsidP="003B3515">
            <w:r>
              <w:t>ICD-10</w:t>
            </w:r>
          </w:p>
        </w:tc>
        <w:tc>
          <w:tcPr>
            <w:tcW w:w="0" w:type="auto"/>
          </w:tcPr>
          <w:p w14:paraId="2F9B775B" w14:textId="77777777" w:rsidR="00484B33" w:rsidRDefault="00484B33" w:rsidP="003B3515">
            <w:r w:rsidRPr="00D568D8">
              <w:t>I</w:t>
            </w:r>
            <w:r>
              <w:t xml:space="preserve">nternational </w:t>
            </w:r>
            <w:r w:rsidRPr="00D568D8">
              <w:t>C</w:t>
            </w:r>
            <w:r>
              <w:t xml:space="preserve">lassification of </w:t>
            </w:r>
            <w:r w:rsidRPr="00D568D8">
              <w:t>D</w:t>
            </w:r>
            <w:r>
              <w:t xml:space="preserve">iseases </w:t>
            </w:r>
            <w:r w:rsidRPr="00D568D8">
              <w:t>10</w:t>
            </w:r>
            <w:r w:rsidRPr="003E3CFD">
              <w:rPr>
                <w:vertAlign w:val="superscript"/>
              </w:rPr>
              <w:t>th</w:t>
            </w:r>
            <w:r>
              <w:t xml:space="preserve"> revision</w:t>
            </w:r>
          </w:p>
        </w:tc>
      </w:tr>
      <w:tr w:rsidR="00516005" w14:paraId="5731A84A" w14:textId="77777777" w:rsidTr="00296EF0">
        <w:tc>
          <w:tcPr>
            <w:tcW w:w="1413" w:type="dxa"/>
          </w:tcPr>
          <w:p w14:paraId="4FE029BB" w14:textId="77777777" w:rsidR="00516005" w:rsidRDefault="00516005" w:rsidP="003B3515">
            <w:r>
              <w:t>IMD</w:t>
            </w:r>
          </w:p>
        </w:tc>
        <w:tc>
          <w:tcPr>
            <w:tcW w:w="0" w:type="auto"/>
          </w:tcPr>
          <w:p w14:paraId="65ADCA2A" w14:textId="77777777" w:rsidR="00516005" w:rsidRDefault="00516005" w:rsidP="003B3515">
            <w:r>
              <w:t>Index of Multiple Deprivation</w:t>
            </w:r>
          </w:p>
        </w:tc>
      </w:tr>
      <w:tr w:rsidR="00516005" w14:paraId="749C57F2" w14:textId="77777777" w:rsidTr="00296EF0">
        <w:trPr>
          <w:trHeight w:val="403"/>
        </w:trPr>
        <w:tc>
          <w:tcPr>
            <w:tcW w:w="1413" w:type="dxa"/>
          </w:tcPr>
          <w:p w14:paraId="7D1359A5" w14:textId="77777777" w:rsidR="00516005" w:rsidRDefault="00516005" w:rsidP="003B3515">
            <w:r>
              <w:t>ONS</w:t>
            </w:r>
          </w:p>
        </w:tc>
        <w:tc>
          <w:tcPr>
            <w:tcW w:w="0" w:type="auto"/>
          </w:tcPr>
          <w:p w14:paraId="6A630AA5" w14:textId="67AAB03A" w:rsidR="009538C6" w:rsidRDefault="00516005" w:rsidP="003B3515">
            <w:r>
              <w:t xml:space="preserve">Office </w:t>
            </w:r>
            <w:r w:rsidR="00F7336C">
              <w:t>for</w:t>
            </w:r>
            <w:r w:rsidR="00C97B98">
              <w:t xml:space="preserve"> </w:t>
            </w:r>
            <w:r>
              <w:t>National Statistics</w:t>
            </w:r>
          </w:p>
        </w:tc>
      </w:tr>
    </w:tbl>
    <w:p w14:paraId="2547A3FA" w14:textId="77777777" w:rsidR="009538C6" w:rsidRDefault="009538C6" w:rsidP="00B73061">
      <w:pPr>
        <w:rPr>
          <w:b/>
          <w:caps/>
        </w:rPr>
      </w:pPr>
    </w:p>
    <w:p w14:paraId="0FEA4D80" w14:textId="77777777" w:rsidR="008A57FC" w:rsidRDefault="008A57FC" w:rsidP="008A57FC">
      <w:pPr>
        <w:rPr>
          <w:b/>
          <w:caps/>
        </w:rPr>
        <w:sectPr w:rsidR="008A57FC" w:rsidSect="008A57FC">
          <w:pgSz w:w="11906" w:h="16838"/>
          <w:pgMar w:top="1440" w:right="1440" w:bottom="1440" w:left="1440" w:header="709" w:footer="709" w:gutter="0"/>
          <w:cols w:space="708"/>
          <w:docGrid w:linePitch="360"/>
        </w:sectPr>
      </w:pPr>
    </w:p>
    <w:p w14:paraId="358DB060" w14:textId="3839792C" w:rsidR="008A57FC" w:rsidRDefault="008A57FC" w:rsidP="008A57FC">
      <w:pPr>
        <w:rPr>
          <w:b/>
          <w:caps/>
        </w:rPr>
      </w:pPr>
    </w:p>
    <w:p w14:paraId="724766A3" w14:textId="77777777" w:rsidR="008A57FC" w:rsidRDefault="008A57FC" w:rsidP="008A57FC">
      <w:pPr>
        <w:rPr>
          <w:b/>
          <w:caps/>
        </w:rPr>
      </w:pPr>
    </w:p>
    <w:p w14:paraId="2DD40D33" w14:textId="17B412F1" w:rsidR="001E4331" w:rsidRPr="003B3515" w:rsidRDefault="001E4331">
      <w:pPr>
        <w:sectPr w:rsidR="001E4331" w:rsidRPr="003B3515" w:rsidSect="003B3515">
          <w:type w:val="continuous"/>
          <w:pgSz w:w="11906" w:h="16838"/>
          <w:pgMar w:top="1440" w:right="1440" w:bottom="1440" w:left="1440" w:header="709" w:footer="709" w:gutter="0"/>
          <w:cols w:space="708"/>
          <w:docGrid w:linePitch="360"/>
        </w:sectPr>
      </w:pPr>
    </w:p>
    <w:p w14:paraId="5C286CE7" w14:textId="1828CB20" w:rsidR="00947BBA" w:rsidRDefault="00947BBA" w:rsidP="0073622B">
      <w:pPr>
        <w:pStyle w:val="Heading1"/>
        <w:spacing w:before="0" w:after="0"/>
      </w:pPr>
      <w:r w:rsidRPr="00C25695">
        <w:lastRenderedPageBreak/>
        <w:t>Introduction</w:t>
      </w:r>
      <w:r w:rsidR="00E93B66">
        <w:t xml:space="preserve"> </w:t>
      </w:r>
    </w:p>
    <w:p w14:paraId="70054225" w14:textId="77777777" w:rsidR="00B73061" w:rsidRPr="0073622B" w:rsidRDefault="00B73061" w:rsidP="003B3515"/>
    <w:p w14:paraId="3CF6544F" w14:textId="7DA39F81" w:rsidR="00F4360B" w:rsidRDefault="00CC68AF">
      <w:pPr>
        <w:autoSpaceDE w:val="0"/>
        <w:autoSpaceDN w:val="0"/>
        <w:adjustRightInd w:val="0"/>
        <w:rPr>
          <w:rFonts w:cs="Arial"/>
        </w:rPr>
      </w:pPr>
      <w:proofErr w:type="spellStart"/>
      <w:r w:rsidRPr="00456633">
        <w:rPr>
          <w:rFonts w:cs="Arial"/>
          <w:i/>
        </w:rPr>
        <w:t>Clostridioides</w:t>
      </w:r>
      <w:proofErr w:type="spellEnd"/>
      <w:r w:rsidRPr="00F4360B">
        <w:rPr>
          <w:rFonts w:cs="Arial"/>
        </w:rPr>
        <w:t xml:space="preserve"> (formerly </w:t>
      </w:r>
      <w:r w:rsidRPr="00456633">
        <w:rPr>
          <w:rFonts w:cs="Arial"/>
          <w:i/>
        </w:rPr>
        <w:t>Clostridium</w:t>
      </w:r>
      <w:r w:rsidRPr="00F4360B">
        <w:rPr>
          <w:rFonts w:cs="Arial"/>
        </w:rPr>
        <w:t xml:space="preserve">) </w:t>
      </w:r>
      <w:r w:rsidRPr="00456633">
        <w:rPr>
          <w:rFonts w:cs="Arial"/>
          <w:i/>
        </w:rPr>
        <w:t>difficile</w:t>
      </w:r>
      <w:r w:rsidR="00AC6B04" w:rsidRPr="00F4360B">
        <w:rPr>
          <w:rFonts w:cs="Arial"/>
        </w:rPr>
        <w:t xml:space="preserve"> </w:t>
      </w:r>
      <w:r w:rsidRPr="00F4360B">
        <w:rPr>
          <w:rFonts w:cs="Arial"/>
        </w:rPr>
        <w:t>is a</w:t>
      </w:r>
      <w:r w:rsidR="00796869" w:rsidRPr="00F4360B">
        <w:rPr>
          <w:rFonts w:cs="Arial"/>
        </w:rPr>
        <w:t xml:space="preserve"> </w:t>
      </w:r>
      <w:r w:rsidRPr="00F4360B">
        <w:rPr>
          <w:rFonts w:cs="Arial"/>
        </w:rPr>
        <w:t>Gram-positive</w:t>
      </w:r>
      <w:r w:rsidR="00683834" w:rsidRPr="00F4360B">
        <w:rPr>
          <w:rFonts w:cs="Arial"/>
        </w:rPr>
        <w:t>, spore</w:t>
      </w:r>
      <w:r w:rsidR="000954EE">
        <w:rPr>
          <w:rFonts w:cs="Arial"/>
        </w:rPr>
        <w:t>-</w:t>
      </w:r>
      <w:r w:rsidR="00683834" w:rsidRPr="00F4360B">
        <w:rPr>
          <w:rFonts w:cs="Arial"/>
        </w:rPr>
        <w:t>forming</w:t>
      </w:r>
      <w:r w:rsidR="003F695C">
        <w:rPr>
          <w:rFonts w:cs="Arial"/>
        </w:rPr>
        <w:t>,</w:t>
      </w:r>
      <w:r w:rsidRPr="00F4360B">
        <w:rPr>
          <w:rFonts w:cs="Arial"/>
        </w:rPr>
        <w:t xml:space="preserve"> anaerobic</w:t>
      </w:r>
      <w:r w:rsidR="00AC6B04" w:rsidRPr="00F4360B">
        <w:rPr>
          <w:rFonts w:cs="Arial"/>
        </w:rPr>
        <w:t xml:space="preserve"> </w:t>
      </w:r>
      <w:r w:rsidRPr="00F4360B">
        <w:rPr>
          <w:rFonts w:cs="Arial"/>
        </w:rPr>
        <w:t xml:space="preserve">bacillus </w:t>
      </w:r>
      <w:r w:rsidR="00F403ED" w:rsidRPr="00F4360B">
        <w:rPr>
          <w:rFonts w:cs="Arial"/>
        </w:rPr>
        <w:t>that is predominantly a no</w:t>
      </w:r>
      <w:r w:rsidR="009746F5">
        <w:rPr>
          <w:rFonts w:cs="Arial"/>
        </w:rPr>
        <w:t>s</w:t>
      </w:r>
      <w:r w:rsidR="00F403ED" w:rsidRPr="00F4360B">
        <w:rPr>
          <w:rFonts w:cs="Arial"/>
        </w:rPr>
        <w:t>o</w:t>
      </w:r>
      <w:r w:rsidR="009746F5">
        <w:rPr>
          <w:rFonts w:cs="Arial"/>
        </w:rPr>
        <w:t>c</w:t>
      </w:r>
      <w:r w:rsidR="00F403ED" w:rsidRPr="00F4360B">
        <w:rPr>
          <w:rFonts w:cs="Arial"/>
        </w:rPr>
        <w:t>omial pathogen</w:t>
      </w:r>
      <w:r w:rsidR="00C96DF9">
        <w:rPr>
          <w:rFonts w:cs="Arial"/>
        </w:rPr>
        <w:t xml:space="preserve"> </w:t>
      </w:r>
      <w:r w:rsidR="00C96DF9">
        <w:rPr>
          <w:rFonts w:cs="Arial"/>
        </w:rPr>
        <w:fldChar w:fldCharType="begin" w:fldLock="1"/>
      </w:r>
      <w:r w:rsidR="00F46F06">
        <w:rPr>
          <w:rFonts w:cs="Arial"/>
        </w:rPr>
        <w:instrText>ADDIN CSL_CITATION {"citationItems":[{"id":"ITEM-1","itemData":{"DOI":"10.3389/fcimb.2018.00029","ISSN":"22352988","abstract":"Clostridioides difficile is a Gram-positive, spore-forming, toxin-producing anaerobe, and an important nosocomial pathogen. Due to the strictly anaerobic nature of the vegetative form, spores are the main morphotype of infection and transmission of the disease. Spore formation and their subsequent germination play critical roles in C. difficile infection (CDI) progress. Under suitable conditions, C. difficile spores will germinate and outgrow to produce the pathogenic vegetative form. During CDI, C. difficile produces toxins (TcdA and TcdB) that are required to initiate the disease. Meanwhile, it also produces spores that are responsible for the persistence and recurrence of C. difficile in patients. Recent studies have shed light on the regulatory mechanisms of C. difficile sporulation and germination. This review is to summarize recent advances on the regulation of sporulation/germination in C. difficile and the corresponding therapeutic strategies that are aimed at these important processes.","author":[{"dropping-particle":"","family":"Zhu","given":"Duolong","non-dropping-particle":"","parse-names":false,"suffix":""},{"dropping-particle":"","family":"Sorg","given":"Joseph A.","non-dropping-particle":"","parse-names":false,"suffix":""},{"dropping-particle":"","family":"Sun","given":"Xingmin","non-dropping-particle":"","parse-names":false,"suffix":""}],"container-title":"Frontiers in Cellular and Infection Microbiology","id":"ITEM-1","issue":"FEB","issued":{"date-parts":[["2018"]]},"page":"1-29","title":"&lt;i&gt;Clostridioides difficile&lt;/i&gt; biology: sporulation, germination, and corresponding therapies for &lt;i&gt;C. difficile&lt;/i&gt; infection","type":"article-journal","volume":"8"},"uris":["http://www.mendeley.com/documents/?uuid=d9b13c50-0f3a-4b5f-8a32-eb65f8a43b53"]}],"mendeley":{"formattedCitation":"[1]","plainTextFormattedCitation":"[1]","previouslyFormattedCitation":"[1]"},"properties":{"noteIndex":0},"schema":"https://github.com/citation-style-language/schema/raw/master/csl-citation.json"}</w:instrText>
      </w:r>
      <w:r w:rsidR="00C96DF9">
        <w:rPr>
          <w:rFonts w:cs="Arial"/>
        </w:rPr>
        <w:fldChar w:fldCharType="separate"/>
      </w:r>
      <w:r w:rsidR="00C96DF9" w:rsidRPr="00C96DF9">
        <w:rPr>
          <w:rFonts w:cs="Arial"/>
          <w:noProof/>
        </w:rPr>
        <w:t>[1]</w:t>
      </w:r>
      <w:r w:rsidR="00C96DF9">
        <w:rPr>
          <w:rFonts w:cs="Arial"/>
        </w:rPr>
        <w:fldChar w:fldCharType="end"/>
      </w:r>
      <w:r w:rsidR="00F403ED" w:rsidRPr="00F4360B">
        <w:rPr>
          <w:rFonts w:cs="Arial"/>
        </w:rPr>
        <w:t>. Traditional risk factors for infection include older age,</w:t>
      </w:r>
      <w:r w:rsidR="00A868DE" w:rsidRPr="00F4360B">
        <w:rPr>
          <w:rFonts w:cs="Arial"/>
        </w:rPr>
        <w:t xml:space="preserve"> </w:t>
      </w:r>
      <w:r w:rsidR="00811F67" w:rsidRPr="00F4360B">
        <w:rPr>
          <w:rFonts w:cs="Arial"/>
        </w:rPr>
        <w:t>ho</w:t>
      </w:r>
      <w:r w:rsidR="00F403ED" w:rsidRPr="00F4360B">
        <w:rPr>
          <w:rFonts w:cs="Arial"/>
        </w:rPr>
        <w:t xml:space="preserve">spital </w:t>
      </w:r>
      <w:r w:rsidR="00A868DE" w:rsidRPr="00F4360B">
        <w:rPr>
          <w:rFonts w:cs="Arial"/>
        </w:rPr>
        <w:t>duration</w:t>
      </w:r>
      <w:r w:rsidR="00811F67" w:rsidRPr="00F4360B">
        <w:rPr>
          <w:rFonts w:cs="Arial"/>
        </w:rPr>
        <w:t>,</w:t>
      </w:r>
      <w:r w:rsidR="00F403ED" w:rsidRPr="00F4360B">
        <w:rPr>
          <w:rFonts w:cs="Arial"/>
        </w:rPr>
        <w:t xml:space="preserve"> prolonged use of </w:t>
      </w:r>
      <w:r w:rsidR="009C6B36" w:rsidRPr="00F4360B">
        <w:rPr>
          <w:rFonts w:cs="Arial"/>
        </w:rPr>
        <w:t>anti</w:t>
      </w:r>
      <w:r w:rsidR="008E56CB" w:rsidRPr="00F4360B">
        <w:rPr>
          <w:rFonts w:cs="Arial"/>
        </w:rPr>
        <w:t>microbial</w:t>
      </w:r>
      <w:r w:rsidR="00F403ED" w:rsidRPr="00F4360B">
        <w:rPr>
          <w:rFonts w:cs="Arial"/>
        </w:rPr>
        <w:t>s</w:t>
      </w:r>
      <w:r w:rsidR="009C6B36" w:rsidRPr="00F4360B">
        <w:rPr>
          <w:rFonts w:cs="Arial"/>
        </w:rPr>
        <w:t>,</w:t>
      </w:r>
      <w:r w:rsidR="00F13368" w:rsidRPr="00F4360B">
        <w:rPr>
          <w:rFonts w:cs="Arial"/>
        </w:rPr>
        <w:t xml:space="preserve"> </w:t>
      </w:r>
      <w:r w:rsidR="00F46F06">
        <w:rPr>
          <w:rFonts w:cs="Arial"/>
        </w:rPr>
        <w:t xml:space="preserve">and use of </w:t>
      </w:r>
      <w:r w:rsidR="009C6B36" w:rsidRPr="00F4360B">
        <w:rPr>
          <w:rFonts w:cs="Arial"/>
        </w:rPr>
        <w:t xml:space="preserve">immunosuppressive </w:t>
      </w:r>
      <w:r w:rsidR="00F46F06">
        <w:rPr>
          <w:rFonts w:cs="Arial"/>
        </w:rPr>
        <w:t>or</w:t>
      </w:r>
      <w:r w:rsidR="009C6B36" w:rsidRPr="00F4360B">
        <w:rPr>
          <w:rFonts w:cs="Arial"/>
        </w:rPr>
        <w:t xml:space="preserve"> gastric</w:t>
      </w:r>
      <w:r w:rsidR="00F46F06">
        <w:rPr>
          <w:rFonts w:cs="Arial"/>
        </w:rPr>
        <w:t>-</w:t>
      </w:r>
      <w:r w:rsidR="009C6B36" w:rsidRPr="00F4360B">
        <w:rPr>
          <w:rFonts w:cs="Arial"/>
        </w:rPr>
        <w:t>suppressive medications</w:t>
      </w:r>
      <w:r w:rsidR="00F46F06">
        <w:rPr>
          <w:rFonts w:cs="Arial"/>
        </w:rPr>
        <w:t xml:space="preserve"> </w:t>
      </w:r>
      <w:r w:rsidR="00F46F06">
        <w:rPr>
          <w:rFonts w:cs="Arial"/>
        </w:rPr>
        <w:fldChar w:fldCharType="begin" w:fldLock="1"/>
      </w:r>
      <w:r w:rsidR="002E61FD">
        <w:rPr>
          <w:rFonts w:cs="Arial"/>
        </w:rPr>
        <w:instrText>ADDIN CSL_CITATION {"citationItems":[{"id":"ITEM-1","itemData":{"DOI":"10.3389/fmicb.2018.00646","ISSN":"1664-302X (Print)","PMID":"29692762","abstract":"Clostridium difficile is the most frequent cause of nosocomial antibiotic-associated diarrhea. The incidence of C. difficile infection (CDI) has been rising worldwide with subsequent increases in morbidity, mortality, and health care costs. Asymptomatic colonization with C. difficile is common and a high prevalence has been found in specific cohorts, e.g., hospitalized patients, adults in nursing homes and in infants. However, the risk of infection with C. difficile differs significantly between these cohorts. While CDI is a clear indication for therapy, colonization with C. difficile is not believed to be a direct precursor for CDI and therefore does not require treatment. Antibiotic therapy causes alterations of the intestinal microbial composition, enabling C. difficile colonization and consecutive toxin production leading to disruption of the colonic epithelial cells. Clinical symptoms of CDI range from mild diarrhea to potentially life-threatening conditions like pseudomembranous colitis or toxic megacolon. While antibiotics are still the treatment of choice for CDI, new therapies have emerged in recent years such as antibodies against C. difficile toxin B and fecal microbial transfer (FMT). This specific therapy for CDI underscores the role of the indigenous bacterial composition in the prevention of the disease in healthy individuals and its role in the pathogenesis after alteration by antibiotic treatment. In addition to the pathogenesis of CDI, this review focuses on the colonization of C. difficile in the human gut and factors promoting CDI.","author":[{"dropping-particle":"","family":"Schäffler","given":"Holger","non-dropping-particle":"","parse-names":false,"suffix":""},{"dropping-particle":"","family":"Breitruck","given":"Anne","non-dropping-particle":"","parse-names":false,"suffix":""}],"container-title":"Frontiers in microbiology","id":"ITEM-1","issued":{"date-parts":[["2018"]]},"language":"eng","page":"646","publisher-place":"Switzerland","title":"&lt;i&gt;Clostridium difficile &lt;/i&gt; – from colonization to infection.","type":"article-journal","volume":"9"},"uris":["http://www.mendeley.com/documents/?uuid=2b292219-96f8-4a18-8924-99918c1e0370"]},{"id":"ITEM-2","itemData":{"DOI":"10.1086/651706","ISSN":"1559-6834 (Electronic)","PMID":"20307191","abstract":"Since publication of the Society for Healthcare Epidemiology of America position paper on Clostridium difficile infection in 1995, significant changes have occurred in the epidemiology and treatment of this infection. C. difficile remains the most important cause of healthcare-associated diarrhea and is increasingly important as a community pathogen. A more virulent strain of C. difficile has been identified and has been responsible for more-severe cases of disease worldwide. Data reporting the decreased effectiveness of metronidazole in the treatment of severe disease have been published. Despite the increasing quantity of data available, areas of controversy still exist. This guideline updates recommendations regarding epidemiology, diagnosis, treatment, and infection control and environmental management.","author":[{"dropping-particle":"","family":"Cohen","given":"Stuart H","non-dropping-particle":"","parse-names":false,"suffix":""},{"dropping-particle":"","family":"Gerding","given":"Dale N","non-dropping-particle":"","parse-names":false,"suffix":""},{"dropping-particle":"","family":"Johnson","given":"Stuart","non-dropping-particle":"","parse-names":false,"suffix":""},{"dropping-particle":"","family":"Kelly","given":"Ciaran P","non-dropping-particle":"","parse-names":false,"suffix":""},{"dropping-particle":"","family":"Loo","given":"Vivian G","non-dropping-particle":"","parse-names":false,"suffix":""},{"dropping-particle":"","family":"McDonald","given":"L Clifford","non-dropping-particle":"","parse-names":false,"suffix":""},{"dropping-particle":"","family":"Pepin","given":"Jacques","non-dropping-particle":"","parse-names":false,"suffix":""},{"dropping-particle":"","family":"Wilcox","given":"Mark H","non-dropping-particle":"","parse-names":false,"suffix":""}],"container-title":"Infection control and hospital epidemiology","id":"ITEM-2","issue":"5","issued":{"date-parts":[["2010","5"]]},"language":"eng","page":"431-455","publisher-place":"United States","title":"Clinical practice guidelines for &lt;i&gt;Clostridium difficile&lt;/i&gt; infection in adults: 2010 update by the Society for Healthcare Epidemiology of America (SHEA) and the Infectious Diseases Society of America (IDSA).","type":"article-journal","volume":"31"},"uris":["http://www.mendeley.com/documents/?uuid=7ce7f363-0646-4668-b0f4-6c98462c5059"]},{"id":"ITEM-3","itemData":{"DOI":"10.1097/01.aids.0000432450.37863.e9","ISBN":"0269-9370","ISSN":"02699370","PMID":"23842125","abstract":"OBJECTIVE Clostridium difficile is the most commonly reported infectious diarrhoea in HIV-infected patients in the United States. We set out to determine the incidence, risk factors and clinical presentation of C. difficile infections (CDIs) in a cohort of HIV-infected individuals. DESIGN We performed a nested, case-control analysis with four non-CDI controls randomly selected for each case. METHODS We assessed the incidence of CDI in the Johns Hopkins HIV Clinical Cohort between 1 July 2003 and 31 December 2010. Incident cases were defined as first positive C. difficile cytotoxin assay or PCR for toxin B gene. We used conditional logistic regression models to assess risk factors for CDI. We abstracted data on the clinical presentation and outcomes from case chart review. RESULTS We identified 154 incident CDI cases for an incidence of 8.3 cases per 1000 patient years. No unique clinical features of HIV-associated CDI were identified. In multivariate analysis, risk of CDI was independently increased for CD4 cell count of 50 cells/μl or less [adjusted odds ratio (AOR) 20.7, 95% confidence interval (CI) 2.8-151.4], hospital onset CDI (AOR 26.7, 95% CI 3.1-231.2) and use of clindamycin (AOR 27.6, 95% CI 2.2-339.4), fluoroquinolones (AOR 4.5, 95% CI 1.2-17.5), macrolides (AOR 6.3, 95% CI 1.8-22.1), gastric acid suppressants (AOR 3.1, 95% CI 1.4-6.9) or immunosuppressive agents (AOR 6.8, 95% CI 1.2-39.6). CONCLUSION The incidence of CDI in HIV-infected patients was twice that previously reported. Our data show that compromised cellular immunity, as defined by CD4 cell count of 50 cells/μl or less, is a risk factor for CDI. Clinicians should be aware of the increased CDI risk, particularly in those with severe CD4 cell count suppression.","author":[{"dropping-particle":"","family":"Haines","given":"Charles F.","non-dropping-particle":"","parse-names":false,"suffix":""},{"dropping-particle":"","family":"Moore","given":"Richard D.","non-dropping-particle":"","parse-names":false,"suffix":""},{"dropping-particle":"","family":"Bartlett","given":"John G.","non-dropping-particle":"","parse-names":false,"suffix":""},{"dropping-particle":"","family":"Sears","given":"Cynthia L.","non-dropping-particle":"","parse-names":false,"suffix":""},{"dropping-particle":"","family":"Cosgrove","given":"Sara E.","non-dropping-particle":"","parse-names":false,"suffix":""},{"dropping-particle":"","family":"Carroll","given":"Karen","non-dropping-particle":"","parse-names":false,"suffix":""},{"dropping-particle":"","family":"Gebo","given":"Kelly A.","non-dropping-particle":"","parse-names":false,"suffix":""}],"container-title":"AIDS","id":"ITEM-3","issue":"17","issued":{"date-parts":[["2013"]]},"page":"2799-2807","title":"&lt;i&gt;Clostridium difficile&lt;/i&gt; in a HIV-infected cohort: incidence, risk factors, and clinical outcomes","type":"article-journal","volume":"27"},"uris":["http://www.mendeley.com/documents/?uuid=74e850a2-1ae0-4982-a2eb-f8e984c92429"]},{"id":"ITEM-4","itemData":{"DOI":"10.1001/jama.294.23.2989","ISSN":"00987484","abstract":"Context: Recent reports suggest an increasing occurrence and severity of Clostridium difficile-associated disease. We assessed whether the use of gastric acid-suppressive agents is associated with an increased risk in the community. Objective: To determine whether the use of gastric acid-suppressive agents increases the risk of C difficile-associated disease in a community population. Design, Setting, and Patients: We conducted 2 population-based case-control studies using the United Kingdom General Practice Research Database (GPRD). In the first study, we identified all 1672 cases of C difficile recorded between 1994 and 2004 among all patients registered for at least 2 years in each practice. Each case was matched to 10 controls on calendar time and the general practice. In the second study, a subset of these cases defined as community-acquired, that is, not hospitalized in the prior year, were matched on practice and age with controls also not hospitalized in the prior year. Main Outcome Measures: The incidence of C difficile and risk associated with gastric acid-suppressive agent use. Results: The incidence of C difficile in patients diagnosed by their general practitioners in the General Practice Research Database increased from less than 1 case per 100 000 in 1994 to 22 per 100 000 in 2004. The adjusted rate ratio of C difficile-associated disease with current use of proton pump inhibitors was 2.9 (95% confidence interval [CI], 2.4-3.4) and with H2-receptor antagonists the rate ratio was 2.0 (95% CI, 1.6-2.7). An elevated rate was also found with the use of nonsteroidal antiinflammatory drugs (rate ratio, 1.3; 95% CI, 1.2-1.5). Conclusions: The use of acid-suppressive therapy, particularly proton pump inhibitors, is associated with an increased risk of community-acquired C difficile. The unexpected increase in risk with nonsteroidal anti-inflammatory drug use should be investigated further. ©2005 American Medical Association. All rights reserved.","author":[{"dropping-particle":"","family":"Dial","given":"Sandra","non-dropping-particle":"","parse-names":false,"suffix":""},{"dropping-particle":"","family":"Delaney","given":"J. A.C.","non-dropping-particle":"","parse-names":false,"suffix":""},{"dropping-particle":"","family":"Barkun","given":"Alan N.","non-dropping-particle":"","parse-names":false,"suffix":""},{"dropping-particle":"","family":"Suissa","given":"Samy","non-dropping-particle":"","parse-names":false,"suffix":""}],"container-title":"Journal of the American Medical Association","id":"ITEM-4","issue":"23","issued":{"date-parts":[["2005","12","21"]]},"page":"2989-2995","title":"Use of gastric acid-suppressive agents and the risk of community-acquired &lt;i&gt;Clostridium difficile&lt;/i&gt;-associated disease","type":"article-journal","volume":"294"},"uris":["http://www.mendeley.com/documents/?uuid=459aea1b-6f9d-3f77-8967-8f118e6917d0"]},{"id":"ITEM-5","itemData":{"DOI":"10.1128/JCM.00165-06","ISSN":"0095-1137","PMID":"16891493","abstract":"We prospectively studied the comparative epidemiology and risk factors for Clostridium difficile, Clostridium perfringens, and Staphylococcus aureus antibiotic-associated diarrhea (AAD). Four thousand six hundred fifty-nine inpatient fecal specimens (11 months) were tested for C. difficile cytotoxin, C. perfringens enterotoxin, and S. aureus by Vero cell assay, enzyme-linked immunosorbent assay, and growth on fresh blood agar, respectively. Two distinct age-, sex-, and location-matched control patient groups were used for multivariate logistic regression risk factor analyses: symptomatic patients who were AAD pathogen negative and asymptomatic patients with histories of recent antimicrobial therapy. All AAD pathogen isolates were DNA fingerprinted. In AAD cases, the prevalences of C. difficile cytotoxin, C. perfringens enterotoxin, and S. aureus were 12.7%, 3.3%, and 0.2%, respectively (15.8% overall). Age of &gt;70 years was a common risk factor. Other risk factors for infective AAD and C. difficile AAD included length of hospital stay and use of feeding tubes (length of stay odds ratios [OR], 1.017 and 1.012; feeding tube OR, 1.864 and 2.808). Female gender and use of antacids were significantly associated with increased risk of C. perfringens AAD (OR, 2.08 and 2.789, respectively), but unlike what was found for C. difficile AAD, specific antibiotic classes were not associated with increased risk. A limited number of genotypes caused the majority of C. difficile and C. perfringens AAD cases. Similar to what was found for C. difficile AAD, there was epidemiological evidence of C. perfringens AAD case clustering and reinfection due to different strains. C. difficile AAD was approximately 4 and 60 times more common than C. perfringens AAD and S. aureus AAD, respectively. Risk factors for these AAD pathogens differed, highlighting the need to define specific control measures. There is evidence of nosocomial transmission in cases of C. perfringens AAD.","author":[{"dropping-particle":"","family":"Asha","given":"N J","non-dropping-particle":"","parse-names":false,"suffix":""},{"dropping-particle":"","family":"Tompkins","given":"D","non-dropping-particle":"","parse-names":false,"suffix":""},{"dropping-particle":"","family":"Wilcox","given":"M H","non-dropping-particle":"","parse-names":false,"suffix":""}],"container-title":"Journal of clinical microbiology","id":"ITEM-5","issue":"8","issued":{"date-parts":[["2006","8","1"]]},"page":"2785-91","publisher":"American Society for Microbiology","title":"Comparative analysis of prevalence, risk factors, and molecular epidemiology of antibiotic-associated diarrhea due to &lt;i&gt;Clostridium difficile&lt;/i&gt;, &lt;i&gt;Clostridium perfringens&lt;/i&gt;, and &lt;i&gt;Staphylococcus aureus&lt;/i&gt;","type":"article-journal","volume":"44"},"uris":["http://www.mendeley.com/documents/?uuid=592a70b8-5818-3248-8250-bae18890b5fb"]},{"id":"ITEM-6","itemData":{"DOI":"10.1001/archinternmed.2010.89","ISSN":"00039926","PMID":"20458086","abstract":"Background: The incidence and severity of Clostridium difficile infections are increasing. Acidsuppressive therapy has been suggested as a risk factor for C difficile, but this remains controversial. Methods: We conducted a pharmacoepidemiologic cohort study, performing a secondary analysis of data collected prospectively on 101 796 discharges from a tertiary care medical center during a 5-year period. The primary exposure of interest was acid suppression therapy, classified by the most intense acid suppression therapy received (no acid suppression, histamine2-receptor antagonist [H2RA] therapy, daily proton pump inhibitor [PPI], and PPI more frequently than daily). Results: As the level of acid suppression increased, the risk of nosocomial C difficile infection increased, from 0.3% (95% confidence interval [CI], 0.21%-0.31%) in patients not receiving acid suppressive therapy to 0.6% (95% CI, 0.49%-0.79%) in those receiving H2RA therapy, to 0.9% (95% CI, 0.80%-0.98%) in those receiving daily PPI treatment, and to 1.4% (1.15%-1.71%) in those receiving more frequent PPI therapy. After adjustment for comorbid conditions, age, antibiotics, and propensity score-based likelihood of receipt of acid-suppression therapy, the association persisted, increasing from an odds ratio of 1 (no acid suppression [reference]) to 1.53 (95% CI, 1.12-2.10) (H 2RA), to 1.74 (95% CI, 1.39-2.18) (daily PPI), and to 2.36 (95% CI, 1.79-3.11) (more frequent PPI). Similar estimates were found with amatched cohort analysis and with nested case-control techniques. Conclusions: Increasing levels of pharmacologic acid suppression are associated with increased risks of nosocomial C difficile infection. This evidence of a doseresponse effect provides further support for the potentially causal nature of iatrogenic acid suppression in the development of nosocomial C difficile infection. ©2010 American Medical Association. All rights reserved.","author":[{"dropping-particle":"","family":"Howell","given":"Michael D.","non-dropping-particle":"","parse-names":false,"suffix":""},{"dropping-particle":"","family":"Novack","given":"Victor","non-dropping-particle":"","parse-names":false,"suffix":""},{"dropping-particle":"","family":"Grgurich","given":"Philip","non-dropping-particle":"","parse-names":false,"suffix":""},{"dropping-particle":"","family":"Soulliard","given":"Diane","non-dropping-particle":"","parse-names":false,"suffix":""},{"dropping-particle":"","family":"Novack","given":"Lena","non-dropping-particle":"","parse-names":false,"suffix":""},{"dropping-particle":"","family":"Pencina","given":"Michael","non-dropping-particle":"","parse-names":false,"suffix":""},{"dropping-particle":"","family":"Talmor","given":"Daniel","non-dropping-particle":"","parse-names":false,"suffix":""}],"container-title":"Archives of Internal Medicine","id":"ITEM-6","issue":"9","issued":{"date-parts":[["2010"]]},"page":"784-790","title":"Iatrogenic gastric acid suppression and the risk of nosocomial &lt;i&gt;Clostridium difficile&lt;/i&gt; infection","type":"article-journal","volume":"170"},"uris":["http://www.mendeley.com/documents/?uuid=200b4fc9-bb05-4323-a185-b96ba80f7616"]}],"mendeley":{"formattedCitation":"[2–7]","plainTextFormattedCitation":"[2–7]","previouslyFormattedCitation":"[2–7]"},"properties":{"noteIndex":0},"schema":"https://github.com/citation-style-language/schema/raw/master/csl-citation.json"}</w:instrText>
      </w:r>
      <w:r w:rsidR="00F46F06">
        <w:rPr>
          <w:rFonts w:cs="Arial"/>
        </w:rPr>
        <w:fldChar w:fldCharType="separate"/>
      </w:r>
      <w:r w:rsidR="000A6F55" w:rsidRPr="000A6F55">
        <w:rPr>
          <w:rFonts w:cs="Arial"/>
          <w:noProof/>
        </w:rPr>
        <w:t>[2–7]</w:t>
      </w:r>
      <w:r w:rsidR="00F46F06">
        <w:rPr>
          <w:rFonts w:cs="Arial"/>
        </w:rPr>
        <w:fldChar w:fldCharType="end"/>
      </w:r>
      <w:r w:rsidR="009C6B36" w:rsidRPr="00F4360B">
        <w:rPr>
          <w:rFonts w:cs="Arial"/>
        </w:rPr>
        <w:t xml:space="preserve">. </w:t>
      </w:r>
      <w:r w:rsidR="00811F67" w:rsidRPr="00F4360B">
        <w:rPr>
          <w:rFonts w:cs="Arial"/>
        </w:rPr>
        <w:t>Other secondary risk factors include a history of i</w:t>
      </w:r>
      <w:r w:rsidR="008E56CB" w:rsidRPr="00F4360B">
        <w:rPr>
          <w:rFonts w:cs="Arial"/>
        </w:rPr>
        <w:t>nflammatory bowel disease</w:t>
      </w:r>
      <w:r w:rsidR="003C686B">
        <w:rPr>
          <w:rFonts w:cs="Arial"/>
        </w:rPr>
        <w:t xml:space="preserve"> (IBD)</w:t>
      </w:r>
      <w:r w:rsidR="00811F67" w:rsidRPr="00F4360B">
        <w:rPr>
          <w:rFonts w:cs="Arial"/>
        </w:rPr>
        <w:t>, cystic fibrosis and diabetes</w:t>
      </w:r>
      <w:r w:rsidR="00D70E5C">
        <w:rPr>
          <w:rFonts w:cs="Arial"/>
        </w:rPr>
        <w:t xml:space="preserve"> </w:t>
      </w:r>
      <w:r w:rsidR="00D70E5C">
        <w:rPr>
          <w:rFonts w:cs="Arial"/>
        </w:rPr>
        <w:fldChar w:fldCharType="begin" w:fldLock="1"/>
      </w:r>
      <w:r w:rsidR="007A3410">
        <w:rPr>
          <w:rFonts w:cs="Arial"/>
        </w:rPr>
        <w:instrText>ADDIN CSL_CITATION {"citationItems":[{"id":"ITEM-1","itemData":{"DOI":"10.1097/MOG.0b013e32834bc9a9","ISSN":"02671379","abstract":"Purpose of review: The incidence and severity of Clostridium difficile infection (CDI) around the world has increased over the past 20 years due to the emergence of hypervirulent strains, increased use and misuse of antibiotics, and the increase of susceptible at-risk populations. Treatments currently available for CDI are inadequate to impede the increasing spread and virulence of the infection, avoid recurrence in chronic patients or prevent infection in at-risk populations. Recent findings: New and promising evidence has been presented during the past year, focusing on two major points: preservation of gut microflora and optimization of immune response to CDI and toxins. Summary: The review aims to summarize the most recent evidence available on the epidemiology, risk factors and treatment of CDI. New antibiotics with selected action on C. difficile and limited effect on microflora (fidaxomicin) and donor fecal transplantation seem to have a relevant efficacy in treating CDI and reducing its recurrence. The use of selected monoclonal antibodies directed against C. difficile toxins in addition to standard therapy is a new, promising approach for the treatment of recurrent cases. Vaccination could be an additional weapon against CDI. New robust data are needed before recommendations can be made to abandon current treatment based on vancomycin and metronidazole and move toward new frontiers. © 2011 Wolters Kluwer Health.","author":[{"dropping-particle":"","family":"Vecchio","given":"Andrea","non-dropping-particle":"Lo","parse-names":false,"suffix":""},{"dropping-particle":"","family":"Zacur","given":"George M.","non-dropping-particle":"","parse-names":false,"suffix":""}],"container-title":"Current Opinion in Gastroenterology","id":"ITEM-1","issue":"1","issued":{"date-parts":[["2012"]]},"page":"1-9","title":"&lt;i&gt;Clostridium difficile&lt;/i&gt; infection: An update on epidemiology, risk factors, and therapeutic options","type":"article-journal","volume":"28"},"uris":["http://www.mendeley.com/documents/?uuid=ff0a27ac-f547-43f2-bc71-bb10be870c80"]}],"mendeley":{"formattedCitation":"[8]","plainTextFormattedCitation":"[8]","previouslyFormattedCitation":"[8]"},"properties":{"noteIndex":0},"schema":"https://github.com/citation-style-language/schema/raw/master/csl-citation.json"}</w:instrText>
      </w:r>
      <w:r w:rsidR="00D70E5C">
        <w:rPr>
          <w:rFonts w:cs="Arial"/>
        </w:rPr>
        <w:fldChar w:fldCharType="separate"/>
      </w:r>
      <w:r w:rsidR="000A6F55" w:rsidRPr="000A6F55">
        <w:rPr>
          <w:rFonts w:cs="Arial"/>
          <w:noProof/>
        </w:rPr>
        <w:t>[8]</w:t>
      </w:r>
      <w:r w:rsidR="00D70E5C">
        <w:rPr>
          <w:rFonts w:cs="Arial"/>
        </w:rPr>
        <w:fldChar w:fldCharType="end"/>
      </w:r>
      <w:r w:rsidR="00811F67" w:rsidRPr="00F4360B">
        <w:rPr>
          <w:rFonts w:cs="Arial"/>
        </w:rPr>
        <w:t xml:space="preserve">. </w:t>
      </w:r>
    </w:p>
    <w:p w14:paraId="54304A88" w14:textId="77777777" w:rsidR="009A4EC6" w:rsidRDefault="009A4EC6">
      <w:pPr>
        <w:autoSpaceDE w:val="0"/>
        <w:autoSpaceDN w:val="0"/>
        <w:adjustRightInd w:val="0"/>
        <w:rPr>
          <w:rFonts w:cs="Arial"/>
        </w:rPr>
      </w:pPr>
    </w:p>
    <w:p w14:paraId="5011D98F" w14:textId="092B1094" w:rsidR="0093361A" w:rsidRDefault="00D70E5C">
      <w:pPr>
        <w:rPr>
          <w:color w:val="000000"/>
          <w:shd w:val="clear" w:color="auto" w:fill="FFFFFF"/>
        </w:rPr>
      </w:pPr>
      <w:r w:rsidRPr="00456633">
        <w:rPr>
          <w:rFonts w:cs="Arial"/>
          <w:i/>
        </w:rPr>
        <w:t>C. difficile</w:t>
      </w:r>
      <w:r>
        <w:rPr>
          <w:rFonts w:cs="Arial"/>
        </w:rPr>
        <w:t xml:space="preserve"> infection (</w:t>
      </w:r>
      <w:r w:rsidR="00256C01" w:rsidRPr="00F4360B">
        <w:rPr>
          <w:rFonts w:cs="Arial"/>
        </w:rPr>
        <w:t>CDI</w:t>
      </w:r>
      <w:r>
        <w:rPr>
          <w:rFonts w:cs="Arial"/>
        </w:rPr>
        <w:t>)</w:t>
      </w:r>
      <w:r w:rsidR="00256C01" w:rsidRPr="00F4360B">
        <w:rPr>
          <w:rFonts w:cs="Arial"/>
        </w:rPr>
        <w:t xml:space="preserve"> </w:t>
      </w:r>
      <w:r w:rsidR="00305032" w:rsidRPr="00F4360B">
        <w:rPr>
          <w:rFonts w:cs="Arial"/>
        </w:rPr>
        <w:t xml:space="preserve">is </w:t>
      </w:r>
      <w:r w:rsidR="005A4184" w:rsidRPr="00F4360B">
        <w:rPr>
          <w:rFonts w:cs="Arial"/>
        </w:rPr>
        <w:t>a</w:t>
      </w:r>
      <w:r w:rsidR="00C57FA6" w:rsidRPr="00F4360B">
        <w:rPr>
          <w:rFonts w:cs="Arial"/>
        </w:rPr>
        <w:t xml:space="preserve"> </w:t>
      </w:r>
      <w:r w:rsidR="00305032" w:rsidRPr="00F4360B">
        <w:rPr>
          <w:rFonts w:cs="Arial"/>
        </w:rPr>
        <w:t xml:space="preserve">major cause of </w:t>
      </w:r>
      <w:r w:rsidR="00C57FA6" w:rsidRPr="00F4360B">
        <w:rPr>
          <w:rFonts w:cs="Arial"/>
        </w:rPr>
        <w:t>morbidity</w:t>
      </w:r>
      <w:r w:rsidR="00305032" w:rsidRPr="00F4360B">
        <w:rPr>
          <w:rFonts w:cs="Arial"/>
        </w:rPr>
        <w:t xml:space="preserve"> and </w:t>
      </w:r>
      <w:r w:rsidR="00256C01" w:rsidRPr="00F4360B">
        <w:rPr>
          <w:rFonts w:cs="Arial"/>
        </w:rPr>
        <w:t xml:space="preserve">mortality </w:t>
      </w:r>
      <w:r w:rsidR="00BA79C3" w:rsidRPr="00F4360B">
        <w:rPr>
          <w:rFonts w:cs="Arial"/>
        </w:rPr>
        <w:t>in hospitali</w:t>
      </w:r>
      <w:r w:rsidR="0064553B">
        <w:rPr>
          <w:rFonts w:cs="Arial"/>
        </w:rPr>
        <w:t>z</w:t>
      </w:r>
      <w:r w:rsidR="00BA79C3" w:rsidRPr="00F4360B">
        <w:rPr>
          <w:rFonts w:cs="Arial"/>
        </w:rPr>
        <w:t>ed</w:t>
      </w:r>
      <w:r w:rsidR="00046287" w:rsidRPr="00F4360B">
        <w:rPr>
          <w:rFonts w:cs="Arial"/>
        </w:rPr>
        <w:t xml:space="preserve"> </w:t>
      </w:r>
      <w:r w:rsidR="00BA79C3" w:rsidRPr="00F4360B">
        <w:rPr>
          <w:rFonts w:cs="Arial"/>
        </w:rPr>
        <w:t>patients</w:t>
      </w:r>
      <w:r w:rsidR="00E53DDF" w:rsidRPr="00F4360B">
        <w:rPr>
          <w:rFonts w:cs="Arial"/>
        </w:rPr>
        <w:t xml:space="preserve"> </w:t>
      </w:r>
      <w:r w:rsidR="00E53DDF" w:rsidRPr="00F4360B">
        <w:rPr>
          <w:rFonts w:cs="Arial"/>
        </w:rPr>
        <w:fldChar w:fldCharType="begin" w:fldLock="1"/>
      </w:r>
      <w:r w:rsidR="007A3410">
        <w:rPr>
          <w:rFonts w:cs="Arial"/>
        </w:rPr>
        <w:instrText>ADDIN CSL_CITATION {"citationItems":[{"id":"ITEM-1","itemData":{"DOI":"10.1111/1469-0691.12064","ISBN":"1469-0691 (Electronic) 1198-743X (Linking)","ISSN":"1198743X","PMID":"23121549","abstract":"Clostridium difficile is the leading cause of infectious nosocomial diarrhoea in developed countries, with a measured incidence of approximately five episodes per 10 000 days of hospital stay in Europe. Accurate diagnosis of C. difficile infection (CDI) is a prerequisite for obtaining reliable epidemiological data, but in many European countries diagnosis is probably suboptimal. A significant percentage of CDI cases are missed because clinicians often fail to request tests for C. difficile toxins in cases of unexplained diarrhoea. In addition, some laboratories continue to use tests of low sensitivity or apply them inappropriately. In one study in Spain, failure to request CDI testing in more than two-thirds of patients with unexplained diarrhoea led to significant underdiagnosis of cases. A recent pan-European survey revealed huge discrepancies in the rate of CDI testing across Europe, which suggests that epidemiological reports underestimate the true incidence of CDI in many parts of Europe. This is important because, as this review of the clinical and economic burden of CDI illustrates, infection with C. difficile imposes a significant burden not only on patients, owing to increased morbidity and mortality, but also on healthcare systems and society in general. On the basis of current incidence rates, annual costs for management of CDI amount to approximately $800 million in the USA and €3000 million in Europe. Moreover, estimates suggest that costs associated with recurrent CDI can exceed those of primary CDI. Measures to more effectively prevent CDI and reduce CDI recurrence rates may help to reduce this burden.","author":[{"dropping-particle":"","family":"Bouza","given":"E.","non-dropping-particle":"","parse-names":false,"suffix":""}],"container-title":"Clinical Microbiology and Infection","id":"ITEM-1","issued":{"date-parts":[["2012"]]},"page":"5-12","title":"Consequences of &lt;i&gt;Clostridium difficile&lt;/i&gt; infection: understanding the healthcare burden","type":"article-journal","volume":"18 Suppl 6"},"uris":["http://www.mendeley.com/documents/?uuid=64fdf444-1f72-37ac-b060-8d133c1be06f"]},{"id":"ITEM-2","itemData":{"DOI":"10.1016/j.jhin.2012.02.004","ISSN":"1532-2939","PMID":"22498638","abstract":"PubMed, EMBASE and conference abstracts were reviewed systematically to determine the clinical and economic burden associated with Clostridium difficile infection (CDI) acquired and treated in European healthcare facilities. Inclusion criteria were: published in the English language between 2000 and 2010, and study population of at least 20 patients with documented CDI acquired/treated in European healthcare facilities. Data collection was completed by three unblinded reviewers using the Cochrane Handbook and PRISMA statement. The primary outcomes were mortality, recurrence, length of hospital stay (LOS) and cost related to CDI. In total, 1138 primary articles and conference abstracts were identified, and this was narrowed to 39 and 30 studies, respectively. Data were available from 14 countries, with 47% of studies from UK institutions. CDI mortality at 30 days ranged from 2% (France) to 42% (UK). Mortality rates more than doubled from 1999 to 2004, and continued to rise until 2007 when reductions were noted in the UK. Recurrent CDI varied from 1% (France) to 36% (Ireland); however, recurrence definitions varied between studies. Median LOS ranged from eight days (Belgium) to 27 days (UK). The incremental cost of CDI was £4577 in Ireland and £8843 in Germany, after standardization to 2010 prices. Country-specific estimates, weighted by sample size, ranged from 2.8% to 29.8% for 30-day mortality and from 16 to 37 days for LOS. CDI burden in Europe was most commonly described using 30-day mortality, recurrence, LOS and cost data. The continued spread of CDI and resultant healthcare burden underscores the need for judicious use of antibiotics.","author":[{"dropping-particle":"","family":"Wiegand","given":"P N","non-dropping-particle":"","parse-names":false,"suffix":""},{"dropping-particle":"","family":"Nathwani","given":"D","non-dropping-particle":"","parse-names":false,"suffix":""},{"dropping-particle":"","family":"Wilcox","given":"M H","non-dropping-particle":"","parse-names":false,"suffix":""},{"dropping-particle":"","family":"Stephens","given":"J","non-dropping-particle":"","parse-names":false,"suffix":""},{"dropping-particle":"","family":"Shelbaya","given":"A","non-dropping-particle":"","parse-names":false,"suffix":""},{"dropping-particle":"","family":"Haider","given":"S","non-dropping-particle":"","parse-names":false,"suffix":""}],"container-title":"The Journal of hospital infection","id":"ITEM-2","issue":"1","issued":{"date-parts":[["2012","5"]]},"page":"1-14","title":"Clinical and economic burden of &lt;i&gt;Clostridium difficile&lt;/i&gt; infection in Europe: a systematic review of healthcare-facility-acquired infection.","type":"article-journal","volume":"81"},"uris":["http://www.mendeley.com/documents/?uuid=ecaca9a1-99b0-3a5f-b199-83df3b128871"]}],"mendeley":{"formattedCitation":"[9,10]","plainTextFormattedCitation":"[9,10]","previouslyFormattedCitation":"[9,10]"},"properties":{"noteIndex":0},"schema":"https://github.com/citation-style-language/schema/raw/master/csl-citation.json"}</w:instrText>
      </w:r>
      <w:r w:rsidR="00E53DDF" w:rsidRPr="00F4360B">
        <w:rPr>
          <w:rFonts w:cs="Arial"/>
        </w:rPr>
        <w:fldChar w:fldCharType="separate"/>
      </w:r>
      <w:r w:rsidR="000A6F55" w:rsidRPr="000A6F55">
        <w:rPr>
          <w:rFonts w:cs="Arial"/>
          <w:noProof/>
        </w:rPr>
        <w:t>[9,10]</w:t>
      </w:r>
      <w:r w:rsidR="00E53DDF" w:rsidRPr="00F4360B">
        <w:rPr>
          <w:rFonts w:cs="Arial"/>
        </w:rPr>
        <w:fldChar w:fldCharType="end"/>
      </w:r>
      <w:r w:rsidR="00AC6B04" w:rsidRPr="00F4360B">
        <w:rPr>
          <w:rFonts w:cs="Arial"/>
        </w:rPr>
        <w:t>.</w:t>
      </w:r>
      <w:r w:rsidR="001E54D6" w:rsidRPr="00F4360B">
        <w:rPr>
          <w:rFonts w:cs="Arial"/>
        </w:rPr>
        <w:t xml:space="preserve"> Several studies have reported </w:t>
      </w:r>
      <w:r w:rsidR="00530DA0" w:rsidRPr="00F4360B">
        <w:rPr>
          <w:rFonts w:cs="Arial"/>
        </w:rPr>
        <w:t xml:space="preserve">increased </w:t>
      </w:r>
      <w:r w:rsidR="001E54D6" w:rsidRPr="00F4360B">
        <w:rPr>
          <w:rFonts w:cs="Arial"/>
        </w:rPr>
        <w:t>toxic megacolon, perforation and sepsis among patients</w:t>
      </w:r>
      <w:r w:rsidR="001E54D6" w:rsidRPr="00F4360B">
        <w:rPr>
          <w:color w:val="000000"/>
          <w:shd w:val="clear" w:color="auto" w:fill="FFFFFF"/>
        </w:rPr>
        <w:t xml:space="preserve"> with CDI</w:t>
      </w:r>
      <w:r w:rsidR="00DD2E66">
        <w:rPr>
          <w:color w:val="000000"/>
          <w:shd w:val="clear" w:color="auto" w:fill="FFFFFF"/>
        </w:rPr>
        <w:t xml:space="preserve"> </w:t>
      </w:r>
      <w:r w:rsidR="00DD2E66">
        <w:rPr>
          <w:color w:val="000000"/>
          <w:shd w:val="clear" w:color="auto" w:fill="FFFFFF"/>
        </w:rPr>
        <w:fldChar w:fldCharType="begin" w:fldLock="1"/>
      </w:r>
      <w:r w:rsidR="007A3410">
        <w:rPr>
          <w:color w:val="000000"/>
          <w:shd w:val="clear" w:color="auto" w:fill="FFFFFF"/>
        </w:rPr>
        <w:instrText>ADDIN CSL_CITATION {"citationItems":[{"id":"ITEM-1","itemData":{"DOI":"10.1086/521863","ISSN":"1058-4838","abstract":"Prompt and precise diagnosis is an important aspect of effective management of Clostridium difficile infection (CDI). CDI causes 15%-25% of all cases of antibiotic-associated diarrhea, the severity of which ranges from mild diarrhea to fulminant pseudomembranous colitis. Several factors, especially advanced age and hospitalization, should be considered in the diagnosis of CDI. In particular, nosocomial diarrhea arising &gt;72 hours after admission among patients receiving antibiotics is highly likely to have resulted from CDI. Testing of stool for the presence of C. difficile toxin confirms the diagnosis of CDI. However, performance of an enzyme immunoassay is the usual method by which CDI is confirmed, but this test appears to be relatively insensitive, compared with the cell cytotoxicity assay and stool culture for toxigenic C. difficile on selective medium. Endoscopy and computed tomography are less sensitive than stool toxin assays but may be useful when immediate results are important or other confounding conditions rank high in the differential diagnosis. Often overlooked aspects of this diagnosis are high white blood cell counts (which are sometimes in the leukemoid range) and hypoalbuminemia.","author":[{"dropping-particle":"","family":"Bartlett","given":"John G.","non-dropping-particle":"","parse-names":false,"suffix":""},{"dropping-particle":"","family":"Gerding","given":"Dale N.","non-dropping-particle":"","parse-names":false,"suffix":""}],"container-title":"Clinical Infectious Diseases","id":"ITEM-1","issue":"s1","issued":{"date-parts":[["2008"]]},"page":"S12-S18","title":"Clinical recognition and diagnosis of &lt;i&gt;Clostridium difficile&lt;/i&gt; infection","type":"article-journal","volume":"46"},"uris":["http://www.mendeley.com/documents/?uuid=001d4e0c-d631-4441-b48f-3696b3a24222"]},{"id":"ITEM-2","itemData":{"DOI":"10.1371/journal.pone.0107420","author":[{"dropping-particle":"","family":"Chakra","given":"Claire Nour Abou","non-dropping-particle":"","parse-names":false,"suffix":""},{"dropping-particle":"","family":"Pepin","given":"Jacques","non-dropping-particle":"","parse-names":false,"suffix":""},{"dropping-particle":"","family":"Sirard","given":"Stephanie","non-dropping-particle":"","parse-names":false,"suffix":""},{"dropping-particle":"","family":"Valiquette","given":"Louis","non-dropping-particle":"","parse-names":false,"suffix":""}],"container-title":"PLoS One","id":"ITEM-2","issue":"6","issued":{"date-parts":[["2014"]]},"page":"e98400","title":"Risk factors for recurrence, complications and mortality in &lt;i&gt;Clostridium difficile&lt;/i&gt; infection: a systematic review","type":"article-journal","volume":"9"},"uris":["http://www.mendeley.com/documents/?uuid=84f64aae-6b01-4160-8fc7-e58d730e2aeb"]},{"id":"ITEM-3","itemData":{"DOI":"10.1086/651706","ISSN":"1559-6834 (Electronic)","PMID":"20307191","abstract":"Since publication of the Society for Healthcare Epidemiology of America position paper on Clostridium difficile infection in 1995, significant changes have occurred in the epidemiology and treatment of this infection. C. difficile remains the most important cause of healthcare-associated diarrhea and is increasingly important as a community pathogen. A more virulent strain of C. difficile has been identified and has been responsible for more-severe cases of disease worldwide. Data reporting the decreased effectiveness of metronidazole in the treatment of severe disease have been published. Despite the increasing quantity of data available, areas of controversy still exist. This guideline updates recommendations regarding epidemiology, diagnosis, treatment, and infection control and environmental management.","author":[{"dropping-particle":"","family":"Cohen","given":"Stuart H","non-dropping-particle":"","parse-names":false,"suffix":""},{"dropping-particle":"","family":"Gerding","given":"Dale N","non-dropping-particle":"","parse-names":false,"suffix":""},{"dropping-particle":"","family":"Johnson","given":"Stuart","non-dropping-particle":"","parse-names":false,"suffix":""},{"dropping-particle":"","family":"Kelly","given":"Ciaran P","non-dropping-particle":"","parse-names":false,"suffix":""},{"dropping-particle":"","family":"Loo","given":"Vivian G","non-dropping-particle":"","parse-names":false,"suffix":""},{"dropping-particle":"","family":"McDonald","given":"L Clifford","non-dropping-particle":"","parse-names":false,"suffix":""},{"dropping-particle":"","family":"Pepin","given":"Jacques","non-dropping-particle":"","parse-names":false,"suffix":""},{"dropping-particle":"","family":"Wilcox","given":"Mark H","non-dropping-particle":"","parse-names":false,"suffix":""}],"container-title":"Infection control and hospital epidemiology","id":"ITEM-3","issue":"5","issued":{"date-parts":[["2010","5"]]},"language":"eng","page":"431-455","publisher-place":"United States","title":"Clinical practice guidelines for &lt;i&gt;Clostridium difficile&lt;/i&gt; infection in adults: 2010 update by the Society for Healthcare Epidemiology of America (SHEA) and the Infectious Diseases Society of America (IDSA).","type":"article-journal","volume":"31"},"uris":["http://www.mendeley.com/documents/?uuid=7ce7f363-0646-4668-b0f4-6c98462c5059"]},{"id":"ITEM-4","itemData":{"DOI":"10.1093/cid/cix1085","ISSN":"1058-4838","PMID":"29462280","abstract":"A panel of experts was convened by the Infectious Diseases Society of America (IDSA) and Society for Healthcare Epidemiology of America (SHEA) to update the 2010 clinical practice guideline on Clostridium difficile infection (CDI) in adults. The update, which has incorporated recommendations for children (following the adult recommendations for epidemiology, diagnosis, and treatment), includes significant changes in the management of this infection and reflects the evolving controversy over best methods for diagnosis. Clostridium difficile remains the most important cause of healthcare-associated diarrhea and has become the most commonly identified cause of healthcare-associated infection in adults in the United States. Moreover, C. difficile has established itself as an important community pathogen. Although the prevalence of the epidemic and virulent ribotype 027 strain has declined markedly along with overall CDI rates in parts of Europe, it remains one of the most commonly identified strains in the United States where it causes a sizable minority of CDIs, especially healthcare-associated CDIs. This guideline updates recommendations regarding epidemiology, diagnosis, treatment, infection prevention, and environmental management.","author":[{"dropping-particle":"","family":"McDonald","given":"L Clifford","non-dropping-particle":"","parse-names":false,"suffix":""},{"dropping-particle":"","family":"Gerding","given":"Dale N","non-dropping-particle":"","parse-names":false,"suffix":""},{"dropping-particle":"","family":"Johnson","given":"Stuart","non-dropping-particle":"","parse-names":false,"suffix":""},{"dropping-particle":"","family":"Bakken","given":"Johan S","non-dropping-particle":"","parse-names":false,"suffix":""},{"dropping-particle":"","family":"Carroll","given":"Karen C","non-dropping-particle":"","parse-names":false,"suffix":""},{"dropping-particle":"","family":"Coffin","given":"Susan E","non-dropping-particle":"","parse-names":false,"suffix":""},{"dropping-particle":"","family":"Dubberke","given":"Erik R","non-dropping-particle":"","parse-names":false,"suffix":""},{"dropping-particle":"","family":"Garey","given":"Kevin W","non-dropping-particle":"","parse-names":false,"suffix":""},{"dropping-particle":"V","family":"Gould","given":"Carolyn","non-dropping-particle":"","parse-names":false,"suffix":""},{"dropping-particle":"","family":"Kelly","given":"Ciaran","non-dropping-particle":"","parse-names":false,"suffix":""},{"dropping-particle":"","family":"Loo","given":"Vivian","non-dropping-particle":"","parse-names":false,"suffix":""},{"dropping-particle":"","family":"Shaklee Sammons","given":"Julia","non-dropping-particle":"","parse-names":false,"suffix":""},{"dropping-particle":"","family":"Sandora","given":"Thomas J","non-dropping-particle":"","parse-names":false,"suffix":""},{"dropping-particle":"","family":"Wilcox","given":"Mark H","non-dropping-particle":"","parse-names":false,"suffix":""}],"container-title":"Clinical Infectious Diseases","id":"ITEM-4","issue":"7","issued":{"date-parts":[["2018","2","15"]]},"page":"e1-e48","title":"Clinical practice guidelines for &lt;i&gt;Clostridium difficile&lt;/i&gt; infection in adults and children: 2017 update by the Infectious Diseases Society of America (IDSA) and Society for Healthcare Epidemiology of America (SHEA)","type":"article-journal","volume":"66"},"uris":["http://www.mendeley.com/documents/?uuid=b33d80df-01d9-45c3-9c0a-4b26c83d4e7d"]}],"mendeley":{"formattedCitation":"[3,11–13]","plainTextFormattedCitation":"[3,11–13]","previouslyFormattedCitation":"[3,11–13]"},"properties":{"noteIndex":0},"schema":"https://github.com/citation-style-language/schema/raw/master/csl-citation.json"}</w:instrText>
      </w:r>
      <w:r w:rsidR="00DD2E66">
        <w:rPr>
          <w:color w:val="000000"/>
          <w:shd w:val="clear" w:color="auto" w:fill="FFFFFF"/>
        </w:rPr>
        <w:fldChar w:fldCharType="separate"/>
      </w:r>
      <w:r w:rsidR="000A6F55" w:rsidRPr="000A6F55">
        <w:rPr>
          <w:noProof/>
          <w:color w:val="000000"/>
          <w:shd w:val="clear" w:color="auto" w:fill="FFFFFF"/>
        </w:rPr>
        <w:t>[3,11–13]</w:t>
      </w:r>
      <w:r w:rsidR="00DD2E66">
        <w:rPr>
          <w:color w:val="000000"/>
          <w:shd w:val="clear" w:color="auto" w:fill="FFFFFF"/>
        </w:rPr>
        <w:fldChar w:fldCharType="end"/>
      </w:r>
      <w:r w:rsidR="001E54D6" w:rsidRPr="00F4360B">
        <w:rPr>
          <w:color w:val="000000"/>
          <w:shd w:val="clear" w:color="auto" w:fill="FFFFFF"/>
        </w:rPr>
        <w:t>. S</w:t>
      </w:r>
      <w:r w:rsidR="0051617D" w:rsidRPr="00F4360B">
        <w:rPr>
          <w:color w:val="000000"/>
          <w:shd w:val="clear" w:color="auto" w:fill="FFFFFF"/>
        </w:rPr>
        <w:t>ignificantly higher risk</w:t>
      </w:r>
      <w:r w:rsidR="001E54D6" w:rsidRPr="00F4360B">
        <w:rPr>
          <w:color w:val="000000"/>
          <w:shd w:val="clear" w:color="auto" w:fill="FFFFFF"/>
        </w:rPr>
        <w:t>s</w:t>
      </w:r>
      <w:r w:rsidR="0051617D" w:rsidRPr="00F4360B">
        <w:rPr>
          <w:color w:val="000000"/>
          <w:shd w:val="clear" w:color="auto" w:fill="FFFFFF"/>
        </w:rPr>
        <w:t xml:space="preserve"> of </w:t>
      </w:r>
      <w:r w:rsidR="00AC6B04" w:rsidRPr="00F4360B">
        <w:rPr>
          <w:color w:val="000000"/>
          <w:shd w:val="clear" w:color="auto" w:fill="FFFFFF"/>
        </w:rPr>
        <w:t xml:space="preserve">all-cause </w:t>
      </w:r>
      <w:r w:rsidR="003E3EF1">
        <w:rPr>
          <w:color w:val="000000"/>
          <w:shd w:val="clear" w:color="auto" w:fill="FFFFFF"/>
        </w:rPr>
        <w:t>mortality</w:t>
      </w:r>
      <w:r w:rsidR="00F4360B">
        <w:rPr>
          <w:color w:val="000000"/>
          <w:shd w:val="clear" w:color="auto" w:fill="FFFFFF"/>
        </w:rPr>
        <w:t xml:space="preserve"> </w:t>
      </w:r>
      <w:r w:rsidR="000E57AB" w:rsidRPr="00F4360B">
        <w:rPr>
          <w:color w:val="000000"/>
          <w:shd w:val="clear" w:color="auto" w:fill="FFFFFF"/>
        </w:rPr>
        <w:t>ha</w:t>
      </w:r>
      <w:r w:rsidR="00F54B7D" w:rsidRPr="00F4360B">
        <w:rPr>
          <w:color w:val="000000"/>
          <w:shd w:val="clear" w:color="auto" w:fill="FFFFFF"/>
        </w:rPr>
        <w:t>ve</w:t>
      </w:r>
      <w:r w:rsidR="000E57AB" w:rsidRPr="00F4360B">
        <w:rPr>
          <w:color w:val="000000"/>
          <w:shd w:val="clear" w:color="auto" w:fill="FFFFFF"/>
        </w:rPr>
        <w:t xml:space="preserve"> </w:t>
      </w:r>
      <w:r w:rsidR="00417853" w:rsidRPr="00F4360B">
        <w:rPr>
          <w:color w:val="000000"/>
          <w:shd w:val="clear" w:color="auto" w:fill="FFFFFF"/>
        </w:rPr>
        <w:t xml:space="preserve">also </w:t>
      </w:r>
      <w:r w:rsidR="000E57AB" w:rsidRPr="00F4360B">
        <w:rPr>
          <w:color w:val="000000"/>
          <w:shd w:val="clear" w:color="auto" w:fill="FFFFFF"/>
        </w:rPr>
        <w:t>been</w:t>
      </w:r>
      <w:r w:rsidR="0051617D" w:rsidRPr="00F4360B">
        <w:rPr>
          <w:color w:val="000000"/>
          <w:shd w:val="clear" w:color="auto" w:fill="FFFFFF"/>
        </w:rPr>
        <w:t xml:space="preserve"> observed</w:t>
      </w:r>
      <w:r w:rsidR="001E54D6" w:rsidRPr="00F4360B">
        <w:rPr>
          <w:color w:val="000000"/>
          <w:shd w:val="clear" w:color="auto" w:fill="FFFFFF"/>
        </w:rPr>
        <w:t xml:space="preserve"> </w:t>
      </w:r>
      <w:r w:rsidR="0051617D" w:rsidRPr="00F4360B">
        <w:rPr>
          <w:color w:val="000000"/>
          <w:shd w:val="clear" w:color="auto" w:fill="FFFFFF"/>
        </w:rPr>
        <w:t>in the US</w:t>
      </w:r>
      <w:r w:rsidR="001F0CF3">
        <w:rPr>
          <w:color w:val="000000"/>
          <w:shd w:val="clear" w:color="auto" w:fill="FFFFFF"/>
        </w:rPr>
        <w:t>A</w:t>
      </w:r>
      <w:r w:rsidR="0051617D" w:rsidRPr="00F4360B">
        <w:rPr>
          <w:color w:val="000000"/>
          <w:shd w:val="clear" w:color="auto" w:fill="FFFFFF"/>
        </w:rPr>
        <w:t xml:space="preserve"> </w:t>
      </w:r>
      <w:r w:rsidR="0051617D" w:rsidRPr="00F4360B">
        <w:rPr>
          <w:color w:val="000000"/>
          <w:shd w:val="clear" w:color="auto" w:fill="FFFFFF"/>
        </w:rPr>
        <w:fldChar w:fldCharType="begin" w:fldLock="1"/>
      </w:r>
      <w:r w:rsidR="007A3410">
        <w:rPr>
          <w:color w:val="000000"/>
          <w:shd w:val="clear" w:color="auto" w:fill="FFFFFF"/>
        </w:rPr>
        <w:instrText>ADDIN CSL_CITATION {"citationItems":[{"id":"ITEM-1","itemData":{"DOI":"10.1017/ice.2018.280","ISSN":"15596834","abstract":"Objective: In this study, we aimed to quantify short-and long-term outcomes of Clostridium difficile infection (CDI) in the elderly, including all-cause mortality, transfer to a facility, and hospitalizations. Design: Retrospective study using 2011 Medicare claims data, including all elderly persons coded for CDI and a sample of uninfected persons. Analysis of propensity score-matched pairs and the entire population stratified by the propensity score was used to determine the risk of all-cause mortality, new transfer to a long-term care facility (LTCF), and short-term skilled nursing facility (SNF), and subsequent hospitalizations within 30, 90, and 365 days. Results: The claims records of 174,903 patients coded for CDI were compared with those of 1,318,538 control patients. CDI was associated with increased risk of death (odds ratio [OR], 1.77; 95% confidence interval [CI], 1.74-1.81; attributable mortality, 10.9%), new LTCF transfer (OR, 1.74; 95% CI, 1.67-1.82), and new SNF transfer (OR, 2.52; 95% CI, 2.46-2.58) within 30 days in matched-pairs analyses. In a stratified analysis, CDI was associated with greatest risk of 30-day all-cause mortality in persons with lowest baseline probability of CDI (hazard ratio [HR], 3.04; 95% CI, 2.83-3.26); the risk progressively decreased as the baseline probability of CDI increased. CDI was also associated with increased risk of subsequent 30-day, 90-day, and 1-year hospitalization. Conclusions: CDI was associated with increased risk of short-and long-term adverse outcomes, including transfer to short-and long-term care facilities, hospitalization, and all-cause mortality. The magnitude of mortality risk varied depending on baseline probability of CDI, suggesting that even lower-risk patients may benefit from interventions to prevent CDI. Clostridium difficile is the most common microorganism associated with death in persons with gastroenteritis 1,2 and the single most common organism responsible for US healthcare-associated infections. 3 Although C. difficile infection (CDI) is clearly associated with morbidity and mortality, the incremental impact of CDI on mortality is not clear. In a 2015 review of CDI outcomes, all-cause mortality ranged from 11.8% to 38%, and attributable mortality ranged from 0% to 16.7%, depending on the time frame to assess mortality, statistical methods, and whether the investigations were conducted during endemic or epidemic periods of CDI. 4 A prior review of European studies found simi…","author":[{"dropping-particle":"","family":"Olsen","given":"Margaret A.","non-dropping-particle":"","parse-names":false,"suffix":""},{"dropping-particle":"","family":"Stwalley","given":"Dustin","non-dropping-particle":"","parse-names":false,"suffix":""},{"dropping-particle":"","family":"Demont","given":"Clarisse","non-dropping-particle":"","parse-names":false,"suffix":""},{"dropping-particle":"","family":"Dubberke","given":"Erik R.","non-dropping-particle":"","parse-names":false,"suffix":""}],"container-title":"Infection Control and Hospital Epidemiology","id":"ITEM-1","issue":"1","issued":{"date-parts":[["2019"]]},"page":"65-71","title":"&lt;i&gt;Clostridium difficile&lt;/i&gt; infection increases acute and chronic morbidity and mortality","type":"article-journal","volume":"40"},"uris":["http://www.mendeley.com/documents/?uuid=86b52b45-ceac-4cc3-a414-f1fd2ee223ac"]}],"mendeley":{"formattedCitation":"[14]","plainTextFormattedCitation":"[14]","previouslyFormattedCitation":"[14]"},"properties":{"noteIndex":0},"schema":"https://github.com/citation-style-language/schema/raw/master/csl-citation.json"}</w:instrText>
      </w:r>
      <w:r w:rsidR="0051617D" w:rsidRPr="00F4360B">
        <w:rPr>
          <w:color w:val="000000"/>
          <w:shd w:val="clear" w:color="auto" w:fill="FFFFFF"/>
        </w:rPr>
        <w:fldChar w:fldCharType="separate"/>
      </w:r>
      <w:r w:rsidR="000A6F55" w:rsidRPr="000A6F55">
        <w:rPr>
          <w:noProof/>
          <w:color w:val="000000"/>
          <w:shd w:val="clear" w:color="auto" w:fill="FFFFFF"/>
        </w:rPr>
        <w:t>[14]</w:t>
      </w:r>
      <w:r w:rsidR="0051617D" w:rsidRPr="00F4360B">
        <w:rPr>
          <w:color w:val="000000"/>
          <w:shd w:val="clear" w:color="auto" w:fill="FFFFFF"/>
        </w:rPr>
        <w:fldChar w:fldCharType="end"/>
      </w:r>
      <w:r w:rsidR="0051617D" w:rsidRPr="00F4360B">
        <w:rPr>
          <w:color w:val="000000"/>
          <w:shd w:val="clear" w:color="auto" w:fill="FFFFFF"/>
        </w:rPr>
        <w:t xml:space="preserve"> and</w:t>
      </w:r>
      <w:r w:rsidR="00F54B7D" w:rsidRPr="00F4360B">
        <w:rPr>
          <w:color w:val="000000"/>
          <w:shd w:val="clear" w:color="auto" w:fill="FFFFFF"/>
        </w:rPr>
        <w:t xml:space="preserve"> </w:t>
      </w:r>
      <w:r w:rsidR="005A4184" w:rsidRPr="00F4360B">
        <w:rPr>
          <w:color w:val="000000"/>
          <w:shd w:val="clear" w:color="auto" w:fill="FFFFFF"/>
        </w:rPr>
        <w:t>Europe</w:t>
      </w:r>
      <w:r w:rsidR="00204839">
        <w:rPr>
          <w:color w:val="000000"/>
          <w:shd w:val="clear" w:color="auto" w:fill="FFFFFF"/>
        </w:rPr>
        <w:t xml:space="preserve"> </w:t>
      </w:r>
      <w:r w:rsidR="00204839">
        <w:rPr>
          <w:color w:val="000000"/>
          <w:shd w:val="clear" w:color="auto" w:fill="FFFFFF"/>
        </w:rPr>
        <w:fldChar w:fldCharType="begin" w:fldLock="1"/>
      </w:r>
      <w:r w:rsidR="002E61FD">
        <w:rPr>
          <w:color w:val="000000"/>
          <w:shd w:val="clear" w:color="auto" w:fill="FFFFFF"/>
        </w:rPr>
        <w:instrText>ADDIN CSL_CITATION {"citationItems":[{"id":"ITEM-1","itemData":{"DOI":"http://dx.doi.org/10.1016/S0140-6736(10)61266-4","author":[{"dropping-particle":"","family":"Bauer","given":"M P","non-dropping-particle":"","parse-names":false,"suffix":""},{"dropping-particle":"","family":"Notermans","given":"Daan W","non-dropping-particle":"","parse-names":false,"suffix":""},{"dropping-particle":"","family":"Benthem","given":"Birgit H","non-dropping-particle":"van","parse-names":false,"suffix":""},{"dropping-particle":"","family":"Brazier","given":"Jon S","non-dropping-particle":"","parse-names":false,"suffix":""},{"dropping-particle":"","family":"Wilcox","given":"Mark H","non-dropping-particle":"","parse-names":false,"suffix":""},{"dropping-particle":"","family":"Rupnik","given":"D L","non-dropping-particle":"","parse-names":false,"suffix":""},{"dropping-particle":"","family":"Monnet","given":"J T","non-dropping-particle":"","parse-names":false,"suffix":""},{"dropping-particle":"","family":"Dissel","given":"Jaap T","non-dropping-particle":"Van","parse-names":false,"suffix":""},{"dropping-particle":"","family":"Kuijper","given":"Ed J","non-dropping-particle":"","parse-names":false,"suffix":""}],"container-title":"Lancet","id":"ITEM-1","issue":"9759","issued":{"date-parts":[["2011"]]},"note":"NULL","page":"63-73","title":"&lt;i&gt;Clostridium difficile&lt;/i&gt; infection in Europe: a hospital-based survey","type":"article-journal","volume":"377"},"uris":["http://www.mendeley.com/documents/?uuid=731d4d54-2ed9-4616-8a24-e360a84cf032"]},{"id":"ITEM-2","itemData":{"DOI":"10.1016/j.jhin.2017.07.006","ISSN":"15322939","abstract":"Background The impact of Clostridium difficile infection (CDI) on mortality is controversial. Aim To assess excess mortality due to CDI in France. Method Two cohorts of patients with CDI and a cohort of matched controls were extracted from a 1% representative sample of subjects covered by the general health insurance system in France (Echantillon Généraliste de Bénéficiaires database, 660,000 patients). The CDI patients were hospitalized with CDI as a principal diagnosis or an associated diagnosis between 2007 and 2014, but not in 2006. Controls were patients hospitalized between 2007 and 2014 but not hospitalized with CDI between 2006 and 2014. The one-year incidence of deaths between 2007 and 2014 was estimated and compared with that of a propensity score (PS)-matched control group with no CDI (two controls per case). The PS was calculated with the following variables: age; sex; Charlson Comorbidity Index score; duration of stay; year of index stay; and main comorbidities. Cox and Poisson models were used to estimate the increased risk of death while adjusting for PS. Sensitivity analyses (timeframe, diarrhoea, recurrent hospitalization for CDI) were used to explore the robustness of the results. Findings In total, 482 patients who had been infected with C. difficile were matched with 964 controls. A significantly higher risk of death was observed among the subjects with CDI, with a non-adjusted hazard ratio of 1.65 [95% confidence interval (CI) 1.33–2.04] and an adjusted ratio of 1.58 (95% CI 1.27–1.97). The adjusted relative risk of death was 1.78 (95% CI 1.18–2.70]) at 28 days, 1.52 (95% CI 1.17–1.98) at three months, 1.52 (95% CI 1.20–1.93) at six months and 1.64 (95% CI 1.32–2.03) at 12 months. Sensitivity analyses produced similar results; the hazard ratio ranged from 1.53 to 1.86, and was always statistically significant. Conclusion CDI is responsible for excess mortality after taking age, sex, comorbidities and length of hospital stay into account.","author":[{"dropping-particle":"","family":"Barbut","given":"F.","non-dropping-particle":"","parse-names":false,"suffix":""},{"dropping-particle":"","family":"Bouée","given":"S.","non-dropping-particle":"","parse-names":false,"suffix":""},{"dropping-particle":"","family":"Longepierre","given":"L.","non-dropping-particle":"","parse-names":false,"suffix":""},{"dropping-particle":"","family":"Goldberg","given":"M.","non-dropping-particle":"","parse-names":false,"suffix":""},{"dropping-particle":"","family":"Bensoussan","given":"C.","non-dropping-particle":"","parse-names":false,"suffix":""},{"dropping-particle":"","family":"Levy-Bachelot","given":"L.","non-dropping-particle":"","parse-names":false,"suffix":""}],"container-title":"Journal of Hospital Infection","id":"ITEM-2","issue":"1","issued":{"date-parts":[["2018","1","1"]]},"page":"21-28","publisher":"W.B. Saunders Ltd","title":"Excess mortality between 2007 and 2014 among patients with &lt;i&gt;Clostridium difficile&lt;/i&gt; infection: a French health insurance database analysis","type":"article-journal","volume":"98"},"uris":["http://www.mendeley.com/documents/?uuid=d668ad3a-a8a3-3e50-9216-753fc3551380"]}],"mendeley":{"formattedCitation":"[15,16]","plainTextFormattedCitation":"[15,16]","previouslyFormattedCitation":"[15,16]"},"properties":{"noteIndex":0},"schema":"https://github.com/citation-style-language/schema/raw/master/csl-citation.json"}</w:instrText>
      </w:r>
      <w:r w:rsidR="00204839">
        <w:rPr>
          <w:color w:val="000000"/>
          <w:shd w:val="clear" w:color="auto" w:fill="FFFFFF"/>
        </w:rPr>
        <w:fldChar w:fldCharType="separate"/>
      </w:r>
      <w:r w:rsidR="000A6F55" w:rsidRPr="000A6F55">
        <w:rPr>
          <w:noProof/>
          <w:color w:val="000000"/>
          <w:shd w:val="clear" w:color="auto" w:fill="FFFFFF"/>
        </w:rPr>
        <w:t>[15,16]</w:t>
      </w:r>
      <w:r w:rsidR="00204839">
        <w:rPr>
          <w:color w:val="000000"/>
          <w:shd w:val="clear" w:color="auto" w:fill="FFFFFF"/>
        </w:rPr>
        <w:fldChar w:fldCharType="end"/>
      </w:r>
      <w:r w:rsidR="001E54D6" w:rsidRPr="00F4360B">
        <w:rPr>
          <w:color w:val="000000"/>
          <w:shd w:val="clear" w:color="auto" w:fill="FFFFFF"/>
        </w:rPr>
        <w:t>. In the UK, o</w:t>
      </w:r>
      <w:r w:rsidR="00305032" w:rsidRPr="00F4360B">
        <w:rPr>
          <w:color w:val="000000"/>
          <w:shd w:val="clear" w:color="auto" w:fill="FFFFFF"/>
        </w:rPr>
        <w:t>ne s</w:t>
      </w:r>
      <w:r w:rsidR="00A42558" w:rsidRPr="00F4360B">
        <w:rPr>
          <w:color w:val="000000"/>
          <w:shd w:val="clear" w:color="auto" w:fill="FFFFFF"/>
        </w:rPr>
        <w:t xml:space="preserve">tudy using surveillance </w:t>
      </w:r>
      <w:r w:rsidR="00AF77B7" w:rsidRPr="00F4360B">
        <w:rPr>
          <w:color w:val="000000"/>
          <w:shd w:val="clear" w:color="auto" w:fill="FFFFFF"/>
        </w:rPr>
        <w:t>data</w:t>
      </w:r>
      <w:r w:rsidR="00A42558" w:rsidRPr="00F4360B">
        <w:rPr>
          <w:color w:val="000000"/>
          <w:shd w:val="clear" w:color="auto" w:fill="FFFFFF"/>
        </w:rPr>
        <w:t xml:space="preserve"> </w:t>
      </w:r>
      <w:r w:rsidR="000853BB" w:rsidRPr="00F4360B">
        <w:rPr>
          <w:color w:val="000000"/>
          <w:shd w:val="clear" w:color="auto" w:fill="FFFFFF"/>
        </w:rPr>
        <w:t>from</w:t>
      </w:r>
      <w:r w:rsidR="00D21F09" w:rsidRPr="00F4360B">
        <w:rPr>
          <w:color w:val="000000"/>
          <w:shd w:val="clear" w:color="auto" w:fill="FFFFFF"/>
        </w:rPr>
        <w:t xml:space="preserve"> Scotland </w:t>
      </w:r>
      <w:r w:rsidR="000853BB" w:rsidRPr="00F4360B">
        <w:rPr>
          <w:color w:val="000000"/>
          <w:shd w:val="clear" w:color="auto" w:fill="FFFFFF"/>
        </w:rPr>
        <w:t xml:space="preserve">estimated </w:t>
      </w:r>
      <w:r w:rsidR="00D21F09" w:rsidRPr="00F4360B">
        <w:rPr>
          <w:color w:val="000000"/>
          <w:shd w:val="clear" w:color="auto" w:fill="FFFFFF"/>
        </w:rPr>
        <w:t>a</w:t>
      </w:r>
      <w:r w:rsidR="00A42558" w:rsidRPr="00F4360B">
        <w:rPr>
          <w:color w:val="000000"/>
          <w:shd w:val="clear" w:color="auto" w:fill="FFFFFF"/>
        </w:rPr>
        <w:t>n</w:t>
      </w:r>
      <w:r w:rsidR="00042CF9" w:rsidRPr="00F4360B">
        <w:rPr>
          <w:color w:val="000000"/>
          <w:shd w:val="clear" w:color="auto" w:fill="FFFFFF"/>
        </w:rPr>
        <w:t xml:space="preserve"> </w:t>
      </w:r>
      <w:r w:rsidR="00A42558" w:rsidRPr="00F4360B">
        <w:rPr>
          <w:color w:val="000000"/>
          <w:shd w:val="clear" w:color="auto" w:fill="FFFFFF"/>
        </w:rPr>
        <w:t>almost three</w:t>
      </w:r>
      <w:r w:rsidR="00042CF9" w:rsidRPr="00F4360B">
        <w:rPr>
          <w:color w:val="000000"/>
          <w:shd w:val="clear" w:color="auto" w:fill="FFFFFF"/>
        </w:rPr>
        <w:t>-</w:t>
      </w:r>
      <w:r w:rsidR="00D21F09" w:rsidRPr="00F4360B">
        <w:rPr>
          <w:color w:val="000000"/>
          <w:shd w:val="clear" w:color="auto" w:fill="FFFFFF"/>
        </w:rPr>
        <w:t xml:space="preserve">fold increase in 30-day </w:t>
      </w:r>
      <w:r w:rsidR="004A5EA8" w:rsidRPr="00F4360B">
        <w:rPr>
          <w:color w:val="000000"/>
          <w:shd w:val="clear" w:color="auto" w:fill="FFFFFF"/>
        </w:rPr>
        <w:t>mortality</w:t>
      </w:r>
      <w:r w:rsidR="00530DA0" w:rsidRPr="00F4360B">
        <w:rPr>
          <w:color w:val="000000"/>
          <w:shd w:val="clear" w:color="auto" w:fill="FFFFFF"/>
        </w:rPr>
        <w:t xml:space="preserve"> </w:t>
      </w:r>
      <w:r w:rsidR="0093361A" w:rsidRPr="00F4360B">
        <w:rPr>
          <w:color w:val="000000"/>
          <w:shd w:val="clear" w:color="auto" w:fill="FFFFFF"/>
        </w:rPr>
        <w:fldChar w:fldCharType="begin" w:fldLock="1"/>
      </w:r>
      <w:r w:rsidR="007A3410">
        <w:rPr>
          <w:color w:val="000000"/>
          <w:shd w:val="clear" w:color="auto" w:fill="FFFFFF"/>
        </w:rPr>
        <w:instrText>ADDIN CSL_CITATION {"citationItems":[{"id":"ITEM-1","itemData":{"DOI":"10.1016/j.jhin.2018.07.023","ISSN":"1532-2939","PMID":"30055220","abstract":"BACKGROUND National surveillance of Clostridium difficile infection (CDI) in Scotland enables the monitoring of trends in incidence rates but not mortality. AIM To assess factors associated with mortality for all CDI cases aged ≥15 years in Scotland between 2010 and 2016. METHODS All CDI cases aged ≥15 years in Scotland between 2010 and 2016 were linked to hospital admission and mortality datasets. Logistic regression was used to assess factors associated with mortality (30-day all-cause). A case-control study of a hospitalized subset of cases and matched hospitalized controls assessed the impact of CDI on mortality and length of stay. FINDINGS Thirty-day all-cause mortality decreased over the seven-year period (from 20.5% to 15.6%; P &lt; 0.001), mainly among healthcare-associated CDI (HA-CDI). Increased age, higher Charlson score, HA-CDI, as well as liver, heart and malignancy comorbidities were associated with higher mortality. No association was observed between polymerase chain reaction ribotype and higher mortality, though 015 and 078 were associated with lower mortality. Adjusted odds ratio (OR) for 30-day mortality in hospitalized CDI cases compared to controls was 2.67 (95% confidence interval (CI): 2.42-2.94; P &lt; 0.001). Whereas mortality declined over time in cases and controls, the trend in ORs remained relatively stable. Having CDI increased additional mean length of stay beyond infection by 22.3% (95% CI: 18.0-26.8%; P &lt; 0.001). CONCLUSION CDI is associated with an almost three-fold increase in 30-day mortality and places an increased burden on hospital resources by increasing mean LOS beyond the infection date by 22.3%. The decreasing CDI mortality trends may be due to overall improvements in mortality among the general and hospital population of Scotland. Therefore, despite large declines in incidence rates, CDI remains a serious healthcare problem.","author":[{"dropping-particle":"","family":"Banks","given":"A","non-dropping-particle":"","parse-names":false,"suffix":""},{"dropping-particle":"","family":"Moore","given":"E K","non-dropping-particle":"","parse-names":false,"suffix":""},{"dropping-particle":"","family":"Bishop","given":"J","non-dropping-particle":"","parse-names":false,"suffix":""},{"dropping-particle":"","family":"Coia","given":"J E","non-dropping-particle":"","parse-names":false,"suffix":""},{"dropping-particle":"","family":"Brown","given":"D","non-dropping-particle":"","parse-names":false,"suffix":""},{"dropping-particle":"","family":"Mather","given":"H","non-dropping-particle":"","parse-names":false,"suffix":""},{"dropping-particle":"","family":"Wiuff","given":"C","non-dropping-particle":"","parse-names":false,"suffix":""}],"container-title":"The Journal of hospital infection","id":"ITEM-1","issue":"2","issued":{"date-parts":[["2018","10","1"]]},"page":"133-141","publisher":"Elsevier","title":"Trends in mortality following &lt;i&gt;Clostridium difficile&lt;/i&gt; infection in Scotland, 2010-2016: a retrospective cohort and case-control study.","type":"article-journal","volume":"100"},"uris":["http://www.mendeley.com/documents/?uuid=888066f2-77f9-36bb-b6bc-5cabe5d5bc63"]}],"mendeley":{"formattedCitation":"[17]","plainTextFormattedCitation":"[17]","previouslyFormattedCitation":"[17]"},"properties":{"noteIndex":0},"schema":"https://github.com/citation-style-language/schema/raw/master/csl-citation.json"}</w:instrText>
      </w:r>
      <w:r w:rsidR="0093361A" w:rsidRPr="00F4360B">
        <w:rPr>
          <w:color w:val="000000"/>
          <w:shd w:val="clear" w:color="auto" w:fill="FFFFFF"/>
        </w:rPr>
        <w:fldChar w:fldCharType="separate"/>
      </w:r>
      <w:r w:rsidR="000A6F55" w:rsidRPr="000A6F55">
        <w:rPr>
          <w:noProof/>
          <w:color w:val="000000"/>
          <w:shd w:val="clear" w:color="auto" w:fill="FFFFFF"/>
        </w:rPr>
        <w:t>[17]</w:t>
      </w:r>
      <w:r w:rsidR="0093361A" w:rsidRPr="00F4360B">
        <w:rPr>
          <w:color w:val="000000"/>
          <w:shd w:val="clear" w:color="auto" w:fill="FFFFFF"/>
        </w:rPr>
        <w:fldChar w:fldCharType="end"/>
      </w:r>
      <w:r w:rsidR="002C10F7" w:rsidRPr="00F4360B">
        <w:rPr>
          <w:color w:val="000000"/>
          <w:shd w:val="clear" w:color="auto" w:fill="FFFFFF"/>
        </w:rPr>
        <w:t xml:space="preserve"> and</w:t>
      </w:r>
      <w:r w:rsidR="00417853" w:rsidRPr="00F4360B">
        <w:rPr>
          <w:color w:val="000000"/>
          <w:shd w:val="clear" w:color="auto" w:fill="FFFFFF"/>
        </w:rPr>
        <w:t xml:space="preserve"> another</w:t>
      </w:r>
      <w:r w:rsidR="002C10F7" w:rsidRPr="00F4360B">
        <w:rPr>
          <w:color w:val="000000"/>
          <w:shd w:val="clear" w:color="auto" w:fill="FFFFFF"/>
        </w:rPr>
        <w:t xml:space="preserve"> </w:t>
      </w:r>
      <w:r w:rsidR="00106B09" w:rsidRPr="00F4360B">
        <w:rPr>
          <w:color w:val="000000"/>
          <w:shd w:val="clear" w:color="auto" w:fill="FFFFFF"/>
        </w:rPr>
        <w:t xml:space="preserve">reported a 50% increased risk of death </w:t>
      </w:r>
      <w:r w:rsidR="00DC3F5C">
        <w:rPr>
          <w:color w:val="000000"/>
          <w:shd w:val="clear" w:color="auto" w:fill="FFFFFF"/>
        </w:rPr>
        <w:t xml:space="preserve">up to </w:t>
      </w:r>
      <w:r w:rsidR="00106B09" w:rsidRPr="00AF7A3C">
        <w:rPr>
          <w:color w:val="000000"/>
          <w:shd w:val="clear" w:color="auto" w:fill="FFFFFF"/>
        </w:rPr>
        <w:t>5</w:t>
      </w:r>
      <w:r w:rsidR="00DC3F5C">
        <w:rPr>
          <w:rFonts w:cs="Arial"/>
          <w:color w:val="000000"/>
          <w:shd w:val="clear" w:color="auto" w:fill="FFFFFF"/>
        </w:rPr>
        <w:t>–</w:t>
      </w:r>
      <w:r w:rsidR="00106B09" w:rsidRPr="00AF7A3C">
        <w:rPr>
          <w:color w:val="000000"/>
          <w:shd w:val="clear" w:color="auto" w:fill="FFFFFF"/>
        </w:rPr>
        <w:t xml:space="preserve">8 years </w:t>
      </w:r>
      <w:r w:rsidR="00DC3F5C">
        <w:rPr>
          <w:color w:val="000000"/>
          <w:shd w:val="clear" w:color="auto" w:fill="FFFFFF"/>
        </w:rPr>
        <w:t xml:space="preserve">after hospital admission </w:t>
      </w:r>
      <w:r w:rsidR="00417853">
        <w:rPr>
          <w:color w:val="000000"/>
          <w:shd w:val="clear" w:color="auto" w:fill="FFFFFF"/>
        </w:rPr>
        <w:t xml:space="preserve">among patients </w:t>
      </w:r>
      <w:r w:rsidR="00DC3F5C">
        <w:rPr>
          <w:color w:val="000000"/>
          <w:shd w:val="clear" w:color="auto" w:fill="FFFFFF"/>
        </w:rPr>
        <w:t xml:space="preserve">with CDI </w:t>
      </w:r>
      <w:r w:rsidR="00106B09" w:rsidRPr="00AF7A3C">
        <w:rPr>
          <w:color w:val="000000"/>
          <w:shd w:val="clear" w:color="auto" w:fill="FFFFFF"/>
        </w:rPr>
        <w:t xml:space="preserve">at </w:t>
      </w:r>
      <w:r w:rsidR="00530DA0" w:rsidRPr="00AF7A3C">
        <w:rPr>
          <w:color w:val="000000"/>
          <w:shd w:val="clear" w:color="auto" w:fill="FFFFFF"/>
        </w:rPr>
        <w:t>an</w:t>
      </w:r>
      <w:r w:rsidR="004957F3" w:rsidRPr="00AF7A3C">
        <w:rPr>
          <w:color w:val="000000"/>
          <w:shd w:val="clear" w:color="auto" w:fill="FFFFFF"/>
        </w:rPr>
        <w:t xml:space="preserve"> </w:t>
      </w:r>
      <w:r w:rsidR="000E57AB" w:rsidRPr="00AF7A3C">
        <w:rPr>
          <w:color w:val="000000"/>
          <w:shd w:val="clear" w:color="auto" w:fill="FFFFFF"/>
        </w:rPr>
        <w:t>English</w:t>
      </w:r>
      <w:r w:rsidR="00106B09" w:rsidRPr="00AF7A3C">
        <w:rPr>
          <w:color w:val="000000"/>
          <w:shd w:val="clear" w:color="auto" w:fill="FFFFFF"/>
        </w:rPr>
        <w:t xml:space="preserve"> teaching hospital</w:t>
      </w:r>
      <w:r w:rsidR="00DC3F5C">
        <w:rPr>
          <w:color w:val="000000"/>
          <w:shd w:val="clear" w:color="auto" w:fill="FFFFFF"/>
        </w:rPr>
        <w:t xml:space="preserve"> </w:t>
      </w:r>
      <w:r w:rsidR="00DC3F5C">
        <w:rPr>
          <w:color w:val="000000"/>
          <w:shd w:val="clear" w:color="auto" w:fill="FFFFFF"/>
        </w:rPr>
        <w:fldChar w:fldCharType="begin" w:fldLock="1"/>
      </w:r>
      <w:r w:rsidR="00182FED">
        <w:rPr>
          <w:color w:val="000000"/>
          <w:shd w:val="clear" w:color="auto" w:fill="FFFFFF"/>
        </w:rPr>
        <w:instrText>ADDIN CSL_CITATION {"citationItems":[{"id":"ITEM-1","itemData":{"DOI":"10.1371/journal.pone.0149983","ISSN":"19326203","abstract":"Methods: We compared time from hospital admission to death in a probability sample of 100 Clostridium difficile infected cases and a probability sample of 98 non-cases admitted to an English teaching hospital between 2005 and 2007 with follow up in the UK national death register using survival analysis. Results: Clostridium difficile infection was associated with a 50% increased risk of death (Hazard Ratio 1.51 (95% CI: 1.05-2.19 p = 0.03) at between five to eight years in Cox Regression analysis adjusting for age, sex, Charlson comorbidity index, diagnosis of a malignant condition and insertion of a nasogastric tube during admission. Acquisition of Clostridium difficile infection was independently associated with an almost six fold higher odds of being admitted with a diagnosis of infection of any other type (OR 5.79 (2.19,15.25) p&lt;0.001). Conclusions: Our results strongly support continued priority being given to improve prevention and treatment of Clostridium difficile infection in the English National Health Service particularly in patients admitted with an infection. Our results may be applicable to other health systems.","author":[{"dropping-particle":"","family":"Reacher","given":"Mark","non-dropping-particle":"","parse-names":false,"suffix":""},{"dropping-particle":"","family":"Verlander","given":"Neville Q.","non-dropping-particle":"","parse-names":false,"suffix":""},{"dropping-particle":"","family":"Roddick","given":"Iain","non-dropping-particle":"","parse-names":false,"suffix":""},{"dropping-particle":"","family":"Trundle","given":"Cheryl","non-dropping-particle":"","parse-names":false,"suffix":""},{"dropping-particle":"","family":"Brown","given":"Nicholas","non-dropping-particle":"","parse-names":false,"suffix":""},{"dropping-particle":"","family":"Farrington","given":"Mark","non-dropping-particle":"","parse-names":false,"suffix":""},{"dropping-particle":"","family":"Jones","given":"Philip","non-dropping-particle":"","parse-names":false,"suffix":""}],"container-title":"PLoS ONE","id":"ITEM-1","issue":"3","issued":{"date-parts":[["2016"]]},"page":"1-23","title":"Excess mortality attributable to &lt;i&gt;Clostridium difficile&lt;/i&gt; and risk factors for infection in an historic cohort of hospitalised patients followed up in the United Kingdom death register","type":"article-journal","volume":"11"},"uris":["http://www.mendeley.com/documents/?uuid=0da65ed3-d058-45a0-a9c1-815b803a8dc7"]}],"mendeley":{"formattedCitation":"[18]","plainTextFormattedCitation":"[18]","previouslyFormattedCitation":"[18]"},"properties":{"noteIndex":0},"schema":"https://github.com/citation-style-language/schema/raw/master/csl-citation.json"}</w:instrText>
      </w:r>
      <w:r w:rsidR="00DC3F5C">
        <w:rPr>
          <w:color w:val="000000"/>
          <w:shd w:val="clear" w:color="auto" w:fill="FFFFFF"/>
        </w:rPr>
        <w:fldChar w:fldCharType="separate"/>
      </w:r>
      <w:r w:rsidR="000A6F55" w:rsidRPr="000A6F55">
        <w:rPr>
          <w:noProof/>
          <w:color w:val="000000"/>
          <w:shd w:val="clear" w:color="auto" w:fill="FFFFFF"/>
        </w:rPr>
        <w:t>[18]</w:t>
      </w:r>
      <w:r w:rsidR="00DC3F5C">
        <w:rPr>
          <w:color w:val="000000"/>
          <w:shd w:val="clear" w:color="auto" w:fill="FFFFFF"/>
        </w:rPr>
        <w:fldChar w:fldCharType="end"/>
      </w:r>
      <w:r w:rsidR="00BC056F" w:rsidRPr="00AF7A3C">
        <w:rPr>
          <w:color w:val="000000"/>
          <w:shd w:val="clear" w:color="auto" w:fill="FFFFFF"/>
        </w:rPr>
        <w:t>.</w:t>
      </w:r>
      <w:r w:rsidR="00C94200" w:rsidRPr="00AF7A3C">
        <w:rPr>
          <w:color w:val="000000"/>
          <w:shd w:val="clear" w:color="auto" w:fill="FFFFFF"/>
        </w:rPr>
        <w:t xml:space="preserve"> </w:t>
      </w:r>
      <w:r w:rsidR="009A2F99">
        <w:rPr>
          <w:color w:val="000000"/>
          <w:shd w:val="clear" w:color="auto" w:fill="FFFFFF"/>
        </w:rPr>
        <w:t xml:space="preserve">The incidence of </w:t>
      </w:r>
      <w:r w:rsidR="00E74E64" w:rsidRPr="00AF7A3C">
        <w:rPr>
          <w:color w:val="000000"/>
          <w:shd w:val="clear" w:color="auto" w:fill="FFFFFF"/>
        </w:rPr>
        <w:t>CDI</w:t>
      </w:r>
      <w:r w:rsidR="002F44AE" w:rsidRPr="00AF7A3C">
        <w:rPr>
          <w:color w:val="000000"/>
          <w:shd w:val="clear" w:color="auto" w:fill="FFFFFF"/>
        </w:rPr>
        <w:t xml:space="preserve"> </w:t>
      </w:r>
      <w:r w:rsidR="00B02290">
        <w:rPr>
          <w:color w:val="000000"/>
          <w:shd w:val="clear" w:color="auto" w:fill="FFFFFF"/>
        </w:rPr>
        <w:t>r</w:t>
      </w:r>
      <w:r w:rsidR="00B02290" w:rsidRPr="000C05A9">
        <w:rPr>
          <w:color w:val="000000"/>
          <w:shd w:val="clear" w:color="auto" w:fill="FFFFFF"/>
        </w:rPr>
        <w:t>ecurren</w:t>
      </w:r>
      <w:r w:rsidR="00B02290">
        <w:rPr>
          <w:color w:val="000000"/>
          <w:shd w:val="clear" w:color="auto" w:fill="FFFFFF"/>
        </w:rPr>
        <w:t>ce</w:t>
      </w:r>
      <w:r w:rsidR="00B02290" w:rsidRPr="000C05A9">
        <w:rPr>
          <w:color w:val="000000"/>
          <w:shd w:val="clear" w:color="auto" w:fill="FFFFFF"/>
        </w:rPr>
        <w:t xml:space="preserve"> </w:t>
      </w:r>
      <w:r w:rsidR="00F4360B">
        <w:rPr>
          <w:color w:val="000000"/>
          <w:shd w:val="clear" w:color="auto" w:fill="FFFFFF"/>
        </w:rPr>
        <w:t>range</w:t>
      </w:r>
      <w:r w:rsidR="00F732DC">
        <w:rPr>
          <w:color w:val="000000"/>
          <w:shd w:val="clear" w:color="auto" w:fill="FFFFFF"/>
        </w:rPr>
        <w:t>s</w:t>
      </w:r>
      <w:r w:rsidR="002F44AE">
        <w:rPr>
          <w:rFonts w:cs="Arial"/>
        </w:rPr>
        <w:t xml:space="preserve"> </w:t>
      </w:r>
      <w:r w:rsidR="00F732DC">
        <w:rPr>
          <w:rFonts w:cs="Arial"/>
        </w:rPr>
        <w:t>from</w:t>
      </w:r>
      <w:r w:rsidR="002F44AE">
        <w:rPr>
          <w:rFonts w:cs="Arial"/>
        </w:rPr>
        <w:t xml:space="preserve"> 11</w:t>
      </w:r>
      <w:r w:rsidR="00F732DC">
        <w:rPr>
          <w:rFonts w:cs="Arial"/>
        </w:rPr>
        <w:t xml:space="preserve">% to </w:t>
      </w:r>
      <w:r w:rsidR="002F44AE">
        <w:rPr>
          <w:rFonts w:cs="Arial"/>
        </w:rPr>
        <w:t>33%</w:t>
      </w:r>
      <w:r w:rsidR="00F732DC">
        <w:rPr>
          <w:rFonts w:cs="Arial"/>
        </w:rPr>
        <w:t xml:space="preserve">, and </w:t>
      </w:r>
      <w:r w:rsidR="001F5BDE">
        <w:rPr>
          <w:rFonts w:cs="Arial"/>
        </w:rPr>
        <w:t xml:space="preserve">recurrence </w:t>
      </w:r>
      <w:r w:rsidR="00E74E64" w:rsidRPr="002F44AE">
        <w:rPr>
          <w:rFonts w:cs="Arial"/>
        </w:rPr>
        <w:t xml:space="preserve">is </w:t>
      </w:r>
      <w:r w:rsidR="00E74E64">
        <w:rPr>
          <w:rFonts w:cs="Arial"/>
        </w:rPr>
        <w:t xml:space="preserve">also associated </w:t>
      </w:r>
      <w:r w:rsidR="00B02290">
        <w:rPr>
          <w:rFonts w:cs="Arial"/>
        </w:rPr>
        <w:t xml:space="preserve">with </w:t>
      </w:r>
      <w:r w:rsidR="00514DB4" w:rsidRPr="004A5EA8">
        <w:rPr>
          <w:rFonts w:cs="Arial"/>
        </w:rPr>
        <w:t>high</w:t>
      </w:r>
      <w:r w:rsidR="003C0293">
        <w:rPr>
          <w:rFonts w:cs="Arial"/>
        </w:rPr>
        <w:t>er</w:t>
      </w:r>
      <w:r w:rsidR="00514DB4" w:rsidRPr="004A5EA8">
        <w:rPr>
          <w:rFonts w:cs="Arial"/>
        </w:rPr>
        <w:t xml:space="preserve"> </w:t>
      </w:r>
      <w:r w:rsidR="002F44AE">
        <w:rPr>
          <w:rFonts w:cs="Arial"/>
        </w:rPr>
        <w:t>patient</w:t>
      </w:r>
      <w:r w:rsidR="00D832F9" w:rsidRPr="004A5EA8">
        <w:rPr>
          <w:rFonts w:cs="Arial"/>
        </w:rPr>
        <w:t xml:space="preserve"> mortality</w:t>
      </w:r>
      <w:r w:rsidR="003C0293">
        <w:rPr>
          <w:rFonts w:cs="Arial"/>
        </w:rPr>
        <w:t xml:space="preserve"> and complication</w:t>
      </w:r>
      <w:r w:rsidR="000E57AB">
        <w:rPr>
          <w:rFonts w:cs="Arial"/>
        </w:rPr>
        <w:t xml:space="preserve"> </w:t>
      </w:r>
      <w:r w:rsidR="003C0293">
        <w:rPr>
          <w:rFonts w:cs="Arial"/>
        </w:rPr>
        <w:t>rates</w:t>
      </w:r>
      <w:r w:rsidR="00F01BF1">
        <w:rPr>
          <w:rFonts w:cs="Arial"/>
        </w:rPr>
        <w:t xml:space="preserve"> </w:t>
      </w:r>
      <w:r w:rsidR="001F5BDE">
        <w:rPr>
          <w:rFonts w:cs="Arial"/>
        </w:rPr>
        <w:fldChar w:fldCharType="begin" w:fldLock="1"/>
      </w:r>
      <w:r w:rsidR="00DF0F2E">
        <w:rPr>
          <w:rFonts w:cs="Arial"/>
        </w:rPr>
        <w:instrText>ADDIN CSL_CITATION {"citationItems":[{"id":"ITEM-1","itemData":{"DOI":"10.1017/ice.2016.232","ISSN":"1559-6834 (Electronic)","PMID":"27760583","abstract":"BACKGROUND Considerable efforts have been dedicated to developing strategies to prevent and treat recurrent Clostridium difficile infection (rCDI); however, evidence of the impact of rCDI on patient healthcare utilization and outcomes is limited. OBJECTIVE To compare healthcare utilization and 1-year mortality among adults who had rCDI, nonrecurrent CDI, or no CDI. METHODS We performed a nested case-control study among adult Kaiser Foundation Health Plan members from September 1, 2001, through December 31, 2013. We identified CDI through the presence of a positive laboratory test result and divided patients into 3 groups: patients with rCDI, defined as CDI in the 14-57 days after initial CDI; patients with nonrecurrent CDI; and patients who never had CDI. We conducted 3 matched comparisons: (1) rCDI vs no CDI; (2) rCDI vs nonrecurrent CDI; (3) nonrecurrent CDI vs no CDI. We followed patients for 1 year and compared healthcare utilization between groups, after matching patients on age, sex, and comorbidity. RESULTS We found that patients with rCDI consistently have substantially higher levels of healthcare utilization in various settings and greater 1-year mortality risk than both patients who had nonrecurrent CDI and patients who never had CDI. CONCLUSIONS Patients who develop an initial CDI are generally characterized by excess underlying, severe illness and utilization. However, patients with rCDI experience even greater adverse consequences of their disease than patients who do not experience rCDI. Our results further support the need for continued emphasis on identifying and using novel approaches to prevent and treat rCDI. Infect Control Hosp Epidemiol. 2016;1-8.","author":[{"dropping-particle":"","family":"Kuntz","given":"Jennifer L","non-dropping-particle":"","parse-names":false,"suffix":""},{"dropping-particle":"","family":"Baker","given":"Jennifer M","non-dropping-particle":"","parse-names":false,"suffix":""},{"dropping-particle":"","family":"Kipnis","given":"Patricia","non-dropping-particle":"","parse-names":false,"suffix":""},{"dropping-particle":"","family":"Li","given":"Sherian Xu","non-dropping-particle":"","parse-names":false,"suffix":""},{"dropping-particle":"","family":"Liu","given":"Vincent","non-dropping-particle":"","parse-names":false,"suffix":""},{"dropping-particle":"","family":"Xie","given":"Yang","non-dropping-particle":"","parse-names":false,"suffix":""},{"dropping-particle":"","family":"Marcella","given":"Stephen","non-dropping-particle":"","parse-names":false,"suffix":""},{"dropping-particle":"","family":"Escobar","given":"Gabriel J","non-dropping-particle":"","parse-names":false,"suffix":""}],"container-title":"Infection control and hospital epidemiology","id":"ITEM-1","issue":"1","issued":{"date-parts":[["2017","1"]]},"language":"eng","note":"NULL","page":"45-52","publisher-place":"United States","title":"Utilization of health services among adults with recurrent &lt;i&gt;Clostridium difficile&lt;/i&gt; infection: a 12-year population-based study","type":"article-journal","volume":"38"},"uris":["http://www.mendeley.com/documents/?uuid=260c68e6-4aa1-4e42-8daf-fa18a8e28d1c"]},{"id":"ITEM-2","itemData":{"DOI":"10.1016/j.jhin.2016.04.004","ISSN":"1532-2939 (Electronic)","PMID":"27209056","abstract":"BACKGROUND: Few studies have investigated the additional healthcare costs of recurrent C. difficile infection (CDI). AIM: To quantify inpatient treatment costs for CDI and length of stay among hospitalized patients with primary CDI only, compared with CDI patients who experienced recurrent CDI. METHODS: This was a prospective, observational cohort study of hospitalized adult patients with primary CDI followed for three months to assess for recurrent CDI episodes. Total and CDI-attributable hospital length of stay (LOS) and hospitalization costs were compared among patients who did or did not experience at least one recurrent CDI episode. FINDINGS: In all, 540 hospitalized patients aged 62+/-17 years (42% males) with primary CDI were enrolled, of whom 95 patients (18%) experienced 101 recurrent CDI episodes. CDI-attributable median (interquartile range) LOS and costs (in US$) increased from 7 (4-13) days and $13,168 (7,525-24,456) for patients with primary CDI only versus 15 (8-25) days and $28,218 (15,050-47,030) for patients with recurrent CDI (P&lt;0.0001, each). Total hospital median LOS and costs increased from 11 (6-22) days and $20,693 (11,287-41,386) for patients with primary CDI only versus 24 (11-48) days and $45,148 (20,693-82,772) for patients with recurrent CDI (P&lt;0.0001, each). The median cost of pharmacological treatment while hospitalized was $60 (23-200) for patients with primary CDI only (N=445) and $140 (30-260) for patients with recurrent CDI (P=0.0013). CONCLUSION: This study demonstrated that patients with CDI experience a significant healthcare economic burden attributed to CDI. Economic costs and healthcare burden increased significantly for patients with recurrent CDI.","author":[{"dropping-particle":"","family":"Shah","given":"D N","non-dropping-particle":"","parse-names":false,"suffix":""},{"dropping-particle":"","family":"Aitken","given":"S L","non-dropping-particle":"","parse-names":false,"suffix":""},{"dropping-particle":"","family":"Barragan","given":"L F","non-dropping-particle":"","parse-names":false,"suffix":""},{"dropping-particle":"","family":"Bozorgui","given":"S","non-dropping-particle":"","parse-names":false,"suffix":""},{"dropping-particle":"","family":"Goddu","given":"S","non-dropping-particle":"","parse-names":false,"suffix":""},{"dropping-particle":"","family":"Navarro","given":"M E","non-dropping-particle":"","parse-names":false,"suffix":""},{"dropping-particle":"","family":"Xie","given":"Y","non-dropping-particle":"","parse-names":false,"suffix":""},{"dropping-particle":"","family":"DuPont","given":"H L","non-dropping-particle":"","parse-names":false,"suffix":""},{"dropping-particle":"","family":"Garey","given":"K W","non-dropping-particle":"","parse-names":false,"suffix":""}],"container-title":"The Journal of Hospital Infection","id":"ITEM-2","issue":"3","issued":{"date-parts":[["2016","7"]]},"language":"eng","page":"286-289","publisher-place":"England","title":"Economic burden of primary compared with recurrent &lt;i&gt;Clostridium difficile&lt;/i&gt; infection in hospitalized patients: a prospective cohort study.","type":"article-journal","volume":"93"},"uris":["http://www.mendeley.com/documents/?uuid=8e6f2c88-3176-49b3-abde-049cdecf1a7e"]},{"id":"ITEM-3","itemData":{"DOI":"10.1016/j.cmi.2014.08.017","ISBN":"1198-743x","ISSN":"1469-0691","PMID":"25658560","abstract":"Clostridium difficile infections (CDI) are associated with decreased survival, and up to 30{%} of CDI patients may experience a recurrence. Data on the impact of recurrent CDI on mortality are scarce. The purpose of this study was to determine whether recurrent CDI was independently associated with decreased 6-month survival compared with patients with CDI who did not develop a recurrence. We performed a retrospective cohort study at an academic, urban, tertiary care hospital. Data were collected from the electronic medical record and chart review. CDI patients were followed for 180 days from the end of their index hospital discharge or end of index CDI antibiotic treatment, whichever was later, to determine mortality. Kaplan-Meier analysis was used to compare patient mortality by recurrent CDI status. Cox proportional hazards models were used to determine independent risk factors for death within 180 days. In all, 3958 patients aged ≥ 18 years who developed an initial CDI episode from 2003 to 2009, including 421 patients with recurrent CDI, were included in the study. Thirty-six per cent of persons with recurrent CDI died within 180 days, compared with 26{%} of persons without CDI recurrence (log-rank p {&lt;}0.001). Recurrent CDI was associated with significantly higher hazards of death within 180 days, adjusting for demographics, comorbidities and medications received during the index CDI hospitalization (hazard ratio 1.33; 95{%} CI 1.12-1.58). Recurrent CDI is associated with significantly increased risk of death within 6 months after completion of their initial CDI treatment compared with CDI patients who do not develop a recurrence.","author":[{"dropping-particle":"","family":"Olsen","given":"M A","non-dropping-particle":"","parse-names":false,"suffix":""},{"dropping-particle":"","family":"Yan","given":"Y","non-dropping-particle":"","parse-names":false,"suffix":""},{"dropping-particle":"","family":"Reske","given":"K A","non-dropping-particle":"","parse-names":false,"suffix":""},{"dropping-particle":"","family":"Zilberberg","given":"M D","non-dropping-particle":"","parse-names":false,"suffix":""},{"dropping-particle":"","family":"Dubberke","given":"E R","non-dropping-particle":"","parse-names":false,"suffix":""}],"container-title":"Clinical microbiology and infection : the official publication of the European Society of Clinical Microbiology and Infectious Diseases","id":"ITEM-3","issue":"2","issued":{"date-parts":[["2015"]]},"page":"164-170","title":"Recurrent &lt;i&gt;Clostridium difficile&lt;/i&gt; infection is associated with increased mortality.","type":"article-journal","volume":"21"},"uris":["http://www.mendeley.com/documents/?uuid=8e4aa935-6cbc-48ae-a5ca-e65df781d71e"]}],"mendeley":{"formattedCitation":"[19–21]","plainTextFormattedCitation":"[19–21]","previouslyFormattedCitation":"[19–21]"},"properties":{"noteIndex":0},"schema":"https://github.com/citation-style-language/schema/raw/master/csl-citation.json"}</w:instrText>
      </w:r>
      <w:r w:rsidR="001F5BDE">
        <w:rPr>
          <w:rFonts w:cs="Arial"/>
        </w:rPr>
        <w:fldChar w:fldCharType="separate"/>
      </w:r>
      <w:r w:rsidR="007A3410" w:rsidRPr="007A3410">
        <w:rPr>
          <w:rFonts w:cs="Arial"/>
          <w:noProof/>
        </w:rPr>
        <w:t>[19–21]</w:t>
      </w:r>
      <w:r w:rsidR="001F5BDE">
        <w:rPr>
          <w:rFonts w:cs="Arial"/>
        </w:rPr>
        <w:fldChar w:fldCharType="end"/>
      </w:r>
      <w:r w:rsidR="001F5BDE">
        <w:rPr>
          <w:rFonts w:cs="Arial"/>
        </w:rPr>
        <w:t>,</w:t>
      </w:r>
      <w:r w:rsidR="00F4360B">
        <w:rPr>
          <w:rFonts w:cs="Arial"/>
        </w:rPr>
        <w:t xml:space="preserve"> although l</w:t>
      </w:r>
      <w:r w:rsidR="00283B7C" w:rsidRPr="00283B7C">
        <w:rPr>
          <w:rFonts w:cs="Arial"/>
        </w:rPr>
        <w:t>ower mortality rate</w:t>
      </w:r>
      <w:r w:rsidR="00F4360B">
        <w:rPr>
          <w:rFonts w:cs="Arial"/>
        </w:rPr>
        <w:t>s</w:t>
      </w:r>
      <w:r w:rsidR="00283B7C" w:rsidRPr="00283B7C">
        <w:rPr>
          <w:rFonts w:cs="Arial"/>
        </w:rPr>
        <w:t xml:space="preserve"> </w:t>
      </w:r>
      <w:r w:rsidR="00283B7C">
        <w:rPr>
          <w:rFonts w:cs="Arial"/>
        </w:rPr>
        <w:t xml:space="preserve">have been reported </w:t>
      </w:r>
      <w:r w:rsidR="00283B7C" w:rsidRPr="00F4360B">
        <w:rPr>
          <w:color w:val="000000"/>
          <w:shd w:val="clear" w:color="auto" w:fill="FFFFFF"/>
        </w:rPr>
        <w:t>among patients with recurrent CDI compared to first episodes</w:t>
      </w:r>
      <w:r w:rsidR="00BD5BB4">
        <w:rPr>
          <w:color w:val="000000"/>
          <w:shd w:val="clear" w:color="auto" w:fill="FFFFFF"/>
        </w:rPr>
        <w:t xml:space="preserve"> </w:t>
      </w:r>
      <w:r w:rsidR="00BD5BB4">
        <w:rPr>
          <w:color w:val="000000"/>
          <w:shd w:val="clear" w:color="auto" w:fill="FFFFFF"/>
        </w:rPr>
        <w:fldChar w:fldCharType="begin" w:fldLock="1"/>
      </w:r>
      <w:r w:rsidR="00DF0F2E">
        <w:rPr>
          <w:color w:val="000000"/>
          <w:shd w:val="clear" w:color="auto" w:fill="FFFFFF"/>
        </w:rPr>
        <w:instrText>ADDIN CSL_CITATION {"citationItems":[{"id":"ITEM-1","itemData":{"DOI":"10.1371/journal.pone.0189227","ISBN":"1111111111","ISSN":"19326203","abstract":"Introduction: Prior studies demonstrated marked increases in Clostridium difficile infection (CDI) in the United States (U.S.) in recent years. The objective of this study was to describe the epidemiology of initial and recurrent CDI in a national Veterans Health Administration (VHA) cohort over a 12-year period. Methods: This was a retrospective cohort study of all adult VHA beneficiaries with CDI (ICD-9-CM code 008.45) plus a positive CDI stool test between October 1, 2002 and September 30, 2014. Data were obtained from the VA Informatics and Computing Infrastructure. Recurrence was defined as a second ICD-9-CM code plus a new course of CDI therapy following a minimum three-day gap after the initial therapy was completed. CDI incidence and outcomes were presented descriptively and longitudinally. Results: Overall, 30,326 patients met study inclusion criteria. CDI incidence increased from FY 2003 (1.6 per 10,000) to FY 2013 (5.1 per 10,000). Thereafter, CDI incidence decreased through FY 2014 (4.6 per 10,000). A total of 5,011 patients (17%) experienced a first recurrence and, of those, 1,713 (34%) experienced a second recurrence. Recurrence incidence increased 10-fold over the study period, from (0.1 per 10,000) in FY 2003, to (1.0 per 10,000) in FY 2014. Overall, 30-day mortality and median hospital length of stay (LOS) decreased among initial episodes over the study period. Mortality was higher for initial episodes (21%) compared to first recurrences (11%) and second recurrences (7%). Median hospital LOS was longer for first episodes (13 days) compared to first (9 days) and second recurrences (8 days). Conclusions: Initial and recurrent CDI episodes increased among veterans over a 12-year period. Outcomes, such as mortality and hospital LOS improved in recent years; both of these outcomes are worse for initial CDI episodes than recurrent episodes.","author":[{"dropping-particle":"","family":"Reveles","given":"Kelly R.","non-dropping-particle":"","parse-names":false,"suffix":""},{"dropping-particle":"","family":"Lawson","given":"Kenneth A.","non-dropping-particle":"","parse-names":false,"suffix":""},{"dropping-particle":"","family":"Mortensen","given":"Eric M.","non-dropping-particle":"","parse-names":false,"suffix":""},{"dropping-particle":"V.","family":"Pugh","given":"Mary Jo","non-dropping-particle":"","parse-names":false,"suffix":""},{"dropping-particle":"","family":"Koeller","given":"Jim M.","non-dropping-particle":"","parse-names":false,"suffix":""},{"dropping-particle":"","family":"Argamany","given":"Jacqueline R.","non-dropping-particle":"","parse-names":false,"suffix":""},{"dropping-particle":"","family":"Frei","given":"Christopher R.","non-dropping-particle":"","parse-names":false,"suffix":""}],"container-title":"PLoS ONE","id":"ITEM-1","issue":"12","issued":{"date-parts":[["2017"]]},"page":"1-14","title":"National epidemiology of initial and recurrent &lt;i&gt;Clostridium difficile&lt;/i&gt; infection in the Veterans Health Administration from 2003 to 2014","type":"article-journal","volume":"12"},"uris":["http://www.mendeley.com/documents/?uuid=c7319aa9-0ab8-4842-830e-f8b88671533e"]}],"mendeley":{"formattedCitation":"[22]","plainTextFormattedCitation":"[22]","previouslyFormattedCitation":"[22]"},"properties":{"noteIndex":0},"schema":"https://github.com/citation-style-language/schema/raw/master/csl-citation.json"}</w:instrText>
      </w:r>
      <w:r w:rsidR="00BD5BB4">
        <w:rPr>
          <w:color w:val="000000"/>
          <w:shd w:val="clear" w:color="auto" w:fill="FFFFFF"/>
        </w:rPr>
        <w:fldChar w:fldCharType="separate"/>
      </w:r>
      <w:r w:rsidR="007A3410" w:rsidRPr="007A3410">
        <w:rPr>
          <w:noProof/>
          <w:color w:val="000000"/>
          <w:shd w:val="clear" w:color="auto" w:fill="FFFFFF"/>
        </w:rPr>
        <w:t>[22]</w:t>
      </w:r>
      <w:r w:rsidR="00BD5BB4">
        <w:rPr>
          <w:color w:val="000000"/>
          <w:shd w:val="clear" w:color="auto" w:fill="FFFFFF"/>
        </w:rPr>
        <w:fldChar w:fldCharType="end"/>
      </w:r>
      <w:r w:rsidR="00283B7C" w:rsidRPr="00F4360B">
        <w:rPr>
          <w:color w:val="000000"/>
          <w:shd w:val="clear" w:color="auto" w:fill="FFFFFF"/>
        </w:rPr>
        <w:t xml:space="preserve">. </w:t>
      </w:r>
    </w:p>
    <w:p w14:paraId="5D14B8EF" w14:textId="77777777" w:rsidR="009A4EC6" w:rsidRPr="00F4360B" w:rsidRDefault="009A4EC6">
      <w:pPr>
        <w:rPr>
          <w:color w:val="000000"/>
          <w:shd w:val="clear" w:color="auto" w:fill="FFFFFF"/>
        </w:rPr>
      </w:pPr>
    </w:p>
    <w:p w14:paraId="7E22483E" w14:textId="43DDD31F" w:rsidR="00514DB4" w:rsidRDefault="000E1652">
      <w:pPr>
        <w:rPr>
          <w:color w:val="000000"/>
          <w:shd w:val="clear" w:color="auto" w:fill="FFFFFF"/>
        </w:rPr>
      </w:pPr>
      <w:r>
        <w:rPr>
          <w:color w:val="000000"/>
          <w:shd w:val="clear" w:color="auto" w:fill="FFFFFF"/>
        </w:rPr>
        <w:t xml:space="preserve">Although </w:t>
      </w:r>
      <w:r w:rsidR="003C0293">
        <w:rPr>
          <w:color w:val="000000"/>
          <w:shd w:val="clear" w:color="auto" w:fill="FFFFFF"/>
        </w:rPr>
        <w:t xml:space="preserve">several </w:t>
      </w:r>
      <w:r w:rsidR="0073622B">
        <w:rPr>
          <w:color w:val="000000"/>
          <w:shd w:val="clear" w:color="auto" w:fill="FFFFFF"/>
        </w:rPr>
        <w:t xml:space="preserve">previous </w:t>
      </w:r>
      <w:r w:rsidR="003C0293">
        <w:rPr>
          <w:color w:val="000000"/>
          <w:shd w:val="clear" w:color="auto" w:fill="FFFFFF"/>
        </w:rPr>
        <w:t xml:space="preserve">studies </w:t>
      </w:r>
      <w:r w:rsidR="0073622B">
        <w:rPr>
          <w:color w:val="000000"/>
          <w:shd w:val="clear" w:color="auto" w:fill="FFFFFF"/>
        </w:rPr>
        <w:t>examined</w:t>
      </w:r>
      <w:r>
        <w:rPr>
          <w:color w:val="000000"/>
          <w:shd w:val="clear" w:color="auto" w:fill="FFFFFF"/>
        </w:rPr>
        <w:t xml:space="preserve"> complications and mortality </w:t>
      </w:r>
      <w:r w:rsidR="0073622B">
        <w:rPr>
          <w:color w:val="000000"/>
          <w:shd w:val="clear" w:color="auto" w:fill="FFFFFF"/>
        </w:rPr>
        <w:t xml:space="preserve">rates </w:t>
      </w:r>
      <w:r>
        <w:rPr>
          <w:color w:val="000000"/>
          <w:shd w:val="clear" w:color="auto" w:fill="FFFFFF"/>
        </w:rPr>
        <w:t>among patients with</w:t>
      </w:r>
      <w:r w:rsidR="00F54B7D">
        <w:rPr>
          <w:color w:val="000000"/>
          <w:shd w:val="clear" w:color="auto" w:fill="FFFFFF"/>
        </w:rPr>
        <w:t xml:space="preserve"> </w:t>
      </w:r>
      <w:r>
        <w:rPr>
          <w:color w:val="000000"/>
          <w:shd w:val="clear" w:color="auto" w:fill="FFFFFF"/>
        </w:rPr>
        <w:t>CDI</w:t>
      </w:r>
      <w:r w:rsidR="0016703F">
        <w:rPr>
          <w:color w:val="000000"/>
          <w:shd w:val="clear" w:color="auto" w:fill="FFFFFF"/>
        </w:rPr>
        <w:t>,</w:t>
      </w:r>
      <w:r w:rsidR="00B473F7">
        <w:rPr>
          <w:color w:val="000000"/>
          <w:shd w:val="clear" w:color="auto" w:fill="FFFFFF"/>
        </w:rPr>
        <w:t xml:space="preserve"> </w:t>
      </w:r>
      <w:r w:rsidR="0073622B">
        <w:rPr>
          <w:color w:val="000000"/>
          <w:shd w:val="clear" w:color="auto" w:fill="FFFFFF"/>
        </w:rPr>
        <w:t xml:space="preserve">they </w:t>
      </w:r>
      <w:r w:rsidR="00B473F7">
        <w:rPr>
          <w:color w:val="000000"/>
          <w:shd w:val="clear" w:color="auto" w:fill="FFFFFF"/>
        </w:rPr>
        <w:t xml:space="preserve">were </w:t>
      </w:r>
      <w:r w:rsidR="0073622B">
        <w:rPr>
          <w:color w:val="000000"/>
          <w:shd w:val="clear" w:color="auto" w:fill="FFFFFF"/>
        </w:rPr>
        <w:t xml:space="preserve">sometimes </w:t>
      </w:r>
      <w:r w:rsidR="00F54B7D">
        <w:rPr>
          <w:color w:val="000000"/>
          <w:shd w:val="clear" w:color="auto" w:fill="FFFFFF"/>
        </w:rPr>
        <w:t xml:space="preserve">limited by small </w:t>
      </w:r>
      <w:r w:rsidR="000E57AB">
        <w:rPr>
          <w:color w:val="000000"/>
          <w:shd w:val="clear" w:color="auto" w:fill="FFFFFF"/>
        </w:rPr>
        <w:t>sample</w:t>
      </w:r>
      <w:r w:rsidR="0016703F">
        <w:rPr>
          <w:color w:val="000000"/>
          <w:shd w:val="clear" w:color="auto" w:fill="FFFFFF"/>
        </w:rPr>
        <w:t xml:space="preserve"> sizes </w:t>
      </w:r>
      <w:r w:rsidR="0092783B">
        <w:rPr>
          <w:color w:val="000000"/>
          <w:shd w:val="clear" w:color="auto" w:fill="FFFFFF"/>
        </w:rPr>
        <w:fldChar w:fldCharType="begin" w:fldLock="1"/>
      </w:r>
      <w:r w:rsidR="002E61FD">
        <w:rPr>
          <w:color w:val="000000"/>
          <w:shd w:val="clear" w:color="auto" w:fill="FFFFFF"/>
        </w:rPr>
        <w:instrText>ADDIN CSL_CITATION {"citationItems":[{"id":"ITEM-1","itemData":{"DOI":"10.1371/journal.pone.0149983","ISSN":"19326203","abstract":"Methods: We compared time from hospital admission to death in a probability sample of 100 Clostridium difficile infected cases and a probability sample of 98 non-cases admitted to an English teaching hospital between 2005 and 2007 with follow up in the UK national death register using survival analysis. Results: Clostridium difficile infection was associated with a 50% increased risk of death (Hazard Ratio 1.51 (95% CI: 1.05-2.19 p = 0.03) at between five to eight years in Cox Regression analysis adjusting for age, sex, Charlson comorbidity index, diagnosis of a malignant condition and insertion of a nasogastric tube during admission. Acquisition of Clostridium difficile infection was independently associated with an almost six fold higher odds of being admitted with a diagnosis of infection of any other type (OR 5.79 (2.19,15.25) p&lt;0.001). Conclusions: Our results strongly support continued priority being given to improve prevention and treatment of Clostridium difficile infection in the English National Health Service particularly in patients admitted with an infection. Our results may be applicable to other health systems.","author":[{"dropping-particle":"","family":"Reacher","given":"Mark","non-dropping-particle":"","parse-names":false,"suffix":""},{"dropping-particle":"","family":"Verlander","given":"Neville Q.","non-dropping-particle":"","parse-names":false,"suffix":""},{"dropping-particle":"","family":"Roddick","given":"Iain","non-dropping-particle":"","parse-names":false,"suffix":""},{"dropping-particle":"","family":"Trundle","given":"Cheryl","non-dropping-particle":"","parse-names":false,"suffix":""},{"dropping-particle":"","family":"Brown","given":"Nicholas","non-dropping-particle":"","parse-names":false,"suffix":""},{"dropping-particle":"","family":"Farrington","given":"Mark","non-dropping-particle":"","parse-names":false,"suffix":""},{"dropping-particle":"","family":"Jones","given":"Philip","non-dropping-particle":"","parse-names":false,"suffix":""}],"container-title":"PLoS ONE","id":"ITEM-1","issue":"3","issued":{"date-parts":[["2016"]]},"page":"1-23","title":"Excess mortality attributable to &lt;i&gt;Clostridium difficile&lt;/i&gt; and risk factors for infection in an historic cohort of hospitalised patients followed up in the United Kingdom death register","type":"article-journal","volume":"11"},"uris":["http://www.mendeley.com/documents/?uuid=0da65ed3-d058-45a0-a9c1-815b803a8dc7"]},{"id":"ITEM-2","itemData":{"DOI":"10.1016/j.jhin.2017.07.006","ISSN":"15322939","abstract":"Background The impact of Clostridium difficile infection (CDI) on mortality is controversial. Aim To assess excess mortality due to CDI in France. Method Two cohorts of patients with CDI and a cohort of matched controls were extracted from a 1% representative sample of subjects covered by the general health insurance system in France (Echantillon Généraliste de Bénéficiaires database, 660,000 patients). The CDI patients were hospitalized with CDI as a principal diagnosis or an associated diagnosis between 2007 and 2014, but not in 2006. Controls were patients hospitalized between 2007 and 2014 but not hospitalized with CDI between 2006 and 2014. The one-year incidence of deaths between 2007 and 2014 was estimated and compared with that of a propensity score (PS)-matched control group with no CDI (two controls per case). The PS was calculated with the following variables: age; sex; Charlson Comorbidity Index score; duration of stay; year of index stay; and main comorbidities. Cox and Poisson models were used to estimate the increased risk of death while adjusting for PS. Sensitivity analyses (timeframe, diarrhoea, recurrent hospitalization for CDI) were used to explore the robustness of the results. Findings In total, 482 patients who had been infected with C. difficile were matched with 964 controls. A significantly higher risk of death was observed among the subjects with CDI, with a non-adjusted hazard ratio of 1.65 [95% confidence interval (CI) 1.33–2.04] and an adjusted ratio of 1.58 (95% CI 1.27–1.97). The adjusted relative risk of death was 1.78 (95% CI 1.18–2.70]) at 28 days, 1.52 (95% CI 1.17–1.98) at three months, 1.52 (95% CI 1.20–1.93) at six months and 1.64 (95% CI 1.32–2.03) at 12 months. Sensitivity analyses produced similar results; the hazard ratio ranged from 1.53 to 1.86, and was always statistically significant. Conclusion CDI is responsible for excess mortality after taking age, sex, comorbidities and length of hospital stay into account.","author":[{"dropping-particle":"","family":"Barbut","given":"F.","non-dropping-particle":"","parse-names":false,"suffix":""},{"dropping-particle":"","family":"Bouée","given":"S.","non-dropping-particle":"","parse-names":false,"suffix":""},{"dropping-particle":"","family":"Longepierre","given":"L.","non-dropping-particle":"","parse-names":false,"suffix":""},{"dropping-particle":"","family":"Goldberg","given":"M.","non-dropping-particle":"","parse-names":false,"suffix":""},{"dropping-particle":"","family":"Bensoussan","given":"C.","non-dropping-particle":"","parse-names":false,"suffix":""},{"dropping-particle":"","family":"Levy-Bachelot","given":"L.","non-dropping-particle":"","parse-names":false,"suffix":""}],"container-title":"Journal of Hospital Infection","id":"ITEM-2","issue":"1","issued":{"date-parts":[["2018","1","1"]]},"page":"21-28","publisher":"W.B. Saunders Ltd","title":"Excess mortality between 2007 and 2014 among patients with &lt;i&gt;Clostridium difficile&lt;/i&gt; infection: a French health insurance database analysis","type":"article-journal","volume":"98"},"uris":["http://www.mendeley.com/documents/?uuid=d668ad3a-a8a3-3e50-9216-753fc3551380"]}],"mendeley":{"formattedCitation":"[16,18]","plainTextFormattedCitation":"[16,18]","previouslyFormattedCitation":"[16,18]"},"properties":{"noteIndex":0},"schema":"https://github.com/citation-style-language/schema/raw/master/csl-citation.json"}</w:instrText>
      </w:r>
      <w:r w:rsidR="0092783B">
        <w:rPr>
          <w:color w:val="000000"/>
          <w:shd w:val="clear" w:color="auto" w:fill="FFFFFF"/>
        </w:rPr>
        <w:fldChar w:fldCharType="separate"/>
      </w:r>
      <w:r w:rsidR="00DF0F2E" w:rsidRPr="00DF0F2E">
        <w:rPr>
          <w:noProof/>
          <w:color w:val="000000"/>
          <w:shd w:val="clear" w:color="auto" w:fill="FFFFFF"/>
        </w:rPr>
        <w:t>[16,18]</w:t>
      </w:r>
      <w:r w:rsidR="0092783B">
        <w:rPr>
          <w:color w:val="000000"/>
          <w:shd w:val="clear" w:color="auto" w:fill="FFFFFF"/>
        </w:rPr>
        <w:fldChar w:fldCharType="end"/>
      </w:r>
      <w:r w:rsidR="00046946">
        <w:rPr>
          <w:color w:val="000000"/>
          <w:shd w:val="clear" w:color="auto" w:fill="FFFFFF"/>
        </w:rPr>
        <w:t xml:space="preserve">, </w:t>
      </w:r>
      <w:r w:rsidR="0073622B">
        <w:rPr>
          <w:color w:val="000000"/>
          <w:shd w:val="clear" w:color="auto" w:fill="FFFFFF"/>
        </w:rPr>
        <w:t>focused</w:t>
      </w:r>
      <w:r w:rsidR="00046946">
        <w:rPr>
          <w:color w:val="000000"/>
          <w:shd w:val="clear" w:color="auto" w:fill="FFFFFF"/>
        </w:rPr>
        <w:t xml:space="preserve"> on either in-hospital </w:t>
      </w:r>
      <w:r w:rsidR="00046946">
        <w:rPr>
          <w:color w:val="000000"/>
          <w:shd w:val="clear" w:color="auto" w:fill="FFFFFF"/>
        </w:rPr>
        <w:fldChar w:fldCharType="begin" w:fldLock="1"/>
      </w:r>
      <w:r w:rsidR="00DF0F2E">
        <w:rPr>
          <w:color w:val="000000"/>
          <w:shd w:val="clear" w:color="auto" w:fill="FFFFFF"/>
        </w:rPr>
        <w:instrText>ADDIN CSL_CITATION {"citationItems":[{"id":"ITEM-1","itemData":{"DOI":"10.1007/s11739-015-1366-6","ISSN":"1970-9366 (Electronic)","PMID":"26694494","abstract":"Studies have demonstrated an increasing Clostridium difficile infection (CDI) incidence in hospitals and the community, with increasing morbidity and mortality. In this study, we analyzed data from the National Hospital Discharge Survey (NHDS) to evaluate CDI epidemiology, outcomes, and predictors of mortality in hospitalized adults. We identified cases of CDI (and associated comorbid conditions) from NHDS data from 2005 through 2009 using ICD-9 codes. Weighted univariate and multivariate analyses were performed to ascertain CDI incidence, associations between CDI and outcomes [length of stay (LOS), colectomy, all-cause in-hospital mortality, and discharge to a care facility], and predictors of all-cause in-hospital mortality. Of an estimated 162 million adult inpatients, 1.26 million (0.8 %) had CDI. The overall CDI incidence is 77.8/10,000 hospitalizations, with no statistically significant change over the study period. On multivariate analysis, after adjusting for age, gender, and comorbid conditions, CDI is an independent predictor of longer LOS (mean difference, 2.35 days), all-cause mortality [odds ratio (OR) 1.45], colectomy (OR 1.41), and discharge to a care facility (OR 2.12) (all P &lt; 0.001). Elderly patients have a higher CDI incidence and worse outcomes than younger adults. The strongest predictors of all-cause mortality in patients with CDI include age 65 years or older, colectomy, and coagulation abnormalities. Despite stable CDI incidence and advances in management, CDI is associated with increased LOS, colectomy, all-cause in-hospital mortality, and discharge to a care facility in hospitalized, especially elderly, adults. Age older than 65 years should be added to the severity criteria for CDI.","author":[{"dropping-particle":"","family":"Khanna","given":"Sahil","non-dropping-particle":"","parse-names":false,"suffix":""},{"dropping-particle":"","family":"Gupta","given":"Arjun","non-dropping-particle":"","parse-names":false,"suffix":""},{"dropping-particle":"","family":"Baddour","given":"Larry M","non-dropping-particle":"","parse-names":false,"suffix":""},{"dropping-particle":"","family":"Pardi","given":"Darrell S","non-dropping-particle":"","parse-names":false,"suffix":""}],"container-title":"Internal and emergency medicine","id":"ITEM-1","issue":"5","issued":{"date-parts":[["2016","8"]]},"language":"eng","page":"657-665","publisher-place":"Italy","title":"Epidemiology, outcomes, and predictors of mortality in hospitalized adults with &lt;i&gt;Clostridium difficile&lt;/i&gt; infection.","type":"article-journal","volume":"11"},"uris":["http://www.mendeley.com/documents/?uuid=ec5ad2ab-8e5b-414a-9a74-14dbef3f4100"]},{"id":"ITEM-2","itemData":{"DOI":"10.1016/j.jhin.2018.09.006","ISSN":"15322939","abstract":"Aims: To examine trends in the incidence, characteristics and in-hospital outcomes of Clostridium difficile infection (CDI)hospitalizations from 2001 to 2015, to compare clinical variables among patients according to the diagnosis position (primary or secondary)of CDI, and to identify factors associated with in-hospital mortality (IHM). Methods: A retrospective study was performed using the Spanish National Hospital Discharge Database, 2001–2015. The study population included patients who had CDI as the primary or secondary diagnosis in their discharge report. Annual hospitalization rates were calculated and trends were assessed using Poisson regression models and Jointpoint analysis. Multi-variate logistic regression models were performed to identify variables associated with IHM. Findings: In total, 49,347 hospital discharges were identified (52.31% females, 33.69% with CDI as the primary diagnosis). The rate of hospitalization increased from 3.9 cases per 100,000 inhabitants in 2001–2003 to 12.97 cases per 100,000 inhabitants in 2013–2015. Severity of CDI and mean cost per patient increased from 6.36% and 3750.11€ to 11.19% and 4340.91€, respectively, while IHM decreased from 12.66% to 10.66%. Age, Charlson Comorbidity Index, severity, length of hospital stay and mean cost were significantly higher in patients with a primary diagnosis of CDI. Irrespective of the CDI diagnosis position, IHM was associated with male sex, older age, comorbidities, readmission and severity of CDI. Primary diagnosis of CDI was associated with lower IHM (odds ratio 0.60; 95% confidence interval 0.56–0.65). Conclusion: CDI-related hospitalization rates are increasing, leading to a high cost burden, although IHM has decreased in recent years. Factors associated with IHM should be considered in strategies for the prevention and management of CDI.","author":[{"dropping-particle":"","family":"Esteban-Vasallo","given":"M. D.","non-dropping-particle":"","parse-names":false,"suffix":""},{"dropping-particle":"","family":"Miguel-Díez","given":"J.","non-dropping-particle":"de","parse-names":false,"suffix":""},{"dropping-particle":"","family":"López-de-Andrés","given":"A.","non-dropping-particle":"","parse-names":false,"suffix":""},{"dropping-particle":"","family":"Hernández-Barrera","given":"V.","non-dropping-particle":"","parse-names":false,"suffix":""},{"dropping-particle":"","family":"Jiménez-García","given":"R.","non-dropping-particle":"","parse-names":false,"suffix":""}],"container-title":"Journal of Hospital Infection","id":"ITEM-2","issue":"2","issued":{"date-parts":[["2019","6","1"]]},"page":"148-156","publisher":"W.B. Saunders Ltd","title":"&lt;i&gt;Clostridium difficile&lt;/i&gt;-related hospitalizations and risk factors for in-hospital mortality in Spain between 2001 and 2015","type":"article-journal","volume":"102"},"uris":["http://www.mendeley.com/documents/?uuid=a54fd0d8-2c1f-309c-a5e9-461669f65a62"]}],"mendeley":{"formattedCitation":"[23,24]","plainTextFormattedCitation":"[23,24]","previouslyFormattedCitation":"[23,24]"},"properties":{"noteIndex":0},"schema":"https://github.com/citation-style-language/schema/raw/master/csl-citation.json"}</w:instrText>
      </w:r>
      <w:r w:rsidR="00046946">
        <w:rPr>
          <w:color w:val="000000"/>
          <w:shd w:val="clear" w:color="auto" w:fill="FFFFFF"/>
        </w:rPr>
        <w:fldChar w:fldCharType="separate"/>
      </w:r>
      <w:r w:rsidR="007A3410" w:rsidRPr="007A3410">
        <w:rPr>
          <w:noProof/>
          <w:color w:val="000000"/>
          <w:shd w:val="clear" w:color="auto" w:fill="FFFFFF"/>
        </w:rPr>
        <w:t>[23,24]</w:t>
      </w:r>
      <w:r w:rsidR="00046946">
        <w:rPr>
          <w:color w:val="000000"/>
          <w:shd w:val="clear" w:color="auto" w:fill="FFFFFF"/>
        </w:rPr>
        <w:fldChar w:fldCharType="end"/>
      </w:r>
      <w:r w:rsidR="00046946">
        <w:rPr>
          <w:color w:val="000000"/>
          <w:shd w:val="clear" w:color="auto" w:fill="FFFFFF"/>
        </w:rPr>
        <w:t xml:space="preserve"> or post-discharge</w:t>
      </w:r>
      <w:r w:rsidR="00A83C06">
        <w:rPr>
          <w:color w:val="000000"/>
          <w:shd w:val="clear" w:color="auto" w:fill="FFFFFF"/>
        </w:rPr>
        <w:t xml:space="preserve"> </w:t>
      </w:r>
      <w:r w:rsidR="00046946">
        <w:rPr>
          <w:color w:val="000000"/>
          <w:shd w:val="clear" w:color="auto" w:fill="FFFFFF"/>
        </w:rPr>
        <w:t>mortality</w:t>
      </w:r>
      <w:r w:rsidR="002921B3">
        <w:rPr>
          <w:color w:val="000000"/>
          <w:shd w:val="clear" w:color="auto" w:fill="FFFFFF"/>
        </w:rPr>
        <w:t xml:space="preserve"> </w:t>
      </w:r>
      <w:r w:rsidR="002921B3">
        <w:rPr>
          <w:color w:val="000000"/>
          <w:shd w:val="clear" w:color="auto" w:fill="FFFFFF"/>
        </w:rPr>
        <w:fldChar w:fldCharType="begin" w:fldLock="1"/>
      </w:r>
      <w:r w:rsidR="002921B3">
        <w:rPr>
          <w:color w:val="000000"/>
          <w:shd w:val="clear" w:color="auto" w:fill="FFFFFF"/>
        </w:rPr>
        <w:instrText>ADDIN CSL_CITATION {"citationItems":[{"id":"ITEM-1","itemData":{"DOI":"10.1016/j.cmi.2014.08.017","ISBN":"1198-743x","ISSN":"1469-0691","PMID":"25658560","abstract":"Clostridium difficile infections (CDI) are associated with decreased survival, and up to 30{%} of CDI patients may experience a recurrence. Data on the impact of recurrent CDI on mortality are scarce. The purpose of this study was to determine whether recurrent CDI was independently associated with decreased 6-month survival compared with patients with CDI who did not develop a recurrence. We performed a retrospective cohort study at an academic, urban, tertiary care hospital. Data were collected from the electronic medical record and chart review. CDI patients were followed for 180 days from the end of their index hospital discharge or end of index CDI antibiotic treatment, whichever was later, to determine mortality. Kaplan-Meier analysis was used to compare patient mortality by recurrent CDI status. Cox proportional hazards models were used to determine independent risk factors for death within 180 days. In all, 3958 patients aged ≥ 18 years who developed an initial CDI episode from 2003 to 2009, including 421 patients with recurrent CDI, were included in the study. Thirty-six per cent of persons with recurrent CDI died within 180 days, compared with 26{%} of persons without CDI recurrence (log-rank p {&lt;}0.001). Recurrent CDI was associated with significantly higher hazards of death within 180 days, adjusting for demographics, comorbidities and medications received during the index CDI hospitalization (hazard ratio 1.33; 95{%} CI 1.12-1.58). Recurrent CDI is associated with significantly increased risk of death within 6 months after completion of their initial CDI treatment compared with CDI patients who do not develop a recurrence.","author":[{"dropping-particle":"","family":"Olsen","given":"M A","non-dropping-particle":"","parse-names":false,"suffix":""},{"dropping-particle":"","family":"Yan","given":"Y","non-dropping-particle":"","parse-names":false,"suffix":""},{"dropping-particle":"","family":"Reske","given":"K A","non-dropping-particle":"","parse-names":false,"suffix":""},{"dropping-particle":"","family":"Zilberberg","given":"M D","non-dropping-particle":"","parse-names":false,"suffix":""},{"dropping-particle":"","family":"Dubberke","given":"E R","non-dropping-particle":"","parse-names":false,"suffix":""}],"container-title":"Clinical microbiology and infection : the official publication of the European Society of Clinical Microbiology and Infectious Diseases","id":"ITEM-1","issue":"2","issued":{"date-parts":[["2015"]]},"page":"164-170","title":"Recurrent &lt;i&gt;Clostridium difficile&lt;/i&gt; infection is associated with increased mortality.","type":"article-journal","volume":"21"},"uris":["http://www.mendeley.com/documents/?uuid=8e4aa935-6cbc-48ae-a5ca-e65df781d71e"]}],"mendeley":{"formattedCitation":"[21]","plainTextFormattedCitation":"[21]","previouslyFormattedCitation":"[21]"},"properties":{"noteIndex":0},"schema":"https://github.com/citation-style-language/schema/raw/master/csl-citation.json"}</w:instrText>
      </w:r>
      <w:r w:rsidR="002921B3">
        <w:rPr>
          <w:color w:val="000000"/>
          <w:shd w:val="clear" w:color="auto" w:fill="FFFFFF"/>
        </w:rPr>
        <w:fldChar w:fldCharType="separate"/>
      </w:r>
      <w:r w:rsidR="002921B3" w:rsidRPr="000A6F55">
        <w:rPr>
          <w:noProof/>
          <w:color w:val="000000"/>
          <w:shd w:val="clear" w:color="auto" w:fill="FFFFFF"/>
        </w:rPr>
        <w:t>[21]</w:t>
      </w:r>
      <w:r w:rsidR="002921B3">
        <w:rPr>
          <w:color w:val="000000"/>
          <w:shd w:val="clear" w:color="auto" w:fill="FFFFFF"/>
        </w:rPr>
        <w:fldChar w:fldCharType="end"/>
      </w:r>
      <w:r w:rsidR="00046946">
        <w:rPr>
          <w:color w:val="000000"/>
          <w:shd w:val="clear" w:color="auto" w:fill="FFFFFF"/>
        </w:rPr>
        <w:t>,</w:t>
      </w:r>
      <w:r w:rsidR="0092783B">
        <w:rPr>
          <w:color w:val="000000"/>
          <w:shd w:val="clear" w:color="auto" w:fill="FFFFFF"/>
        </w:rPr>
        <w:t xml:space="preserve"> </w:t>
      </w:r>
      <w:r w:rsidR="00BD5BB4">
        <w:rPr>
          <w:color w:val="000000"/>
          <w:shd w:val="clear" w:color="auto" w:fill="FFFFFF"/>
        </w:rPr>
        <w:t xml:space="preserve">or </w:t>
      </w:r>
      <w:r w:rsidR="0073622B">
        <w:rPr>
          <w:color w:val="000000"/>
          <w:shd w:val="clear" w:color="auto" w:fill="FFFFFF"/>
        </w:rPr>
        <w:t>did not include</w:t>
      </w:r>
      <w:r w:rsidR="00B473F7">
        <w:rPr>
          <w:color w:val="000000"/>
          <w:shd w:val="clear" w:color="auto" w:fill="FFFFFF"/>
        </w:rPr>
        <w:t xml:space="preserve"> clinical information </w:t>
      </w:r>
      <w:r w:rsidR="0073622B">
        <w:rPr>
          <w:color w:val="000000"/>
          <w:shd w:val="clear" w:color="auto" w:fill="FFFFFF"/>
        </w:rPr>
        <w:t xml:space="preserve">from </w:t>
      </w:r>
      <w:r w:rsidR="00B473F7">
        <w:rPr>
          <w:color w:val="000000"/>
          <w:shd w:val="clear" w:color="auto" w:fill="FFFFFF"/>
        </w:rPr>
        <w:t>outside the hospital setting</w:t>
      </w:r>
      <w:r w:rsidR="0092783B">
        <w:rPr>
          <w:color w:val="000000"/>
          <w:shd w:val="clear" w:color="auto" w:fill="FFFFFF"/>
        </w:rPr>
        <w:t xml:space="preserve"> </w:t>
      </w:r>
      <w:r w:rsidR="0092783B">
        <w:rPr>
          <w:color w:val="000000"/>
          <w:shd w:val="clear" w:color="auto" w:fill="FFFFFF"/>
        </w:rPr>
        <w:fldChar w:fldCharType="begin" w:fldLock="1"/>
      </w:r>
      <w:r w:rsidR="002E61FD">
        <w:rPr>
          <w:color w:val="000000"/>
          <w:shd w:val="clear" w:color="auto" w:fill="FFFFFF"/>
        </w:rPr>
        <w:instrText>ADDIN CSL_CITATION {"citationItems":[{"id":"ITEM-1","itemData":{"DOI":"10.1371/journal.pone.0149983","ISSN":"19326203","abstract":"Methods: We compared time from hospital admission to death in a probability sample of 100 Clostridium difficile infected cases and a probability sample of 98 non-cases admitted to an English teaching hospital between 2005 and 2007 with follow up in the UK national death register using survival analysis. Results: Clostridium difficile infection was associated with a 50% increased risk of death (Hazard Ratio 1.51 (95% CI: 1.05-2.19 p = 0.03) at between five to eight years in Cox Regression analysis adjusting for age, sex, Charlson comorbidity index, diagnosis of a malignant condition and insertion of a nasogastric tube during admission. Acquisition of Clostridium difficile infection was independently associated with an almost six fold higher odds of being admitted with a diagnosis of infection of any other type (OR 5.79 (2.19,15.25) p&lt;0.001). Conclusions: Our results strongly support continued priority being given to improve prevention and treatment of Clostridium difficile infection in the English National Health Service particularly in patients admitted with an infection. Our results may be applicable to other health systems.","author":[{"dropping-particle":"","family":"Reacher","given":"Mark","non-dropping-particle":"","parse-names":false,"suffix":""},{"dropping-particle":"","family":"Verlander","given":"Neville Q.","non-dropping-particle":"","parse-names":false,"suffix":""},{"dropping-particle":"","family":"Roddick","given":"Iain","non-dropping-particle":"","parse-names":false,"suffix":""},{"dropping-particle":"","family":"Trundle","given":"Cheryl","non-dropping-particle":"","parse-names":false,"suffix":""},{"dropping-particle":"","family":"Brown","given":"Nicholas","non-dropping-particle":"","parse-names":false,"suffix":""},{"dropping-particle":"","family":"Farrington","given":"Mark","non-dropping-particle":"","parse-names":false,"suffix":""},{"dropping-particle":"","family":"Jones","given":"Philip","non-dropping-particle":"","parse-names":false,"suffix":""}],"container-title":"PLoS ONE","id":"ITEM-1","issue":"3","issued":{"date-parts":[["2016"]]},"page":"1-23","title":"Excess mortality attributable to &lt;i&gt;Clostridium difficile&lt;/i&gt; and risk factors for infection in an historic cohort of hospitalised patients followed up in the United Kingdom death register","type":"article-journal","volume":"11"},"uris":["http://www.mendeley.com/documents/?uuid=0da65ed3-d058-45a0-a9c1-815b803a8dc7"]},{"id":"ITEM-2","itemData":{"DOI":"10.1016/j.jhin.2017.07.006","ISSN":"15322939","abstract":"Background The impact of Clostridium difficile infection (CDI) on mortality is controversial. Aim To assess excess mortality due to CDI in France. Method Two cohorts of patients with CDI and a cohort of matched controls were extracted from a 1% representative sample of subjects covered by the general health insurance system in France (Echantillon Généraliste de Bénéficiaires database, 660,000 patients). The CDI patients were hospitalized with CDI as a principal diagnosis or an associated diagnosis between 2007 and 2014, but not in 2006. Controls were patients hospitalized between 2007 and 2014 but not hospitalized with CDI between 2006 and 2014. The one-year incidence of deaths between 2007 and 2014 was estimated and compared with that of a propensity score (PS)-matched control group with no CDI (two controls per case). The PS was calculated with the following variables: age; sex; Charlson Comorbidity Index score; duration of stay; year of index stay; and main comorbidities. Cox and Poisson models were used to estimate the increased risk of death while adjusting for PS. Sensitivity analyses (timeframe, diarrhoea, recurrent hospitalization for CDI) were used to explore the robustness of the results. Findings In total, 482 patients who had been infected with C. difficile were matched with 964 controls. A significantly higher risk of death was observed among the subjects with CDI, with a non-adjusted hazard ratio of 1.65 [95% confidence interval (CI) 1.33–2.04] and an adjusted ratio of 1.58 (95% CI 1.27–1.97). The adjusted relative risk of death was 1.78 (95% CI 1.18–2.70]) at 28 days, 1.52 (95% CI 1.17–1.98) at three months, 1.52 (95% CI 1.20–1.93) at six months and 1.64 (95% CI 1.32–2.03) at 12 months. Sensitivity analyses produced similar results; the hazard ratio ranged from 1.53 to 1.86, and was always statistically significant. Conclusion CDI is responsible for excess mortality after taking age, sex, comorbidities and length of hospital stay into account.","author":[{"dropping-particle":"","family":"Barbut","given":"F.","non-dropping-particle":"","parse-names":false,"suffix":""},{"dropping-particle":"","family":"Bouée","given":"S.","non-dropping-particle":"","parse-names":false,"suffix":""},{"dropping-particle":"","family":"Longepierre","given":"L.","non-dropping-particle":"","parse-names":false,"suffix":""},{"dropping-particle":"","family":"Goldberg","given":"M.","non-dropping-particle":"","parse-names":false,"suffix":""},{"dropping-particle":"","family":"Bensoussan","given":"C.","non-dropping-particle":"","parse-names":false,"suffix":""},{"dropping-particle":"","family":"Levy-Bachelot","given":"L.","non-dropping-particle":"","parse-names":false,"suffix":""}],"container-title":"Journal of Hospital Infection","id":"ITEM-2","issue":"1","issued":{"date-parts":[["2018","1","1"]]},"page":"21-28","publisher":"W.B. Saunders Ltd","title":"Excess mortality between 2007 and 2014 among patients with &lt;i&gt;Clostridium difficile&lt;/i&gt; infection: a French health insurance database analysis","type":"article-journal","volume":"98"},"uris":["http://www.mendeley.com/documents/?uuid=d668ad3a-a8a3-3e50-9216-753fc3551380"]},{"id":"ITEM-3","itemData":{"DOI":"10.1016/j.jhin.2018.07.023","ISSN":"1532-2939","PMID":"30055220","abstract":"BACKGROUND National surveillance of Clostridium difficile infection (CDI) in Scotland enables the monitoring of trends in incidence rates but not mortality. AIM To assess factors associated with mortality for all CDI cases aged ≥15 years in Scotland between 2010 and 2016. METHODS All CDI cases aged ≥15 years in Scotland between 2010 and 2016 were linked to hospital admission and mortality datasets. Logistic regression was used to assess factors associated with mortality (30-day all-cause). A case-control study of a hospitalized subset of cases and matched hospitalized controls assessed the impact of CDI on mortality and length of stay. FINDINGS Thirty-day all-cause mortality decreased over the seven-year period (from 20.5% to 15.6%; P &lt; 0.001), mainly among healthcare-associated CDI (HA-CDI). Increased age, higher Charlson score, HA-CDI, as well as liver, heart and malignancy comorbidities were associated with higher mortality. No association was observed between polymerase chain reaction ribotype and higher mortality, though 015 and 078 were associated with lower mortality. Adjusted odds ratio (OR) for 30-day mortality in hospitalized CDI cases compared to controls was 2.67 (95% confidence interval (CI): 2.42-2.94; P &lt; 0.001). Whereas mortality declined over time in cases and controls, the trend in ORs remained relatively stable. Having CDI increased additional mean length of stay beyond infection by 22.3% (95% CI: 18.0-26.8%; P &lt; 0.001). CONCLUSION CDI is associated with an almost three-fold increase in 30-day mortality and places an increased burden on hospital resources by increasing mean LOS beyond the infection date by 22.3%. The decreasing CDI mortality trends may be due to overall improvements in mortality among the general and hospital population of Scotland. Therefore, despite large declines in incidence rates, CDI remains a serious healthcare problem.","author":[{"dropping-particle":"","family":"Banks","given":"A","non-dropping-particle":"","parse-names":false,"suffix":""},{"dropping-particle":"","family":"Moore","given":"E K","non-dropping-particle":"","parse-names":false,"suffix":""},{"dropping-particle":"","family":"Bishop","given":"J","non-dropping-particle":"","parse-names":false,"suffix":""},{"dropping-particle":"","family":"Coia","given":"J E","non-dropping-particle":"","parse-names":false,"suffix":""},{"dropping-particle":"","family":"Brown","given":"D","non-dropping-particle":"","parse-names":false,"suffix":""},{"dropping-particle":"","family":"Mather","given":"H","non-dropping-particle":"","parse-names":false,"suffix":""},{"dropping-particle":"","family":"Wiuff","given":"C","non-dropping-particle":"","parse-names":false,"suffix":""}],"container-title":"The Journal of hospital infection","id":"ITEM-3","issue":"2","issued":{"date-parts":[["2018","10","1"]]},"page":"133-141","publisher":"Elsevier","title":"Trends in mortality following &lt;i&gt;Clostridium difficile&lt;/i&gt; infection in Scotland, 2010-2016: a retrospective cohort and case-control study.","type":"article-journal","volume":"100"},"uris":["http://www.mendeley.com/documents/?uuid=888066f2-77f9-36bb-b6bc-5cabe5d5bc63"]},{"id":"ITEM-4","itemData":{"DOI":"10.1093/cid/cit155","ISBN":"1058-4838","ISSN":"10584838","PMID":"23532470","abstract":"Pediatric CDI is associated with increased mortality, longer LOS, and higher costs. These findings underscore the importance of antibiotic stewardship and infection control programs to prevent this disease in children.","author":[{"dropping-particle":"","family":"Sammons","given":"Julia Shaklee","non-dropping-particle":"","parse-names":false,"suffix":""},{"dropping-particle":"","family":"Localio","given":"Russell","non-dropping-particle":"","parse-names":false,"suffix":""},{"dropping-particle":"","family":"Xiao","given":"Rui","non-dropping-particle":"","parse-names":false,"suffix":""},{"dropping-particle":"","family":"Coffin","given":"Susan E.","non-dropping-particle":"","parse-names":false,"suffix":""},{"dropping-particle":"","family":"Zaoutis","given":"Theoklis","non-dropping-particle":"","parse-names":false,"suffix":""}],"container-title":"Clinical Infectious Diseases","id":"ITEM-4","issue":"1","issued":{"date-parts":[["2013"]]},"page":"1-8","title":"&lt;i&gt;Clostridium difficile&lt;/i&gt; infection is associated with increased risk of death and prolonged hospitalization in children","type":"article-journal","volume":"57"},"uris":["http://www.mendeley.com/documents/?uuid=834121bb-56a5-4c31-b31a-2e528c8cbc5e"]}],"mendeley":{"formattedCitation":"[16–18,25]","plainTextFormattedCitation":"[16–18,25]","previouslyFormattedCitation":"[16–18,25]"},"properties":{"noteIndex":0},"schema":"https://github.com/citation-style-language/schema/raw/master/csl-citation.json"}</w:instrText>
      </w:r>
      <w:r w:rsidR="0092783B">
        <w:rPr>
          <w:color w:val="000000"/>
          <w:shd w:val="clear" w:color="auto" w:fill="FFFFFF"/>
        </w:rPr>
        <w:fldChar w:fldCharType="separate"/>
      </w:r>
      <w:r w:rsidR="000E5617" w:rsidRPr="000E5617">
        <w:rPr>
          <w:noProof/>
          <w:color w:val="000000"/>
          <w:shd w:val="clear" w:color="auto" w:fill="FFFFFF"/>
        </w:rPr>
        <w:t>[16–18,25]</w:t>
      </w:r>
      <w:r w:rsidR="0092783B">
        <w:rPr>
          <w:color w:val="000000"/>
          <w:shd w:val="clear" w:color="auto" w:fill="FFFFFF"/>
        </w:rPr>
        <w:fldChar w:fldCharType="end"/>
      </w:r>
      <w:r w:rsidR="00B473F7">
        <w:rPr>
          <w:color w:val="000000"/>
          <w:shd w:val="clear" w:color="auto" w:fill="FFFFFF"/>
        </w:rPr>
        <w:t xml:space="preserve">. </w:t>
      </w:r>
      <w:r w:rsidR="0092783B">
        <w:rPr>
          <w:color w:val="000000"/>
          <w:shd w:val="clear" w:color="auto" w:fill="FFFFFF"/>
        </w:rPr>
        <w:t xml:space="preserve">Some </w:t>
      </w:r>
      <w:r w:rsidR="00B473F7">
        <w:rPr>
          <w:color w:val="000000"/>
          <w:shd w:val="clear" w:color="auto" w:fill="FFFFFF"/>
        </w:rPr>
        <w:t>studies were also restricted to populations from specialist</w:t>
      </w:r>
      <w:r w:rsidR="00B473F7" w:rsidRPr="00EC5495">
        <w:rPr>
          <w:color w:val="000000"/>
          <w:shd w:val="clear" w:color="auto" w:fill="FFFFFF"/>
        </w:rPr>
        <w:t xml:space="preserve"> centr</w:t>
      </w:r>
      <w:r w:rsidR="00BB5F0E">
        <w:rPr>
          <w:color w:val="000000"/>
          <w:shd w:val="clear" w:color="auto" w:fill="FFFFFF"/>
        </w:rPr>
        <w:t>e</w:t>
      </w:r>
      <w:r w:rsidR="00B473F7">
        <w:rPr>
          <w:color w:val="000000"/>
          <w:shd w:val="clear" w:color="auto" w:fill="FFFFFF"/>
        </w:rPr>
        <w:t>s</w:t>
      </w:r>
      <w:r w:rsidR="00B473F7" w:rsidRPr="00EC5495">
        <w:rPr>
          <w:color w:val="000000"/>
          <w:shd w:val="clear" w:color="auto" w:fill="FFFFFF"/>
        </w:rPr>
        <w:t xml:space="preserve"> </w:t>
      </w:r>
      <w:r w:rsidR="00B473F7">
        <w:rPr>
          <w:color w:val="000000"/>
          <w:shd w:val="clear" w:color="auto" w:fill="FFFFFF"/>
        </w:rPr>
        <w:t xml:space="preserve">or other </w:t>
      </w:r>
      <w:r w:rsidR="00296EF0">
        <w:rPr>
          <w:color w:val="000000"/>
          <w:shd w:val="clear" w:color="auto" w:fill="FFFFFF"/>
        </w:rPr>
        <w:t>clinical setting</w:t>
      </w:r>
      <w:r w:rsidR="0016703F">
        <w:rPr>
          <w:color w:val="000000"/>
          <w:shd w:val="clear" w:color="auto" w:fill="FFFFFF"/>
        </w:rPr>
        <w:t>s</w:t>
      </w:r>
      <w:r w:rsidR="00296EF0">
        <w:rPr>
          <w:color w:val="000000"/>
          <w:shd w:val="clear" w:color="auto" w:fill="FFFFFF"/>
        </w:rPr>
        <w:t xml:space="preserve"> </w:t>
      </w:r>
      <w:r w:rsidR="004547D7">
        <w:rPr>
          <w:color w:val="000000"/>
          <w:shd w:val="clear" w:color="auto" w:fill="FFFFFF"/>
        </w:rPr>
        <w:t xml:space="preserve">that </w:t>
      </w:r>
      <w:r w:rsidR="00296EF0">
        <w:rPr>
          <w:color w:val="000000"/>
          <w:shd w:val="clear" w:color="auto" w:fill="FFFFFF"/>
        </w:rPr>
        <w:t xml:space="preserve">may not be representative of wider </w:t>
      </w:r>
      <w:r w:rsidR="00C2173B">
        <w:rPr>
          <w:color w:val="000000"/>
          <w:shd w:val="clear" w:color="auto" w:fill="FFFFFF"/>
        </w:rPr>
        <w:t>groups of patients</w:t>
      </w:r>
      <w:r w:rsidR="00296EF0">
        <w:rPr>
          <w:color w:val="000000"/>
          <w:shd w:val="clear" w:color="auto" w:fill="FFFFFF"/>
        </w:rPr>
        <w:t xml:space="preserve"> </w:t>
      </w:r>
      <w:r w:rsidR="00C2173B">
        <w:rPr>
          <w:color w:val="000000"/>
          <w:shd w:val="clear" w:color="auto" w:fill="FFFFFF"/>
        </w:rPr>
        <w:t>with CDI</w:t>
      </w:r>
      <w:r w:rsidR="00D52512">
        <w:rPr>
          <w:color w:val="000000"/>
          <w:shd w:val="clear" w:color="auto" w:fill="FFFFFF"/>
        </w:rPr>
        <w:t xml:space="preserve"> </w:t>
      </w:r>
      <w:r w:rsidR="00D52512">
        <w:rPr>
          <w:color w:val="000000"/>
          <w:shd w:val="clear" w:color="auto" w:fill="FFFFFF"/>
        </w:rPr>
        <w:fldChar w:fldCharType="begin" w:fldLock="1"/>
      </w:r>
      <w:r w:rsidR="007A3410">
        <w:rPr>
          <w:color w:val="000000"/>
          <w:shd w:val="clear" w:color="auto" w:fill="FFFFFF"/>
        </w:rPr>
        <w:instrText>ADDIN CSL_CITATION {"citationItems":[{"id":"ITEM-1","itemData":{"DOI":"10.1016/j.cmi.2014.08.017","ISBN":"1198-743x","ISSN":"1469-0691","PMID":"25658560","abstract":"Clostridium difficile infections (CDI) are associated with decreased survival, and up to 30{%} of CDI patients may experience a recurrence. Data on the impact of recurrent CDI on mortality are scarce. The purpose of this study was to determine whether recurrent CDI was independently associated with decreased 6-month survival compared with patients with CDI who did not develop a recurrence. We performed a retrospective cohort study at an academic, urban, tertiary care hospital. Data were collected from the electronic medical record and chart review. CDI patients were followed for 180 days from the end of their index hospital discharge or end of index CDI antibiotic treatment, whichever was later, to determine mortality. Kaplan-Meier analysis was used to compare patient mortality by recurrent CDI status. Cox proportional hazards models were used to determine independent risk factors for death within 180 days. In all, 3958 patients aged ≥ 18 years who developed an initial CDI episode from 2003 to 2009, including 421 patients with recurrent CDI, were included in the study. Thirty-six per cent of persons with recurrent CDI died within 180 days, compared with 26{%} of persons without CDI recurrence (log-rank p {&lt;}0.001). Recurrent CDI was associated with significantly higher hazards of death within 180 days, adjusting for demographics, comorbidities and medications received during the index CDI hospitalization (hazard ratio 1.33; 95{%} CI 1.12-1.58). Recurrent CDI is associated with significantly increased risk of death within 6 months after completion of their initial CDI treatment compared with CDI patients who do not develop a recurrence.","author":[{"dropping-particle":"","family":"Olsen","given":"M A","non-dropping-particle":"","parse-names":false,"suffix":""},{"dropping-particle":"","family":"Yan","given":"Y","non-dropping-particle":"","parse-names":false,"suffix":""},{"dropping-particle":"","family":"Reske","given":"K A","non-dropping-particle":"","parse-names":false,"suffix":""},{"dropping-particle":"","family":"Zilberberg","given":"M D","non-dropping-particle":"","parse-names":false,"suffix":""},{"dropping-particle":"","family":"Dubberke","given":"E R","non-dropping-particle":"","parse-names":false,"suffix":""}],"container-title":"Clinical microbiology and infection : the official publication of the European Society of Clinical Microbiology and Infectious Diseases","id":"ITEM-1","issue":"2","issued":{"date-parts":[["2015"]]},"page":"164-170","title":"Recurrent &lt;i&gt;Clostridium difficile&lt;/i&gt; infection is associated with increased mortality.","type":"article-journal","volume":"21"},"uris":["http://www.mendeley.com/documents/?uuid=8e4aa935-6cbc-48ae-a5ca-e65df781d71e"]},{"id":"ITEM-2","itemData":{"DOI":"10.1016/j.jhin.2016.04.004","ISSN":"1532-2939 (Electronic)","PMID":"27209056","abstract":"BACKGROUND: Few studies have investigated the additional healthcare costs of recurrent C. difficile infection (CDI). AIM: To quantify inpatient treatment costs for CDI and length of stay among hospitalized patients with primary CDI only, compared with CDI patients who experienced recurrent CDI. METHODS: This was a prospective, observational cohort study of hospitalized adult patients with primary CDI followed for three months to assess for recurrent CDI episodes. Total and CDI-attributable hospital length of stay (LOS) and hospitalization costs were compared among patients who did or did not experience at least one recurrent CDI episode. FINDINGS: In all, 540 hospitalized patients aged 62+/-17 years (42% males) with primary CDI were enrolled, of whom 95 patients (18%) experienced 101 recurrent CDI episodes. CDI-attributable median (interquartile range) LOS and costs (in US$) increased from 7 (4-13) days and $13,168 (7,525-24,456) for patients with primary CDI only versus 15 (8-25) days and $28,218 (15,050-47,030) for patients with recurrent CDI (P&lt;0.0001, each). Total hospital median LOS and costs increased from 11 (6-22) days and $20,693 (11,287-41,386) for patients with primary CDI only versus 24 (11-48) days and $45,148 (20,693-82,772) for patients with recurrent CDI (P&lt;0.0001, each). The median cost of pharmacological treatment while hospitalized was $60 (23-200) for patients with primary CDI only (N=445) and $140 (30-260) for patients with recurrent CDI (P=0.0013). CONCLUSION: This study demonstrated that patients with CDI experience a significant healthcare economic burden attributed to CDI. Economic costs and healthcare burden increased significantly for patients with recurrent CDI.","author":[{"dropping-particle":"","family":"Shah","given":"D N","non-dropping-particle":"","parse-names":false,"suffix":""},{"dropping-particle":"","family":"Aitken","given":"S L","non-dropping-particle":"","parse-names":false,"suffix":""},{"dropping-particle":"","family":"Barragan","given":"L F","non-dropping-particle":"","parse-names":false,"suffix":""},{"dropping-particle":"","family":"Bozorgui","given":"S","non-dropping-particle":"","parse-names":false,"suffix":""},{"dropping-particle":"","family":"Goddu","given":"S","non-dropping-particle":"","parse-names":false,"suffix":""},{"dropping-particle":"","family":"Navarro","given":"M E","non-dropping-particle":"","parse-names":false,"suffix":""},{"dropping-particle":"","family":"Xie","given":"Y","non-dropping-particle":"","parse-names":false,"suffix":""},{"dropping-particle":"","family":"DuPont","given":"H L","non-dropping-particle":"","parse-names":false,"suffix":""},{"dropping-particle":"","family":"Garey","given":"K W","non-dropping-particle":"","parse-names":false,"suffix":""}],"container-title":"The Journal of Hospital Infection","id":"ITEM-2","issue":"3","issued":{"date-parts":[["2016","7"]]},"language":"eng","page":"286-289","publisher-place":"England","title":"Economic burden of primary compared with recurrent &lt;i&gt;Clostridium difficile&lt;/i&gt; infection in hospitalized patients: a prospective cohort study.","type":"article-journal","volume":"93"},"uris":["http://www.mendeley.com/documents/?uuid=8e6f2c88-3176-49b3-abde-049cdecf1a7e"]}],"mendeley":{"formattedCitation":"[20,21]","plainTextFormattedCitation":"[20,21]","previouslyFormattedCitation":"[20,21]"},"properties":{"noteIndex":0},"schema":"https://github.com/citation-style-language/schema/raw/master/csl-citation.json"}</w:instrText>
      </w:r>
      <w:r w:rsidR="00D52512">
        <w:rPr>
          <w:color w:val="000000"/>
          <w:shd w:val="clear" w:color="auto" w:fill="FFFFFF"/>
        </w:rPr>
        <w:fldChar w:fldCharType="separate"/>
      </w:r>
      <w:r w:rsidR="000A6F55" w:rsidRPr="000A6F55">
        <w:rPr>
          <w:noProof/>
          <w:color w:val="000000"/>
          <w:shd w:val="clear" w:color="auto" w:fill="FFFFFF"/>
        </w:rPr>
        <w:t>[20,21]</w:t>
      </w:r>
      <w:r w:rsidR="00D52512">
        <w:rPr>
          <w:color w:val="000000"/>
          <w:shd w:val="clear" w:color="auto" w:fill="FFFFFF"/>
        </w:rPr>
        <w:fldChar w:fldCharType="end"/>
      </w:r>
      <w:r w:rsidR="00D748DA">
        <w:rPr>
          <w:color w:val="000000"/>
          <w:shd w:val="clear" w:color="auto" w:fill="FFFFFF"/>
        </w:rPr>
        <w:t xml:space="preserve">. </w:t>
      </w:r>
    </w:p>
    <w:p w14:paraId="61292307" w14:textId="77777777" w:rsidR="009A4EC6" w:rsidRDefault="009A4EC6">
      <w:pPr>
        <w:rPr>
          <w:color w:val="000000"/>
          <w:shd w:val="clear" w:color="auto" w:fill="FFFFFF"/>
        </w:rPr>
      </w:pPr>
    </w:p>
    <w:p w14:paraId="1BF707B8" w14:textId="2FCD7912" w:rsidR="009538C6" w:rsidRDefault="0016703F">
      <w:r w:rsidRPr="00392CEC">
        <w:rPr>
          <w:color w:val="000000"/>
          <w:shd w:val="clear" w:color="auto" w:fill="FFFFFF"/>
        </w:rPr>
        <w:t>To</w:t>
      </w:r>
      <w:r w:rsidR="00B473F7" w:rsidRPr="00B473F7">
        <w:rPr>
          <w:color w:val="000000"/>
          <w:shd w:val="clear" w:color="auto" w:fill="FFFFFF"/>
        </w:rPr>
        <w:t xml:space="preserve"> </w:t>
      </w:r>
      <w:r w:rsidR="00B473F7">
        <w:rPr>
          <w:color w:val="000000"/>
          <w:shd w:val="clear" w:color="auto" w:fill="FFFFFF"/>
        </w:rPr>
        <w:t>overcome these issues</w:t>
      </w:r>
      <w:r w:rsidR="00E93B66">
        <w:rPr>
          <w:color w:val="000000"/>
          <w:shd w:val="clear" w:color="auto" w:fill="FFFFFF"/>
        </w:rPr>
        <w:t>,</w:t>
      </w:r>
      <w:r w:rsidRPr="00392CEC">
        <w:rPr>
          <w:color w:val="000000"/>
          <w:shd w:val="clear" w:color="auto" w:fill="FFFFFF"/>
        </w:rPr>
        <w:t xml:space="preserve"> </w:t>
      </w:r>
      <w:r>
        <w:rPr>
          <w:color w:val="000000"/>
          <w:shd w:val="clear" w:color="auto" w:fill="FFFFFF"/>
        </w:rPr>
        <w:t>w</w:t>
      </w:r>
      <w:r w:rsidR="00415667" w:rsidRPr="00C3264F">
        <w:rPr>
          <w:color w:val="000000"/>
          <w:shd w:val="clear" w:color="auto" w:fill="FFFFFF"/>
        </w:rPr>
        <w:t>e conducted</w:t>
      </w:r>
      <w:r w:rsidR="00C2173B">
        <w:rPr>
          <w:color w:val="000000"/>
          <w:shd w:val="clear" w:color="auto" w:fill="FFFFFF"/>
        </w:rPr>
        <w:t xml:space="preserve"> a frequency</w:t>
      </w:r>
      <w:r w:rsidR="00BD5BB4">
        <w:rPr>
          <w:color w:val="000000"/>
          <w:shd w:val="clear" w:color="auto" w:fill="FFFFFF"/>
        </w:rPr>
        <w:t>-</w:t>
      </w:r>
      <w:r w:rsidR="00C2173B">
        <w:rPr>
          <w:color w:val="000000"/>
          <w:shd w:val="clear" w:color="auto" w:fill="FFFFFF"/>
        </w:rPr>
        <w:t>matched</w:t>
      </w:r>
      <w:r w:rsidR="00BD5BB4">
        <w:rPr>
          <w:color w:val="000000"/>
          <w:shd w:val="clear" w:color="auto" w:fill="FFFFFF"/>
        </w:rPr>
        <w:t>,</w:t>
      </w:r>
      <w:r w:rsidR="00415667">
        <w:t xml:space="preserve"> </w:t>
      </w:r>
      <w:r w:rsidR="001718D1">
        <w:t>longitudinal</w:t>
      </w:r>
      <w:r w:rsidR="00BD5BB4">
        <w:t>,</w:t>
      </w:r>
      <w:r w:rsidR="001718D1">
        <w:t xml:space="preserve"> </w:t>
      </w:r>
      <w:r w:rsidR="00C2173B">
        <w:t>retrospective</w:t>
      </w:r>
      <w:r w:rsidR="00C2173B" w:rsidDel="00C2173B">
        <w:t xml:space="preserve"> </w:t>
      </w:r>
      <w:r w:rsidR="00C2173B">
        <w:t xml:space="preserve">cohort </w:t>
      </w:r>
      <w:r w:rsidR="00415667">
        <w:t>stud</w:t>
      </w:r>
      <w:r w:rsidR="00C2173B">
        <w:t>y</w:t>
      </w:r>
      <w:r w:rsidR="00415667">
        <w:t xml:space="preserve"> </w:t>
      </w:r>
      <w:r w:rsidR="00F56D12">
        <w:t xml:space="preserve">using </w:t>
      </w:r>
      <w:r w:rsidR="00C2173B">
        <w:t xml:space="preserve">data </w:t>
      </w:r>
      <w:r w:rsidR="001718D1">
        <w:t>from</w:t>
      </w:r>
      <w:r w:rsidR="00F56D12">
        <w:t xml:space="preserve"> </w:t>
      </w:r>
      <w:r w:rsidR="001718D1">
        <w:t>hospitali</w:t>
      </w:r>
      <w:r w:rsidR="0064553B">
        <w:t>z</w:t>
      </w:r>
      <w:r w:rsidR="001718D1">
        <w:t xml:space="preserve">ed </w:t>
      </w:r>
      <w:r>
        <w:t>patie</w:t>
      </w:r>
      <w:r w:rsidR="00F56D12">
        <w:t>n</w:t>
      </w:r>
      <w:r>
        <w:t>ts</w:t>
      </w:r>
      <w:r w:rsidR="00D748DA">
        <w:t xml:space="preserve"> </w:t>
      </w:r>
      <w:r w:rsidR="001718D1">
        <w:t>linked to</w:t>
      </w:r>
      <w:r w:rsidR="00C2173B">
        <w:t xml:space="preserve"> </w:t>
      </w:r>
      <w:r w:rsidR="00D50BE2">
        <w:t xml:space="preserve">a </w:t>
      </w:r>
      <w:r w:rsidR="00F56D12">
        <w:t xml:space="preserve">primary care </w:t>
      </w:r>
      <w:r w:rsidR="00D50BE2">
        <w:t xml:space="preserve">database </w:t>
      </w:r>
      <w:r w:rsidR="00C2173B">
        <w:t xml:space="preserve">and </w:t>
      </w:r>
      <w:r w:rsidR="00D50BE2">
        <w:t xml:space="preserve">a </w:t>
      </w:r>
      <w:r w:rsidR="00536A77">
        <w:t xml:space="preserve">national </w:t>
      </w:r>
      <w:r w:rsidR="00C2173B">
        <w:t>death registry</w:t>
      </w:r>
      <w:r w:rsidR="00E93B66">
        <w:t>,</w:t>
      </w:r>
      <w:r w:rsidR="00C2173B">
        <w:t xml:space="preserve"> </w:t>
      </w:r>
      <w:r w:rsidR="0003271A">
        <w:t>to assess the risk of</w:t>
      </w:r>
      <w:r w:rsidR="00915A0F">
        <w:t xml:space="preserve"> </w:t>
      </w:r>
      <w:r w:rsidR="005C4FFA">
        <w:t xml:space="preserve">mortality and </w:t>
      </w:r>
      <w:r w:rsidR="00915A0F">
        <w:t xml:space="preserve">complications </w:t>
      </w:r>
      <w:r w:rsidR="00415667">
        <w:t xml:space="preserve">among </w:t>
      </w:r>
      <w:r w:rsidR="001718D1">
        <w:t>p</w:t>
      </w:r>
      <w:r w:rsidR="00837685">
        <w:t xml:space="preserve">atients with </w:t>
      </w:r>
      <w:r w:rsidR="00924715">
        <w:t>hospital-associated (</w:t>
      </w:r>
      <w:r w:rsidR="00915A0F">
        <w:t>HA</w:t>
      </w:r>
      <w:r w:rsidR="00924715">
        <w:t>)</w:t>
      </w:r>
      <w:r w:rsidR="00915A0F">
        <w:t>-</w:t>
      </w:r>
      <w:r w:rsidR="00837685">
        <w:t>CDI</w:t>
      </w:r>
      <w:r w:rsidR="003F14E6" w:rsidRPr="003F14E6">
        <w:t xml:space="preserve"> </w:t>
      </w:r>
      <w:r w:rsidR="001815DC">
        <w:t xml:space="preserve">versus no CDI, </w:t>
      </w:r>
      <w:r w:rsidR="003F14E6">
        <w:t>during 1</w:t>
      </w:r>
      <w:r w:rsidR="001D720B" w:rsidRPr="003B3515">
        <w:rPr>
          <w:vertAlign w:val="superscript"/>
        </w:rPr>
        <w:t>st</w:t>
      </w:r>
      <w:r w:rsidR="003F14E6">
        <w:t xml:space="preserve"> January 2002 to 31</w:t>
      </w:r>
      <w:r w:rsidR="001D720B" w:rsidRPr="003B3515">
        <w:rPr>
          <w:vertAlign w:val="superscript"/>
        </w:rPr>
        <w:t>st</w:t>
      </w:r>
      <w:r w:rsidR="003F14E6">
        <w:t xml:space="preserve"> December 2013</w:t>
      </w:r>
      <w:r w:rsidR="001718D1">
        <w:t xml:space="preserve">. </w:t>
      </w:r>
      <w:bookmarkStart w:id="0" w:name="_Hlk29567306"/>
      <w:r w:rsidR="001718D1">
        <w:t xml:space="preserve">We separately assessed the </w:t>
      </w:r>
      <w:r w:rsidR="003A3A9B" w:rsidRPr="003A3A9B">
        <w:t xml:space="preserve">risk of mortality and complications in </w:t>
      </w:r>
      <w:r w:rsidR="003A3A9B">
        <w:t>patients</w:t>
      </w:r>
      <w:r w:rsidR="003A3A9B" w:rsidRPr="003A3A9B">
        <w:t xml:space="preserve"> with recurrent CDI versus patients with non-recurrent CDI</w:t>
      </w:r>
      <w:bookmarkEnd w:id="0"/>
      <w:r w:rsidR="0003271A" w:rsidRPr="00B155FC">
        <w:t>.</w:t>
      </w:r>
      <w:r w:rsidR="00B155FC">
        <w:t xml:space="preserve"> </w:t>
      </w:r>
    </w:p>
    <w:p w14:paraId="46D0EEDB" w14:textId="59728EA5" w:rsidR="009A4EC6" w:rsidRDefault="009A4EC6"/>
    <w:p w14:paraId="1AD73C5E" w14:textId="77777777" w:rsidR="009A4EC6" w:rsidRDefault="009A4EC6"/>
    <w:p w14:paraId="0E14CC1B" w14:textId="37DFFD4E" w:rsidR="00947BBA" w:rsidRDefault="000A02C8" w:rsidP="0073622B">
      <w:pPr>
        <w:pStyle w:val="Heading1"/>
        <w:spacing w:before="0" w:after="0"/>
      </w:pPr>
      <w:r>
        <w:t>M</w:t>
      </w:r>
      <w:r w:rsidR="00947BBA" w:rsidRPr="00C25695">
        <w:t>ethods</w:t>
      </w:r>
    </w:p>
    <w:p w14:paraId="27057A12" w14:textId="77777777" w:rsidR="00B73061" w:rsidRPr="0073622B" w:rsidRDefault="00B73061" w:rsidP="003B3515"/>
    <w:p w14:paraId="64F72A18" w14:textId="277FEE26" w:rsidR="00947BBA" w:rsidRDefault="007E22AF" w:rsidP="003B3515">
      <w:pPr>
        <w:pStyle w:val="Heading2"/>
        <w:spacing w:before="0"/>
        <w:contextualSpacing/>
      </w:pPr>
      <w:r>
        <w:lastRenderedPageBreak/>
        <w:t>Data sources</w:t>
      </w:r>
      <w:r w:rsidR="00947BBA" w:rsidRPr="00C25695">
        <w:t xml:space="preserve"> </w:t>
      </w:r>
    </w:p>
    <w:p w14:paraId="71DFF5A7" w14:textId="77777777" w:rsidR="00B73061" w:rsidRPr="0073622B" w:rsidRDefault="00B73061" w:rsidP="003B3515"/>
    <w:p w14:paraId="7BAB9A72" w14:textId="07E52A50" w:rsidR="000025DA" w:rsidRDefault="003F14E6" w:rsidP="00B5140F">
      <w:pPr>
        <w:autoSpaceDE w:val="0"/>
        <w:autoSpaceDN w:val="0"/>
        <w:adjustRightInd w:val="0"/>
        <w:rPr>
          <w:lang w:val="en-US"/>
        </w:rPr>
      </w:pPr>
      <w:r>
        <w:rPr>
          <w:rFonts w:eastAsia="MS Mincho"/>
          <w:lang w:val="en-US"/>
        </w:rPr>
        <w:t>Data</w:t>
      </w:r>
      <w:r w:rsidR="00306848" w:rsidRPr="000E68CF">
        <w:rPr>
          <w:rFonts w:eastAsia="MS Mincho"/>
          <w:lang w:val="en-US"/>
        </w:rPr>
        <w:t xml:space="preserve"> were extracted from the UK Clinical Practice Research Datalink (CPRD</w:t>
      </w:r>
      <w:r w:rsidR="00306848">
        <w:rPr>
          <w:rFonts w:eastAsia="MS Mincho"/>
          <w:lang w:val="en-US"/>
        </w:rPr>
        <w:t xml:space="preserve"> GOLD</w:t>
      </w:r>
      <w:r w:rsidR="00306848" w:rsidRPr="000E68CF">
        <w:rPr>
          <w:rFonts w:eastAsia="MS Mincho"/>
          <w:lang w:val="en-US"/>
        </w:rPr>
        <w:t xml:space="preserve">), </w:t>
      </w:r>
      <w:r w:rsidR="00657F52">
        <w:rPr>
          <w:rFonts w:eastAsia="MS Mincho"/>
          <w:lang w:val="en-US"/>
        </w:rPr>
        <w:t xml:space="preserve">a </w:t>
      </w:r>
      <w:r w:rsidR="003A66FF">
        <w:rPr>
          <w:rFonts w:eastAsia="MS Mincho"/>
          <w:lang w:val="en-US"/>
        </w:rPr>
        <w:t xml:space="preserve">longitudinal </w:t>
      </w:r>
      <w:r w:rsidR="00657F52" w:rsidRPr="00657F52">
        <w:rPr>
          <w:rFonts w:eastAsia="MS Mincho"/>
          <w:lang w:val="en-US"/>
        </w:rPr>
        <w:t>primary care electronic database</w:t>
      </w:r>
      <w:r w:rsidR="00747B12">
        <w:rPr>
          <w:rFonts w:eastAsia="MS Mincho"/>
          <w:lang w:val="en-US"/>
        </w:rPr>
        <w:t xml:space="preserve"> of </w:t>
      </w:r>
      <w:r w:rsidR="005F463A">
        <w:rPr>
          <w:rFonts w:eastAsia="MS Mincho"/>
          <w:lang w:val="en-US"/>
        </w:rPr>
        <w:t>anonymi</w:t>
      </w:r>
      <w:r w:rsidR="0064553B">
        <w:rPr>
          <w:rFonts w:eastAsia="MS Mincho"/>
          <w:lang w:val="en-US"/>
        </w:rPr>
        <w:t>z</w:t>
      </w:r>
      <w:r w:rsidR="005F463A">
        <w:rPr>
          <w:rFonts w:eastAsia="MS Mincho"/>
          <w:lang w:val="en-US"/>
        </w:rPr>
        <w:t xml:space="preserve">ed </w:t>
      </w:r>
      <w:r w:rsidR="00747B12">
        <w:rPr>
          <w:rFonts w:eastAsia="MS Mincho"/>
          <w:lang w:val="en-US"/>
        </w:rPr>
        <w:t>patient records</w:t>
      </w:r>
      <w:r w:rsidR="005C4FFA">
        <w:rPr>
          <w:rFonts w:eastAsia="MS Mincho"/>
          <w:lang w:val="en-US"/>
        </w:rPr>
        <w:t>,</w:t>
      </w:r>
      <w:r w:rsidR="00A17DCC">
        <w:rPr>
          <w:rFonts w:eastAsia="MS Mincho"/>
          <w:lang w:val="en-US"/>
        </w:rPr>
        <w:t xml:space="preserve"> </w:t>
      </w:r>
      <w:r w:rsidR="00306848">
        <w:rPr>
          <w:rFonts w:eastAsia="MS Mincho"/>
          <w:lang w:val="en-US"/>
        </w:rPr>
        <w:t xml:space="preserve">collected </w:t>
      </w:r>
      <w:r w:rsidR="00A17DCC">
        <w:rPr>
          <w:rFonts w:eastAsia="MS Mincho"/>
          <w:lang w:val="en-US"/>
        </w:rPr>
        <w:t xml:space="preserve">from </w:t>
      </w:r>
      <w:r w:rsidR="004F351D">
        <w:rPr>
          <w:rFonts w:eastAsia="MS Mincho"/>
          <w:lang w:val="en-US"/>
        </w:rPr>
        <w:t xml:space="preserve">a sample of </w:t>
      </w:r>
      <w:r w:rsidR="00306848">
        <w:rPr>
          <w:rFonts w:eastAsia="MS Mincho"/>
          <w:lang w:val="en-US"/>
        </w:rPr>
        <w:t xml:space="preserve">general </w:t>
      </w:r>
      <w:r w:rsidR="004F351D">
        <w:rPr>
          <w:rFonts w:eastAsia="MS Mincho"/>
          <w:lang w:val="en-US"/>
        </w:rPr>
        <w:t>practices in the</w:t>
      </w:r>
      <w:r w:rsidR="00A17DCC">
        <w:rPr>
          <w:rFonts w:eastAsia="MS Mincho"/>
          <w:lang w:val="en-US"/>
        </w:rPr>
        <w:t xml:space="preserve"> UK</w:t>
      </w:r>
      <w:r w:rsidR="00306848">
        <w:rPr>
          <w:rFonts w:eastAsia="MS Mincho"/>
          <w:lang w:val="en-US"/>
        </w:rPr>
        <w:t xml:space="preserve">. </w:t>
      </w:r>
      <w:r w:rsidR="005F463A">
        <w:rPr>
          <w:rFonts w:eastAsia="MS Mincho"/>
          <w:lang w:val="en-US"/>
        </w:rPr>
        <w:t xml:space="preserve">Analyses were restricted to </w:t>
      </w:r>
      <w:r w:rsidR="00306848" w:rsidRPr="000E68CF">
        <w:rPr>
          <w:rFonts w:eastAsia="MS Mincho"/>
          <w:lang w:val="en-US"/>
        </w:rPr>
        <w:t xml:space="preserve">380 </w:t>
      </w:r>
      <w:r w:rsidR="00747B12">
        <w:t>practices</w:t>
      </w:r>
      <w:r w:rsidR="004F536F">
        <w:t xml:space="preserve"> </w:t>
      </w:r>
      <w:r w:rsidR="002D7A7A">
        <w:t xml:space="preserve">in England </w:t>
      </w:r>
      <w:r w:rsidR="004F536F">
        <w:t>with individual record</w:t>
      </w:r>
      <w:r w:rsidR="004320E7">
        <w:t xml:space="preserve"> </w:t>
      </w:r>
      <w:r w:rsidR="00747B12">
        <w:t>link</w:t>
      </w:r>
      <w:r w:rsidR="004F351D">
        <w:t>age</w:t>
      </w:r>
      <w:r w:rsidR="00747B12">
        <w:t xml:space="preserve"> </w:t>
      </w:r>
      <w:r w:rsidR="00747B12">
        <w:rPr>
          <w:rFonts w:eastAsia="MS Mincho"/>
          <w:lang w:val="en-US"/>
        </w:rPr>
        <w:t xml:space="preserve">to </w:t>
      </w:r>
      <w:r w:rsidR="005C4FFA">
        <w:rPr>
          <w:rFonts w:eastAsia="MS Mincho"/>
          <w:lang w:val="en-US"/>
        </w:rPr>
        <w:t>Hospital Episode Statistics (</w:t>
      </w:r>
      <w:r w:rsidR="00C30E68" w:rsidRPr="00616615">
        <w:rPr>
          <w:rFonts w:eastAsia="MS Mincho"/>
          <w:bCs/>
          <w:lang w:val="en-US"/>
        </w:rPr>
        <w:t>HES</w:t>
      </w:r>
      <w:r w:rsidR="0038509D">
        <w:rPr>
          <w:rFonts w:eastAsia="MS Mincho"/>
          <w:bCs/>
          <w:lang w:val="en-US"/>
        </w:rPr>
        <w:t>)</w:t>
      </w:r>
      <w:r w:rsidR="009C1AF7">
        <w:rPr>
          <w:rFonts w:eastAsia="MS Mincho"/>
          <w:bCs/>
          <w:lang w:val="en-US"/>
        </w:rPr>
        <w:t xml:space="preserve"> </w:t>
      </w:r>
      <w:r w:rsidR="0004739F">
        <w:rPr>
          <w:rFonts w:eastAsia="MS Mincho"/>
          <w:bCs/>
          <w:lang w:val="en-US"/>
        </w:rPr>
        <w:t>A</w:t>
      </w:r>
      <w:r w:rsidR="005842CC">
        <w:rPr>
          <w:rFonts w:eastAsia="MS Mincho"/>
          <w:bCs/>
          <w:lang w:val="en-US"/>
        </w:rPr>
        <w:t xml:space="preserve">dmitted Patient </w:t>
      </w:r>
      <w:r w:rsidR="0004739F">
        <w:rPr>
          <w:rFonts w:eastAsia="MS Mincho"/>
          <w:bCs/>
          <w:lang w:val="en-US"/>
        </w:rPr>
        <w:t>C</w:t>
      </w:r>
      <w:r w:rsidR="005842CC">
        <w:rPr>
          <w:rFonts w:eastAsia="MS Mincho"/>
          <w:bCs/>
          <w:lang w:val="en-US"/>
        </w:rPr>
        <w:t xml:space="preserve">are </w:t>
      </w:r>
      <w:r w:rsidR="002D7A7A">
        <w:rPr>
          <w:rFonts w:eastAsia="MS Mincho"/>
          <w:bCs/>
          <w:lang w:val="en-US"/>
        </w:rPr>
        <w:t xml:space="preserve">(APC) </w:t>
      </w:r>
      <w:r w:rsidR="005842CC">
        <w:rPr>
          <w:rFonts w:eastAsia="MS Mincho"/>
          <w:bCs/>
          <w:lang w:val="en-US"/>
        </w:rPr>
        <w:t>data</w:t>
      </w:r>
      <w:r w:rsidR="005C4FFA">
        <w:rPr>
          <w:rFonts w:eastAsia="MS Mincho"/>
          <w:bCs/>
          <w:lang w:val="en-US"/>
        </w:rPr>
        <w:t>,</w:t>
      </w:r>
      <w:r w:rsidR="00142A2E">
        <w:rPr>
          <w:rFonts w:eastAsia="MS Mincho"/>
          <w:bCs/>
          <w:lang w:val="en-US"/>
        </w:rPr>
        <w:t xml:space="preserve"> which comprise </w:t>
      </w:r>
      <w:r w:rsidR="00BD3895" w:rsidRPr="00616615">
        <w:rPr>
          <w:rFonts w:eastAsia="MS Mincho"/>
          <w:lang w:val="en-US"/>
        </w:rPr>
        <w:t>admission and discharge dates</w:t>
      </w:r>
      <w:r w:rsidR="005C4FFA">
        <w:rPr>
          <w:rFonts w:eastAsia="MS Mincho"/>
          <w:lang w:val="en-US"/>
        </w:rPr>
        <w:t xml:space="preserve"> plus information on </w:t>
      </w:r>
      <w:r w:rsidR="00142A2E">
        <w:rPr>
          <w:rFonts w:eastAsia="MS Mincho"/>
          <w:lang w:val="en-US"/>
        </w:rPr>
        <w:t>clinical</w:t>
      </w:r>
      <w:r w:rsidR="00BD3895" w:rsidRPr="00616615">
        <w:rPr>
          <w:rFonts w:eastAsia="MS Mincho"/>
          <w:lang w:val="en-US"/>
        </w:rPr>
        <w:t xml:space="preserve"> diagnoses </w:t>
      </w:r>
      <w:r w:rsidR="00BD3895">
        <w:rPr>
          <w:rFonts w:eastAsia="MS Mincho"/>
          <w:lang w:val="en-US"/>
        </w:rPr>
        <w:t>and procedures</w:t>
      </w:r>
      <w:r w:rsidR="00797514">
        <w:rPr>
          <w:rFonts w:eastAsia="MS Mincho"/>
          <w:lang w:val="en-US"/>
        </w:rPr>
        <w:t xml:space="preserve"> </w:t>
      </w:r>
      <w:r w:rsidR="00DC50B1">
        <w:rPr>
          <w:rFonts w:eastAsia="MS Mincho"/>
          <w:lang w:val="en-US"/>
        </w:rPr>
        <w:t xml:space="preserve">collected from </w:t>
      </w:r>
      <w:r w:rsidR="005C4FFA">
        <w:rPr>
          <w:rFonts w:eastAsia="MS Mincho"/>
          <w:lang w:val="en-US"/>
        </w:rPr>
        <w:t xml:space="preserve">English </w:t>
      </w:r>
      <w:r>
        <w:rPr>
          <w:rFonts w:eastAsia="MS Mincho"/>
          <w:lang w:val="en-US"/>
        </w:rPr>
        <w:t>hospitals</w:t>
      </w:r>
      <w:r w:rsidR="006837F0">
        <w:rPr>
          <w:rFonts w:eastAsia="MS Mincho"/>
          <w:lang w:val="en-US"/>
        </w:rPr>
        <w:t xml:space="preserve"> </w:t>
      </w:r>
      <w:r w:rsidR="00C44BC5">
        <w:rPr>
          <w:rFonts w:eastAsia="MS Mincho"/>
          <w:lang w:val="en-US"/>
        </w:rPr>
        <w:fldChar w:fldCharType="begin" w:fldLock="1"/>
      </w:r>
      <w:r w:rsidR="005E0B17">
        <w:rPr>
          <w:rFonts w:eastAsia="MS Mincho"/>
          <w:lang w:val="en-US"/>
        </w:rPr>
        <w:instrText>ADDIN CSL_CITATION {"citationItems":[{"id":"ITEM-1","itemData":{"URL":"https://digital.nhs.uk/data-and-information/data-tools-and-services/data-services/hospital-episode-statistics","accessed":{"date-parts":[["2020","3","12"]]},"author":[{"dropping-particle":"","family":"UK National Health Service","given":"","non-dropping-particle":"","parse-names":false,"suffix":""}],"id":"ITEM-1","issued":{"date-parts":[["2019"]]},"title":"Hospital Episode Statistics","type":"webpage"},"uris":["http://www.mendeley.com/documents/?uuid=f39fe5d3-364c-4ea2-b441-7fb3c9e1a524"]}],"mendeley":{"formattedCitation":"[26]","plainTextFormattedCitation":"[26]","previouslyFormattedCitation":"[26]"},"properties":{"noteIndex":0},"schema":"https://github.com/citation-style-language/schema/raw/master/csl-citation.json"}</w:instrText>
      </w:r>
      <w:r w:rsidR="00C44BC5">
        <w:rPr>
          <w:rFonts w:eastAsia="MS Mincho"/>
          <w:lang w:val="en-US"/>
        </w:rPr>
        <w:fldChar w:fldCharType="separate"/>
      </w:r>
      <w:r w:rsidR="005E0B17" w:rsidRPr="005E0B17">
        <w:rPr>
          <w:rFonts w:eastAsia="MS Mincho"/>
          <w:noProof/>
          <w:lang w:val="en-US"/>
        </w:rPr>
        <w:t>[26]</w:t>
      </w:r>
      <w:r w:rsidR="00C44BC5">
        <w:rPr>
          <w:rFonts w:eastAsia="MS Mincho"/>
          <w:lang w:val="en-US"/>
        </w:rPr>
        <w:fldChar w:fldCharType="end"/>
      </w:r>
      <w:r w:rsidR="009C1AF7">
        <w:rPr>
          <w:rFonts w:eastAsia="MS Mincho"/>
          <w:lang w:val="en-US"/>
        </w:rPr>
        <w:t xml:space="preserve">; the </w:t>
      </w:r>
      <w:r w:rsidR="00620923">
        <w:rPr>
          <w:rFonts w:eastAsia="MS Mincho"/>
          <w:lang w:val="en-US"/>
        </w:rPr>
        <w:t xml:space="preserve">Office </w:t>
      </w:r>
      <w:r w:rsidR="005842CC">
        <w:rPr>
          <w:rFonts w:eastAsia="MS Mincho"/>
          <w:lang w:val="en-US"/>
        </w:rPr>
        <w:t>for</w:t>
      </w:r>
      <w:r w:rsidR="00620923">
        <w:rPr>
          <w:rFonts w:eastAsia="MS Mincho"/>
          <w:lang w:val="en-US"/>
        </w:rPr>
        <w:t xml:space="preserve"> National Statistics (</w:t>
      </w:r>
      <w:r w:rsidR="00C30E68" w:rsidRPr="00616615">
        <w:rPr>
          <w:rFonts w:eastAsiaTheme="minorEastAsia"/>
          <w:bCs/>
          <w:lang w:val="en-US"/>
        </w:rPr>
        <w:t>ONS</w:t>
      </w:r>
      <w:r w:rsidR="00620923">
        <w:rPr>
          <w:rFonts w:eastAsiaTheme="minorEastAsia"/>
          <w:bCs/>
          <w:lang w:val="en-US"/>
        </w:rPr>
        <w:t>)</w:t>
      </w:r>
      <w:r w:rsidR="00C30E68" w:rsidRPr="00616615">
        <w:rPr>
          <w:rFonts w:eastAsia="MS Mincho"/>
          <w:lang w:val="en-US"/>
        </w:rPr>
        <w:t xml:space="preserve"> </w:t>
      </w:r>
      <w:r w:rsidR="009C1AF7">
        <w:rPr>
          <w:rFonts w:eastAsia="MS Mincho"/>
          <w:lang w:val="en-US"/>
        </w:rPr>
        <w:t>database</w:t>
      </w:r>
      <w:r w:rsidR="00C04788">
        <w:rPr>
          <w:rFonts w:eastAsia="MS Mincho"/>
          <w:lang w:val="en-US"/>
        </w:rPr>
        <w:t>,</w:t>
      </w:r>
      <w:r w:rsidR="009C1AF7">
        <w:rPr>
          <w:rFonts w:eastAsia="MS Mincho"/>
          <w:lang w:val="en-US"/>
        </w:rPr>
        <w:t xml:space="preserve"> </w:t>
      </w:r>
      <w:r w:rsidR="005C4FFA">
        <w:rPr>
          <w:rFonts w:eastAsia="MS Mincho"/>
          <w:lang w:val="en-US"/>
        </w:rPr>
        <w:t xml:space="preserve">which </w:t>
      </w:r>
      <w:r w:rsidR="00132746">
        <w:rPr>
          <w:rFonts w:eastAsia="MS Mincho"/>
          <w:lang w:val="en-US"/>
        </w:rPr>
        <w:t>hold</w:t>
      </w:r>
      <w:r w:rsidR="005C4FFA">
        <w:rPr>
          <w:rFonts w:eastAsia="MS Mincho"/>
          <w:lang w:val="en-US"/>
        </w:rPr>
        <w:t>s</w:t>
      </w:r>
      <w:r w:rsidR="00C04788">
        <w:rPr>
          <w:rFonts w:eastAsia="MS Mincho"/>
          <w:lang w:val="en-US"/>
        </w:rPr>
        <w:t xml:space="preserve"> </w:t>
      </w:r>
      <w:r w:rsidR="00C44BC5">
        <w:rPr>
          <w:rFonts w:eastAsia="MS Mincho"/>
          <w:lang w:val="en-US"/>
        </w:rPr>
        <w:t xml:space="preserve">data </w:t>
      </w:r>
      <w:r w:rsidR="004F351D">
        <w:rPr>
          <w:rFonts w:eastAsia="MS Mincho"/>
          <w:lang w:val="en-US"/>
        </w:rPr>
        <w:t xml:space="preserve">on </w:t>
      </w:r>
      <w:r w:rsidR="005C4FFA">
        <w:rPr>
          <w:rFonts w:eastAsia="MS Mincho"/>
          <w:lang w:val="en-US"/>
        </w:rPr>
        <w:t xml:space="preserve">the </w:t>
      </w:r>
      <w:r w:rsidR="00106911">
        <w:rPr>
          <w:rFonts w:eastAsia="MS Mincho"/>
          <w:lang w:val="en-US"/>
        </w:rPr>
        <w:t xml:space="preserve">date and </w:t>
      </w:r>
      <w:r w:rsidR="00C30E68" w:rsidRPr="00616615">
        <w:rPr>
          <w:rFonts w:eastAsia="MS Mincho"/>
          <w:lang w:val="en-US"/>
        </w:rPr>
        <w:t>cause of death</w:t>
      </w:r>
      <w:r w:rsidR="00161481">
        <w:rPr>
          <w:rFonts w:eastAsia="MS Mincho"/>
          <w:lang w:val="en-US"/>
        </w:rPr>
        <w:t xml:space="preserve"> </w:t>
      </w:r>
      <w:r w:rsidR="00161481">
        <w:rPr>
          <w:rFonts w:eastAsia="MS Mincho"/>
          <w:lang w:val="en-US"/>
        </w:rPr>
        <w:fldChar w:fldCharType="begin" w:fldLock="1"/>
      </w:r>
      <w:r w:rsidR="005E0B17">
        <w:rPr>
          <w:rFonts w:eastAsia="MS Mincho"/>
          <w:lang w:val="en-US"/>
        </w:rPr>
        <w:instrText>ADDIN CSL_CITATION {"citationItems":[{"id":"ITEM-1","itemData":{"URL":"https://www.ons.gov.uk/","accessed":{"date-parts":[["2020","3","12"]]},"author":[{"dropping-particle":"","family":"UK Statistics Authority","given":"","non-dropping-particle":"","parse-names":false,"suffix":""}],"id":"ITEM-1","issued":{"date-parts":[["0"]]},"title":"Office for National Statistics","type":"webpage"},"uris":["http://www.mendeley.com/documents/?uuid=02ab8bd4-2a7c-4342-82b5-218f03439e1c"]}],"mendeley":{"formattedCitation":"[27]","plainTextFormattedCitation":"[27]","previouslyFormattedCitation":"[27]"},"properties":{"noteIndex":0},"schema":"https://github.com/citation-style-language/schema/raw/master/csl-citation.json"}</w:instrText>
      </w:r>
      <w:r w:rsidR="00161481">
        <w:rPr>
          <w:rFonts w:eastAsia="MS Mincho"/>
          <w:lang w:val="en-US"/>
        </w:rPr>
        <w:fldChar w:fldCharType="separate"/>
      </w:r>
      <w:r w:rsidR="005E0B17" w:rsidRPr="005E0B17">
        <w:rPr>
          <w:rFonts w:eastAsia="MS Mincho"/>
          <w:noProof/>
          <w:lang w:val="en-US"/>
        </w:rPr>
        <w:t>[27]</w:t>
      </w:r>
      <w:r w:rsidR="00161481">
        <w:rPr>
          <w:rFonts w:eastAsia="MS Mincho"/>
          <w:lang w:val="en-US"/>
        </w:rPr>
        <w:fldChar w:fldCharType="end"/>
      </w:r>
      <w:r w:rsidR="009C1AF7">
        <w:rPr>
          <w:rFonts w:eastAsia="MS Mincho"/>
          <w:lang w:val="en-US"/>
        </w:rPr>
        <w:t>;</w:t>
      </w:r>
      <w:r w:rsidR="00BD3895">
        <w:rPr>
          <w:rFonts w:eastAsia="MS Mincho"/>
          <w:lang w:val="en-US"/>
        </w:rPr>
        <w:t xml:space="preserve"> and</w:t>
      </w:r>
      <w:r w:rsidR="004320E7">
        <w:rPr>
          <w:rFonts w:eastAsia="MS Mincho"/>
          <w:lang w:val="en-US"/>
        </w:rPr>
        <w:t>/or</w:t>
      </w:r>
      <w:r w:rsidR="009C1AF7">
        <w:rPr>
          <w:rFonts w:eastAsia="MS Mincho"/>
          <w:lang w:val="en-US"/>
        </w:rPr>
        <w:t xml:space="preserve"> </w:t>
      </w:r>
      <w:r w:rsidR="009C1AF7">
        <w:t xml:space="preserve">the </w:t>
      </w:r>
      <w:r w:rsidR="004564F2">
        <w:t>Index of Multiple Deprivation (IMD)</w:t>
      </w:r>
      <w:r w:rsidR="00C04788">
        <w:t xml:space="preserve">, </w:t>
      </w:r>
      <w:r w:rsidR="00BD3895">
        <w:t xml:space="preserve">which </w:t>
      </w:r>
      <w:r w:rsidR="00BD3895" w:rsidRPr="00BD3895">
        <w:t>combines a number of</w:t>
      </w:r>
      <w:r w:rsidR="00BD3895">
        <w:t xml:space="preserve"> economic and social</w:t>
      </w:r>
      <w:r w:rsidR="00BD3895" w:rsidRPr="00BD3895">
        <w:t xml:space="preserve"> indicators into a single deprivation score </w:t>
      </w:r>
      <w:r w:rsidR="00C44BC5">
        <w:t>based on area of residence</w:t>
      </w:r>
      <w:r w:rsidR="00161481">
        <w:t xml:space="preserve"> </w:t>
      </w:r>
      <w:r w:rsidR="00161481">
        <w:fldChar w:fldCharType="begin" w:fldLock="1"/>
      </w:r>
      <w:r w:rsidR="005E0B17">
        <w:instrText>ADDIN CSL_CITATION {"citationItems":[{"id":"ITEM-1","itemData":{"URL":"https://www.gov.uk/government/statistics/english-indices-of-deprivation-2019","accessed":{"date-parts":[["2020","3","12"]]},"author":[{"dropping-particle":"","family":"UK Government","given":"","non-dropping-particle":"","parse-names":false,"suffix":""}],"id":"ITEM-1","issued":{"date-parts":[["2019"]]},"title":"English indices of deprivation","type":"webpage"},"uris":["http://www.mendeley.com/documents/?uuid=9ca9bf40-558a-470a-ac0b-2ae26f09b05d"]}],"mendeley":{"formattedCitation":"[28]","plainTextFormattedCitation":"[28]","previouslyFormattedCitation":"[28]"},"properties":{"noteIndex":0},"schema":"https://github.com/citation-style-language/schema/raw/master/csl-citation.json"}</w:instrText>
      </w:r>
      <w:r w:rsidR="00161481">
        <w:fldChar w:fldCharType="separate"/>
      </w:r>
      <w:r w:rsidR="005E0B17" w:rsidRPr="005E0B17">
        <w:rPr>
          <w:noProof/>
        </w:rPr>
        <w:t>[28]</w:t>
      </w:r>
      <w:r w:rsidR="00161481">
        <w:fldChar w:fldCharType="end"/>
      </w:r>
      <w:r w:rsidR="009C1AF7">
        <w:t>.</w:t>
      </w:r>
      <w:r w:rsidR="004320E7">
        <w:t xml:space="preserve"> </w:t>
      </w:r>
      <w:r w:rsidR="0062519F" w:rsidRPr="0062519F">
        <w:rPr>
          <w:lang w:val="en-US"/>
        </w:rPr>
        <w:t xml:space="preserve">In the case of </w:t>
      </w:r>
      <w:r w:rsidR="00D87858">
        <w:rPr>
          <w:lang w:val="en-US"/>
        </w:rPr>
        <w:t xml:space="preserve">the </w:t>
      </w:r>
      <w:r w:rsidR="0062519F" w:rsidRPr="0062519F">
        <w:rPr>
          <w:lang w:val="en-US"/>
        </w:rPr>
        <w:t>IMD, which rank</w:t>
      </w:r>
      <w:r w:rsidR="00D87858">
        <w:rPr>
          <w:lang w:val="en-US"/>
        </w:rPr>
        <w:t>s</w:t>
      </w:r>
      <w:r w:rsidR="0062519F" w:rsidRPr="0062519F">
        <w:rPr>
          <w:lang w:val="en-US"/>
        </w:rPr>
        <w:t xml:space="preserve"> areas relative to one another from 1 to 32,844, the raw scores were categori</w:t>
      </w:r>
      <w:r w:rsidR="00B5140F">
        <w:rPr>
          <w:lang w:val="en-US"/>
        </w:rPr>
        <w:t>z</w:t>
      </w:r>
      <w:r w:rsidR="0062519F" w:rsidRPr="0062519F">
        <w:rPr>
          <w:lang w:val="en-US"/>
        </w:rPr>
        <w:t xml:space="preserve">ed </w:t>
      </w:r>
      <w:r w:rsidR="0062519F">
        <w:rPr>
          <w:lang w:val="en-US"/>
        </w:rPr>
        <w:t>into</w:t>
      </w:r>
      <w:r w:rsidR="0062519F" w:rsidRPr="0062519F">
        <w:rPr>
          <w:lang w:val="en-US"/>
        </w:rPr>
        <w:t xml:space="preserve"> quintile</w:t>
      </w:r>
      <w:r w:rsidR="0062519F">
        <w:rPr>
          <w:lang w:val="en-US"/>
        </w:rPr>
        <w:t>s,</w:t>
      </w:r>
      <w:r w:rsidR="0062519F" w:rsidRPr="0062519F">
        <w:rPr>
          <w:lang w:val="en-US"/>
        </w:rPr>
        <w:t xml:space="preserve"> </w:t>
      </w:r>
      <w:r w:rsidR="0062519F" w:rsidRPr="0062519F">
        <w:t>with 1 being the least deprived and 5 the most deprived</w:t>
      </w:r>
      <w:r w:rsidR="0062519F" w:rsidRPr="0062519F">
        <w:rPr>
          <w:lang w:val="en-US"/>
        </w:rPr>
        <w:t>.</w:t>
      </w:r>
      <w:r w:rsidR="0062519F">
        <w:rPr>
          <w:lang w:val="en-US"/>
        </w:rPr>
        <w:t xml:space="preserve"> </w:t>
      </w:r>
      <w:r w:rsidR="005F463A">
        <w:t xml:space="preserve">Analyses of primary outcomes were restricted to </w:t>
      </w:r>
      <w:r w:rsidR="005842CC">
        <w:rPr>
          <w:lang w:val="en-US"/>
        </w:rPr>
        <w:t>patients</w:t>
      </w:r>
      <w:r w:rsidR="005F463A">
        <w:rPr>
          <w:lang w:val="en-US"/>
        </w:rPr>
        <w:t xml:space="preserve"> in CPRD GOLD </w:t>
      </w:r>
      <w:r w:rsidR="00E27F82">
        <w:rPr>
          <w:lang w:val="en-US"/>
        </w:rPr>
        <w:t xml:space="preserve">eligible for linkage to both HES </w:t>
      </w:r>
      <w:r w:rsidR="005F463A">
        <w:rPr>
          <w:lang w:val="en-US"/>
        </w:rPr>
        <w:t xml:space="preserve">APC </w:t>
      </w:r>
      <w:r w:rsidR="00E27F82">
        <w:rPr>
          <w:lang w:val="en-US"/>
        </w:rPr>
        <w:t xml:space="preserve">and ONS </w:t>
      </w:r>
      <w:r w:rsidR="005F463A">
        <w:rPr>
          <w:lang w:val="en-US"/>
        </w:rPr>
        <w:t>death data</w:t>
      </w:r>
      <w:r w:rsidR="00630C55">
        <w:rPr>
          <w:lang w:val="en-US"/>
        </w:rPr>
        <w:t xml:space="preserve">. </w:t>
      </w:r>
      <w:r w:rsidR="00C04788">
        <w:rPr>
          <w:lang w:val="en-US"/>
        </w:rPr>
        <w:t xml:space="preserve">For </w:t>
      </w:r>
      <w:r w:rsidR="005F463A">
        <w:rPr>
          <w:lang w:val="en-US"/>
        </w:rPr>
        <w:t>secondary outcomes</w:t>
      </w:r>
      <w:r w:rsidR="00630C55">
        <w:rPr>
          <w:lang w:val="en-US"/>
        </w:rPr>
        <w:t xml:space="preserve"> where death was not evaluated,</w:t>
      </w:r>
      <w:r w:rsidR="005F463A">
        <w:rPr>
          <w:lang w:val="en-US"/>
        </w:rPr>
        <w:t xml:space="preserve"> </w:t>
      </w:r>
      <w:r w:rsidR="00C04788" w:rsidRPr="00C04788">
        <w:rPr>
          <w:lang w:val="en-US"/>
        </w:rPr>
        <w:t>patients were required to be eligible for linkage to HES and IMD data</w:t>
      </w:r>
      <w:r w:rsidR="005F463A" w:rsidRPr="005F463A">
        <w:rPr>
          <w:lang w:val="en-US"/>
        </w:rPr>
        <w:t xml:space="preserve"> </w:t>
      </w:r>
      <w:r w:rsidR="005F463A">
        <w:rPr>
          <w:lang w:val="en-US"/>
        </w:rPr>
        <w:t>only</w:t>
      </w:r>
      <w:r w:rsidR="00C04788">
        <w:rPr>
          <w:lang w:val="en-US"/>
        </w:rPr>
        <w:t xml:space="preserve">. </w:t>
      </w:r>
    </w:p>
    <w:p w14:paraId="2E852699" w14:textId="77777777" w:rsidR="00B909A2" w:rsidRDefault="00B909A2">
      <w:pPr>
        <w:rPr>
          <w:highlight w:val="yellow"/>
        </w:rPr>
      </w:pPr>
    </w:p>
    <w:p w14:paraId="3EC54A4D" w14:textId="5963B143" w:rsidR="005A1B0E" w:rsidRDefault="005A1B0E" w:rsidP="0073622B">
      <w:pPr>
        <w:pStyle w:val="Heading2"/>
        <w:spacing w:before="0"/>
      </w:pPr>
      <w:r>
        <w:t xml:space="preserve">Study </w:t>
      </w:r>
      <w:r w:rsidR="004A0ECD">
        <w:t>p</w:t>
      </w:r>
      <w:r>
        <w:t>opulation</w:t>
      </w:r>
    </w:p>
    <w:p w14:paraId="60944A0E" w14:textId="77777777" w:rsidR="00B73061" w:rsidRPr="0073622B" w:rsidRDefault="00B73061" w:rsidP="003B3515"/>
    <w:p w14:paraId="396C90E3" w14:textId="7D94FD53" w:rsidR="005A1B0E" w:rsidRDefault="004320E7">
      <w:r>
        <w:t>The risk of</w:t>
      </w:r>
      <w:r w:rsidR="005C4FFA">
        <w:t xml:space="preserve"> mortality and</w:t>
      </w:r>
      <w:r>
        <w:t xml:space="preserve"> complications </w:t>
      </w:r>
      <w:r w:rsidR="00592A39">
        <w:t xml:space="preserve">among </w:t>
      </w:r>
      <w:r w:rsidR="00FB518C">
        <w:t>hospitali</w:t>
      </w:r>
      <w:r w:rsidR="0064553B">
        <w:t>z</w:t>
      </w:r>
      <w:r w:rsidR="00FB518C">
        <w:t xml:space="preserve">ed </w:t>
      </w:r>
      <w:r w:rsidR="00592A39">
        <w:t xml:space="preserve">patients with a first </w:t>
      </w:r>
      <w:r w:rsidR="003C0293">
        <w:t>episode</w:t>
      </w:r>
      <w:r w:rsidR="00592A39">
        <w:t xml:space="preserve"> of </w:t>
      </w:r>
      <w:r w:rsidR="00FB518C">
        <w:t>HA-</w:t>
      </w:r>
      <w:r w:rsidR="00592A39">
        <w:t xml:space="preserve">CDI </w:t>
      </w:r>
      <w:r w:rsidR="00630C55">
        <w:t xml:space="preserve">was </w:t>
      </w:r>
      <w:r>
        <w:t>compared with frequency-matched (</w:t>
      </w:r>
      <w:r w:rsidR="00BE6CAD">
        <w:t>1:2</w:t>
      </w:r>
      <w:r>
        <w:t>) hospitali</w:t>
      </w:r>
      <w:r w:rsidR="0064553B">
        <w:t>z</w:t>
      </w:r>
      <w:r>
        <w:t>ed patients</w:t>
      </w:r>
      <w:r w:rsidR="00BE6CAD">
        <w:t xml:space="preserve"> with</w:t>
      </w:r>
      <w:r w:rsidR="003C0293">
        <w:t>out</w:t>
      </w:r>
      <w:r w:rsidR="00BE6CAD">
        <w:t xml:space="preserve"> CDI</w:t>
      </w:r>
      <w:r w:rsidR="003C0293">
        <w:t>. Recurrence was evaluated among</w:t>
      </w:r>
      <w:r w:rsidR="00592A39">
        <w:t xml:space="preserve"> </w:t>
      </w:r>
      <w:r w:rsidR="00142A2E">
        <w:t xml:space="preserve">the sub-cohort of </w:t>
      </w:r>
      <w:r>
        <w:t>patients</w:t>
      </w:r>
      <w:r w:rsidR="00630C55">
        <w:t xml:space="preserve"> </w:t>
      </w:r>
      <w:r w:rsidR="003C0293">
        <w:t xml:space="preserve">with a first episode of </w:t>
      </w:r>
      <w:r w:rsidR="00B155FC">
        <w:t>HA-</w:t>
      </w:r>
      <w:r w:rsidR="003C0293">
        <w:t>CDI</w:t>
      </w:r>
      <w:r>
        <w:t xml:space="preserve">. </w:t>
      </w:r>
      <w:r w:rsidR="005A1B0E" w:rsidRPr="006723E2">
        <w:t xml:space="preserve">Only patients with </w:t>
      </w:r>
      <w:r w:rsidR="002D7A7A">
        <w:t>≥</w:t>
      </w:r>
      <w:r w:rsidR="005A1B0E" w:rsidRPr="006723E2">
        <w:t>6 months of follow</w:t>
      </w:r>
      <w:r w:rsidR="00A66EE7">
        <w:t xml:space="preserve"> </w:t>
      </w:r>
      <w:r w:rsidR="005A1B0E" w:rsidRPr="006723E2">
        <w:t xml:space="preserve">up during the study period were eligible for </w:t>
      </w:r>
      <w:r w:rsidR="00BA63E2">
        <w:t>inclusion</w:t>
      </w:r>
      <w:r w:rsidR="005A1B0E" w:rsidRPr="006723E2">
        <w:t>.</w:t>
      </w:r>
    </w:p>
    <w:p w14:paraId="2F126081" w14:textId="77777777" w:rsidR="009A4EC6" w:rsidRPr="006723E2" w:rsidRDefault="009A4EC6"/>
    <w:p w14:paraId="14FF2CCF" w14:textId="33E9D873" w:rsidR="00BC466D" w:rsidRDefault="00BC466D" w:rsidP="0073622B">
      <w:pPr>
        <w:pStyle w:val="Heading3"/>
      </w:pPr>
      <w:r>
        <w:t xml:space="preserve">CDI case </w:t>
      </w:r>
      <w:r w:rsidR="009F78EC">
        <w:t>selection</w:t>
      </w:r>
    </w:p>
    <w:p w14:paraId="2D2173B1" w14:textId="77777777" w:rsidR="00B73061" w:rsidRPr="0073622B" w:rsidRDefault="00B73061" w:rsidP="003B3515"/>
    <w:p w14:paraId="1C66BA99" w14:textId="4B5599A4" w:rsidR="002330B4" w:rsidRDefault="006723E2">
      <w:r>
        <w:t xml:space="preserve">Cases were patients </w:t>
      </w:r>
      <w:r w:rsidR="004F351D">
        <w:t>with a diagnosis of HA-CDI recorded during 1</w:t>
      </w:r>
      <w:r w:rsidR="008D7A9B" w:rsidRPr="003B3515">
        <w:rPr>
          <w:vertAlign w:val="superscript"/>
        </w:rPr>
        <w:t>st</w:t>
      </w:r>
      <w:r w:rsidR="008D7A9B">
        <w:t xml:space="preserve"> </w:t>
      </w:r>
      <w:r w:rsidR="004F351D">
        <w:t>Jan</w:t>
      </w:r>
      <w:r w:rsidR="008D7A9B">
        <w:t>uary</w:t>
      </w:r>
      <w:r w:rsidR="004F351D">
        <w:t xml:space="preserve"> 2002 – 31</w:t>
      </w:r>
      <w:r w:rsidR="008D7A9B" w:rsidRPr="003B3515">
        <w:rPr>
          <w:vertAlign w:val="superscript"/>
        </w:rPr>
        <w:t>st</w:t>
      </w:r>
      <w:r w:rsidR="008D7A9B">
        <w:t xml:space="preserve"> </w:t>
      </w:r>
      <w:r w:rsidR="004F351D">
        <w:t>Dec</w:t>
      </w:r>
      <w:r w:rsidR="008D7A9B">
        <w:t>ember</w:t>
      </w:r>
      <w:r w:rsidR="004F351D">
        <w:t xml:space="preserve"> 2013. </w:t>
      </w:r>
      <w:r w:rsidR="005C4FFA">
        <w:t>Eligible p</w:t>
      </w:r>
      <w:r w:rsidR="002330B4">
        <w:t xml:space="preserve">atients were </w:t>
      </w:r>
      <w:r w:rsidR="000F655F">
        <w:t xml:space="preserve">aged </w:t>
      </w:r>
      <w:r w:rsidR="002B35C7">
        <w:t>≥</w:t>
      </w:r>
      <w:r w:rsidR="000F655F">
        <w:t xml:space="preserve">18 years at index hospital admission with </w:t>
      </w:r>
      <w:r w:rsidR="002330B4">
        <w:t xml:space="preserve">≥1 </w:t>
      </w:r>
      <w:r w:rsidR="00483829">
        <w:t xml:space="preserve">diagnosis of </w:t>
      </w:r>
      <w:r w:rsidR="00ED5A29">
        <w:t xml:space="preserve">HA-CDI </w:t>
      </w:r>
      <w:r w:rsidR="000F655F">
        <w:t>documented during their first or second episode of hospital care</w:t>
      </w:r>
      <w:r w:rsidR="00BA63E2">
        <w:t xml:space="preserve"> (</w:t>
      </w:r>
      <w:r w:rsidR="00BA63E2" w:rsidRPr="00BA63E2">
        <w:t xml:space="preserve">periods </w:t>
      </w:r>
      <w:r w:rsidR="00BA63E2">
        <w:t>during</w:t>
      </w:r>
      <w:r w:rsidR="00BA63E2" w:rsidRPr="00BA63E2">
        <w:t xml:space="preserve"> which a patient </w:t>
      </w:r>
      <w:r w:rsidR="00193775">
        <w:t>wa</w:t>
      </w:r>
      <w:r w:rsidR="00BA63E2" w:rsidRPr="00BA63E2">
        <w:t>s under the care of a particular consultant</w:t>
      </w:r>
      <w:r w:rsidR="001B4E0A">
        <w:t xml:space="preserve"> </w:t>
      </w:r>
      <w:r w:rsidR="001B4E0A">
        <w:fldChar w:fldCharType="begin" w:fldLock="1"/>
      </w:r>
      <w:r w:rsidR="005E0B17">
        <w:instrText>ADDIN CSL_CITATION {"citationItems":[{"id":"ITEM-1","itemData":{"URL":"https://digital.nhs.uk/binaries/content/assets/website-assets/data-and-information/data-tools-and-services/data-services/hospital-episode-statistics/hes_analysis_guide_september_2018-v1.1.pdf","accessed":{"date-parts":[["2020","3","12"]]},"author":[{"dropping-particle":"","family":"UK National Health Service","given":"","non-dropping-particle":"","parse-names":false,"suffix":""}],"id":"ITEM-1","issued":{"date-parts":[["2019"]]},"title":"Hospital Episode Statistics (HES) Analysis Guide","type":"webpage"},"uris":["http://www.mendeley.com/documents/?uuid=75423e96-c490-4a5a-b179-b88108f4ae47"]}],"mendeley":{"formattedCitation":"[29]","plainTextFormattedCitation":"[29]","previouslyFormattedCitation":"[29]"},"properties":{"noteIndex":0},"schema":"https://github.com/citation-style-language/schema/raw/master/csl-citation.json"}</w:instrText>
      </w:r>
      <w:r w:rsidR="001B4E0A">
        <w:fldChar w:fldCharType="separate"/>
      </w:r>
      <w:r w:rsidR="005E0B17" w:rsidRPr="005E0B17">
        <w:rPr>
          <w:noProof/>
        </w:rPr>
        <w:t>[29]</w:t>
      </w:r>
      <w:r w:rsidR="001B4E0A">
        <w:fldChar w:fldCharType="end"/>
      </w:r>
      <w:r w:rsidR="00BA63E2">
        <w:t>)</w:t>
      </w:r>
      <w:r w:rsidR="00483829">
        <w:t xml:space="preserve"> only</w:t>
      </w:r>
      <w:r w:rsidR="00BA63E2">
        <w:t>.</w:t>
      </w:r>
      <w:r w:rsidR="00592A39">
        <w:t xml:space="preserve"> P</w:t>
      </w:r>
      <w:r w:rsidR="002330B4">
        <w:t>regnancy-related admission</w:t>
      </w:r>
      <w:r w:rsidR="00592A39">
        <w:t>s</w:t>
      </w:r>
      <w:r w:rsidR="00F079F3">
        <w:t>,</w:t>
      </w:r>
      <w:r w:rsidR="00592A39">
        <w:t xml:space="preserve"> </w:t>
      </w:r>
      <w:r w:rsidR="00F079F3">
        <w:t>between</w:t>
      </w:r>
      <w:r w:rsidR="00B155FC">
        <w:t>-</w:t>
      </w:r>
      <w:r w:rsidR="00592A39">
        <w:t xml:space="preserve">hospital transfers </w:t>
      </w:r>
      <w:r w:rsidR="00F079F3">
        <w:t xml:space="preserve">and </w:t>
      </w:r>
      <w:r w:rsidR="00FB518C">
        <w:t xml:space="preserve">patients with </w:t>
      </w:r>
      <w:r w:rsidR="00592A39">
        <w:t xml:space="preserve">a first </w:t>
      </w:r>
      <w:r w:rsidR="00FB518C">
        <w:t>CDI occurrence</w:t>
      </w:r>
      <w:r w:rsidR="00592A39">
        <w:t xml:space="preserve"> recorded in </w:t>
      </w:r>
      <w:r w:rsidR="00F34E16">
        <w:t>hospital care</w:t>
      </w:r>
      <w:r w:rsidR="00F079F3">
        <w:t xml:space="preserve"> episode </w:t>
      </w:r>
      <w:r w:rsidR="00B155FC">
        <w:rPr>
          <w:rFonts w:cs="Arial"/>
        </w:rPr>
        <w:t>≥</w:t>
      </w:r>
      <w:r w:rsidR="00B155FC">
        <w:t xml:space="preserve">3 </w:t>
      </w:r>
      <w:proofErr w:type="gramStart"/>
      <w:r w:rsidR="00F079F3">
        <w:t>were</w:t>
      </w:r>
      <w:proofErr w:type="gramEnd"/>
      <w:r w:rsidR="00F079F3">
        <w:t xml:space="preserve"> excluded</w:t>
      </w:r>
      <w:r w:rsidR="00F34E16">
        <w:t>.</w:t>
      </w:r>
    </w:p>
    <w:p w14:paraId="629B0554" w14:textId="77777777" w:rsidR="009A4EC6" w:rsidRPr="009F39ED" w:rsidRDefault="009A4EC6"/>
    <w:p w14:paraId="2C11384E" w14:textId="43CB27AA" w:rsidR="009F78EC" w:rsidRDefault="00F079F3">
      <w:r>
        <w:t>Cases</w:t>
      </w:r>
      <w:r w:rsidR="000F655F">
        <w:t xml:space="preserve"> were </w:t>
      </w:r>
      <w:r w:rsidR="003A1F8B">
        <w:t xml:space="preserve">ascertained </w:t>
      </w:r>
      <w:r w:rsidR="00483829">
        <w:t xml:space="preserve">based on </w:t>
      </w:r>
      <w:r w:rsidR="000F655F">
        <w:t xml:space="preserve">ICD-10 </w:t>
      </w:r>
      <w:r w:rsidR="00F83347">
        <w:t>(</w:t>
      </w:r>
      <w:r w:rsidR="00F83347" w:rsidRPr="00F83347">
        <w:t>International Classification of Diseases 10th revision</w:t>
      </w:r>
      <w:r w:rsidR="00F83347">
        <w:t>)</w:t>
      </w:r>
      <w:r w:rsidR="00F83347" w:rsidRPr="00F83347">
        <w:t xml:space="preserve"> </w:t>
      </w:r>
      <w:r w:rsidR="001C5D0F" w:rsidRPr="00456633">
        <w:rPr>
          <w:iCs/>
        </w:rPr>
        <w:t>A04.7</w:t>
      </w:r>
      <w:r w:rsidR="001C5D0F" w:rsidRPr="000E68CF">
        <w:rPr>
          <w:i/>
          <w:iCs/>
        </w:rPr>
        <w:t xml:space="preserve"> </w:t>
      </w:r>
      <w:r w:rsidR="00FB518C">
        <w:rPr>
          <w:i/>
          <w:iCs/>
        </w:rPr>
        <w:t>‘</w:t>
      </w:r>
      <w:r w:rsidR="001C5D0F" w:rsidRPr="000E68CF">
        <w:rPr>
          <w:i/>
          <w:iCs/>
        </w:rPr>
        <w:t xml:space="preserve">Enterocolitis due to </w:t>
      </w:r>
      <w:r w:rsidR="001C5D0F" w:rsidRPr="00F34E16">
        <w:rPr>
          <w:i/>
          <w:iCs/>
        </w:rPr>
        <w:t>Clostridium difficile</w:t>
      </w:r>
      <w:r w:rsidR="001C5D0F" w:rsidRPr="000E68CF">
        <w:rPr>
          <w:i/>
          <w:iCs/>
        </w:rPr>
        <w:t>’</w:t>
      </w:r>
      <w:r w:rsidR="001C5D0F" w:rsidRPr="001C5D0F">
        <w:t xml:space="preserve"> or related</w:t>
      </w:r>
      <w:r w:rsidR="001C5D0F">
        <w:t xml:space="preserve"> codes</w:t>
      </w:r>
      <w:r w:rsidR="00AA00CC">
        <w:t>,</w:t>
      </w:r>
      <w:r w:rsidR="001C5D0F">
        <w:t xml:space="preserve"> </w:t>
      </w:r>
      <w:r w:rsidR="000F655F">
        <w:t>recorded in HES</w:t>
      </w:r>
      <w:r w:rsidR="00565480">
        <w:t xml:space="preserve"> APC data</w:t>
      </w:r>
      <w:r w:rsidR="00A11DA0">
        <w:t xml:space="preserve">. </w:t>
      </w:r>
      <w:r w:rsidR="00ED5A29">
        <w:t>HA-</w:t>
      </w:r>
      <w:r w:rsidR="00F6088A">
        <w:t xml:space="preserve">CDI was defined using a modified algorithm from Jen </w:t>
      </w:r>
      <w:r w:rsidR="00F6088A" w:rsidRPr="005F316D">
        <w:t>et al.</w:t>
      </w:r>
      <w:r w:rsidR="00F6088A">
        <w:t xml:space="preserve"> </w:t>
      </w:r>
      <w:r w:rsidR="00F6088A">
        <w:fldChar w:fldCharType="begin" w:fldLock="1"/>
      </w:r>
      <w:r w:rsidR="005E0B17">
        <w:instrText>ADDIN CSL_CITATION {"citationItems":[{"id":"ITEM-1","itemData":{"DOI":"10.1016/j.jhin.2012.01.001","ISSN":"01956701","PMID":"22306443","abstract":"BACKGROUND Little is known about the acquisition of Clostridium difficile infection (CDI) and whether it represents hospital- or community-acquired infection. AIM To test the feasibility and value of using national hospital admissions data from Hospital Episode Statistics to examine trends in CDI in England. METHODS Hospital Episode Statistics from the period 1997/98 to 2009/10 were used. Time trends were analysed using two different denominators of hospital activity: total admissions and total bed-days. We explored the impact of sociodemographic factors, comorbidity and healthcare pathways on the risk of CDI. FINDINGS CDI rates per admission and per bed-days increased from 1997/98 to 2006/07, then decreased significantly by &gt;50% from 2008/9 and 2009/10. This pattern was similar for patients regardless of probable source of infection but the proportion of probable community-acquired CDI cases rose steadily from 7% in 1997/98 to 13% in 2009/10. CDI rates were higher among older patients (odds ratio: &gt;65 years, 10.9), those with more comorbid conditions (odds ratio for Charlson index: &gt;5, 5.6), and among patients admitted as an emergency compared with elective admissions, but no relationship was found with deprivation score. CONCLUSION Our findings support not only the falling trend in CDI found in the national mandatory surveillance scheme from the Health Protection Agency, but a growing proportion of CDI presenting on admission with no evidence of prior hospital exposure in the previous 90 days. We suggest that these may be community-acquired CDI cases.","author":[{"dropping-particle":"","family":"Jen","given":"M.-H.","non-dropping-particle":"","parse-names":false,"suffix":""},{"dropping-particle":"","family":"Saxena","given":"S.","non-dropping-particle":"","parse-names":false,"suffix":""},{"dropping-particle":"","family":"Bottle","given":"A.","non-dropping-particle":"","parse-names":false,"suffix":""},{"dropping-particle":"","family":"Pollok","given":"R.","non-dropping-particle":"","parse-names":false,"suffix":""},{"dropping-particle":"","family":"Holmes","given":"A.","non-dropping-particle":"","parse-names":false,"suffix":""},{"dropping-particle":"","family":"Aylin","given":"P.","non-dropping-particle":"","parse-names":false,"suffix":""}],"container-title":"Journal of Hospital Infection","id":"ITEM-1","issue":"3","issued":{"date-parts":[["2012","3"]]},"page":"229-237","title":"Assessment of administrative data for evaluating the shifting acquisition of &lt;i&gt;Clostridium difficile&lt;/i&gt; infection in England","type":"article-journal","volume":"80"},"uris":["http://www.mendeley.com/documents/?uuid=27a1396d-8fa8-3d82-87c0-a7b498968a14"]}],"mendeley":{"formattedCitation":"[30]","plainTextFormattedCitation":"[30]","previouslyFormattedCitation":"[30]"},"properties":{"noteIndex":0},"schema":"https://github.com/citation-style-language/schema/raw/master/csl-citation.json"}</w:instrText>
      </w:r>
      <w:r w:rsidR="00F6088A">
        <w:fldChar w:fldCharType="separate"/>
      </w:r>
      <w:r w:rsidR="005E0B17" w:rsidRPr="005E0B17">
        <w:rPr>
          <w:noProof/>
        </w:rPr>
        <w:t>[30]</w:t>
      </w:r>
      <w:r w:rsidR="00F6088A">
        <w:fldChar w:fldCharType="end"/>
      </w:r>
      <w:r w:rsidR="00340B66">
        <w:t>,</w:t>
      </w:r>
      <w:r w:rsidR="00565480">
        <w:t xml:space="preserve"> and was </w:t>
      </w:r>
      <w:r w:rsidR="00FB518C">
        <w:lastRenderedPageBreak/>
        <w:t>specified</w:t>
      </w:r>
      <w:r w:rsidR="00565480">
        <w:t xml:space="preserve"> </w:t>
      </w:r>
      <w:r w:rsidR="00F6088A">
        <w:t>as a primary diagnosis of CDI (</w:t>
      </w:r>
      <w:r w:rsidR="00F6088A" w:rsidRPr="00F6088A">
        <w:t xml:space="preserve">CDI recorded </w:t>
      </w:r>
      <w:r w:rsidR="00F6088A">
        <w:t xml:space="preserve">in </w:t>
      </w:r>
      <w:r w:rsidR="00F6088A" w:rsidRPr="00F6088A">
        <w:t>the first hospital care episode and in the first diagnosis order)</w:t>
      </w:r>
      <w:r w:rsidR="00F6088A">
        <w:t xml:space="preserve"> </w:t>
      </w:r>
      <w:r w:rsidR="00F6088A" w:rsidRPr="00F6088A">
        <w:rPr>
          <w:i/>
        </w:rPr>
        <w:t>and</w:t>
      </w:r>
      <w:r w:rsidR="00F6088A">
        <w:t xml:space="preserve"> a history of hospitali</w:t>
      </w:r>
      <w:r w:rsidR="0064553B">
        <w:t>z</w:t>
      </w:r>
      <w:r w:rsidR="00F6088A">
        <w:t xml:space="preserve">ation within the preceding 4 weeks, </w:t>
      </w:r>
      <w:r w:rsidR="00F6088A" w:rsidRPr="00F6088A">
        <w:rPr>
          <w:i/>
        </w:rPr>
        <w:t>or</w:t>
      </w:r>
      <w:r w:rsidR="00F6088A">
        <w:t xml:space="preserve"> CDI recorded as a secondary diagnosis during </w:t>
      </w:r>
      <w:r w:rsidR="00BA63E2" w:rsidRPr="00BA63E2">
        <w:t xml:space="preserve">the first or second episode of </w:t>
      </w:r>
      <w:r w:rsidR="00F6088A">
        <w:t xml:space="preserve">a hospital stay of </w:t>
      </w:r>
      <w:r w:rsidR="00FA7A63">
        <w:t>&gt;</w:t>
      </w:r>
      <w:r w:rsidR="00F6088A">
        <w:t>2 days</w:t>
      </w:r>
      <w:r w:rsidR="003556DC">
        <w:t xml:space="preserve"> (</w:t>
      </w:r>
      <w:r w:rsidR="003556DC" w:rsidRPr="003556DC">
        <w:rPr>
          <w:b/>
        </w:rPr>
        <w:t>Figure A.</w:t>
      </w:r>
      <w:r w:rsidR="00370278">
        <w:rPr>
          <w:b/>
        </w:rPr>
        <w:t>1</w:t>
      </w:r>
      <w:r w:rsidR="0002449A">
        <w:t xml:space="preserve">, online supplementary </w:t>
      </w:r>
      <w:r w:rsidR="003B47DB">
        <w:t>material</w:t>
      </w:r>
      <w:r w:rsidR="003556DC">
        <w:t>)</w:t>
      </w:r>
      <w:r w:rsidR="00A11DA0">
        <w:t>.</w:t>
      </w:r>
      <w:r w:rsidR="009F78EC" w:rsidRPr="009F78EC">
        <w:t xml:space="preserve"> </w:t>
      </w:r>
      <w:r>
        <w:t xml:space="preserve">As the exact dates of clinical </w:t>
      </w:r>
      <w:r w:rsidR="0038509D">
        <w:t xml:space="preserve">onset </w:t>
      </w:r>
      <w:r>
        <w:t xml:space="preserve">are not recorded in HES, </w:t>
      </w:r>
      <w:r w:rsidR="00FB518C">
        <w:t xml:space="preserve">the </w:t>
      </w:r>
      <w:r>
        <w:t>i</w:t>
      </w:r>
      <w:r w:rsidR="009F78EC">
        <w:t xml:space="preserve">ndex date of </w:t>
      </w:r>
      <w:r w:rsidR="004B50C8">
        <w:t xml:space="preserve">the </w:t>
      </w:r>
      <w:r w:rsidR="009F78EC">
        <w:t xml:space="preserve">CDI </w:t>
      </w:r>
      <w:r w:rsidR="004B50C8">
        <w:t xml:space="preserve">episode </w:t>
      </w:r>
      <w:r w:rsidR="009F78EC">
        <w:t>was defined as the start of the care episode in which the CDI was recorded</w:t>
      </w:r>
      <w:r w:rsidR="00FB518C">
        <w:t xml:space="preserve">. </w:t>
      </w:r>
      <w:r w:rsidR="009F78EC">
        <w:t xml:space="preserve"> </w:t>
      </w:r>
    </w:p>
    <w:p w14:paraId="5673AE4B" w14:textId="77777777" w:rsidR="009A4EC6" w:rsidRDefault="009A4EC6"/>
    <w:p w14:paraId="2C79AB00" w14:textId="776024D0" w:rsidR="004B49D0" w:rsidRDefault="009F78EC" w:rsidP="0073622B">
      <w:pPr>
        <w:pStyle w:val="Heading3"/>
      </w:pPr>
      <w:r>
        <w:t>Control</w:t>
      </w:r>
      <w:r w:rsidR="004B49D0">
        <w:t xml:space="preserve"> group selection</w:t>
      </w:r>
    </w:p>
    <w:p w14:paraId="3E7145C2" w14:textId="77777777" w:rsidR="00B73061" w:rsidRPr="0073622B" w:rsidRDefault="00B73061" w:rsidP="003B3515"/>
    <w:p w14:paraId="7BC0814A" w14:textId="3988F2DA" w:rsidR="00690400" w:rsidRDefault="00F079F3">
      <w:pPr>
        <w:pStyle w:val="00Paragraph"/>
        <w:spacing w:before="0" w:after="0" w:line="360" w:lineRule="auto"/>
        <w:rPr>
          <w:rFonts w:ascii="Arial" w:eastAsiaTheme="minorHAnsi" w:hAnsi="Arial" w:cs="Arial"/>
          <w:sz w:val="22"/>
          <w:szCs w:val="22"/>
        </w:rPr>
      </w:pPr>
      <w:r>
        <w:rPr>
          <w:rFonts w:ascii="Arial" w:eastAsiaTheme="minorHAnsi" w:hAnsi="Arial" w:cs="Arial"/>
          <w:sz w:val="22"/>
          <w:szCs w:val="22"/>
        </w:rPr>
        <w:t>Cases were</w:t>
      </w:r>
      <w:r w:rsidR="00061DCC" w:rsidRPr="002B51BC">
        <w:rPr>
          <w:rFonts w:ascii="Arial" w:eastAsiaTheme="minorHAnsi" w:hAnsi="Arial" w:cs="Arial"/>
          <w:sz w:val="22"/>
          <w:szCs w:val="22"/>
        </w:rPr>
        <w:t xml:space="preserve"> frequency matched to two </w:t>
      </w:r>
      <w:r w:rsidR="00BA63E2" w:rsidRPr="002B51BC">
        <w:rPr>
          <w:rFonts w:ascii="Arial" w:eastAsiaTheme="minorHAnsi" w:hAnsi="Arial" w:cs="Arial"/>
          <w:sz w:val="22"/>
          <w:szCs w:val="22"/>
        </w:rPr>
        <w:t>hospitali</w:t>
      </w:r>
      <w:r w:rsidR="0064553B">
        <w:rPr>
          <w:rFonts w:ascii="Arial" w:eastAsiaTheme="minorHAnsi" w:hAnsi="Arial" w:cs="Arial"/>
          <w:sz w:val="22"/>
          <w:szCs w:val="22"/>
        </w:rPr>
        <w:t>z</w:t>
      </w:r>
      <w:r w:rsidR="00BA63E2" w:rsidRPr="002B51BC">
        <w:rPr>
          <w:rFonts w:ascii="Arial" w:eastAsiaTheme="minorHAnsi" w:hAnsi="Arial" w:cs="Arial"/>
          <w:sz w:val="22"/>
          <w:szCs w:val="22"/>
        </w:rPr>
        <w:t xml:space="preserve">ed </w:t>
      </w:r>
      <w:r w:rsidR="00061DCC" w:rsidRPr="002B51BC">
        <w:rPr>
          <w:rFonts w:ascii="Arial" w:eastAsiaTheme="minorHAnsi" w:hAnsi="Arial" w:cs="Arial"/>
          <w:sz w:val="22"/>
          <w:szCs w:val="22"/>
        </w:rPr>
        <w:t>patients with</w:t>
      </w:r>
      <w:r>
        <w:rPr>
          <w:rFonts w:ascii="Arial" w:eastAsiaTheme="minorHAnsi" w:hAnsi="Arial" w:cs="Arial"/>
          <w:sz w:val="22"/>
          <w:szCs w:val="22"/>
        </w:rPr>
        <w:t xml:space="preserve">out </w:t>
      </w:r>
      <w:r w:rsidR="00061DCC" w:rsidRPr="002B51BC">
        <w:rPr>
          <w:rFonts w:ascii="Arial" w:eastAsiaTheme="minorHAnsi" w:hAnsi="Arial" w:cs="Arial"/>
          <w:sz w:val="22"/>
          <w:szCs w:val="22"/>
        </w:rPr>
        <w:t>CDI</w:t>
      </w:r>
      <w:r w:rsidR="00FB518C">
        <w:rPr>
          <w:rFonts w:ascii="Arial" w:eastAsiaTheme="minorHAnsi" w:hAnsi="Arial" w:cs="Arial"/>
          <w:sz w:val="22"/>
          <w:szCs w:val="22"/>
        </w:rPr>
        <w:t xml:space="preserve"> (unexposed patients)</w:t>
      </w:r>
      <w:r>
        <w:rPr>
          <w:rFonts w:ascii="Arial" w:eastAsiaTheme="minorHAnsi" w:hAnsi="Arial" w:cs="Arial"/>
          <w:sz w:val="22"/>
          <w:szCs w:val="22"/>
        </w:rPr>
        <w:t xml:space="preserve"> through</w:t>
      </w:r>
      <w:r w:rsidRPr="002B51BC">
        <w:rPr>
          <w:rFonts w:ascii="Arial" w:eastAsiaTheme="minorHAnsi" w:hAnsi="Arial" w:cs="Arial"/>
          <w:sz w:val="22"/>
          <w:szCs w:val="22"/>
        </w:rPr>
        <w:t xml:space="preserve"> random selection</w:t>
      </w:r>
      <w:r>
        <w:rPr>
          <w:rFonts w:ascii="Arial" w:eastAsiaTheme="minorHAnsi" w:hAnsi="Arial" w:cs="Arial"/>
          <w:sz w:val="22"/>
          <w:szCs w:val="22"/>
        </w:rPr>
        <w:t>.</w:t>
      </w:r>
      <w:r w:rsidR="00690400" w:rsidRPr="002B51BC">
        <w:rPr>
          <w:rFonts w:ascii="Arial" w:eastAsiaTheme="minorHAnsi" w:hAnsi="Arial" w:cs="Arial"/>
          <w:sz w:val="22"/>
          <w:szCs w:val="22"/>
        </w:rPr>
        <w:t xml:space="preserve"> </w:t>
      </w:r>
      <w:r>
        <w:rPr>
          <w:rFonts w:ascii="Arial" w:eastAsiaTheme="minorHAnsi" w:hAnsi="Arial" w:cs="Arial"/>
          <w:sz w:val="22"/>
          <w:szCs w:val="22"/>
        </w:rPr>
        <w:t xml:space="preserve">Potential controls </w:t>
      </w:r>
      <w:r w:rsidR="00690400" w:rsidRPr="002B51BC">
        <w:rPr>
          <w:rFonts w:ascii="Arial" w:eastAsiaTheme="minorHAnsi" w:hAnsi="Arial" w:cs="Arial"/>
          <w:sz w:val="22"/>
          <w:szCs w:val="22"/>
        </w:rPr>
        <w:t>with CDI</w:t>
      </w:r>
      <w:r>
        <w:rPr>
          <w:rFonts w:ascii="Arial" w:eastAsiaTheme="minorHAnsi" w:hAnsi="Arial" w:cs="Arial"/>
          <w:sz w:val="22"/>
          <w:szCs w:val="22"/>
        </w:rPr>
        <w:t xml:space="preserve"> or </w:t>
      </w:r>
      <w:r w:rsidRPr="00F079F3">
        <w:rPr>
          <w:rFonts w:ascii="Arial" w:eastAsiaTheme="minorHAnsi" w:hAnsi="Arial" w:cs="Arial"/>
          <w:sz w:val="22"/>
          <w:szCs w:val="22"/>
        </w:rPr>
        <w:t>diarrheal illness</w:t>
      </w:r>
      <w:r w:rsidR="00690400" w:rsidRPr="002B51BC">
        <w:rPr>
          <w:rFonts w:ascii="Arial" w:eastAsiaTheme="minorHAnsi" w:hAnsi="Arial" w:cs="Arial"/>
          <w:sz w:val="22"/>
          <w:szCs w:val="22"/>
        </w:rPr>
        <w:t xml:space="preserve"> in HES or primary </w:t>
      </w:r>
      <w:r w:rsidR="00690400">
        <w:rPr>
          <w:rFonts w:ascii="Arial" w:eastAsiaTheme="minorHAnsi" w:hAnsi="Arial" w:cs="Arial"/>
          <w:sz w:val="22"/>
          <w:szCs w:val="22"/>
        </w:rPr>
        <w:t xml:space="preserve">care </w:t>
      </w:r>
      <w:r>
        <w:rPr>
          <w:rFonts w:ascii="Arial" w:eastAsiaTheme="minorHAnsi" w:hAnsi="Arial" w:cs="Arial"/>
          <w:sz w:val="22"/>
          <w:szCs w:val="22"/>
        </w:rPr>
        <w:t xml:space="preserve">up to </w:t>
      </w:r>
      <w:r w:rsidR="00690400" w:rsidRPr="002B51BC">
        <w:rPr>
          <w:rFonts w:ascii="Arial" w:eastAsiaTheme="minorHAnsi" w:hAnsi="Arial" w:cs="Arial"/>
          <w:sz w:val="22"/>
          <w:szCs w:val="22"/>
        </w:rPr>
        <w:t>90 days prior to the</w:t>
      </w:r>
      <w:r w:rsidR="00007C15">
        <w:rPr>
          <w:rFonts w:ascii="Arial" w:eastAsiaTheme="minorHAnsi" w:hAnsi="Arial" w:cs="Arial"/>
          <w:sz w:val="22"/>
          <w:szCs w:val="22"/>
        </w:rPr>
        <w:t>ir</w:t>
      </w:r>
      <w:r w:rsidR="00690400" w:rsidRPr="002B51BC">
        <w:rPr>
          <w:rFonts w:ascii="Arial" w:eastAsiaTheme="minorHAnsi" w:hAnsi="Arial" w:cs="Arial"/>
          <w:sz w:val="22"/>
          <w:szCs w:val="22"/>
        </w:rPr>
        <w:t xml:space="preserve"> index admission</w:t>
      </w:r>
      <w:r w:rsidR="00690400">
        <w:rPr>
          <w:rFonts w:ascii="Arial" w:eastAsiaTheme="minorHAnsi" w:hAnsi="Arial" w:cs="Arial"/>
          <w:sz w:val="22"/>
          <w:szCs w:val="22"/>
        </w:rPr>
        <w:t xml:space="preserve"> were excluded</w:t>
      </w:r>
      <w:r>
        <w:rPr>
          <w:rFonts w:ascii="Arial" w:eastAsiaTheme="minorHAnsi" w:hAnsi="Arial" w:cs="Arial"/>
          <w:sz w:val="22"/>
          <w:szCs w:val="22"/>
        </w:rPr>
        <w:t xml:space="preserve">. </w:t>
      </w:r>
      <w:bookmarkStart w:id="1" w:name="_Hlk38456077"/>
      <w:r w:rsidR="00690400" w:rsidRPr="00F079F3">
        <w:rPr>
          <w:rFonts w:ascii="Arial" w:eastAsiaTheme="minorHAnsi" w:hAnsi="Arial" w:cs="Arial"/>
          <w:sz w:val="22"/>
          <w:szCs w:val="22"/>
        </w:rPr>
        <w:t>Unexposed patients were selected</w:t>
      </w:r>
      <w:r w:rsidR="00061DCC" w:rsidRPr="00F079F3">
        <w:rPr>
          <w:rFonts w:ascii="Arial" w:eastAsiaTheme="minorHAnsi" w:hAnsi="Arial" w:cs="Arial"/>
          <w:sz w:val="22"/>
          <w:szCs w:val="22"/>
        </w:rPr>
        <w:t xml:space="preserve"> to reflect the distribution of the </w:t>
      </w:r>
      <w:r>
        <w:rPr>
          <w:rFonts w:ascii="Arial" w:eastAsiaTheme="minorHAnsi" w:hAnsi="Arial" w:cs="Arial"/>
          <w:sz w:val="22"/>
          <w:szCs w:val="22"/>
        </w:rPr>
        <w:t>case</w:t>
      </w:r>
      <w:r w:rsidR="00061DCC" w:rsidRPr="00F079F3">
        <w:rPr>
          <w:rFonts w:ascii="Arial" w:eastAsiaTheme="minorHAnsi" w:hAnsi="Arial" w:cs="Arial"/>
          <w:sz w:val="22"/>
          <w:szCs w:val="22"/>
        </w:rPr>
        <w:t xml:space="preserve"> pool </w:t>
      </w:r>
      <w:r w:rsidR="00690400" w:rsidRPr="00F079F3">
        <w:rPr>
          <w:rFonts w:ascii="Arial" w:eastAsiaTheme="minorHAnsi" w:hAnsi="Arial" w:cs="Arial"/>
          <w:sz w:val="22"/>
          <w:szCs w:val="22"/>
        </w:rPr>
        <w:t xml:space="preserve">on </w:t>
      </w:r>
      <w:r w:rsidR="00992F4E" w:rsidRPr="00F079F3">
        <w:rPr>
          <w:rFonts w:ascii="Arial" w:eastAsiaTheme="minorHAnsi" w:hAnsi="Arial" w:cs="Arial"/>
          <w:sz w:val="22"/>
          <w:szCs w:val="22"/>
        </w:rPr>
        <w:t xml:space="preserve">the following parameters: </w:t>
      </w:r>
      <w:bookmarkEnd w:id="1"/>
      <w:r w:rsidR="00992F4E" w:rsidRPr="00F079F3">
        <w:rPr>
          <w:rFonts w:ascii="Arial" w:eastAsiaTheme="minorHAnsi" w:hAnsi="Arial" w:cs="Arial"/>
          <w:sz w:val="22"/>
          <w:szCs w:val="22"/>
        </w:rPr>
        <w:t xml:space="preserve">calendar </w:t>
      </w:r>
      <w:r w:rsidR="00061DCC" w:rsidRPr="00F079F3">
        <w:rPr>
          <w:rFonts w:ascii="Arial" w:eastAsiaTheme="minorHAnsi" w:hAnsi="Arial" w:cs="Arial"/>
          <w:sz w:val="22"/>
          <w:szCs w:val="22"/>
        </w:rPr>
        <w:t xml:space="preserve">year of diagnosis, </w:t>
      </w:r>
      <w:r w:rsidR="00A11193">
        <w:rPr>
          <w:rFonts w:ascii="Arial" w:eastAsiaTheme="minorHAnsi" w:hAnsi="Arial" w:cs="Arial"/>
          <w:sz w:val="22"/>
          <w:szCs w:val="22"/>
        </w:rPr>
        <w:t>sex</w:t>
      </w:r>
      <w:r w:rsidR="00061DCC" w:rsidRPr="00F079F3">
        <w:rPr>
          <w:rFonts w:ascii="Arial" w:eastAsiaTheme="minorHAnsi" w:hAnsi="Arial" w:cs="Arial"/>
          <w:sz w:val="22"/>
          <w:szCs w:val="22"/>
        </w:rPr>
        <w:t xml:space="preserve">, age group, index admission method (emergency or non-emergency) </w:t>
      </w:r>
      <w:r w:rsidR="00934B75" w:rsidRPr="00F079F3">
        <w:rPr>
          <w:rFonts w:ascii="Arial" w:eastAsiaTheme="minorHAnsi" w:hAnsi="Arial" w:cs="Arial"/>
          <w:sz w:val="22"/>
          <w:szCs w:val="22"/>
        </w:rPr>
        <w:t xml:space="preserve">and </w:t>
      </w:r>
      <w:r w:rsidR="00992F4E" w:rsidRPr="00F079F3">
        <w:rPr>
          <w:rFonts w:ascii="Arial" w:eastAsiaTheme="minorHAnsi" w:hAnsi="Arial" w:cs="Arial"/>
          <w:sz w:val="22"/>
          <w:szCs w:val="22"/>
        </w:rPr>
        <w:t xml:space="preserve">the number of </w:t>
      </w:r>
      <w:r w:rsidR="00934B75" w:rsidRPr="00F079F3">
        <w:rPr>
          <w:rFonts w:ascii="Arial" w:eastAsiaTheme="minorHAnsi" w:hAnsi="Arial" w:cs="Arial"/>
          <w:sz w:val="22"/>
          <w:szCs w:val="22"/>
        </w:rPr>
        <w:t>hospital care episode</w:t>
      </w:r>
      <w:r>
        <w:rPr>
          <w:rFonts w:ascii="Arial" w:eastAsiaTheme="minorHAnsi" w:hAnsi="Arial" w:cs="Arial"/>
          <w:sz w:val="22"/>
          <w:szCs w:val="22"/>
        </w:rPr>
        <w:t>s</w:t>
      </w:r>
      <w:r w:rsidR="00C3333E">
        <w:rPr>
          <w:rFonts w:ascii="Arial" w:eastAsiaTheme="minorHAnsi" w:hAnsi="Arial" w:cs="Arial"/>
          <w:sz w:val="22"/>
          <w:szCs w:val="22"/>
        </w:rPr>
        <w:t xml:space="preserve"> (one or more)</w:t>
      </w:r>
      <w:r w:rsidR="00061DCC" w:rsidRPr="00F079F3">
        <w:rPr>
          <w:rFonts w:ascii="Arial" w:eastAsiaTheme="minorHAnsi" w:hAnsi="Arial" w:cs="Arial"/>
          <w:sz w:val="22"/>
          <w:szCs w:val="22"/>
        </w:rPr>
        <w:t xml:space="preserve">. </w:t>
      </w:r>
      <w:r w:rsidR="00C3333E">
        <w:rPr>
          <w:rFonts w:ascii="Arial" w:eastAsiaTheme="minorHAnsi" w:hAnsi="Arial" w:cs="Arial"/>
          <w:sz w:val="22"/>
          <w:szCs w:val="22"/>
        </w:rPr>
        <w:t>The matched hospital c</w:t>
      </w:r>
      <w:r w:rsidR="009F78EC" w:rsidRPr="00F079F3">
        <w:rPr>
          <w:rFonts w:ascii="Arial" w:eastAsiaTheme="minorHAnsi" w:hAnsi="Arial" w:cs="Arial"/>
          <w:sz w:val="22"/>
          <w:szCs w:val="22"/>
        </w:rPr>
        <w:t xml:space="preserve">are episode for </w:t>
      </w:r>
      <w:r w:rsidR="00C3333E">
        <w:rPr>
          <w:rFonts w:ascii="Arial" w:eastAsiaTheme="minorHAnsi" w:hAnsi="Arial" w:cs="Arial"/>
          <w:sz w:val="22"/>
          <w:szCs w:val="22"/>
        </w:rPr>
        <w:t xml:space="preserve">the </w:t>
      </w:r>
      <w:r w:rsidR="004B50C8" w:rsidRPr="00F079F3">
        <w:rPr>
          <w:rFonts w:ascii="Arial" w:eastAsiaTheme="minorHAnsi" w:hAnsi="Arial" w:cs="Arial"/>
          <w:sz w:val="22"/>
          <w:szCs w:val="22"/>
        </w:rPr>
        <w:t xml:space="preserve">unexposed </w:t>
      </w:r>
      <w:r w:rsidR="00AE6C89">
        <w:rPr>
          <w:rFonts w:ascii="Arial" w:eastAsiaTheme="minorHAnsi" w:hAnsi="Arial" w:cs="Arial"/>
          <w:sz w:val="22"/>
          <w:szCs w:val="22"/>
        </w:rPr>
        <w:t xml:space="preserve">patients </w:t>
      </w:r>
      <w:r w:rsidR="00C3333E">
        <w:rPr>
          <w:rFonts w:ascii="Arial" w:eastAsiaTheme="minorHAnsi" w:hAnsi="Arial" w:cs="Arial"/>
          <w:sz w:val="22"/>
          <w:szCs w:val="22"/>
        </w:rPr>
        <w:t xml:space="preserve">was </w:t>
      </w:r>
      <w:r w:rsidR="00C3333E" w:rsidRPr="00F079F3">
        <w:rPr>
          <w:rFonts w:ascii="Arial" w:eastAsiaTheme="minorHAnsi" w:hAnsi="Arial" w:cs="Arial"/>
          <w:sz w:val="22"/>
          <w:szCs w:val="22"/>
        </w:rPr>
        <w:t xml:space="preserve">randomly sampled </w:t>
      </w:r>
      <w:r w:rsidR="00C3333E">
        <w:rPr>
          <w:rFonts w:ascii="Arial" w:eastAsiaTheme="minorHAnsi" w:hAnsi="Arial" w:cs="Arial"/>
          <w:sz w:val="22"/>
          <w:szCs w:val="22"/>
        </w:rPr>
        <w:t xml:space="preserve">to </w:t>
      </w:r>
      <w:r w:rsidR="009F78EC" w:rsidRPr="00F079F3">
        <w:rPr>
          <w:rFonts w:ascii="Arial" w:eastAsiaTheme="minorHAnsi" w:hAnsi="Arial" w:cs="Arial"/>
          <w:sz w:val="22"/>
          <w:szCs w:val="22"/>
        </w:rPr>
        <w:t xml:space="preserve">reflect the distribution of </w:t>
      </w:r>
      <w:r w:rsidR="00C3333E">
        <w:rPr>
          <w:rFonts w:ascii="Arial" w:eastAsiaTheme="minorHAnsi" w:hAnsi="Arial" w:cs="Arial"/>
          <w:sz w:val="22"/>
          <w:szCs w:val="22"/>
        </w:rPr>
        <w:t xml:space="preserve">episodes in which CDI was recorded. </w:t>
      </w:r>
      <w:r w:rsidR="00422055">
        <w:rPr>
          <w:rFonts w:ascii="Arial" w:eastAsiaTheme="minorHAnsi" w:hAnsi="Arial" w:cs="Arial"/>
          <w:sz w:val="22"/>
          <w:szCs w:val="22"/>
        </w:rPr>
        <w:t>The i</w:t>
      </w:r>
      <w:r w:rsidR="00C3333E" w:rsidRPr="00C3333E">
        <w:rPr>
          <w:rFonts w:ascii="Arial" w:eastAsiaTheme="minorHAnsi" w:hAnsi="Arial" w:cs="Arial"/>
          <w:sz w:val="22"/>
          <w:szCs w:val="22"/>
        </w:rPr>
        <w:t>ndex date was defined as the start of the</w:t>
      </w:r>
      <w:r w:rsidR="00C3333E">
        <w:rPr>
          <w:rFonts w:ascii="Arial" w:eastAsiaTheme="minorHAnsi" w:hAnsi="Arial" w:cs="Arial"/>
          <w:sz w:val="22"/>
          <w:szCs w:val="22"/>
        </w:rPr>
        <w:t xml:space="preserve"> randomly selected</w:t>
      </w:r>
      <w:r w:rsidR="00C3333E" w:rsidRPr="00C3333E">
        <w:rPr>
          <w:rFonts w:ascii="Arial" w:eastAsiaTheme="minorHAnsi" w:hAnsi="Arial" w:cs="Arial"/>
          <w:sz w:val="22"/>
          <w:szCs w:val="22"/>
        </w:rPr>
        <w:t xml:space="preserve"> care episode</w:t>
      </w:r>
      <w:r w:rsidR="00C3333E">
        <w:rPr>
          <w:rFonts w:ascii="Arial" w:eastAsiaTheme="minorHAnsi" w:hAnsi="Arial" w:cs="Arial"/>
          <w:sz w:val="22"/>
          <w:szCs w:val="22"/>
        </w:rPr>
        <w:t xml:space="preserve">. </w:t>
      </w:r>
    </w:p>
    <w:p w14:paraId="23B471F0" w14:textId="77777777" w:rsidR="009A4EC6" w:rsidRPr="00F079F3" w:rsidRDefault="009A4EC6">
      <w:pPr>
        <w:pStyle w:val="00Paragraph"/>
        <w:spacing w:before="0" w:after="0" w:line="360" w:lineRule="auto"/>
        <w:rPr>
          <w:rFonts w:ascii="Arial" w:eastAsiaTheme="minorHAnsi" w:hAnsi="Arial" w:cs="Arial"/>
          <w:sz w:val="22"/>
          <w:szCs w:val="22"/>
        </w:rPr>
      </w:pPr>
    </w:p>
    <w:p w14:paraId="60BC9C85" w14:textId="410C84F8" w:rsidR="004B50C8" w:rsidRDefault="004B50C8">
      <w:r>
        <w:t xml:space="preserve">Recurrence of CDI was defined as a second CDI episode documented on </w:t>
      </w:r>
      <w:r w:rsidR="00A11193">
        <w:t>D</w:t>
      </w:r>
      <w:r>
        <w:t>ays 13−56 inclusive</w:t>
      </w:r>
      <w:r w:rsidR="0038509D">
        <w:t>, after the index episode</w:t>
      </w:r>
      <w:r>
        <w:t>. T</w:t>
      </w:r>
      <w:r w:rsidRPr="00ED5F73">
        <w:t>he date of CDI recurrence was defined as the start of the care episode in which the diagnosis was made.</w:t>
      </w:r>
      <w:r>
        <w:t xml:space="preserve"> Otherwise, p</w:t>
      </w:r>
      <w:r w:rsidRPr="00D60C9B">
        <w:t>atients with a single record of CDI documented during the study period, with all CDI events recorded with</w:t>
      </w:r>
      <w:r>
        <w:t>in</w:t>
      </w:r>
      <w:r w:rsidRPr="00D60C9B">
        <w:t xml:space="preserve"> 12 days of their </w:t>
      </w:r>
      <w:r w:rsidR="00C3333E">
        <w:t>first</w:t>
      </w:r>
      <w:r w:rsidRPr="00D60C9B">
        <w:t xml:space="preserve"> CDI episode or with their second CDI event recorded after </w:t>
      </w:r>
      <w:r w:rsidR="00A11193">
        <w:t>D</w:t>
      </w:r>
      <w:r w:rsidRPr="00D60C9B">
        <w:t xml:space="preserve">ay 56 were </w:t>
      </w:r>
      <w:r>
        <w:t>included in the</w:t>
      </w:r>
      <w:r w:rsidRPr="00D60C9B">
        <w:t xml:space="preserve"> non-recurrent CDI</w:t>
      </w:r>
      <w:r>
        <w:t xml:space="preserve"> cohort</w:t>
      </w:r>
      <w:r w:rsidRPr="00D60C9B">
        <w:t xml:space="preserve">. Follow-up time for these patients </w:t>
      </w:r>
      <w:r>
        <w:t>was</w:t>
      </w:r>
      <w:r w:rsidRPr="00D60C9B">
        <w:t xml:space="preserve"> censored at the date of their second CDI diagnosis.</w:t>
      </w:r>
    </w:p>
    <w:p w14:paraId="46ECE69E" w14:textId="77777777" w:rsidR="009A4EC6" w:rsidRDefault="009A4EC6"/>
    <w:p w14:paraId="2744EAC7" w14:textId="1A8E099B" w:rsidR="00BD3BD6" w:rsidRDefault="00BD3BD6" w:rsidP="0073622B">
      <w:pPr>
        <w:pStyle w:val="Heading2"/>
        <w:spacing w:before="0"/>
      </w:pPr>
      <w:r>
        <w:t>Outcomes</w:t>
      </w:r>
    </w:p>
    <w:p w14:paraId="561348E3" w14:textId="77777777" w:rsidR="00B73061" w:rsidRPr="0073622B" w:rsidRDefault="00B73061" w:rsidP="003B3515"/>
    <w:p w14:paraId="58B293FB" w14:textId="7DB5BF66" w:rsidR="008E3608" w:rsidRDefault="00422055">
      <w:r>
        <w:t>The</w:t>
      </w:r>
      <w:r w:rsidR="00205BAF">
        <w:t xml:space="preserve"> primary outcome was</w:t>
      </w:r>
      <w:r w:rsidR="00205BAF" w:rsidRPr="004320E7">
        <w:t xml:space="preserve"> </w:t>
      </w:r>
      <w:r w:rsidR="003A3A9B">
        <w:t xml:space="preserve">time to </w:t>
      </w:r>
      <w:r w:rsidR="00C618FC" w:rsidRPr="004320E7">
        <w:t>all-cause mortality</w:t>
      </w:r>
      <w:r w:rsidR="00205BAF">
        <w:t>,</w:t>
      </w:r>
      <w:r w:rsidR="00ED7F70">
        <w:t xml:space="preserve"> up to 12 months,</w:t>
      </w:r>
      <w:r w:rsidR="00C618FC">
        <w:t xml:space="preserve"> </w:t>
      </w:r>
      <w:r w:rsidR="003440E6">
        <w:t>as</w:t>
      </w:r>
      <w:r w:rsidR="00C618FC">
        <w:t xml:space="preserve"> evidence</w:t>
      </w:r>
      <w:r w:rsidR="003440E6">
        <w:t>d</w:t>
      </w:r>
      <w:r w:rsidR="00C618FC">
        <w:t xml:space="preserve"> </w:t>
      </w:r>
      <w:r w:rsidR="003440E6">
        <w:t xml:space="preserve">by </w:t>
      </w:r>
      <w:r w:rsidR="00C618FC">
        <w:t xml:space="preserve">a record of death in the ONS mortality record. Only mortality events recorded during the patient’s registration period at the practice were included. </w:t>
      </w:r>
      <w:r w:rsidR="005B275D">
        <w:t>S</w:t>
      </w:r>
      <w:r w:rsidR="00C618FC" w:rsidRPr="00C618FC">
        <w:t>econdary</w:t>
      </w:r>
      <w:r w:rsidR="009C22B3">
        <w:t xml:space="preserve"> outcomes</w:t>
      </w:r>
      <w:r w:rsidR="00C618FC" w:rsidRPr="00C618FC">
        <w:t xml:space="preserve"> </w:t>
      </w:r>
      <w:r w:rsidR="00447A83">
        <w:t>were</w:t>
      </w:r>
      <w:r w:rsidR="00447A83" w:rsidRPr="00C618FC">
        <w:t xml:space="preserve"> </w:t>
      </w:r>
      <w:r>
        <w:t xml:space="preserve">the </w:t>
      </w:r>
      <w:r w:rsidR="00C618FC">
        <w:t xml:space="preserve">time to first </w:t>
      </w:r>
      <w:r w:rsidR="001A7545" w:rsidRPr="004320E7">
        <w:t>complication</w:t>
      </w:r>
      <w:r w:rsidR="00C618FC">
        <w:t xml:space="preserve"> </w:t>
      </w:r>
      <w:r w:rsidR="00447A83">
        <w:t>and</w:t>
      </w:r>
      <w:r w:rsidR="00ED7F70">
        <w:t xml:space="preserve"> time to</w:t>
      </w:r>
      <w:r w:rsidR="00447A83">
        <w:t xml:space="preserve"> the combined endpoint of complications or death</w:t>
      </w:r>
      <w:r w:rsidR="00ED7F70">
        <w:t>, up to</w:t>
      </w:r>
      <w:r w:rsidR="00C618FC">
        <w:t xml:space="preserve"> 12 months</w:t>
      </w:r>
      <w:r>
        <w:t xml:space="preserve">. </w:t>
      </w:r>
      <w:r w:rsidR="00F54419" w:rsidRPr="00F54419">
        <w:t>Complications included ulcerative pancolitis, megacolon, intestinal perforation, toxic gastroenteritis</w:t>
      </w:r>
      <w:r w:rsidR="004472D3">
        <w:t>/</w:t>
      </w:r>
      <w:r w:rsidR="00F54419" w:rsidRPr="00F54419">
        <w:t>colitis, colectomy, renal failure and sepsis</w:t>
      </w:r>
      <w:r w:rsidR="00F54419">
        <w:t xml:space="preserve">, </w:t>
      </w:r>
      <w:r w:rsidR="004472D3">
        <w:t>and were identified</w:t>
      </w:r>
      <w:r w:rsidR="00F54419">
        <w:t xml:space="preserve"> using </w:t>
      </w:r>
      <w:r w:rsidR="00837685">
        <w:t>ICD-10</w:t>
      </w:r>
      <w:r w:rsidR="0038509D">
        <w:t xml:space="preserve"> </w:t>
      </w:r>
      <w:r w:rsidR="00837685">
        <w:t>code</w:t>
      </w:r>
      <w:r w:rsidR="00F54419">
        <w:t>s</w:t>
      </w:r>
      <w:r w:rsidR="0038509D">
        <w:t xml:space="preserve"> </w:t>
      </w:r>
      <w:r w:rsidR="00837685">
        <w:t>in HES or ONS mortality data</w:t>
      </w:r>
      <w:r w:rsidR="004472D3">
        <w:t>,</w:t>
      </w:r>
      <w:r w:rsidR="00837685">
        <w:t xml:space="preserve"> </w:t>
      </w:r>
      <w:r w:rsidR="004209F6">
        <w:t>R</w:t>
      </w:r>
      <w:r w:rsidR="00837685">
        <w:t>ead</w:t>
      </w:r>
      <w:r w:rsidR="00A11193">
        <w:t xml:space="preserve"> </w:t>
      </w:r>
      <w:r w:rsidR="0038509D">
        <w:t>C</w:t>
      </w:r>
      <w:r w:rsidR="00837685">
        <w:t>ode</w:t>
      </w:r>
      <w:r w:rsidR="00F54419">
        <w:t>s</w:t>
      </w:r>
      <w:r w:rsidR="0038509D">
        <w:t xml:space="preserve"> </w:t>
      </w:r>
      <w:r w:rsidR="00837685">
        <w:t>in primary care</w:t>
      </w:r>
      <w:r w:rsidR="004472D3">
        <w:t>,</w:t>
      </w:r>
      <w:r w:rsidR="00837685">
        <w:t xml:space="preserve"> </w:t>
      </w:r>
      <w:r w:rsidR="00F54419">
        <w:t xml:space="preserve">and/or </w:t>
      </w:r>
      <w:r w:rsidR="00837685">
        <w:t>Office of Population Censuses and Surveys procedure code</w:t>
      </w:r>
      <w:r w:rsidR="00F54419">
        <w:t>s</w:t>
      </w:r>
      <w:r w:rsidR="00837685">
        <w:t xml:space="preserve"> in hospital (</w:t>
      </w:r>
      <w:r w:rsidR="00837685" w:rsidRPr="00FA52AD">
        <w:rPr>
          <w:b/>
        </w:rPr>
        <w:t>Table A.I</w:t>
      </w:r>
      <w:r w:rsidR="00E31DDC">
        <w:t>,</w:t>
      </w:r>
      <w:r w:rsidR="00E31DDC" w:rsidRPr="00E31DDC">
        <w:t xml:space="preserve"> </w:t>
      </w:r>
      <w:r w:rsidR="00E31DDC" w:rsidRPr="002D7632">
        <w:t xml:space="preserve">online </w:t>
      </w:r>
      <w:r w:rsidR="00E31DDC" w:rsidRPr="002D7632">
        <w:lastRenderedPageBreak/>
        <w:t>supplementary</w:t>
      </w:r>
      <w:r w:rsidR="00E31DDC">
        <w:t xml:space="preserve"> </w:t>
      </w:r>
      <w:r w:rsidR="005B275D">
        <w:t>material</w:t>
      </w:r>
      <w:r w:rsidR="00837685">
        <w:t xml:space="preserve">). </w:t>
      </w:r>
      <w:r w:rsidR="00F54419">
        <w:t xml:space="preserve">Admission to augmented or critical care for any reason during the follow-up period was also classed as a complication. </w:t>
      </w:r>
      <w:r w:rsidR="00320F9E">
        <w:t xml:space="preserve">Events occurring prior to </w:t>
      </w:r>
      <w:r w:rsidR="008F4538">
        <w:t xml:space="preserve">the </w:t>
      </w:r>
      <w:r w:rsidR="00320F9E">
        <w:t>index date were excluded.</w:t>
      </w:r>
    </w:p>
    <w:p w14:paraId="56E2B408" w14:textId="000E5A88" w:rsidR="0086178C" w:rsidRDefault="0086178C"/>
    <w:p w14:paraId="41B3D44B" w14:textId="49F25C31" w:rsidR="0086178C" w:rsidRDefault="0086178C" w:rsidP="005277CB">
      <w:pPr>
        <w:pStyle w:val="Heading2"/>
        <w:spacing w:before="0"/>
      </w:pPr>
      <w:r>
        <w:t>Study size</w:t>
      </w:r>
    </w:p>
    <w:p w14:paraId="71C7A248" w14:textId="7DA4BE95" w:rsidR="0086178C" w:rsidRDefault="0086178C"/>
    <w:p w14:paraId="4F953263" w14:textId="2E045AA4" w:rsidR="0086178C" w:rsidRPr="0086178C" w:rsidRDefault="0086178C" w:rsidP="0086178C">
      <w:r w:rsidRPr="0086178C">
        <w:t xml:space="preserve">Assuming a cumulative risk of 21.5% for 1-year mortality among patients without diarrhoea and unexposed to CDI </w:t>
      </w:r>
      <w:r w:rsidRPr="0086178C">
        <w:fldChar w:fldCharType="begin" w:fldLock="1"/>
      </w:r>
      <w:r w:rsidR="005E0B17">
        <w:instrText>ADDIN CSL_CITATION {"citationItems":[{"id":"ITEM-1","itemData":{"DOI":"10.1093/cid/cis1209","ISBN":"1537-6591 (Electronic)\\r1058-4838 (Linking)","ISSN":"10584838","PMID":"23300235","abstract":"BACKGROUND: Mortality among patients with Clostridium difficile infection (CDI) is high. Because of high age and multiple underlying diseases, CDI-related mortality is difficult to estimate. We estimated CDI-related mortality in an endemic situation, not influenced by outbreaks and consequently certain patients and C. difficile strains. METHODS: Between 2006 and 2009, 13 Dutch hospitals included all hospitalized CDI patients. Nine hospitals individually matched each CDI patient to 2 control patients, based on ward and time of CDI hospitalization. Survival status was obtained via the Dutch Civil Registration System. Kaplan-Meier and Cox regression were used for survival analysis. RESULTS: We identified 1366 patients with CDI (1.33 per 1000 admissions). All-cause mortality risk was 13% after 30 days and 37% after 1 year. The highest mortality was seen among elderly patients and patients with polymerase chain reaction ribotype 027. Three hundred seventeen CDI patients were matched to 317 patients without diarrhea and 232 patients with diarrhea, with a 30-day mortality risk of 5.4% and 8.6%, respectively. CDI patients had a 2.5-fold increased 30-day mortality rate compared to controls without diarrhea (hazard ratio 2.5 [95% confidence interval, 1.4-4.3]) when adjusted for age, sex, and underlying diseases. CDI-related death occurred mainly within 30 days after diagnosis. CONCLUSIONS: Mortality among CDI patients is high, even in an endemic situation. Our results show that CDI is associated with to a 2.5-fold increase in 30-day mortality. This highlights the considerable disease burden and clinical impact of CDI, even in absence of an outbreak.","author":[{"dropping-particle":"","family":"Hensgens","given":"Marjolein P M","non-dropping-particle":"","parse-names":false,"suffix":""},{"dropping-particle":"","family":"Goorhuis","given":"Abraham","non-dropping-particle":"","parse-names":false,"suffix":""},{"dropping-particle":"","family":"Dekkers","given":"Olaf M.","non-dropping-particle":"","parse-names":false,"suffix":""},{"dropping-particle":"","family":"Benthem","given":"Birgit H B","non-dropping-particle":"Van","parse-names":false,"suffix":""},{"dropping-particle":"","family":"Kuijper","given":"Ed J.","non-dropping-particle":"","parse-names":false,"suffix":""}],"container-title":"Clinical Infectious Diseases","id":"ITEM-1","issue":"8","issued":{"date-parts":[["2013","4"]]},"language":"eng","page":"1108-1116","publisher-place":"United States","title":"All-cause and disease-specific mortality in hospitalized patients with &lt;i&gt;Clostridium difficile&lt;/i&gt; infection: a multicenter cohort study","type":"article-journal","volume":"56"},"uris":["http://www.mendeley.com/documents/?uuid=7a118c06-9c81-4143-b49d-f621a5ba97b1"]}],"mendeley":{"formattedCitation":"[31]","plainTextFormattedCitation":"[31]","previouslyFormattedCitation":"[31]"},"properties":{"noteIndex":0},"schema":"https://github.com/citation-style-language/schema/raw/master/csl-citation.json"}</w:instrText>
      </w:r>
      <w:r w:rsidRPr="0086178C">
        <w:fldChar w:fldCharType="separate"/>
      </w:r>
      <w:r w:rsidR="005E0B17" w:rsidRPr="005E0B17">
        <w:rPr>
          <w:noProof/>
        </w:rPr>
        <w:t>[31]</w:t>
      </w:r>
      <w:r w:rsidRPr="0086178C">
        <w:fldChar w:fldCharType="end"/>
      </w:r>
      <w:r w:rsidRPr="0086178C">
        <w:t xml:space="preserve">, 1,571 patients with and without CDI would provide 90% power to detect a statistically significant difference between groups at a two-sided significance level of 0.05, if the real difference in 1-year mortality was ≥5%. Using a 1-year mortality rate of 15.3% among patients with non-recurrent CDI </w:t>
      </w:r>
      <w:r w:rsidRPr="0086178C">
        <w:fldChar w:fldCharType="begin" w:fldLock="1"/>
      </w:r>
      <w:r w:rsidR="005E0B17">
        <w:instrText>ADDIN CSL_CITATION {"citationItems":[{"id":"ITEM-1","itemData":{"author":[{"dropping-particle":"","family":"Escobar","given":"Gabriel J","non-dropping-particle":"","parse-names":false,"suffix":""},{"dropping-particle":"","family":"Baker","given":"Jennifer M","non-dropping-particle":"","parse-names":false,"suffix":""},{"dropping-particle":"","family":"Li","given":"Sherian Xu","non-dropping-particle":"","parse-names":false,"suffix":""},{"dropping-particle":"","family":"Xie","given":"Yang","non-dropping-particle":"","parse-names":false,"suffix":""},{"dropping-particle":"","family":"Kipnis","given":"Patricia","non-dropping-particle":"","parse-names":false,"suffix":""}],"container-title":"54th Interscience Conference on Antimicrobial Agents and Chemotherapy (ICAAC)","id":"ITEM-1","issued":{"date-parts":[["2014"]]},"title":"Clinical and economic burden of recurrent &lt;i&gt;Clostridium difficile&lt;/i&gt; infections - a 10-year retrospective large database analysis","type":"paper-conference"},"uris":["http://www.mendeley.com/documents/?uuid=e965bd5f-0b54-42ff-8406-c8f3468fbeb7"]}],"mendeley":{"formattedCitation":"[32]","plainTextFormattedCitation":"[32]","previouslyFormattedCitation":"[32]"},"properties":{"noteIndex":0},"schema":"https://github.com/citation-style-language/schema/raw/master/csl-citation.json"}</w:instrText>
      </w:r>
      <w:r w:rsidRPr="0086178C">
        <w:fldChar w:fldCharType="separate"/>
      </w:r>
      <w:r w:rsidR="005E0B17" w:rsidRPr="005E0B17">
        <w:rPr>
          <w:noProof/>
        </w:rPr>
        <w:t>[32]</w:t>
      </w:r>
      <w:r w:rsidRPr="0086178C">
        <w:fldChar w:fldCharType="end"/>
      </w:r>
      <w:r w:rsidRPr="0086178C">
        <w:t xml:space="preserve">, 1,228 patients with and without recurrent CDI would provide 90% power to detect a statistically significant difference between groups at a two-sided significance level of 0.05, if the real difference in mortality was ≥5%. </w:t>
      </w:r>
      <w:r w:rsidR="00813F7E" w:rsidRPr="00813F7E">
        <w:t xml:space="preserve">We elected to use a ratio of 1:2 </w:t>
      </w:r>
      <w:r w:rsidR="00813F7E">
        <w:t xml:space="preserve">of cases to controls </w:t>
      </w:r>
      <w:r w:rsidR="00813F7E" w:rsidRPr="00813F7E">
        <w:t>for any incremental power that this might add.</w:t>
      </w:r>
    </w:p>
    <w:p w14:paraId="4FFE205F" w14:textId="77777777" w:rsidR="009A4EC6" w:rsidRDefault="009A4EC6"/>
    <w:p w14:paraId="7D454AF3" w14:textId="3CE0148A" w:rsidR="004F5375" w:rsidRDefault="00BD3BD6" w:rsidP="0073622B">
      <w:pPr>
        <w:pStyle w:val="Heading2"/>
        <w:spacing w:before="0"/>
      </w:pPr>
      <w:r>
        <w:t>Statistical analysis</w:t>
      </w:r>
    </w:p>
    <w:p w14:paraId="7B80D76F" w14:textId="77777777" w:rsidR="00B73061" w:rsidRPr="0073622B" w:rsidRDefault="00B73061" w:rsidP="003B3515"/>
    <w:p w14:paraId="1E0DD6A6" w14:textId="0845849C" w:rsidR="004F3FB1" w:rsidRDefault="00657EE2">
      <w:r w:rsidRPr="0088760C">
        <w:t>Baseline characteristics</w:t>
      </w:r>
      <w:r w:rsidR="009815D7" w:rsidRPr="0088760C">
        <w:t xml:space="preserve"> were summari</w:t>
      </w:r>
      <w:r w:rsidR="0064553B">
        <w:t>z</w:t>
      </w:r>
      <w:r w:rsidR="009815D7" w:rsidRPr="0088760C">
        <w:t xml:space="preserve">ed using </w:t>
      </w:r>
      <w:r w:rsidR="004F3FB1">
        <w:t>Chi-squared</w:t>
      </w:r>
      <w:r w:rsidR="006D62D0">
        <w:t xml:space="preserve"> tests</w:t>
      </w:r>
      <w:r w:rsidR="004F3FB1">
        <w:t>, t-te</w:t>
      </w:r>
      <w:r w:rsidR="00B85866">
        <w:t>sts</w:t>
      </w:r>
      <w:r w:rsidR="004F3FB1">
        <w:t xml:space="preserve"> and Mann</w:t>
      </w:r>
      <w:r w:rsidR="006D62D0" w:rsidRPr="006D62D0">
        <w:t>–</w:t>
      </w:r>
      <w:r w:rsidR="004F3FB1">
        <w:t>Whitney U tests</w:t>
      </w:r>
      <w:r w:rsidR="005B275D">
        <w:t>,</w:t>
      </w:r>
      <w:r w:rsidR="004F3FB1">
        <w:t xml:space="preserve"> where appropriate</w:t>
      </w:r>
      <w:r w:rsidR="0088760C">
        <w:t>.</w:t>
      </w:r>
      <w:r w:rsidR="004F3FB1">
        <w:t xml:space="preserve"> </w:t>
      </w:r>
      <w:r w:rsidR="00D70E97">
        <w:t xml:space="preserve">Kaplan-Meier analysis was </w:t>
      </w:r>
      <w:r w:rsidR="00FC6905">
        <w:t>initially</w:t>
      </w:r>
      <w:r w:rsidR="00943A7E">
        <w:t xml:space="preserve"> </w:t>
      </w:r>
      <w:r w:rsidR="00D70E97">
        <w:t>used to estimate</w:t>
      </w:r>
      <w:r w:rsidR="00977CAA">
        <w:t xml:space="preserve"> </w:t>
      </w:r>
      <w:r w:rsidR="00943A7E">
        <w:t xml:space="preserve">the </w:t>
      </w:r>
      <w:r w:rsidR="00977CAA">
        <w:t xml:space="preserve">cumulative </w:t>
      </w:r>
      <w:r w:rsidR="00943A7E">
        <w:t xml:space="preserve">incidence function of time to </w:t>
      </w:r>
      <w:r w:rsidR="001A7545">
        <w:t>mortality</w:t>
      </w:r>
      <w:r w:rsidR="00C618FC">
        <w:t xml:space="preserve"> or</w:t>
      </w:r>
      <w:r w:rsidR="001A7545">
        <w:t xml:space="preserve"> </w:t>
      </w:r>
      <w:r w:rsidR="00C618FC">
        <w:t xml:space="preserve">complications </w:t>
      </w:r>
      <w:r w:rsidR="00FF2364">
        <w:t>up to 12</w:t>
      </w:r>
      <w:r w:rsidR="001A7545">
        <w:t xml:space="preserve"> </w:t>
      </w:r>
      <w:r w:rsidR="00FF2364">
        <w:t>months</w:t>
      </w:r>
      <w:r w:rsidR="00977CAA">
        <w:t>.</w:t>
      </w:r>
      <w:r w:rsidR="002868B8">
        <w:t xml:space="preserve"> </w:t>
      </w:r>
      <w:r w:rsidR="00C57D5B">
        <w:t xml:space="preserve">Cox proportional hazard regression models, with backward stepwise selection of </w:t>
      </w:r>
      <w:r w:rsidR="00B85866">
        <w:t>candidate variabl</w:t>
      </w:r>
      <w:r w:rsidR="00B437A5">
        <w:t>es</w:t>
      </w:r>
      <w:r w:rsidR="00C57D5B">
        <w:t>,</w:t>
      </w:r>
      <w:r w:rsidR="000324C7">
        <w:t xml:space="preserve"> </w:t>
      </w:r>
      <w:r w:rsidR="00B85866">
        <w:t xml:space="preserve">were fitted to compare hazards </w:t>
      </w:r>
      <w:r w:rsidR="002868B8">
        <w:t xml:space="preserve">of endpoints during the outcome periods. </w:t>
      </w:r>
      <w:r w:rsidR="00B85866">
        <w:t xml:space="preserve">To </w:t>
      </w:r>
      <w:r w:rsidR="0038509D">
        <w:t>assess the impact of</w:t>
      </w:r>
      <w:r w:rsidR="00B85866">
        <w:t xml:space="preserve"> </w:t>
      </w:r>
      <w:r w:rsidR="00B85866" w:rsidRPr="00B909A2">
        <w:t xml:space="preserve">immortal time bias </w:t>
      </w:r>
      <w:r w:rsidR="008F4538">
        <w:fldChar w:fldCharType="begin" w:fldLock="1"/>
      </w:r>
      <w:r w:rsidR="005E0B17">
        <w:instrText>ADDIN CSL_CITATION {"citationItems":[{"id":"ITEM-1","itemData":{"DOI":"10.1097/CCM.0b013e3181b7fbbb","ISSN":"15300293","abstract":"Objective: To examine the bias introduced by using time-fixed methodology to analyze the effects of a time-varying exposure incurred in the intensive care unit. Design: Prospective cohort and Monte Carlo simulation studies. Setting: Medical and coronary intensive care units in a university hospital. Patients: A total of 224 mechanically ventilated patients. Methods: Part I was a case study analyzing the association between delirium in the intensive care unit (exposure variable) and outcomes (intensive care unit length of stay and 6-mo mortality) in a prospective cohort study. Part II was a Monte Carlo simulation generating 16,000 data sets wherein the true associations between delirium and outcomes were known before analysis. In both parts, we assessed associations between delirium in the intensive care unit and outcomes (intensive care unit length of stay and mortality), using time-fixed vs. time-varying Cox regression methodology. Ements and Main Results: In the case study, delirium analyzed as a time-fixed variable was associated with a delayed intensive care unit discharge (adjusted hazard ratio = 1.9, 95% confidence interval, 1.3-2.7, p &lt;.001), but no association was noted using a time-varying method (adjusted hazard ratio = 1.1, 95% confidence interval = 0.7-1.6, p =.70). Alternatively, delirium analyzed as a time-fixed variable was not associated with 6-mo mortality (adjusted hazard ratio = 2.9, 95% confidence interval, 0.9-5.0, p =.09), whereas delirium analyzed as a time-varying variable was associated with increased mortality (adjusted hazard ratio = 3.2, 95% confidence interval, 1.4-7.7, p =.008). In the simulation study, time-fixed methods produced erroneous results in 97.1% of the data sets with no true association; time-varying methods produced erroneous results in only 3.7%. Similarly, time-fixed methods produced biased results when a true association was present, whereas time-varying methods produced accurate results. Conclusions: Studies using a time-fixed analytic approach to understand relationships between exposures and clinical outcomes can result in considerable bias when the variables overlap temporally in occurrence. Those conducting such studies, and clinicians reading them, should ensure that time-varying exposures are correctly analyzed to avoid biased conclusions. Copyright © 2009 by the Society of Critical Care Medicine and Lippincott Williams &amp; Wilkins.","author":[{"dropping-particle":"","family":"Shintani","given":"Ayumi K.","non-dropping-particle":"","parse-names":false,"suffix":""},{"dropping-particle":"","family":"Girard","given":"Timothy D.","non-dropping-particle":"","parse-names":false,"suffix":""},{"dropping-particle":"","family":"Eden","given":"Svetlana K.","non-dropping-particle":"","parse-names":false,"suffix":""},{"dropping-particle":"","family":"Arbogast","given":"Patrick G.","non-dropping-particle":"","parse-names":false,"suffix":""},{"dropping-particle":"","family":"Moons","given":"Karel G.M.","non-dropping-particle":"","parse-names":false,"suffix":""},{"dropping-particle":"","family":"Ely","given":"E. Wesley","non-dropping-particle":"","parse-names":false,"suffix":""}],"container-title":"Critical Care Medicine","id":"ITEM-1","issue":"11","issued":{"date-parts":[["2009"]]},"page":"2939-2945","title":"Immortal time bias in critical care research: application of time-varying Cox regression for observational cohort studies","type":"article-journal","volume":"37"},"uris":["http://www.mendeley.com/documents/?uuid=dc170f64-f399-491e-898f-44b3666613c2"]}],"mendeley":{"formattedCitation":"[33]","plainTextFormattedCitation":"[33]","previouslyFormattedCitation":"[33]"},"properties":{"noteIndex":0},"schema":"https://github.com/citation-style-language/schema/raw/master/csl-citation.json"}</w:instrText>
      </w:r>
      <w:r w:rsidR="008F4538">
        <w:fldChar w:fldCharType="separate"/>
      </w:r>
      <w:r w:rsidR="005E0B17" w:rsidRPr="005E0B17">
        <w:rPr>
          <w:noProof/>
        </w:rPr>
        <w:t>[33]</w:t>
      </w:r>
      <w:r w:rsidR="008F4538">
        <w:fldChar w:fldCharType="end"/>
      </w:r>
      <w:r w:rsidR="008F4538">
        <w:t>,</w:t>
      </w:r>
      <w:r w:rsidR="00B85866" w:rsidRPr="00B909A2">
        <w:t xml:space="preserve"> </w:t>
      </w:r>
      <w:r w:rsidR="00B85866">
        <w:t>Cox regression models</w:t>
      </w:r>
      <w:r w:rsidR="00B85866" w:rsidRPr="00FB5EA7">
        <w:t xml:space="preserve"> </w:t>
      </w:r>
      <w:r w:rsidR="00B85866">
        <w:t xml:space="preserve">were </w:t>
      </w:r>
      <w:r w:rsidR="0038509D">
        <w:t xml:space="preserve">alternatively </w:t>
      </w:r>
      <w:r w:rsidR="00B85866">
        <w:t>s</w:t>
      </w:r>
      <w:r w:rsidR="00B85866" w:rsidRPr="00B909A2">
        <w:t>pecif</w:t>
      </w:r>
      <w:r w:rsidR="00B85866">
        <w:t xml:space="preserve">ied </w:t>
      </w:r>
      <w:r w:rsidR="0038509D">
        <w:t>with</w:t>
      </w:r>
      <w:r w:rsidR="006D62D0">
        <w:t xml:space="preserve"> </w:t>
      </w:r>
      <w:r w:rsidR="00B85866">
        <w:t>time</w:t>
      </w:r>
      <w:r w:rsidR="006D62D0">
        <w:t>-</w:t>
      </w:r>
      <w:r w:rsidR="00B85866">
        <w:t>fixed</w:t>
      </w:r>
      <w:r w:rsidR="00E85D0E">
        <w:t xml:space="preserve"> </w:t>
      </w:r>
      <w:r w:rsidR="006D62D0">
        <w:t xml:space="preserve">or </w:t>
      </w:r>
      <w:r w:rsidR="00B85866">
        <w:t>time</w:t>
      </w:r>
      <w:r w:rsidR="006D62D0">
        <w:t>-</w:t>
      </w:r>
      <w:r w:rsidR="00B85866">
        <w:t xml:space="preserve">dependent </w:t>
      </w:r>
      <w:r w:rsidR="0038509D">
        <w:t>covariates</w:t>
      </w:r>
      <w:r w:rsidR="00B85866">
        <w:t xml:space="preserve">. </w:t>
      </w:r>
      <w:r w:rsidR="001C66EF">
        <w:t>For the comparison of HA-CDI versus no CDI, two models were used</w:t>
      </w:r>
      <w:r w:rsidR="007F0A22">
        <w:t xml:space="preserve">: CDI was specified as </w:t>
      </w:r>
      <w:r w:rsidR="00747C42">
        <w:t xml:space="preserve">either </w:t>
      </w:r>
      <w:r w:rsidR="007F0A22">
        <w:t xml:space="preserve">a time-dependent </w:t>
      </w:r>
      <w:r w:rsidR="00747C42">
        <w:t xml:space="preserve">or time-fixed </w:t>
      </w:r>
      <w:r w:rsidR="007F0A22">
        <w:t>covariate, the index date of CDI was set as the start of the CDI episode, and follow</w:t>
      </w:r>
      <w:r w:rsidR="00A66EE7">
        <w:t xml:space="preserve"> </w:t>
      </w:r>
      <w:r w:rsidR="007F0A22">
        <w:t xml:space="preserve">up was from </w:t>
      </w:r>
      <w:r w:rsidR="00747C42">
        <w:t xml:space="preserve">either </w:t>
      </w:r>
      <w:r w:rsidR="007F0A22">
        <w:t>hospital admission</w:t>
      </w:r>
      <w:r w:rsidR="00747C42">
        <w:t xml:space="preserve"> or</w:t>
      </w:r>
      <w:r w:rsidR="002A6EC7">
        <w:t xml:space="preserve"> from the start of the CDI episode. The comparison of recurrent versus non-recurrent CDI used four </w:t>
      </w:r>
      <w:r w:rsidR="00747C42">
        <w:t xml:space="preserve">different </w:t>
      </w:r>
      <w:r w:rsidR="002A6EC7">
        <w:t xml:space="preserve">models, with CDI specified as either a time-dependent or time-fixed </w:t>
      </w:r>
      <w:r w:rsidR="00747C42">
        <w:t>covariate;</w:t>
      </w:r>
      <w:r w:rsidR="002A6EC7">
        <w:t xml:space="preserve"> the index date of recurrent CDI specified as either the start of the recurrent episode or final CDI status</w:t>
      </w:r>
      <w:r w:rsidR="00747C42">
        <w:t>; and follow</w:t>
      </w:r>
      <w:r w:rsidR="00A66EE7">
        <w:t xml:space="preserve"> </w:t>
      </w:r>
      <w:r w:rsidR="00747C42">
        <w:t xml:space="preserve">up from either the episode start of the index CDI, Day 13 (the start of the recurrence risk window) or Day 57 (the end of the recurrence risk window). </w:t>
      </w:r>
      <w:r w:rsidR="004F3FB1" w:rsidRPr="00FB5EA7">
        <w:t>Tests for proportional hazards were undertaken visually using log</w:t>
      </w:r>
      <w:r w:rsidR="005B275D">
        <w:rPr>
          <w:rFonts w:cs="Arial"/>
        </w:rPr>
        <w:t>–</w:t>
      </w:r>
      <w:r w:rsidR="004F3FB1" w:rsidRPr="00FB5EA7">
        <w:t>log plots and statistically by assessing Schoenfeld’s residuals</w:t>
      </w:r>
      <w:r w:rsidR="004F3FB1">
        <w:t>.</w:t>
      </w:r>
      <w:r w:rsidR="00B85866">
        <w:t xml:space="preserve"> </w:t>
      </w:r>
      <w:r w:rsidR="004F3FB1">
        <w:t xml:space="preserve">Hazard ratios </w:t>
      </w:r>
      <w:r w:rsidR="00AA633C">
        <w:t xml:space="preserve">(HR) </w:t>
      </w:r>
      <w:r w:rsidR="004F3FB1">
        <w:t>with 95% confidence intervals (CI</w:t>
      </w:r>
      <w:r w:rsidR="005B275D">
        <w:t>s</w:t>
      </w:r>
      <w:r w:rsidR="004F3FB1">
        <w:t xml:space="preserve">) were reported and two-sided </w:t>
      </w:r>
      <w:r w:rsidR="00F45452" w:rsidRPr="003B3515">
        <w:rPr>
          <w:i/>
          <w:iCs/>
        </w:rPr>
        <w:t>P</w:t>
      </w:r>
      <w:r w:rsidR="004F3FB1">
        <w:t xml:space="preserve">-values were calculated using the Wald test. </w:t>
      </w:r>
    </w:p>
    <w:p w14:paraId="467BDF6F" w14:textId="77777777" w:rsidR="009A4EC6" w:rsidRDefault="009A4EC6"/>
    <w:p w14:paraId="02BE3BEE" w14:textId="6DFD0287" w:rsidR="00F403ED" w:rsidRDefault="001F5AE9">
      <w:r>
        <w:t>Adjustment factors</w:t>
      </w:r>
      <w:r w:rsidR="00F62800">
        <w:t xml:space="preserve"> measured at cohort entry using primary care and</w:t>
      </w:r>
      <w:r w:rsidR="0083569E">
        <w:t>/or</w:t>
      </w:r>
      <w:r w:rsidR="00F62800">
        <w:t xml:space="preserve"> HES data included a</w:t>
      </w:r>
      <w:r w:rsidR="00F0201D">
        <w:t>ge</w:t>
      </w:r>
      <w:r w:rsidR="00F62800">
        <w:t xml:space="preserve"> in years</w:t>
      </w:r>
      <w:r w:rsidR="00F0201D">
        <w:t xml:space="preserve">, </w:t>
      </w:r>
      <w:r w:rsidR="00A11193">
        <w:t>sex</w:t>
      </w:r>
      <w:r w:rsidR="00F0201D">
        <w:t>, body mass index, smoking history, alcohol use</w:t>
      </w:r>
      <w:r w:rsidR="00F62800">
        <w:t xml:space="preserve">, </w:t>
      </w:r>
      <w:r w:rsidR="005F4AFF">
        <w:t>history of</w:t>
      </w:r>
      <w:r w:rsidR="00F62800">
        <w:t xml:space="preserve"> co</w:t>
      </w:r>
      <w:r w:rsidR="00F62800" w:rsidRPr="004209F6">
        <w:t>morbidities</w:t>
      </w:r>
      <w:r w:rsidR="005F4AFF">
        <w:t>,</w:t>
      </w:r>
      <w:r w:rsidR="00F62800">
        <w:t xml:space="preserve"> drug therapies</w:t>
      </w:r>
      <w:r w:rsidR="005F4AFF" w:rsidRPr="005F4AFF">
        <w:t xml:space="preserve"> </w:t>
      </w:r>
      <w:r w:rsidR="005F4AFF">
        <w:t>and socioeconomic deprivation category</w:t>
      </w:r>
      <w:r w:rsidR="00ED7F70">
        <w:t xml:space="preserve"> (</w:t>
      </w:r>
      <w:r w:rsidR="00ED7F70">
        <w:rPr>
          <w:b/>
          <w:bCs/>
        </w:rPr>
        <w:t>online supplementary material</w:t>
      </w:r>
      <w:r w:rsidR="00ED7F70">
        <w:t>)</w:t>
      </w:r>
      <w:r w:rsidR="004209F6" w:rsidRPr="004209F6">
        <w:t>. </w:t>
      </w:r>
      <w:r w:rsidR="00B909A2" w:rsidRPr="00B909A2">
        <w:t xml:space="preserve">To </w:t>
      </w:r>
      <w:r>
        <w:t xml:space="preserve">further </w:t>
      </w:r>
      <w:r w:rsidR="00B909A2" w:rsidRPr="00B909A2">
        <w:t xml:space="preserve">assess the robustness of our findings, we </w:t>
      </w:r>
      <w:r w:rsidR="0038509D">
        <w:t>conducted sensitivity analyses taking the midpoint of the hospital care episode as the CDI index date</w:t>
      </w:r>
      <w:r w:rsidR="00F403ED">
        <w:t xml:space="preserve"> (</w:t>
      </w:r>
      <w:r w:rsidR="00D00DB2" w:rsidRPr="00456633">
        <w:rPr>
          <w:b/>
        </w:rPr>
        <w:t>Tables A.I</w:t>
      </w:r>
      <w:r w:rsidR="00E31DDC">
        <w:rPr>
          <w:b/>
        </w:rPr>
        <w:t>I</w:t>
      </w:r>
      <w:r w:rsidR="00D00DB2" w:rsidRPr="00456633">
        <w:rPr>
          <w:b/>
        </w:rPr>
        <w:t xml:space="preserve"> </w:t>
      </w:r>
      <w:r w:rsidR="00D00DB2" w:rsidRPr="00D00DB2">
        <w:t>and</w:t>
      </w:r>
      <w:r w:rsidR="00D00DB2" w:rsidRPr="00456633">
        <w:rPr>
          <w:b/>
        </w:rPr>
        <w:t xml:space="preserve"> A.</w:t>
      </w:r>
      <w:r w:rsidR="00E31DDC">
        <w:rPr>
          <w:b/>
        </w:rPr>
        <w:t>III</w:t>
      </w:r>
      <w:r w:rsidR="00D00DB2" w:rsidRPr="00D00DB2">
        <w:t xml:space="preserve">, </w:t>
      </w:r>
      <w:r w:rsidR="00F403ED" w:rsidRPr="00456633">
        <w:t>online supplementary material</w:t>
      </w:r>
      <w:r w:rsidR="00F403ED">
        <w:t>). The end of follow</w:t>
      </w:r>
      <w:r w:rsidR="00A66EE7">
        <w:t xml:space="preserve"> </w:t>
      </w:r>
      <w:r w:rsidR="00F403ED">
        <w:t xml:space="preserve">up was defined as the earliest of the following: practice last collection date, patient deregistration date, date of complication diagnosis or death, end of HES data collection, end of ONS mortality data collection, or study end. </w:t>
      </w:r>
    </w:p>
    <w:p w14:paraId="02806FA3" w14:textId="77777777" w:rsidR="009A4EC6" w:rsidRDefault="009A4EC6"/>
    <w:p w14:paraId="676DF908" w14:textId="6EE5752B" w:rsidR="004209F6" w:rsidRDefault="00001F64">
      <w:r w:rsidRPr="00001F64">
        <w:t>A</w:t>
      </w:r>
      <w:r w:rsidR="00D00DB2">
        <w:t>ll a</w:t>
      </w:r>
      <w:r w:rsidRPr="00001F64">
        <w:t>nalyses were performed using STATA version 14.</w:t>
      </w:r>
    </w:p>
    <w:p w14:paraId="16C900F9" w14:textId="77777777" w:rsidR="009A4EC6" w:rsidRDefault="009A4EC6"/>
    <w:p w14:paraId="3367207B" w14:textId="18D5AD58" w:rsidR="005B1FC3" w:rsidRDefault="005B1FC3" w:rsidP="0073622B">
      <w:pPr>
        <w:pStyle w:val="Heading2"/>
        <w:spacing w:before="0"/>
      </w:pPr>
      <w:r>
        <w:t>Ethics</w:t>
      </w:r>
    </w:p>
    <w:p w14:paraId="5867D1B9" w14:textId="77777777" w:rsidR="00B73061" w:rsidRPr="0073622B" w:rsidRDefault="00B73061" w:rsidP="003B3515"/>
    <w:p w14:paraId="5CC3A122" w14:textId="4A548538" w:rsidR="00C621C7" w:rsidRDefault="00C621C7">
      <w:r>
        <w:t xml:space="preserve">CPRD has ethical approval for the collection and use of </w:t>
      </w:r>
      <w:r w:rsidR="00390311">
        <w:t>pseudonymi</w:t>
      </w:r>
      <w:r w:rsidR="0064553B">
        <w:t>z</w:t>
      </w:r>
      <w:r w:rsidR="00390311">
        <w:t xml:space="preserve">ed </w:t>
      </w:r>
      <w:r>
        <w:t xml:space="preserve">primary care </w:t>
      </w:r>
      <w:r w:rsidR="00390311">
        <w:t xml:space="preserve">records </w:t>
      </w:r>
      <w:r>
        <w:t xml:space="preserve">and linked data from the Health Research Authority Research Ethics Committee (reference number: 05/MRE04/87). The </w:t>
      </w:r>
      <w:r w:rsidR="00390311">
        <w:t>study was</w:t>
      </w:r>
      <w:r>
        <w:t xml:space="preserve"> approved by the Independent Scientific Advisory Committee of the </w:t>
      </w:r>
      <w:r w:rsidR="00390311">
        <w:t>Medicines and Healthcare products Regulatory Agency</w:t>
      </w:r>
      <w:r w:rsidR="00546E1C">
        <w:t>,</w:t>
      </w:r>
      <w:r>
        <w:t xml:space="preserve"> under protocol number </w:t>
      </w:r>
      <w:r w:rsidRPr="00A13279">
        <w:t>14_187</w:t>
      </w:r>
      <w:r>
        <w:t xml:space="preserve">A3. </w:t>
      </w:r>
    </w:p>
    <w:p w14:paraId="3572ED66" w14:textId="150A233F" w:rsidR="009A4EC6" w:rsidRDefault="009A4EC6"/>
    <w:p w14:paraId="40F6DC69" w14:textId="77777777" w:rsidR="009A4EC6" w:rsidRDefault="009A4EC6"/>
    <w:p w14:paraId="7719ED1F" w14:textId="21E58E5C" w:rsidR="00947BBA" w:rsidRDefault="00947BBA" w:rsidP="0073622B">
      <w:pPr>
        <w:pStyle w:val="Heading1"/>
        <w:spacing w:before="0" w:after="0"/>
      </w:pPr>
      <w:r w:rsidRPr="00C25695">
        <w:t>Results</w:t>
      </w:r>
    </w:p>
    <w:p w14:paraId="7E932554" w14:textId="77777777" w:rsidR="00B73061" w:rsidRPr="0073622B" w:rsidRDefault="00B73061" w:rsidP="003B3515"/>
    <w:p w14:paraId="05C34643" w14:textId="6E0BF369" w:rsidR="00A015D6" w:rsidRDefault="00947BBA">
      <w:pPr>
        <w:pStyle w:val="Heading2"/>
        <w:spacing w:before="0"/>
      </w:pPr>
      <w:r w:rsidRPr="00C25695">
        <w:t xml:space="preserve">Patient </w:t>
      </w:r>
      <w:r w:rsidR="004B6F47">
        <w:t>populations</w:t>
      </w:r>
    </w:p>
    <w:p w14:paraId="5B85F290" w14:textId="77777777" w:rsidR="00B73061" w:rsidRPr="003B3515" w:rsidRDefault="00B73061" w:rsidP="003B3515"/>
    <w:p w14:paraId="2F6B3B2D" w14:textId="7EAEEBF4" w:rsidR="008747AC" w:rsidRDefault="009A6886">
      <w:r w:rsidRPr="00D00DB2">
        <w:t>Between 1</w:t>
      </w:r>
      <w:r w:rsidR="001D720B" w:rsidRPr="003B3515">
        <w:rPr>
          <w:vertAlign w:val="superscript"/>
        </w:rPr>
        <w:t>st</w:t>
      </w:r>
      <w:r w:rsidRPr="00D00DB2">
        <w:t xml:space="preserve"> January 2002 and 31</w:t>
      </w:r>
      <w:r w:rsidR="001D720B" w:rsidRPr="003B3515">
        <w:rPr>
          <w:vertAlign w:val="superscript"/>
        </w:rPr>
        <w:t>st</w:t>
      </w:r>
      <w:r w:rsidRPr="00D00DB2">
        <w:t xml:space="preserve"> December 2013, </w:t>
      </w:r>
      <w:r w:rsidR="00CC7263" w:rsidRPr="00456633">
        <w:t>5</w:t>
      </w:r>
      <w:r w:rsidR="00F45452">
        <w:t xml:space="preserve"> </w:t>
      </w:r>
      <w:r w:rsidR="00CC7263" w:rsidRPr="00456633">
        <w:t>552</w:t>
      </w:r>
      <w:r w:rsidR="00F45452">
        <w:t xml:space="preserve"> </w:t>
      </w:r>
      <w:r w:rsidR="00CC7263" w:rsidRPr="00456633">
        <w:t>368</w:t>
      </w:r>
      <w:r w:rsidR="00CC7263" w:rsidRPr="00D00DB2">
        <w:t xml:space="preserve"> </w:t>
      </w:r>
      <w:r w:rsidR="00E45BEC" w:rsidRPr="00D00DB2">
        <w:t>p</w:t>
      </w:r>
      <w:r w:rsidR="00382254" w:rsidRPr="00D00DB2">
        <w:t xml:space="preserve">atients </w:t>
      </w:r>
      <w:r w:rsidR="00CC7263" w:rsidRPr="00D00DB2">
        <w:t xml:space="preserve">registered in CPRD </w:t>
      </w:r>
      <w:r w:rsidR="00544D33">
        <w:t xml:space="preserve">GOLD </w:t>
      </w:r>
      <w:r w:rsidR="001A45F1" w:rsidRPr="00D00DB2">
        <w:t xml:space="preserve">were </w:t>
      </w:r>
      <w:r w:rsidRPr="00D00DB2">
        <w:t>eligible for linkage to HES</w:t>
      </w:r>
      <w:r w:rsidR="00524644" w:rsidRPr="00D00DB2">
        <w:t xml:space="preserve"> and</w:t>
      </w:r>
      <w:r w:rsidRPr="00D00DB2">
        <w:t xml:space="preserve"> ONS data</w:t>
      </w:r>
      <w:r w:rsidR="004870D9" w:rsidRPr="00D00DB2">
        <w:t xml:space="preserve"> (</w:t>
      </w:r>
      <w:r w:rsidR="004870D9" w:rsidRPr="00D00DB2">
        <w:rPr>
          <w:b/>
        </w:rPr>
        <w:t>Figure 1</w:t>
      </w:r>
      <w:r w:rsidR="004870D9" w:rsidRPr="00D00DB2">
        <w:t>)</w:t>
      </w:r>
      <w:r w:rsidRPr="00D00DB2">
        <w:t xml:space="preserve">. </w:t>
      </w:r>
      <w:r w:rsidRPr="00D00DB2">
        <w:rPr>
          <w:rFonts w:eastAsia="MS Mincho"/>
          <w:lang w:val="en-US"/>
        </w:rPr>
        <w:t>Following the implementation of inclusion and exclusion criteria</w:t>
      </w:r>
      <w:r w:rsidRPr="00456633">
        <w:rPr>
          <w:rFonts w:eastAsia="MS Mincho"/>
          <w:lang w:val="en-US"/>
        </w:rPr>
        <w:t xml:space="preserve">, </w:t>
      </w:r>
      <w:r w:rsidR="00CC7263" w:rsidRPr="00456633">
        <w:t>6862</w:t>
      </w:r>
      <w:r w:rsidR="00EB5001" w:rsidRPr="00D00DB2">
        <w:t xml:space="preserve"> </w:t>
      </w:r>
      <w:r w:rsidRPr="00D00DB2">
        <w:t xml:space="preserve">patients </w:t>
      </w:r>
      <w:r w:rsidR="00705DB0" w:rsidRPr="00D00DB2">
        <w:t>met our definition of HA-CDI</w:t>
      </w:r>
      <w:r w:rsidR="008747AC" w:rsidRPr="00D00DB2">
        <w:t xml:space="preserve"> </w:t>
      </w:r>
      <w:r w:rsidR="00663222" w:rsidRPr="00D00DB2">
        <w:t>(</w:t>
      </w:r>
      <w:r w:rsidR="00663222" w:rsidRPr="00D00DB2">
        <w:rPr>
          <w:b/>
        </w:rPr>
        <w:t>Figure 1</w:t>
      </w:r>
      <w:r w:rsidR="009C22B3" w:rsidRPr="00D00DB2">
        <w:t>)</w:t>
      </w:r>
      <w:r w:rsidR="00D00DB2">
        <w:t xml:space="preserve"> </w:t>
      </w:r>
      <w:r w:rsidR="009C22B3" w:rsidRPr="00D00DB2">
        <w:t xml:space="preserve">and </w:t>
      </w:r>
      <w:r w:rsidR="008747AC" w:rsidRPr="00D00DB2">
        <w:t xml:space="preserve">were matched </w:t>
      </w:r>
      <w:r w:rsidR="009C22B3" w:rsidRPr="00D00DB2">
        <w:t xml:space="preserve">to </w:t>
      </w:r>
      <w:r w:rsidR="00EB5001" w:rsidRPr="00456633">
        <w:t>13</w:t>
      </w:r>
      <w:r w:rsidR="00B80E64">
        <w:t xml:space="preserve"> </w:t>
      </w:r>
      <w:r w:rsidR="00EB5001" w:rsidRPr="00456633">
        <w:t>724</w:t>
      </w:r>
      <w:r w:rsidR="00EB5001" w:rsidRPr="00D00DB2">
        <w:t xml:space="preserve"> </w:t>
      </w:r>
      <w:r w:rsidR="00705DB0" w:rsidRPr="00D00DB2">
        <w:t>hospitali</w:t>
      </w:r>
      <w:r w:rsidR="0064553B">
        <w:t>z</w:t>
      </w:r>
      <w:r w:rsidR="00705DB0" w:rsidRPr="00D00DB2">
        <w:t xml:space="preserve">ed </w:t>
      </w:r>
      <w:r w:rsidR="008747AC" w:rsidRPr="00D00DB2">
        <w:t xml:space="preserve">patients </w:t>
      </w:r>
      <w:r w:rsidR="00EB5001" w:rsidRPr="00D00DB2">
        <w:t>without CDI</w:t>
      </w:r>
      <w:r w:rsidR="009C22B3" w:rsidRPr="00D00DB2">
        <w:t>.</w:t>
      </w:r>
    </w:p>
    <w:p w14:paraId="2B0B97CB" w14:textId="77777777" w:rsidR="009A4EC6" w:rsidRPr="00D00DB2" w:rsidRDefault="009A4EC6"/>
    <w:p w14:paraId="3FCA0816" w14:textId="3CB75C0C" w:rsidR="004B6F47" w:rsidRDefault="004B6F47" w:rsidP="0073622B">
      <w:pPr>
        <w:pStyle w:val="Heading2"/>
        <w:spacing w:before="0"/>
      </w:pPr>
      <w:r w:rsidRPr="00D00DB2">
        <w:t>Demographic and clinical characteristics</w:t>
      </w:r>
    </w:p>
    <w:p w14:paraId="61531B1D" w14:textId="77777777" w:rsidR="00B73061" w:rsidRPr="0073622B" w:rsidRDefault="00B73061" w:rsidP="003B3515"/>
    <w:p w14:paraId="3EE0A1F9" w14:textId="71D45C15" w:rsidR="004B6F47" w:rsidRDefault="004B6F47">
      <w:pPr>
        <w:keepNext/>
        <w:rPr>
          <w:i/>
          <w:iCs/>
        </w:rPr>
      </w:pPr>
      <w:r w:rsidRPr="00D00DB2">
        <w:rPr>
          <w:i/>
          <w:iCs/>
        </w:rPr>
        <w:lastRenderedPageBreak/>
        <w:t>Patients with HA-CDI versus no CDI</w:t>
      </w:r>
    </w:p>
    <w:p w14:paraId="7ADD919A" w14:textId="77777777" w:rsidR="00B73061" w:rsidRPr="00D00DB2" w:rsidRDefault="00B73061">
      <w:pPr>
        <w:keepNext/>
        <w:rPr>
          <w:i/>
          <w:iCs/>
        </w:rPr>
      </w:pPr>
    </w:p>
    <w:p w14:paraId="4AB29550" w14:textId="18966F2B" w:rsidR="005601CB" w:rsidRDefault="008747AC">
      <w:r w:rsidRPr="00D00DB2">
        <w:t xml:space="preserve">The median </w:t>
      </w:r>
      <w:r w:rsidR="001A45F1" w:rsidRPr="00D00DB2">
        <w:t xml:space="preserve">age </w:t>
      </w:r>
      <w:r w:rsidR="00902ADD" w:rsidRPr="00D00DB2">
        <w:t>(</w:t>
      </w:r>
      <w:r w:rsidR="007855CF" w:rsidRPr="00D00DB2">
        <w:t>interquartile range</w:t>
      </w:r>
      <w:r w:rsidR="00902ADD" w:rsidRPr="00D00DB2">
        <w:t xml:space="preserve">) </w:t>
      </w:r>
      <w:r w:rsidR="00E177F1">
        <w:t xml:space="preserve">of </w:t>
      </w:r>
      <w:r w:rsidR="001A45F1" w:rsidRPr="00D00DB2">
        <w:t>all</w:t>
      </w:r>
      <w:r w:rsidR="009C22B3" w:rsidRPr="00D00DB2">
        <w:t xml:space="preserve"> participants </w:t>
      </w:r>
      <w:r w:rsidRPr="00D00DB2">
        <w:t xml:space="preserve">was </w:t>
      </w:r>
      <w:r w:rsidRPr="00456633">
        <w:t>81.0 (</w:t>
      </w:r>
      <w:r w:rsidR="00902ADD" w:rsidRPr="00456633">
        <w:t>71.0</w:t>
      </w:r>
      <w:r w:rsidR="00902ADD" w:rsidRPr="00456633">
        <w:rPr>
          <w:rFonts w:cs="Arial"/>
        </w:rPr>
        <w:t>–</w:t>
      </w:r>
      <w:r w:rsidR="00902ADD" w:rsidRPr="00456633">
        <w:t>87.0</w:t>
      </w:r>
      <w:r w:rsidR="00902ADD" w:rsidRPr="00D00DB2">
        <w:t>)</w:t>
      </w:r>
      <w:r w:rsidR="003C686B">
        <w:t xml:space="preserve"> years</w:t>
      </w:r>
      <w:r w:rsidR="00902ADD" w:rsidRPr="00D00DB2">
        <w:t xml:space="preserve">; females comprised </w:t>
      </w:r>
      <w:r w:rsidR="00902ADD" w:rsidRPr="00456633">
        <w:t>59.0% (12</w:t>
      </w:r>
      <w:r w:rsidR="00B80E64">
        <w:t> </w:t>
      </w:r>
      <w:r w:rsidR="00902ADD" w:rsidRPr="00456633">
        <w:t>141/20</w:t>
      </w:r>
      <w:r w:rsidR="00B80E64">
        <w:t> </w:t>
      </w:r>
      <w:r w:rsidR="00902ADD" w:rsidRPr="00456633">
        <w:t>586</w:t>
      </w:r>
      <w:r w:rsidR="00902ADD" w:rsidRPr="00D00DB2">
        <w:t xml:space="preserve">) </w:t>
      </w:r>
      <w:r w:rsidR="001A45F1" w:rsidRPr="00D00DB2">
        <w:t>of patients.</w:t>
      </w:r>
      <w:r w:rsidR="00156C4C" w:rsidRPr="00D00DB2">
        <w:t xml:space="preserve"> </w:t>
      </w:r>
      <w:r w:rsidR="00D828CD" w:rsidRPr="00D00DB2">
        <w:t>Compared with</w:t>
      </w:r>
      <w:r w:rsidR="00156C4C" w:rsidRPr="00D00DB2">
        <w:t xml:space="preserve"> </w:t>
      </w:r>
      <w:r w:rsidR="00D828CD" w:rsidRPr="00D00DB2">
        <w:t xml:space="preserve">patients with no CDI, </w:t>
      </w:r>
      <w:r w:rsidR="005601CB" w:rsidRPr="00D00DB2">
        <w:t xml:space="preserve">patients with </w:t>
      </w:r>
      <w:r w:rsidR="00A015D6" w:rsidRPr="00D00DB2">
        <w:t>HA-</w:t>
      </w:r>
      <w:r w:rsidR="005601CB" w:rsidRPr="00D00DB2">
        <w:t xml:space="preserve">CDI </w:t>
      </w:r>
      <w:r w:rsidR="00ED5F73" w:rsidRPr="00D00DB2">
        <w:t xml:space="preserve">had </w:t>
      </w:r>
      <w:r w:rsidR="00156C4C" w:rsidRPr="00D00DB2">
        <w:t>higher</w:t>
      </w:r>
      <w:r w:rsidR="005601CB" w:rsidRPr="00D00DB2">
        <w:t xml:space="preserve"> healthcare service </w:t>
      </w:r>
      <w:r w:rsidR="00156C4C" w:rsidRPr="00D00DB2">
        <w:t xml:space="preserve">use </w:t>
      </w:r>
      <w:r w:rsidR="005601CB" w:rsidRPr="00D00DB2">
        <w:t>in the 12 months prior to CDI diagnosis</w:t>
      </w:r>
      <w:r w:rsidR="00CF30AB" w:rsidRPr="00D00DB2">
        <w:t xml:space="preserve">, </w:t>
      </w:r>
      <w:r w:rsidR="00156C4C" w:rsidRPr="00D00DB2">
        <w:t>more</w:t>
      </w:r>
      <w:r w:rsidR="005601CB" w:rsidRPr="00D00DB2">
        <w:t xml:space="preserve"> </w:t>
      </w:r>
      <w:r w:rsidR="00AD7D0A">
        <w:t xml:space="preserve">recorded </w:t>
      </w:r>
      <w:r w:rsidR="005601CB" w:rsidRPr="00D00DB2">
        <w:t>comorbid</w:t>
      </w:r>
      <w:r w:rsidR="000607C4" w:rsidRPr="00D00DB2">
        <w:t>it</w:t>
      </w:r>
      <w:r w:rsidR="005601CB" w:rsidRPr="00D00DB2">
        <w:t xml:space="preserve">ies </w:t>
      </w:r>
      <w:r w:rsidR="00F732DC">
        <w:t>(</w:t>
      </w:r>
      <w:r w:rsidR="00CC57B2" w:rsidRPr="00D00DB2">
        <w:t>including</w:t>
      </w:r>
      <w:r w:rsidR="00D828CD" w:rsidRPr="00D00DB2">
        <w:t xml:space="preserve"> </w:t>
      </w:r>
      <w:r w:rsidR="00D069D6" w:rsidRPr="00D00DB2">
        <w:t xml:space="preserve">a history of </w:t>
      </w:r>
      <w:r w:rsidR="00217D70" w:rsidRPr="00D00DB2">
        <w:t>IBD</w:t>
      </w:r>
      <w:r w:rsidR="00AD7D0A">
        <w:t xml:space="preserve"> </w:t>
      </w:r>
      <w:r w:rsidR="00D069D6" w:rsidRPr="00D00DB2">
        <w:t xml:space="preserve">and </w:t>
      </w:r>
      <w:r w:rsidR="00CC57B2" w:rsidRPr="00D00DB2">
        <w:t>diabetes mellitus</w:t>
      </w:r>
      <w:r w:rsidR="00F732DC">
        <w:t>)</w:t>
      </w:r>
      <w:r w:rsidR="00AD7D0A">
        <w:t>,</w:t>
      </w:r>
      <w:r w:rsidR="00CC57B2" w:rsidRPr="00D00DB2">
        <w:t xml:space="preserve"> </w:t>
      </w:r>
      <w:r w:rsidR="00156C4C" w:rsidRPr="00D00DB2">
        <w:t xml:space="preserve">and </w:t>
      </w:r>
      <w:r w:rsidR="00AD7D0A">
        <w:t xml:space="preserve">more </w:t>
      </w:r>
      <w:r w:rsidR="005601CB" w:rsidRPr="00D00DB2">
        <w:t>antibiotics</w:t>
      </w:r>
      <w:r w:rsidR="00156C4C" w:rsidRPr="00D00DB2">
        <w:t xml:space="preserve"> </w:t>
      </w:r>
      <w:r w:rsidR="00205BAF" w:rsidRPr="00D00DB2">
        <w:t xml:space="preserve">prescribed </w:t>
      </w:r>
      <w:r w:rsidR="005601CB" w:rsidRPr="00D00DB2">
        <w:t>in the 90 days prior to admission</w:t>
      </w:r>
      <w:r w:rsidR="00217684">
        <w:t xml:space="preserve"> (</w:t>
      </w:r>
      <w:r w:rsidR="00217684">
        <w:rPr>
          <w:b/>
        </w:rPr>
        <w:t>Table I</w:t>
      </w:r>
      <w:r w:rsidR="00217684">
        <w:t>)</w:t>
      </w:r>
      <w:r w:rsidR="00156C4C" w:rsidRPr="00D00DB2">
        <w:t>.</w:t>
      </w:r>
      <w:r w:rsidR="005601CB" w:rsidRPr="00D00DB2">
        <w:t xml:space="preserve"> </w:t>
      </w:r>
      <w:r w:rsidR="00D069D6" w:rsidRPr="00D00DB2">
        <w:t xml:space="preserve">Higher </w:t>
      </w:r>
      <w:r w:rsidR="00156C4C" w:rsidRPr="00D00DB2">
        <w:t>p</w:t>
      </w:r>
      <w:r w:rsidR="00CC57B2" w:rsidRPr="00D00DB2">
        <w:t>rior use of proton</w:t>
      </w:r>
      <w:r w:rsidR="00286359" w:rsidRPr="00D00DB2">
        <w:t>-</w:t>
      </w:r>
      <w:r w:rsidR="00CC57B2" w:rsidRPr="00D00DB2">
        <w:t>pump inhibitor</w:t>
      </w:r>
      <w:r w:rsidR="00D069D6" w:rsidRPr="00D00DB2">
        <w:t>s</w:t>
      </w:r>
      <w:r w:rsidR="00156C4C" w:rsidRPr="00D00DB2">
        <w:t xml:space="preserve"> and </w:t>
      </w:r>
      <w:r w:rsidR="00AD7D0A">
        <w:t xml:space="preserve">more </w:t>
      </w:r>
      <w:r w:rsidR="00783DEB">
        <w:t xml:space="preserve">admissions </w:t>
      </w:r>
      <w:r w:rsidR="00AD7D0A">
        <w:t xml:space="preserve">to </w:t>
      </w:r>
      <w:r w:rsidR="005601CB" w:rsidRPr="00D00DB2">
        <w:t>augmented or intensive care</w:t>
      </w:r>
      <w:r w:rsidR="00156C4C" w:rsidRPr="00D00DB2">
        <w:t xml:space="preserve"> </w:t>
      </w:r>
      <w:r w:rsidR="00AD7D0A">
        <w:t>were</w:t>
      </w:r>
      <w:r w:rsidR="00D069D6" w:rsidRPr="00D00DB2">
        <w:t xml:space="preserve"> also observed</w:t>
      </w:r>
      <w:r w:rsidR="005601CB" w:rsidRPr="00D00DB2">
        <w:t xml:space="preserve"> </w:t>
      </w:r>
      <w:r w:rsidR="00A62B82" w:rsidRPr="00D00DB2">
        <w:t>(</w:t>
      </w:r>
      <w:r w:rsidR="00A62B82" w:rsidRPr="00D00DB2">
        <w:rPr>
          <w:b/>
        </w:rPr>
        <w:t xml:space="preserve">Table </w:t>
      </w:r>
      <w:r w:rsidR="006E28BB" w:rsidRPr="00D00DB2">
        <w:rPr>
          <w:b/>
        </w:rPr>
        <w:t>I</w:t>
      </w:r>
      <w:r w:rsidR="00A62B82" w:rsidRPr="00D00DB2">
        <w:t>)</w:t>
      </w:r>
      <w:r w:rsidR="0060760A" w:rsidRPr="00D00DB2">
        <w:t xml:space="preserve">. </w:t>
      </w:r>
    </w:p>
    <w:p w14:paraId="6DCDA2F3" w14:textId="77777777" w:rsidR="009A4EC6" w:rsidRPr="00D00DB2" w:rsidRDefault="009A4EC6"/>
    <w:p w14:paraId="3A51314E" w14:textId="2127CA71" w:rsidR="007A7DF2" w:rsidRDefault="002E0C13">
      <w:pPr>
        <w:keepNext/>
        <w:rPr>
          <w:i/>
          <w:iCs/>
        </w:rPr>
      </w:pPr>
      <w:r w:rsidRPr="00D00DB2">
        <w:rPr>
          <w:i/>
          <w:iCs/>
        </w:rPr>
        <w:t>Patients with r</w:t>
      </w:r>
      <w:r w:rsidR="00A015D6" w:rsidRPr="00D00DB2">
        <w:rPr>
          <w:i/>
          <w:iCs/>
        </w:rPr>
        <w:t>ecurrent CDI v</w:t>
      </w:r>
      <w:r w:rsidR="00DB3AF9" w:rsidRPr="00D00DB2">
        <w:rPr>
          <w:i/>
          <w:iCs/>
        </w:rPr>
        <w:t>ersu</w:t>
      </w:r>
      <w:r w:rsidR="00A015D6" w:rsidRPr="00D00DB2">
        <w:rPr>
          <w:i/>
          <w:iCs/>
        </w:rPr>
        <w:t xml:space="preserve">s </w:t>
      </w:r>
      <w:r w:rsidR="00DB3AF9" w:rsidRPr="00D00DB2">
        <w:rPr>
          <w:i/>
          <w:iCs/>
        </w:rPr>
        <w:t>n</w:t>
      </w:r>
      <w:r w:rsidR="00A015D6" w:rsidRPr="00D00DB2">
        <w:rPr>
          <w:i/>
          <w:iCs/>
        </w:rPr>
        <w:t>on-recurrent CDI</w:t>
      </w:r>
      <w:r w:rsidR="007A7DF2" w:rsidRPr="00D00DB2">
        <w:rPr>
          <w:i/>
          <w:iCs/>
        </w:rPr>
        <w:t xml:space="preserve"> </w:t>
      </w:r>
    </w:p>
    <w:p w14:paraId="0E8E1085" w14:textId="77777777" w:rsidR="00B73061" w:rsidRPr="00D00DB2" w:rsidRDefault="00B73061">
      <w:pPr>
        <w:keepNext/>
        <w:rPr>
          <w:i/>
          <w:iCs/>
        </w:rPr>
      </w:pPr>
    </w:p>
    <w:p w14:paraId="4D4DBDC9" w14:textId="7A0B8C4D" w:rsidR="00A62B82" w:rsidRDefault="005601CB">
      <w:r w:rsidRPr="00D00DB2">
        <w:t xml:space="preserve">Within the HA-CDI </w:t>
      </w:r>
      <w:r w:rsidR="00CF30AB" w:rsidRPr="00D00DB2">
        <w:t>sub-</w:t>
      </w:r>
      <w:r w:rsidRPr="00D00DB2">
        <w:t xml:space="preserve">cohort, </w:t>
      </w:r>
      <w:r w:rsidRPr="00456633">
        <w:t>16.6% (1140/6862)</w:t>
      </w:r>
      <w:r w:rsidRPr="00D00DB2">
        <w:t xml:space="preserve"> </w:t>
      </w:r>
      <w:r w:rsidR="00CF30AB" w:rsidRPr="00D00DB2">
        <w:t>of patients had</w:t>
      </w:r>
      <w:r w:rsidRPr="00D00DB2">
        <w:t xml:space="preserve"> a recurren</w:t>
      </w:r>
      <w:r w:rsidR="00CF30AB" w:rsidRPr="00D00DB2">
        <w:t>t CDI ep</w:t>
      </w:r>
      <w:r w:rsidR="009746F5">
        <w:t>i</w:t>
      </w:r>
      <w:r w:rsidR="00CF30AB" w:rsidRPr="00D00DB2">
        <w:t>sode</w:t>
      </w:r>
      <w:r w:rsidRPr="00D00DB2">
        <w:t xml:space="preserve"> during </w:t>
      </w:r>
      <w:r w:rsidR="00A11193">
        <w:t>D</w:t>
      </w:r>
      <w:r w:rsidRPr="00D00DB2">
        <w:t>ays 13</w:t>
      </w:r>
      <w:r w:rsidRPr="00D00DB2">
        <w:rPr>
          <w:rFonts w:cs="Arial"/>
        </w:rPr>
        <w:t>–</w:t>
      </w:r>
      <w:r w:rsidRPr="00D00DB2">
        <w:t xml:space="preserve">56. </w:t>
      </w:r>
      <w:r w:rsidR="007A7DF2" w:rsidRPr="00D00DB2">
        <w:t xml:space="preserve">Notably, patients with recurrent CDI had a longer index hospital stay and were more likely to have </w:t>
      </w:r>
      <w:r w:rsidR="00821EC2">
        <w:t xml:space="preserve">had an </w:t>
      </w:r>
      <w:r w:rsidR="007A7DF2" w:rsidRPr="00D00DB2">
        <w:t xml:space="preserve">emergency </w:t>
      </w:r>
      <w:r w:rsidR="00821EC2">
        <w:t xml:space="preserve">index </w:t>
      </w:r>
      <w:r w:rsidR="007A7DF2" w:rsidRPr="00D00DB2">
        <w:t>hospital admission</w:t>
      </w:r>
      <w:r w:rsidR="00821EC2">
        <w:t xml:space="preserve"> </w:t>
      </w:r>
      <w:r w:rsidR="00821EC2" w:rsidRPr="00A66EE7">
        <w:rPr>
          <w:bCs/>
        </w:rPr>
        <w:t>(</w:t>
      </w:r>
      <w:r w:rsidR="00821EC2">
        <w:rPr>
          <w:b/>
        </w:rPr>
        <w:t>Table I</w:t>
      </w:r>
      <w:r w:rsidR="00821EC2">
        <w:t>)</w:t>
      </w:r>
      <w:r w:rsidR="007A7DF2" w:rsidRPr="00456633">
        <w:rPr>
          <w:b/>
        </w:rPr>
        <w:t>.</w:t>
      </w:r>
      <w:r w:rsidR="00550E33" w:rsidRPr="00D00DB2">
        <w:t xml:space="preserve"> A</w:t>
      </w:r>
      <w:r w:rsidR="007A7DF2" w:rsidRPr="00D00DB2">
        <w:t xml:space="preserve"> history of </w:t>
      </w:r>
      <w:r w:rsidR="005905AC" w:rsidRPr="00D00DB2">
        <w:t>hypertension, renal disease</w:t>
      </w:r>
      <w:r w:rsidR="00550E33" w:rsidRPr="00D00DB2">
        <w:t xml:space="preserve">, </w:t>
      </w:r>
      <w:r w:rsidR="005905AC" w:rsidRPr="00D00DB2">
        <w:t>moderate/severe liver disease</w:t>
      </w:r>
      <w:r w:rsidR="007A7DF2" w:rsidRPr="00D00DB2">
        <w:t xml:space="preserve"> </w:t>
      </w:r>
      <w:r w:rsidR="00550E33" w:rsidRPr="00D00DB2">
        <w:t xml:space="preserve">and use of lipid-lowering therapy </w:t>
      </w:r>
      <w:r w:rsidR="007A7DF2" w:rsidRPr="00D00DB2">
        <w:t xml:space="preserve">were </w:t>
      </w:r>
      <w:r w:rsidR="00550E33" w:rsidRPr="00D00DB2">
        <w:t xml:space="preserve">also </w:t>
      </w:r>
      <w:r w:rsidR="00821EC2">
        <w:t xml:space="preserve">more </w:t>
      </w:r>
      <w:r w:rsidR="007A7DF2" w:rsidRPr="00D00DB2">
        <w:t>commonly documented</w:t>
      </w:r>
      <w:r w:rsidR="00550E33" w:rsidRPr="00D00DB2">
        <w:t xml:space="preserve"> among those with recurrent </w:t>
      </w:r>
      <w:r w:rsidR="00B277D5">
        <w:t>CDI</w:t>
      </w:r>
      <w:r w:rsidR="00005A15">
        <w:t xml:space="preserve"> </w:t>
      </w:r>
      <w:r w:rsidR="007F0F08">
        <w:t>(</w:t>
      </w:r>
      <w:r w:rsidR="007F0F08">
        <w:rPr>
          <w:b/>
        </w:rPr>
        <w:t>Table I</w:t>
      </w:r>
      <w:r w:rsidR="007F0F08">
        <w:t>)</w:t>
      </w:r>
      <w:r w:rsidR="007A7DF2" w:rsidRPr="00D00DB2">
        <w:t>. A history of</w:t>
      </w:r>
      <w:r w:rsidR="005905AC" w:rsidRPr="00D00DB2">
        <w:t xml:space="preserve"> </w:t>
      </w:r>
      <w:r w:rsidR="00550E33" w:rsidRPr="00D00DB2">
        <w:t xml:space="preserve">malignant cancer (up to 5 years prior to the index CDI diagnosis) and </w:t>
      </w:r>
      <w:r w:rsidR="005905AC" w:rsidRPr="00D00DB2">
        <w:t xml:space="preserve">dementia were </w:t>
      </w:r>
      <w:r w:rsidR="00205BAF" w:rsidRPr="00D00DB2">
        <w:t xml:space="preserve">more prevalent </w:t>
      </w:r>
      <w:r w:rsidR="005905AC" w:rsidRPr="00D00DB2">
        <w:t>in the non-recurrent CDI group (</w:t>
      </w:r>
      <w:r w:rsidR="005905AC" w:rsidRPr="00D00DB2">
        <w:rPr>
          <w:b/>
        </w:rPr>
        <w:t xml:space="preserve">Table </w:t>
      </w:r>
      <w:r w:rsidR="008B43CD">
        <w:rPr>
          <w:b/>
        </w:rPr>
        <w:t>I</w:t>
      </w:r>
      <w:r w:rsidR="005905AC" w:rsidRPr="00D00DB2">
        <w:t xml:space="preserve">). </w:t>
      </w:r>
    </w:p>
    <w:p w14:paraId="366FB958" w14:textId="77777777" w:rsidR="009A4EC6" w:rsidRPr="00D00DB2" w:rsidRDefault="009A4EC6"/>
    <w:p w14:paraId="3A76AF6C" w14:textId="54AF92B7" w:rsidR="00EE0D2E" w:rsidRDefault="002836A0" w:rsidP="00B73061">
      <w:pPr>
        <w:pStyle w:val="Heading2"/>
        <w:spacing w:before="0"/>
      </w:pPr>
      <w:r w:rsidRPr="00D00DB2">
        <w:t>Twelve</w:t>
      </w:r>
      <w:r w:rsidR="00840E0C" w:rsidRPr="00D00DB2">
        <w:t xml:space="preserve">-month risk of </w:t>
      </w:r>
      <w:r w:rsidR="00DC4F3C" w:rsidRPr="00D00DB2">
        <w:t xml:space="preserve">death </w:t>
      </w:r>
      <w:r w:rsidR="00205BAF" w:rsidRPr="00D00DB2">
        <w:t>or complications</w:t>
      </w:r>
    </w:p>
    <w:p w14:paraId="6E9C5317" w14:textId="77777777" w:rsidR="00B73061" w:rsidRPr="0073622B" w:rsidRDefault="00B73061" w:rsidP="003B3515"/>
    <w:p w14:paraId="76348F2F" w14:textId="7E2C86AC" w:rsidR="00994E57" w:rsidRDefault="00A73F9E" w:rsidP="00B73061">
      <w:pPr>
        <w:pStyle w:val="Heading3"/>
      </w:pPr>
      <w:r w:rsidRPr="00D00DB2">
        <w:t>P</w:t>
      </w:r>
      <w:r w:rsidR="0071384F" w:rsidRPr="00D00DB2">
        <w:t xml:space="preserve">atients with </w:t>
      </w:r>
      <w:r w:rsidR="002E0C13" w:rsidRPr="00D00DB2">
        <w:t>HA-</w:t>
      </w:r>
      <w:r w:rsidR="0071384F" w:rsidRPr="00D00DB2">
        <w:t>CDI versus no CDI</w:t>
      </w:r>
    </w:p>
    <w:p w14:paraId="0D37754A" w14:textId="77777777" w:rsidR="00B73061" w:rsidRPr="0073622B" w:rsidRDefault="00B73061" w:rsidP="003B3515"/>
    <w:p w14:paraId="5965ECD1" w14:textId="19B0E252" w:rsidR="006E3FE6" w:rsidRDefault="00A766F7">
      <w:r w:rsidRPr="00D00DB2">
        <w:t xml:space="preserve">There were </w:t>
      </w:r>
      <w:r w:rsidRPr="00456633">
        <w:t>3427</w:t>
      </w:r>
      <w:r w:rsidR="007F0F08">
        <w:t>/</w:t>
      </w:r>
      <w:r w:rsidR="007F0F08" w:rsidRPr="007F0F08">
        <w:t>6862</w:t>
      </w:r>
      <w:r w:rsidR="007F0F08">
        <w:t xml:space="preserve"> </w:t>
      </w:r>
      <w:r w:rsidRPr="00456633">
        <w:t>(49.9%) and 4146</w:t>
      </w:r>
      <w:r w:rsidR="007F0F08">
        <w:t>/</w:t>
      </w:r>
      <w:r w:rsidR="007F0F08" w:rsidRPr="007F0F08">
        <w:t>13</w:t>
      </w:r>
      <w:r w:rsidR="00B80E64">
        <w:t xml:space="preserve"> </w:t>
      </w:r>
      <w:r w:rsidR="007F0F08" w:rsidRPr="007F0F08">
        <w:t>724</w:t>
      </w:r>
      <w:r w:rsidR="007F0F08">
        <w:t xml:space="preserve"> </w:t>
      </w:r>
      <w:r w:rsidRPr="00456633">
        <w:t>(30.2%)</w:t>
      </w:r>
      <w:r w:rsidRPr="00D00DB2">
        <w:t xml:space="preserve"> deaths among patients with and without CDI</w:t>
      </w:r>
      <w:r w:rsidR="007F0F08">
        <w:t>, respectively,</w:t>
      </w:r>
      <w:r w:rsidRPr="00D00DB2">
        <w:t xml:space="preserve"> </w:t>
      </w:r>
      <w:r w:rsidR="006D219E">
        <w:t>at</w:t>
      </w:r>
      <w:r w:rsidRPr="00D00DB2">
        <w:t xml:space="preserve"> 12 months</w:t>
      </w:r>
      <w:r w:rsidR="006D219E">
        <w:t xml:space="preserve"> from the initial hospital care episode</w:t>
      </w:r>
      <w:r w:rsidR="00111329">
        <w:t xml:space="preserve"> (</w:t>
      </w:r>
      <w:r w:rsidR="00B80E64">
        <w:rPr>
          <w:i/>
          <w:iCs/>
        </w:rPr>
        <w:t>P</w:t>
      </w:r>
      <w:r w:rsidR="00111329">
        <w:t xml:space="preserve">&lt;0.001) </w:t>
      </w:r>
      <w:r w:rsidR="00FC3303" w:rsidRPr="00D00DB2">
        <w:t>(</w:t>
      </w:r>
      <w:r w:rsidR="00FC3303" w:rsidRPr="00D00DB2">
        <w:rPr>
          <w:b/>
        </w:rPr>
        <w:t xml:space="preserve">Table </w:t>
      </w:r>
      <w:r w:rsidR="004D7D37" w:rsidRPr="00D00DB2">
        <w:rPr>
          <w:b/>
        </w:rPr>
        <w:t>I</w:t>
      </w:r>
      <w:r w:rsidR="007F0F08">
        <w:rPr>
          <w:b/>
        </w:rPr>
        <w:t>I</w:t>
      </w:r>
      <w:r w:rsidR="00FC3303" w:rsidRPr="00D00DB2">
        <w:t>)</w:t>
      </w:r>
      <w:r w:rsidR="00493B92" w:rsidRPr="00D00DB2">
        <w:t>.</w:t>
      </w:r>
      <w:r w:rsidR="007F0F08">
        <w:t xml:space="preserve"> </w:t>
      </w:r>
      <w:r w:rsidRPr="00D00DB2">
        <w:t xml:space="preserve">In </w:t>
      </w:r>
      <w:r w:rsidR="00111329">
        <w:t>the</w:t>
      </w:r>
      <w:r w:rsidRPr="00D00DB2">
        <w:t xml:space="preserve"> time</w:t>
      </w:r>
      <w:r w:rsidR="007F0F08">
        <w:t>-</w:t>
      </w:r>
      <w:r w:rsidRPr="00D00DB2">
        <w:t>dependent and time</w:t>
      </w:r>
      <w:r w:rsidR="007F0F08">
        <w:t>-</w:t>
      </w:r>
      <w:r w:rsidRPr="00D00DB2">
        <w:t>fixed analys</w:t>
      </w:r>
      <w:r w:rsidR="00111329">
        <w:t>e</w:t>
      </w:r>
      <w:r w:rsidRPr="00D00DB2">
        <w:t>s</w:t>
      </w:r>
      <w:r w:rsidR="00CF30AB" w:rsidRPr="00D00DB2">
        <w:t>, t</w:t>
      </w:r>
      <w:r w:rsidR="007553BE" w:rsidRPr="00D00DB2">
        <w:t xml:space="preserve">he adjusted </w:t>
      </w:r>
      <w:r w:rsidR="007F0F08">
        <w:t>HR</w:t>
      </w:r>
      <w:r w:rsidR="007553BE" w:rsidRPr="00D00DB2">
        <w:t xml:space="preserve"> for death among patients with </w:t>
      </w:r>
      <w:r w:rsidR="002E0C13" w:rsidRPr="00D00DB2">
        <w:t>HA-</w:t>
      </w:r>
      <w:r w:rsidR="007553BE" w:rsidRPr="00D00DB2">
        <w:t xml:space="preserve">CDI versus no CDI </w:t>
      </w:r>
      <w:r w:rsidR="007F0F08">
        <w:t>were</w:t>
      </w:r>
      <w:r w:rsidR="007F0F08" w:rsidRPr="00D00DB2">
        <w:t xml:space="preserve"> </w:t>
      </w:r>
      <w:r w:rsidR="001252D7" w:rsidRPr="00456633">
        <w:t>1.77</w:t>
      </w:r>
      <w:r w:rsidR="000D5CCA" w:rsidRPr="00456633">
        <w:t xml:space="preserve"> </w:t>
      </w:r>
      <w:r w:rsidR="001252D7" w:rsidRPr="00D00DB2">
        <w:t>(</w:t>
      </w:r>
      <w:r w:rsidR="000D5CCA" w:rsidRPr="00D00DB2">
        <w:t>95% CI</w:t>
      </w:r>
      <w:r w:rsidR="00B80E64">
        <w:t>:</w:t>
      </w:r>
      <w:r w:rsidR="000D5CCA" w:rsidRPr="00456633">
        <w:t xml:space="preserve"> </w:t>
      </w:r>
      <w:r w:rsidR="001252D7" w:rsidRPr="00456633">
        <w:t>1.67</w:t>
      </w:r>
      <w:r w:rsidR="00B80E64">
        <w:rPr>
          <w:rFonts w:cs="Arial"/>
        </w:rPr>
        <w:t xml:space="preserve">, </w:t>
      </w:r>
      <w:r w:rsidR="001252D7" w:rsidRPr="00456633">
        <w:t>1.87</w:t>
      </w:r>
      <w:r w:rsidR="007553BE" w:rsidRPr="00456633">
        <w:t xml:space="preserve">) </w:t>
      </w:r>
      <w:r w:rsidR="000E79B1" w:rsidRPr="00456633">
        <w:t>and 1.55 (</w:t>
      </w:r>
      <w:r w:rsidR="000D5CCA" w:rsidRPr="00D00DB2">
        <w:t>95% CI</w:t>
      </w:r>
      <w:r w:rsidR="00B80E64">
        <w:t>:</w:t>
      </w:r>
      <w:r w:rsidR="000D5CCA" w:rsidRPr="00456633">
        <w:t xml:space="preserve"> </w:t>
      </w:r>
      <w:r w:rsidR="000E79B1" w:rsidRPr="00456633">
        <w:t>1.4</w:t>
      </w:r>
      <w:r w:rsidR="00A347D5">
        <w:t>7</w:t>
      </w:r>
      <w:r w:rsidR="00B80E64">
        <w:rPr>
          <w:rFonts w:cs="Arial"/>
        </w:rPr>
        <w:t>,</w:t>
      </w:r>
      <w:r w:rsidR="00A347D5">
        <w:rPr>
          <w:rFonts w:cs="Arial"/>
        </w:rPr>
        <w:t xml:space="preserve"> </w:t>
      </w:r>
      <w:r w:rsidR="000E79B1" w:rsidRPr="00456633">
        <w:t>1.64)</w:t>
      </w:r>
      <w:r w:rsidR="00FA25C6" w:rsidRPr="00456633">
        <w:t>,</w:t>
      </w:r>
      <w:r w:rsidR="00FA25C6" w:rsidRPr="00D00DB2">
        <w:t xml:space="preserve"> </w:t>
      </w:r>
      <w:r w:rsidR="000E79B1" w:rsidRPr="00D00DB2">
        <w:t>respectively</w:t>
      </w:r>
      <w:r w:rsidR="00111329">
        <w:t xml:space="preserve"> </w:t>
      </w:r>
      <w:r w:rsidR="007553BE" w:rsidRPr="00D00DB2">
        <w:t>(</w:t>
      </w:r>
      <w:bookmarkStart w:id="2" w:name="_Hlk15382807"/>
      <w:r w:rsidR="007553BE" w:rsidRPr="00D00DB2">
        <w:rPr>
          <w:b/>
        </w:rPr>
        <w:t>Table I</w:t>
      </w:r>
      <w:r w:rsidR="00111329">
        <w:rPr>
          <w:b/>
        </w:rPr>
        <w:t>II</w:t>
      </w:r>
      <w:r w:rsidR="004D7D37" w:rsidRPr="00456633">
        <w:t>)</w:t>
      </w:r>
      <w:bookmarkEnd w:id="2"/>
      <w:r w:rsidR="00BE553A" w:rsidRPr="00D00DB2">
        <w:t>.</w:t>
      </w:r>
    </w:p>
    <w:p w14:paraId="12B72C31" w14:textId="77777777" w:rsidR="009A4EC6" w:rsidRPr="00D00DB2" w:rsidRDefault="009A4EC6"/>
    <w:p w14:paraId="363AF9C0" w14:textId="31E71D69" w:rsidR="007553BE" w:rsidRDefault="006E3FE6">
      <w:r w:rsidRPr="00D00DB2">
        <w:t>Similarly, significantly more patients with HA-CDI experienced complications up to 12 months following index hospital admission, compared with patients with no CDI (</w:t>
      </w:r>
      <w:r w:rsidR="00B80E64">
        <w:rPr>
          <w:i/>
          <w:iCs/>
        </w:rPr>
        <w:t>P</w:t>
      </w:r>
      <w:r w:rsidRPr="00D00DB2">
        <w:t>&lt;0.001</w:t>
      </w:r>
      <w:r w:rsidR="00111329">
        <w:t>)</w:t>
      </w:r>
      <w:r w:rsidRPr="00D00DB2">
        <w:t xml:space="preserve"> </w:t>
      </w:r>
      <w:r w:rsidR="00111329">
        <w:t>(</w:t>
      </w:r>
      <w:r w:rsidRPr="00D00DB2">
        <w:rPr>
          <w:b/>
        </w:rPr>
        <w:t>Table I</w:t>
      </w:r>
      <w:r w:rsidR="00111329">
        <w:rPr>
          <w:b/>
        </w:rPr>
        <w:t>I</w:t>
      </w:r>
      <w:r w:rsidRPr="00D00DB2">
        <w:t xml:space="preserve">). The adjusted </w:t>
      </w:r>
      <w:r w:rsidR="00AA633C">
        <w:t>HR</w:t>
      </w:r>
      <w:r w:rsidRPr="00D00DB2">
        <w:t xml:space="preserve"> </w:t>
      </w:r>
      <w:r w:rsidR="00AA633C">
        <w:t>from</w:t>
      </w:r>
      <w:r w:rsidR="000D5CCA" w:rsidRPr="00D00DB2">
        <w:t xml:space="preserve"> time</w:t>
      </w:r>
      <w:r w:rsidR="00AA633C">
        <w:t>-</w:t>
      </w:r>
      <w:r w:rsidR="000D5CCA" w:rsidRPr="00D00DB2">
        <w:t xml:space="preserve">dependent analysis </w:t>
      </w:r>
      <w:r w:rsidRPr="00D00DB2">
        <w:t xml:space="preserve">for complications in </w:t>
      </w:r>
      <w:r w:rsidR="00801536" w:rsidRPr="00D00DB2">
        <w:t xml:space="preserve">the </w:t>
      </w:r>
      <w:r w:rsidRPr="00D00DB2">
        <w:t xml:space="preserve">group of patients with HA-CDI versus no CDI was </w:t>
      </w:r>
      <w:r w:rsidRPr="00456633">
        <w:rPr>
          <w:bCs/>
        </w:rPr>
        <w:t>1.66 (</w:t>
      </w:r>
      <w:r w:rsidR="00AA633C">
        <w:rPr>
          <w:bCs/>
        </w:rPr>
        <w:t>95% CI</w:t>
      </w:r>
      <w:r w:rsidR="00B80E64">
        <w:rPr>
          <w:bCs/>
        </w:rPr>
        <w:t>:</w:t>
      </w:r>
      <w:r w:rsidR="00AA633C">
        <w:rPr>
          <w:bCs/>
        </w:rPr>
        <w:t xml:space="preserve"> </w:t>
      </w:r>
      <w:r w:rsidRPr="00456633">
        <w:rPr>
          <w:bCs/>
        </w:rPr>
        <w:t>1.46</w:t>
      </w:r>
      <w:r w:rsidR="00B80E64">
        <w:rPr>
          <w:rFonts w:cs="Arial"/>
          <w:bCs/>
        </w:rPr>
        <w:t xml:space="preserve">, </w:t>
      </w:r>
      <w:r w:rsidRPr="00456633">
        <w:rPr>
          <w:bCs/>
        </w:rPr>
        <w:t>1.88)</w:t>
      </w:r>
      <w:r w:rsidRPr="00D00DB2">
        <w:t xml:space="preserve"> (</w:t>
      </w:r>
      <w:r w:rsidRPr="00D00DB2">
        <w:rPr>
          <w:b/>
        </w:rPr>
        <w:t>Table I</w:t>
      </w:r>
      <w:r w:rsidR="00AA633C">
        <w:rPr>
          <w:b/>
        </w:rPr>
        <w:t>II</w:t>
      </w:r>
      <w:r w:rsidR="00AA633C">
        <w:t>)</w:t>
      </w:r>
      <w:r w:rsidR="00AA633C" w:rsidRPr="00456633">
        <w:t>.</w:t>
      </w:r>
      <w:r w:rsidRPr="00D00DB2">
        <w:t xml:space="preserve"> </w:t>
      </w:r>
    </w:p>
    <w:p w14:paraId="2D1277AC" w14:textId="77777777" w:rsidR="009A4EC6" w:rsidRPr="00D00DB2" w:rsidRDefault="009A4EC6"/>
    <w:p w14:paraId="0F8BFCD7" w14:textId="239B54A7" w:rsidR="009E4020" w:rsidRDefault="00A73F9E" w:rsidP="00B73061">
      <w:pPr>
        <w:pStyle w:val="Heading3"/>
      </w:pPr>
      <w:r w:rsidRPr="00D00DB2">
        <w:t>P</w:t>
      </w:r>
      <w:r w:rsidR="0071384F" w:rsidRPr="00D00DB2">
        <w:t xml:space="preserve">atients with recurrent versus non-recurrent CDI </w:t>
      </w:r>
    </w:p>
    <w:p w14:paraId="190B4A0F" w14:textId="77777777" w:rsidR="00B73061" w:rsidRPr="0073622B" w:rsidRDefault="00B73061" w:rsidP="003B3515"/>
    <w:p w14:paraId="6391A94E" w14:textId="455B808E" w:rsidR="00A21005" w:rsidRDefault="00026DD3">
      <w:r w:rsidRPr="00D00DB2">
        <w:lastRenderedPageBreak/>
        <w:t>There were 564 (49.5%) and</w:t>
      </w:r>
      <w:r w:rsidR="00217684">
        <w:t xml:space="preserve"> </w:t>
      </w:r>
      <w:r w:rsidRPr="00D00DB2">
        <w:t>2737 (47.8%) death</w:t>
      </w:r>
      <w:r w:rsidR="00AA633C">
        <w:t>s</w:t>
      </w:r>
      <w:r w:rsidRPr="00D00DB2">
        <w:t xml:space="preserve"> among patie</w:t>
      </w:r>
      <w:r w:rsidR="00AA633C">
        <w:t>n</w:t>
      </w:r>
      <w:r w:rsidRPr="00D00DB2">
        <w:t>ts with recurrent and non-recurrent CDI</w:t>
      </w:r>
      <w:r w:rsidR="00AA633C">
        <w:t>, respectively,</w:t>
      </w:r>
      <w:r w:rsidRPr="00D00DB2">
        <w:t xml:space="preserve"> </w:t>
      </w:r>
      <w:r w:rsidR="006D219E">
        <w:t>at</w:t>
      </w:r>
      <w:r w:rsidRPr="00D00DB2">
        <w:t xml:space="preserve"> 12 months</w:t>
      </w:r>
      <w:r w:rsidR="00AA633C">
        <w:t xml:space="preserve"> </w:t>
      </w:r>
      <w:r w:rsidR="006D219E">
        <w:t xml:space="preserve">from the initial hospital care episode </w:t>
      </w:r>
      <w:r w:rsidR="00AA633C">
        <w:t>(</w:t>
      </w:r>
      <w:r w:rsidR="00AA633C">
        <w:rPr>
          <w:b/>
        </w:rPr>
        <w:t>Table II</w:t>
      </w:r>
      <w:r w:rsidR="00AA633C">
        <w:t>)</w:t>
      </w:r>
      <w:r w:rsidRPr="00D00DB2">
        <w:t>.</w:t>
      </w:r>
      <w:r w:rsidR="00AA633C">
        <w:t xml:space="preserve"> </w:t>
      </w:r>
      <w:r w:rsidR="00784FC5" w:rsidRPr="00D00DB2">
        <w:t>When evaluating the risk of death from the start of initial CDI episode, t</w:t>
      </w:r>
      <w:r w:rsidR="00107AE2" w:rsidRPr="00D00DB2">
        <w:t xml:space="preserve">he </w:t>
      </w:r>
      <w:r w:rsidR="003374DA" w:rsidRPr="00D00DB2">
        <w:t xml:space="preserve">incidence of </w:t>
      </w:r>
      <w:r w:rsidR="00012DDE" w:rsidRPr="00D00DB2">
        <w:t xml:space="preserve">mortality </w:t>
      </w:r>
      <w:r w:rsidR="00787FA4">
        <w:t xml:space="preserve">at </w:t>
      </w:r>
      <w:r w:rsidR="00FD3AC9" w:rsidRPr="00D00DB2">
        <w:rPr>
          <w:rFonts w:cs="Arial"/>
        </w:rPr>
        <w:t>≤</w:t>
      </w:r>
      <w:r w:rsidR="00107AE2" w:rsidRPr="00D00DB2">
        <w:t>30 days</w:t>
      </w:r>
      <w:r w:rsidR="003D3C4C" w:rsidRPr="00D00DB2">
        <w:t xml:space="preserve"> </w:t>
      </w:r>
      <w:r w:rsidR="0007424B" w:rsidRPr="00D00DB2">
        <w:t xml:space="preserve">and </w:t>
      </w:r>
      <w:r w:rsidR="00FD3AC9" w:rsidRPr="00D00DB2">
        <w:rPr>
          <w:rFonts w:cs="Arial"/>
        </w:rPr>
        <w:t>≤</w:t>
      </w:r>
      <w:r w:rsidR="0007424B" w:rsidRPr="00D00DB2">
        <w:t xml:space="preserve">90 days </w:t>
      </w:r>
      <w:r w:rsidR="00107AE2" w:rsidRPr="00D00DB2">
        <w:t xml:space="preserve">was </w:t>
      </w:r>
      <w:r w:rsidR="00012DDE" w:rsidRPr="00D00DB2">
        <w:t xml:space="preserve">significantly </w:t>
      </w:r>
      <w:r w:rsidR="0007424B" w:rsidRPr="00D00DB2">
        <w:t xml:space="preserve">lower </w:t>
      </w:r>
      <w:r w:rsidR="00107AE2" w:rsidRPr="00D00DB2">
        <w:t xml:space="preserve">in patients with recurrent CDI </w:t>
      </w:r>
      <w:r w:rsidR="0088771D" w:rsidRPr="00D00DB2">
        <w:t>and</w:t>
      </w:r>
      <w:r w:rsidR="00AC482E" w:rsidRPr="00D00DB2">
        <w:t xml:space="preserve"> </w:t>
      </w:r>
      <w:r w:rsidR="006D219E">
        <w:t xml:space="preserve">the </w:t>
      </w:r>
      <w:r w:rsidR="00012DDE" w:rsidRPr="00D00DB2">
        <w:t xml:space="preserve">difference in mortality </w:t>
      </w:r>
      <w:r w:rsidR="00787FA4">
        <w:t xml:space="preserve">at </w:t>
      </w:r>
      <w:r w:rsidR="001D277E" w:rsidRPr="00D00DB2">
        <w:rPr>
          <w:rFonts w:cs="Arial"/>
        </w:rPr>
        <w:t>≤</w:t>
      </w:r>
      <w:r w:rsidR="001D277E" w:rsidRPr="00D00DB2">
        <w:t xml:space="preserve">365 days </w:t>
      </w:r>
      <w:r w:rsidR="006D219E">
        <w:t>was</w:t>
      </w:r>
      <w:r w:rsidR="00012DDE" w:rsidRPr="00D00DB2">
        <w:t xml:space="preserve"> not significant </w:t>
      </w:r>
      <w:r w:rsidR="00107AE2" w:rsidRPr="00D00DB2">
        <w:t>(</w:t>
      </w:r>
      <w:r w:rsidR="00107AE2" w:rsidRPr="00D00DB2">
        <w:rPr>
          <w:b/>
        </w:rPr>
        <w:t>Table II</w:t>
      </w:r>
      <w:r w:rsidR="00107AE2" w:rsidRPr="00D00DB2">
        <w:t>)</w:t>
      </w:r>
      <w:r w:rsidR="00B41720" w:rsidRPr="00D00DB2">
        <w:t>.</w:t>
      </w:r>
      <w:r w:rsidR="000D5CCA" w:rsidRPr="00D00DB2">
        <w:t xml:space="preserve"> </w:t>
      </w:r>
      <w:r w:rsidRPr="00D00DB2">
        <w:t xml:space="preserve">Adjusted </w:t>
      </w:r>
      <w:r w:rsidR="000D5CCA" w:rsidRPr="00D00DB2">
        <w:t>time</w:t>
      </w:r>
      <w:r w:rsidR="006D219E">
        <w:t>-</w:t>
      </w:r>
      <w:r w:rsidR="000D5CCA" w:rsidRPr="00D00DB2">
        <w:t>fixed</w:t>
      </w:r>
      <w:r w:rsidRPr="00D00DB2">
        <w:t xml:space="preserve"> </w:t>
      </w:r>
      <w:r w:rsidR="000D5CCA" w:rsidRPr="00C92B27">
        <w:t xml:space="preserve">analyses </w:t>
      </w:r>
      <w:r w:rsidRPr="00C92B27">
        <w:t>showed a</w:t>
      </w:r>
      <w:r w:rsidR="000D5CCA" w:rsidRPr="00C92B27">
        <w:t xml:space="preserve"> seemingly implausible</w:t>
      </w:r>
      <w:r w:rsidRPr="00C92B27">
        <w:t xml:space="preserve"> prote</w:t>
      </w:r>
      <w:r w:rsidR="000D5CCA" w:rsidRPr="00C92B27">
        <w:t>ctive</w:t>
      </w:r>
      <w:r w:rsidR="00971914" w:rsidRPr="00C92B27">
        <w:t xml:space="preserve"> </w:t>
      </w:r>
      <w:r w:rsidR="000D5CCA" w:rsidRPr="00C92B27">
        <w:t>effect of</w:t>
      </w:r>
      <w:r w:rsidR="000D5CCA" w:rsidRPr="00C92B27" w:rsidDel="000D5CCA">
        <w:t xml:space="preserve"> </w:t>
      </w:r>
      <w:r w:rsidR="000D5CCA" w:rsidRPr="00C92B27">
        <w:t>recurrence on</w:t>
      </w:r>
      <w:r w:rsidR="00C92B27" w:rsidRPr="00C92B27">
        <w:t xml:space="preserve"> </w:t>
      </w:r>
      <w:r w:rsidR="00544D33">
        <w:t>12-month</w:t>
      </w:r>
      <w:r w:rsidR="000D5CCA" w:rsidRPr="00C92B27">
        <w:t xml:space="preserve"> mortality (</w:t>
      </w:r>
      <w:r w:rsidR="000D5CCA" w:rsidRPr="00456633">
        <w:t>HR</w:t>
      </w:r>
      <w:r w:rsidR="00C92B27">
        <w:t>:</w:t>
      </w:r>
      <w:r w:rsidR="00C92B27" w:rsidRPr="00C92B27">
        <w:t xml:space="preserve"> </w:t>
      </w:r>
      <w:r w:rsidR="000D5CCA" w:rsidRPr="00456633">
        <w:rPr>
          <w:rFonts w:eastAsia="Calibri" w:cs="Arial"/>
        </w:rPr>
        <w:t>0.</w:t>
      </w:r>
      <w:r w:rsidR="000D5CCA" w:rsidRPr="00456633">
        <w:t>88, 95% CI</w:t>
      </w:r>
      <w:r w:rsidR="00B80E64">
        <w:t>:</w:t>
      </w:r>
      <w:r w:rsidR="000D5CCA" w:rsidRPr="00456633" w:rsidDel="007855CF">
        <w:t xml:space="preserve"> </w:t>
      </w:r>
      <w:r w:rsidR="000D5CCA" w:rsidRPr="00456633">
        <w:t>0.80</w:t>
      </w:r>
      <w:r w:rsidR="00B80E64">
        <w:t xml:space="preserve">, </w:t>
      </w:r>
      <w:r w:rsidR="000D5CCA" w:rsidRPr="00456633">
        <w:t>0.96)</w:t>
      </w:r>
      <w:r w:rsidR="00C92B27">
        <w:t xml:space="preserve"> (</w:t>
      </w:r>
      <w:r w:rsidR="00C92B27">
        <w:rPr>
          <w:b/>
        </w:rPr>
        <w:t>Table III</w:t>
      </w:r>
      <w:r w:rsidR="00C92B27">
        <w:t>)</w:t>
      </w:r>
      <w:r w:rsidR="000D5CCA" w:rsidRPr="00456633">
        <w:t>.</w:t>
      </w:r>
      <w:r w:rsidR="00A21005" w:rsidRPr="00D00DB2">
        <w:t xml:space="preserve"> </w:t>
      </w:r>
      <w:r w:rsidR="00DC0899" w:rsidRPr="00D00DB2">
        <w:t>When immortal time was correctly classified</w:t>
      </w:r>
      <w:r w:rsidR="0088771D" w:rsidRPr="00D00DB2">
        <w:t xml:space="preserve"> (</w:t>
      </w:r>
      <w:r w:rsidR="0088771D" w:rsidRPr="00D00DB2">
        <w:rPr>
          <w:b/>
        </w:rPr>
        <w:t>Figure 2)</w:t>
      </w:r>
      <w:r w:rsidR="00DC0899" w:rsidRPr="00D00DB2">
        <w:t xml:space="preserve">, </w:t>
      </w:r>
      <w:r w:rsidR="00544D33">
        <w:t>12-month</w:t>
      </w:r>
      <w:r w:rsidR="0088771D" w:rsidRPr="00D00DB2">
        <w:t xml:space="preserve"> survival </w:t>
      </w:r>
      <w:r w:rsidR="00A21005" w:rsidRPr="00D00DB2">
        <w:t xml:space="preserve">was higher in </w:t>
      </w:r>
      <w:r w:rsidR="00DC0899" w:rsidRPr="00D00DB2">
        <w:t>those</w:t>
      </w:r>
      <w:r w:rsidR="00A21005" w:rsidRPr="00D00DB2">
        <w:t xml:space="preserve"> with non-recurrent CDI versus recurrent CDI </w:t>
      </w:r>
      <w:r w:rsidR="00A21005" w:rsidRPr="00456633">
        <w:t>(</w:t>
      </w:r>
      <w:r w:rsidR="0088771D" w:rsidRPr="00456633">
        <w:t>HR: 1.32, 95% CI</w:t>
      </w:r>
      <w:r w:rsidR="00B80E64">
        <w:t>:</w:t>
      </w:r>
      <w:r w:rsidR="0088771D" w:rsidRPr="00456633" w:rsidDel="007855CF">
        <w:t xml:space="preserve"> </w:t>
      </w:r>
      <w:r w:rsidR="0088771D" w:rsidRPr="00456633">
        <w:t>1.20</w:t>
      </w:r>
      <w:r w:rsidR="00B80E64">
        <w:rPr>
          <w:rFonts w:cs="Arial"/>
        </w:rPr>
        <w:t xml:space="preserve">, </w:t>
      </w:r>
      <w:r w:rsidR="0088771D" w:rsidRPr="00456633">
        <w:t>1.45</w:t>
      </w:r>
      <w:r w:rsidR="00A21005" w:rsidRPr="00456633">
        <w:t>)</w:t>
      </w:r>
      <w:r w:rsidR="00C92B27">
        <w:t xml:space="preserve"> (</w:t>
      </w:r>
      <w:r w:rsidR="00C92B27">
        <w:rPr>
          <w:b/>
        </w:rPr>
        <w:t>Table III</w:t>
      </w:r>
      <w:r w:rsidR="00C92B27">
        <w:t>)</w:t>
      </w:r>
      <w:r w:rsidR="00A21005" w:rsidRPr="00456633">
        <w:t>.</w:t>
      </w:r>
      <w:r w:rsidR="00A21005" w:rsidRPr="00D00DB2">
        <w:t xml:space="preserve"> </w:t>
      </w:r>
    </w:p>
    <w:p w14:paraId="006A25C7" w14:textId="77777777" w:rsidR="009A4EC6" w:rsidRPr="00D00DB2" w:rsidRDefault="009A4EC6"/>
    <w:p w14:paraId="387C1318" w14:textId="0A5BDD4A" w:rsidR="00560CE7" w:rsidRDefault="0007424B">
      <w:r w:rsidRPr="00D00DB2">
        <w:t>The incidence</w:t>
      </w:r>
      <w:r w:rsidR="00560CE7" w:rsidRPr="00D00DB2">
        <w:t xml:space="preserve"> of complications </w:t>
      </w:r>
      <w:r w:rsidR="00453626" w:rsidRPr="00D00DB2">
        <w:t xml:space="preserve">(excluding death) </w:t>
      </w:r>
      <w:r w:rsidR="00560CE7" w:rsidRPr="00D00DB2">
        <w:t xml:space="preserve">up to </w:t>
      </w:r>
      <w:r w:rsidR="00D069D6" w:rsidRPr="00D00DB2">
        <w:rPr>
          <w:rFonts w:cs="Arial"/>
        </w:rPr>
        <w:t>90</w:t>
      </w:r>
      <w:r w:rsidR="00C92B27">
        <w:rPr>
          <w:rFonts w:cs="Arial"/>
        </w:rPr>
        <w:t>–</w:t>
      </w:r>
      <w:r w:rsidR="002D6275" w:rsidRPr="00D00DB2">
        <w:t>365 days</w:t>
      </w:r>
      <w:r w:rsidR="003D3C4C" w:rsidRPr="00D00DB2">
        <w:t xml:space="preserve"> from the start of the initial care episode</w:t>
      </w:r>
      <w:r w:rsidR="00560CE7" w:rsidRPr="00D00DB2">
        <w:t xml:space="preserve"> </w:t>
      </w:r>
      <w:r w:rsidR="00544D33">
        <w:t>was</w:t>
      </w:r>
      <w:r w:rsidR="00544D33" w:rsidRPr="00D00DB2">
        <w:t xml:space="preserve"> </w:t>
      </w:r>
      <w:r w:rsidRPr="00D00DB2">
        <w:t xml:space="preserve">significantly </w:t>
      </w:r>
      <w:r w:rsidR="00560CE7" w:rsidRPr="00D00DB2">
        <w:t>higher</w:t>
      </w:r>
      <w:r w:rsidR="00D069D6" w:rsidRPr="00D00DB2">
        <w:t xml:space="preserve"> (</w:t>
      </w:r>
      <w:r w:rsidR="00B80E64">
        <w:rPr>
          <w:i/>
          <w:iCs/>
        </w:rPr>
        <w:t>P</w:t>
      </w:r>
      <w:r w:rsidR="00D069D6" w:rsidRPr="00D00DB2">
        <w:rPr>
          <w:rFonts w:cs="Arial"/>
        </w:rPr>
        <w:t>≤</w:t>
      </w:r>
      <w:r w:rsidR="00D069D6" w:rsidRPr="00D00DB2">
        <w:t>0.005)</w:t>
      </w:r>
      <w:r w:rsidR="00560CE7" w:rsidRPr="00D00DB2">
        <w:t xml:space="preserve"> in patients with recurrent CDI (</w:t>
      </w:r>
      <w:r w:rsidR="00560CE7" w:rsidRPr="00D00DB2">
        <w:rPr>
          <w:b/>
        </w:rPr>
        <w:t>Table II</w:t>
      </w:r>
      <w:r w:rsidR="00560CE7" w:rsidRPr="00D00DB2">
        <w:t>)</w:t>
      </w:r>
      <w:r w:rsidR="00B41720" w:rsidRPr="00D00DB2">
        <w:t xml:space="preserve">. </w:t>
      </w:r>
      <w:r w:rsidR="00C92B27">
        <w:t>The adjusted HR for c</w:t>
      </w:r>
      <w:r w:rsidRPr="00D00DB2">
        <w:t>omplications</w:t>
      </w:r>
      <w:r w:rsidR="00453626" w:rsidRPr="00D00DB2">
        <w:t xml:space="preserve"> excluding death</w:t>
      </w:r>
      <w:r w:rsidR="002111BC" w:rsidRPr="00456633">
        <w:t>,</w:t>
      </w:r>
      <w:r w:rsidR="002111BC" w:rsidRPr="00D00DB2">
        <w:t xml:space="preserve"> up to 12 months </w:t>
      </w:r>
      <w:r w:rsidR="00865CD4" w:rsidRPr="00D00DB2">
        <w:t>from the start of the initial care episode</w:t>
      </w:r>
      <w:r w:rsidR="002111BC" w:rsidRPr="00D00DB2">
        <w:t>,</w:t>
      </w:r>
      <w:r w:rsidRPr="00D00DB2">
        <w:t xml:space="preserve"> </w:t>
      </w:r>
      <w:r w:rsidR="00C92B27">
        <w:t xml:space="preserve">was </w:t>
      </w:r>
      <w:r w:rsidR="00C92B27" w:rsidRPr="00C9566F">
        <w:t>1.37 (</w:t>
      </w:r>
      <w:r w:rsidR="00B80E64">
        <w:t xml:space="preserve">95% CI: </w:t>
      </w:r>
      <w:r w:rsidR="00C92B27" w:rsidRPr="00C9566F">
        <w:t>1.01</w:t>
      </w:r>
      <w:r w:rsidR="00B80E64">
        <w:rPr>
          <w:rFonts w:cs="Arial"/>
        </w:rPr>
        <w:t xml:space="preserve">, </w:t>
      </w:r>
      <w:r w:rsidR="00C92B27" w:rsidRPr="00C9566F">
        <w:t>1.84)</w:t>
      </w:r>
      <w:r w:rsidR="00C92B27">
        <w:t xml:space="preserve"> (</w:t>
      </w:r>
      <w:r w:rsidR="00AA57B8" w:rsidRPr="00D00DB2">
        <w:rPr>
          <w:b/>
        </w:rPr>
        <w:t>Table II</w:t>
      </w:r>
      <w:r w:rsidR="00C92B27">
        <w:rPr>
          <w:b/>
        </w:rPr>
        <w:t>I</w:t>
      </w:r>
      <w:r w:rsidR="00C92B27">
        <w:t>)</w:t>
      </w:r>
      <w:r w:rsidR="00784FC5" w:rsidRPr="00456633">
        <w:t>.</w:t>
      </w:r>
      <w:r w:rsidR="00B41720" w:rsidRPr="00D00DB2">
        <w:t xml:space="preserve"> </w:t>
      </w:r>
    </w:p>
    <w:p w14:paraId="17419B61" w14:textId="77777777" w:rsidR="009A4EC6" w:rsidRPr="00D00DB2" w:rsidRDefault="009A4EC6"/>
    <w:p w14:paraId="0AF54A47" w14:textId="4AF2842E" w:rsidR="009E4B56" w:rsidRDefault="004D0E8F">
      <w:r w:rsidRPr="00D00DB2">
        <w:t xml:space="preserve">Results of </w:t>
      </w:r>
      <w:r w:rsidR="00623669" w:rsidRPr="00D00DB2">
        <w:t xml:space="preserve">further </w:t>
      </w:r>
      <w:r w:rsidRPr="00D00DB2">
        <w:t>sensitivity analyses</w:t>
      </w:r>
      <w:r w:rsidR="006562B5">
        <w:t>,</w:t>
      </w:r>
      <w:r w:rsidRPr="00D00DB2">
        <w:t xml:space="preserve"> </w:t>
      </w:r>
      <w:r w:rsidR="006562B5">
        <w:t xml:space="preserve">with outcomes assessed from the midpoint of the initial hospital care episode, </w:t>
      </w:r>
      <w:r w:rsidRPr="00D00DB2">
        <w:t xml:space="preserve">are included in </w:t>
      </w:r>
      <w:r w:rsidRPr="00D00DB2">
        <w:rPr>
          <w:b/>
        </w:rPr>
        <w:t>Tables A.II</w:t>
      </w:r>
      <w:r w:rsidRPr="00D00DB2">
        <w:rPr>
          <w:rFonts w:cs="Arial"/>
          <w:b/>
        </w:rPr>
        <w:t>–</w:t>
      </w:r>
      <w:r w:rsidRPr="00D00DB2">
        <w:rPr>
          <w:b/>
        </w:rPr>
        <w:t>A.I</w:t>
      </w:r>
      <w:r w:rsidR="006562B5">
        <w:rPr>
          <w:b/>
        </w:rPr>
        <w:t xml:space="preserve">II </w:t>
      </w:r>
      <w:r w:rsidR="006562B5" w:rsidRPr="00456633">
        <w:t xml:space="preserve">(online supplementary </w:t>
      </w:r>
      <w:r w:rsidR="00787FA4">
        <w:t>material</w:t>
      </w:r>
      <w:r w:rsidR="006562B5" w:rsidRPr="00456633">
        <w:t>)</w:t>
      </w:r>
      <w:r w:rsidRPr="004D0E8F">
        <w:t>.</w:t>
      </w:r>
      <w:r>
        <w:t xml:space="preserve"> </w:t>
      </w:r>
    </w:p>
    <w:p w14:paraId="54C5C325" w14:textId="77777777" w:rsidR="009A4EC6" w:rsidRDefault="009A4EC6"/>
    <w:p w14:paraId="561C6BAE" w14:textId="77777777" w:rsidR="009A4EC6" w:rsidRDefault="009A4EC6"/>
    <w:p w14:paraId="2E824F25" w14:textId="77777777" w:rsidR="009A4EC6" w:rsidRDefault="009A4EC6"/>
    <w:p w14:paraId="1EFCCA1B" w14:textId="52BF393D" w:rsidR="00947BBA" w:rsidRDefault="00947BBA" w:rsidP="00B73061">
      <w:pPr>
        <w:pStyle w:val="Heading1"/>
        <w:spacing w:before="0" w:after="0"/>
      </w:pPr>
      <w:r w:rsidRPr="00173B27">
        <w:t>Discussion</w:t>
      </w:r>
    </w:p>
    <w:p w14:paraId="0D03AAC3" w14:textId="77777777" w:rsidR="00B73061" w:rsidRPr="0073622B" w:rsidRDefault="00B73061" w:rsidP="003B3515"/>
    <w:p w14:paraId="1B3FFB5F" w14:textId="143F58A9" w:rsidR="00D35BC4" w:rsidRDefault="0088771D">
      <w:r>
        <w:t>We conducted a</w:t>
      </w:r>
      <w:r w:rsidR="007F44A9">
        <w:t xml:space="preserve"> </w:t>
      </w:r>
      <w:r w:rsidR="00217D70">
        <w:t xml:space="preserve">retrospective study of patients </w:t>
      </w:r>
      <w:r w:rsidR="00B85FDB">
        <w:t>hospitali</w:t>
      </w:r>
      <w:r w:rsidR="0064553B">
        <w:t>z</w:t>
      </w:r>
      <w:r w:rsidR="00B85FDB">
        <w:t xml:space="preserve">ed </w:t>
      </w:r>
      <w:r w:rsidR="00217D70">
        <w:t xml:space="preserve">in </w:t>
      </w:r>
      <w:r w:rsidR="002D6275">
        <w:t xml:space="preserve">England </w:t>
      </w:r>
      <w:r w:rsidR="00B85FDB">
        <w:t xml:space="preserve">with a first episode of CDI </w:t>
      </w:r>
      <w:r>
        <w:t>and observed that</w:t>
      </w:r>
      <w:r w:rsidR="000565D1">
        <w:t xml:space="preserve"> the </w:t>
      </w:r>
      <w:r w:rsidR="0081119D">
        <w:t xml:space="preserve">risk </w:t>
      </w:r>
      <w:r w:rsidR="000565D1">
        <w:t xml:space="preserve">of </w:t>
      </w:r>
      <w:r w:rsidR="00B277D5">
        <w:t>12-month</w:t>
      </w:r>
      <w:r>
        <w:t xml:space="preserve"> mortality and com</w:t>
      </w:r>
      <w:r w:rsidR="00611A63">
        <w:t>p</w:t>
      </w:r>
      <w:r>
        <w:t>lications</w:t>
      </w:r>
      <w:r w:rsidR="000565D1">
        <w:t xml:space="preserve"> was significantly higher compared with </w:t>
      </w:r>
      <w:r w:rsidR="00A155F0">
        <w:t>matched hospitali</w:t>
      </w:r>
      <w:r w:rsidR="0062502A">
        <w:t>z</w:t>
      </w:r>
      <w:r w:rsidR="00A155F0">
        <w:t xml:space="preserve">ed </w:t>
      </w:r>
      <w:r w:rsidR="000565D1">
        <w:t xml:space="preserve">patients with no </w:t>
      </w:r>
      <w:r w:rsidR="00A155F0">
        <w:t xml:space="preserve">evidence of </w:t>
      </w:r>
      <w:r w:rsidR="000565D1">
        <w:t>CDI</w:t>
      </w:r>
      <w:r w:rsidR="001F2DE8">
        <w:t xml:space="preserve">, </w:t>
      </w:r>
      <w:r w:rsidR="00F732DC">
        <w:t xml:space="preserve">a </w:t>
      </w:r>
      <w:r w:rsidR="000565D1">
        <w:t xml:space="preserve">finding supported by previous research </w:t>
      </w:r>
      <w:r w:rsidR="000565D1">
        <w:fldChar w:fldCharType="begin" w:fldLock="1"/>
      </w:r>
      <w:r w:rsidR="005E0B17">
        <w:instrText>ADDIN CSL_CITATION {"citationItems":[{"id":"ITEM-1","itemData":{"DOI":"10.1016/j.jhin.2018.07.023","ISSN":"1532-2939","PMID":"30055220","abstract":"BACKGROUND National surveillance of Clostridium difficile infection (CDI) in Scotland enables the monitoring of trends in incidence rates but not mortality. AIM To assess factors associated with mortality for all CDI cases aged ≥15 years in Scotland between 2010 and 2016. METHODS All CDI cases aged ≥15 years in Scotland between 2010 and 2016 were linked to hospital admission and mortality datasets. Logistic regression was used to assess factors associated with mortality (30-day all-cause). A case-control study of a hospitalized subset of cases and matched hospitalized controls assessed the impact of CDI on mortality and length of stay. FINDINGS Thirty-day all-cause mortality decreased over the seven-year period (from 20.5% to 15.6%; P &lt; 0.001), mainly among healthcare-associated CDI (HA-CDI). Increased age, higher Charlson score, HA-CDI, as well as liver, heart and malignancy comorbidities were associated with higher mortality. No association was observed between polymerase chain reaction ribotype and higher mortality, though 015 and 078 were associated with lower mortality. Adjusted odds ratio (OR) for 30-day mortality in hospitalized CDI cases compared to controls was 2.67 (95% confidence interval (CI): 2.42-2.94; P &lt; 0.001). Whereas mortality declined over time in cases and controls, the trend in ORs remained relatively stable. Having CDI increased additional mean length of stay beyond infection by 22.3% (95% CI: 18.0-26.8%; P &lt; 0.001). CONCLUSION CDI is associated with an almost three-fold increase in 30-day mortality and places an increased burden on hospital resources by increasing mean LOS beyond the infection date by 22.3%. The decreasing CDI mortality trends may be due to overall improvements in mortality among the general and hospital population of Scotland. Therefore, despite large declines in incidence rates, CDI remains a serious healthcare problem.","author":[{"dropping-particle":"","family":"Banks","given":"A","non-dropping-particle":"","parse-names":false,"suffix":""},{"dropping-particle":"","family":"Moore","given":"E K","non-dropping-particle":"","parse-names":false,"suffix":""},{"dropping-particle":"","family":"Bishop","given":"J","non-dropping-particle":"","parse-names":false,"suffix":""},{"dropping-particle":"","family":"Coia","given":"J E","non-dropping-particle":"","parse-names":false,"suffix":""},{"dropping-particle":"","family":"Brown","given":"D","non-dropping-particle":"","parse-names":false,"suffix":""},{"dropping-particle":"","family":"Mather","given":"H","non-dropping-particle":"","parse-names":false,"suffix":""},{"dropping-particle":"","family":"Wiuff","given":"C","non-dropping-particle":"","parse-names":false,"suffix":""}],"container-title":"The Journal of hospital infection","id":"ITEM-1","issue":"2","issued":{"date-parts":[["2018","10","1"]]},"page":"133-141","publisher":"Elsevier","title":"Trends in mortality following &lt;i&gt;Clostridium difficile&lt;/i&gt; infection in Scotland, 2010-2016: a retrospective cohort and case-control study.","type":"article-journal","volume":"100"},"uris":["http://www.mendeley.com/documents/?uuid=888066f2-77f9-36bb-b6bc-5cabe5d5bc63"]},{"id":"ITEM-2","itemData":{"DOI":"10.1186/s12879-017-2553-z","ISSN":"1471-2334 (Electronic)","PMID":"28645266","abstract":"BACKGROUND: Cancer predisposes patients to Clostridium difficile infection (CDI) due to health care exposures and medications that disrupt the gut microbiota or reduce immune response. Despite this association, the national rate of CDI among cancer patients is unknown. Furthermore, it is unclear how CDI affects clinical outcomes in cancer. The objective of this study was to describe CDI incidence and health outcomes nationally among cancer patients in the United States (U.S.). METHODS: Data for this study were obtained from the U.S. National Hospital Discharge Surveys from 2001 to 2010. Eligible patients included those at least 18 years old with a discharge diagnosis of cancer (ICD-9-CM codes 140-165.X, 170-176.X, 179-189.X, 190-209.XX). CDI was identified using ICD-9-CM code 008.45. Data weights were applied to sampled patients to provide national estimates. CDI incidence was calculated as CDI discharges per 1000 total cancer discharges. The in-hospital mortality rate and hospital length of stay (LOS) were compared between cancer patients with and without CDI using bivariable analyses. RESULTS: A total of 30,244,426 cancer discharges were included for analysis. The overall incidence of CDI was 8.6 per 1000 cancer discharges. CDI incidence increased over the study period, peaking in 2008 (17.2 per 1000 cancer discharges). Compared to patients without CDI, patients with CDI had significantly higher mortality (9.4% vs. 7.5%, p &lt; 0.0001) and longer median LOS (9 days vs. 4 days, p &lt; 0.0001). CONCLUSIONS: CDI incidence is increasing nationally among cancer patients admitted to U.S. community hospitals. CDI was associated with significantly increased mortality and hospital LOS.","author":[{"dropping-particle":"","family":"Delgado","given":"Andrew","non-dropping-particle":"","parse-names":false,"suffix":""},{"dropping-particle":"","family":"Reveles","given":"Ivan A","non-dropping-particle":"","parse-names":false,"suffix":""},{"dropping-particle":"","family":"Cabello","given":"Felicia T","non-dropping-particle":"","parse-names":false,"suffix":""},{"dropping-particle":"","family":"Reveles","given":"Kelly R","non-dropping-particle":"","parse-names":false,"suffix":""}],"container-title":"BMC infectious diseases","id":"ITEM-2","issue":"1","issued":{"date-parts":[["2017","6"]]},"language":"eng","page":"448","publisher-place":"England","title":"Poorer outcomes among cancer patients diagnosed with &lt;i&gt;Clostridium difficile&lt;/i&gt; infections in United States community hospitals.","type":"article-journal","volume":"17"},"uris":["http://www.mendeley.com/documents/?uuid=34b58963-df43-494e-8543-d0f1bda55332"]},{"id":"ITEM-3","itemData":{"DOI":"10.1007/s11739-015-1366-6","ISSN":"1970-9366 (Electronic)","PMID":"26694494","abstract":"Studies have demonstrated an increasing Clostridium difficile infection (CDI) incidence in hospitals and the community, with increasing morbidity and mortality. In this study, we analyzed data from the National Hospital Discharge Survey (NHDS) to evaluate CDI epidemiology, outcomes, and predictors of mortality in hospitalized adults. We identified cases of CDI (and associated comorbid conditions) from NHDS data from 2005 through 2009 using ICD-9 codes. Weighted univariate and multivariate analyses were performed to ascertain CDI incidence, associations between CDI and outcomes [length of stay (LOS), colectomy, all-cause in-hospital mortality, and discharge to a care facility], and predictors of all-cause in-hospital mortality. Of an estimated 162 million adult inpatients, 1.26 million (0.8 %) had CDI. The overall CDI incidence is 77.8/10,000 hospitalizations, with no statistically significant change over the study period. On multivariate analysis, after adjusting for age, gender, and comorbid conditions, CDI is an independent predictor of longer LOS (mean difference, 2.35 days), all-cause mortality [odds ratio (OR) 1.45], colectomy (OR 1.41), and discharge to a care facility (OR 2.12) (all P &lt; 0.001). Elderly patients have a higher CDI incidence and worse outcomes than younger adults. The strongest predictors of all-cause mortality in patients with CDI include age 65 years or older, colectomy, and coagulation abnormalities. Despite stable CDI incidence and advances in management, CDI is associated with increased LOS, colectomy, all-cause in-hospital mortality, and discharge to a care facility in hospitalized, especially elderly, adults. Age older than 65 years should be added to the severity criteria for CDI.","author":[{"dropping-particle":"","family":"Khanna","given":"Sahil","non-dropping-particle":"","parse-names":false,"suffix":""},{"dropping-particle":"","family":"Gupta","given":"Arjun","non-dropping-particle":"","parse-names":false,"suffix":""},{"dropping-particle":"","family":"Baddour","given":"Larry M","non-dropping-particle":"","parse-names":false,"suffix":""},{"dropping-particle":"","family":"Pardi","given":"Darrell S","non-dropping-particle":"","parse-names":false,"suffix":""}],"container-title":"Internal and emergency medicine","id":"ITEM-3","issue":"5","issued":{"date-parts":[["2016","8"]]},"language":"eng","page":"657-665","publisher-place":"Italy","title":"Epidemiology, outcomes, and predictors of mortality in hospitalized adults with &lt;i&gt;Clostridium difficile&lt;/i&gt; infection.","type":"article-journal","volume":"11"},"uris":["http://www.mendeley.com/documents/?uuid=ec5ad2ab-8e5b-414a-9a74-14dbef3f4100"]},{"id":"ITEM-4","itemData":{"DOI":"10.1503/cmaj.110543","ISSN":"1488-2329 (Electronic)","PMID":"22143235","abstract":"BACKGROUND: The effect of hospital-acquired infection with Clostridium difficile on length of stay in hospital is not yet fully understood. We determined the independent impact of hospital-acquired infection with C. difficile on length of stay in hospital. METHODS: We conducted a retrospective observational cohort study of admissions to hospital between July 1, 2002, and Mar. 31, 2009, at a single academic hospital. We measured the association between infection with hospital-acquired C. difficile and time to discharge from hospital using Kaplan-Meier methods and a Cox multivariable proportional hazards regression model. We controlled for baseline risk of death and accounted for C. difficile as a time-varying effect. RESULTS: Hospital-acquired infection with C. difficile was identified in 1393 of 136,877 admissions to hospital (overall risk 1.02%, 95% confidence interval [CI] 0.97%-1.06%). The crude median length of stay in hospital was greater for patients with hospital-acquired C. difficile (34 d) than for those without C. difficile (8 d). Survival analysis showed that hospital-acquired infection with C. difficile increased the median length of stay in hospital by six days. In adjusted analyses, hospital-acquired C. difficile was significantly associated with time to discharge, modified by baseline risk of death and time to acquisition of C. difficile. The hazard ratio for discharge by day 7 among patients with hospital-acquired C. difficile was 0.55 (95% CI 0.39-0.70) for patients in the lowest decile of baseline risk of death and 0.45 (95% CI 0.32-0.58) for those in the highest decile; for discharge by day 28, the corresponding hazard ratios were 0.74 (95% CI 0.60-0.87) and 0.61 (95% CI 0.53-0.68). INTERPRETATION: Hospital-acquired infection with C. difficile significantly prolonged length of stay in hospital independent of baseline risk of death.","author":[{"dropping-particle":"","family":"Forster","given":"Alan J","non-dropping-particle":"","parse-names":false,"suffix":""},{"dropping-particle":"","family":"Taljaard","given":"Monica","non-dropping-particle":"","parse-names":false,"suffix":""},{"dropping-particle":"","family":"Oake","given":"Natalie","non-dropping-particle":"","parse-names":false,"suffix":""},{"dropping-particle":"","family":"Wilson","given":"Kumanan","non-dropping-particle":"","parse-names":false,"suffix":""},{"dropping-particle":"","family":"Roth","given":"Virginia","non-dropping-particle":"","parse-names":false,"suffix":""},{"dropping-particle":"","family":"Walraven","given":"Carl","non-dropping-particle":"van","parse-names":false,"suffix":""}],"container-title":"CMAJ : Canadian Medical Association journal = journal de l'Association medicale canadienne","id":"ITEM-4","issue":"1","issued":{"date-parts":[["2012","1"]]},"language":"eng","page":"37-42","publisher-place":"Canada","title":"The effect of hospital-acquired infection with &lt;i&gt;Clostridium difficile&lt;/i&gt; on length of stay in hospital.","type":"article-journal","volume":"184"},"uris":["http://www.mendeley.com/documents/?uuid=0b38ed74-ca9e-44b3-a558-db47b66ef1af"]},{"id":"ITEM-5","itemData":{"DOI":"10.1016/j.jhin.2012.07.023","ISSN":"1532-2939 (Electronic)","PMID":"23021129","abstract":"BACKGROUND: Although surgery is considered a risk for Clostridium difficile-associated disease (CDAD), large-scale data on outcomes of postsurgical CDAD are rare. AIM: Using the Japanese Diagnosis Procedure Combination inpatient database, we analysed factors affecting the occurrence of CDAD and the outcomes of CDAD following digestive tract surgery. METHODS: We identified patients postoperatively diagnosed with CDAD among patients undergoing oesophagectomy, gastrectomy, and colorectal resection for cancer from 2007 to 2010. We performed logistic regression analyses for the occurrence of CDAD and in-hospital mortality, and multiple linear regressions and one-to-one propensity-matched analyses for postoperative length of stay and total costs, with adjustment for patient backgrounds and hospital factors. FINDINGS: Of 143,652 patients undergoing digestive tract surgery, 409 (0.28%) CDAD patients were identified. Higher Charlson comorbidity index, longer preoperative length of stay and non-academic hospitals were significantly associated with higher occurrence of CDAD. In-hospital mortality was higher in the CDAD patients compared with non-CDAD patients [3.4% vs 1.6%; odds ratio: 1.83; 95% confidence interval (CI): 1.07-3.13; P = 0.027]. Attributable postoperative length of stay and total costs related to CDAD were 12.4 days (95% CI: 9.7-15.0; P &lt; 0.001) and US$6,576 (3,753-9,398; P &lt; 0.001) in the linear regressions and 9 days (P &lt; 0.001) and US$6,724 (P &lt; 0.001) in the propensity-matched paired analyses. CONCLUSIONS: High mortality, long hospital stay and high costs were associated with postsurgical CDAD. The results indicate the necessity of further CDAD control measures for patients undergoing digestive tract surgery.","author":[{"dropping-particle":"","family":"Yasunaga","given":"H","non-dropping-particle":"","parse-names":false,"suffix":""},{"dropping-particle":"","family":"Horiguchi","given":"H","non-dropping-particle":"","parse-names":false,"suffix":""},{"dropping-particle":"","family":"Hashimoto","given":"H","non-dropping-particle":"","parse-names":false,"suffix":""},{"dropping-particle":"","family":"Matsuda","given":"S","non-dropping-particle":"","parse-names":false,"suffix":""},{"dropping-particle":"","family":"Fushimi","given":"K","non-dropping-particle":"","parse-names":false,"suffix":""}],"container-title":"The Journal of hospital infection","id":"ITEM-5","issue":"3","issued":{"date-parts":[["2012","11"]]},"language":"eng","page":"175-180","publisher-place":"England","title":"The burden of &lt;i&gt;Clostridium difficile&lt;/i&gt;-associated disease following digestive tract surgery in Japan.","type":"article-journal","volume":"82"},"uris":["http://www.mendeley.com/documents/?uuid=32cff92a-288f-4244-95ec-f80738fed893"]},{"id":"ITEM-6","itemData":{"DOI":"10.1017/ice.2018.280","ISSN":"15596834","abstract":"Objective: In this study, we aimed to quantify short-and long-term outcomes of Clostridium difficile infection (CDI) in the elderly, including all-cause mortality, transfer to a facility, and hospitalizations. Design: Retrospective study using 2011 Medicare claims data, including all elderly persons coded for CDI and a sample of uninfected persons. Analysis of propensity score-matched pairs and the entire population stratified by the propensity score was used to determine the risk of all-cause mortality, new transfer to a long-term care facility (LTCF), and short-term skilled nursing facility (SNF), and subsequent hospitalizations within 30, 90, and 365 days. Results: The claims records of 174,903 patients coded for CDI were compared with those of 1,318,538 control patients. CDI was associated with increased risk of death (odds ratio [OR], 1.77; 95% confidence interval [CI], 1.74-1.81; attributable mortality, 10.9%), new LTCF transfer (OR, 1.74; 95% CI, 1.67-1.82), and new SNF transfer (OR, 2.52; 95% CI, 2.46-2.58) within 30 days in matched-pairs analyses. In a stratified analysis, CDI was associated with greatest risk of 30-day all-cause mortality in persons with lowest baseline probability of CDI (hazard ratio [HR], 3.04; 95% CI, 2.83-3.26); the risk progressively decreased as the baseline probability of CDI increased. CDI was also associated with increased risk of subsequent 30-day, 90-day, and 1-year hospitalization. Conclusions: CDI was associated with increased risk of short-and long-term adverse outcomes, including transfer to short-and long-term care facilities, hospitalization, and all-cause mortality. The magnitude of mortality risk varied depending on baseline probability of CDI, suggesting that even lower-risk patients may benefit from interventions to prevent CDI. Clostridium difficile is the most common microorganism associated with death in persons with gastroenteritis 1,2 and the single most common organism responsible for US healthcare-associated infections. 3 Although C. difficile infection (CDI) is clearly associated with morbidity and mortality, the incremental impact of CDI on mortality is not clear. In a 2015 review of CDI outcomes, all-cause mortality ranged from 11.8% to 38%, and attributable mortality ranged from 0% to 16.7%, depending on the time frame to assess mortality, statistical methods, and whether the investigations were conducted during endemic or epidemic periods of CDI. 4 A prior review of European studies found simi…","author":[{"dropping-particle":"","family":"Olsen","given":"Margaret A.","non-dropping-particle":"","parse-names":false,"suffix":""},{"dropping-particle":"","family":"Stwalley","given":"Dustin","non-dropping-particle":"","parse-names":false,"suffix":""},{"dropping-particle":"","family":"Demont","given":"Clarisse","non-dropping-particle":"","parse-names":false,"suffix":""},{"dropping-particle":"","family":"Dubberke","given":"Erik R.","non-dropping-particle":"","parse-names":false,"suffix":""}],"container-title":"Infection Control and Hospital Epidemiology","id":"ITEM-6","issue":"1","issued":{"date-parts":[["2019"]]},"page":"65-71","title":"&lt;i&gt;Clostridium difficile&lt;/i&gt; infection increases acute and chronic morbidity and mortality","type":"article-journal","volume":"40"},"uris":["http://www.mendeley.com/documents/?uuid=86b52b45-ceac-4cc3-a414-f1fd2ee223ac"]}],"mendeley":{"formattedCitation":"[14,17,23,34–36]","plainTextFormattedCitation":"[14,17,23,34–36]","previouslyFormattedCitation":"[14,17,23,34–36]"},"properties":{"noteIndex":0},"schema":"https://github.com/citation-style-language/schema/raw/master/csl-citation.json"}</w:instrText>
      </w:r>
      <w:r w:rsidR="000565D1">
        <w:fldChar w:fldCharType="separate"/>
      </w:r>
      <w:r w:rsidR="005E0B17" w:rsidRPr="005E0B17">
        <w:rPr>
          <w:noProof/>
        </w:rPr>
        <w:t>[14,17,23,34–36]</w:t>
      </w:r>
      <w:r w:rsidR="000565D1">
        <w:fldChar w:fldCharType="end"/>
      </w:r>
      <w:r w:rsidR="000565D1">
        <w:t xml:space="preserve">. </w:t>
      </w:r>
      <w:r w:rsidR="00611A63">
        <w:t xml:space="preserve">Interestingly, in </w:t>
      </w:r>
      <w:r w:rsidR="00A155F0">
        <w:t>a</w:t>
      </w:r>
      <w:r w:rsidR="00A155F0" w:rsidRPr="0080583D">
        <w:t xml:space="preserve"> </w:t>
      </w:r>
      <w:r w:rsidR="0080583D" w:rsidRPr="0080583D">
        <w:t xml:space="preserve">study of CDI in Scotland </w:t>
      </w:r>
      <w:r w:rsidR="0080583D">
        <w:fldChar w:fldCharType="begin" w:fldLock="1"/>
      </w:r>
      <w:r w:rsidR="007A3410">
        <w:instrText>ADDIN CSL_CITATION {"citationItems":[{"id":"ITEM-1","itemData":{"DOI":"10.1016/j.jhin.2018.07.023","ISSN":"1532-2939","PMID":"30055220","abstract":"BACKGROUND National surveillance of Clostridium difficile infection (CDI) in Scotland enables the monitoring of trends in incidence rates but not mortality. AIM To assess factors associated with mortality for all CDI cases aged ≥15 years in Scotland between 2010 and 2016. METHODS All CDI cases aged ≥15 years in Scotland between 2010 and 2016 were linked to hospital admission and mortality datasets. Logistic regression was used to assess factors associated with mortality (30-day all-cause). A case-control study of a hospitalized subset of cases and matched hospitalized controls assessed the impact of CDI on mortality and length of stay. FINDINGS Thirty-day all-cause mortality decreased over the seven-year period (from 20.5% to 15.6%; P &lt; 0.001), mainly among healthcare-associated CDI (HA-CDI). Increased age, higher Charlson score, HA-CDI, as well as liver, heart and malignancy comorbidities were associated with higher mortality. No association was observed between polymerase chain reaction ribotype and higher mortality, though 015 and 078 were associated with lower mortality. Adjusted odds ratio (OR) for 30-day mortality in hospitalized CDI cases compared to controls was 2.67 (95% confidence interval (CI): 2.42-2.94; P &lt; 0.001). Whereas mortality declined over time in cases and controls, the trend in ORs remained relatively stable. Having CDI increased additional mean length of stay beyond infection by 22.3% (95% CI: 18.0-26.8%; P &lt; 0.001). CONCLUSION CDI is associated with an almost three-fold increase in 30-day mortality and places an increased burden on hospital resources by increasing mean LOS beyond the infection date by 22.3%. The decreasing CDI mortality trends may be due to overall improvements in mortality among the general and hospital population of Scotland. Therefore, despite large declines in incidence rates, CDI remains a serious healthcare problem.","author":[{"dropping-particle":"","family":"Banks","given":"A","non-dropping-particle":"","parse-names":false,"suffix":""},{"dropping-particle":"","family":"Moore","given":"E K","non-dropping-particle":"","parse-names":false,"suffix":""},{"dropping-particle":"","family":"Bishop","given":"J","non-dropping-particle":"","parse-names":false,"suffix":""},{"dropping-particle":"","family":"Coia","given":"J E","non-dropping-particle":"","parse-names":false,"suffix":""},{"dropping-particle":"","family":"Brown","given":"D","non-dropping-particle":"","parse-names":false,"suffix":""},{"dropping-particle":"","family":"Mather","given":"H","non-dropping-particle":"","parse-names":false,"suffix":""},{"dropping-particle":"","family":"Wiuff","given":"C","non-dropping-particle":"","parse-names":false,"suffix":""}],"container-title":"The Journal of hospital infection","id":"ITEM-1","issue":"2","issued":{"date-parts":[["2018","10","1"]]},"page":"133-141","publisher":"Elsevier","title":"Trends in mortality following &lt;i&gt;Clostridium difficile&lt;/i&gt; infection in Scotland, 2010-2016: a retrospective cohort and case-control study.","type":"article-journal","volume":"100"},"uris":["http://www.mendeley.com/documents/?uuid=888066f2-77f9-36bb-b6bc-5cabe5d5bc63"]}],"mendeley":{"formattedCitation":"[17]","plainTextFormattedCitation":"[17]","previouslyFormattedCitation":"[17]"},"properties":{"noteIndex":0},"schema":"https://github.com/citation-style-language/schema/raw/master/csl-citation.json"}</w:instrText>
      </w:r>
      <w:r w:rsidR="0080583D">
        <w:fldChar w:fldCharType="separate"/>
      </w:r>
      <w:r w:rsidR="000A6F55" w:rsidRPr="000A6F55">
        <w:rPr>
          <w:noProof/>
        </w:rPr>
        <w:t>[17]</w:t>
      </w:r>
      <w:r w:rsidR="0080583D">
        <w:fldChar w:fldCharType="end"/>
      </w:r>
      <w:r w:rsidR="0080583D">
        <w:t>,</w:t>
      </w:r>
      <w:r w:rsidR="0080583D" w:rsidRPr="0080583D">
        <w:t xml:space="preserve"> the 30</w:t>
      </w:r>
      <w:r w:rsidR="0080583D">
        <w:t>-</w:t>
      </w:r>
      <w:r w:rsidR="0080583D" w:rsidRPr="0080583D">
        <w:t>day all</w:t>
      </w:r>
      <w:r w:rsidR="0080583D">
        <w:t>-</w:t>
      </w:r>
      <w:r w:rsidR="0080583D" w:rsidRPr="0080583D">
        <w:t xml:space="preserve">cause mortality rate of 17.5% was similar </w:t>
      </w:r>
      <w:r w:rsidR="00611A63">
        <w:t xml:space="preserve">to </w:t>
      </w:r>
      <w:r w:rsidR="00AE2C13">
        <w:t>the rate</w:t>
      </w:r>
      <w:r w:rsidR="00611A63">
        <w:t xml:space="preserve"> we observed</w:t>
      </w:r>
      <w:r w:rsidR="0080583D" w:rsidRPr="0080583D">
        <w:t xml:space="preserve"> in England</w:t>
      </w:r>
      <w:r w:rsidR="00AE2C13">
        <w:t xml:space="preserve"> (</w:t>
      </w:r>
      <w:r w:rsidR="00AE2C13" w:rsidRPr="0080583D">
        <w:t>16.3%</w:t>
      </w:r>
      <w:r w:rsidR="00AE2C13">
        <w:t>)</w:t>
      </w:r>
      <w:r w:rsidR="0080583D">
        <w:t>,</w:t>
      </w:r>
      <w:r w:rsidR="0080583D" w:rsidRPr="0080583D">
        <w:t xml:space="preserve"> despite the use of differing time periods and database methodology. </w:t>
      </w:r>
      <w:r w:rsidR="00CF0E2D">
        <w:t>Additionally</w:t>
      </w:r>
      <w:r w:rsidR="00E31D82">
        <w:t>,</w:t>
      </w:r>
      <w:r w:rsidR="00611A63">
        <w:t xml:space="preserve"> </w:t>
      </w:r>
      <w:r w:rsidR="00AE2C13">
        <w:t>mortality and complications</w:t>
      </w:r>
      <w:r w:rsidR="00611A63">
        <w:t xml:space="preserve"> were</w:t>
      </w:r>
      <w:r w:rsidR="00E31D82">
        <w:t xml:space="preserve"> increased </w:t>
      </w:r>
      <w:r w:rsidR="007C7B2C">
        <w:t xml:space="preserve">significantly </w:t>
      </w:r>
      <w:r w:rsidR="00E31D82">
        <w:t>in patients with recurrent CDI compared with non-recurrent CDI</w:t>
      </w:r>
      <w:r w:rsidR="00AE2C13">
        <w:t>,</w:t>
      </w:r>
      <w:r w:rsidR="000565D1">
        <w:t xml:space="preserve"> </w:t>
      </w:r>
      <w:r w:rsidR="00611A63">
        <w:t>findings which</w:t>
      </w:r>
      <w:r w:rsidR="00DD46A7">
        <w:t xml:space="preserve"> align with earlier research </w:t>
      </w:r>
      <w:r w:rsidR="000565D1">
        <w:t>in the USA</w:t>
      </w:r>
      <w:r w:rsidR="00CF0E2D">
        <w:t xml:space="preserve"> </w:t>
      </w:r>
      <w:r w:rsidR="00CF0E2D">
        <w:fldChar w:fldCharType="begin" w:fldLock="1"/>
      </w:r>
      <w:r w:rsidR="007A3410">
        <w:instrText>ADDIN CSL_CITATION {"citationItems":[{"id":"ITEM-1","itemData":{"DOI":"10.1017/ice.2016.232","ISSN":"1559-6834 (Electronic)","PMID":"27760583","abstract":"BACKGROUND Considerable efforts have been dedicated to developing strategies to prevent and treat recurrent Clostridium difficile infection (rCDI); however, evidence of the impact of rCDI on patient healthcare utilization and outcomes is limited. OBJECTIVE To compare healthcare utilization and 1-year mortality among adults who had rCDI, nonrecurrent CDI, or no CDI. METHODS We performed a nested case-control study among adult Kaiser Foundation Health Plan members from September 1, 2001, through December 31, 2013. We identified CDI through the presence of a positive laboratory test result and divided patients into 3 groups: patients with rCDI, defined as CDI in the 14-57 days after initial CDI; patients with nonrecurrent CDI; and patients who never had CDI. We conducted 3 matched comparisons: (1) rCDI vs no CDI; (2) rCDI vs nonrecurrent CDI; (3) nonrecurrent CDI vs no CDI. We followed patients for 1 year and compared healthcare utilization between groups, after matching patients on age, sex, and comorbidity. RESULTS We found that patients with rCDI consistently have substantially higher levels of healthcare utilization in various settings and greater 1-year mortality risk than both patients who had nonrecurrent CDI and patients who never had CDI. CONCLUSIONS Patients who develop an initial CDI are generally characterized by excess underlying, severe illness and utilization. However, patients with rCDI experience even greater adverse consequences of their disease than patients who do not experience rCDI. Our results further support the need for continued emphasis on identifying and using novel approaches to prevent and treat rCDI. Infect Control Hosp Epidemiol. 2016;1-8.","author":[{"dropping-particle":"","family":"Kuntz","given":"Jennifer L","non-dropping-particle":"","parse-names":false,"suffix":""},{"dropping-particle":"","family":"Baker","given":"Jennifer M","non-dropping-particle":"","parse-names":false,"suffix":""},{"dropping-particle":"","family":"Kipnis","given":"Patricia","non-dropping-particle":"","parse-names":false,"suffix":""},{"dropping-particle":"","family":"Li","given":"Sherian Xu","non-dropping-particle":"","parse-names":false,"suffix":""},{"dropping-particle":"","family":"Liu","given":"Vincent","non-dropping-particle":"","parse-names":false,"suffix":""},{"dropping-particle":"","family":"Xie","given":"Yang","non-dropping-particle":"","parse-names":false,"suffix":""},{"dropping-particle":"","family":"Marcella","given":"Stephen","non-dropping-particle":"","parse-names":false,"suffix":""},{"dropping-particle":"","family":"Escobar","given":"Gabriel J","non-dropping-particle":"","parse-names":false,"suffix":""}],"container-title":"Infection control and hospital epidemiology","id":"ITEM-1","issue":"1","issued":{"date-parts":[["2017","1"]]},"language":"eng","note":"NULL","page":"45-52","publisher-place":"United States","title":"Utilization of health services among adults with recurrent &lt;i&gt;Clostridium difficile&lt;/i&gt; infection: a 12-year population-based study","type":"article-journal","volume":"38"},"uris":["http://www.mendeley.com/documents/?uuid=260c68e6-4aa1-4e42-8daf-fa18a8e28d1c"]},{"id":"ITEM-2","itemData":{"DOI":"10.1016/j.cmi.2014.08.017","ISBN":"1198-743x","ISSN":"1469-0691","PMID":"25658560","abstract":"Clostridium difficile infections (CDI) are associated with decreased survival, and up to 30{%} of CDI patients may experience a recurrence. Data on the impact of recurrent CDI on mortality are scarce. The purpose of this study was to determine whether recurrent CDI was independently associated with decreased 6-month survival compared with patients with CDI who did not develop a recurrence. We performed a retrospective cohort study at an academic, urban, tertiary care hospital. Data were collected from the electronic medical record and chart review. CDI patients were followed for 180 days from the end of their index hospital discharge or end of index CDI antibiotic treatment, whichever was later, to determine mortality. Kaplan-Meier analysis was used to compare patient mortality by recurrent CDI status. Cox proportional hazards models were used to determine independent risk factors for death within 180 days. In all, 3958 patients aged ≥ 18 years who developed an initial CDI episode from 2003 to 2009, including 421 patients with recurrent CDI, were included in the study. Thirty-six per cent of persons with recurrent CDI died within 180 days, compared with 26{%} of persons without CDI recurrence (log-rank p {&lt;}0.001). Recurrent CDI was associated with significantly higher hazards of death within 180 days, adjusting for demographics, comorbidities and medications received during the index CDI hospitalization (hazard ratio 1.33; 95{%} CI 1.12-1.58). Recurrent CDI is associated with significantly increased risk of death within 6 months after completion of their initial CDI treatment compared with CDI patients who do not develop a recurrence.","author":[{"dropping-particle":"","family":"Olsen","given":"M A","non-dropping-particle":"","parse-names":false,"suffix":""},{"dropping-particle":"","family":"Yan","given":"Y","non-dropping-particle":"","parse-names":false,"suffix":""},{"dropping-particle":"","family":"Reske","given":"K A","non-dropping-particle":"","parse-names":false,"suffix":""},{"dropping-particle":"","family":"Zilberberg","given":"M D","non-dropping-particle":"","parse-names":false,"suffix":""},{"dropping-particle":"","family":"Dubberke","given":"E R","non-dropping-particle":"","parse-names":false,"suffix":""}],"container-title":"Clinical microbiology and infection : the official publication of the European Society of Clinical Microbiology and Infectious Diseases","id":"ITEM-2","issue":"2","issued":{"date-parts":[["2015"]]},"page":"164-170","title":"Recurrent &lt;i&gt;Clostridium difficile&lt;/i&gt; infection is associated with increased mortality.","type":"article-journal","volume":"21"},"uris":["http://www.mendeley.com/documents/?uuid=8e4aa935-6cbc-48ae-a5ca-e65df781d71e"]}],"mendeley":{"formattedCitation":"[19,21]","plainTextFormattedCitation":"[19,21]","previouslyFormattedCitation":"[19,21]"},"properties":{"noteIndex":0},"schema":"https://github.com/citation-style-language/schema/raw/master/csl-citation.json"}</w:instrText>
      </w:r>
      <w:r w:rsidR="00CF0E2D">
        <w:fldChar w:fldCharType="separate"/>
      </w:r>
      <w:r w:rsidR="000A6F55" w:rsidRPr="000A6F55">
        <w:rPr>
          <w:noProof/>
        </w:rPr>
        <w:t>[19,21]</w:t>
      </w:r>
      <w:r w:rsidR="00CF0E2D">
        <w:fldChar w:fldCharType="end"/>
      </w:r>
      <w:r w:rsidR="00CF0E2D">
        <w:t>.</w:t>
      </w:r>
      <w:r w:rsidR="00611A63">
        <w:t xml:space="preserve"> It is</w:t>
      </w:r>
      <w:r w:rsidR="00AE2C13">
        <w:t>,</w:t>
      </w:r>
      <w:r w:rsidR="00611A63">
        <w:t xml:space="preserve"> however</w:t>
      </w:r>
      <w:r w:rsidR="00AE2C13">
        <w:t>,</w:t>
      </w:r>
      <w:r w:rsidR="00611A63">
        <w:t xml:space="preserve"> important to note that </w:t>
      </w:r>
      <w:r w:rsidR="00DD2114">
        <w:t xml:space="preserve">our study population </w:t>
      </w:r>
      <w:r w:rsidR="00B36686">
        <w:t>was</w:t>
      </w:r>
      <w:r w:rsidR="00D35BC4">
        <w:t xml:space="preserve"> </w:t>
      </w:r>
      <w:r w:rsidR="00611A63">
        <w:t>o</w:t>
      </w:r>
      <w:r w:rsidR="00D35BC4">
        <w:t xml:space="preserve">lder and </w:t>
      </w:r>
      <w:r w:rsidR="00B36686">
        <w:t xml:space="preserve">had </w:t>
      </w:r>
      <w:r w:rsidR="00D35BC4">
        <w:t xml:space="preserve">more comorbidities than some populations studied in North America </w:t>
      </w:r>
      <w:r w:rsidR="00D35BC4">
        <w:fldChar w:fldCharType="begin" w:fldLock="1"/>
      </w:r>
      <w:r w:rsidR="005E0B17">
        <w:instrText>ADDIN CSL_CITATION {"citationItems":[{"id":"ITEM-1","itemData":{"DOI":"10.1017/ice.2016.232","ISSN":"1559-6834 (Electronic)","PMID":"27760583","abstract":"BACKGROUND Considerable efforts have been dedicated to developing strategies to prevent and treat recurrent Clostridium difficile infection (rCDI); however, evidence of the impact of rCDI on patient healthcare utilization and outcomes is limited. OBJECTIVE To compare healthcare utilization and 1-year mortality among adults who had rCDI, nonrecurrent CDI, or no CDI. METHODS We performed a nested case-control study among adult Kaiser Foundation Health Plan members from September 1, 2001, through December 31, 2013. We identified CDI through the presence of a positive laboratory test result and divided patients into 3 groups: patients with rCDI, defined as CDI in the 14-57 days after initial CDI; patients with nonrecurrent CDI; and patients who never had CDI. We conducted 3 matched comparisons: (1) rCDI vs no CDI; (2) rCDI vs nonrecurrent CDI; (3) nonrecurrent CDI vs no CDI. We followed patients for 1 year and compared healthcare utilization between groups, after matching patients on age, sex, and comorbidity. RESULTS We found that patients with rCDI consistently have substantially higher levels of healthcare utilization in various settings and greater 1-year mortality risk than both patients who had nonrecurrent CDI and patients who never had CDI. CONCLUSIONS Patients who develop an initial CDI are generally characterized by excess underlying, severe illness and utilization. However, patients with rCDI experience even greater adverse consequences of their disease than patients who do not experience rCDI. Our results further support the need for continued emphasis on identifying and using novel approaches to prevent and treat rCDI. Infect Control Hosp Epidemiol. 2016;1-8.","author":[{"dropping-particle":"","family":"Kuntz","given":"Jennifer L","non-dropping-particle":"","parse-names":false,"suffix":""},{"dropping-particle":"","family":"Baker","given":"Jennifer M","non-dropping-particle":"","parse-names":false,"suffix":""},{"dropping-particle":"","family":"Kipnis","given":"Patricia","non-dropping-particle":"","parse-names":false,"suffix":""},{"dropping-particle":"","family":"Li","given":"Sherian Xu","non-dropping-particle":"","parse-names":false,"suffix":""},{"dropping-particle":"","family":"Liu","given":"Vincent","non-dropping-particle":"","parse-names":false,"suffix":""},{"dropping-particle":"","family":"Xie","given":"Yang","non-dropping-particle":"","parse-names":false,"suffix":""},{"dropping-particle":"","family":"Marcella","given":"Stephen","non-dropping-particle":"","parse-names":false,"suffix":""},{"dropping-particle":"","family":"Escobar","given":"Gabriel J","non-dropping-particle":"","parse-names":false,"suffix":""}],"container-title":"Infection control and hospital epidemiology","id":"ITEM-1","issue":"1","issued":{"date-parts":[["2017","1"]]},"language":"eng","note":"NULL","page":"45-52","publisher-place":"United States","title":"Utilization of health services among adults with recurrent &lt;i&gt;Clostridium difficile&lt;/i&gt; infection: a 12-year population-based study","type":"article-journal","volume":"38"},"uris":["http://www.mendeley.com/documents/?uuid=260c68e6-4aa1-4e42-8daf-fa18a8e28d1c"]},{"id":"ITEM-2","itemData":{"DOI":"10.1016/j.jhin.2016.04.004","ISSN":"1532-2939 (Electronic)","PMID":"27209056","abstract":"BACKGROUND: Few studies have investigated the additional healthcare costs of recurrent C. difficile infection (CDI). AIM: To quantify inpatient treatment costs for CDI and length of stay among hospitalized patients with primary CDI only, compared with CDI patients who experienced recurrent CDI. METHODS: This was a prospective, observational cohort study of hospitalized adult patients with primary CDI followed for three months to assess for recurrent CDI episodes. Total and CDI-attributable hospital length of stay (LOS) and hospitalization costs were compared among patients who did or did not experience at least one recurrent CDI episode. FINDINGS: In all, 540 hospitalized patients aged 62+/-17 years (42% males) with primary CDI were enrolled, of whom 95 patients (18%) experienced 101 recurrent CDI episodes. CDI-attributable median (interquartile range) LOS and costs (in US$) increased from 7 (4-13) days and $13,168 (7,525-24,456) for patients with primary CDI only versus 15 (8-25) days and $28,218 (15,050-47,030) for patients with recurrent CDI (P&lt;0.0001, each). Total hospital median LOS and costs increased from 11 (6-22) days and $20,693 (11,287-41,386) for patients with primary CDI only versus 24 (11-48) days and $45,148 (20,693-82,772) for patients with recurrent CDI (P&lt;0.0001, each). The median cost of pharmacological treatment while hospitalized was $60 (23-200) for patients with primary CDI only (N=445) and $140 (30-260) for patients with recurrent CDI (P=0.0013). CONCLUSION: This study demonstrated that patients with CDI experience a significant healthcare economic burden attributed to CDI. Economic costs and healthcare burden increased significantly for patients with recurrent CDI.","author":[{"dropping-particle":"","family":"Shah","given":"D N","non-dropping-particle":"","parse-names":false,"suffix":""},{"dropping-particle":"","family":"Aitken","given":"S L","non-dropping-particle":"","parse-names":false,"suffix":""},{"dropping-particle":"","family":"Barragan","given":"L F","non-dropping-particle":"","parse-names":false,"suffix":""},{"dropping-particle":"","family":"Bozorgui","given":"S","non-dropping-particle":"","parse-names":false,"suffix":""},{"dropping-particle":"","family":"Goddu","given":"S","non-dropping-particle":"","parse-names":false,"suffix":""},{"dropping-particle":"","family":"Navarro","given":"M E","non-dropping-particle":"","parse-names":false,"suffix":""},{"dropping-particle":"","family":"Xie","given":"Y","non-dropping-particle":"","parse-names":false,"suffix":""},{"dropping-particle":"","family":"DuPont","given":"H L","non-dropping-particle":"","parse-names":false,"suffix":""},{"dropping-particle":"","family":"Garey","given":"K W","non-dropping-particle":"","parse-names":false,"suffix":""}],"container-title":"The Journal of Hospital Infection","id":"ITEM-2","issue":"3","issued":{"date-parts":[["2016","7"]]},"language":"eng","page":"286-289","publisher-place":"England","title":"Economic burden of primary compared with recurrent &lt;i&gt;Clostridium difficile&lt;/i&gt; infection in hospitalized patients: a prospective cohort study.","type":"article-journal","volume":"93"},"uris":["http://www.mendeley.com/documents/?uuid=8e6f2c88-3176-49b3-abde-049cdecf1a7e"]},{"id":"ITEM-3","itemData":{"DOI":"10.1503/cmaj.110543","ISSN":"1488-2329 (Electronic)","PMID":"22143235","abstract":"BACKGROUND: The effect of hospital-acquired infection with Clostridium difficile on length of stay in hospital is not yet fully understood. We determined the independent impact of hospital-acquired infection with C. difficile on length of stay in hospital. METHODS: We conducted a retrospective observational cohort study of admissions to hospital between July 1, 2002, and Mar. 31, 2009, at a single academic hospital. We measured the association between infection with hospital-acquired C. difficile and time to discharge from hospital using Kaplan-Meier methods and a Cox multivariable proportional hazards regression model. We controlled for baseline risk of death and accounted for C. difficile as a time-varying effect. RESULTS: Hospital-acquired infection with C. difficile was identified in 1393 of 136,877 admissions to hospital (overall risk 1.02%, 95% confidence interval [CI] 0.97%-1.06%). The crude median length of stay in hospital was greater for patients with hospital-acquired C. difficile (34 d) than for those without C. difficile (8 d). Survival analysis showed that hospital-acquired infection with C. difficile increased the median length of stay in hospital by six days. In adjusted analyses, hospital-acquired C. difficile was significantly associated with time to discharge, modified by baseline risk of death and time to acquisition of C. difficile. The hazard ratio for discharge by day 7 among patients with hospital-acquired C. difficile was 0.55 (95% CI 0.39-0.70) for patients in the lowest decile of baseline risk of death and 0.45 (95% CI 0.32-0.58) for those in the highest decile; for discharge by day 28, the corresponding hazard ratios were 0.74 (95% CI 0.60-0.87) and 0.61 (95% CI 0.53-0.68). INTERPRETATION: Hospital-acquired infection with C. difficile significantly prolonged length of stay in hospital independent of baseline risk of death.","author":[{"dropping-particle":"","family":"Forster","given":"Alan J","non-dropping-particle":"","parse-names":false,"suffix":""},{"dropping-particle":"","family":"Taljaard","given":"Monica","non-dropping-particle":"","parse-names":false,"suffix":""},{"dropping-particle":"","family":"Oake","given":"Natalie","non-dropping-particle":"","parse-names":false,"suffix":""},{"dropping-particle":"","family":"Wilson","given":"Kumanan","non-dropping-particle":"","parse-names":false,"suffix":""},{"dropping-particle":"","family":"Roth","given":"Virginia","non-dropping-particle":"","parse-names":false,"suffix":""},{"dropping-particle":"","family":"Walraven","given":"Carl","non-dropping-particle":"van","parse-names":false,"suffix":""}],"container-title":"CMAJ : Canadian Medical Association journal = journal de l'Association medicale canadienne","id":"ITEM-3","issue":"1","issued":{"date-parts":[["2012","1"]]},"language":"eng","page":"37-42","publisher-place":"Canada","title":"The effect of hospital-acquired infection with &lt;i&gt;Clostridium difficile&lt;/i&gt; on length of stay in hospital.","type":"article-journal","volume":"184"},"uris":["http://www.mendeley.com/documents/?uuid=0b38ed74-ca9e-44b3-a558-db47b66ef1af"]}],"mendeley":{"formattedCitation":"[19,20,35]","plainTextFormattedCitation":"[19,20,35]","previouslyFormattedCitation":"[19,20,35]"},"properties":{"noteIndex":0},"schema":"https://github.com/citation-style-language/schema/raw/master/csl-citation.json"}</w:instrText>
      </w:r>
      <w:r w:rsidR="00D35BC4">
        <w:fldChar w:fldCharType="separate"/>
      </w:r>
      <w:r w:rsidR="005E0B17" w:rsidRPr="005E0B17">
        <w:rPr>
          <w:noProof/>
        </w:rPr>
        <w:t>[19,20,35]</w:t>
      </w:r>
      <w:r w:rsidR="00D35BC4">
        <w:fldChar w:fldCharType="end"/>
      </w:r>
      <w:r w:rsidR="00D35BC4">
        <w:t xml:space="preserve"> and Europe </w:t>
      </w:r>
      <w:r w:rsidR="00D35BC4">
        <w:fldChar w:fldCharType="begin" w:fldLock="1"/>
      </w:r>
      <w:r w:rsidR="005E0B17">
        <w:instrText>ADDIN CSL_CITATION {"citationItems":[{"id":"ITEM-1","itemData":{"DOI":"10.1093/cid/cis1209","ISBN":"1537-6591 (Electronic)\\r1058-4838 (Linking)","ISSN":"10584838","PMID":"23300235","abstract":"BACKGROUND: Mortality among patients with Clostridium difficile infection (CDI) is high. Because of high age and multiple underlying diseases, CDI-related mortality is difficult to estimate. We estimated CDI-related mortality in an endemic situation, not influenced by outbreaks and consequently certain patients and C. difficile strains. METHODS: Between 2006 and 2009, 13 Dutch hospitals included all hospitalized CDI patients. Nine hospitals individually matched each CDI patient to 2 control patients, based on ward and time of CDI hospitalization. Survival status was obtained via the Dutch Civil Registration System. Kaplan-Meier and Cox regression were used for survival analysis. RESULTS: We identified 1366 patients with CDI (1.33 per 1000 admissions). All-cause mortality risk was 13% after 30 days and 37% after 1 year. The highest mortality was seen among elderly patients and patients with polymerase chain reaction ribotype 027. Three hundred seventeen CDI patients were matched to 317 patients without diarrhea and 232 patients with diarrhea, with a 30-day mortality risk of 5.4% and 8.6%, respectively. CDI patients had a 2.5-fold increased 30-day mortality rate compared to controls without diarrhea (hazard ratio 2.5 [95% confidence interval, 1.4-4.3]) when adjusted for age, sex, and underlying diseases. CDI-related death occurred mainly within 30 days after diagnosis. CONCLUSIONS: Mortality among CDI patients is high, even in an endemic situation. Our results show that CDI is associated with to a 2.5-fold increase in 30-day mortality. This highlights the considerable disease burden and clinical impact of CDI, even in absence of an outbreak.","author":[{"dropping-particle":"","family":"Hensgens","given":"Marjolein P M","non-dropping-particle":"","parse-names":false,"suffix":""},{"dropping-particle":"","family":"Goorhuis","given":"Abraham","non-dropping-particle":"","parse-names":false,"suffix":""},{"dropping-particle":"","family":"Dekkers","given":"Olaf M.","non-dropping-particle":"","parse-names":false,"suffix":""},{"dropping-particle":"","family":"Benthem","given":"Birgit H B","non-dropping-particle":"Van","parse-names":false,"suffix":""},{"dropping-particle":"","family":"Kuijper","given":"Ed J.","non-dropping-particle":"","parse-names":false,"suffix":""}],"container-title":"Clinical Infectious Diseases","id":"ITEM-1","issue":"8","issued":{"date-parts":[["2013","4"]]},"language":"eng","page":"1108-1116","publisher-place":"United States","title":"All-cause and disease-specific mortality in hospitalized patients with &lt;i&gt;Clostridium difficile&lt;/i&gt; infection: a multicenter cohort study","type":"article-journal","volume":"56"},"uris":["http://www.mendeley.com/documents/?uuid=7a118c06-9c81-4143-b49d-f621a5ba97b1"]}],"mendeley":{"formattedCitation":"[31]","plainTextFormattedCitation":"[31]","previouslyFormattedCitation":"[31]"},"properties":{"noteIndex":0},"schema":"https://github.com/citation-style-language/schema/raw/master/csl-citation.json"}</w:instrText>
      </w:r>
      <w:r w:rsidR="00D35BC4">
        <w:fldChar w:fldCharType="separate"/>
      </w:r>
      <w:r w:rsidR="005E0B17" w:rsidRPr="005E0B17">
        <w:rPr>
          <w:noProof/>
        </w:rPr>
        <w:t>[31]</w:t>
      </w:r>
      <w:r w:rsidR="00D35BC4">
        <w:fldChar w:fldCharType="end"/>
      </w:r>
      <w:r w:rsidR="00CF0E2D">
        <w:t>.</w:t>
      </w:r>
      <w:r w:rsidR="00D35BC4">
        <w:t xml:space="preserve"> </w:t>
      </w:r>
      <w:r w:rsidR="00D35BC4" w:rsidRPr="001354D8">
        <w:t>Th</w:t>
      </w:r>
      <w:r w:rsidR="00D35BC4">
        <w:t>is age difference</w:t>
      </w:r>
      <w:r w:rsidR="00D35BC4" w:rsidRPr="001354D8">
        <w:t xml:space="preserve"> is similar to </w:t>
      </w:r>
      <w:r w:rsidR="00D35BC4">
        <w:t xml:space="preserve">findings from </w:t>
      </w:r>
      <w:r w:rsidR="00D35BC4" w:rsidRPr="001354D8">
        <w:t>studies of fidaxomicin</w:t>
      </w:r>
      <w:r w:rsidR="00D35BC4">
        <w:t xml:space="preserve"> for the treatment of CDI, in which</w:t>
      </w:r>
      <w:r w:rsidR="00D35BC4" w:rsidRPr="001354D8">
        <w:t xml:space="preserve"> the median age in the UK was 70–81 years</w:t>
      </w:r>
      <w:r w:rsidR="00D35BC4">
        <w:t xml:space="preserve"> </w:t>
      </w:r>
      <w:r w:rsidR="00D35BC4">
        <w:fldChar w:fldCharType="begin" w:fldLock="1"/>
      </w:r>
      <w:r w:rsidR="007A3410">
        <w:instrText>ADDIN CSL_CITATION {"citationItems":[{"id":"ITEM-1","itemData":{"DOI":"10.1007/s10096-015-2538-z","ISSN":"1435-4373 (Electronic)","PMID":"26661400","abstract":"Clostridium difficile infection (CDI) is associated with high mortality. Reducing incidence is a priority for patients, clinicians, the National Health Service (NHS) and Public Health England alike. In June 2012, fidaxomicin (FDX) was launched for the treatment of adults with CDI. The objective of this evaluation was to collect robust real-world data to understand the effectiveness of FDX in routine practice. In seven hospitals introducing FDX between July 2012 and July 2013, data were collected retrospectively from medical records on CDI episodes occurring 12 months before/after the introduction of FDX. All hospitalised patients aged &gt;/=18 years with primary CDI (diarrhoea with presence of toxin A/B without a previous CDI in the previous 3 months) were included. Recurrence was defined as in-patient diarrhoea re-emergence requiring treatment any time within 3 months after the first episode. Each hospital had a different protocol for the use of FDX. In hospitals A and B, where FDX was used first line for all primary and recurrent episodes, the recurrence rate reduced from 10.6 % to 3.1 % and from 16.3 % to 3.1 %, with a significant difference in 28-day mortality from 18.2 % to 3.1 % (p &lt; 0.05) and 17.3 % to 6.3 % (p &lt; 0.05) for hospitals A and B, respectively. In hospitals using FDX in selected patients only, the changes in recurrence rates and mortality were less marked. The pattern of adoption of FDX appears to affect its impact on CDI outcome, with maximum reduction in recurrence and all-cause mortality where it is used as first-line treatment.","author":[{"dropping-particle":"","family":"Goldenberg","given":"S D","non-dropping-particle":"","parse-names":false,"suffix":""},{"dropping-particle":"","family":"Brown","given":"S","non-dropping-particle":"","parse-names":false,"suffix":""},{"dropping-particle":"","family":"Edwards","given":"L","non-dropping-particle":"","parse-names":false,"suffix":""},{"dropping-particle":"","family":"Gnanarajah","given":"D","non-dropping-particle":"","parse-names":false,"suffix":""},{"dropping-particle":"","family":"Howard","given":"P","non-dropping-particle":"","parse-names":false,"suffix":""},{"dropping-particle":"","family":"Jenkins","given":"D","non-dropping-particle":"","parse-names":false,"suffix":""},{"dropping-particle":"","family":"Nayar","given":"D","non-dropping-particle":"","parse-names":false,"suffix":""},{"dropping-particle":"","family":"Pasztor","given":"M","non-dropping-particle":"","parse-names":false,"suffix":""},{"dropping-particle":"","family":"Oliver","given":"S","non-dropping-particle":"","parse-names":false,"suffix":""},{"dropping-particle":"","family":"Planche","given":"T","non-dropping-particle":"","parse-names":false,"suffix":""},{"dropping-particle":"","family":"Sandoe","given":"J A T","non-dropping-particle":"","parse-names":false,"suffix":""},{"dropping-particle":"","family":"Wade","given":"P","non-dropping-particle":"","parse-names":false,"suffix":""},{"dropping-particle":"","family":"Whitney","given":"L","non-dropping-particle":"","parse-names":false,"suffix":""}],"container-title":"European journal of clinical microbiology &amp; infectious diseases : official publication of the European Society of Clinical Microbiology","id":"ITEM-1","issue":"2","issued":{"date-parts":[["2016","2"]]},"language":"eng","page":"251-259","publisher-place":"Germany","title":"The impact of the introduction of fidaxomicin on the management of &lt;i&gt;Clostridium difficile&lt;/i&gt; infection in seven NHS secondary care hospitals in England: a series of local service evaluations.","type":"article-journal","volume":"35"},"uris":["http://www.mendeley.com/documents/?uuid=6454e209-984d-4d58-af74-5892fd8d3f95"]}],"mendeley":{"formattedCitation":"[37]","plainTextFormattedCitation":"[37]","previouslyFormattedCitation":"[37]"},"properties":{"noteIndex":0},"schema":"https://github.com/citation-style-language/schema/raw/master/csl-citation.json"}</w:instrText>
      </w:r>
      <w:r w:rsidR="00D35BC4">
        <w:fldChar w:fldCharType="separate"/>
      </w:r>
      <w:r w:rsidR="000A6F55" w:rsidRPr="000A6F55">
        <w:rPr>
          <w:noProof/>
        </w:rPr>
        <w:t>[37]</w:t>
      </w:r>
      <w:r w:rsidR="00D35BC4">
        <w:fldChar w:fldCharType="end"/>
      </w:r>
      <w:r w:rsidR="00D35BC4" w:rsidRPr="001354D8">
        <w:t xml:space="preserve"> whilst in </w:t>
      </w:r>
      <w:r w:rsidR="00525C0C">
        <w:t>North America</w:t>
      </w:r>
      <w:r w:rsidR="00D35BC4" w:rsidRPr="001354D8">
        <w:t xml:space="preserve"> and Europe, the mean age was 61–6</w:t>
      </w:r>
      <w:r w:rsidR="00D35BC4">
        <w:t>3</w:t>
      </w:r>
      <w:r w:rsidR="00D35BC4" w:rsidRPr="001354D8">
        <w:t xml:space="preserve"> years</w:t>
      </w:r>
      <w:r w:rsidR="00D35BC4">
        <w:t xml:space="preserve"> </w:t>
      </w:r>
      <w:r w:rsidR="00D35BC4">
        <w:fldChar w:fldCharType="begin" w:fldLock="1"/>
      </w:r>
      <w:r w:rsidR="007A3410">
        <w:instrText>ADDIN CSL_CITATION {"citationItems":[{"id":"ITEM-1","itemData":{"DOI":"10.1056/NEJMoa0910812","ISSN":"1533-4406 (Electronic)","PMID":"21288078","abstract":"BACKGROUND: Clostridium difficile infection is a serious diarrheal illness associated with substantial morbidity and mortality. Patients generally have a response to oral vancomycin or metronidazole; however, the rate of recurrence is high. This phase 3 clinical trial compared the efficacy and safety of fidaxomicin with those of vancomycin in treating C. difficile infection. METHODS: Adults with acute symptoms of C. difficile infection and a positive result on a stool toxin test were eligible for study entry. We randomly assigned patients to receive fidaxomicin (200 mg twice daily) or vancomycin (125 mg four times daily) orally for 10 days. The primary end point was clinical cure (resolution of symptoms and no need for further therapy for C. difficile infection as of the second day after the end of the course of therapy). The secondary end points were recurrence of C. difficile infection (diarrhea and a positive result on a stool toxin test within 4 weeks after treatment) and global cure (i.e., cure with no recurrence). RESULTS: A total of 629 patients were enrolled, of whom 548 (87.1%) could be evaluated for the per-protocol analysis. The rates of clinical cure with fidaxomicin were noninferior to those with vancomycin in both the modified intention-to-treat analysis (88.2% with fidaxomicin and 85.8% with vancomycin) and the per-protocol analysis (92.1% and 89.8%, respectively). Significantly fewer patients in the fidaxomicin group than in the vancomycin group had a recurrence of the infection, in both the modified intention-to-treat analysis (15.4% vs. 25.3%, P=0.005) and the per-protocol analysis (13.3% vs. 24.0%, P=0.004). The lower rate of recurrence was seen in patients with non-North American Pulsed Field type 1 strains. The adverse-event profile was similar for the two therapies. CONCLUSIONS: The rates of clinical cure after treatment with fidaxomicin were noninferior to those after treatment with vancomycin. Fidaxomicin was associated with a significantly lower rate of recurrence of C. difficile infection associated with non-North American Pulsed Field type 1 strains. (Funded by Optimer Pharmaceuticals; ClinicalTrials.gov number, NCT00314951.)","author":[{"dropping-particle":"","family":"Louie","given":"Thomas J","non-dropping-particle":"","parse-names":false,"suffix":""},{"dropping-particle":"","family":"Miller","given":"Mark A","non-dropping-particle":"","parse-names":false,"suffix":""},{"dropping-particle":"","family":"Mullane","given":"Kathleen M","non-dropping-particle":"","parse-names":false,"suffix":""},{"dropping-particle":"","family":"Weiss","given":"Karl","non-dropping-particle":"","parse-names":false,"suffix":""},{"dropping-particle":"","family":"Lentnek","given":"Arnold","non-dropping-particle":"","parse-names":false,"suffix":""},{"dropping-particle":"","family":"Golan","given":"Yoav","non-dropping-particle":"","parse-names":false,"suffix":""},{"dropping-particle":"","family":"Gorbach","given":"Sherwood","non-dropping-particle":"","parse-names":false,"suffix":""},{"dropping-particle":"","family":"Sears","given":"Pamela","non-dropping-particle":"","parse-names":false,"suffix":""},{"dropping-particle":"","family":"Shue","given":"Youe-Kong","non-dropping-particle":"","parse-names":false,"suffix":""}],"container-title":"The New England journal of medicine","id":"ITEM-1","issue":"5","issued":{"date-parts":[["2011","2"]]},"language":"eng","note":"From Duplicate 3 (Fidaxomicin versus vancomycin for Clostridium difficile infection - Louie, Thomas J; Miller, Mark A; Mullane, Kathleen; Weiss, Karl; Lentnek, Arnold; Golan, Yoav; Gorbach, Sherwood; Sears, Pamela; Shue, Youe-Kong)\n\nNULL","page":"422-431","publisher-place":"United States","title":"Fidaxomicin versus vancomycin for &lt;i&gt;Clostridium difficile&lt;/i&gt; infection.","type":"article-journal","volume":"364"},"uris":["http://www.mendeley.com/documents/?uuid=97f9b7a8-9928-4837-929e-27c9c0500af9"]},{"id":"ITEM-2","itemData":{"DOI":"10.1016/S1473-3099(11)70374-7","ISSN":"1474-4457 (Electronic)","PMID":"22321770","abstract":"BACKGROUND: Infection with Clostridium difficile is the primary infective cause of antibiotic-associated diarrhoea. We aimed to compare efficacy and safety of fidaxomicin and vancomycin to treat patients with C difficile infection in Europe, Canada, and the USA. METHODS: In this multicentre, double-blind, randomised, non-inferiority trial, we enrolled patients from 45 sites in Europe and 41 sites in the USA and Canada between April 19, 2007, and Dec 11, 2009. Eligible patients were aged 16 years or older with acute, toxin-positive C difficile infection. Patients were randomly allocated (1:1) to receive oral fidaxomicin (200 mg every 12 h) or oral vancomycin (125 mg every 6 h) for 10 days. The primary endpoint was clinical cure, defined as resolution of diarrhoea and no further need for treatment. An interactive voice-response system and computer-generated randomisation schedule gave a randomisation number and medication kit number for each patient. Participants and investigators were masked to treatment allocation. Non-inferiority was prespecified with a margin of 10%. Modified intention-to-treat and per-protocol populations were analysed. This study is registered with ClinicalTrials.gov, number NCT00468728. FINDINGS: Of 535 patients enrolled, 270 were assigned fidaxomicin and 265 vancomycin. After 26 patients were excluded, 509 were included in the modified intention-to-treat (mITT) population. 198 (91.7%) of 216 patients in the per-protocol population given fidaxomicin achieved clinical cure, compared with 213 (90.6%) of 235 given vancomycin, meeting the criterion for non-inferiority (one-sided 97.5% CI -4.3%). Non-inferiority was also shown for clinical cure in the mITT population, with 221 (87.7%) of 252 patients given fidaxomicin and 223 (86.8%) of 257 given vancomycin cured (one-sided 97.5% CI -4.9%). In most subgroup analyses of the primary endpoint in the mITT population, outcomes in the two treatment groups did not differ significantly; although patients receiving concomitant antibiotics for other infections had a higher cure rate with fidaxomicin (46 [90.2%] of 51) than with vancomycin (33 [73.3%] of 45; p=0.031). Occurrence of treatment-emergent adverse events did not differ between groups. 20 (7.6%) of 264 patients given at least one dose of fidaxomicin and 17 (6.5%) of 260 given vancomycin died. INTERPRETATION: Fidaxomicin could be an alternative treatment for infection with C difficile, with similar efficacy and safety to vancomycin. FUNDI…","author":[{"dropping-particle":"","family":"Cornely","given":"Oliver A","non-dropping-particle":"","parse-names":false,"suffix":""},{"dropping-particle":"","family":"Crook","given":"Derrick W","non-dropping-particle":"","parse-names":false,"suffix":""},{"dropping-particle":"","family":"Esposito","given":"Roberto","non-dropping-particle":"","parse-names":false,"suffix":""},{"dropping-particle":"","family":"Poirier","given":"Andre","non-dropping-particle":"","parse-names":false,"suffix":""},{"dropping-particle":"","family":"Somero","given":"Michael S","non-dropping-particle":"","parse-names":false,"suffix":""},{"dropping-particle":"","family":"Weiss","given":"Karl","non-dropping-particle":"","parse-names":false,"suffix":""},{"dropping-particle":"","family":"Sears","given":"Pamela","non-dropping-particle":"","parse-names":false,"suffix":""},{"dropping-particle":"","family":"Gorbach","given":"Sherwood","non-dropping-particle":"","parse-names":false,"suffix":""}],"container-title":"The Lancet. Infectious diseases","genre":"Clinical Trial, Clinical Trial, Phase III, Comparative Study, Journal Article, Multicenter Study, Randomized Controlled Trial, Research Support, Non-U.S. Gov't","id":"ITEM-2","issue":"4","issued":{"date-parts":[["2012","4"]]},"language":"ENG","page":"281-289","publisher-place":"United States","title":"Fidaxomicin versus vancomycin for infection with &lt;i&gt;Clostridium difficile&lt;/i&gt; in Europe, Canada, and the USA: a double-blind, non-inferiority, randomised controlled trial.","type":"article-journal","volume":"12"},"uris":["http://www.mendeley.com/documents/?uuid=5414ae1a-9dd2-49fd-a016-57ca41802c77"]}],"mendeley":{"formattedCitation":"[38,39]","plainTextFormattedCitation":"[38,39]","previouslyFormattedCitation":"[38,39]"},"properties":{"noteIndex":0},"schema":"https://github.com/citation-style-language/schema/raw/master/csl-citation.json"}</w:instrText>
      </w:r>
      <w:r w:rsidR="00D35BC4">
        <w:fldChar w:fldCharType="separate"/>
      </w:r>
      <w:r w:rsidR="000A6F55" w:rsidRPr="000A6F55">
        <w:rPr>
          <w:noProof/>
        </w:rPr>
        <w:t>[38,39]</w:t>
      </w:r>
      <w:r w:rsidR="00D35BC4">
        <w:fldChar w:fldCharType="end"/>
      </w:r>
      <w:r w:rsidR="00D35BC4" w:rsidRPr="001354D8">
        <w:t>.</w:t>
      </w:r>
    </w:p>
    <w:p w14:paraId="2CF4B1C8" w14:textId="77777777" w:rsidR="009A4EC6" w:rsidRDefault="009A4EC6"/>
    <w:p w14:paraId="5B56B231" w14:textId="46F82AA9" w:rsidR="007834C3" w:rsidRDefault="00B36686">
      <w:r>
        <w:t>We</w:t>
      </w:r>
      <w:r w:rsidR="0080583D" w:rsidRPr="00FA52AD">
        <w:t xml:space="preserve"> </w:t>
      </w:r>
      <w:r w:rsidR="00CF0E2D">
        <w:t xml:space="preserve">also </w:t>
      </w:r>
      <w:r w:rsidR="0080583D" w:rsidRPr="00FA52AD">
        <w:t xml:space="preserve">found </w:t>
      </w:r>
      <w:r w:rsidR="00DD2114">
        <w:t xml:space="preserve">a higher frequency of risk factors recorded among </w:t>
      </w:r>
      <w:r w:rsidR="00AE2C13">
        <w:t xml:space="preserve">CDI </w:t>
      </w:r>
      <w:r w:rsidR="00DD2114">
        <w:t>cases</w:t>
      </w:r>
      <w:r w:rsidR="00AE2C13">
        <w:t>:</w:t>
      </w:r>
      <w:r w:rsidR="00DD2114">
        <w:t xml:space="preserve"> more </w:t>
      </w:r>
      <w:r w:rsidR="00217D70">
        <w:t xml:space="preserve">comorbidities, </w:t>
      </w:r>
      <w:r w:rsidR="00A00F0E">
        <w:t xml:space="preserve">more patients </w:t>
      </w:r>
      <w:r w:rsidR="00DD2114">
        <w:t xml:space="preserve">with </w:t>
      </w:r>
      <w:r w:rsidR="00217D70">
        <w:t xml:space="preserve">prior </w:t>
      </w:r>
      <w:r w:rsidR="00AE2C13">
        <w:t>pre</w:t>
      </w:r>
      <w:r w:rsidR="003B4F2A">
        <w:t>s</w:t>
      </w:r>
      <w:r w:rsidR="00AE2C13">
        <w:t xml:space="preserve">criptions of </w:t>
      </w:r>
      <w:r w:rsidR="00217D70">
        <w:t>antibiotic</w:t>
      </w:r>
      <w:r w:rsidR="00AE2C13">
        <w:t>s</w:t>
      </w:r>
      <w:r w:rsidR="00217D70">
        <w:t xml:space="preserve"> </w:t>
      </w:r>
      <w:r w:rsidR="00F86A9B">
        <w:t>and</w:t>
      </w:r>
      <w:r w:rsidR="00AE2C13">
        <w:t>/or</w:t>
      </w:r>
      <w:r w:rsidR="007732E9">
        <w:t xml:space="preserve"> proton</w:t>
      </w:r>
      <w:r w:rsidR="000A3D58">
        <w:t>-</w:t>
      </w:r>
      <w:r w:rsidR="007732E9">
        <w:t>pump inhibitors</w:t>
      </w:r>
      <w:r w:rsidR="00DD2114">
        <w:t xml:space="preserve">, </w:t>
      </w:r>
      <w:r w:rsidR="00A00F0E">
        <w:t xml:space="preserve">a </w:t>
      </w:r>
      <w:r w:rsidR="00AE2C13">
        <w:t xml:space="preserve">greater incidence of </w:t>
      </w:r>
      <w:r w:rsidR="00D06F75">
        <w:t>hospitali</w:t>
      </w:r>
      <w:r w:rsidR="0064553B">
        <w:t>z</w:t>
      </w:r>
      <w:r w:rsidR="00D06F75">
        <w:t>ation within the previous 12 months</w:t>
      </w:r>
      <w:r w:rsidR="00A00F0E">
        <w:t>,</w:t>
      </w:r>
      <w:r w:rsidR="00F85798">
        <w:t xml:space="preserve"> </w:t>
      </w:r>
      <w:r w:rsidR="00DD2114">
        <w:t xml:space="preserve">and </w:t>
      </w:r>
      <w:r w:rsidR="00DD2114" w:rsidRPr="00516005">
        <w:t xml:space="preserve">significantly higher </w:t>
      </w:r>
      <w:r w:rsidR="00DD2114">
        <w:t xml:space="preserve">use of </w:t>
      </w:r>
      <w:r w:rsidR="00DD2114" w:rsidRPr="00516005">
        <w:t>augmented or intensive care</w:t>
      </w:r>
      <w:r w:rsidR="00AE2C13">
        <w:t xml:space="preserve">; these results are </w:t>
      </w:r>
      <w:r w:rsidR="00926992">
        <w:t>also</w:t>
      </w:r>
      <w:r w:rsidR="00F86A9B">
        <w:t xml:space="preserve"> </w:t>
      </w:r>
      <w:r w:rsidR="00D06F75">
        <w:t xml:space="preserve">consistent with previous </w:t>
      </w:r>
      <w:r w:rsidR="00710C71">
        <w:t xml:space="preserve">studies </w:t>
      </w:r>
      <w:r w:rsidR="00984348">
        <w:fldChar w:fldCharType="begin" w:fldLock="1"/>
      </w:r>
      <w:r w:rsidR="002E61FD">
        <w:instrText>ADDIN CSL_CITATION {"citationItems":[{"id":"ITEM-1","itemData":{"DOI":"10.1093/cid/cir301","ISSN":"1058-4838","author":[{"dropping-particle":"","family":"Stevens","given":"V.","non-dropping-particle":"","parse-names":false,"suffix":""},{"dropping-particle":"","family":"Dumyati","given":"G.","non-dropping-particle":"","parse-names":false,"suffix":""},{"dropping-particle":"","family":"Fine","given":"L. S.","non-dropping-particle":"","parse-names":false,"suffix":""},{"dropping-particle":"","family":"Fisher","given":"S. G.","non-dropping-particle":"","parse-names":false,"suffix":""},{"dropping-particle":"","family":"Wijngaarden","given":"E.","non-dropping-particle":"van","parse-names":false,"suffix":""}],"container-title":"Clinical Infectious Diseases","id":"ITEM-1","issue":"1","issued":{"date-parts":[["2011"]]},"page":"42-48","title":"Cumulative antibiotic exposures over time and the risk of &lt;i&gt;Clostridium difficile&lt;/i&gt; infection","type":"article-journal","volume":"53"},"uris":["http://www.mendeley.com/documents/?uuid=4b8752d2-889a-4554-8da5-8871ee5f0a29"]},{"id":"ITEM-2","itemData":{"abstract":"Background: Aggregate comorbidity scores are useful for summarizing risk and confounder control in studies of hospital-associated infections. The Chronic Disease Score - Infectious Diseases (CDS-ID) was developed for this purpose, but it has not been validated for use in studies of Clostridium difficile Infection (CDI). The aim of this study was to assess the discrimination, calibration and potential for confounder control of CDS-ID compared to age alone or individual comorbid conditions.Methods: Secondary analysis of a retrospective cohort study of adult inpatients with 2 or more days of antibiotic exposure at a tertiary care facility during 2005. Logistic regression models were used to predict the development of CDI up to 60 days post-discharge. Model discrimination and calibration were assessed using the c-statistic and Hosmer-Lemeshow (HL) tests, respectively. C-statistics were compared using chi-square tests.Results: CDI developed in 185 out of 7,792 patients. The CDS-ID was a better standalone predictor of CDI than age (c-statistic 0.653 vs 0.609, P=0.04). The best discrimination was observed when CDS-ID and age were both used to predict CDI (c-statistic 0.680). All models had acceptable calibration (P&gt;0.05).Conclusion: The CDS-ID is a valid tool for summarizing risk of CDI associated with comorbid conditions. 2013 Stevens et al.; licensee BioMed Central Ltd.","author":[{"dropping-particle":"","family":"Stevens","given":"V","non-dropping-particle":"","parse-names":false,"suffix":""},{"dropping-particle":"","family":"Concannon","given":"C","non-dropping-particle":"","parse-names":false,"suffix":""},{"dropping-particle":"","family":"Wijngaarden","given":"E.","non-dropping-particle":"van","parse-names":false,"suffix":""},{"dropping-particle":"","family":"McGregor","given":"J","non-dropping-particle":"","parse-names":false,"suffix":""}],"container-title":"BMC Infectious Diseases","id":"ITEM-2","issue":"1","issued":{"date-parts":[["2013"]]},"page":"1-8","title":"Validation of the chronic disease score-infectious disease (CDS-ID) for the prediction of hospital-associated &lt;i&gt;Clostridium difficile&lt;/i&gt; infection (CDI) within a retrospective cohort","type":"article-journal","volume":"13"},"uris":["http://www.mendeley.com/documents/?uuid=2f2da84b-2ae7-4d89-abbd-c202247f158c"]},{"id":"ITEM-3","itemData":{"DOI":"10.1016/j.anaerobe.2017.03.003","ISSN":"1095-8274 (Electronic)","PMID":"28279859","abstract":"BACKGROUND: Clostridium difficile infection (CDI) is a serious medical condition that is associated with substantial morbidity and mortality. Identification of risk factors associated with CDI and prompt recognition of patients at risk is key to successfully preventing CDI. METHODS: A 3-year prospective, observational, cohort study was conducted in a French university hospital and a nested case-control study was performed to identify risk factors for CDI. Inpatients aged 18 years or older, suffering from diarrhea suspected to be related to CDI, were asked to participate. RESULTS: A total of 945 patients were included, of which 233 cases had a confirmed CDI. CDI infection was more common in men (58.4%) (P = 0.04) compared with patients with diarrhea not related to C. difficile. Previous hospitalization (P &lt; 0.001), prior treatment with antibiotics (P = 0.001) or antiperistaltics (P = 0.002), liver disease (P = 0.003), malnutrition (P &lt; 0.001), and previous CDI (P &lt; 0.001) were significantly more common in patients with CDI. Multivariate logistic regression analysis showed that exposure to antibiotics in the last 60 days (especially third generation cephalosporins and penicillins with beta-lactamase inhibitor), chronic renal or liver disease, malnutrition or previous CDI, were associated with an independent high risk of CDI. Age was not related with CDI. CONCLUSIONS: This study showed that antibiotics and some comorbid conditions were predictors of CDI. Patients at high risk of acquiring CDI at the time of admission may benefit from careful monitoring of antibiotic prescriptions and early attention to infection control issues. In future, these \"high-risk\" patients may benefit from novel agents being developed to prevent CDI.","author":[{"dropping-particle":"","family":"Khanafer","given":"Nagham","non-dropping-particle":"","parse-names":false,"suffix":""},{"dropping-particle":"","family":"Vanhems","given":"Philippe","non-dropping-particle":"","parse-names":false,"suffix":""},{"dropping-particle":"","family":"Barbut","given":"Frederic","non-dropping-particle":"","parse-names":false,"suffix":""},{"dropping-particle":"","family":"Luxemburger","given":"Christine","non-dropping-particle":"","parse-names":false,"suffix":""}],"container-title":"Anaerobe","id":"ITEM-3","issued":{"date-parts":[["2017","4"]]},"language":"eng","page":"117-123","publisher-place":"England","title":"Factors associated with &lt;i&gt;Clostridium difficile&lt;/i&gt; infection: a nested case-control study in a three year prospective cohort.","type":"article-journal","volume":"44"},"uris":["http://www.mendeley.com/documents/?uuid=a41c1e2c-bbf9-4b8c-b103-6d8996e288dd"]},{"id":"ITEM-4","itemData":{"DOI":"10.1007/s12664-011-0097-5","ISSN":"02548860","abstract":"The spectrum of Clostridium difficile-associated diarrhea (CDAD) is changing. Apart from antibiotic use, other risk factors such as use of proton pump inhibitors (PPI) and immunosuppressive agents, intensive care unit (ICU) stay and inflammatory bowel disease are being recognized. We retrospectively analyzed data on patients whose stool samples were tested for C. difficile toxin (CDT) by enzyme linked immunosorbent assay between June 2006 and May 2008. Demographic and clinical data, and risk factors (antibiotic use, underlying malignancy, chemotherapy, use of PPI, ICU stay) were noted. The details of treatment for CDAD, response, complication and follow up were recorded. Patients whose stool samples were CDT-positive were grouped as study subjects and those with negative stool samples were included in the control group. Of the 99 patients (mean age 46. 7 years; 58 men) whose stool samples were tested during this period, 17 (17%) were positive for CDT. As compared with control subjects (n = 82), study subjects were more likely to have fever, prolonged ICU stay, underlying malignancy, and exposure to immunosuppressive and chemotherapeutic agents. On multivariate analysis, exposure to immunosuppressive agents was the only risk factor associated with CDAD. Fifteen patients were treated with metronidazole and two with vancomycin. Two patients did not respond to metronidazole but responded to vancomycin. No patient developed any complication. The prevalence of C. difficile toxin in diarrheal stools sent for C. difficile toxin testing was 17%. Exposure to immunosuppressive agents was a risk factor for the infection. Metronidazole was effective in a majority of patients. © 2011 Indian Society of Gastroenterology.","author":[{"dropping-particle":"","family":"Ingle","given":"Meghraj","non-dropping-particle":"","parse-names":false,"suffix":""},{"dropping-particle":"","family":"Deshmukh","given":"Abhijit","non-dropping-particle":"","parse-names":false,"suffix":""},{"dropping-particle":"","family":"Desai","given":"Devendra","non-dropping-particle":"","parse-names":false,"suffix":""},{"dropping-particle":"","family":"Abraham","given":"Philip","non-dropping-particle":"","parse-names":false,"suffix":""},{"dropping-particle":"","family":"Joshi","given":"Anand","non-dropping-particle":"","parse-names":false,"suffix":""},{"dropping-particle":"","family":"Rodrigues","given":"Camilla","non-dropping-particle":"","parse-names":false,"suffix":""},{"dropping-particle":"","family":"Mankeshwar","given":"Ranjit","non-dropping-particle":"","parse-names":false,"suffix":""}],"container-title":"Indian Journal of Gastroenterology","id":"ITEM-4","issue":"2","issued":{"date-parts":[["2011","3","7"]]},"page":"89-93","publisher":"Springer","title":"Prevalence and clinical course of &lt;i&gt;Clostridium difficile&lt;/i&gt; infection in a tertiary-care hospital: a retrospective analysis","type":"article-journal","volume":"30"},"uris":["http://www.mendeley.com/documents/?uuid=acce0ff3-5d9c-3fcf-9c2d-73c827a0916f"]},{"id":"ITEM-5","itemData":{"DOI":"10.1186/s13756-017-0188-x","ISSN":"20472994","abstract":"Background: The objective of this study was to investigate independent risk factors (RFs) connected with healthcare-associated (HA) Clostridium difficile infection (CDI) in surgical patients, its frequency per surgical wards and in-hospital-mortality at a single hospital. Methods: Risk factors for the infection were prospectively assessed among surgical patients with laboratory confirmed HA CDI and compared with a control group without HA CDI. Results: The overall incidence rate of HA CDI was 2.6 per 10000 patient-days. Significant independent RFs for HA CDI were the use of carbapenems (P = 0.007, OR: 10.62, 95% CI: 1.93-58.4), the admission to intensive care unit (P = 0.004, OR:3.00, 95% CI:1.41-6.40), and the administration of 3rd generation cephalosporins (P = 0.014, OR:2.27, 95% CI:1.18-4.39). Patients with HA CDI had significantly higher in-hospital mortality compared to controls (P: 0.007; OR: 8.95; 95% CI: 1.84-43.43). Conclusions: CDI is an important HA infection in population of surgical patients and this study emphasizes the importance of the wise use of antibiotics, and other infection control strategies in order to prevent HA CDI, and to decrease the incidence and in-hospital mortality rate.","author":[{"dropping-particle":"","family":"Šuljagić","given":"Vesna","non-dropping-particle":"","parse-names":false,"suffix":""},{"dropping-particle":"","family":"Miljković","given":"Ivan","non-dropping-particle":"","parse-names":false,"suffix":""},{"dropping-particle":"","family":"Starčević","given":"Srdan","non-dropping-particle":"","parse-names":false,"suffix":""},{"dropping-particle":"","family":"Stepić","given":"Nenad","non-dropping-particle":"","parse-names":false,"suffix":""},{"dropping-particle":"","family":"Kostić","given":"Zoran","non-dropping-particle":"","parse-names":false,"suffix":""},{"dropping-particle":"","family":"Jovanović","given":"Dragutin","non-dropping-particle":"","parse-names":false,"suffix":""},{"dropping-particle":"","family":"Brusić-Renaud","given":"Jelena","non-dropping-particle":"","parse-names":false,"suffix":""},{"dropping-particle":"","family":"Mijović","given":"Biljana","non-dropping-particle":"","parse-names":false,"suffix":""},{"dropping-particle":"","family":"Šipetić-Grujičić","given":"Sandra","non-dropping-particle":"","parse-names":false,"suffix":""}],"container-title":"Antimicrobial Resistance and Infection Control","id":"ITEM-5","issue":"1","issued":{"date-parts":[["2017"]]},"title":"Risk factors for &lt;i&gt;Clostridium difficile&lt;/i&gt; infection in surgical patients hospitalized in a tertiary hospital in Belgrade, Serbia: a case-control study","type":"article","volume":"6"},"uris":["http://www.mendeley.com/documents/?uuid=c4b18f16-85be-44fc-abab-b416c6630c41"]}],"mendeley":{"formattedCitation":"[40–44]","plainTextFormattedCitation":"[40–44]","previouslyFormattedCitation":"[40–44]"},"properties":{"noteIndex":0},"schema":"https://github.com/citation-style-language/schema/raw/master/csl-citation.json"}</w:instrText>
      </w:r>
      <w:r w:rsidR="00984348">
        <w:fldChar w:fldCharType="separate"/>
      </w:r>
      <w:r w:rsidR="006E152A" w:rsidRPr="006E152A">
        <w:rPr>
          <w:noProof/>
        </w:rPr>
        <w:t>[40–44]</w:t>
      </w:r>
      <w:r w:rsidR="00984348">
        <w:fldChar w:fldCharType="end"/>
      </w:r>
      <w:r w:rsidR="00B41720">
        <w:t>.</w:t>
      </w:r>
      <w:r w:rsidR="00121B9E">
        <w:t xml:space="preserve"> The finding that lipid</w:t>
      </w:r>
      <w:r w:rsidR="007F79ED">
        <w:t>-</w:t>
      </w:r>
      <w:r w:rsidR="00121B9E">
        <w:t>lowering drugs had a statistically significant risk for CDI is novel and requires further study</w:t>
      </w:r>
      <w:r w:rsidR="00A66EE7">
        <w:t>,</w:t>
      </w:r>
      <w:r w:rsidR="00603E20">
        <w:t xml:space="preserve"> although the difference is small</w:t>
      </w:r>
      <w:r w:rsidR="00121B9E" w:rsidRPr="005E0B17">
        <w:t xml:space="preserve">. </w:t>
      </w:r>
      <w:r w:rsidR="00DD46A7" w:rsidRPr="0094085A">
        <w:t>Among patients with CDI,</w:t>
      </w:r>
      <w:r w:rsidR="00435772" w:rsidRPr="0094085A">
        <w:t xml:space="preserve"> </w:t>
      </w:r>
      <w:r w:rsidR="00A31B26" w:rsidRPr="0094085A">
        <w:t xml:space="preserve">we </w:t>
      </w:r>
      <w:r w:rsidR="00DD2114" w:rsidRPr="0094085A">
        <w:t xml:space="preserve">also </w:t>
      </w:r>
      <w:r w:rsidR="00A31B26" w:rsidRPr="0094085A">
        <w:t>found</w:t>
      </w:r>
      <w:r w:rsidR="00F85798" w:rsidRPr="0094085A">
        <w:t xml:space="preserve"> higher rates </w:t>
      </w:r>
      <w:r w:rsidR="00CC57B2" w:rsidRPr="0094085A">
        <w:t>of hypertension,</w:t>
      </w:r>
      <w:r w:rsidR="00F85798" w:rsidRPr="0094085A">
        <w:t xml:space="preserve"> renal disease</w:t>
      </w:r>
      <w:r w:rsidR="00CC57B2" w:rsidRPr="0094085A">
        <w:t>, moderate-to-severe liver disease</w:t>
      </w:r>
      <w:r w:rsidR="007776B0" w:rsidRPr="00A66EE7">
        <w:t>, inflammatory bowel disease</w:t>
      </w:r>
      <w:r w:rsidR="007F79ED" w:rsidRPr="00A66EE7">
        <w:t xml:space="preserve"> </w:t>
      </w:r>
      <w:r w:rsidR="00F85798" w:rsidRPr="005E0B17">
        <w:t>and malignant cancer</w:t>
      </w:r>
      <w:r w:rsidR="00DD46A7" w:rsidRPr="0094085A">
        <w:t xml:space="preserve">, compared with patients with </w:t>
      </w:r>
      <w:r w:rsidR="00121B9E" w:rsidRPr="00A66EE7">
        <w:t>no</w:t>
      </w:r>
      <w:r w:rsidR="00DD46A7" w:rsidRPr="005E0B17">
        <w:t xml:space="preserve"> CDI</w:t>
      </w:r>
      <w:r w:rsidR="007F79ED" w:rsidRPr="00A66EE7">
        <w:t>. Conversely,</w:t>
      </w:r>
      <w:r w:rsidR="00A31B26" w:rsidRPr="005E0B17">
        <w:t xml:space="preserve"> </w:t>
      </w:r>
      <w:r w:rsidR="007F79ED" w:rsidRPr="00A66EE7">
        <w:t xml:space="preserve">the incidence of inflammatory bowel disease was not significantly higher among patients with recurrent versus non-recurrent CDI, and </w:t>
      </w:r>
      <w:r w:rsidR="007776B0" w:rsidRPr="00A66EE7">
        <w:t xml:space="preserve">the rate of malignant cancer was </w:t>
      </w:r>
      <w:r w:rsidR="007F79ED" w:rsidRPr="00A66EE7">
        <w:t xml:space="preserve">significantly </w:t>
      </w:r>
      <w:r w:rsidR="007776B0" w:rsidRPr="00A66EE7">
        <w:t xml:space="preserve">higher in </w:t>
      </w:r>
      <w:r w:rsidR="007F79ED" w:rsidRPr="00A66EE7">
        <w:t xml:space="preserve">the </w:t>
      </w:r>
      <w:r w:rsidR="007776B0" w:rsidRPr="00A66EE7">
        <w:t>non-recurrent CDI</w:t>
      </w:r>
      <w:r w:rsidR="007F79ED" w:rsidRPr="00A66EE7">
        <w:t xml:space="preserve"> group</w:t>
      </w:r>
      <w:r w:rsidR="007776B0" w:rsidRPr="00A66EE7">
        <w:t xml:space="preserve">. </w:t>
      </w:r>
      <w:r w:rsidR="0094085A" w:rsidRPr="00A66EE7">
        <w:t xml:space="preserve">Hypertension, renal disease, liver disease and malignant cancer </w:t>
      </w:r>
      <w:r w:rsidR="0094085A">
        <w:t>have been</w:t>
      </w:r>
      <w:r w:rsidR="008F74CB" w:rsidRPr="005E0B17">
        <w:t xml:space="preserve"> </w:t>
      </w:r>
      <w:r w:rsidR="008F74CB" w:rsidRPr="0094085A">
        <w:t>found to</w:t>
      </w:r>
      <w:r w:rsidR="002809B8" w:rsidRPr="0094085A">
        <w:t xml:space="preserve"> be</w:t>
      </w:r>
      <w:r w:rsidR="008F74CB" w:rsidRPr="0094085A">
        <w:t xml:space="preserve"> </w:t>
      </w:r>
      <w:r w:rsidR="002809B8" w:rsidRPr="0094085A">
        <w:t>associated with</w:t>
      </w:r>
      <w:r w:rsidR="008F74CB" w:rsidRPr="0094085A">
        <w:t xml:space="preserve"> recurrence </w:t>
      </w:r>
      <w:r w:rsidR="002809B8" w:rsidRPr="0094085A">
        <w:t>in previous studies</w:t>
      </w:r>
      <w:r w:rsidR="00E35A3A" w:rsidRPr="0094085A">
        <w:t xml:space="preserve"> </w:t>
      </w:r>
      <w:r w:rsidR="00C505C3" w:rsidRPr="005E0B17">
        <w:fldChar w:fldCharType="begin" w:fldLock="1"/>
      </w:r>
      <w:r w:rsidR="002375DA" w:rsidRPr="0094085A">
        <w:instrText>ADDIN CSL_CITATION {"citationItems":[{"id":"ITEM-1","itemData":{"DOI":"10.1007/s10096-016-2725-6","ISSN":"1435-4373 (Electronic)","PMID":"27461221","abstract":"PURPOSE: The purpose of this study was to investigate the impact of malignancy and chemotherapy on the clinical and microbiological characteristics of Clostridium difficile infections (CDI). METHODS: CDI patients with a history of malignancy within 5 years were defined as the cancer group. The characteristics of the patients were compared according to the presence of malignancy. RESULTS: Of 580 patients with CDI, 159 (27.4 %) belonged to the cancer group and 421 (72.6 %) to the non-cancer group. More of the patients in the cancer group than those in the non-cancer group had been hospitalized within the prior 2 months (P &lt; 0.001). Leukocytosis was more common in the non-cancer group (P = 0.034), while infection by PCR ribotype 017 strains was more common in the cancer group, with marginal significance (P = 0.07). Recurrence was more frequent in the cancer group (20.4 % vs. 9.5 %, P =0.005) and cancer was an independent risk factor for recurrence of CDI (OR = 2.66, 95 % CI 1.34-5.29, P =0.005). Age also contributed to the recurrence of CDI (OR = 1.03, 95 % CI 1.00-1.06, P =0.026). CONCLUSIONS: Malignancy and age are independent risk factors for recurrence of CDI. Cancer patients require careful observation for recurrence after treatment of CDI.","author":[{"dropping-particle":"","family":"Chung","given":"M S","non-dropping-particle":"","parse-names":false,"suffix":""},{"dropping-particle":"","family":"Kim","given":"J","non-dropping-particle":"","parse-names":false,"suffix":""},{"dropping-particle":"","family":"Kang","given":"J O","non-dropping-particle":"","parse-names":false,"suffix":""},{"dropping-particle":"","family":"Pai","given":"H","non-dropping-particle":"","parse-names":false,"suffix":""}],"container-title":"European journal of clinical microbiology &amp; infectious diseases : official publication of the European Society of Clinical Microbiology","id":"ITEM-1","issue":"11","issued":{"date-parts":[["2016","11"]]},"language":"eng","page":"1771-1776","publisher-place":"Germany","title":"Impact of malignancy on &lt;i&gt;Clostridium difficile&lt;/i&gt; infection.","type":"article-journal","volume":"35"},"uris":["http://www.mendeley.com/documents/?uuid=d7458839-a099-4094-b87d-af030ebdcea3"]},{"id":"ITEM-2","itemData":{"DOI":"10.1007/s10620-015-3714-9","ISSN":"1573-2568 (Electronic)","PMID":"25986528","abstract":"BACKGROUND: The objective of this systematic review and meta-analysis was to assess the risks of incident and recurrent Clostridium difficile-associated diarrhea in patients with chronic kidney disease (CKD) and end-stage renal disease (ESRD) requiring dialysis. METHODS: A literature search was performed from inception to February 2015. Studies that reported relative risks, odds ratios, or hazard ratios comparing the risks of C. difficile-associated diarrhea in patients with CKD or ESRD versus those without CKD or ESRD were included. Pooled risk ratios (RRs) and 95% confidence intervals (CIs) were calculated using a random-effect, generic inverse variance method. RESULTS: Twenty studies (nine case-control, seven cohort, and four cross-sectional studies with 162,218,041 patients) were included in the meta-analysis. Pooled RRs of C. difficile-associated diarrhea in patients with CKD and ESRD were 1.95 (95% CI 1.81-2.10) and 2.63 (95% CI 2.04-3.38), respectively. When meta-analysis was limited only to cohort and case-control studies with confounder-adjusted analysis, the pooled RRs of C. difficile-associated diarrhea in patients with CKD and ESRD were 1.89 (95% CI 1.75-2.05) and 2.50 (95% CI 1.49-4.17), respectively. The pooled RR of recurrent C. difficile-associated diarrhea in patients with CKD was 2.61 (95% CI 1.53-4.44). Data on the risk of recurrent C. difficile-associated diarrhea were limited. CONCLUSION: This meta-analysis demonstrates significantly increased risks of incident and recurrent C. difficile-associated diarrhea in patients with CKD. Furthermore, the magnitude of increased risk of C. difficile-associated diarrhea in ESRD patients is even higher.","author":[{"dropping-particle":"","family":"Phatharacharukul","given":"Parkpoom","non-dropping-particle":"","parse-names":false,"suffix":""},{"dropping-particle":"","family":"Thongprayoon","given":"Charat","non-dropping-particle":"","parse-names":false,"suffix":""},{"dropping-particle":"","family":"Cheungpasitporn","given":"Wisit","non-dropping-particle":"","parse-names":false,"suffix":""},{"dropping-particle":"","family":"Edmonds","given":"Peter J","non-dropping-particle":"","parse-names":false,"suffix":""},{"dropping-particle":"","family":"Mahaparn","given":"Pailin","non-dropping-particle":"","parse-names":false,"suffix":""},{"dropping-particle":"","family":"Bruminhent","given":"Jackrapong","non-dropping-particle":"","parse-names":false,"suffix":""}],"container-title":"Digestive diseases and sciences","id":"ITEM-2","issue":"10","issued":{"date-parts":[["2015","10"]]},"language":"eng","page":"2913-2922","publisher-place":"United States","title":"The risks of incident and recurrent &lt;i&gt;Clostridium difficile&lt;/i&gt;-associated diarrhea in chronic kidney disease and end-stage kidney disease patients: a systematic review and meta-analysis.","type":"article-journal","volume":"60"},"uris":["http://www.mendeley.com/documents/?uuid=0f13a8d9-fd4d-4b34-a312-8eb5ca696c39"]},{"id":"ITEM-3","itemData":{"DOI":"10.1097/JIM.0000000000000188","ISSN":"1708-8267 (Electronic)","PMID":"25871748","abstract":"BACKGROUND: Clostridium difficile infection (CDI) has increased in incidence and severity worldwide, causing direct costs estimated to range from US $3.2 billion to $4.8 billion. The aim of this study was to investigate and identify factors that predict recurrence of CDI. METHODS: This was a retrospective case-control study between 2007 and 2013 on patients admitted with CDI. Recurrent CDI is defined as a new episode of diarrhea within 90 days confirmed by a positive stool C. difficile toxin assay or polymerase chain reaction, after resolution of the initial CDI episode for at least 10 days and after discontinuation of the CDI therapy. RESULTS: Three thousand twenty patients were diagnosed with CDI between January 2007 and December 2013. Two hundred nine of 2019 patients in the study had a recurrence of CDI within 90 days of the end of the initial CDI episode (10.3%). Multivariate analysis showed that most of the recurrences occurred in patients with comorbidities, particularly chronic kidney disease (odds ratio, 1.3; 95% confidence interval [CI], 1.0-2.4; P = 0.039). In addition, a higher percentage of patients in the recurrence group were prescribed proton-pump inhibitors (odds ratio, 1.65; 95% CI, 1.0-1.7; P = 0.002) and steroids (odds ratio, 1.65; 95% CI, 1.0-1.5; P = 0.047). CONCLUSIONS: Our data suggest that the use of glucocorticoids, use of proton-pump inhibitors, and having end-stage renal disease are significant risk factors associated with recurrent CDI.","author":[{"dropping-particle":"","family":"Abdelfatah","given":"Mohamed","non-dropping-particle":"","parse-names":false,"suffix":""},{"dropping-particle":"","family":"Nayfe","given":"Rabih","non-dropping-particle":"","parse-names":false,"suffix":""},{"dropping-particle":"","family":"Nijim","given":"Ala","non-dropping-particle":"","parse-names":false,"suffix":""},{"dropping-particle":"","family":"Enriquez","given":"Kathleen","non-dropping-particle":"","parse-names":false,"suffix":""},{"dropping-particle":"","family":"Ali","given":"Eslam","non-dropping-particle":"","parse-names":false,"suffix":""},{"dropping-particle":"","family":"Watkins","given":"Richard R","non-dropping-particle":"","parse-names":false,"suffix":""},{"dropping-particle":"","family":"Kandil","given":"Hossam","non-dropping-particle":"","parse-names":false,"suffix":""}],"container-title":"Journal of investigative medicine : the official publication of the American Federation for Clinical Research","id":"ITEM-3","issue":"5","issued":{"date-parts":[["2015","6"]]},"language":"eng","page":"747-751","publisher-place":"England","title":"Factors predicting recurrence of &lt;i&gt;Clostridium difficile&lt;/i&gt; infection (CDI) in hospitalized patients: retrospective study of more than 2000 patients.","type":"article-journal","volume":"63"},"uris":["http://www.mendeley.com/documents/?uuid=a4ba3cab-b255-454d-a6af-beda32aa068b"]},{"id":"ITEM-4","itemData":{"DOI":"10.1097/MCG.0000000000001022","abstract":"Background: The incidence of infection due to Clostridium difficile infection (CDI) and subsequent economic burden are substantial.\r\n\r\nGoals: The impact of changing practice patterns on demographics at risk and utilization of health care resources for recurrence of CDI remains unclear.\r\n\r\nStudy: A total of 291,163 patients hospitalized for CDI were identified from 1995 to 2014 from the New York SPARCS database. The χ2 test, the Welch t test, and multivariable logistic regression analysis were performed to evaluate factors related to readmission.\r\n\r\nResults: Hospital admissions and readmissions for CDI peaked in 2008 at 20,487 and 13,795, respectively, and have since decreased (linear trend, 0.9706 and 0.9464, respectively; P&lt;0.0001). In total, 60,077 (21%) patients required ≥2 admissions. Risk factors for readmission included: age 55 to 74, government insurance, hypertension, diabetes, anemia, hypothyroidism, chronic pulmonary disease, rheumatoid arthritis, renal failure, peripheral vascular disease, and depression (all P&lt;0.05). Trends in surgery showed a similar peak in 2008 at 165 and have since decreased (linear trend, 0.8660; P&lt;0.0001). A total of 1830 (0.63%) patients with CDI underwent surgery, with emergent being more common than elective (71% vs. 29%).\r\n\r\nConclusions: Hospital admissions and readmissions for CDI peaked in 2008 and have since been steadily declining. These trends may be secondary to improved diagnostic capabilities and evolving antibiotic regimens. More than 1 in 5 hospitalized patients had at least 1 readmission. Numerous risk factors for these patients have been identified. Although &lt;1% of all patients with CDI undergo surgery, these rates have also been declining.","author":[{"dropping-particle":"","family":"Mathews","given":"Steven N.","non-dropping-particle":"","parse-names":false,"suffix":""},{"dropping-particle":"","family":"Lamm","given":"Ryan","non-dropping-particle":"","parse-names":false,"suffix":""},{"dropping-particle":"","family":"Yang","given":"Jie","non-dropping-particle":"","parse-names":false,"suffix":""},{"dropping-particle":"","family":"Park","given":"Jihye","non-dropping-particle":"","parse-names":false,"suffix":""},{"dropping-particle":"","family":"Tzimas","given":"Demetrios","non-dropping-particle":"","parse-names":false,"suffix":""},{"dropping-particle":"","family":"Buscaglia","given":"Jonathan M.","non-dropping-particle":"","parse-names":false,"suffix":""},{"dropping-particle":"","family":"Pryor","given":"Aurora","non-dropping-particle":"","parse-names":false,"suffix":""},{"dropping-particle":"","family":"Talamini","given":"Mark","non-dropping-particle":"","parse-names":false,"suffix":""},{"dropping-particle":"","family":"Telem","given":"Dana","non-dropping-particle":"","parse-names":false,"suffix":""},{"dropping-particle":"","family":"Bucobo","given":"Juan C.","non-dropping-particle":"","parse-names":false,"suffix":""}],"container-title":"Journal of Clinical Gastroenterology","id":"ITEM-4","issue":"4","issued":{"date-parts":[["2019","4"]]},"page":"298-303","title":"Factors associated with health care utilization of recurrent &lt;i&gt;Clostridium difficile&lt;/i&gt; infection in New York State","type":"article-journal","volume":"53"},"uris":["http://www.mendeley.com/documents/?uuid=0a342b7c-ad18-3e4e-9d7e-cee4eade403c"]},{"id":"ITEM-5","itemData":{"DOI":"10.1016/j.anaerobe.2017.08.012","abstract":"Recurrent diarrhea is a common complication of Clostridium difficile infection (CDI). Recurrent CDI (r-CDI) may be produced by the persistence of spores (relapse) or by the acquisition of a new strain (reinfection). In this study, we analyze epidemiological, clinical, microbiological and laboratory data from patients with r-CDI, relapse, and reinfection-CDI over 5 years and compared with a control group (non r-CDI). Among 60 patients with r-CDI, 36 patients had stool samples collected from two or more episodes, which were molecularly analyzed. Based on ribotyping, 63.9% of the samples were relapse, and 36.1% reinfection. In a multivariable logistic regression analysis, previous antibiotic exposure was found to be a risk factor for r-CDI (OR: 2.23; 95% CI: 1.0–4.9; p = 0.04). Patients with relapse had previous antibiotic exposure more frequently than did patients with reinfection (p = 0.03), and patients with reinfection suffered more frequently from chronic liver disease (p = 0.02) than did relapse patients. Relapse patients compared with the control group had a higher percentage of previous antibiotic exposure, although the difference was statistically no significant (73.9% vs. 91.3 p = 0.06). No significant differences for the selected variables were observed between the reinfection and control groups, although we observed a higher percentage of patients with chronic liver disease (30.8% vs 13.3%; p = 0.08). All isolates were sensitive to metronidazole and vancomycin. No significant differences in antibiotic susceptibility were found between the different groups. Sporulation and germination frequency of r-CDI were higher than non r-CDI (p = 0.02 and p &lt; 0.01, respectively). Nevertheless, there were statistically not significant differences between the relapse and reinfection groups. Both frequencies were compared between the first and second episode of CDI for the relapse and reinfection groups, but differences were not observed to be statistically significant. In conclusion, our study showed that the recurrence of CDI was associated with antibiotic use and sporulation/germination frequency, regardless of relapse or reinfection. The use of antibiotics would produce a dysbiosis and favor the persistence of the C. difficile spores and relapse. A possible alteration of the intestinal microbiota and the bile salts produced by chronic liver disease could favor reinfection.","author":[{"dropping-particle":"","family":"Gómez","given":"Sara","non-dropping-particle":"","parse-names":false,"suffix":""},{"dropping-particle":"","family":"Chaves","given":"Fernando","non-dropping-particle":"","parse-names":false,"suffix":""},{"dropping-particle":"","family":"Orellana","given":"M. Angeles","non-dropping-particle":"","parse-names":false,"suffix":""}],"container-title":"Anaerobe","id":"ITEM-5","issued":{"date-parts":[["2017","12","1"]]},"page":"147-151","publisher":"Academic Press","title":"Clinical, epidemiological and microbiological characteristics of relapse and re-infection in &lt;i&gt;Clostridium difficile&lt;/i&gt; infection","type":"article-journal","volume":"48"},"uris":["http://www.mendeley.com/documents/?uuid=67289c10-db5d-372b-b6d5-3ba46ac5642d"]}],"mendeley":{"formattedCitation":"[45–49]","plainTextFormattedCitation":"[45–49]","previouslyFormattedCitation":"[45–49]"},"properties":{"noteIndex":0},"schema":"https://github.com/citation-style-language/schema/raw/master/csl-citation.json"}</w:instrText>
      </w:r>
      <w:r w:rsidR="00C505C3" w:rsidRPr="005E0B17">
        <w:fldChar w:fldCharType="separate"/>
      </w:r>
      <w:r w:rsidR="006E152A" w:rsidRPr="005E0B17">
        <w:rPr>
          <w:noProof/>
        </w:rPr>
        <w:t>[45–49]</w:t>
      </w:r>
      <w:r w:rsidR="00C505C3" w:rsidRPr="005E0B17">
        <w:fldChar w:fldCharType="end"/>
      </w:r>
      <w:r w:rsidR="00961481" w:rsidRPr="005E0B17">
        <w:t>.</w:t>
      </w:r>
      <w:r w:rsidR="002C6670">
        <w:t xml:space="preserve"> </w:t>
      </w:r>
      <w:r w:rsidR="00603E20">
        <w:t>Th</w:t>
      </w:r>
      <w:r w:rsidR="007776B0">
        <w:t xml:space="preserve">e reason for the higher rate of malignant cancer </w:t>
      </w:r>
      <w:r w:rsidR="0094085A">
        <w:t>among patients with</w:t>
      </w:r>
      <w:r w:rsidR="007776B0">
        <w:t xml:space="preserve"> non-recurrent CDI</w:t>
      </w:r>
      <w:r w:rsidR="0094085A">
        <w:t xml:space="preserve"> in our study</w:t>
      </w:r>
      <w:r w:rsidR="007776B0">
        <w:t xml:space="preserve"> is not explainable and may be </w:t>
      </w:r>
      <w:r w:rsidR="00603E20">
        <w:t>due to the methodology used in the definition of the recurrence window</w:t>
      </w:r>
      <w:r w:rsidR="007776B0">
        <w:t>,</w:t>
      </w:r>
      <w:r w:rsidR="00603E20">
        <w:t xml:space="preserve"> which is a particular challenge in this type of large database study</w:t>
      </w:r>
      <w:r w:rsidR="007776B0">
        <w:t>, or the immortal time bias already described</w:t>
      </w:r>
      <w:r w:rsidR="00603E20">
        <w:t xml:space="preserve">. </w:t>
      </w:r>
    </w:p>
    <w:p w14:paraId="55C8C6C4" w14:textId="77777777" w:rsidR="009A4EC6" w:rsidRDefault="009A4EC6"/>
    <w:p w14:paraId="4DBA209B" w14:textId="18CF8F8F" w:rsidR="001B703E" w:rsidRDefault="00D16C8F">
      <w:r>
        <w:t>Strengths of th</w:t>
      </w:r>
      <w:r w:rsidR="006F697D">
        <w:t>is</w:t>
      </w:r>
      <w:r>
        <w:t xml:space="preserve"> study </w:t>
      </w:r>
      <w:r w:rsidR="00CF0614">
        <w:t>include</w:t>
      </w:r>
      <w:r w:rsidR="00926992">
        <w:t xml:space="preserve"> </w:t>
      </w:r>
      <w:r w:rsidR="003674E0">
        <w:t>its use of objective death data from the ONS</w:t>
      </w:r>
      <w:r w:rsidR="00926992">
        <w:t xml:space="preserve"> mortality</w:t>
      </w:r>
      <w:r w:rsidR="003674E0">
        <w:t xml:space="preserve"> </w:t>
      </w:r>
      <w:r w:rsidR="00D56C77">
        <w:t>r</w:t>
      </w:r>
      <w:r w:rsidR="003674E0">
        <w:t>egistry to confirm vital status and</w:t>
      </w:r>
      <w:r w:rsidR="00A00F0E">
        <w:t xml:space="preserve"> its</w:t>
      </w:r>
      <w:r w:rsidR="003674E0">
        <w:t xml:space="preserve"> inclusion of both primary and secondary care data in risk factor and covariate definition</w:t>
      </w:r>
      <w:r w:rsidR="00A00F0E">
        <w:t>s</w:t>
      </w:r>
      <w:r w:rsidR="005061A5" w:rsidRPr="00FA52AD">
        <w:t xml:space="preserve">. </w:t>
      </w:r>
      <w:r w:rsidR="00615483" w:rsidRPr="00FA52AD">
        <w:t xml:space="preserve">This </w:t>
      </w:r>
      <w:r w:rsidR="00AB1F07" w:rsidRPr="00FA52AD">
        <w:t xml:space="preserve">is likely to have </w:t>
      </w:r>
      <w:r w:rsidR="00615483" w:rsidRPr="00FA52AD">
        <w:t>increased</w:t>
      </w:r>
      <w:r w:rsidR="00F85EBB">
        <w:t xml:space="preserve"> </w:t>
      </w:r>
      <w:r w:rsidR="00AB1F07" w:rsidRPr="00FA52AD">
        <w:t>o</w:t>
      </w:r>
      <w:r w:rsidR="00615483" w:rsidRPr="00FA52AD">
        <w:t xml:space="preserve">utcome ascertainment </w:t>
      </w:r>
      <w:r w:rsidR="00AB1F07" w:rsidRPr="00FA52AD">
        <w:t>in our study</w:t>
      </w:r>
      <w:r w:rsidR="00A00F0E">
        <w:t xml:space="preserve">, as well as </w:t>
      </w:r>
      <w:r w:rsidR="002B51BC">
        <w:t>t</w:t>
      </w:r>
      <w:r w:rsidR="006F697D" w:rsidRPr="00FA52AD">
        <w:t>he accuracy</w:t>
      </w:r>
      <w:r w:rsidR="002B51BC">
        <w:t xml:space="preserve"> and completeness</w:t>
      </w:r>
      <w:r w:rsidR="006F697D" w:rsidRPr="00FA52AD">
        <w:t xml:space="preserve"> of</w:t>
      </w:r>
      <w:r w:rsidR="00615483" w:rsidRPr="00FA52AD">
        <w:t xml:space="preserve"> </w:t>
      </w:r>
      <w:r w:rsidR="00095605">
        <w:t>data</w:t>
      </w:r>
      <w:r w:rsidR="00F85EBB">
        <w:t xml:space="preserve"> </w:t>
      </w:r>
      <w:r w:rsidR="00294810">
        <w:t xml:space="preserve">on </w:t>
      </w:r>
      <w:r w:rsidR="00615483" w:rsidRPr="00FA52AD">
        <w:t>baseline characteristics and covariates.</w:t>
      </w:r>
      <w:r w:rsidR="00095605">
        <w:t xml:space="preserve"> </w:t>
      </w:r>
      <w:r w:rsidR="003674E0">
        <w:t xml:space="preserve">Our study also provides insights on </w:t>
      </w:r>
      <w:r w:rsidR="003674E0" w:rsidRPr="00FA52AD">
        <w:t xml:space="preserve">the risk of </w:t>
      </w:r>
      <w:r w:rsidR="003674E0">
        <w:t>outcomes in</w:t>
      </w:r>
      <w:r w:rsidR="00926992">
        <w:t xml:space="preserve"> both </w:t>
      </w:r>
      <w:r w:rsidR="00210D6A">
        <w:t>the</w:t>
      </w:r>
      <w:r w:rsidR="003674E0" w:rsidRPr="00FA52AD">
        <w:t xml:space="preserve"> early and later periods following CDI diagnosis</w:t>
      </w:r>
      <w:r w:rsidR="003674E0">
        <w:t xml:space="preserve"> by </w:t>
      </w:r>
      <w:r w:rsidR="00210D6A">
        <w:t>taking account of</w:t>
      </w:r>
      <w:r w:rsidR="003674E0">
        <w:t xml:space="preserve"> all deaths recorded up to 12 months. </w:t>
      </w:r>
    </w:p>
    <w:p w14:paraId="1957C4DC" w14:textId="77777777" w:rsidR="001B703E" w:rsidRDefault="001B703E"/>
    <w:p w14:paraId="1935AE5C" w14:textId="465356CF" w:rsidR="000D5CCA" w:rsidRDefault="001B703E">
      <w:r>
        <w:t>S</w:t>
      </w:r>
      <w:r w:rsidR="000D5CCA">
        <w:t xml:space="preserve">ensitivity analyses to assess the robustness of </w:t>
      </w:r>
      <w:r w:rsidR="00A00F0E">
        <w:t xml:space="preserve">our </w:t>
      </w:r>
      <w:r w:rsidR="000D5CCA">
        <w:t>findings offered insights into some of the methodological issues involved in the use of real</w:t>
      </w:r>
      <w:r w:rsidR="00297B10">
        <w:t>-</w:t>
      </w:r>
      <w:r w:rsidR="000D5CCA">
        <w:t>world data for infectious disease epidemiology. For example,</w:t>
      </w:r>
      <w:r>
        <w:t xml:space="preserve"> comparison of the mortality incidence between recurrent and non-recurrent CDI groups showed that patients with recurrent CDI had significantly lower mortality up to </w:t>
      </w:r>
      <w:r w:rsidRPr="001B703E">
        <w:t xml:space="preserve">90 days </w:t>
      </w:r>
      <w:r>
        <w:t>from the start of initial hospitali</w:t>
      </w:r>
      <w:r w:rsidR="00DE401F">
        <w:t>z</w:t>
      </w:r>
      <w:r>
        <w:t>ation, than those with non-recurrent CDI. This can be explained by</w:t>
      </w:r>
      <w:r w:rsidR="000D5CCA">
        <w:t xml:space="preserve"> the effects of immortal time bias</w:t>
      </w:r>
      <w:r w:rsidR="0007253E">
        <w:t>:</w:t>
      </w:r>
      <w:r>
        <w:t xml:space="preserve"> by definition</w:t>
      </w:r>
      <w:r w:rsidR="0007253E">
        <w:t>,</w:t>
      </w:r>
      <w:r>
        <w:t xml:space="preserve"> patients with r</w:t>
      </w:r>
      <w:r w:rsidR="00DE401F">
        <w:t xml:space="preserve">ecurrent </w:t>
      </w:r>
      <w:r>
        <w:t>CDI would need to survive long enough to experience a second CDI episode 13</w:t>
      </w:r>
      <w:r>
        <w:rPr>
          <w:rFonts w:cs="Arial"/>
        </w:rPr>
        <w:t>–</w:t>
      </w:r>
      <w:r>
        <w:t>56 days after the first. Similarly,</w:t>
      </w:r>
      <w:r w:rsidR="000D5CCA">
        <w:t xml:space="preserve"> </w:t>
      </w:r>
      <w:r>
        <w:t xml:space="preserve">our </w:t>
      </w:r>
      <w:r w:rsidR="00210D6A">
        <w:t>time</w:t>
      </w:r>
      <w:r w:rsidR="00297B10">
        <w:t>-</w:t>
      </w:r>
      <w:r w:rsidR="00210D6A">
        <w:t xml:space="preserve">fixed </w:t>
      </w:r>
      <w:r w:rsidR="000D5CCA">
        <w:t xml:space="preserve">analyses </w:t>
      </w:r>
      <w:r w:rsidR="00210D6A">
        <w:t xml:space="preserve">showed that </w:t>
      </w:r>
      <w:r w:rsidR="000D5CCA">
        <w:t xml:space="preserve">recurrent CDI </w:t>
      </w:r>
      <w:r w:rsidR="00210D6A">
        <w:t xml:space="preserve">was protective </w:t>
      </w:r>
      <w:r w:rsidR="00761B47">
        <w:t>regarding</w:t>
      </w:r>
      <w:r w:rsidR="00210D6A">
        <w:t xml:space="preserve"> the </w:t>
      </w:r>
      <w:r w:rsidR="00DE401F">
        <w:t>12</w:t>
      </w:r>
      <w:r>
        <w:t xml:space="preserve">-month </w:t>
      </w:r>
      <w:r w:rsidR="00210D6A">
        <w:t>risk of death</w:t>
      </w:r>
      <w:r w:rsidR="000D5CCA">
        <w:t xml:space="preserve">. However, this implausible benefit was </w:t>
      </w:r>
      <w:r w:rsidR="00926992">
        <w:t xml:space="preserve">invalidated </w:t>
      </w:r>
      <w:r w:rsidR="000D5CCA">
        <w:t>once immortal time was correctly classified by following patients from the start of the recurrence window in</w:t>
      </w:r>
      <w:r w:rsidR="008569A8">
        <w:t xml:space="preserve"> a</w:t>
      </w:r>
      <w:r w:rsidR="000D5CCA">
        <w:t xml:space="preserve"> time</w:t>
      </w:r>
      <w:r w:rsidR="008569A8">
        <w:t>-</w:t>
      </w:r>
      <w:r w:rsidR="000D5CCA">
        <w:t xml:space="preserve">dependent analysis or from the end of the recurrence risk </w:t>
      </w:r>
      <w:r w:rsidR="000D5CCA">
        <w:lastRenderedPageBreak/>
        <w:t xml:space="preserve">window in </w:t>
      </w:r>
      <w:r w:rsidR="008569A8">
        <w:t xml:space="preserve">a </w:t>
      </w:r>
      <w:r w:rsidR="000D5CCA">
        <w:t>time</w:t>
      </w:r>
      <w:r w:rsidR="008569A8">
        <w:t>-</w:t>
      </w:r>
      <w:r w:rsidR="000D5CCA">
        <w:t xml:space="preserve">fixed analysis. </w:t>
      </w:r>
      <w:r w:rsidR="0007253E">
        <w:t xml:space="preserve">In contrast with mortality, the occurrence of a non-fatal complication does not preclude a recurrent CDI episode, and the </w:t>
      </w:r>
      <w:r w:rsidR="00DE401F">
        <w:t>12</w:t>
      </w:r>
      <w:r w:rsidR="0007253E">
        <w:t xml:space="preserve">-month risk of complications were thus more frequently observed in the group with recurrent CDI versus non-recurrent CDI, regardless of the analyses used. </w:t>
      </w:r>
    </w:p>
    <w:p w14:paraId="29DB41C9" w14:textId="77777777" w:rsidR="009A4EC6" w:rsidRDefault="009A4EC6"/>
    <w:p w14:paraId="786AD222" w14:textId="2BE39F2B" w:rsidR="00034EAD" w:rsidRDefault="00294810">
      <w:pPr>
        <w:rPr>
          <w:rFonts w:eastAsia="Calibri" w:cs="Arial"/>
        </w:rPr>
      </w:pPr>
      <w:r>
        <w:t>One</w:t>
      </w:r>
      <w:r w:rsidR="00E26163" w:rsidRPr="00675080">
        <w:t xml:space="preserve"> </w:t>
      </w:r>
      <w:r w:rsidR="007834C3" w:rsidRPr="00675080">
        <w:t>limitation of th</w:t>
      </w:r>
      <w:r w:rsidR="002B51BC">
        <w:t>is</w:t>
      </w:r>
      <w:r w:rsidR="007834C3" w:rsidRPr="00675080">
        <w:t xml:space="preserve"> study is</w:t>
      </w:r>
      <w:r w:rsidR="00D35BC4">
        <w:t xml:space="preserve"> that some patients</w:t>
      </w:r>
      <w:r w:rsidR="002B51BC">
        <w:t xml:space="preserve"> in </w:t>
      </w:r>
      <w:r>
        <w:t xml:space="preserve">our </w:t>
      </w:r>
      <w:r w:rsidR="002B51BC">
        <w:t>primary and secondary analyses</w:t>
      </w:r>
      <w:r w:rsidR="00D35BC4">
        <w:t xml:space="preserve"> may have been incorrectly classified as CDI</w:t>
      </w:r>
      <w:r w:rsidR="00977B5E">
        <w:t>-</w:t>
      </w:r>
      <w:r w:rsidR="00D35BC4">
        <w:t xml:space="preserve">positive due to the lack of laboratory confirmation of </w:t>
      </w:r>
      <w:r w:rsidR="002B51BC">
        <w:t>infection</w:t>
      </w:r>
      <w:r w:rsidR="00D35BC4">
        <w:t xml:space="preserve">. </w:t>
      </w:r>
      <w:bookmarkStart w:id="3" w:name="_Hlk27133859"/>
      <w:r w:rsidR="00D35BC4">
        <w:t>Secondly,</w:t>
      </w:r>
      <w:r w:rsidR="007834C3" w:rsidRPr="00675080">
        <w:t xml:space="preserve"> </w:t>
      </w:r>
      <w:r w:rsidR="00E26163" w:rsidRPr="00675080">
        <w:t xml:space="preserve">a precise </w:t>
      </w:r>
      <w:r w:rsidR="0073040D" w:rsidRPr="00675080">
        <w:t xml:space="preserve">onset or </w:t>
      </w:r>
      <w:r w:rsidR="002B51BC">
        <w:t xml:space="preserve">CDI </w:t>
      </w:r>
      <w:r w:rsidR="007834C3" w:rsidRPr="00675080">
        <w:t>diagnos</w:t>
      </w:r>
      <w:r w:rsidR="002B51BC">
        <w:t>is</w:t>
      </w:r>
      <w:r w:rsidR="007834C3" w:rsidRPr="00675080">
        <w:t xml:space="preserve"> date </w:t>
      </w:r>
      <w:r w:rsidR="00576490">
        <w:t xml:space="preserve">was not available </w:t>
      </w:r>
      <w:bookmarkEnd w:id="3"/>
      <w:r w:rsidR="007834C3" w:rsidRPr="00675080">
        <w:t xml:space="preserve">for </w:t>
      </w:r>
      <w:r w:rsidR="0043588B" w:rsidRPr="00675080">
        <w:t xml:space="preserve">either the primary or recurrent </w:t>
      </w:r>
      <w:r w:rsidR="00E26163" w:rsidRPr="00675080">
        <w:t xml:space="preserve">episode of </w:t>
      </w:r>
      <w:r w:rsidR="007834C3" w:rsidRPr="00675080">
        <w:t>CDI</w:t>
      </w:r>
      <w:r w:rsidR="00025467">
        <w:t>, as</w:t>
      </w:r>
      <w:r w:rsidR="002B51BC">
        <w:t xml:space="preserve"> clinical data in</w:t>
      </w:r>
      <w:r w:rsidR="00E26163" w:rsidRPr="00675080">
        <w:t xml:space="preserve"> </w:t>
      </w:r>
      <w:r w:rsidR="00C404A3">
        <w:t xml:space="preserve">the </w:t>
      </w:r>
      <w:r w:rsidR="00E26163" w:rsidRPr="00675080">
        <w:t xml:space="preserve">HES </w:t>
      </w:r>
      <w:r w:rsidR="00C404A3">
        <w:t xml:space="preserve">database </w:t>
      </w:r>
      <w:r w:rsidR="00EE25BB">
        <w:t>are</w:t>
      </w:r>
      <w:r w:rsidR="00C404A3">
        <w:t xml:space="preserve"> grouped into episodes of care</w:t>
      </w:r>
      <w:r w:rsidR="00025467">
        <w:t xml:space="preserve"> rather than presented as separate encounters </w:t>
      </w:r>
      <w:r w:rsidR="00C404A3">
        <w:fldChar w:fldCharType="begin" w:fldLock="1"/>
      </w:r>
      <w:r w:rsidR="005E0B17">
        <w:instrText>ADDIN CSL_CITATION {"citationItems":[{"id":"ITEM-1","itemData":{"URL":"https://digital.nhs.uk/binaries/content/assets/website-assets/data-and-information/data-tools-and-services/data-services/hospital-episode-statistics/hes_analysis_guide_september_2018-v1.1.pdf","accessed":{"date-parts":[["2020","3","12"]]},"author":[{"dropping-particle":"","family":"UK National Health Service","given":"","non-dropping-particle":"","parse-names":false,"suffix":""}],"id":"ITEM-1","issued":{"date-parts":[["2019"]]},"title":"Hospital Episode Statistics (HES) Analysis Guide","type":"webpage"},"uris":["http://www.mendeley.com/documents/?uuid=75423e96-c490-4a5a-b179-b88108f4ae47"]}],"mendeley":{"formattedCitation":"[29]","plainTextFormattedCitation":"[29]","previouslyFormattedCitation":"[29]"},"properties":{"noteIndex":0},"schema":"https://github.com/citation-style-language/schema/raw/master/csl-citation.json"}</w:instrText>
      </w:r>
      <w:r w:rsidR="00C404A3">
        <w:fldChar w:fldCharType="separate"/>
      </w:r>
      <w:r w:rsidR="005E0B17" w:rsidRPr="005E0B17">
        <w:rPr>
          <w:noProof/>
        </w:rPr>
        <w:t>[29]</w:t>
      </w:r>
      <w:r w:rsidR="00C404A3">
        <w:fldChar w:fldCharType="end"/>
      </w:r>
      <w:r w:rsidR="00025467">
        <w:t>.</w:t>
      </w:r>
      <w:r w:rsidR="004E1285" w:rsidRPr="00675080">
        <w:t xml:space="preserve"> </w:t>
      </w:r>
      <w:r w:rsidR="00675080">
        <w:t>Th</w:t>
      </w:r>
      <w:r w:rsidR="00025467">
        <w:t>is</w:t>
      </w:r>
      <w:r w:rsidR="00675080">
        <w:t xml:space="preserve"> limitation may</w:t>
      </w:r>
      <w:r w:rsidR="007834C3">
        <w:t xml:space="preserve"> have led to </w:t>
      </w:r>
      <w:r w:rsidR="00970528">
        <w:t xml:space="preserve">misclassification of </w:t>
      </w:r>
      <w:r w:rsidR="003D3C4C">
        <w:t xml:space="preserve">initial </w:t>
      </w:r>
      <w:r w:rsidR="00970528">
        <w:t xml:space="preserve">CDI </w:t>
      </w:r>
      <w:r w:rsidR="003D3C4C">
        <w:t xml:space="preserve">or recurrence </w:t>
      </w:r>
      <w:r w:rsidR="00970528">
        <w:t>status, and</w:t>
      </w:r>
      <w:r w:rsidR="003D3C4C">
        <w:t>/or an inaccurate</w:t>
      </w:r>
      <w:r w:rsidR="00970528">
        <w:t xml:space="preserve"> time to event in the survival analysis.</w:t>
      </w:r>
      <w:r>
        <w:t xml:space="preserve"> </w:t>
      </w:r>
      <w:r w:rsidR="00AB31E0">
        <w:t>Given this important limitation</w:t>
      </w:r>
      <w:r>
        <w:t>, t</w:t>
      </w:r>
      <w:r w:rsidR="00034EAD" w:rsidRPr="00034EAD">
        <w:rPr>
          <w:rFonts w:eastAsia="Calibri" w:cs="Arial"/>
        </w:rPr>
        <w:t>hroughout our study</w:t>
      </w:r>
      <w:r>
        <w:rPr>
          <w:rFonts w:eastAsia="Calibri" w:cs="Arial"/>
        </w:rPr>
        <w:t xml:space="preserve"> </w:t>
      </w:r>
      <w:r w:rsidR="00AB31E0">
        <w:rPr>
          <w:rFonts w:eastAsia="Calibri" w:cs="Arial"/>
        </w:rPr>
        <w:t>we</w:t>
      </w:r>
      <w:r w:rsidR="00025467">
        <w:rPr>
          <w:rFonts w:eastAsia="Calibri" w:cs="Arial"/>
        </w:rPr>
        <w:t xml:space="preserve"> </w:t>
      </w:r>
      <w:r w:rsidR="00AB31E0">
        <w:rPr>
          <w:rFonts w:eastAsia="Calibri" w:cs="Arial"/>
        </w:rPr>
        <w:t>selected</w:t>
      </w:r>
      <w:r w:rsidR="00025467">
        <w:rPr>
          <w:rFonts w:eastAsia="Calibri" w:cs="Arial"/>
        </w:rPr>
        <w:t xml:space="preserve"> analysis parameters that would </w:t>
      </w:r>
      <w:r w:rsidR="00926992">
        <w:rPr>
          <w:rFonts w:eastAsia="Calibri" w:cs="Arial"/>
        </w:rPr>
        <w:t>provide</w:t>
      </w:r>
      <w:r w:rsidR="00025467">
        <w:rPr>
          <w:rFonts w:eastAsia="Calibri" w:cs="Arial"/>
        </w:rPr>
        <w:t xml:space="preserve"> </w:t>
      </w:r>
      <w:r>
        <w:rPr>
          <w:rFonts w:eastAsia="Calibri" w:cs="Arial"/>
        </w:rPr>
        <w:t xml:space="preserve">more </w:t>
      </w:r>
      <w:r w:rsidR="00025467">
        <w:rPr>
          <w:rFonts w:eastAsia="Calibri" w:cs="Arial"/>
        </w:rPr>
        <w:t>conservative estimates</w:t>
      </w:r>
      <w:r>
        <w:rPr>
          <w:rFonts w:eastAsia="Calibri" w:cs="Arial"/>
        </w:rPr>
        <w:t xml:space="preserve"> of the effect of CDI exposure on outcomes</w:t>
      </w:r>
      <w:r w:rsidR="001A4A16">
        <w:rPr>
          <w:rFonts w:eastAsia="Calibri" w:cs="Arial"/>
        </w:rPr>
        <w:t xml:space="preserve">. </w:t>
      </w:r>
    </w:p>
    <w:p w14:paraId="126CF0BF" w14:textId="77777777" w:rsidR="009A4EC6" w:rsidRDefault="009A4EC6">
      <w:pPr>
        <w:rPr>
          <w:rFonts w:eastAsia="Calibri" w:cs="Arial"/>
        </w:rPr>
      </w:pPr>
    </w:p>
    <w:p w14:paraId="1B07BF50" w14:textId="5FF2E8EC" w:rsidR="003D0367" w:rsidRDefault="00D35BC4" w:rsidP="008A4EE9">
      <w:r>
        <w:t>Thirdly</w:t>
      </w:r>
      <w:r w:rsidR="00972EB8">
        <w:t>, t</w:t>
      </w:r>
      <w:r w:rsidR="00474E9D">
        <w:t>he CPRD GOLD and HES databases</w:t>
      </w:r>
      <w:r w:rsidR="00A472B9">
        <w:t xml:space="preserve"> lac</w:t>
      </w:r>
      <w:r w:rsidR="00474E9D">
        <w:t>k</w:t>
      </w:r>
      <w:r w:rsidR="00A472B9">
        <w:t xml:space="preserve"> information on </w:t>
      </w:r>
      <w:r w:rsidR="00972EB8">
        <w:t xml:space="preserve">some </w:t>
      </w:r>
      <w:r w:rsidR="00A472B9">
        <w:t>important facto</w:t>
      </w:r>
      <w:r w:rsidR="00AE2755">
        <w:t>r</w:t>
      </w:r>
      <w:r w:rsidR="00A472B9">
        <w:t>s</w:t>
      </w:r>
      <w:r w:rsidR="001A4A16">
        <w:t>,</w:t>
      </w:r>
      <w:r w:rsidR="00A472B9">
        <w:t xml:space="preserve"> such as </w:t>
      </w:r>
      <w:r w:rsidR="000E79B1">
        <w:t>di</w:t>
      </w:r>
      <w:r w:rsidR="008569A8">
        <w:t>s</w:t>
      </w:r>
      <w:r w:rsidR="000E79B1">
        <w:t>ease</w:t>
      </w:r>
      <w:r w:rsidR="00AE2755">
        <w:t xml:space="preserve"> severity, infection strain, metabolic changes associated with </w:t>
      </w:r>
      <w:r w:rsidR="005777C7">
        <w:t>CDI</w:t>
      </w:r>
      <w:r w:rsidR="00AE2755">
        <w:t xml:space="preserve">, </w:t>
      </w:r>
      <w:r w:rsidR="00972EB8">
        <w:t xml:space="preserve">severity </w:t>
      </w:r>
      <w:r w:rsidR="00AE2755">
        <w:t xml:space="preserve">of comorbidities and </w:t>
      </w:r>
      <w:r w:rsidR="000F5FDD">
        <w:t>prescribing in the secondary care setting</w:t>
      </w:r>
      <w:r w:rsidR="008569A8">
        <w:t>,</w:t>
      </w:r>
      <w:r w:rsidR="000E79B1">
        <w:t xml:space="preserve"> </w:t>
      </w:r>
      <w:r w:rsidR="003D0367">
        <w:t>which may introduce residual confounding. It is</w:t>
      </w:r>
      <w:r w:rsidR="008569A8">
        <w:t>,</w:t>
      </w:r>
      <w:r w:rsidR="003D0367">
        <w:t xml:space="preserve"> however</w:t>
      </w:r>
      <w:r w:rsidR="008569A8">
        <w:t>,</w:t>
      </w:r>
      <w:r w:rsidR="003D0367">
        <w:t xml:space="preserve"> reasonable to assume that some factors may be non</w:t>
      </w:r>
      <w:r w:rsidR="008569A8">
        <w:t>-</w:t>
      </w:r>
      <w:r w:rsidR="003D0367">
        <w:t>differ</w:t>
      </w:r>
      <w:r w:rsidR="008569A8">
        <w:t>e</w:t>
      </w:r>
      <w:r w:rsidR="003D0367">
        <w:t>n</w:t>
      </w:r>
      <w:r w:rsidR="008569A8">
        <w:t>ti</w:t>
      </w:r>
      <w:r w:rsidR="003D0367">
        <w:t>al</w:t>
      </w:r>
      <w:r w:rsidR="008569A8">
        <w:t>l</w:t>
      </w:r>
      <w:r w:rsidR="003D0367">
        <w:t xml:space="preserve">y distributed between exposure and comparison groups. </w:t>
      </w:r>
      <w:r w:rsidR="009E1B67">
        <w:t>Additionally</w:t>
      </w:r>
      <w:r w:rsidR="00B30902">
        <w:t>,</w:t>
      </w:r>
      <w:r w:rsidR="008A4EE9">
        <w:t xml:space="preserve"> l</w:t>
      </w:r>
      <w:r w:rsidR="008A4EE9" w:rsidRPr="008A4EE9">
        <w:t>ocation and organi</w:t>
      </w:r>
      <w:r w:rsidR="00DE401F">
        <w:t>z</w:t>
      </w:r>
      <w:r w:rsidR="008A4EE9" w:rsidRPr="008A4EE9">
        <w:t xml:space="preserve">ational information such as hospital provider codes </w:t>
      </w:r>
      <w:r w:rsidR="008A4EE9">
        <w:t xml:space="preserve">or hospital ward </w:t>
      </w:r>
      <w:r w:rsidR="008A4EE9" w:rsidRPr="008A4EE9">
        <w:t xml:space="preserve">are not routinely available in the </w:t>
      </w:r>
      <w:r w:rsidR="00DE401F">
        <w:t>HES</w:t>
      </w:r>
      <w:r w:rsidR="008A4EE9" w:rsidRPr="008A4EE9">
        <w:t xml:space="preserve"> data collected by CPRD</w:t>
      </w:r>
      <w:r w:rsidR="008A4EE9">
        <w:t xml:space="preserve">, </w:t>
      </w:r>
      <w:r w:rsidR="008A4EE9" w:rsidRPr="008A4EE9">
        <w:t>to minimi</w:t>
      </w:r>
      <w:r w:rsidR="0062502A">
        <w:t>z</w:t>
      </w:r>
      <w:r w:rsidR="008A4EE9" w:rsidRPr="008A4EE9">
        <w:t xml:space="preserve">e the </w:t>
      </w:r>
      <w:r w:rsidR="008A4EE9">
        <w:t xml:space="preserve">potential </w:t>
      </w:r>
      <w:r w:rsidR="008A4EE9" w:rsidRPr="008A4EE9">
        <w:t xml:space="preserve">risk of </w:t>
      </w:r>
      <w:r w:rsidR="008A4EE9">
        <w:t xml:space="preserve">patient </w:t>
      </w:r>
      <w:r w:rsidR="008A4EE9" w:rsidRPr="008A4EE9">
        <w:t>re-identification.</w:t>
      </w:r>
      <w:r w:rsidR="008A4EE9">
        <w:t xml:space="preserve"> Hospital and ward information was therefore not used as a matching parameter for cases and controls. Instead, we opted to take account of whether patients were admitted for emergency or elective procedures as a proxy for the severity of the patient condition at the time of admission. There is also no linkage from HES to microbiology data or outbreak surveillance systems</w:t>
      </w:r>
      <w:r w:rsidR="00DE401F">
        <w:t>,</w:t>
      </w:r>
      <w:r w:rsidR="008A4EE9">
        <w:t xml:space="preserve"> so we were unable to account for impact of local outbreaks. For the CDI v</w:t>
      </w:r>
      <w:r w:rsidR="009850A7">
        <w:t>ersu</w:t>
      </w:r>
      <w:r w:rsidR="008A4EE9">
        <w:t>s no CDI analysis</w:t>
      </w:r>
      <w:r w:rsidR="00DE401F">
        <w:t>,</w:t>
      </w:r>
      <w:r w:rsidR="008A4EE9">
        <w:t xml:space="preserve"> we matched on year of admission, and for the r</w:t>
      </w:r>
      <w:r w:rsidR="00DE401F">
        <w:t xml:space="preserve">ecurrent </w:t>
      </w:r>
      <w:r w:rsidR="008A4EE9">
        <w:t xml:space="preserve">CDI </w:t>
      </w:r>
      <w:r w:rsidR="009850A7" w:rsidRPr="009850A7">
        <w:t xml:space="preserve">versus </w:t>
      </w:r>
      <w:r w:rsidR="008A4EE9">
        <w:t>CDI analysis</w:t>
      </w:r>
      <w:r w:rsidR="00DE401F">
        <w:t>,</w:t>
      </w:r>
      <w:r w:rsidR="008A4EE9">
        <w:t xml:space="preserve"> we adjusted for year of admission, </w:t>
      </w:r>
      <w:proofErr w:type="gramStart"/>
      <w:r w:rsidR="008A4EE9">
        <w:t>in an attempt to</w:t>
      </w:r>
      <w:proofErr w:type="gramEnd"/>
      <w:r w:rsidR="008A4EE9">
        <w:t xml:space="preserve"> mitigate the impact of large national outbreaks or important temporal trends. Lastly, </w:t>
      </w:r>
      <w:r w:rsidR="00B30902">
        <w:t>i</w:t>
      </w:r>
      <w:r w:rsidR="00B30902" w:rsidRPr="00B30902">
        <w:t xml:space="preserve">n the absence of objective laboratory or pathology evidence to link CDI to cause of death, it was not possible to estimate </w:t>
      </w:r>
      <w:r w:rsidR="00B30902">
        <w:t>the proportion of deaths</w:t>
      </w:r>
      <w:r w:rsidR="00B30902" w:rsidRPr="00B30902">
        <w:t xml:space="preserve"> attributable to CDI</w:t>
      </w:r>
      <w:r w:rsidR="00B30902">
        <w:t xml:space="preserve">; given this, we </w:t>
      </w:r>
      <w:r w:rsidR="009E1B67">
        <w:t>assessed</w:t>
      </w:r>
      <w:r w:rsidR="00B30902">
        <w:t xml:space="preserve"> </w:t>
      </w:r>
      <w:r w:rsidR="00B30902" w:rsidRPr="00B30902">
        <w:t>all-cause mortality up to 12 months to capture both short and longer</w:t>
      </w:r>
      <w:r w:rsidR="00DE401F">
        <w:t xml:space="preserve"> </w:t>
      </w:r>
      <w:r w:rsidR="00B30902" w:rsidRPr="00B30902">
        <w:t xml:space="preserve">term, and direct and indirect effects of CDI. </w:t>
      </w:r>
    </w:p>
    <w:p w14:paraId="13FA9D15" w14:textId="77777777" w:rsidR="009A4EC6" w:rsidRDefault="009A4EC6"/>
    <w:p w14:paraId="116A4E5C" w14:textId="50062E21" w:rsidR="00970528" w:rsidRDefault="00970528">
      <w:pPr>
        <w:rPr>
          <w:b/>
        </w:rPr>
      </w:pPr>
    </w:p>
    <w:p w14:paraId="26D30826" w14:textId="77777777" w:rsidR="009A4EC6" w:rsidRDefault="009A4EC6">
      <w:pPr>
        <w:rPr>
          <w:b/>
        </w:rPr>
      </w:pPr>
    </w:p>
    <w:p w14:paraId="76C5E8E4" w14:textId="7913C9FB" w:rsidR="005061A5" w:rsidRDefault="005061A5">
      <w:r>
        <w:lastRenderedPageBreak/>
        <w:t xml:space="preserve">In </w:t>
      </w:r>
      <w:r w:rsidR="000E79B1">
        <w:t>summary</w:t>
      </w:r>
      <w:r>
        <w:t xml:space="preserve">, this study draws on a substantial body of data from routine clinical practice to demonstrate that patients </w:t>
      </w:r>
      <w:r w:rsidR="00EB07A8">
        <w:t xml:space="preserve">who </w:t>
      </w:r>
      <w:r w:rsidR="001B4E0A">
        <w:t>have</w:t>
      </w:r>
      <w:r w:rsidR="00EB07A8">
        <w:t xml:space="preserve"> CDI during </w:t>
      </w:r>
      <w:r w:rsidR="001B4E0A">
        <w:t xml:space="preserve">their </w:t>
      </w:r>
      <w:r w:rsidR="00EB07A8">
        <w:t xml:space="preserve">hospital </w:t>
      </w:r>
      <w:r w:rsidR="001B4E0A">
        <w:t>stay</w:t>
      </w:r>
      <w:r>
        <w:t xml:space="preserve"> </w:t>
      </w:r>
      <w:r w:rsidR="00865CD4">
        <w:t xml:space="preserve">have higher mortality rates than </w:t>
      </w:r>
      <w:r w:rsidR="00B4204F">
        <w:t xml:space="preserve">patients </w:t>
      </w:r>
      <w:r w:rsidR="001B4E0A">
        <w:t>who do not</w:t>
      </w:r>
      <w:r w:rsidR="00B4204F">
        <w:t xml:space="preserve">. Among patients </w:t>
      </w:r>
      <w:r w:rsidR="001B4E0A">
        <w:t>who ha</w:t>
      </w:r>
      <w:r w:rsidR="00F73898">
        <w:t>ve</w:t>
      </w:r>
      <w:r w:rsidR="001B4E0A">
        <w:t xml:space="preserve"> HA-</w:t>
      </w:r>
      <w:r w:rsidR="00B4204F">
        <w:t xml:space="preserve">CDI, those with recurrent CDI are at greater risk of complications or death than those with non-recurrent CDI. </w:t>
      </w:r>
      <w:r w:rsidR="000D556C">
        <w:t xml:space="preserve">Our data provide a comprehensive picture of the impact of CDI in </w:t>
      </w:r>
      <w:proofErr w:type="gramStart"/>
      <w:r w:rsidR="000D556C">
        <w:t>England, and</w:t>
      </w:r>
      <w:proofErr w:type="gramEnd"/>
      <w:r w:rsidR="000D556C">
        <w:t xml:space="preserve"> highlight the importance of preventing and managing initial and recurrent episodes of CDI.</w:t>
      </w:r>
    </w:p>
    <w:p w14:paraId="1CDD881F" w14:textId="77777777" w:rsidR="00713EDC" w:rsidRPr="002B51BC" w:rsidRDefault="00713EDC">
      <w:pPr>
        <w:rPr>
          <w:highlight w:val="yellow"/>
        </w:rPr>
      </w:pPr>
    </w:p>
    <w:p w14:paraId="27E7B567" w14:textId="77777777" w:rsidR="008569A8" w:rsidRDefault="008569A8">
      <w:pPr>
        <w:pStyle w:val="Heading1"/>
        <w:spacing w:before="0" w:after="0"/>
        <w:jc w:val="both"/>
        <w:sectPr w:rsidR="008569A8" w:rsidSect="003B3515">
          <w:pgSz w:w="11906" w:h="16838"/>
          <w:pgMar w:top="1440" w:right="1440" w:bottom="1440" w:left="1440" w:header="709" w:footer="709" w:gutter="0"/>
          <w:lnNumType w:countBy="1" w:restart="continuous"/>
          <w:cols w:space="708"/>
          <w:docGrid w:linePitch="360"/>
        </w:sectPr>
      </w:pPr>
    </w:p>
    <w:p w14:paraId="2184707C" w14:textId="194D444C" w:rsidR="000A02C8" w:rsidRDefault="000A02C8" w:rsidP="00B73061">
      <w:pPr>
        <w:pStyle w:val="Heading1"/>
        <w:spacing w:before="0" w:after="0"/>
        <w:jc w:val="both"/>
      </w:pPr>
      <w:r>
        <w:lastRenderedPageBreak/>
        <w:t>Author declarations</w:t>
      </w:r>
    </w:p>
    <w:p w14:paraId="4441E742" w14:textId="77777777" w:rsidR="00B73061" w:rsidRPr="0073622B" w:rsidRDefault="00B73061" w:rsidP="003B3515"/>
    <w:p w14:paraId="70DC100C" w14:textId="60BAA6E5" w:rsidR="005B284F" w:rsidRDefault="005B284F" w:rsidP="00B73061">
      <w:pPr>
        <w:pStyle w:val="Heading2"/>
        <w:spacing w:before="0"/>
      </w:pPr>
      <w:r>
        <w:t>Acknowledgements</w:t>
      </w:r>
    </w:p>
    <w:p w14:paraId="73A197E6" w14:textId="77777777" w:rsidR="00B73061" w:rsidRPr="0073622B" w:rsidRDefault="00B73061" w:rsidP="003B3515"/>
    <w:p w14:paraId="456095BE" w14:textId="682CC21C" w:rsidR="00024CAD" w:rsidRDefault="009059C7">
      <w:r w:rsidRPr="00C25695">
        <w:t xml:space="preserve">This study was </w:t>
      </w:r>
      <w:r w:rsidR="00A47783">
        <w:t>funded</w:t>
      </w:r>
      <w:r w:rsidRPr="00C25695">
        <w:t xml:space="preserve"> by Astellas Pharma Inc. </w:t>
      </w:r>
      <w:r w:rsidR="00227CE1">
        <w:t>We</w:t>
      </w:r>
      <w:r w:rsidR="000E68A9">
        <w:t xml:space="preserve"> wish to </w:t>
      </w:r>
      <w:r w:rsidR="00227CE1">
        <w:t xml:space="preserve">thank Reiner </w:t>
      </w:r>
      <w:proofErr w:type="spellStart"/>
      <w:r w:rsidR="00227CE1">
        <w:t>Tretter</w:t>
      </w:r>
      <w:proofErr w:type="spellEnd"/>
      <w:r w:rsidR="000E68A9">
        <w:t>,</w:t>
      </w:r>
      <w:r w:rsidR="000E68A9" w:rsidRPr="000E68A9">
        <w:t xml:space="preserve"> </w:t>
      </w:r>
      <w:r w:rsidR="000C1C8A">
        <w:t>s</w:t>
      </w:r>
      <w:r w:rsidR="000E68A9">
        <w:t>tatistician at Astellas Pharma</w:t>
      </w:r>
      <w:r w:rsidR="004C10EB">
        <w:t xml:space="preserve"> Inc.</w:t>
      </w:r>
      <w:r w:rsidR="000E68A9">
        <w:t xml:space="preserve"> at the time of this study, </w:t>
      </w:r>
      <w:r w:rsidR="00227CE1">
        <w:t>for his contribution to the analysis</w:t>
      </w:r>
      <w:r w:rsidR="00A47783">
        <w:t xml:space="preserve"> and</w:t>
      </w:r>
      <w:r w:rsidR="005B284F" w:rsidRPr="00C25695">
        <w:t xml:space="preserve"> </w:t>
      </w:r>
      <w:r w:rsidR="00E85DE2">
        <w:t>Iona Easthope</w:t>
      </w:r>
      <w:r w:rsidR="007A495C">
        <w:t>,</w:t>
      </w:r>
      <w:r w:rsidR="00E85DE2">
        <w:t xml:space="preserve"> DPhil,</w:t>
      </w:r>
      <w:r w:rsidR="005B284F" w:rsidRPr="00C25695">
        <w:t xml:space="preserve"> </w:t>
      </w:r>
      <w:r w:rsidR="007A495C">
        <w:t xml:space="preserve">of </w:t>
      </w:r>
      <w:r w:rsidR="005B284F" w:rsidRPr="00C25695">
        <w:t xml:space="preserve">Cello Health </w:t>
      </w:r>
      <w:proofErr w:type="spellStart"/>
      <w:r w:rsidR="005B284F" w:rsidRPr="00C25695">
        <w:t>MedErgy</w:t>
      </w:r>
      <w:proofErr w:type="spellEnd"/>
      <w:r w:rsidR="00A47783">
        <w:t xml:space="preserve"> for medical writing services. </w:t>
      </w:r>
    </w:p>
    <w:p w14:paraId="181F9EAA" w14:textId="77777777" w:rsidR="000D556C" w:rsidRPr="00C25695" w:rsidRDefault="000D556C"/>
    <w:p w14:paraId="255D7DC1" w14:textId="5BE80FDE" w:rsidR="005B284F" w:rsidRDefault="00D50408">
      <w:r>
        <w:t>Previous presentations</w:t>
      </w:r>
      <w:r w:rsidR="007F15A2">
        <w:t>:</w:t>
      </w:r>
      <w:r w:rsidR="00024CAD">
        <w:t xml:space="preserve"> </w:t>
      </w:r>
      <w:r w:rsidR="007F15A2">
        <w:t>o</w:t>
      </w:r>
      <w:r w:rsidR="004B40A1">
        <w:t xml:space="preserve">ral presentation at the </w:t>
      </w:r>
      <w:r w:rsidR="004B40A1" w:rsidRPr="004B40A1">
        <w:t>25th European Congress of Clinical Microbiology and Infectious Diseases</w:t>
      </w:r>
      <w:r w:rsidR="004B40A1">
        <w:t xml:space="preserve"> (ECCMID)</w:t>
      </w:r>
      <w:r w:rsidR="004B40A1" w:rsidRPr="004B40A1">
        <w:t>, 25</w:t>
      </w:r>
      <w:r w:rsidR="004B40A1">
        <w:rPr>
          <w:rFonts w:cs="Arial"/>
        </w:rPr>
        <w:t>−</w:t>
      </w:r>
      <w:r w:rsidR="004B40A1" w:rsidRPr="004B40A1">
        <w:t>28</w:t>
      </w:r>
      <w:r w:rsidR="001D720B" w:rsidRPr="003B3515">
        <w:rPr>
          <w:vertAlign w:val="superscript"/>
        </w:rPr>
        <w:t>th</w:t>
      </w:r>
      <w:r w:rsidR="004B40A1" w:rsidRPr="004B40A1">
        <w:t xml:space="preserve"> April 2015</w:t>
      </w:r>
      <w:r>
        <w:t xml:space="preserve">, </w:t>
      </w:r>
      <w:r w:rsidR="004B40A1" w:rsidRPr="004B40A1">
        <w:t>Copenhagen,</w:t>
      </w:r>
      <w:r w:rsidR="007F15A2">
        <w:t xml:space="preserve"> </w:t>
      </w:r>
      <w:r w:rsidR="004B40A1" w:rsidRPr="004B40A1">
        <w:t>Denmark</w:t>
      </w:r>
      <w:r>
        <w:t>; e</w:t>
      </w:r>
      <w:r w:rsidR="00633B63">
        <w:t>-</w:t>
      </w:r>
      <w:r w:rsidR="004B40A1">
        <w:t xml:space="preserve">poster at the </w:t>
      </w:r>
      <w:r w:rsidR="004B40A1" w:rsidRPr="004B40A1">
        <w:t xml:space="preserve">27th </w:t>
      </w:r>
      <w:r w:rsidR="004B40A1">
        <w:t>ECCMID</w:t>
      </w:r>
      <w:r w:rsidR="004B40A1" w:rsidRPr="004B40A1">
        <w:t>, 22–25</w:t>
      </w:r>
      <w:r w:rsidR="001D720B" w:rsidRPr="003B3515">
        <w:rPr>
          <w:vertAlign w:val="superscript"/>
        </w:rPr>
        <w:t>th</w:t>
      </w:r>
      <w:r w:rsidR="004B40A1" w:rsidRPr="004B40A1">
        <w:t xml:space="preserve"> April</w:t>
      </w:r>
      <w:r w:rsidR="004B40A1">
        <w:t xml:space="preserve"> 2017</w:t>
      </w:r>
      <w:r w:rsidR="004B40A1" w:rsidRPr="004B40A1">
        <w:t>, Vienna, Austria</w:t>
      </w:r>
      <w:r w:rsidR="004B40A1">
        <w:t xml:space="preserve">. </w:t>
      </w:r>
    </w:p>
    <w:p w14:paraId="703A6856" w14:textId="77777777" w:rsidR="009A4EC6" w:rsidRDefault="009A4EC6"/>
    <w:p w14:paraId="6A1DB800" w14:textId="2F51AC0A" w:rsidR="00253ABE" w:rsidRDefault="00253ABE" w:rsidP="00B73061">
      <w:pPr>
        <w:rPr>
          <w:b/>
          <w:bCs/>
        </w:rPr>
      </w:pPr>
      <w:r w:rsidRPr="00253ABE">
        <w:rPr>
          <w:b/>
          <w:bCs/>
        </w:rPr>
        <w:t>Author contributions</w:t>
      </w:r>
      <w:r>
        <w:rPr>
          <w:b/>
          <w:bCs/>
        </w:rPr>
        <w:t xml:space="preserve"> </w:t>
      </w:r>
    </w:p>
    <w:p w14:paraId="6B41C609" w14:textId="77777777" w:rsidR="00B73061" w:rsidRDefault="00B73061">
      <w:pPr>
        <w:rPr>
          <w:b/>
          <w:bCs/>
        </w:rPr>
      </w:pPr>
    </w:p>
    <w:p w14:paraId="2DC50852" w14:textId="1BCECE0A" w:rsidR="00FC0B6B" w:rsidRDefault="005D104D">
      <w:r w:rsidRPr="003B3515">
        <w:t>D</w:t>
      </w:r>
      <w:r w:rsidR="00FB2F37">
        <w:t>A</w:t>
      </w:r>
      <w:r w:rsidRPr="003B3515">
        <w:t>E</w:t>
      </w:r>
      <w:r>
        <w:t xml:space="preserve">, TMT, </w:t>
      </w:r>
      <w:r w:rsidR="00FC0B6B">
        <w:t>NA,</w:t>
      </w:r>
      <w:r w:rsidR="00AF5B92">
        <w:t xml:space="preserve"> DD,</w:t>
      </w:r>
      <w:r w:rsidR="00FC0B6B">
        <w:t xml:space="preserve"> NF and AK were involved in the concept and design of the study. </w:t>
      </w:r>
    </w:p>
    <w:p w14:paraId="7E38FBAD" w14:textId="647F2929" w:rsidR="00FC0B6B" w:rsidRDefault="00FC0B6B">
      <w:r>
        <w:t xml:space="preserve">TMT, NA, </w:t>
      </w:r>
      <w:r w:rsidR="00AF5B92">
        <w:t xml:space="preserve">DD, </w:t>
      </w:r>
      <w:r>
        <w:t xml:space="preserve">AG and AK were involved in the acquisition, analysis and/or interpretation of the data. </w:t>
      </w:r>
    </w:p>
    <w:p w14:paraId="096E9647" w14:textId="3CB3CFD4" w:rsidR="00FC0B6B" w:rsidRDefault="00FC0B6B">
      <w:r>
        <w:t xml:space="preserve">All authors participated in drafting the manuscript and its critical revisions for important intellectual content. </w:t>
      </w:r>
    </w:p>
    <w:p w14:paraId="119B1B12" w14:textId="5C485C1A" w:rsidR="00FC0B6B" w:rsidRDefault="00FC0B6B" w:rsidP="00FC0B6B">
      <w:r>
        <w:t>All authors have approved the final submitted article.</w:t>
      </w:r>
    </w:p>
    <w:p w14:paraId="200EC3D6" w14:textId="77777777" w:rsidR="009A4EC6" w:rsidRPr="00F309DA" w:rsidRDefault="009A4EC6"/>
    <w:p w14:paraId="0EAE25E4" w14:textId="55572F45" w:rsidR="000A02C8" w:rsidRDefault="009E136A" w:rsidP="00B73061">
      <w:pPr>
        <w:pStyle w:val="Heading2"/>
        <w:spacing w:before="0"/>
      </w:pPr>
      <w:r>
        <w:t>Disclosures</w:t>
      </w:r>
    </w:p>
    <w:p w14:paraId="0CBD4868" w14:textId="77777777" w:rsidR="00B73061" w:rsidRPr="0073622B" w:rsidRDefault="00B73061" w:rsidP="003B3515"/>
    <w:p w14:paraId="49F047F6" w14:textId="02F3FF0F" w:rsidR="00E23E9E" w:rsidRPr="00E23E9E" w:rsidRDefault="00F73898">
      <w:r w:rsidRPr="00F73898">
        <w:t>DAE has received fees for conference attendance from Astellas Pharma</w:t>
      </w:r>
      <w:r w:rsidR="00FB2F37">
        <w:t xml:space="preserve">, </w:t>
      </w:r>
      <w:proofErr w:type="spellStart"/>
      <w:r w:rsidRPr="00F73898">
        <w:t>Eumedica</w:t>
      </w:r>
      <w:proofErr w:type="spellEnd"/>
      <w:r w:rsidR="00FB2F37">
        <w:t>, Pfizer, Gilead and MSD</w:t>
      </w:r>
      <w:r>
        <w:t>,</w:t>
      </w:r>
      <w:r w:rsidRPr="00F73898">
        <w:t xml:space="preserve"> and for consultancy work from </w:t>
      </w:r>
      <w:proofErr w:type="spellStart"/>
      <w:r w:rsidRPr="00F73898">
        <w:t>Cardiome</w:t>
      </w:r>
      <w:proofErr w:type="spellEnd"/>
      <w:r w:rsidRPr="00F73898">
        <w:t xml:space="preserve">. </w:t>
      </w:r>
    </w:p>
    <w:p w14:paraId="220581AF" w14:textId="7B5677B0" w:rsidR="000D7F5E" w:rsidRDefault="00E23E9E">
      <w:r w:rsidRPr="008B071B">
        <w:t>TMT and</w:t>
      </w:r>
      <w:r w:rsidRPr="008B071B" w:rsidDel="001F7FAC">
        <w:t xml:space="preserve"> </w:t>
      </w:r>
      <w:r w:rsidR="001F7FAC" w:rsidRPr="008B071B">
        <w:t>DD</w:t>
      </w:r>
      <w:r w:rsidRPr="008B071B">
        <w:t xml:space="preserve"> </w:t>
      </w:r>
      <w:r w:rsidR="00EE3D54" w:rsidRPr="008B071B">
        <w:t>are</w:t>
      </w:r>
      <w:r w:rsidR="001F7FAC" w:rsidRPr="008B071B">
        <w:t xml:space="preserve"> full-time employee</w:t>
      </w:r>
      <w:r w:rsidR="00EE3D54" w:rsidRPr="008B071B">
        <w:t>s</w:t>
      </w:r>
      <w:r w:rsidR="001F7FAC" w:rsidRPr="008B071B">
        <w:t xml:space="preserve"> of CPRD, which provides contract research </w:t>
      </w:r>
      <w:proofErr w:type="gramStart"/>
      <w:r w:rsidR="001F7FAC" w:rsidRPr="008B071B">
        <w:t>services</w:t>
      </w:r>
      <w:proofErr w:type="gramEnd"/>
      <w:r w:rsidR="001F7FAC" w:rsidRPr="008B071B">
        <w:t xml:space="preserve"> </w:t>
      </w:r>
      <w:r w:rsidR="00EE3D54" w:rsidRPr="00192871">
        <w:t xml:space="preserve">and which received payment from </w:t>
      </w:r>
      <w:r w:rsidR="001F7FAC" w:rsidRPr="00192871">
        <w:t>Astellas Pharma</w:t>
      </w:r>
      <w:r w:rsidR="00EE3D54" w:rsidRPr="00192871">
        <w:t xml:space="preserve"> for work on the study</w:t>
      </w:r>
      <w:r w:rsidR="001F7FAC" w:rsidRPr="00341EEA">
        <w:t>.</w:t>
      </w:r>
    </w:p>
    <w:p w14:paraId="484CDDD5" w14:textId="77777777" w:rsidR="00EE3D54" w:rsidRDefault="00EE3D54">
      <w:r>
        <w:t xml:space="preserve">NA </w:t>
      </w:r>
      <w:r w:rsidR="00E23E9E">
        <w:t xml:space="preserve">and AG </w:t>
      </w:r>
      <w:r>
        <w:t>were full-time employees of Astellas Pharma at the time of the study.</w:t>
      </w:r>
    </w:p>
    <w:p w14:paraId="049AFD38" w14:textId="2FCFB5C3" w:rsidR="00EE3D54" w:rsidRDefault="00EE3D54">
      <w:r>
        <w:t xml:space="preserve">AK </w:t>
      </w:r>
      <w:r w:rsidR="0016728F">
        <w:t xml:space="preserve">was </w:t>
      </w:r>
      <w:r>
        <w:t xml:space="preserve">a full-time employee of Astellas Pharma </w:t>
      </w:r>
      <w:r w:rsidR="0016728F">
        <w:t xml:space="preserve">at the time of the </w:t>
      </w:r>
      <w:proofErr w:type="gramStart"/>
      <w:r w:rsidR="0016728F">
        <w:t xml:space="preserve">study, </w:t>
      </w:r>
      <w:r>
        <w:t>and</w:t>
      </w:r>
      <w:proofErr w:type="gramEnd"/>
      <w:r>
        <w:t xml:space="preserve"> has patents </w:t>
      </w:r>
      <w:r w:rsidRPr="00EE3D54">
        <w:t>WO2015169451 A1</w:t>
      </w:r>
      <w:r>
        <w:t xml:space="preserve"> and </w:t>
      </w:r>
      <w:r w:rsidRPr="00EE3D54">
        <w:t>EP17167541.6</w:t>
      </w:r>
      <w:r>
        <w:t xml:space="preserve"> pending, which are licenced to Astellas Pharma.</w:t>
      </w:r>
    </w:p>
    <w:p w14:paraId="2F80B25E" w14:textId="77777777" w:rsidR="009A4EC6" w:rsidRPr="000D7F5E" w:rsidRDefault="009A4EC6"/>
    <w:p w14:paraId="48F10B62" w14:textId="548F6531" w:rsidR="005327EE" w:rsidRDefault="005327EE" w:rsidP="00B73061">
      <w:pPr>
        <w:pStyle w:val="Heading2"/>
        <w:spacing w:before="0"/>
      </w:pPr>
      <w:r>
        <w:t>Funding</w:t>
      </w:r>
      <w:r w:rsidR="000A02C8">
        <w:t xml:space="preserve"> source</w:t>
      </w:r>
    </w:p>
    <w:p w14:paraId="1C29F779" w14:textId="77777777" w:rsidR="00B73061" w:rsidRPr="0073622B" w:rsidRDefault="00B73061" w:rsidP="003B3515"/>
    <w:p w14:paraId="2FE65B33" w14:textId="68FC3001" w:rsidR="003D0367" w:rsidRPr="00203925" w:rsidRDefault="005327EE">
      <w:r w:rsidRPr="00C25695">
        <w:t xml:space="preserve">This </w:t>
      </w:r>
      <w:r w:rsidR="00A47783">
        <w:t xml:space="preserve">research study and medical writing services </w:t>
      </w:r>
      <w:r w:rsidR="004C10EB">
        <w:t>were</w:t>
      </w:r>
      <w:r w:rsidRPr="00C25695">
        <w:t xml:space="preserve"> </w:t>
      </w:r>
      <w:r w:rsidR="00A47783">
        <w:t>funded</w:t>
      </w:r>
      <w:r w:rsidRPr="00C25695">
        <w:t xml:space="preserve"> </w:t>
      </w:r>
      <w:r w:rsidR="00A47783">
        <w:t xml:space="preserve">by </w:t>
      </w:r>
      <w:r w:rsidRPr="00C25695">
        <w:t>Astellas Pharma Inc.</w:t>
      </w:r>
      <w:r w:rsidR="00E35E25">
        <w:t xml:space="preserve"> </w:t>
      </w:r>
    </w:p>
    <w:p w14:paraId="2DCA9897" w14:textId="01A859F2" w:rsidR="000955A2" w:rsidRPr="003B3515" w:rsidRDefault="00203925">
      <w:r w:rsidRPr="003B3515">
        <w:lastRenderedPageBreak/>
        <w:t>Astellas Pharma Inc. was involved in the study design; the collection, analysis and interpretation of data; the writing of the report; and the decision to submit the article for publication.</w:t>
      </w:r>
    </w:p>
    <w:p w14:paraId="7C1F8E56" w14:textId="091EE120" w:rsidR="00726BDA" w:rsidRPr="00C25695" w:rsidRDefault="00726BDA">
      <w:r w:rsidRPr="00C25695">
        <w:rPr>
          <w:b/>
          <w:bCs/>
        </w:rPr>
        <w:br w:type="page"/>
      </w:r>
    </w:p>
    <w:p w14:paraId="61A47C4A" w14:textId="11079B4D" w:rsidR="00726BDA" w:rsidRDefault="00726BDA" w:rsidP="00B73061">
      <w:pPr>
        <w:pStyle w:val="Heading1"/>
        <w:spacing w:before="0" w:after="0"/>
      </w:pPr>
      <w:bookmarkStart w:id="4" w:name="_Hlk3367066"/>
      <w:r w:rsidRPr="00C25695">
        <w:lastRenderedPageBreak/>
        <w:t>References</w:t>
      </w:r>
    </w:p>
    <w:p w14:paraId="6BDD913E" w14:textId="77777777" w:rsidR="00B73061" w:rsidRPr="0073622B" w:rsidRDefault="00B73061" w:rsidP="003B3515"/>
    <w:p w14:paraId="20CB7CBB" w14:textId="12999C4A" w:rsidR="005E0B17" w:rsidRPr="005E0B17" w:rsidRDefault="00517042" w:rsidP="005E0B17">
      <w:pPr>
        <w:widowControl w:val="0"/>
        <w:autoSpaceDE w:val="0"/>
        <w:autoSpaceDN w:val="0"/>
        <w:adjustRightInd w:val="0"/>
        <w:ind w:left="640" w:hanging="640"/>
        <w:rPr>
          <w:rFonts w:cs="Arial"/>
          <w:noProof/>
          <w:szCs w:val="24"/>
        </w:rPr>
      </w:pPr>
      <w:r>
        <w:fldChar w:fldCharType="begin" w:fldLock="1"/>
      </w:r>
      <w:r>
        <w:instrText xml:space="preserve">ADDIN Mendeley Bibliography CSL_BIBLIOGRAPHY </w:instrText>
      </w:r>
      <w:r>
        <w:fldChar w:fldCharType="separate"/>
      </w:r>
      <w:r w:rsidR="005E0B17" w:rsidRPr="005E0B17">
        <w:rPr>
          <w:rFonts w:cs="Arial"/>
          <w:noProof/>
          <w:szCs w:val="24"/>
        </w:rPr>
        <w:t>[1]</w:t>
      </w:r>
      <w:r w:rsidR="005E0B17" w:rsidRPr="005E0B17">
        <w:rPr>
          <w:rFonts w:cs="Arial"/>
          <w:noProof/>
          <w:szCs w:val="24"/>
        </w:rPr>
        <w:tab/>
        <w:t xml:space="preserve">Zhu D, Sorg JA, Sun X. </w:t>
      </w:r>
      <w:r w:rsidR="005E0B17" w:rsidRPr="005E0B17">
        <w:rPr>
          <w:rFonts w:cs="Arial"/>
          <w:i/>
          <w:iCs/>
          <w:noProof/>
          <w:szCs w:val="24"/>
        </w:rPr>
        <w:t>Clostridioides difficile</w:t>
      </w:r>
      <w:r w:rsidR="005E0B17" w:rsidRPr="005E0B17">
        <w:rPr>
          <w:rFonts w:cs="Arial"/>
          <w:noProof/>
          <w:szCs w:val="24"/>
        </w:rPr>
        <w:t xml:space="preserve"> biology: sporulation, germination, and corresponding therapies for </w:t>
      </w:r>
      <w:r w:rsidR="005E0B17" w:rsidRPr="005E0B17">
        <w:rPr>
          <w:rFonts w:cs="Arial"/>
          <w:i/>
          <w:iCs/>
          <w:noProof/>
          <w:szCs w:val="24"/>
        </w:rPr>
        <w:t>C. difficile</w:t>
      </w:r>
      <w:r w:rsidR="005E0B17" w:rsidRPr="005E0B17">
        <w:rPr>
          <w:rFonts w:cs="Arial"/>
          <w:noProof/>
          <w:szCs w:val="24"/>
        </w:rPr>
        <w:t xml:space="preserve"> infection. Front Cell Infect Microbiol 2018;8:1–29. doi:10.3389/fcimb.2018.00029.</w:t>
      </w:r>
    </w:p>
    <w:p w14:paraId="397CD3DF"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w:t>
      </w:r>
      <w:r w:rsidRPr="005E0B17">
        <w:rPr>
          <w:rFonts w:cs="Arial"/>
          <w:noProof/>
          <w:szCs w:val="24"/>
        </w:rPr>
        <w:tab/>
        <w:t xml:space="preserve">Schäffler H, Breitruck A. </w:t>
      </w:r>
      <w:r w:rsidRPr="005E0B17">
        <w:rPr>
          <w:rFonts w:cs="Arial"/>
          <w:i/>
          <w:iCs/>
          <w:noProof/>
          <w:szCs w:val="24"/>
        </w:rPr>
        <w:t xml:space="preserve">Clostridium difficile </w:t>
      </w:r>
      <w:r w:rsidRPr="005E0B17">
        <w:rPr>
          <w:rFonts w:cs="Arial"/>
          <w:noProof/>
          <w:szCs w:val="24"/>
        </w:rPr>
        <w:t xml:space="preserve"> – from colonization to infection. Front Microbiol 2018;9:646. doi:10.3389/fmicb.2018.00646.</w:t>
      </w:r>
    </w:p>
    <w:p w14:paraId="04D8E5DC"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w:t>
      </w:r>
      <w:r w:rsidRPr="005E0B17">
        <w:rPr>
          <w:rFonts w:cs="Arial"/>
          <w:noProof/>
          <w:szCs w:val="24"/>
        </w:rPr>
        <w:tab/>
        <w:t xml:space="preserve">Cohen SH, Gerding DN, Johnson S, Kelly CP, Loo VG, McDonald LC, et al. Clinical practice guidelines for </w:t>
      </w:r>
      <w:r w:rsidRPr="005E0B17">
        <w:rPr>
          <w:rFonts w:cs="Arial"/>
          <w:i/>
          <w:iCs/>
          <w:noProof/>
          <w:szCs w:val="24"/>
        </w:rPr>
        <w:t>Clostridium difficile</w:t>
      </w:r>
      <w:r w:rsidRPr="005E0B17">
        <w:rPr>
          <w:rFonts w:cs="Arial"/>
          <w:noProof/>
          <w:szCs w:val="24"/>
        </w:rPr>
        <w:t xml:space="preserve"> infection in adults: 2010 update by the Society for Healthcare Epidemiology of America (SHEA) and the Infectious Diseases Society of America (IDSA). Infect Control Hosp Epidemiol 2010;31:431–55. doi:10.1086/651706.</w:t>
      </w:r>
    </w:p>
    <w:p w14:paraId="0FF6E637"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w:t>
      </w:r>
      <w:r w:rsidRPr="005E0B17">
        <w:rPr>
          <w:rFonts w:cs="Arial"/>
          <w:noProof/>
          <w:szCs w:val="24"/>
        </w:rPr>
        <w:tab/>
        <w:t xml:space="preserve">Haines CF, Moore RD, Bartlett JG, Sears CL, Cosgrove SE, Carroll K, et al. </w:t>
      </w:r>
      <w:r w:rsidRPr="005E0B17">
        <w:rPr>
          <w:rFonts w:cs="Arial"/>
          <w:i/>
          <w:iCs/>
          <w:noProof/>
          <w:szCs w:val="24"/>
        </w:rPr>
        <w:t>Clostridium difficile</w:t>
      </w:r>
      <w:r w:rsidRPr="005E0B17">
        <w:rPr>
          <w:rFonts w:cs="Arial"/>
          <w:noProof/>
          <w:szCs w:val="24"/>
        </w:rPr>
        <w:t xml:space="preserve"> in a HIV-infected cohort: incidence, risk factors, and clinical outcomes. AIDS 2013;27:2799–807. doi:10.1097/01.aids.0000432450.37863.e9.</w:t>
      </w:r>
    </w:p>
    <w:p w14:paraId="0DEA95CA"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[5]</w:t>
      </w:r>
      <w:r w:rsidRPr="005E0B17">
        <w:rPr>
          <w:rFonts w:cs="Arial"/>
          <w:noProof/>
          <w:szCs w:val="24"/>
        </w:rPr>
        <w:tab/>
        <w:t xml:space="preserve">Dial S, Delaney JAC, Barkun AN, Suissa S. Use of gastric acid-suppressive agents and the risk of community-acquired </w:t>
      </w:r>
      <w:r w:rsidRPr="005E0B17">
        <w:rPr>
          <w:rFonts w:cs="Arial"/>
          <w:i/>
          <w:iCs/>
          <w:noProof/>
          <w:szCs w:val="24"/>
        </w:rPr>
        <w:t>Clostridium difficile</w:t>
      </w:r>
      <w:r w:rsidRPr="005E0B17">
        <w:rPr>
          <w:rFonts w:cs="Arial"/>
          <w:noProof/>
          <w:szCs w:val="24"/>
        </w:rPr>
        <w:t>-associated disease. J Am Med Assoc 2005;294:2989–95. doi:10.1001/jama.294.23.2989.</w:t>
      </w:r>
    </w:p>
    <w:p w14:paraId="7B8116A2"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[6]</w:t>
      </w:r>
      <w:r w:rsidRPr="005E0B17">
        <w:rPr>
          <w:rFonts w:cs="Arial"/>
          <w:noProof/>
          <w:szCs w:val="24"/>
        </w:rPr>
        <w:tab/>
        <w:t xml:space="preserve">Asha NJ, Tompkins D, Wilcox MH. Comparative analysis of prevalence, risk factors, and molecular epidemiology of antibiotic-associated diarrhea due to </w:t>
      </w:r>
      <w:r w:rsidRPr="005E0B17">
        <w:rPr>
          <w:rFonts w:cs="Arial"/>
          <w:i/>
          <w:iCs/>
          <w:noProof/>
          <w:szCs w:val="24"/>
        </w:rPr>
        <w:t>Clostridium difficile</w:t>
      </w:r>
      <w:r w:rsidRPr="005E0B17">
        <w:rPr>
          <w:rFonts w:cs="Arial"/>
          <w:noProof/>
          <w:szCs w:val="24"/>
        </w:rPr>
        <w:t xml:space="preserve">, </w:t>
      </w:r>
      <w:r w:rsidRPr="005E0B17">
        <w:rPr>
          <w:rFonts w:cs="Arial"/>
          <w:i/>
          <w:iCs/>
          <w:noProof/>
          <w:szCs w:val="24"/>
        </w:rPr>
        <w:t>Clostridium perfringens</w:t>
      </w:r>
      <w:r w:rsidRPr="005E0B17">
        <w:rPr>
          <w:rFonts w:cs="Arial"/>
          <w:noProof/>
          <w:szCs w:val="24"/>
        </w:rPr>
        <w:t xml:space="preserve">, and </w:t>
      </w:r>
      <w:r w:rsidRPr="005E0B17">
        <w:rPr>
          <w:rFonts w:cs="Arial"/>
          <w:i/>
          <w:iCs/>
          <w:noProof/>
          <w:szCs w:val="24"/>
        </w:rPr>
        <w:t>Staphylococcus aureus</w:t>
      </w:r>
      <w:r w:rsidRPr="005E0B17">
        <w:rPr>
          <w:rFonts w:cs="Arial"/>
          <w:noProof/>
          <w:szCs w:val="24"/>
        </w:rPr>
        <w:t>. J Clin Microbiol 2006;44:2785–91. doi:10.1128/JCM.00165-06.</w:t>
      </w:r>
    </w:p>
    <w:p w14:paraId="224E4428"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[7]</w:t>
      </w:r>
      <w:r w:rsidRPr="005E0B17">
        <w:rPr>
          <w:rFonts w:cs="Arial"/>
          <w:noProof/>
          <w:szCs w:val="24"/>
        </w:rPr>
        <w:tab/>
        <w:t xml:space="preserve">Howell MD, Novack V, Grgurich P, Soulliard D, Novack L, Pencina M, et al. Iatrogenic gastric acid suppression and the risk of nosocomial </w:t>
      </w:r>
      <w:r w:rsidRPr="005E0B17">
        <w:rPr>
          <w:rFonts w:cs="Arial"/>
          <w:i/>
          <w:iCs/>
          <w:noProof/>
          <w:szCs w:val="24"/>
        </w:rPr>
        <w:t>Clostridium difficile</w:t>
      </w:r>
      <w:r w:rsidRPr="005E0B17">
        <w:rPr>
          <w:rFonts w:cs="Arial"/>
          <w:noProof/>
          <w:szCs w:val="24"/>
        </w:rPr>
        <w:t xml:space="preserve"> infection. Arch Intern Med 2010;170:784–90. doi:10.1001/archinternmed.2010.89.</w:t>
      </w:r>
    </w:p>
    <w:p w14:paraId="2F997D63"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[8]</w:t>
      </w:r>
      <w:r w:rsidRPr="005E0B17">
        <w:rPr>
          <w:rFonts w:cs="Arial"/>
          <w:noProof/>
          <w:szCs w:val="24"/>
        </w:rPr>
        <w:tab/>
        <w:t xml:space="preserve">Lo Vecchio A, Zacur GM. </w:t>
      </w:r>
      <w:r w:rsidRPr="005E0B17">
        <w:rPr>
          <w:rFonts w:cs="Arial"/>
          <w:i/>
          <w:iCs/>
          <w:noProof/>
          <w:szCs w:val="24"/>
        </w:rPr>
        <w:t>Clostridium difficile</w:t>
      </w:r>
      <w:r w:rsidRPr="005E0B17">
        <w:rPr>
          <w:rFonts w:cs="Arial"/>
          <w:noProof/>
          <w:szCs w:val="24"/>
        </w:rPr>
        <w:t xml:space="preserve"> infection: An update on epidemiology, risk factors, and therapeutic options. Curr Opin Gastroenterol 2012;28:1–9. doi:10.1097/MOG.0b013e32834bc9a9.</w:t>
      </w:r>
    </w:p>
    <w:p w14:paraId="2E6C040D"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[9]</w:t>
      </w:r>
      <w:r w:rsidRPr="005E0B17">
        <w:rPr>
          <w:rFonts w:cs="Arial"/>
          <w:noProof/>
          <w:szCs w:val="24"/>
        </w:rPr>
        <w:tab/>
        <w:t xml:space="preserve">Bouza E. Consequences of </w:t>
      </w:r>
      <w:r w:rsidRPr="005E0B17">
        <w:rPr>
          <w:rFonts w:cs="Arial"/>
          <w:i/>
          <w:iCs/>
          <w:noProof/>
          <w:szCs w:val="24"/>
        </w:rPr>
        <w:t>Clostridium difficile</w:t>
      </w:r>
      <w:r w:rsidRPr="005E0B17">
        <w:rPr>
          <w:rFonts w:cs="Arial"/>
          <w:noProof/>
          <w:szCs w:val="24"/>
        </w:rPr>
        <w:t xml:space="preserve"> infection: understanding the healthcare burden. Clin Microbiol Infect 2012;18 Suppl 6:5–12. doi:10.1111/1469-0691.12064.</w:t>
      </w:r>
    </w:p>
    <w:p w14:paraId="00E42C56"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[10]</w:t>
      </w:r>
      <w:r w:rsidRPr="005E0B17">
        <w:rPr>
          <w:rFonts w:cs="Arial"/>
          <w:noProof/>
          <w:szCs w:val="24"/>
        </w:rPr>
        <w:tab/>
        <w:t xml:space="preserve">Wiegand PN, Nathwani D, Wilcox MH, Stephens J, Shelbaya A, Haider S. Clinical and economic burden of </w:t>
      </w:r>
      <w:r w:rsidRPr="005E0B17">
        <w:rPr>
          <w:rFonts w:cs="Arial"/>
          <w:i/>
          <w:iCs/>
          <w:noProof/>
          <w:szCs w:val="24"/>
        </w:rPr>
        <w:t>Clostridium difficile</w:t>
      </w:r>
      <w:r w:rsidRPr="005E0B17">
        <w:rPr>
          <w:rFonts w:cs="Arial"/>
          <w:noProof/>
          <w:szCs w:val="24"/>
        </w:rPr>
        <w:t xml:space="preserve"> infection in Europe: a systematic review of healthcare-facility-acquired infection. J Hosp Infect 2012;81:1–14. doi:10.1016/j.jhin.2012.02.004.</w:t>
      </w:r>
    </w:p>
    <w:p w14:paraId="4C8588E7"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[11]</w:t>
      </w:r>
      <w:r w:rsidRPr="005E0B17">
        <w:rPr>
          <w:rFonts w:cs="Arial"/>
          <w:noProof/>
          <w:szCs w:val="24"/>
        </w:rPr>
        <w:tab/>
        <w:t xml:space="preserve">Bartlett JG, Gerding DN. Clinical recognition and diagnosis of </w:t>
      </w:r>
      <w:r w:rsidRPr="005E0B17">
        <w:rPr>
          <w:rFonts w:cs="Arial"/>
          <w:i/>
          <w:iCs/>
          <w:noProof/>
          <w:szCs w:val="24"/>
        </w:rPr>
        <w:t>Clostridium difficile</w:t>
      </w:r>
      <w:r w:rsidRPr="005E0B17">
        <w:rPr>
          <w:rFonts w:cs="Arial"/>
          <w:noProof/>
          <w:szCs w:val="24"/>
        </w:rPr>
        <w:t xml:space="preserve"> </w:t>
      </w:r>
      <w:r w:rsidRPr="005E0B17">
        <w:rPr>
          <w:rFonts w:cs="Arial"/>
          <w:noProof/>
          <w:szCs w:val="24"/>
        </w:rPr>
        <w:lastRenderedPageBreak/>
        <w:t>infection. Clin Infect Dis 2008;46:S12–8. doi:10.1086/521863.</w:t>
      </w:r>
    </w:p>
    <w:p w14:paraId="39E1DF76"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[12]</w:t>
      </w:r>
      <w:r w:rsidRPr="005E0B17">
        <w:rPr>
          <w:rFonts w:cs="Arial"/>
          <w:noProof/>
          <w:szCs w:val="24"/>
        </w:rPr>
        <w:tab/>
        <w:t xml:space="preserve">Chakra CNA, Pepin J, Sirard S, Valiquette L. Risk factors for recurrence, complications and mortality in </w:t>
      </w:r>
      <w:r w:rsidRPr="005E0B17">
        <w:rPr>
          <w:rFonts w:cs="Arial"/>
          <w:i/>
          <w:iCs/>
          <w:noProof/>
          <w:szCs w:val="24"/>
        </w:rPr>
        <w:t>Clostridium difficile</w:t>
      </w:r>
      <w:r w:rsidRPr="005E0B17">
        <w:rPr>
          <w:rFonts w:cs="Arial"/>
          <w:noProof/>
          <w:szCs w:val="24"/>
        </w:rPr>
        <w:t xml:space="preserve"> infection: a systematic review. PLoS One 2014;9:e98400. doi:10.1371/journal.pone.0107420.</w:t>
      </w:r>
    </w:p>
    <w:p w14:paraId="29467322"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[13]</w:t>
      </w:r>
      <w:r w:rsidRPr="005E0B17">
        <w:rPr>
          <w:rFonts w:cs="Arial"/>
          <w:noProof/>
          <w:szCs w:val="24"/>
        </w:rPr>
        <w:tab/>
        <w:t xml:space="preserve">McDonald LC, Gerding DN, Johnson S, Bakken JS, Carroll KC, Coffin SE, et al. Clinical practice guidelines for </w:t>
      </w:r>
      <w:r w:rsidRPr="005E0B17">
        <w:rPr>
          <w:rFonts w:cs="Arial"/>
          <w:i/>
          <w:iCs/>
          <w:noProof/>
          <w:szCs w:val="24"/>
        </w:rPr>
        <w:t>Clostridium difficile</w:t>
      </w:r>
      <w:r w:rsidRPr="005E0B17">
        <w:rPr>
          <w:rFonts w:cs="Arial"/>
          <w:noProof/>
          <w:szCs w:val="24"/>
        </w:rPr>
        <w:t xml:space="preserve"> infection in adults and children: 2017 update by the Infectious Diseases Society of America (IDSA) and Society for Healthcare Epidemiology of America (SHEA). Clin Infect Dis 2018;66:e1–48. doi:10.1093/cid/cix1085.</w:t>
      </w:r>
    </w:p>
    <w:p w14:paraId="0EBB9AD9"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[14]</w:t>
      </w:r>
      <w:r w:rsidRPr="005E0B17">
        <w:rPr>
          <w:rFonts w:cs="Arial"/>
          <w:noProof/>
          <w:szCs w:val="24"/>
        </w:rPr>
        <w:tab/>
        <w:t xml:space="preserve">Olsen MA, Stwalley D, Demont C, Dubberke ER. </w:t>
      </w:r>
      <w:r w:rsidRPr="005E0B17">
        <w:rPr>
          <w:rFonts w:cs="Arial"/>
          <w:i/>
          <w:iCs/>
          <w:noProof/>
          <w:szCs w:val="24"/>
        </w:rPr>
        <w:t>Clostridium difficile</w:t>
      </w:r>
      <w:r w:rsidRPr="005E0B17">
        <w:rPr>
          <w:rFonts w:cs="Arial"/>
          <w:noProof/>
          <w:szCs w:val="24"/>
        </w:rPr>
        <w:t xml:space="preserve"> infection increases acute and chronic morbidity and mortality. Infect Control Hosp Epidemiol 2019;40:65–71. doi:10.1017/ice.2018.280.</w:t>
      </w:r>
    </w:p>
    <w:p w14:paraId="4E3032D9"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[15]</w:t>
      </w:r>
      <w:r w:rsidRPr="005E0B17">
        <w:rPr>
          <w:rFonts w:cs="Arial"/>
          <w:noProof/>
          <w:szCs w:val="24"/>
        </w:rPr>
        <w:tab/>
        <w:t xml:space="preserve">Bauer MP, Notermans DW, van Benthem BH, Brazier JS, Wilcox MH, Rupnik DL, et al. </w:t>
      </w:r>
      <w:r w:rsidRPr="005E0B17">
        <w:rPr>
          <w:rFonts w:cs="Arial"/>
          <w:i/>
          <w:iCs/>
          <w:noProof/>
          <w:szCs w:val="24"/>
        </w:rPr>
        <w:t>Clostridium difficile</w:t>
      </w:r>
      <w:r w:rsidRPr="005E0B17">
        <w:rPr>
          <w:rFonts w:cs="Arial"/>
          <w:noProof/>
          <w:szCs w:val="24"/>
        </w:rPr>
        <w:t xml:space="preserve"> infection in Europe: a hospital-based survey. Lancet 2011;377:63–73. doi:http://dx.doi.org/10.1016/S0140-6736(10)61266-4.</w:t>
      </w:r>
    </w:p>
    <w:p w14:paraId="2A1B9BA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[16]</w:t>
      </w:r>
      <w:r w:rsidRPr="005E0B17">
        <w:rPr>
          <w:rFonts w:cs="Arial"/>
          <w:noProof/>
          <w:szCs w:val="24"/>
        </w:rPr>
        <w:tab/>
        <w:t xml:space="preserve">Barbut F, Bouée S, Longepierre L, Goldberg M, Bensoussan C, Levy-Bachelot L. Excess mortality between 2007 and 2014 among patients with </w:t>
      </w:r>
      <w:r w:rsidRPr="005E0B17">
        <w:rPr>
          <w:rFonts w:cs="Arial"/>
          <w:i/>
          <w:iCs/>
          <w:noProof/>
          <w:szCs w:val="24"/>
        </w:rPr>
        <w:t>Clostridium difficile</w:t>
      </w:r>
      <w:r w:rsidRPr="005E0B17">
        <w:rPr>
          <w:rFonts w:cs="Arial"/>
          <w:noProof/>
          <w:szCs w:val="24"/>
        </w:rPr>
        <w:t xml:space="preserve"> infection: a French health insurance database analysis. J Hosp Infect 2018;98:21–8. doi:10.1016/j.jhin.2017.07.006.</w:t>
      </w:r>
    </w:p>
    <w:p w14:paraId="002E3F7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[17]</w:t>
      </w:r>
      <w:r w:rsidRPr="005E0B17">
        <w:rPr>
          <w:rFonts w:cs="Arial"/>
          <w:noProof/>
          <w:szCs w:val="24"/>
        </w:rPr>
        <w:tab/>
        <w:t xml:space="preserve">Banks A, Moore EK, Bishop J, Coia JE, Brown D, Mather H, et al. Trends in mortality following </w:t>
      </w:r>
      <w:r w:rsidRPr="005E0B17">
        <w:rPr>
          <w:rFonts w:cs="Arial"/>
          <w:i/>
          <w:iCs/>
          <w:noProof/>
          <w:szCs w:val="24"/>
        </w:rPr>
        <w:t>Clostridium difficile</w:t>
      </w:r>
      <w:r w:rsidRPr="005E0B17">
        <w:rPr>
          <w:rFonts w:cs="Arial"/>
          <w:noProof/>
          <w:szCs w:val="24"/>
        </w:rPr>
        <w:t xml:space="preserve"> infection in Scotland, 2010-2016: a retrospective cohort and case-control study. J Hosp Infect 2018;100:133–41. doi:10.1016/j.jhin.2018.07.023.</w:t>
      </w:r>
    </w:p>
    <w:p w14:paraId="09447E43"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[18]</w:t>
      </w:r>
      <w:r w:rsidRPr="005E0B17">
        <w:rPr>
          <w:rFonts w:cs="Arial"/>
          <w:noProof/>
          <w:szCs w:val="24"/>
        </w:rPr>
        <w:tab/>
        <w:t xml:space="preserve">Reacher M, Verlander NQ, Roddick I, Trundle C, Brown N, Farrington M, et al. Excess mortality attributable to </w:t>
      </w:r>
      <w:r w:rsidRPr="005E0B17">
        <w:rPr>
          <w:rFonts w:cs="Arial"/>
          <w:i/>
          <w:iCs/>
          <w:noProof/>
          <w:szCs w:val="24"/>
        </w:rPr>
        <w:t>Clostridium difficile</w:t>
      </w:r>
      <w:r w:rsidRPr="005E0B17">
        <w:rPr>
          <w:rFonts w:cs="Arial"/>
          <w:noProof/>
          <w:szCs w:val="24"/>
        </w:rPr>
        <w:t xml:space="preserve"> and risk factors for infection in an historic cohort of hospitalised patients followed up in the United Kingdom death register. PLoS One 2016;11:1–23. doi:10.1371/journal.pone.0149983.</w:t>
      </w:r>
    </w:p>
    <w:p w14:paraId="23AC8A43"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[19]</w:t>
      </w:r>
      <w:r w:rsidRPr="005E0B17">
        <w:rPr>
          <w:rFonts w:cs="Arial"/>
          <w:noProof/>
          <w:szCs w:val="24"/>
        </w:rPr>
        <w:tab/>
        <w:t xml:space="preserve">Kuntz JL, Baker JM, Kipnis P, Li SX, Liu V, Xie Y, et al. Utilization of health services among adults with recurrent </w:t>
      </w:r>
      <w:r w:rsidRPr="005E0B17">
        <w:rPr>
          <w:rFonts w:cs="Arial"/>
          <w:i/>
          <w:iCs/>
          <w:noProof/>
          <w:szCs w:val="24"/>
        </w:rPr>
        <w:t>Clostridium difficile</w:t>
      </w:r>
      <w:r w:rsidRPr="005E0B17">
        <w:rPr>
          <w:rFonts w:cs="Arial"/>
          <w:noProof/>
          <w:szCs w:val="24"/>
        </w:rPr>
        <w:t xml:space="preserve"> infection: a 12-year population-based study. Infect Control Hosp Epidemiol 2017;38:45–52. doi:10.1017/ice.2016.232.</w:t>
      </w:r>
    </w:p>
    <w:p w14:paraId="2D40FDDB"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[20]</w:t>
      </w:r>
      <w:r w:rsidRPr="005E0B17">
        <w:rPr>
          <w:rFonts w:cs="Arial"/>
          <w:noProof/>
          <w:szCs w:val="24"/>
        </w:rPr>
        <w:tab/>
        <w:t xml:space="preserve">Shah DN, Aitken SL, Barragan LF, Bozorgui S, Goddu S, Navarro ME, et al. Economic burden of primary compared with recurrent </w:t>
      </w:r>
      <w:r w:rsidRPr="005E0B17">
        <w:rPr>
          <w:rFonts w:cs="Arial"/>
          <w:i/>
          <w:iCs/>
          <w:noProof/>
          <w:szCs w:val="24"/>
        </w:rPr>
        <w:t>Clostridium difficile</w:t>
      </w:r>
      <w:r w:rsidRPr="005E0B17">
        <w:rPr>
          <w:rFonts w:cs="Arial"/>
          <w:noProof/>
          <w:szCs w:val="24"/>
        </w:rPr>
        <w:t xml:space="preserve"> infection in hospitalized patients: a prospective cohort study. J Hosp Infect 2016;93:286–9. doi:10.1016/j.jhin.2016.04.004.</w:t>
      </w:r>
    </w:p>
    <w:p w14:paraId="315776C4"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[21]</w:t>
      </w:r>
      <w:r w:rsidRPr="005E0B17">
        <w:rPr>
          <w:rFonts w:cs="Arial"/>
          <w:noProof/>
          <w:szCs w:val="24"/>
        </w:rPr>
        <w:tab/>
        <w:t xml:space="preserve">Olsen MA, Yan Y, Reske KA, Zilberberg MD, Dubberke ER. Recurrent </w:t>
      </w:r>
      <w:r w:rsidRPr="005E0B17">
        <w:rPr>
          <w:rFonts w:cs="Arial"/>
          <w:i/>
          <w:iCs/>
          <w:noProof/>
          <w:szCs w:val="24"/>
        </w:rPr>
        <w:t>Clostridium difficile</w:t>
      </w:r>
      <w:r w:rsidRPr="005E0B17">
        <w:rPr>
          <w:rFonts w:cs="Arial"/>
          <w:noProof/>
          <w:szCs w:val="24"/>
        </w:rPr>
        <w:t xml:space="preserve"> infection is associated with increased mortality. Clin Microbiol Infect 2015;21:164–70. doi:10.1016/j.cmi.2014.08.017.</w:t>
      </w:r>
    </w:p>
    <w:p w14:paraId="037401E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lastRenderedPageBreak/>
        <w:t>[22]</w:t>
      </w:r>
      <w:r w:rsidRPr="005E0B17">
        <w:rPr>
          <w:rFonts w:cs="Arial"/>
          <w:noProof/>
          <w:szCs w:val="24"/>
        </w:rPr>
        <w:tab/>
        <w:t xml:space="preserve">Reveles KR, Lawson KA, Mortensen EM, Pugh MJ V., Koeller JM, Argamany JR, et al. National epidemiology of initial and recurrent </w:t>
      </w:r>
      <w:r w:rsidRPr="005E0B17">
        <w:rPr>
          <w:rFonts w:cs="Arial"/>
          <w:i/>
          <w:iCs/>
          <w:noProof/>
          <w:szCs w:val="24"/>
        </w:rPr>
        <w:t>Clostridium difficile</w:t>
      </w:r>
      <w:r w:rsidRPr="005E0B17">
        <w:rPr>
          <w:rFonts w:cs="Arial"/>
          <w:noProof/>
          <w:szCs w:val="24"/>
        </w:rPr>
        <w:t xml:space="preserve"> infection in the Veterans Health Administration from 2003 to 2014. PLoS One 2017;12:1–14. doi:10.1371/journal.pone.0189227.</w:t>
      </w:r>
    </w:p>
    <w:p w14:paraId="1478C735"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[23]</w:t>
      </w:r>
      <w:r w:rsidRPr="005E0B17">
        <w:rPr>
          <w:rFonts w:cs="Arial"/>
          <w:noProof/>
          <w:szCs w:val="24"/>
        </w:rPr>
        <w:tab/>
        <w:t xml:space="preserve">Khanna S, Gupta A, Baddour LM, Pardi DS. Epidemiology, outcomes, and predictors of mortality in hospitalized adults with </w:t>
      </w:r>
      <w:r w:rsidRPr="005E0B17">
        <w:rPr>
          <w:rFonts w:cs="Arial"/>
          <w:i/>
          <w:iCs/>
          <w:noProof/>
          <w:szCs w:val="24"/>
        </w:rPr>
        <w:t>Clostridium difficile</w:t>
      </w:r>
      <w:r w:rsidRPr="005E0B17">
        <w:rPr>
          <w:rFonts w:cs="Arial"/>
          <w:noProof/>
          <w:szCs w:val="24"/>
        </w:rPr>
        <w:t xml:space="preserve"> infection. Intern Emerg Med 2016;11:657–65. doi:10.1007/s11739-015-1366-6.</w:t>
      </w:r>
    </w:p>
    <w:p w14:paraId="787EE965"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[24]</w:t>
      </w:r>
      <w:r w:rsidRPr="005E0B17">
        <w:rPr>
          <w:rFonts w:cs="Arial"/>
          <w:noProof/>
          <w:szCs w:val="24"/>
        </w:rPr>
        <w:tab/>
        <w:t xml:space="preserve">Esteban-Vasallo MD, de Miguel-Díez J, López-de-Andrés A, Hernández-Barrera V, Jiménez-García R. </w:t>
      </w:r>
      <w:r w:rsidRPr="005E0B17">
        <w:rPr>
          <w:rFonts w:cs="Arial"/>
          <w:i/>
          <w:iCs/>
          <w:noProof/>
          <w:szCs w:val="24"/>
        </w:rPr>
        <w:t>Clostridium difficile</w:t>
      </w:r>
      <w:r w:rsidRPr="005E0B17">
        <w:rPr>
          <w:rFonts w:cs="Arial"/>
          <w:noProof/>
          <w:szCs w:val="24"/>
        </w:rPr>
        <w:t>-related hospitalizations and risk factors for in-hospital mortality in Spain between 2001 and 2015. J Hosp Infect 2019;102:148–56. doi:10.1016/j.jhin.2018.09.006.</w:t>
      </w:r>
    </w:p>
    <w:p w14:paraId="37CCC589"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[25]</w:t>
      </w:r>
      <w:r w:rsidRPr="005E0B17">
        <w:rPr>
          <w:rFonts w:cs="Arial"/>
          <w:noProof/>
          <w:szCs w:val="24"/>
        </w:rPr>
        <w:tab/>
        <w:t xml:space="preserve">Sammons JS, Localio R, Xiao R, Coffin SE, Zaoutis T. </w:t>
      </w:r>
      <w:r w:rsidRPr="005E0B17">
        <w:rPr>
          <w:rFonts w:cs="Arial"/>
          <w:i/>
          <w:iCs/>
          <w:noProof/>
          <w:szCs w:val="24"/>
        </w:rPr>
        <w:t>Clostridium difficile</w:t>
      </w:r>
      <w:r w:rsidRPr="005E0B17">
        <w:rPr>
          <w:rFonts w:cs="Arial"/>
          <w:noProof/>
          <w:szCs w:val="24"/>
        </w:rPr>
        <w:t xml:space="preserve"> infection is associated with increased risk of death and prolonged hospitalization in children. Clin Infect Dis 2013;57:1–8. doi:10.1093/cid/cit155.</w:t>
      </w:r>
    </w:p>
    <w:p w14:paraId="45C2E1F9"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[26]</w:t>
      </w:r>
      <w:r w:rsidRPr="005E0B17">
        <w:rPr>
          <w:rFonts w:cs="Arial"/>
          <w:noProof/>
          <w:szCs w:val="24"/>
        </w:rPr>
        <w:tab/>
        <w:t>UK National Health Service. Hospital Episode Statistics 2019. https://digital.nhs.uk/data-and-information/data-tools-and-services/data-services/hospital-episode-statistics (accessed March 12, 2020).</w:t>
      </w:r>
    </w:p>
    <w:p w14:paraId="6063F90D"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[27]</w:t>
      </w:r>
      <w:r w:rsidRPr="005E0B17">
        <w:rPr>
          <w:rFonts w:cs="Arial"/>
          <w:noProof/>
          <w:szCs w:val="24"/>
        </w:rPr>
        <w:tab/>
        <w:t>UK Statistics Authority. Office for National Statistics n.d. https://www.ons.gov.uk/ (accessed March 12, 2020).</w:t>
      </w:r>
    </w:p>
    <w:p w14:paraId="765661A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[28]</w:t>
      </w:r>
      <w:r w:rsidRPr="005E0B17">
        <w:rPr>
          <w:rFonts w:cs="Arial"/>
          <w:noProof/>
          <w:szCs w:val="24"/>
        </w:rPr>
        <w:tab/>
        <w:t>UK Government. English indices of deprivation 2019. https://www.gov.uk/government/statistics/english-indices-of-deprivation-2019 (accessed March 12, 2020).</w:t>
      </w:r>
    </w:p>
    <w:p w14:paraId="6AEC4BA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[29]</w:t>
      </w:r>
      <w:r w:rsidRPr="005E0B17">
        <w:rPr>
          <w:rFonts w:cs="Arial"/>
          <w:noProof/>
          <w:szCs w:val="24"/>
        </w:rPr>
        <w:tab/>
        <w:t>UK National Health Service. Hospital Episode Statistics (HES) Analysis Guide 2019. https://digital.nhs.uk/binaries/content/assets/website-assets/data-and-information/data-tools-and-services/data-services/hospital-episode-statistics/hes_analysis_guide_september_2018-v1.1.pdf (accessed March 12, 2020).</w:t>
      </w:r>
    </w:p>
    <w:p w14:paraId="061E604B"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[30]</w:t>
      </w:r>
      <w:r w:rsidRPr="005E0B17">
        <w:rPr>
          <w:rFonts w:cs="Arial"/>
          <w:noProof/>
          <w:szCs w:val="24"/>
        </w:rPr>
        <w:tab/>
        <w:t xml:space="preserve">Jen M-H, Saxena S, Bottle A, Pollok R, Holmes A, Aylin P. Assessment of administrative data for evaluating the shifting acquisition of </w:t>
      </w:r>
      <w:r w:rsidRPr="005E0B17">
        <w:rPr>
          <w:rFonts w:cs="Arial"/>
          <w:i/>
          <w:iCs/>
          <w:noProof/>
          <w:szCs w:val="24"/>
        </w:rPr>
        <w:t>Clostridium difficile</w:t>
      </w:r>
      <w:r w:rsidRPr="005E0B17">
        <w:rPr>
          <w:rFonts w:cs="Arial"/>
          <w:noProof/>
          <w:szCs w:val="24"/>
        </w:rPr>
        <w:t xml:space="preserve"> infection in England. J Hosp Infect 2012;80:229–37. doi:10.1016/j.jhin.2012.01.001.</w:t>
      </w:r>
    </w:p>
    <w:p w14:paraId="5660DA03"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[31]</w:t>
      </w:r>
      <w:r w:rsidRPr="005E0B17">
        <w:rPr>
          <w:rFonts w:cs="Arial"/>
          <w:noProof/>
          <w:szCs w:val="24"/>
        </w:rPr>
        <w:tab/>
        <w:t xml:space="preserve">Hensgens MPM, Goorhuis A, Dekkers OM, Van Benthem BHB, Kuijper EJ. All-cause and disease-specific mortality in hospitalized patients with </w:t>
      </w:r>
      <w:r w:rsidRPr="005E0B17">
        <w:rPr>
          <w:rFonts w:cs="Arial"/>
          <w:i/>
          <w:iCs/>
          <w:noProof/>
          <w:szCs w:val="24"/>
        </w:rPr>
        <w:t>Clostridium difficile</w:t>
      </w:r>
      <w:r w:rsidRPr="005E0B17">
        <w:rPr>
          <w:rFonts w:cs="Arial"/>
          <w:noProof/>
          <w:szCs w:val="24"/>
        </w:rPr>
        <w:t xml:space="preserve"> infection: a multicenter cohort study. Clin Infect Dis 2013;56:1108–16. doi:10.1093/cid/cis1209.</w:t>
      </w:r>
    </w:p>
    <w:p w14:paraId="5C988AD7"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[32]</w:t>
      </w:r>
      <w:r w:rsidRPr="005E0B17">
        <w:rPr>
          <w:rFonts w:cs="Arial"/>
          <w:noProof/>
          <w:szCs w:val="24"/>
        </w:rPr>
        <w:tab/>
        <w:t xml:space="preserve">Escobar GJ, Baker JM, Li SX, Xie Y, Kipnis P. Clinical and economic burden of recurrent </w:t>
      </w:r>
      <w:r w:rsidRPr="005E0B17">
        <w:rPr>
          <w:rFonts w:cs="Arial"/>
          <w:i/>
          <w:iCs/>
          <w:noProof/>
          <w:szCs w:val="24"/>
        </w:rPr>
        <w:t>Clostridium difficile</w:t>
      </w:r>
      <w:r w:rsidRPr="005E0B17">
        <w:rPr>
          <w:rFonts w:cs="Arial"/>
          <w:noProof/>
          <w:szCs w:val="24"/>
        </w:rPr>
        <w:t xml:space="preserve"> infections - a 10-year retrospective large database analysis. 54th Intersci. Conf. Antimicrob. Agents Chemother., 2014.</w:t>
      </w:r>
    </w:p>
    <w:p w14:paraId="63134D9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[33]</w:t>
      </w:r>
      <w:r w:rsidRPr="005E0B17">
        <w:rPr>
          <w:rFonts w:cs="Arial"/>
          <w:noProof/>
          <w:szCs w:val="24"/>
        </w:rPr>
        <w:tab/>
        <w:t xml:space="preserve">Shintani AK, Girard TD, Eden SK, Arbogast PG, Moons KGM, Ely EW. Immortal time </w:t>
      </w:r>
      <w:r w:rsidRPr="005E0B17">
        <w:rPr>
          <w:rFonts w:cs="Arial"/>
          <w:noProof/>
          <w:szCs w:val="24"/>
        </w:rPr>
        <w:lastRenderedPageBreak/>
        <w:t>bias in critical care research: application of time-varying Cox regression for observational cohort studies. Crit Care Med 2009;37:2939–45. doi:10.1097/CCM.0b013e3181b7fbbb.</w:t>
      </w:r>
    </w:p>
    <w:p w14:paraId="7693B05A"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[34]</w:t>
      </w:r>
      <w:r w:rsidRPr="005E0B17">
        <w:rPr>
          <w:rFonts w:cs="Arial"/>
          <w:noProof/>
          <w:szCs w:val="24"/>
        </w:rPr>
        <w:tab/>
        <w:t xml:space="preserve">Delgado A, Reveles IA, Cabello FT, Reveles KR. Poorer outcomes among cancer patients diagnosed with </w:t>
      </w:r>
      <w:r w:rsidRPr="005E0B17">
        <w:rPr>
          <w:rFonts w:cs="Arial"/>
          <w:i/>
          <w:iCs/>
          <w:noProof/>
          <w:szCs w:val="24"/>
        </w:rPr>
        <w:t>Clostridium difficile</w:t>
      </w:r>
      <w:r w:rsidRPr="005E0B17">
        <w:rPr>
          <w:rFonts w:cs="Arial"/>
          <w:noProof/>
          <w:szCs w:val="24"/>
        </w:rPr>
        <w:t xml:space="preserve"> infections in United States community hospitals. BMC Infect Dis 2017;17:448. doi:10.1186/s12879-017-2553-z.</w:t>
      </w:r>
    </w:p>
    <w:p w14:paraId="1AE1767E"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[35]</w:t>
      </w:r>
      <w:r w:rsidRPr="005E0B17">
        <w:rPr>
          <w:rFonts w:cs="Arial"/>
          <w:noProof/>
          <w:szCs w:val="24"/>
        </w:rPr>
        <w:tab/>
        <w:t xml:space="preserve">Forster AJ, Taljaard M, Oake N, Wilson K, Roth V, van Walraven C. The effect of hospital-acquired infection with </w:t>
      </w:r>
      <w:r w:rsidRPr="005E0B17">
        <w:rPr>
          <w:rFonts w:cs="Arial"/>
          <w:i/>
          <w:iCs/>
          <w:noProof/>
          <w:szCs w:val="24"/>
        </w:rPr>
        <w:t>Clostridium difficile</w:t>
      </w:r>
      <w:r w:rsidRPr="005E0B17">
        <w:rPr>
          <w:rFonts w:cs="Arial"/>
          <w:noProof/>
          <w:szCs w:val="24"/>
        </w:rPr>
        <w:t xml:space="preserve"> on length of stay in hospital. CMAJ 2012;184:37–42. doi:10.1503/cmaj.110543.</w:t>
      </w:r>
    </w:p>
    <w:p w14:paraId="568B74BF"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[36]</w:t>
      </w:r>
      <w:r w:rsidRPr="005E0B17">
        <w:rPr>
          <w:rFonts w:cs="Arial"/>
          <w:noProof/>
          <w:szCs w:val="24"/>
        </w:rPr>
        <w:tab/>
        <w:t xml:space="preserve">Yasunaga H, Horiguchi H, Hashimoto H, Matsuda S, Fushimi K. The burden of </w:t>
      </w:r>
      <w:r w:rsidRPr="005E0B17">
        <w:rPr>
          <w:rFonts w:cs="Arial"/>
          <w:i/>
          <w:iCs/>
          <w:noProof/>
          <w:szCs w:val="24"/>
        </w:rPr>
        <w:t>Clostridium difficile</w:t>
      </w:r>
      <w:r w:rsidRPr="005E0B17">
        <w:rPr>
          <w:rFonts w:cs="Arial"/>
          <w:noProof/>
          <w:szCs w:val="24"/>
        </w:rPr>
        <w:t>-associated disease following digestive tract surgery in Japan. J Hosp Infect 2012;82:175–80. doi:10.1016/j.jhin.2012.07.023.</w:t>
      </w:r>
    </w:p>
    <w:p w14:paraId="3F0AAD56"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[37]</w:t>
      </w:r>
      <w:r w:rsidRPr="005E0B17">
        <w:rPr>
          <w:rFonts w:cs="Arial"/>
          <w:noProof/>
          <w:szCs w:val="24"/>
        </w:rPr>
        <w:tab/>
        <w:t xml:space="preserve">Goldenberg SD, Brown S, Edwards L, Gnanarajah D, Howard P, Jenkins D, et al. The impact of the introduction of fidaxomicin on the management of </w:t>
      </w:r>
      <w:r w:rsidRPr="005E0B17">
        <w:rPr>
          <w:rFonts w:cs="Arial"/>
          <w:i/>
          <w:iCs/>
          <w:noProof/>
          <w:szCs w:val="24"/>
        </w:rPr>
        <w:t>Clostridium difficile</w:t>
      </w:r>
      <w:r w:rsidRPr="005E0B17">
        <w:rPr>
          <w:rFonts w:cs="Arial"/>
          <w:noProof/>
          <w:szCs w:val="24"/>
        </w:rPr>
        <w:t xml:space="preserve"> infection in seven NHS secondary care hospitals in England: a series of local service evaluations. Eur J Clin Microbiol Infect Dis 2016;35:251–9. doi:10.1007/s10096-015-2538-z.</w:t>
      </w:r>
    </w:p>
    <w:p w14:paraId="17A88FF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[38]</w:t>
      </w:r>
      <w:r w:rsidRPr="005E0B17">
        <w:rPr>
          <w:rFonts w:cs="Arial"/>
          <w:noProof/>
          <w:szCs w:val="24"/>
        </w:rPr>
        <w:tab/>
        <w:t xml:space="preserve">Louie TJ, Miller MA, Mullane KM, Weiss K, Lentnek A, Golan Y, et al. Fidaxomicin versus vancomycin for </w:t>
      </w:r>
      <w:r w:rsidRPr="005E0B17">
        <w:rPr>
          <w:rFonts w:cs="Arial"/>
          <w:i/>
          <w:iCs/>
          <w:noProof/>
          <w:szCs w:val="24"/>
        </w:rPr>
        <w:t>Clostridium difficile</w:t>
      </w:r>
      <w:r w:rsidRPr="005E0B17">
        <w:rPr>
          <w:rFonts w:cs="Arial"/>
          <w:noProof/>
          <w:szCs w:val="24"/>
        </w:rPr>
        <w:t xml:space="preserve"> infection. N Engl J Med 2011;364:422–31. doi:10.1056/NEJMoa0910812.</w:t>
      </w:r>
    </w:p>
    <w:p w14:paraId="38A6BFE8"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[39]</w:t>
      </w:r>
      <w:r w:rsidRPr="005E0B17">
        <w:rPr>
          <w:rFonts w:cs="Arial"/>
          <w:noProof/>
          <w:szCs w:val="24"/>
        </w:rPr>
        <w:tab/>
        <w:t xml:space="preserve">Cornely OA, Crook DW, Esposito R, Poirier A, Somero MS, Weiss K, et al. Fidaxomicin versus vancomycin for infection with </w:t>
      </w:r>
      <w:r w:rsidRPr="005E0B17">
        <w:rPr>
          <w:rFonts w:cs="Arial"/>
          <w:i/>
          <w:iCs/>
          <w:noProof/>
          <w:szCs w:val="24"/>
        </w:rPr>
        <w:t>Clostridium difficile</w:t>
      </w:r>
      <w:r w:rsidRPr="005E0B17">
        <w:rPr>
          <w:rFonts w:cs="Arial"/>
          <w:noProof/>
          <w:szCs w:val="24"/>
        </w:rPr>
        <w:t xml:space="preserve"> in Europe, Canada, and the USA: a double-blind, non-inferiority, randomised controlled trial. Lancet Infect Dis 2012;12:281–9. doi:10.1016/S1473-3099(11)70374-7.</w:t>
      </w:r>
    </w:p>
    <w:p w14:paraId="701CF953"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[40]</w:t>
      </w:r>
      <w:r w:rsidRPr="005E0B17">
        <w:rPr>
          <w:rFonts w:cs="Arial"/>
          <w:noProof/>
          <w:szCs w:val="24"/>
        </w:rPr>
        <w:tab/>
        <w:t xml:space="preserve">Stevens V, Dumyati G, Fine LS, Fisher SG, van Wijngaarden E. Cumulative antibiotic exposures over time and the risk of </w:t>
      </w:r>
      <w:r w:rsidRPr="005E0B17">
        <w:rPr>
          <w:rFonts w:cs="Arial"/>
          <w:i/>
          <w:iCs/>
          <w:noProof/>
          <w:szCs w:val="24"/>
        </w:rPr>
        <w:t>Clostridium difficile</w:t>
      </w:r>
      <w:r w:rsidRPr="005E0B17">
        <w:rPr>
          <w:rFonts w:cs="Arial"/>
          <w:noProof/>
          <w:szCs w:val="24"/>
        </w:rPr>
        <w:t xml:space="preserve"> infection. Clin Infect Dis 2011;53:42–8. doi:10.1093/cid/cir301.</w:t>
      </w:r>
    </w:p>
    <w:p w14:paraId="2295E163"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[41]</w:t>
      </w:r>
      <w:r w:rsidRPr="005E0B17">
        <w:rPr>
          <w:rFonts w:cs="Arial"/>
          <w:noProof/>
          <w:szCs w:val="24"/>
        </w:rPr>
        <w:tab/>
        <w:t xml:space="preserve">Stevens V, Concannon C, van Wijngaarden E, McGregor J. Validation of the chronic disease score-infectious disease (CDS-ID) for the prediction of hospital-associated </w:t>
      </w:r>
      <w:r w:rsidRPr="005E0B17">
        <w:rPr>
          <w:rFonts w:cs="Arial"/>
          <w:i/>
          <w:iCs/>
          <w:noProof/>
          <w:szCs w:val="24"/>
        </w:rPr>
        <w:t>Clostridium difficile</w:t>
      </w:r>
      <w:r w:rsidRPr="005E0B17">
        <w:rPr>
          <w:rFonts w:cs="Arial"/>
          <w:noProof/>
          <w:szCs w:val="24"/>
        </w:rPr>
        <w:t xml:space="preserve"> infection (CDI) within a retrospective cohort. BMC Infect Dis 2013;13:1–8.</w:t>
      </w:r>
    </w:p>
    <w:p w14:paraId="6AF44CBB"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[42]</w:t>
      </w:r>
      <w:r w:rsidRPr="005E0B17">
        <w:rPr>
          <w:rFonts w:cs="Arial"/>
          <w:noProof/>
          <w:szCs w:val="24"/>
        </w:rPr>
        <w:tab/>
        <w:t xml:space="preserve">Khanafer N, Vanhems P, Barbut F, Luxemburger C. Factors associated with </w:t>
      </w:r>
      <w:r w:rsidRPr="005E0B17">
        <w:rPr>
          <w:rFonts w:cs="Arial"/>
          <w:i/>
          <w:iCs/>
          <w:noProof/>
          <w:szCs w:val="24"/>
        </w:rPr>
        <w:t>Clostridium difficile</w:t>
      </w:r>
      <w:r w:rsidRPr="005E0B17">
        <w:rPr>
          <w:rFonts w:cs="Arial"/>
          <w:noProof/>
          <w:szCs w:val="24"/>
        </w:rPr>
        <w:t xml:space="preserve"> infection: a nested case-control study in a three year prospective cohort. Anaerobe 2017;44:117–23. doi:10.1016/j.anaerobe.2017.03.003.</w:t>
      </w:r>
    </w:p>
    <w:p w14:paraId="3930A3DC"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[43]</w:t>
      </w:r>
      <w:r w:rsidRPr="005E0B17">
        <w:rPr>
          <w:rFonts w:cs="Arial"/>
          <w:noProof/>
          <w:szCs w:val="24"/>
        </w:rPr>
        <w:tab/>
        <w:t xml:space="preserve">Ingle M, Deshmukh A, Desai D, Abraham P, Joshi A, Rodrigues C, et al. Prevalence and clinical course of </w:t>
      </w:r>
      <w:r w:rsidRPr="005E0B17">
        <w:rPr>
          <w:rFonts w:cs="Arial"/>
          <w:i/>
          <w:iCs/>
          <w:noProof/>
          <w:szCs w:val="24"/>
        </w:rPr>
        <w:t>Clostridium difficile</w:t>
      </w:r>
      <w:r w:rsidRPr="005E0B17">
        <w:rPr>
          <w:rFonts w:cs="Arial"/>
          <w:noProof/>
          <w:szCs w:val="24"/>
        </w:rPr>
        <w:t xml:space="preserve"> infection in a tertiary-care hospital: a retrospective analysis. Indian J Gastroenterol 2011;30:89–93. doi:10.1007/s12664-</w:t>
      </w:r>
      <w:r w:rsidRPr="005E0B17">
        <w:rPr>
          <w:rFonts w:cs="Arial"/>
          <w:noProof/>
          <w:szCs w:val="24"/>
        </w:rPr>
        <w:lastRenderedPageBreak/>
        <w:t>011-0097-5.</w:t>
      </w:r>
    </w:p>
    <w:p w14:paraId="1A0B079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[44]</w:t>
      </w:r>
      <w:r w:rsidRPr="005E0B17">
        <w:rPr>
          <w:rFonts w:cs="Arial"/>
          <w:noProof/>
          <w:szCs w:val="24"/>
        </w:rPr>
        <w:tab/>
        <w:t xml:space="preserve">Šuljagić V, Miljković I, Starčević S, Stepić N, Kostić Z, Jovanović D, et al. Risk factors for </w:t>
      </w:r>
      <w:r w:rsidRPr="005E0B17">
        <w:rPr>
          <w:rFonts w:cs="Arial"/>
          <w:i/>
          <w:iCs/>
          <w:noProof/>
          <w:szCs w:val="24"/>
        </w:rPr>
        <w:t>Clostridium difficile</w:t>
      </w:r>
      <w:r w:rsidRPr="005E0B17">
        <w:rPr>
          <w:rFonts w:cs="Arial"/>
          <w:noProof/>
          <w:szCs w:val="24"/>
        </w:rPr>
        <w:t xml:space="preserve"> infection in surgical patients hospitalized in a tertiary hospital in Belgrade, Serbia: a case-control study. Antimicrob Resist Infect Control 2017;6. doi:10.1186/s13756-017-0188-x.</w:t>
      </w:r>
    </w:p>
    <w:p w14:paraId="342DF495"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[45]</w:t>
      </w:r>
      <w:r w:rsidRPr="005E0B17">
        <w:rPr>
          <w:rFonts w:cs="Arial"/>
          <w:noProof/>
          <w:szCs w:val="24"/>
        </w:rPr>
        <w:tab/>
        <w:t xml:space="preserve">Chung MS, Kim J, Kang JO, Pai H. Impact of malignancy on </w:t>
      </w:r>
      <w:r w:rsidRPr="005E0B17">
        <w:rPr>
          <w:rFonts w:cs="Arial"/>
          <w:i/>
          <w:iCs/>
          <w:noProof/>
          <w:szCs w:val="24"/>
        </w:rPr>
        <w:t>Clostridium difficile</w:t>
      </w:r>
      <w:r w:rsidRPr="005E0B17">
        <w:rPr>
          <w:rFonts w:cs="Arial"/>
          <w:noProof/>
          <w:szCs w:val="24"/>
        </w:rPr>
        <w:t xml:space="preserve"> infection. Eur J Clin Microbiol Infect Dis 2016;35:1771–6. doi:10.1007/s10096-016-2725-6.</w:t>
      </w:r>
    </w:p>
    <w:p w14:paraId="620CC6BA"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[46]</w:t>
      </w:r>
      <w:r w:rsidRPr="005E0B17">
        <w:rPr>
          <w:rFonts w:cs="Arial"/>
          <w:noProof/>
          <w:szCs w:val="24"/>
        </w:rPr>
        <w:tab/>
        <w:t xml:space="preserve">Phatharacharukul P, Thongprayoon C, Cheungpasitporn W, Edmonds PJ, Mahaparn P, Bruminhent J. The risks of incident and recurrent </w:t>
      </w:r>
      <w:r w:rsidRPr="005E0B17">
        <w:rPr>
          <w:rFonts w:cs="Arial"/>
          <w:i/>
          <w:iCs/>
          <w:noProof/>
          <w:szCs w:val="24"/>
        </w:rPr>
        <w:t>Clostridium difficile</w:t>
      </w:r>
      <w:r w:rsidRPr="005E0B17">
        <w:rPr>
          <w:rFonts w:cs="Arial"/>
          <w:noProof/>
          <w:szCs w:val="24"/>
        </w:rPr>
        <w:t>-associated diarrhea in chronic kidney disease and end-stage kidney disease patients: a systematic review and meta-analysis. Dig Dis Sci 2015;60:2913–22. doi:10.1007/s10620-015-3714-9.</w:t>
      </w:r>
    </w:p>
    <w:p w14:paraId="1F30BC2B"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[47]</w:t>
      </w:r>
      <w:r w:rsidRPr="005E0B17">
        <w:rPr>
          <w:rFonts w:cs="Arial"/>
          <w:noProof/>
          <w:szCs w:val="24"/>
        </w:rPr>
        <w:tab/>
        <w:t xml:space="preserve">Abdelfatah M, Nayfe R, Nijim A, Enriquez K, Ali E, Watkins RR, et al. Factors predicting recurrence of </w:t>
      </w:r>
      <w:r w:rsidRPr="005E0B17">
        <w:rPr>
          <w:rFonts w:cs="Arial"/>
          <w:i/>
          <w:iCs/>
          <w:noProof/>
          <w:szCs w:val="24"/>
        </w:rPr>
        <w:t>Clostridium difficile</w:t>
      </w:r>
      <w:r w:rsidRPr="005E0B17">
        <w:rPr>
          <w:rFonts w:cs="Arial"/>
          <w:noProof/>
          <w:szCs w:val="24"/>
        </w:rPr>
        <w:t xml:space="preserve"> infection (CDI) in hospitalized patients: retrospective study of more than 2000 patients. J Investig Med 2015;63:747–51. doi:10.1097/JIM.0000000000000188.</w:t>
      </w:r>
    </w:p>
    <w:p w14:paraId="2BAF74FF"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[48]</w:t>
      </w:r>
      <w:r w:rsidRPr="005E0B17">
        <w:rPr>
          <w:rFonts w:cs="Arial"/>
          <w:noProof/>
          <w:szCs w:val="24"/>
        </w:rPr>
        <w:tab/>
        <w:t xml:space="preserve">Mathews SN, Lamm R, Yang J, Park J, Tzimas D, Buscaglia JM, et al. Factors associated with health care utilization of recurrent </w:t>
      </w:r>
      <w:r w:rsidRPr="005E0B17">
        <w:rPr>
          <w:rFonts w:cs="Arial"/>
          <w:i/>
          <w:iCs/>
          <w:noProof/>
          <w:szCs w:val="24"/>
        </w:rPr>
        <w:t>Clostridium difficile</w:t>
      </w:r>
      <w:r w:rsidRPr="005E0B17">
        <w:rPr>
          <w:rFonts w:cs="Arial"/>
          <w:noProof/>
          <w:szCs w:val="24"/>
        </w:rPr>
        <w:t xml:space="preserve"> infection in New York State. J Clin Gastroenterol 2019;53:298–303. doi:10.1097/MCG.0000000000001022.</w:t>
      </w:r>
    </w:p>
    <w:p w14:paraId="05281708"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[49]</w:t>
      </w:r>
      <w:r w:rsidRPr="005E0B17">
        <w:rPr>
          <w:rFonts w:cs="Arial"/>
          <w:noProof/>
          <w:szCs w:val="24"/>
        </w:rPr>
        <w:tab/>
        <w:t xml:space="preserve">Gómez S, Chaves F, Orellana MA. Clinical, epidemiological and microbiological characteristics of relapse and re-infection in </w:t>
      </w:r>
      <w:r w:rsidRPr="005E0B17">
        <w:rPr>
          <w:rFonts w:cs="Arial"/>
          <w:i/>
          <w:iCs/>
          <w:noProof/>
          <w:szCs w:val="24"/>
        </w:rPr>
        <w:t>Clostridium difficile</w:t>
      </w:r>
      <w:r w:rsidRPr="005E0B17">
        <w:rPr>
          <w:rFonts w:cs="Arial"/>
          <w:noProof/>
          <w:szCs w:val="24"/>
        </w:rPr>
        <w:t xml:space="preserve"> infection. Anaerobe 2017;48:147–51. doi:10.1016/j.anaerobe.2017.08.012.</w:t>
      </w:r>
    </w:p>
    <w:p w14:paraId="6E0850D1" w14:textId="77777777" w:rsidR="005E0B17" w:rsidRPr="005E0B17" w:rsidRDefault="005E0B17" w:rsidP="005E0B17">
      <w:pPr>
        <w:widowControl w:val="0"/>
        <w:autoSpaceDE w:val="0"/>
        <w:autoSpaceDN w:val="0"/>
        <w:adjustRightInd w:val="0"/>
        <w:ind w:left="640" w:hanging="640"/>
        <w:rPr>
          <w:rFonts w:cs="Arial"/>
          <w:noProof/>
          <w:szCs w:val="24"/>
        </w:rPr>
      </w:pPr>
      <w:r w:rsidRPr="005E0B17">
        <w:rPr>
          <w:rFonts w:cs="Arial"/>
          <w:noProof/>
          <w:szCs w:val="24"/>
        </w:rPr>
        <w:t>[50]</w:t>
      </w:r>
      <w:r w:rsidRPr="005E0B17">
        <w:rPr>
          <w:rFonts w:cs="Arial"/>
          <w:noProof/>
          <w:szCs w:val="24"/>
        </w:rPr>
        <w:tab/>
        <w:t>Jones G, Taright N, Boelle PY, Marty J, Lalande V, Eckert C, et al. Accuracy of ICD-10 codes for surveillance of clostridium difficile infections, France. Emerg Infect Dis 2012;18:979–81. doi:10.3201/eid1806.111188.</w:t>
      </w:r>
    </w:p>
    <w:p w14:paraId="501143A2" w14:textId="77777777" w:rsidR="005E0B17" w:rsidRPr="005E0B17" w:rsidRDefault="005E0B17" w:rsidP="005E0B17">
      <w:pPr>
        <w:widowControl w:val="0"/>
        <w:autoSpaceDE w:val="0"/>
        <w:autoSpaceDN w:val="0"/>
        <w:adjustRightInd w:val="0"/>
        <w:ind w:left="640" w:hanging="640"/>
        <w:rPr>
          <w:rFonts w:cs="Arial"/>
          <w:noProof/>
        </w:rPr>
      </w:pPr>
      <w:r w:rsidRPr="005E0B17">
        <w:rPr>
          <w:rFonts w:cs="Arial"/>
          <w:noProof/>
          <w:szCs w:val="24"/>
        </w:rPr>
        <w:t>[51]</w:t>
      </w:r>
      <w:r w:rsidRPr="005E0B17">
        <w:rPr>
          <w:rFonts w:cs="Arial"/>
          <w:noProof/>
          <w:szCs w:val="24"/>
        </w:rPr>
        <w:tab/>
        <w:t>Redondo-González O, Tenías JM, Arias Á, Lucendo AJ. Validity and Reliability of Administrative Coded Data for the Identification of Hospital-Acquired Infections: An Updated Systematic Review with Meta-Analysis and Meta-Regression Analysis. Health Serv Res 2018;53:1919–56. doi:10.1111/1475-6773.12691.</w:t>
      </w:r>
    </w:p>
    <w:p w14:paraId="6F138785" w14:textId="77777777" w:rsidR="008D4242" w:rsidRDefault="00517042">
      <w:pPr>
        <w:widowControl w:val="0"/>
        <w:autoSpaceDE w:val="0"/>
        <w:autoSpaceDN w:val="0"/>
        <w:adjustRightInd w:val="0"/>
        <w:ind w:left="640" w:hanging="640"/>
        <w:sectPr w:rsidR="008D4242" w:rsidSect="00A32B5D">
          <w:pgSz w:w="11906" w:h="16838"/>
          <w:pgMar w:top="1440" w:right="1440" w:bottom="1440" w:left="1440" w:header="709" w:footer="709" w:gutter="0"/>
          <w:cols w:space="708"/>
          <w:docGrid w:linePitch="360"/>
        </w:sectPr>
      </w:pPr>
      <w:r>
        <w:fldChar w:fldCharType="end"/>
      </w:r>
      <w:bookmarkEnd w:id="4"/>
    </w:p>
    <w:p w14:paraId="1A8930EF" w14:textId="2E19E12C" w:rsidR="00726BDA" w:rsidRDefault="00726BDA" w:rsidP="009A4EC6">
      <w:pPr>
        <w:pStyle w:val="Heading1"/>
        <w:spacing w:before="0" w:after="0"/>
      </w:pPr>
      <w:r w:rsidRPr="001163FE">
        <w:lastRenderedPageBreak/>
        <w:t>Tables</w:t>
      </w:r>
    </w:p>
    <w:p w14:paraId="31E03352" w14:textId="77777777" w:rsidR="00B73061" w:rsidRPr="0073622B" w:rsidRDefault="00B73061" w:rsidP="003B3515"/>
    <w:p w14:paraId="29C435A0" w14:textId="4AAB94CA" w:rsidR="00613E10" w:rsidRPr="00613E10" w:rsidRDefault="00613E10" w:rsidP="009A4EC6">
      <w:pPr>
        <w:keepNext/>
        <w:keepLines/>
        <w:outlineLvl w:val="1"/>
        <w:rPr>
          <w:rFonts w:eastAsia="MS Gothic" w:cs="Times New Roman"/>
          <w:b/>
          <w:sz w:val="24"/>
          <w:szCs w:val="26"/>
        </w:rPr>
      </w:pPr>
      <w:bookmarkStart w:id="5" w:name="_Hlk29390573"/>
      <w:r w:rsidRPr="00613E10">
        <w:rPr>
          <w:rFonts w:eastAsia="MS Gothic" w:cs="Times New Roman"/>
          <w:b/>
          <w:sz w:val="24"/>
          <w:szCs w:val="26"/>
        </w:rPr>
        <w:t xml:space="preserve">Table I. </w:t>
      </w:r>
      <w:r w:rsidRPr="00613E10">
        <w:rPr>
          <w:rFonts w:eastAsia="Calibri" w:cs="Arial"/>
          <w:bCs/>
          <w:sz w:val="24"/>
          <w:szCs w:val="24"/>
        </w:rPr>
        <w:t>Baseline characteristics of patients with HA-CDI and no CDI, and patients with recurrent and non-recurrent CDI</w:t>
      </w:r>
    </w:p>
    <w:tbl>
      <w:tblPr>
        <w:tblStyle w:val="TableGrid"/>
        <w:tblW w:w="15168" w:type="dxa"/>
        <w:tblInd w:w="-431" w:type="dxa"/>
        <w:tblLayout w:type="fixed"/>
        <w:tblLook w:val="04A0" w:firstRow="1" w:lastRow="0" w:firstColumn="1" w:lastColumn="0" w:noHBand="0" w:noVBand="1"/>
      </w:tblPr>
      <w:tblGrid>
        <w:gridCol w:w="2978"/>
        <w:gridCol w:w="1701"/>
        <w:gridCol w:w="1701"/>
        <w:gridCol w:w="1701"/>
        <w:gridCol w:w="992"/>
        <w:gridCol w:w="1701"/>
        <w:gridCol w:w="1701"/>
        <w:gridCol w:w="1701"/>
        <w:gridCol w:w="992"/>
      </w:tblGrid>
      <w:tr w:rsidR="004C10EB" w:rsidRPr="00613E10" w14:paraId="66483E47" w14:textId="77777777" w:rsidTr="00D4325F">
        <w:trPr>
          <w:cantSplit/>
          <w:trHeight w:val="20"/>
          <w:tblHeader/>
        </w:trPr>
        <w:tc>
          <w:tcPr>
            <w:tcW w:w="2978" w:type="dxa"/>
            <w:tcBorders>
              <w:bottom w:val="nil"/>
            </w:tcBorders>
          </w:tcPr>
          <w:p w14:paraId="674A04B4" w14:textId="77777777" w:rsidR="004C10EB" w:rsidRPr="00613E10" w:rsidRDefault="004C10EB" w:rsidP="009A4EC6">
            <w:pPr>
              <w:spacing w:beforeLines="40" w:before="96" w:afterLines="40" w:after="96"/>
              <w:rPr>
                <w:rFonts w:eastAsia="Calibri" w:cs="Arial"/>
                <w:b/>
                <w:bCs/>
                <w:sz w:val="20"/>
                <w:szCs w:val="20"/>
              </w:rPr>
            </w:pPr>
          </w:p>
        </w:tc>
        <w:tc>
          <w:tcPr>
            <w:tcW w:w="6095" w:type="dxa"/>
            <w:gridSpan w:val="4"/>
            <w:shd w:val="clear" w:color="auto" w:fill="auto"/>
            <w:vAlign w:val="center"/>
          </w:tcPr>
          <w:p w14:paraId="1DA35578" w14:textId="3377D596" w:rsidR="004C10EB" w:rsidRPr="00613E10" w:rsidRDefault="004C10EB" w:rsidP="009A4EC6">
            <w:pPr>
              <w:spacing w:beforeLines="40" w:before="96" w:afterLines="40" w:after="96"/>
              <w:jc w:val="center"/>
              <w:rPr>
                <w:rFonts w:eastAsia="Calibri" w:cs="Arial"/>
                <w:b/>
                <w:bCs/>
                <w:sz w:val="20"/>
                <w:szCs w:val="20"/>
              </w:rPr>
            </w:pPr>
            <w:r w:rsidRPr="00613E10">
              <w:rPr>
                <w:rFonts w:eastAsia="Calibri" w:cs="Arial"/>
                <w:b/>
                <w:bCs/>
                <w:sz w:val="20"/>
                <w:szCs w:val="20"/>
              </w:rPr>
              <w:t xml:space="preserve">HA-CDI and no CDI </w:t>
            </w:r>
            <w:proofErr w:type="spellStart"/>
            <w:r w:rsidRPr="00613E10">
              <w:rPr>
                <w:rFonts w:eastAsia="Calibri" w:cs="Arial"/>
                <w:b/>
                <w:bCs/>
                <w:sz w:val="20"/>
                <w:szCs w:val="20"/>
              </w:rPr>
              <w:t>cohort</w:t>
            </w:r>
            <w:r w:rsidRPr="00613E10">
              <w:rPr>
                <w:rFonts w:eastAsia="Calibri" w:cs="Arial"/>
                <w:b/>
                <w:bCs/>
                <w:sz w:val="20"/>
                <w:szCs w:val="20"/>
                <w:vertAlign w:val="superscript"/>
              </w:rPr>
              <w:t>a</w:t>
            </w:r>
            <w:proofErr w:type="spellEnd"/>
          </w:p>
        </w:tc>
        <w:tc>
          <w:tcPr>
            <w:tcW w:w="6095" w:type="dxa"/>
            <w:gridSpan w:val="4"/>
            <w:shd w:val="clear" w:color="auto" w:fill="auto"/>
            <w:vAlign w:val="center"/>
          </w:tcPr>
          <w:p w14:paraId="4AE5A06C" w14:textId="1749AAEB" w:rsidR="004C10EB" w:rsidRPr="00613E10" w:rsidRDefault="004C10EB" w:rsidP="009A4EC6">
            <w:pPr>
              <w:spacing w:beforeLines="40" w:before="96" w:afterLines="40" w:after="96"/>
              <w:jc w:val="center"/>
              <w:rPr>
                <w:rFonts w:eastAsia="Calibri" w:cs="Arial"/>
                <w:b/>
                <w:bCs/>
                <w:sz w:val="20"/>
                <w:szCs w:val="20"/>
              </w:rPr>
            </w:pPr>
            <w:r w:rsidRPr="00613E10">
              <w:rPr>
                <w:rFonts w:eastAsia="Calibri" w:cs="Arial"/>
                <w:b/>
                <w:bCs/>
                <w:sz w:val="20"/>
                <w:szCs w:val="20"/>
              </w:rPr>
              <w:t xml:space="preserve">Recurrent CDI and non-recurrent CDI </w:t>
            </w:r>
            <w:proofErr w:type="spellStart"/>
            <w:r w:rsidRPr="00613E10">
              <w:rPr>
                <w:rFonts w:eastAsia="Calibri" w:cs="Arial"/>
                <w:b/>
                <w:bCs/>
                <w:sz w:val="20"/>
                <w:szCs w:val="20"/>
              </w:rPr>
              <w:t>cohort</w:t>
            </w:r>
            <w:r w:rsidRPr="00613E10">
              <w:rPr>
                <w:rFonts w:eastAsia="Calibri" w:cs="Arial"/>
                <w:b/>
                <w:bCs/>
                <w:sz w:val="18"/>
                <w:szCs w:val="18"/>
                <w:vertAlign w:val="superscript"/>
              </w:rPr>
              <w:t>b</w:t>
            </w:r>
            <w:proofErr w:type="spellEnd"/>
          </w:p>
        </w:tc>
      </w:tr>
      <w:tr w:rsidR="004C10EB" w:rsidRPr="00613E10" w14:paraId="462E31A6" w14:textId="77777777" w:rsidTr="00D4325F">
        <w:trPr>
          <w:cantSplit/>
          <w:trHeight w:val="20"/>
          <w:tblHeader/>
        </w:trPr>
        <w:tc>
          <w:tcPr>
            <w:tcW w:w="2978" w:type="dxa"/>
            <w:tcBorders>
              <w:top w:val="nil"/>
              <w:bottom w:val="single" w:sz="4" w:space="0" w:color="auto"/>
            </w:tcBorders>
          </w:tcPr>
          <w:p w14:paraId="7C8A0AF9" w14:textId="002EC188" w:rsidR="004C10EB" w:rsidRPr="00613E10" w:rsidRDefault="004C10EB" w:rsidP="009A4EC6">
            <w:pPr>
              <w:spacing w:beforeLines="40" w:before="96" w:afterLines="40" w:after="96"/>
              <w:rPr>
                <w:rFonts w:eastAsia="Calibri" w:cs="Arial"/>
                <w:b/>
                <w:bCs/>
                <w:sz w:val="20"/>
                <w:szCs w:val="20"/>
              </w:rPr>
            </w:pPr>
          </w:p>
        </w:tc>
        <w:tc>
          <w:tcPr>
            <w:tcW w:w="1701" w:type="dxa"/>
            <w:tcBorders>
              <w:bottom w:val="single" w:sz="4" w:space="0" w:color="auto"/>
            </w:tcBorders>
            <w:shd w:val="clear" w:color="auto" w:fill="auto"/>
          </w:tcPr>
          <w:p w14:paraId="56D3E2D9" w14:textId="1CC32ED0"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HA-CDI</w:t>
            </w:r>
          </w:p>
          <w:p w14:paraId="19B28A5B" w14:textId="4E7CD9AC"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(N=6862)</w:t>
            </w:r>
          </w:p>
        </w:tc>
        <w:tc>
          <w:tcPr>
            <w:tcW w:w="1701" w:type="dxa"/>
            <w:tcBorders>
              <w:bottom w:val="single" w:sz="4" w:space="0" w:color="auto"/>
            </w:tcBorders>
            <w:shd w:val="clear" w:color="auto" w:fill="auto"/>
          </w:tcPr>
          <w:p w14:paraId="717291A2" w14:textId="06E7A215"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No CDI</w:t>
            </w:r>
          </w:p>
          <w:p w14:paraId="5349E61E" w14:textId="26B7818A"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(N=13</w:t>
            </w:r>
            <w:r w:rsidR="00B93A08">
              <w:rPr>
                <w:rFonts w:eastAsia="Calibri" w:cs="Arial"/>
                <w:b/>
                <w:bCs/>
                <w:sz w:val="20"/>
                <w:szCs w:val="20"/>
              </w:rPr>
              <w:t> </w:t>
            </w:r>
            <w:r w:rsidRPr="00613E10">
              <w:rPr>
                <w:rFonts w:eastAsia="Calibri" w:cs="Arial"/>
                <w:b/>
                <w:bCs/>
                <w:sz w:val="20"/>
                <w:szCs w:val="20"/>
              </w:rPr>
              <w:t>724)</w:t>
            </w:r>
          </w:p>
        </w:tc>
        <w:tc>
          <w:tcPr>
            <w:tcW w:w="1701" w:type="dxa"/>
            <w:tcBorders>
              <w:bottom w:val="single" w:sz="4" w:space="0" w:color="auto"/>
            </w:tcBorders>
            <w:shd w:val="clear" w:color="auto" w:fill="auto"/>
          </w:tcPr>
          <w:p w14:paraId="550DE6E3" w14:textId="68F14DBE"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Total (N=20</w:t>
            </w:r>
            <w:r w:rsidR="00B93A08">
              <w:rPr>
                <w:rFonts w:eastAsia="Calibri" w:cs="Arial"/>
                <w:b/>
                <w:bCs/>
                <w:sz w:val="20"/>
                <w:szCs w:val="20"/>
              </w:rPr>
              <w:t> </w:t>
            </w:r>
            <w:r w:rsidRPr="00613E10">
              <w:rPr>
                <w:rFonts w:eastAsia="Calibri" w:cs="Arial"/>
                <w:b/>
                <w:bCs/>
                <w:sz w:val="20"/>
                <w:szCs w:val="20"/>
              </w:rPr>
              <w:t>586)</w:t>
            </w:r>
          </w:p>
        </w:tc>
        <w:tc>
          <w:tcPr>
            <w:tcW w:w="992" w:type="dxa"/>
            <w:tcBorders>
              <w:bottom w:val="single" w:sz="4" w:space="0" w:color="auto"/>
            </w:tcBorders>
            <w:shd w:val="clear" w:color="auto" w:fill="auto"/>
          </w:tcPr>
          <w:p w14:paraId="115F7214" w14:textId="1AAA15E3" w:rsidR="004C10EB" w:rsidRPr="00613E10" w:rsidRDefault="00D4325F" w:rsidP="009A4EC6">
            <w:pPr>
              <w:spacing w:beforeLines="40" w:before="96" w:afterLines="40" w:after="96"/>
              <w:rPr>
                <w:rFonts w:eastAsia="Calibri" w:cs="Arial"/>
                <w:b/>
                <w:bCs/>
                <w:sz w:val="20"/>
                <w:szCs w:val="20"/>
              </w:rPr>
            </w:pPr>
            <w:r>
              <w:rPr>
                <w:rFonts w:eastAsia="Calibri" w:cs="Arial"/>
                <w:b/>
                <w:bCs/>
                <w:i/>
                <w:iCs/>
                <w:sz w:val="20"/>
                <w:szCs w:val="20"/>
              </w:rPr>
              <w:t>P</w:t>
            </w:r>
            <w:r w:rsidR="004C10EB" w:rsidRPr="00613E10">
              <w:rPr>
                <w:rFonts w:eastAsia="Calibri" w:cs="Arial"/>
                <w:b/>
                <w:bCs/>
                <w:sz w:val="20"/>
                <w:szCs w:val="20"/>
              </w:rPr>
              <w:t>-value</w:t>
            </w:r>
          </w:p>
        </w:tc>
        <w:tc>
          <w:tcPr>
            <w:tcW w:w="1701" w:type="dxa"/>
            <w:tcBorders>
              <w:bottom w:val="single" w:sz="4" w:space="0" w:color="auto"/>
            </w:tcBorders>
            <w:shd w:val="clear" w:color="auto" w:fill="auto"/>
          </w:tcPr>
          <w:p w14:paraId="6C1605B2" w14:textId="0C405E39"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Recurrent CDI</w:t>
            </w:r>
            <w:r w:rsidRPr="00613E10" w:rsidDel="00E938E8">
              <w:rPr>
                <w:rFonts w:eastAsia="Calibri" w:cs="Arial"/>
                <w:b/>
                <w:bCs/>
                <w:sz w:val="20"/>
                <w:szCs w:val="20"/>
                <w:vertAlign w:val="superscript"/>
              </w:rPr>
              <w:t xml:space="preserve"> </w:t>
            </w:r>
            <w:r w:rsidRPr="00613E10">
              <w:rPr>
                <w:rFonts w:eastAsia="Calibri" w:cs="Arial"/>
                <w:b/>
                <w:bCs/>
                <w:sz w:val="20"/>
                <w:szCs w:val="20"/>
              </w:rPr>
              <w:t xml:space="preserve"> (N=1140)</w:t>
            </w:r>
          </w:p>
        </w:tc>
        <w:tc>
          <w:tcPr>
            <w:tcW w:w="1701" w:type="dxa"/>
            <w:tcBorders>
              <w:bottom w:val="single" w:sz="4" w:space="0" w:color="auto"/>
            </w:tcBorders>
            <w:shd w:val="clear" w:color="auto" w:fill="auto"/>
          </w:tcPr>
          <w:p w14:paraId="23E568BD" w14:textId="1C6B6F46"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Non-recurrent CDI (N=5722)</w:t>
            </w:r>
          </w:p>
        </w:tc>
        <w:tc>
          <w:tcPr>
            <w:tcW w:w="1701" w:type="dxa"/>
            <w:tcBorders>
              <w:bottom w:val="single" w:sz="4" w:space="0" w:color="auto"/>
            </w:tcBorders>
            <w:shd w:val="clear" w:color="auto" w:fill="auto"/>
          </w:tcPr>
          <w:p w14:paraId="32EFE3DE" w14:textId="60989D9B"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Total (N=6862)</w:t>
            </w:r>
          </w:p>
        </w:tc>
        <w:tc>
          <w:tcPr>
            <w:tcW w:w="992" w:type="dxa"/>
            <w:tcBorders>
              <w:bottom w:val="single" w:sz="4" w:space="0" w:color="auto"/>
            </w:tcBorders>
            <w:shd w:val="clear" w:color="auto" w:fill="auto"/>
          </w:tcPr>
          <w:p w14:paraId="380580E2" w14:textId="29300969" w:rsidR="004C10EB" w:rsidRPr="00613E10" w:rsidRDefault="00B93A08" w:rsidP="009A4EC6">
            <w:pPr>
              <w:spacing w:beforeLines="40" w:before="96" w:afterLines="40" w:after="96"/>
              <w:rPr>
                <w:rFonts w:eastAsia="Calibri" w:cs="Arial"/>
                <w:b/>
                <w:bCs/>
                <w:sz w:val="20"/>
                <w:szCs w:val="20"/>
              </w:rPr>
            </w:pPr>
            <w:r>
              <w:rPr>
                <w:rFonts w:eastAsia="Calibri" w:cs="Arial"/>
                <w:b/>
                <w:bCs/>
                <w:i/>
                <w:iCs/>
                <w:sz w:val="20"/>
                <w:szCs w:val="20"/>
              </w:rPr>
              <w:t>P</w:t>
            </w:r>
            <w:r w:rsidR="004C10EB" w:rsidRPr="00613E10">
              <w:rPr>
                <w:rFonts w:eastAsia="Calibri" w:cs="Arial"/>
                <w:b/>
                <w:bCs/>
                <w:sz w:val="20"/>
                <w:szCs w:val="20"/>
              </w:rPr>
              <w:t>-value</w:t>
            </w:r>
          </w:p>
        </w:tc>
      </w:tr>
      <w:tr w:rsidR="004C10EB" w:rsidRPr="00613E10" w14:paraId="3A0ED334" w14:textId="77777777" w:rsidTr="00D4325F">
        <w:trPr>
          <w:cantSplit/>
          <w:trHeight w:val="20"/>
        </w:trPr>
        <w:tc>
          <w:tcPr>
            <w:tcW w:w="2978" w:type="dxa"/>
            <w:tcBorders>
              <w:top w:val="single" w:sz="4" w:space="0" w:color="auto"/>
              <w:left w:val="single" w:sz="4" w:space="0" w:color="auto"/>
              <w:bottom w:val="single" w:sz="4" w:space="0" w:color="auto"/>
              <w:right w:val="nil"/>
            </w:tcBorders>
            <w:vAlign w:val="center"/>
          </w:tcPr>
          <w:p w14:paraId="75337515" w14:textId="77777777" w:rsidR="004C10EB" w:rsidRPr="00613E10" w:rsidRDefault="004C10EB" w:rsidP="009A4EC6">
            <w:pPr>
              <w:spacing w:beforeLines="40" w:before="96" w:afterLines="40" w:after="96"/>
              <w:rPr>
                <w:rFonts w:eastAsia="Calibri" w:cs="Arial"/>
                <w:b/>
                <w:bCs/>
                <w:sz w:val="20"/>
                <w:szCs w:val="20"/>
              </w:rPr>
            </w:pPr>
            <w:r w:rsidRPr="00613E10">
              <w:rPr>
                <w:rFonts w:eastAsia="Calibri" w:cs="Arial"/>
                <w:b/>
                <w:bCs/>
                <w:sz w:val="20"/>
                <w:szCs w:val="20"/>
              </w:rPr>
              <w:t>Baseline characteristics</w:t>
            </w:r>
          </w:p>
        </w:tc>
        <w:tc>
          <w:tcPr>
            <w:tcW w:w="1701" w:type="dxa"/>
            <w:tcBorders>
              <w:top w:val="single" w:sz="4" w:space="0" w:color="auto"/>
              <w:left w:val="nil"/>
              <w:bottom w:val="single" w:sz="4" w:space="0" w:color="auto"/>
              <w:right w:val="nil"/>
            </w:tcBorders>
            <w:shd w:val="clear" w:color="auto" w:fill="auto"/>
            <w:vAlign w:val="center"/>
          </w:tcPr>
          <w:p w14:paraId="521FA748" w14:textId="77777777" w:rsidR="004C10EB" w:rsidRPr="00613E10" w:rsidRDefault="004C10EB" w:rsidP="009A4EC6">
            <w:pPr>
              <w:spacing w:beforeLines="40" w:before="96" w:afterLines="40" w:after="96"/>
              <w:rPr>
                <w:rFonts w:eastAsia="Calibri" w:cs="Arial"/>
                <w:b/>
                <w:bCs/>
                <w:sz w:val="20"/>
                <w:szCs w:val="20"/>
              </w:rPr>
            </w:pPr>
          </w:p>
        </w:tc>
        <w:tc>
          <w:tcPr>
            <w:tcW w:w="1701" w:type="dxa"/>
            <w:tcBorders>
              <w:top w:val="single" w:sz="4" w:space="0" w:color="auto"/>
              <w:left w:val="nil"/>
              <w:bottom w:val="single" w:sz="4" w:space="0" w:color="auto"/>
              <w:right w:val="nil"/>
            </w:tcBorders>
            <w:shd w:val="clear" w:color="auto" w:fill="auto"/>
            <w:vAlign w:val="center"/>
          </w:tcPr>
          <w:p w14:paraId="23614A5A" w14:textId="77777777" w:rsidR="004C10EB" w:rsidRPr="00613E10" w:rsidRDefault="004C10EB" w:rsidP="009A4EC6">
            <w:pPr>
              <w:spacing w:beforeLines="40" w:before="96" w:afterLines="40" w:after="96"/>
              <w:rPr>
                <w:rFonts w:eastAsia="Calibri" w:cs="Arial"/>
                <w:b/>
                <w:bCs/>
                <w:sz w:val="20"/>
                <w:szCs w:val="20"/>
              </w:rPr>
            </w:pPr>
          </w:p>
        </w:tc>
        <w:tc>
          <w:tcPr>
            <w:tcW w:w="1701" w:type="dxa"/>
            <w:tcBorders>
              <w:top w:val="single" w:sz="4" w:space="0" w:color="auto"/>
              <w:left w:val="nil"/>
              <w:bottom w:val="single" w:sz="4" w:space="0" w:color="auto"/>
              <w:right w:val="nil"/>
            </w:tcBorders>
            <w:shd w:val="clear" w:color="auto" w:fill="auto"/>
            <w:vAlign w:val="center"/>
          </w:tcPr>
          <w:p w14:paraId="666E2653" w14:textId="77777777" w:rsidR="004C10EB" w:rsidRPr="00613E10" w:rsidRDefault="004C10EB" w:rsidP="009A4EC6">
            <w:pPr>
              <w:spacing w:beforeLines="40" w:before="96" w:afterLines="40" w:after="96"/>
              <w:rPr>
                <w:rFonts w:eastAsia="Calibri" w:cs="Arial"/>
                <w:b/>
                <w:bCs/>
                <w:sz w:val="20"/>
                <w:szCs w:val="20"/>
              </w:rPr>
            </w:pPr>
          </w:p>
        </w:tc>
        <w:tc>
          <w:tcPr>
            <w:tcW w:w="992" w:type="dxa"/>
            <w:tcBorders>
              <w:top w:val="single" w:sz="4" w:space="0" w:color="auto"/>
              <w:left w:val="nil"/>
              <w:bottom w:val="single" w:sz="4" w:space="0" w:color="auto"/>
              <w:right w:val="nil"/>
            </w:tcBorders>
            <w:shd w:val="clear" w:color="auto" w:fill="auto"/>
            <w:vAlign w:val="center"/>
          </w:tcPr>
          <w:p w14:paraId="2AC130DF" w14:textId="77777777" w:rsidR="004C10EB" w:rsidRPr="00613E10" w:rsidRDefault="004C10EB" w:rsidP="009A4EC6">
            <w:pPr>
              <w:spacing w:beforeLines="40" w:before="96" w:afterLines="40" w:after="96"/>
              <w:rPr>
                <w:rFonts w:eastAsia="Calibri" w:cs="Arial"/>
                <w:b/>
                <w:bCs/>
                <w:sz w:val="20"/>
                <w:szCs w:val="20"/>
              </w:rPr>
            </w:pPr>
          </w:p>
        </w:tc>
        <w:tc>
          <w:tcPr>
            <w:tcW w:w="1701" w:type="dxa"/>
            <w:tcBorders>
              <w:top w:val="single" w:sz="4" w:space="0" w:color="auto"/>
              <w:left w:val="nil"/>
              <w:bottom w:val="single" w:sz="4" w:space="0" w:color="auto"/>
              <w:right w:val="nil"/>
            </w:tcBorders>
            <w:shd w:val="clear" w:color="auto" w:fill="auto"/>
            <w:vAlign w:val="center"/>
          </w:tcPr>
          <w:p w14:paraId="55FA3D01" w14:textId="77777777" w:rsidR="004C10EB" w:rsidRPr="00613E10" w:rsidRDefault="004C10EB" w:rsidP="009A4EC6">
            <w:pPr>
              <w:spacing w:beforeLines="40" w:before="96" w:afterLines="40" w:after="96"/>
              <w:rPr>
                <w:rFonts w:eastAsia="Calibri" w:cs="Arial"/>
                <w:b/>
                <w:bCs/>
                <w:sz w:val="20"/>
                <w:szCs w:val="20"/>
              </w:rPr>
            </w:pPr>
          </w:p>
        </w:tc>
        <w:tc>
          <w:tcPr>
            <w:tcW w:w="1701" w:type="dxa"/>
            <w:tcBorders>
              <w:top w:val="single" w:sz="4" w:space="0" w:color="auto"/>
              <w:left w:val="nil"/>
              <w:bottom w:val="single" w:sz="4" w:space="0" w:color="auto"/>
              <w:right w:val="nil"/>
            </w:tcBorders>
            <w:shd w:val="clear" w:color="auto" w:fill="auto"/>
            <w:vAlign w:val="center"/>
          </w:tcPr>
          <w:p w14:paraId="7C0326E0" w14:textId="77777777" w:rsidR="004C10EB" w:rsidRPr="00613E10" w:rsidRDefault="004C10EB" w:rsidP="009A4EC6">
            <w:pPr>
              <w:spacing w:beforeLines="40" w:before="96" w:afterLines="40" w:after="96"/>
              <w:rPr>
                <w:rFonts w:eastAsia="Calibri" w:cs="Arial"/>
                <w:b/>
                <w:bCs/>
                <w:sz w:val="20"/>
                <w:szCs w:val="20"/>
              </w:rPr>
            </w:pPr>
          </w:p>
        </w:tc>
        <w:tc>
          <w:tcPr>
            <w:tcW w:w="1701" w:type="dxa"/>
            <w:tcBorders>
              <w:top w:val="single" w:sz="4" w:space="0" w:color="auto"/>
              <w:left w:val="nil"/>
              <w:bottom w:val="single" w:sz="4" w:space="0" w:color="auto"/>
              <w:right w:val="nil"/>
            </w:tcBorders>
            <w:shd w:val="clear" w:color="auto" w:fill="auto"/>
            <w:vAlign w:val="center"/>
          </w:tcPr>
          <w:p w14:paraId="1FF76593" w14:textId="77777777" w:rsidR="004C10EB" w:rsidRPr="00613E10" w:rsidRDefault="004C10EB" w:rsidP="009A4EC6">
            <w:pPr>
              <w:spacing w:beforeLines="40" w:before="96" w:afterLines="40" w:after="96"/>
              <w:rPr>
                <w:rFonts w:eastAsia="Calibri" w:cs="Arial"/>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100782A" w14:textId="77777777" w:rsidR="004C10EB" w:rsidRPr="00613E10" w:rsidRDefault="004C10EB" w:rsidP="009A4EC6">
            <w:pPr>
              <w:spacing w:beforeLines="40" w:before="96" w:afterLines="40" w:after="96"/>
              <w:rPr>
                <w:rFonts w:eastAsia="Calibri" w:cs="Arial"/>
                <w:b/>
                <w:bCs/>
                <w:sz w:val="20"/>
                <w:szCs w:val="20"/>
              </w:rPr>
            </w:pPr>
          </w:p>
        </w:tc>
      </w:tr>
      <w:tr w:rsidR="004C10EB" w:rsidRPr="00613E10" w14:paraId="1DFE467F" w14:textId="77777777" w:rsidTr="00D4325F">
        <w:trPr>
          <w:cantSplit/>
          <w:trHeight w:val="20"/>
        </w:trPr>
        <w:tc>
          <w:tcPr>
            <w:tcW w:w="2978" w:type="dxa"/>
            <w:tcBorders>
              <w:top w:val="single" w:sz="4" w:space="0" w:color="auto"/>
            </w:tcBorders>
            <w:vAlign w:val="center"/>
          </w:tcPr>
          <w:p w14:paraId="65C933C0" w14:textId="7573603B" w:rsidR="004C10EB" w:rsidRPr="00613E10" w:rsidDel="00AC1A58" w:rsidRDefault="004C10EB" w:rsidP="009A4EC6">
            <w:pPr>
              <w:spacing w:beforeLines="40" w:before="96" w:afterLines="40" w:after="96"/>
              <w:rPr>
                <w:rFonts w:eastAsia="Calibri" w:cs="Arial"/>
                <w:sz w:val="20"/>
                <w:szCs w:val="20"/>
              </w:rPr>
            </w:pPr>
            <w:r w:rsidRPr="00613E10">
              <w:rPr>
                <w:rFonts w:eastAsia="Calibri" w:cs="Arial"/>
                <w:sz w:val="20"/>
                <w:szCs w:val="20"/>
              </w:rPr>
              <w:t xml:space="preserve">Age in years, median (IQR) </w:t>
            </w:r>
          </w:p>
        </w:tc>
        <w:tc>
          <w:tcPr>
            <w:tcW w:w="1701" w:type="dxa"/>
            <w:tcBorders>
              <w:top w:val="single" w:sz="4" w:space="0" w:color="auto"/>
            </w:tcBorders>
            <w:vAlign w:val="center"/>
          </w:tcPr>
          <w:p w14:paraId="72D33FFD"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81.0 (72.0–87.0)</w:t>
            </w:r>
          </w:p>
        </w:tc>
        <w:tc>
          <w:tcPr>
            <w:tcW w:w="1701" w:type="dxa"/>
            <w:tcBorders>
              <w:top w:val="single" w:sz="4" w:space="0" w:color="auto"/>
            </w:tcBorders>
            <w:vAlign w:val="center"/>
          </w:tcPr>
          <w:p w14:paraId="2D4AB4B0"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81.0 (71.0–87.0)</w:t>
            </w:r>
          </w:p>
        </w:tc>
        <w:tc>
          <w:tcPr>
            <w:tcW w:w="1701" w:type="dxa"/>
            <w:tcBorders>
              <w:top w:val="single" w:sz="4" w:space="0" w:color="auto"/>
            </w:tcBorders>
            <w:vAlign w:val="center"/>
          </w:tcPr>
          <w:p w14:paraId="26028D72"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81.0 (</w:t>
            </w:r>
            <w:bookmarkStart w:id="6" w:name="_Hlk28850579"/>
            <w:r w:rsidRPr="00613E10">
              <w:rPr>
                <w:rFonts w:eastAsia="Calibri" w:cs="Arial"/>
                <w:sz w:val="20"/>
                <w:szCs w:val="20"/>
              </w:rPr>
              <w:t>71.0–87.0</w:t>
            </w:r>
            <w:bookmarkEnd w:id="6"/>
            <w:r w:rsidRPr="00613E10">
              <w:rPr>
                <w:rFonts w:eastAsia="Calibri" w:cs="Arial"/>
                <w:sz w:val="20"/>
                <w:szCs w:val="20"/>
              </w:rPr>
              <w:t>)</w:t>
            </w:r>
          </w:p>
        </w:tc>
        <w:tc>
          <w:tcPr>
            <w:tcW w:w="992" w:type="dxa"/>
            <w:tcBorders>
              <w:top w:val="single" w:sz="4" w:space="0" w:color="auto"/>
            </w:tcBorders>
            <w:vAlign w:val="center"/>
          </w:tcPr>
          <w:p w14:paraId="4AF90928"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0.092</w:t>
            </w:r>
          </w:p>
        </w:tc>
        <w:tc>
          <w:tcPr>
            <w:tcW w:w="1701" w:type="dxa"/>
            <w:tcBorders>
              <w:top w:val="single" w:sz="4" w:space="0" w:color="auto"/>
            </w:tcBorders>
            <w:vAlign w:val="center"/>
          </w:tcPr>
          <w:p w14:paraId="2F867C49"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81.0 (72.0–87.0)</w:t>
            </w:r>
          </w:p>
        </w:tc>
        <w:tc>
          <w:tcPr>
            <w:tcW w:w="1701" w:type="dxa"/>
            <w:tcBorders>
              <w:top w:val="single" w:sz="4" w:space="0" w:color="auto"/>
            </w:tcBorders>
            <w:vAlign w:val="center"/>
          </w:tcPr>
          <w:p w14:paraId="555AC8B8"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81.0 (72.0–87.0)</w:t>
            </w:r>
          </w:p>
        </w:tc>
        <w:tc>
          <w:tcPr>
            <w:tcW w:w="1701" w:type="dxa"/>
            <w:tcBorders>
              <w:top w:val="single" w:sz="4" w:space="0" w:color="auto"/>
            </w:tcBorders>
            <w:vAlign w:val="center"/>
          </w:tcPr>
          <w:p w14:paraId="16D330A2"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81.0 (72.0–87.0)</w:t>
            </w:r>
          </w:p>
        </w:tc>
        <w:tc>
          <w:tcPr>
            <w:tcW w:w="992" w:type="dxa"/>
            <w:tcBorders>
              <w:top w:val="single" w:sz="4" w:space="0" w:color="auto"/>
            </w:tcBorders>
            <w:vAlign w:val="center"/>
          </w:tcPr>
          <w:p w14:paraId="3EFD7F02"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0.688</w:t>
            </w:r>
          </w:p>
        </w:tc>
      </w:tr>
      <w:tr w:rsidR="004C10EB" w:rsidRPr="00613E10" w14:paraId="1BFDA585" w14:textId="77777777" w:rsidTr="00D4325F">
        <w:trPr>
          <w:cantSplit/>
          <w:trHeight w:val="20"/>
        </w:trPr>
        <w:tc>
          <w:tcPr>
            <w:tcW w:w="2978" w:type="dxa"/>
            <w:vAlign w:val="center"/>
          </w:tcPr>
          <w:p w14:paraId="3EE336A6"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Female, n (%)</w:t>
            </w:r>
          </w:p>
        </w:tc>
        <w:tc>
          <w:tcPr>
            <w:tcW w:w="1701" w:type="dxa"/>
            <w:vAlign w:val="center"/>
          </w:tcPr>
          <w:p w14:paraId="2DB46735" w14:textId="59E32098"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4047 (59.0)</w:t>
            </w:r>
          </w:p>
        </w:tc>
        <w:tc>
          <w:tcPr>
            <w:tcW w:w="1701" w:type="dxa"/>
            <w:vAlign w:val="center"/>
          </w:tcPr>
          <w:p w14:paraId="7CE81B1E" w14:textId="79664686"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8094 (59.0)</w:t>
            </w:r>
          </w:p>
        </w:tc>
        <w:tc>
          <w:tcPr>
            <w:tcW w:w="1701" w:type="dxa"/>
            <w:vAlign w:val="center"/>
          </w:tcPr>
          <w:p w14:paraId="6F6536F2" w14:textId="63AC84AE"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12</w:t>
            </w:r>
            <w:r w:rsidR="00B93A08">
              <w:rPr>
                <w:rFonts w:eastAsia="Calibri" w:cs="Arial"/>
                <w:sz w:val="20"/>
                <w:szCs w:val="20"/>
              </w:rPr>
              <w:t> </w:t>
            </w:r>
            <w:r w:rsidRPr="00613E10">
              <w:rPr>
                <w:rFonts w:eastAsia="Calibri" w:cs="Arial"/>
                <w:sz w:val="20"/>
                <w:szCs w:val="20"/>
              </w:rPr>
              <w:t>141 (59.0)</w:t>
            </w:r>
          </w:p>
        </w:tc>
        <w:tc>
          <w:tcPr>
            <w:tcW w:w="992" w:type="dxa"/>
            <w:vAlign w:val="center"/>
          </w:tcPr>
          <w:p w14:paraId="18F9D53B" w14:textId="6C6AE6BE" w:rsidR="004C10EB" w:rsidRPr="00613E10" w:rsidRDefault="0056047C" w:rsidP="009A4EC6">
            <w:pPr>
              <w:spacing w:beforeLines="40" w:before="96" w:afterLines="40" w:after="96"/>
              <w:rPr>
                <w:rFonts w:eastAsia="Calibri" w:cs="Arial"/>
                <w:sz w:val="20"/>
                <w:szCs w:val="20"/>
              </w:rPr>
            </w:pPr>
            <w:r>
              <w:rPr>
                <w:rFonts w:eastAsia="Calibri" w:cs="Arial"/>
                <w:sz w:val="20"/>
                <w:szCs w:val="20"/>
              </w:rPr>
              <w:t>1.000</w:t>
            </w:r>
            <w:r w:rsidR="008D5963">
              <w:rPr>
                <w:rFonts w:eastAsia="Calibri" w:cs="Arial"/>
                <w:sz w:val="20"/>
                <w:szCs w:val="20"/>
                <w:vertAlign w:val="superscript"/>
              </w:rPr>
              <w:t>c</w:t>
            </w:r>
          </w:p>
        </w:tc>
        <w:tc>
          <w:tcPr>
            <w:tcW w:w="1701" w:type="dxa"/>
            <w:vAlign w:val="center"/>
          </w:tcPr>
          <w:p w14:paraId="210CF71B" w14:textId="77777777"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 xml:space="preserve">678 (59.5) </w:t>
            </w:r>
          </w:p>
        </w:tc>
        <w:tc>
          <w:tcPr>
            <w:tcW w:w="1701" w:type="dxa"/>
            <w:vAlign w:val="center"/>
          </w:tcPr>
          <w:p w14:paraId="09709D34" w14:textId="5C22F790"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 xml:space="preserve">3369 (58.9) </w:t>
            </w:r>
          </w:p>
        </w:tc>
        <w:tc>
          <w:tcPr>
            <w:tcW w:w="1701" w:type="dxa"/>
            <w:vAlign w:val="center"/>
          </w:tcPr>
          <w:p w14:paraId="404B97ED" w14:textId="448048EC"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 xml:space="preserve">4047 (59.0) </w:t>
            </w:r>
          </w:p>
        </w:tc>
        <w:tc>
          <w:tcPr>
            <w:tcW w:w="992" w:type="dxa"/>
            <w:vAlign w:val="center"/>
          </w:tcPr>
          <w:p w14:paraId="2F10363E" w14:textId="087A5802" w:rsidR="004C10EB" w:rsidRPr="00613E10" w:rsidRDefault="008D5963" w:rsidP="009A4EC6">
            <w:pPr>
              <w:spacing w:beforeLines="40" w:before="96" w:afterLines="40" w:after="96"/>
              <w:rPr>
                <w:rFonts w:eastAsia="Calibri" w:cs="Arial"/>
                <w:sz w:val="20"/>
                <w:szCs w:val="20"/>
              </w:rPr>
            </w:pPr>
            <w:r>
              <w:rPr>
                <w:rFonts w:eastAsia="Calibri" w:cs="Arial"/>
                <w:sz w:val="20"/>
                <w:szCs w:val="20"/>
              </w:rPr>
              <w:t>0.709</w:t>
            </w:r>
          </w:p>
        </w:tc>
      </w:tr>
      <w:tr w:rsidR="004C10EB" w:rsidRPr="00613E10" w14:paraId="0DE176A6" w14:textId="77777777" w:rsidTr="00D4325F">
        <w:trPr>
          <w:cantSplit/>
          <w:trHeight w:val="20"/>
        </w:trPr>
        <w:tc>
          <w:tcPr>
            <w:tcW w:w="2978" w:type="dxa"/>
            <w:tcBorders>
              <w:bottom w:val="single" w:sz="4" w:space="0" w:color="auto"/>
            </w:tcBorders>
            <w:vAlign w:val="center"/>
          </w:tcPr>
          <w:p w14:paraId="6CC38D3F" w14:textId="18249862" w:rsidR="004C10EB" w:rsidRPr="00613E10" w:rsidRDefault="004C10EB" w:rsidP="009A4EC6">
            <w:pPr>
              <w:spacing w:beforeLines="40" w:before="96" w:afterLines="40" w:after="96"/>
              <w:rPr>
                <w:rFonts w:eastAsia="Calibri" w:cs="Arial"/>
                <w:sz w:val="20"/>
                <w:szCs w:val="20"/>
              </w:rPr>
            </w:pPr>
            <w:r w:rsidRPr="00613E10">
              <w:rPr>
                <w:rFonts w:eastAsia="Calibri" w:cs="Arial"/>
                <w:sz w:val="20"/>
                <w:szCs w:val="20"/>
              </w:rPr>
              <w:t>BMI</w:t>
            </w:r>
          </w:p>
        </w:tc>
        <w:tc>
          <w:tcPr>
            <w:tcW w:w="1701" w:type="dxa"/>
            <w:tcBorders>
              <w:bottom w:val="single" w:sz="4" w:space="0" w:color="auto"/>
            </w:tcBorders>
            <w:vAlign w:val="center"/>
          </w:tcPr>
          <w:p w14:paraId="250E90FD" w14:textId="4EF6ACC3" w:rsidR="004C10EB" w:rsidRPr="00613E10" w:rsidRDefault="004C10EB" w:rsidP="009A4EC6">
            <w:pPr>
              <w:spacing w:beforeLines="40" w:before="96" w:afterLines="40" w:after="96"/>
              <w:rPr>
                <w:rFonts w:eastAsia="Calibri" w:cs="Arial"/>
                <w:sz w:val="20"/>
                <w:szCs w:val="20"/>
              </w:rPr>
            </w:pPr>
          </w:p>
        </w:tc>
        <w:tc>
          <w:tcPr>
            <w:tcW w:w="1701" w:type="dxa"/>
            <w:tcBorders>
              <w:bottom w:val="single" w:sz="4" w:space="0" w:color="auto"/>
            </w:tcBorders>
            <w:vAlign w:val="center"/>
          </w:tcPr>
          <w:p w14:paraId="3ADD115A" w14:textId="684E816A" w:rsidR="004C10EB" w:rsidRPr="00613E10" w:rsidRDefault="004C10EB" w:rsidP="009A4EC6">
            <w:pPr>
              <w:spacing w:beforeLines="40" w:before="96" w:afterLines="40" w:after="96"/>
              <w:rPr>
                <w:rFonts w:eastAsia="Calibri" w:cs="Arial"/>
                <w:sz w:val="20"/>
                <w:szCs w:val="20"/>
              </w:rPr>
            </w:pPr>
          </w:p>
        </w:tc>
        <w:tc>
          <w:tcPr>
            <w:tcW w:w="1701" w:type="dxa"/>
            <w:tcBorders>
              <w:bottom w:val="single" w:sz="4" w:space="0" w:color="auto"/>
            </w:tcBorders>
            <w:vAlign w:val="center"/>
          </w:tcPr>
          <w:p w14:paraId="4DEF828F" w14:textId="26C7B1C6" w:rsidR="004C10EB" w:rsidRPr="00613E10" w:rsidRDefault="004C10EB" w:rsidP="009A4EC6">
            <w:pPr>
              <w:spacing w:beforeLines="40" w:before="96" w:afterLines="40" w:after="96"/>
              <w:rPr>
                <w:rFonts w:eastAsia="Calibri" w:cs="Arial"/>
                <w:sz w:val="20"/>
                <w:szCs w:val="20"/>
              </w:rPr>
            </w:pPr>
          </w:p>
        </w:tc>
        <w:tc>
          <w:tcPr>
            <w:tcW w:w="992" w:type="dxa"/>
            <w:tcBorders>
              <w:bottom w:val="single" w:sz="4" w:space="0" w:color="auto"/>
            </w:tcBorders>
            <w:vAlign w:val="center"/>
          </w:tcPr>
          <w:p w14:paraId="7870921F" w14:textId="55FBD2D8" w:rsidR="004C10EB" w:rsidRPr="00613E10" w:rsidRDefault="004C10EB" w:rsidP="009A4EC6">
            <w:pPr>
              <w:spacing w:beforeLines="40" w:before="96" w:afterLines="40" w:after="96"/>
              <w:rPr>
                <w:rFonts w:eastAsia="Calibri" w:cs="Arial"/>
                <w:sz w:val="20"/>
                <w:szCs w:val="20"/>
              </w:rPr>
            </w:pPr>
          </w:p>
        </w:tc>
        <w:tc>
          <w:tcPr>
            <w:tcW w:w="1701" w:type="dxa"/>
            <w:tcBorders>
              <w:bottom w:val="single" w:sz="4" w:space="0" w:color="auto"/>
            </w:tcBorders>
            <w:vAlign w:val="center"/>
          </w:tcPr>
          <w:p w14:paraId="25A8C2A4" w14:textId="4B69E471" w:rsidR="004C10EB" w:rsidRPr="00613E10" w:rsidRDefault="004C10EB" w:rsidP="009A4EC6">
            <w:pPr>
              <w:spacing w:beforeLines="40" w:before="96" w:afterLines="40" w:after="96"/>
              <w:rPr>
                <w:rFonts w:eastAsia="Calibri" w:cs="Arial"/>
                <w:sz w:val="20"/>
                <w:szCs w:val="20"/>
              </w:rPr>
            </w:pPr>
          </w:p>
        </w:tc>
        <w:tc>
          <w:tcPr>
            <w:tcW w:w="1701" w:type="dxa"/>
            <w:tcBorders>
              <w:bottom w:val="single" w:sz="4" w:space="0" w:color="auto"/>
            </w:tcBorders>
            <w:vAlign w:val="center"/>
          </w:tcPr>
          <w:p w14:paraId="563FE0BF" w14:textId="386D91A7" w:rsidR="004C10EB" w:rsidRPr="00613E10" w:rsidRDefault="004C10EB" w:rsidP="009A4EC6">
            <w:pPr>
              <w:spacing w:beforeLines="40" w:before="96" w:afterLines="40" w:after="96"/>
              <w:rPr>
                <w:rFonts w:eastAsia="Calibri" w:cs="Arial"/>
                <w:sz w:val="20"/>
                <w:szCs w:val="20"/>
              </w:rPr>
            </w:pPr>
          </w:p>
        </w:tc>
        <w:tc>
          <w:tcPr>
            <w:tcW w:w="1701" w:type="dxa"/>
            <w:tcBorders>
              <w:bottom w:val="single" w:sz="4" w:space="0" w:color="auto"/>
            </w:tcBorders>
            <w:vAlign w:val="center"/>
          </w:tcPr>
          <w:p w14:paraId="6B9DF10D" w14:textId="5E797BE6" w:rsidR="004C10EB" w:rsidRPr="00613E10" w:rsidRDefault="004C10EB" w:rsidP="009A4EC6">
            <w:pPr>
              <w:spacing w:beforeLines="40" w:before="96" w:afterLines="40" w:after="96"/>
              <w:rPr>
                <w:rFonts w:eastAsia="Calibri" w:cs="Arial"/>
                <w:sz w:val="20"/>
                <w:szCs w:val="20"/>
              </w:rPr>
            </w:pPr>
          </w:p>
        </w:tc>
        <w:tc>
          <w:tcPr>
            <w:tcW w:w="992" w:type="dxa"/>
            <w:tcBorders>
              <w:bottom w:val="single" w:sz="4" w:space="0" w:color="auto"/>
            </w:tcBorders>
            <w:vAlign w:val="center"/>
          </w:tcPr>
          <w:p w14:paraId="25356E9E" w14:textId="75930449" w:rsidR="004C10EB" w:rsidRPr="00613E10" w:rsidRDefault="004C10EB" w:rsidP="009A4EC6">
            <w:pPr>
              <w:spacing w:beforeLines="40" w:before="96" w:afterLines="40" w:after="96"/>
              <w:rPr>
                <w:rFonts w:eastAsia="Calibri" w:cs="Arial"/>
                <w:sz w:val="20"/>
                <w:szCs w:val="20"/>
              </w:rPr>
            </w:pPr>
          </w:p>
        </w:tc>
      </w:tr>
      <w:tr w:rsidR="00097143" w:rsidRPr="00613E10" w14:paraId="22AF6DE4" w14:textId="77777777" w:rsidTr="00D4325F">
        <w:trPr>
          <w:cantSplit/>
          <w:trHeight w:val="20"/>
        </w:trPr>
        <w:tc>
          <w:tcPr>
            <w:tcW w:w="2978" w:type="dxa"/>
            <w:tcBorders>
              <w:bottom w:val="single" w:sz="4" w:space="0" w:color="auto"/>
            </w:tcBorders>
            <w:vAlign w:val="center"/>
          </w:tcPr>
          <w:p w14:paraId="64FD6880" w14:textId="10FAFD0B" w:rsidR="00097143" w:rsidRPr="00613E10" w:rsidRDefault="00097143" w:rsidP="005277CB">
            <w:pPr>
              <w:spacing w:beforeLines="40" w:before="96" w:afterLines="40" w:after="96"/>
              <w:ind w:left="320"/>
              <w:rPr>
                <w:rFonts w:eastAsia="Calibri" w:cs="Arial"/>
                <w:sz w:val="20"/>
                <w:szCs w:val="20"/>
              </w:rPr>
            </w:pPr>
            <w:r>
              <w:rPr>
                <w:rFonts w:eastAsia="Calibri" w:cs="Arial"/>
                <w:sz w:val="20"/>
                <w:szCs w:val="20"/>
              </w:rPr>
              <w:t>M</w:t>
            </w:r>
            <w:r w:rsidRPr="00613E10">
              <w:rPr>
                <w:rFonts w:eastAsia="Calibri" w:cs="Arial"/>
                <w:sz w:val="20"/>
                <w:szCs w:val="20"/>
              </w:rPr>
              <w:t>edian (IQR)</w:t>
            </w:r>
          </w:p>
        </w:tc>
        <w:tc>
          <w:tcPr>
            <w:tcW w:w="1701" w:type="dxa"/>
            <w:tcBorders>
              <w:bottom w:val="single" w:sz="4" w:space="0" w:color="auto"/>
            </w:tcBorders>
            <w:vAlign w:val="center"/>
          </w:tcPr>
          <w:p w14:paraId="689ED8F4" w14:textId="3F89D872"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25.4 (22.2–29.1)</w:t>
            </w:r>
          </w:p>
        </w:tc>
        <w:tc>
          <w:tcPr>
            <w:tcW w:w="1701" w:type="dxa"/>
            <w:tcBorders>
              <w:bottom w:val="single" w:sz="4" w:space="0" w:color="auto"/>
            </w:tcBorders>
            <w:vAlign w:val="center"/>
          </w:tcPr>
          <w:p w14:paraId="30F5FC68" w14:textId="26416EBF"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25.4 (22.5–28.9)</w:t>
            </w:r>
          </w:p>
        </w:tc>
        <w:tc>
          <w:tcPr>
            <w:tcW w:w="1701" w:type="dxa"/>
            <w:tcBorders>
              <w:bottom w:val="single" w:sz="4" w:space="0" w:color="auto"/>
            </w:tcBorders>
            <w:vAlign w:val="center"/>
          </w:tcPr>
          <w:p w14:paraId="67E0ED9B" w14:textId="37426D5A"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25.4 (22.4–28.9)</w:t>
            </w:r>
          </w:p>
        </w:tc>
        <w:tc>
          <w:tcPr>
            <w:tcW w:w="992" w:type="dxa"/>
            <w:tcBorders>
              <w:bottom w:val="single" w:sz="4" w:space="0" w:color="auto"/>
            </w:tcBorders>
            <w:vAlign w:val="center"/>
          </w:tcPr>
          <w:p w14:paraId="3B084C9E" w14:textId="308EAC7F"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0.381</w:t>
            </w:r>
          </w:p>
        </w:tc>
        <w:tc>
          <w:tcPr>
            <w:tcW w:w="1701" w:type="dxa"/>
            <w:tcBorders>
              <w:bottom w:val="single" w:sz="4" w:space="0" w:color="auto"/>
            </w:tcBorders>
            <w:vAlign w:val="center"/>
          </w:tcPr>
          <w:p w14:paraId="48702629" w14:textId="1FBB6A14"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 xml:space="preserve">25.5 (22.1–29.1) </w:t>
            </w:r>
          </w:p>
        </w:tc>
        <w:tc>
          <w:tcPr>
            <w:tcW w:w="1701" w:type="dxa"/>
            <w:tcBorders>
              <w:bottom w:val="single" w:sz="4" w:space="0" w:color="auto"/>
            </w:tcBorders>
            <w:vAlign w:val="center"/>
          </w:tcPr>
          <w:p w14:paraId="1174C7CB" w14:textId="73E137F6"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 xml:space="preserve">25.4 (22.2–29.2) </w:t>
            </w:r>
          </w:p>
        </w:tc>
        <w:tc>
          <w:tcPr>
            <w:tcW w:w="1701" w:type="dxa"/>
            <w:tcBorders>
              <w:bottom w:val="single" w:sz="4" w:space="0" w:color="auto"/>
            </w:tcBorders>
            <w:vAlign w:val="center"/>
          </w:tcPr>
          <w:p w14:paraId="48216281" w14:textId="222CC923"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 xml:space="preserve">25.4 (22.2–29.1) </w:t>
            </w:r>
          </w:p>
        </w:tc>
        <w:tc>
          <w:tcPr>
            <w:tcW w:w="992" w:type="dxa"/>
            <w:tcBorders>
              <w:bottom w:val="single" w:sz="4" w:space="0" w:color="auto"/>
            </w:tcBorders>
            <w:vAlign w:val="center"/>
          </w:tcPr>
          <w:p w14:paraId="43CCCBB3" w14:textId="093E2E4B" w:rsidR="00097143" w:rsidRPr="00613E10" w:rsidRDefault="00097143" w:rsidP="00097143">
            <w:pPr>
              <w:spacing w:beforeLines="40" w:before="96" w:afterLines="40" w:after="96"/>
              <w:rPr>
                <w:rFonts w:eastAsia="Calibri" w:cs="Arial"/>
                <w:sz w:val="20"/>
                <w:szCs w:val="20"/>
              </w:rPr>
            </w:pPr>
            <w:r w:rsidRPr="00613E10">
              <w:rPr>
                <w:rFonts w:eastAsia="Calibri" w:cs="Arial"/>
                <w:sz w:val="20"/>
                <w:szCs w:val="20"/>
              </w:rPr>
              <w:t xml:space="preserve">0.901 </w:t>
            </w:r>
          </w:p>
        </w:tc>
      </w:tr>
      <w:tr w:rsidR="00097143" w:rsidRPr="00613E10" w14:paraId="66A049D2" w14:textId="77777777" w:rsidTr="005277CB">
        <w:trPr>
          <w:cantSplit/>
          <w:trHeight w:val="20"/>
        </w:trPr>
        <w:tc>
          <w:tcPr>
            <w:tcW w:w="2978" w:type="dxa"/>
            <w:tcBorders>
              <w:bottom w:val="single" w:sz="4" w:space="0" w:color="auto"/>
            </w:tcBorders>
            <w:vAlign w:val="center"/>
          </w:tcPr>
          <w:p w14:paraId="18AB1AC6" w14:textId="5C782DBD" w:rsidR="00097143" w:rsidRPr="00613E10" w:rsidRDefault="00097143" w:rsidP="005277CB">
            <w:pPr>
              <w:spacing w:beforeLines="40" w:before="96" w:afterLines="40" w:after="96"/>
              <w:ind w:left="320"/>
              <w:rPr>
                <w:rFonts w:eastAsia="Calibri" w:cs="Arial"/>
                <w:sz w:val="20"/>
                <w:szCs w:val="20"/>
              </w:rPr>
            </w:pPr>
            <w:r>
              <w:rPr>
                <w:rFonts w:eastAsia="Calibri" w:cs="Arial"/>
                <w:sz w:val="20"/>
                <w:szCs w:val="20"/>
              </w:rPr>
              <w:t>Missing</w:t>
            </w:r>
          </w:p>
        </w:tc>
        <w:tc>
          <w:tcPr>
            <w:tcW w:w="1701" w:type="dxa"/>
          </w:tcPr>
          <w:p w14:paraId="772ED706" w14:textId="27C51ADF" w:rsidR="00097143" w:rsidRPr="00613E10" w:rsidRDefault="00097143" w:rsidP="00097143">
            <w:pPr>
              <w:spacing w:beforeLines="40" w:before="96" w:afterLines="40" w:after="96"/>
              <w:rPr>
                <w:rFonts w:eastAsia="Calibri" w:cs="Arial"/>
                <w:sz w:val="20"/>
                <w:szCs w:val="20"/>
              </w:rPr>
            </w:pPr>
            <w:r>
              <w:rPr>
                <w:sz w:val="20"/>
                <w:szCs w:val="20"/>
              </w:rPr>
              <w:t xml:space="preserve">1382 (20.1%) </w:t>
            </w:r>
          </w:p>
        </w:tc>
        <w:tc>
          <w:tcPr>
            <w:tcW w:w="1701" w:type="dxa"/>
          </w:tcPr>
          <w:p w14:paraId="5AFBEAC1" w14:textId="4FA495FE" w:rsidR="00097143" w:rsidRPr="00613E10" w:rsidRDefault="00097143" w:rsidP="00097143">
            <w:pPr>
              <w:spacing w:beforeLines="40" w:before="96" w:afterLines="40" w:after="96"/>
              <w:rPr>
                <w:rFonts w:eastAsia="Calibri" w:cs="Arial"/>
                <w:sz w:val="20"/>
                <w:szCs w:val="20"/>
              </w:rPr>
            </w:pPr>
            <w:r>
              <w:rPr>
                <w:sz w:val="20"/>
                <w:szCs w:val="20"/>
              </w:rPr>
              <w:t xml:space="preserve">2761 (20.1%) </w:t>
            </w:r>
          </w:p>
        </w:tc>
        <w:tc>
          <w:tcPr>
            <w:tcW w:w="1701" w:type="dxa"/>
          </w:tcPr>
          <w:p w14:paraId="0D69C568" w14:textId="781B2393" w:rsidR="00097143" w:rsidRPr="00613E10" w:rsidRDefault="00097143" w:rsidP="00097143">
            <w:pPr>
              <w:spacing w:beforeLines="40" w:before="96" w:afterLines="40" w:after="96"/>
              <w:rPr>
                <w:rFonts w:eastAsia="Calibri" w:cs="Arial"/>
                <w:sz w:val="20"/>
                <w:szCs w:val="20"/>
              </w:rPr>
            </w:pPr>
            <w:r>
              <w:rPr>
                <w:sz w:val="20"/>
                <w:szCs w:val="20"/>
              </w:rPr>
              <w:t xml:space="preserve">4143 (20.1%) </w:t>
            </w:r>
          </w:p>
        </w:tc>
        <w:tc>
          <w:tcPr>
            <w:tcW w:w="992" w:type="dxa"/>
            <w:tcBorders>
              <w:bottom w:val="single" w:sz="4" w:space="0" w:color="auto"/>
            </w:tcBorders>
            <w:vAlign w:val="center"/>
          </w:tcPr>
          <w:p w14:paraId="2DC6F1B6" w14:textId="77777777" w:rsidR="00097143" w:rsidRPr="00613E10" w:rsidRDefault="00097143" w:rsidP="00097143">
            <w:pPr>
              <w:spacing w:beforeLines="40" w:before="96" w:afterLines="40" w:after="96"/>
              <w:rPr>
                <w:rFonts w:eastAsia="Calibri" w:cs="Arial"/>
                <w:sz w:val="20"/>
                <w:szCs w:val="20"/>
              </w:rPr>
            </w:pPr>
          </w:p>
        </w:tc>
        <w:tc>
          <w:tcPr>
            <w:tcW w:w="1701" w:type="dxa"/>
            <w:tcBorders>
              <w:bottom w:val="single" w:sz="4" w:space="0" w:color="auto"/>
            </w:tcBorders>
            <w:vAlign w:val="center"/>
          </w:tcPr>
          <w:p w14:paraId="44339F2B" w14:textId="77777777" w:rsidR="00097143" w:rsidRPr="00613E10" w:rsidRDefault="00097143" w:rsidP="00097143">
            <w:pPr>
              <w:spacing w:beforeLines="40" w:before="96" w:afterLines="40" w:after="96"/>
              <w:rPr>
                <w:rFonts w:eastAsia="Calibri" w:cs="Arial"/>
                <w:sz w:val="20"/>
                <w:szCs w:val="20"/>
              </w:rPr>
            </w:pPr>
          </w:p>
        </w:tc>
        <w:tc>
          <w:tcPr>
            <w:tcW w:w="1701" w:type="dxa"/>
            <w:tcBorders>
              <w:bottom w:val="single" w:sz="4" w:space="0" w:color="auto"/>
            </w:tcBorders>
            <w:vAlign w:val="center"/>
          </w:tcPr>
          <w:p w14:paraId="0B6E1C7A" w14:textId="77777777" w:rsidR="00097143" w:rsidRPr="00613E10" w:rsidRDefault="00097143" w:rsidP="00097143">
            <w:pPr>
              <w:spacing w:beforeLines="40" w:before="96" w:afterLines="40" w:after="96"/>
              <w:rPr>
                <w:rFonts w:eastAsia="Calibri" w:cs="Arial"/>
                <w:sz w:val="20"/>
                <w:szCs w:val="20"/>
              </w:rPr>
            </w:pPr>
          </w:p>
        </w:tc>
        <w:tc>
          <w:tcPr>
            <w:tcW w:w="1701" w:type="dxa"/>
            <w:tcBorders>
              <w:bottom w:val="single" w:sz="4" w:space="0" w:color="auto"/>
            </w:tcBorders>
            <w:vAlign w:val="center"/>
          </w:tcPr>
          <w:p w14:paraId="1A471E5C" w14:textId="77777777" w:rsidR="00097143" w:rsidRPr="00613E10" w:rsidRDefault="00097143" w:rsidP="00097143">
            <w:pPr>
              <w:spacing w:beforeLines="40" w:before="96" w:afterLines="40" w:after="96"/>
              <w:rPr>
                <w:rFonts w:eastAsia="Calibri" w:cs="Arial"/>
                <w:sz w:val="20"/>
                <w:szCs w:val="20"/>
              </w:rPr>
            </w:pPr>
          </w:p>
        </w:tc>
        <w:tc>
          <w:tcPr>
            <w:tcW w:w="992" w:type="dxa"/>
            <w:tcBorders>
              <w:bottom w:val="single" w:sz="4" w:space="0" w:color="auto"/>
            </w:tcBorders>
            <w:vAlign w:val="center"/>
          </w:tcPr>
          <w:p w14:paraId="35645F14" w14:textId="77777777" w:rsidR="00097143" w:rsidRPr="00613E10" w:rsidRDefault="00097143" w:rsidP="00097143">
            <w:pPr>
              <w:spacing w:beforeLines="40" w:before="96" w:afterLines="40" w:after="96"/>
              <w:rPr>
                <w:rFonts w:eastAsia="Calibri" w:cs="Arial"/>
                <w:sz w:val="20"/>
                <w:szCs w:val="20"/>
              </w:rPr>
            </w:pPr>
          </w:p>
        </w:tc>
      </w:tr>
      <w:tr w:rsidR="00097143" w:rsidRPr="00613E10" w14:paraId="4C932345" w14:textId="77777777" w:rsidTr="005277CB">
        <w:trPr>
          <w:cantSplit/>
          <w:trHeight w:val="20"/>
        </w:trPr>
        <w:tc>
          <w:tcPr>
            <w:tcW w:w="2978" w:type="dxa"/>
            <w:tcBorders>
              <w:bottom w:val="single" w:sz="4" w:space="0" w:color="auto"/>
            </w:tcBorders>
            <w:vAlign w:val="center"/>
          </w:tcPr>
          <w:p w14:paraId="3DA486BF" w14:textId="6C96887B" w:rsidR="00097143" w:rsidRPr="00613E10" w:rsidRDefault="00097143" w:rsidP="00097143">
            <w:pPr>
              <w:spacing w:beforeLines="40" w:before="96" w:afterLines="40" w:after="96"/>
              <w:rPr>
                <w:rFonts w:eastAsia="Calibri" w:cs="Arial"/>
                <w:sz w:val="20"/>
                <w:szCs w:val="20"/>
              </w:rPr>
            </w:pPr>
            <w:r>
              <w:rPr>
                <w:rFonts w:eastAsia="Calibri" w:cs="Arial"/>
                <w:sz w:val="20"/>
                <w:szCs w:val="20"/>
              </w:rPr>
              <w:t>Smoking status</w:t>
            </w:r>
          </w:p>
        </w:tc>
        <w:tc>
          <w:tcPr>
            <w:tcW w:w="1701" w:type="dxa"/>
            <w:tcBorders>
              <w:bottom w:val="single" w:sz="4" w:space="0" w:color="auto"/>
            </w:tcBorders>
            <w:vAlign w:val="center"/>
          </w:tcPr>
          <w:p w14:paraId="6BD21FA8" w14:textId="77777777" w:rsidR="00097143" w:rsidRPr="00613E10" w:rsidRDefault="00097143" w:rsidP="00097143">
            <w:pPr>
              <w:spacing w:beforeLines="40" w:before="96" w:afterLines="40" w:after="96"/>
              <w:rPr>
                <w:rFonts w:eastAsia="Calibri" w:cs="Arial"/>
                <w:sz w:val="20"/>
                <w:szCs w:val="20"/>
              </w:rPr>
            </w:pPr>
          </w:p>
        </w:tc>
        <w:tc>
          <w:tcPr>
            <w:tcW w:w="1701" w:type="dxa"/>
            <w:tcBorders>
              <w:bottom w:val="single" w:sz="4" w:space="0" w:color="auto"/>
            </w:tcBorders>
            <w:vAlign w:val="center"/>
          </w:tcPr>
          <w:p w14:paraId="77155ACD" w14:textId="77777777" w:rsidR="00097143" w:rsidRPr="00613E10" w:rsidRDefault="00097143" w:rsidP="00097143">
            <w:pPr>
              <w:spacing w:beforeLines="40" w:before="96" w:afterLines="40" w:after="96"/>
              <w:rPr>
                <w:rFonts w:eastAsia="Calibri" w:cs="Arial"/>
                <w:sz w:val="20"/>
                <w:szCs w:val="20"/>
              </w:rPr>
            </w:pPr>
          </w:p>
        </w:tc>
        <w:tc>
          <w:tcPr>
            <w:tcW w:w="1701" w:type="dxa"/>
            <w:tcBorders>
              <w:bottom w:val="single" w:sz="4" w:space="0" w:color="auto"/>
            </w:tcBorders>
            <w:vAlign w:val="center"/>
          </w:tcPr>
          <w:p w14:paraId="09496489" w14:textId="77777777" w:rsidR="00097143" w:rsidRPr="00613E10" w:rsidRDefault="00097143" w:rsidP="00097143">
            <w:pPr>
              <w:spacing w:beforeLines="40" w:before="96" w:afterLines="40" w:after="96"/>
              <w:rPr>
                <w:rFonts w:eastAsia="Calibri" w:cs="Arial"/>
                <w:sz w:val="20"/>
                <w:szCs w:val="20"/>
              </w:rPr>
            </w:pPr>
          </w:p>
        </w:tc>
        <w:tc>
          <w:tcPr>
            <w:tcW w:w="992" w:type="dxa"/>
            <w:tcBorders>
              <w:bottom w:val="single" w:sz="4" w:space="0" w:color="auto"/>
            </w:tcBorders>
          </w:tcPr>
          <w:p w14:paraId="5FA28B33" w14:textId="5222F43B" w:rsidR="00097143" w:rsidRPr="00613E10" w:rsidRDefault="00097143" w:rsidP="00097143">
            <w:pPr>
              <w:spacing w:beforeLines="40" w:before="96" w:afterLines="40" w:after="96"/>
              <w:rPr>
                <w:rFonts w:eastAsia="Calibri" w:cs="Arial"/>
                <w:sz w:val="20"/>
                <w:szCs w:val="20"/>
              </w:rPr>
            </w:pPr>
            <w:r>
              <w:rPr>
                <w:sz w:val="20"/>
                <w:szCs w:val="20"/>
              </w:rPr>
              <w:t>&lt;0.001</w:t>
            </w:r>
          </w:p>
        </w:tc>
        <w:tc>
          <w:tcPr>
            <w:tcW w:w="1701" w:type="dxa"/>
            <w:tcBorders>
              <w:bottom w:val="single" w:sz="4" w:space="0" w:color="auto"/>
            </w:tcBorders>
            <w:vAlign w:val="center"/>
          </w:tcPr>
          <w:p w14:paraId="79C2FC8A" w14:textId="77777777" w:rsidR="00097143" w:rsidRPr="00613E10" w:rsidRDefault="00097143" w:rsidP="00097143">
            <w:pPr>
              <w:spacing w:beforeLines="40" w:before="96" w:afterLines="40" w:after="96"/>
              <w:rPr>
                <w:rFonts w:eastAsia="Calibri" w:cs="Arial"/>
                <w:sz w:val="20"/>
                <w:szCs w:val="20"/>
              </w:rPr>
            </w:pPr>
          </w:p>
        </w:tc>
        <w:tc>
          <w:tcPr>
            <w:tcW w:w="1701" w:type="dxa"/>
            <w:tcBorders>
              <w:bottom w:val="single" w:sz="4" w:space="0" w:color="auto"/>
            </w:tcBorders>
            <w:vAlign w:val="center"/>
          </w:tcPr>
          <w:p w14:paraId="485F323E" w14:textId="77777777" w:rsidR="00097143" w:rsidRPr="00613E10" w:rsidRDefault="00097143" w:rsidP="00097143">
            <w:pPr>
              <w:spacing w:beforeLines="40" w:before="96" w:afterLines="40" w:after="96"/>
              <w:rPr>
                <w:rFonts w:eastAsia="Calibri" w:cs="Arial"/>
                <w:sz w:val="20"/>
                <w:szCs w:val="20"/>
              </w:rPr>
            </w:pPr>
          </w:p>
        </w:tc>
        <w:tc>
          <w:tcPr>
            <w:tcW w:w="1701" w:type="dxa"/>
            <w:tcBorders>
              <w:bottom w:val="single" w:sz="4" w:space="0" w:color="auto"/>
            </w:tcBorders>
            <w:vAlign w:val="center"/>
          </w:tcPr>
          <w:p w14:paraId="071754F6" w14:textId="77777777" w:rsidR="00097143" w:rsidRPr="00613E10" w:rsidRDefault="00097143" w:rsidP="00097143">
            <w:pPr>
              <w:spacing w:beforeLines="40" w:before="96" w:afterLines="40" w:after="96"/>
              <w:rPr>
                <w:rFonts w:eastAsia="Calibri" w:cs="Arial"/>
                <w:sz w:val="20"/>
                <w:szCs w:val="20"/>
              </w:rPr>
            </w:pPr>
          </w:p>
        </w:tc>
        <w:tc>
          <w:tcPr>
            <w:tcW w:w="992" w:type="dxa"/>
            <w:tcBorders>
              <w:bottom w:val="single" w:sz="4" w:space="0" w:color="auto"/>
            </w:tcBorders>
            <w:vAlign w:val="center"/>
          </w:tcPr>
          <w:p w14:paraId="25230C14" w14:textId="43A25FF5" w:rsidR="00097143" w:rsidRPr="00613E10" w:rsidRDefault="00097143" w:rsidP="00097143">
            <w:pPr>
              <w:spacing w:beforeLines="40" w:before="96" w:afterLines="40" w:after="96"/>
              <w:rPr>
                <w:rFonts w:eastAsia="Calibri" w:cs="Arial"/>
                <w:sz w:val="20"/>
                <w:szCs w:val="20"/>
              </w:rPr>
            </w:pPr>
            <w:r w:rsidRPr="000D3330">
              <w:rPr>
                <w:rFonts w:eastAsia="Calibri" w:cs="Arial"/>
                <w:sz w:val="20"/>
                <w:szCs w:val="20"/>
              </w:rPr>
              <w:t>0.513</w:t>
            </w:r>
          </w:p>
        </w:tc>
      </w:tr>
      <w:tr w:rsidR="00097143" w:rsidRPr="00613E10" w14:paraId="0BCBC9FA" w14:textId="77777777" w:rsidTr="005277CB">
        <w:trPr>
          <w:cantSplit/>
          <w:trHeight w:val="20"/>
        </w:trPr>
        <w:tc>
          <w:tcPr>
            <w:tcW w:w="2978" w:type="dxa"/>
            <w:tcBorders>
              <w:bottom w:val="single" w:sz="4" w:space="0" w:color="auto"/>
            </w:tcBorders>
            <w:vAlign w:val="center"/>
          </w:tcPr>
          <w:p w14:paraId="0DD7B6F2" w14:textId="5128D579" w:rsidR="00097143" w:rsidRDefault="00097143" w:rsidP="005277CB">
            <w:pPr>
              <w:spacing w:beforeLines="40" w:before="96" w:afterLines="40" w:after="96"/>
              <w:ind w:left="320"/>
              <w:rPr>
                <w:rFonts w:eastAsia="Calibri" w:cs="Arial"/>
                <w:sz w:val="20"/>
                <w:szCs w:val="20"/>
              </w:rPr>
            </w:pPr>
            <w:r>
              <w:rPr>
                <w:rFonts w:eastAsia="Calibri" w:cs="Arial"/>
                <w:sz w:val="20"/>
                <w:szCs w:val="20"/>
              </w:rPr>
              <w:t>Non-smoker</w:t>
            </w:r>
          </w:p>
        </w:tc>
        <w:tc>
          <w:tcPr>
            <w:tcW w:w="1701" w:type="dxa"/>
            <w:tcBorders>
              <w:bottom w:val="single" w:sz="4" w:space="0" w:color="auto"/>
            </w:tcBorders>
            <w:vAlign w:val="center"/>
          </w:tcPr>
          <w:p w14:paraId="279227D4" w14:textId="78105FE3" w:rsidR="00097143" w:rsidRPr="00613E10" w:rsidRDefault="00097143" w:rsidP="00097143">
            <w:pPr>
              <w:spacing w:beforeLines="40" w:before="96" w:afterLines="40" w:after="96"/>
              <w:rPr>
                <w:rFonts w:eastAsia="Calibri" w:cs="Arial"/>
                <w:sz w:val="20"/>
                <w:szCs w:val="20"/>
              </w:rPr>
            </w:pPr>
            <w:r w:rsidRPr="00D03785">
              <w:rPr>
                <w:rFonts w:eastAsia="Calibri" w:cs="Arial"/>
                <w:sz w:val="20"/>
                <w:szCs w:val="20"/>
              </w:rPr>
              <w:t>2659 (38.7)</w:t>
            </w:r>
          </w:p>
        </w:tc>
        <w:tc>
          <w:tcPr>
            <w:tcW w:w="1701" w:type="dxa"/>
          </w:tcPr>
          <w:p w14:paraId="2D0EA631" w14:textId="273B8126" w:rsidR="00097143" w:rsidRPr="00613E10" w:rsidRDefault="00097143" w:rsidP="00097143">
            <w:pPr>
              <w:spacing w:beforeLines="40" w:before="96" w:afterLines="40" w:after="96"/>
              <w:rPr>
                <w:rFonts w:eastAsia="Calibri" w:cs="Arial"/>
                <w:sz w:val="20"/>
                <w:szCs w:val="20"/>
              </w:rPr>
            </w:pPr>
            <w:r>
              <w:rPr>
                <w:sz w:val="20"/>
                <w:szCs w:val="20"/>
              </w:rPr>
              <w:t xml:space="preserve">5772 (42.1) </w:t>
            </w:r>
          </w:p>
        </w:tc>
        <w:tc>
          <w:tcPr>
            <w:tcW w:w="1701" w:type="dxa"/>
          </w:tcPr>
          <w:p w14:paraId="260A65CB" w14:textId="30D6680C" w:rsidR="00097143" w:rsidRPr="00613E10" w:rsidRDefault="00097143" w:rsidP="00097143">
            <w:pPr>
              <w:spacing w:beforeLines="40" w:before="96" w:afterLines="40" w:after="96"/>
              <w:rPr>
                <w:rFonts w:eastAsia="Calibri" w:cs="Arial"/>
                <w:sz w:val="20"/>
                <w:szCs w:val="20"/>
              </w:rPr>
            </w:pPr>
            <w:r>
              <w:rPr>
                <w:sz w:val="20"/>
                <w:szCs w:val="20"/>
              </w:rPr>
              <w:t xml:space="preserve">8431 (41.0) </w:t>
            </w:r>
          </w:p>
        </w:tc>
        <w:tc>
          <w:tcPr>
            <w:tcW w:w="992" w:type="dxa"/>
          </w:tcPr>
          <w:p w14:paraId="77EFD4DD" w14:textId="2AD4F3FE" w:rsidR="00097143" w:rsidRPr="00613E10" w:rsidRDefault="00097143" w:rsidP="00097143">
            <w:pPr>
              <w:spacing w:beforeLines="40" w:before="96" w:afterLines="40" w:after="96"/>
              <w:rPr>
                <w:rFonts w:eastAsia="Calibri" w:cs="Arial"/>
                <w:sz w:val="20"/>
                <w:szCs w:val="20"/>
              </w:rPr>
            </w:pPr>
          </w:p>
        </w:tc>
        <w:tc>
          <w:tcPr>
            <w:tcW w:w="1701" w:type="dxa"/>
          </w:tcPr>
          <w:p w14:paraId="46C6245C" w14:textId="2C6254A6" w:rsidR="00097143" w:rsidRPr="00613E10" w:rsidRDefault="00097143" w:rsidP="00097143">
            <w:pPr>
              <w:spacing w:beforeLines="40" w:before="96" w:afterLines="40" w:after="96"/>
              <w:rPr>
                <w:rFonts w:eastAsia="Calibri" w:cs="Arial"/>
                <w:sz w:val="20"/>
                <w:szCs w:val="20"/>
              </w:rPr>
            </w:pPr>
            <w:r>
              <w:rPr>
                <w:sz w:val="20"/>
                <w:szCs w:val="20"/>
              </w:rPr>
              <w:t xml:space="preserve">420 (36.8) </w:t>
            </w:r>
          </w:p>
        </w:tc>
        <w:tc>
          <w:tcPr>
            <w:tcW w:w="1701" w:type="dxa"/>
          </w:tcPr>
          <w:p w14:paraId="3A6DC3D9" w14:textId="246091C6" w:rsidR="00097143" w:rsidRPr="00613E10" w:rsidRDefault="00097143" w:rsidP="00097143">
            <w:pPr>
              <w:spacing w:beforeLines="40" w:before="96" w:afterLines="40" w:after="96"/>
              <w:rPr>
                <w:rFonts w:eastAsia="Calibri" w:cs="Arial"/>
                <w:sz w:val="20"/>
                <w:szCs w:val="20"/>
              </w:rPr>
            </w:pPr>
            <w:r>
              <w:rPr>
                <w:sz w:val="20"/>
                <w:szCs w:val="20"/>
              </w:rPr>
              <w:t xml:space="preserve">2239 (39.1) </w:t>
            </w:r>
          </w:p>
        </w:tc>
        <w:tc>
          <w:tcPr>
            <w:tcW w:w="1701" w:type="dxa"/>
            <w:tcBorders>
              <w:bottom w:val="single" w:sz="4" w:space="0" w:color="auto"/>
            </w:tcBorders>
            <w:vAlign w:val="center"/>
          </w:tcPr>
          <w:p w14:paraId="1FFF414A" w14:textId="008FB6B3" w:rsidR="00097143" w:rsidRPr="00613E10" w:rsidRDefault="00097143" w:rsidP="00097143">
            <w:pPr>
              <w:spacing w:beforeLines="40" w:before="96" w:afterLines="40" w:after="96"/>
              <w:rPr>
                <w:rFonts w:eastAsia="Calibri" w:cs="Arial"/>
                <w:sz w:val="20"/>
                <w:szCs w:val="20"/>
              </w:rPr>
            </w:pPr>
            <w:r w:rsidRPr="000D3330">
              <w:rPr>
                <w:rFonts w:eastAsia="Calibri" w:cs="Arial"/>
                <w:sz w:val="20"/>
                <w:szCs w:val="20"/>
              </w:rPr>
              <w:t>2659 (38.7)</w:t>
            </w:r>
          </w:p>
        </w:tc>
        <w:tc>
          <w:tcPr>
            <w:tcW w:w="992" w:type="dxa"/>
            <w:tcBorders>
              <w:bottom w:val="single" w:sz="4" w:space="0" w:color="auto"/>
            </w:tcBorders>
            <w:vAlign w:val="center"/>
          </w:tcPr>
          <w:p w14:paraId="1E78651D" w14:textId="77777777" w:rsidR="00097143" w:rsidRPr="00613E10" w:rsidRDefault="00097143" w:rsidP="00097143">
            <w:pPr>
              <w:spacing w:beforeLines="40" w:before="96" w:afterLines="40" w:after="96"/>
              <w:rPr>
                <w:rFonts w:eastAsia="Calibri" w:cs="Arial"/>
                <w:sz w:val="20"/>
                <w:szCs w:val="20"/>
              </w:rPr>
            </w:pPr>
          </w:p>
        </w:tc>
      </w:tr>
      <w:tr w:rsidR="00097143" w:rsidRPr="00613E10" w14:paraId="0EFAD610" w14:textId="77777777" w:rsidTr="005277CB">
        <w:trPr>
          <w:cantSplit/>
          <w:trHeight w:val="20"/>
        </w:trPr>
        <w:tc>
          <w:tcPr>
            <w:tcW w:w="2978" w:type="dxa"/>
            <w:tcBorders>
              <w:bottom w:val="single" w:sz="4" w:space="0" w:color="auto"/>
            </w:tcBorders>
            <w:vAlign w:val="center"/>
          </w:tcPr>
          <w:p w14:paraId="7418D020" w14:textId="5458C837" w:rsidR="00097143" w:rsidRDefault="00097143" w:rsidP="005277CB">
            <w:pPr>
              <w:spacing w:beforeLines="40" w:before="96" w:afterLines="40" w:after="96"/>
              <w:ind w:left="320"/>
              <w:rPr>
                <w:rFonts w:eastAsia="Calibri" w:cs="Arial"/>
                <w:sz w:val="20"/>
                <w:szCs w:val="20"/>
              </w:rPr>
            </w:pPr>
            <w:r>
              <w:rPr>
                <w:rFonts w:eastAsia="Calibri" w:cs="Arial"/>
                <w:sz w:val="20"/>
                <w:szCs w:val="20"/>
              </w:rPr>
              <w:t>Ex-smoker</w:t>
            </w:r>
          </w:p>
        </w:tc>
        <w:tc>
          <w:tcPr>
            <w:tcW w:w="1701" w:type="dxa"/>
          </w:tcPr>
          <w:p w14:paraId="76F561AB" w14:textId="6D936573" w:rsidR="00097143" w:rsidRPr="00613E10" w:rsidRDefault="00097143" w:rsidP="00097143">
            <w:pPr>
              <w:spacing w:beforeLines="40" w:before="96" w:afterLines="40" w:after="96"/>
              <w:rPr>
                <w:rFonts w:eastAsia="Calibri" w:cs="Arial"/>
                <w:sz w:val="20"/>
                <w:szCs w:val="20"/>
              </w:rPr>
            </w:pPr>
            <w:r>
              <w:rPr>
                <w:sz w:val="20"/>
                <w:szCs w:val="20"/>
              </w:rPr>
              <w:t xml:space="preserve">2679 (39.0) </w:t>
            </w:r>
          </w:p>
        </w:tc>
        <w:tc>
          <w:tcPr>
            <w:tcW w:w="1701" w:type="dxa"/>
          </w:tcPr>
          <w:p w14:paraId="3EB0DBAD" w14:textId="4AA7EA82" w:rsidR="00097143" w:rsidRPr="00613E10" w:rsidRDefault="00097143" w:rsidP="00097143">
            <w:pPr>
              <w:spacing w:beforeLines="40" w:before="96" w:afterLines="40" w:after="96"/>
              <w:rPr>
                <w:rFonts w:eastAsia="Calibri" w:cs="Arial"/>
                <w:sz w:val="20"/>
                <w:szCs w:val="20"/>
              </w:rPr>
            </w:pPr>
            <w:r>
              <w:rPr>
                <w:sz w:val="20"/>
                <w:szCs w:val="20"/>
              </w:rPr>
              <w:t xml:space="preserve">4917 (35.8) </w:t>
            </w:r>
          </w:p>
        </w:tc>
        <w:tc>
          <w:tcPr>
            <w:tcW w:w="1701" w:type="dxa"/>
          </w:tcPr>
          <w:p w14:paraId="21E84DBF" w14:textId="26DC4F46" w:rsidR="00097143" w:rsidRPr="00613E10" w:rsidRDefault="00097143" w:rsidP="00097143">
            <w:pPr>
              <w:spacing w:beforeLines="40" w:before="96" w:afterLines="40" w:after="96"/>
              <w:rPr>
                <w:rFonts w:eastAsia="Calibri" w:cs="Arial"/>
                <w:sz w:val="20"/>
                <w:szCs w:val="20"/>
              </w:rPr>
            </w:pPr>
            <w:r>
              <w:rPr>
                <w:sz w:val="20"/>
                <w:szCs w:val="20"/>
              </w:rPr>
              <w:t xml:space="preserve">7596 (36.9) </w:t>
            </w:r>
          </w:p>
        </w:tc>
        <w:tc>
          <w:tcPr>
            <w:tcW w:w="992" w:type="dxa"/>
            <w:tcBorders>
              <w:bottom w:val="single" w:sz="4" w:space="0" w:color="auto"/>
            </w:tcBorders>
            <w:vAlign w:val="center"/>
          </w:tcPr>
          <w:p w14:paraId="67FB6051" w14:textId="77777777" w:rsidR="00097143" w:rsidRPr="00613E10" w:rsidRDefault="00097143" w:rsidP="00097143">
            <w:pPr>
              <w:spacing w:beforeLines="40" w:before="96" w:afterLines="40" w:after="96"/>
              <w:rPr>
                <w:rFonts w:eastAsia="Calibri" w:cs="Arial"/>
                <w:sz w:val="20"/>
                <w:szCs w:val="20"/>
              </w:rPr>
            </w:pPr>
          </w:p>
        </w:tc>
        <w:tc>
          <w:tcPr>
            <w:tcW w:w="1701" w:type="dxa"/>
          </w:tcPr>
          <w:p w14:paraId="31AAEBA7" w14:textId="0FAD18C6" w:rsidR="00097143" w:rsidRPr="00613E10" w:rsidRDefault="00995EAD" w:rsidP="00097143">
            <w:pPr>
              <w:spacing w:beforeLines="40" w:before="96" w:afterLines="40" w:after="96"/>
              <w:rPr>
                <w:rFonts w:eastAsia="Calibri" w:cs="Arial"/>
                <w:sz w:val="20"/>
                <w:szCs w:val="20"/>
              </w:rPr>
            </w:pPr>
            <w:r w:rsidRPr="00995EAD">
              <w:rPr>
                <w:sz w:val="20"/>
                <w:szCs w:val="20"/>
              </w:rPr>
              <w:t>468 (41.1)</w:t>
            </w:r>
          </w:p>
        </w:tc>
        <w:tc>
          <w:tcPr>
            <w:tcW w:w="1701" w:type="dxa"/>
          </w:tcPr>
          <w:p w14:paraId="051F328C" w14:textId="7E9C1A79" w:rsidR="00097143" w:rsidRPr="00613E10" w:rsidRDefault="00995EAD" w:rsidP="00097143">
            <w:pPr>
              <w:spacing w:beforeLines="40" w:before="96" w:afterLines="40" w:after="96"/>
              <w:rPr>
                <w:rFonts w:eastAsia="Calibri" w:cs="Arial"/>
                <w:sz w:val="20"/>
                <w:szCs w:val="20"/>
              </w:rPr>
            </w:pPr>
            <w:r w:rsidRPr="00995EAD">
              <w:rPr>
                <w:sz w:val="20"/>
                <w:szCs w:val="20"/>
              </w:rPr>
              <w:t>2,211 (38.6)</w:t>
            </w:r>
          </w:p>
        </w:tc>
        <w:tc>
          <w:tcPr>
            <w:tcW w:w="1701" w:type="dxa"/>
          </w:tcPr>
          <w:p w14:paraId="18E2E646" w14:textId="45B09D27" w:rsidR="00097143" w:rsidRPr="00613E10" w:rsidRDefault="00995EAD" w:rsidP="00097143">
            <w:pPr>
              <w:spacing w:beforeLines="40" w:before="96" w:afterLines="40" w:after="96"/>
              <w:rPr>
                <w:rFonts w:eastAsia="Calibri" w:cs="Arial"/>
                <w:sz w:val="20"/>
                <w:szCs w:val="20"/>
              </w:rPr>
            </w:pPr>
            <w:r w:rsidRPr="00995EAD">
              <w:rPr>
                <w:sz w:val="20"/>
                <w:szCs w:val="20"/>
              </w:rPr>
              <w:t>2,679 (39.0)</w:t>
            </w:r>
          </w:p>
        </w:tc>
        <w:tc>
          <w:tcPr>
            <w:tcW w:w="992" w:type="dxa"/>
            <w:tcBorders>
              <w:bottom w:val="single" w:sz="4" w:space="0" w:color="auto"/>
            </w:tcBorders>
            <w:vAlign w:val="center"/>
          </w:tcPr>
          <w:p w14:paraId="53A8D4DC" w14:textId="77777777" w:rsidR="00097143" w:rsidRPr="00613E10" w:rsidRDefault="00097143" w:rsidP="00097143">
            <w:pPr>
              <w:spacing w:beforeLines="40" w:before="96" w:afterLines="40" w:after="96"/>
              <w:rPr>
                <w:rFonts w:eastAsia="Calibri" w:cs="Arial"/>
                <w:sz w:val="20"/>
                <w:szCs w:val="20"/>
              </w:rPr>
            </w:pPr>
          </w:p>
        </w:tc>
      </w:tr>
      <w:tr w:rsidR="00995EAD" w:rsidRPr="00613E10" w14:paraId="115B55BD" w14:textId="77777777" w:rsidTr="0024178A">
        <w:trPr>
          <w:cantSplit/>
          <w:trHeight w:val="20"/>
        </w:trPr>
        <w:tc>
          <w:tcPr>
            <w:tcW w:w="2978" w:type="dxa"/>
            <w:tcBorders>
              <w:bottom w:val="single" w:sz="4" w:space="0" w:color="auto"/>
            </w:tcBorders>
            <w:vAlign w:val="center"/>
          </w:tcPr>
          <w:p w14:paraId="5068B7BF" w14:textId="6A267E19" w:rsidR="00995EAD" w:rsidRDefault="00995EAD" w:rsidP="00995EAD">
            <w:pPr>
              <w:spacing w:beforeLines="40" w:before="96" w:afterLines="40" w:after="96"/>
              <w:ind w:left="320"/>
              <w:rPr>
                <w:rFonts w:eastAsia="Calibri" w:cs="Arial"/>
                <w:sz w:val="20"/>
                <w:szCs w:val="20"/>
              </w:rPr>
            </w:pPr>
            <w:r>
              <w:rPr>
                <w:rFonts w:eastAsia="Calibri" w:cs="Arial"/>
                <w:sz w:val="20"/>
                <w:szCs w:val="20"/>
              </w:rPr>
              <w:t>Smoker</w:t>
            </w:r>
          </w:p>
        </w:tc>
        <w:tc>
          <w:tcPr>
            <w:tcW w:w="1701" w:type="dxa"/>
          </w:tcPr>
          <w:p w14:paraId="5C5E071B" w14:textId="528A9C13" w:rsidR="00995EAD" w:rsidRPr="00613E10" w:rsidRDefault="00995EAD" w:rsidP="00995EAD">
            <w:pPr>
              <w:spacing w:beforeLines="40" w:before="96" w:afterLines="40" w:after="96"/>
              <w:rPr>
                <w:rFonts w:eastAsia="Calibri" w:cs="Arial"/>
                <w:sz w:val="20"/>
                <w:szCs w:val="20"/>
              </w:rPr>
            </w:pPr>
            <w:r>
              <w:rPr>
                <w:sz w:val="20"/>
                <w:szCs w:val="20"/>
              </w:rPr>
              <w:t xml:space="preserve">1136 (16.6) </w:t>
            </w:r>
          </w:p>
        </w:tc>
        <w:tc>
          <w:tcPr>
            <w:tcW w:w="1701" w:type="dxa"/>
          </w:tcPr>
          <w:p w14:paraId="1E438628" w14:textId="2A925E71" w:rsidR="00995EAD" w:rsidRPr="00613E10" w:rsidRDefault="00995EAD" w:rsidP="00995EAD">
            <w:pPr>
              <w:spacing w:beforeLines="40" w:before="96" w:afterLines="40" w:after="96"/>
              <w:rPr>
                <w:rFonts w:eastAsia="Calibri" w:cs="Arial"/>
                <w:sz w:val="20"/>
                <w:szCs w:val="20"/>
              </w:rPr>
            </w:pPr>
            <w:r>
              <w:rPr>
                <w:sz w:val="20"/>
                <w:szCs w:val="20"/>
              </w:rPr>
              <w:t xml:space="preserve">2173 (15.8) </w:t>
            </w:r>
          </w:p>
        </w:tc>
        <w:tc>
          <w:tcPr>
            <w:tcW w:w="1701" w:type="dxa"/>
          </w:tcPr>
          <w:p w14:paraId="1F7E5CDD" w14:textId="4C3DF136" w:rsidR="00995EAD" w:rsidRPr="00613E10" w:rsidRDefault="00995EAD" w:rsidP="00995EAD">
            <w:pPr>
              <w:spacing w:beforeLines="40" w:before="96" w:afterLines="40" w:after="96"/>
              <w:rPr>
                <w:rFonts w:eastAsia="Calibri" w:cs="Arial"/>
                <w:sz w:val="20"/>
                <w:szCs w:val="20"/>
              </w:rPr>
            </w:pPr>
            <w:r>
              <w:rPr>
                <w:sz w:val="20"/>
                <w:szCs w:val="20"/>
              </w:rPr>
              <w:t xml:space="preserve">3309 (16.1) </w:t>
            </w:r>
          </w:p>
        </w:tc>
        <w:tc>
          <w:tcPr>
            <w:tcW w:w="992" w:type="dxa"/>
            <w:tcBorders>
              <w:bottom w:val="single" w:sz="4" w:space="0" w:color="auto"/>
            </w:tcBorders>
            <w:vAlign w:val="center"/>
          </w:tcPr>
          <w:p w14:paraId="4DBD43D4" w14:textId="77777777" w:rsidR="00995EAD" w:rsidRPr="00613E10" w:rsidRDefault="00995EAD" w:rsidP="00995EAD">
            <w:pPr>
              <w:spacing w:beforeLines="40" w:before="96" w:afterLines="40" w:after="96"/>
              <w:rPr>
                <w:rFonts w:eastAsia="Calibri" w:cs="Arial"/>
                <w:sz w:val="20"/>
                <w:szCs w:val="20"/>
              </w:rPr>
            </w:pPr>
          </w:p>
        </w:tc>
        <w:tc>
          <w:tcPr>
            <w:tcW w:w="1701" w:type="dxa"/>
          </w:tcPr>
          <w:p w14:paraId="70E00909" w14:textId="2389AB20" w:rsidR="00995EAD" w:rsidRPr="00613E10" w:rsidRDefault="00995EAD" w:rsidP="00995EAD">
            <w:pPr>
              <w:spacing w:beforeLines="40" w:before="96" w:afterLines="40" w:after="96"/>
              <w:rPr>
                <w:rFonts w:eastAsia="Calibri" w:cs="Arial"/>
                <w:sz w:val="20"/>
                <w:szCs w:val="20"/>
              </w:rPr>
            </w:pPr>
            <w:r>
              <w:rPr>
                <w:sz w:val="20"/>
                <w:szCs w:val="20"/>
              </w:rPr>
              <w:t xml:space="preserve">205 (18.0) </w:t>
            </w:r>
          </w:p>
        </w:tc>
        <w:tc>
          <w:tcPr>
            <w:tcW w:w="1701" w:type="dxa"/>
          </w:tcPr>
          <w:p w14:paraId="5DC7831F" w14:textId="7376A8D0" w:rsidR="00995EAD" w:rsidRPr="00613E10" w:rsidRDefault="00995EAD" w:rsidP="00995EAD">
            <w:pPr>
              <w:spacing w:beforeLines="40" w:before="96" w:afterLines="40" w:after="96"/>
              <w:rPr>
                <w:rFonts w:eastAsia="Calibri" w:cs="Arial"/>
                <w:sz w:val="20"/>
                <w:szCs w:val="20"/>
              </w:rPr>
            </w:pPr>
            <w:r>
              <w:rPr>
                <w:sz w:val="20"/>
                <w:szCs w:val="20"/>
              </w:rPr>
              <w:t xml:space="preserve">931 (16.3) </w:t>
            </w:r>
          </w:p>
        </w:tc>
        <w:tc>
          <w:tcPr>
            <w:tcW w:w="1701" w:type="dxa"/>
          </w:tcPr>
          <w:p w14:paraId="49FE28FB" w14:textId="2A372AA0" w:rsidR="00995EAD" w:rsidRPr="00613E10" w:rsidRDefault="00995EAD" w:rsidP="00995EAD">
            <w:pPr>
              <w:spacing w:beforeLines="40" w:before="96" w:afterLines="40" w:after="96"/>
              <w:rPr>
                <w:rFonts w:eastAsia="Calibri" w:cs="Arial"/>
                <w:sz w:val="20"/>
                <w:szCs w:val="20"/>
              </w:rPr>
            </w:pPr>
            <w:r>
              <w:rPr>
                <w:sz w:val="20"/>
                <w:szCs w:val="20"/>
              </w:rPr>
              <w:t xml:space="preserve">1,136 (16.6) </w:t>
            </w:r>
          </w:p>
        </w:tc>
        <w:tc>
          <w:tcPr>
            <w:tcW w:w="992" w:type="dxa"/>
            <w:tcBorders>
              <w:bottom w:val="single" w:sz="4" w:space="0" w:color="auto"/>
            </w:tcBorders>
            <w:vAlign w:val="center"/>
          </w:tcPr>
          <w:p w14:paraId="36771487" w14:textId="77777777" w:rsidR="00995EAD" w:rsidRPr="00613E10" w:rsidRDefault="00995EAD" w:rsidP="00995EAD">
            <w:pPr>
              <w:spacing w:beforeLines="40" w:before="96" w:afterLines="40" w:after="96"/>
              <w:rPr>
                <w:rFonts w:eastAsia="Calibri" w:cs="Arial"/>
                <w:sz w:val="20"/>
                <w:szCs w:val="20"/>
              </w:rPr>
            </w:pPr>
          </w:p>
        </w:tc>
      </w:tr>
      <w:tr w:rsidR="00995EAD" w:rsidRPr="00613E10" w14:paraId="4C76A6EB" w14:textId="77777777" w:rsidTr="0024178A">
        <w:trPr>
          <w:cantSplit/>
          <w:trHeight w:val="20"/>
        </w:trPr>
        <w:tc>
          <w:tcPr>
            <w:tcW w:w="2978" w:type="dxa"/>
            <w:tcBorders>
              <w:bottom w:val="single" w:sz="4" w:space="0" w:color="auto"/>
            </w:tcBorders>
            <w:vAlign w:val="center"/>
          </w:tcPr>
          <w:p w14:paraId="6A588521" w14:textId="49DF5A85" w:rsidR="00995EAD" w:rsidRDefault="00995EAD" w:rsidP="00995EAD">
            <w:pPr>
              <w:spacing w:beforeLines="40" w:before="96" w:afterLines="40" w:after="96"/>
              <w:ind w:left="320"/>
              <w:rPr>
                <w:rFonts w:eastAsia="Calibri" w:cs="Arial"/>
                <w:sz w:val="20"/>
                <w:szCs w:val="20"/>
              </w:rPr>
            </w:pPr>
            <w:r>
              <w:rPr>
                <w:rFonts w:eastAsia="Calibri" w:cs="Arial"/>
                <w:sz w:val="20"/>
                <w:szCs w:val="20"/>
              </w:rPr>
              <w:t>Unknown</w:t>
            </w:r>
          </w:p>
        </w:tc>
        <w:tc>
          <w:tcPr>
            <w:tcW w:w="1701" w:type="dxa"/>
          </w:tcPr>
          <w:p w14:paraId="60F842E4" w14:textId="45FC275A" w:rsidR="00995EAD" w:rsidRPr="00613E10" w:rsidRDefault="00995EAD" w:rsidP="00995EAD">
            <w:pPr>
              <w:spacing w:beforeLines="40" w:before="96" w:afterLines="40" w:after="96"/>
              <w:rPr>
                <w:rFonts w:eastAsia="Calibri" w:cs="Arial"/>
                <w:sz w:val="20"/>
                <w:szCs w:val="20"/>
              </w:rPr>
            </w:pPr>
            <w:r>
              <w:rPr>
                <w:sz w:val="20"/>
                <w:szCs w:val="20"/>
              </w:rPr>
              <w:t xml:space="preserve">388 (5.7) </w:t>
            </w:r>
          </w:p>
        </w:tc>
        <w:tc>
          <w:tcPr>
            <w:tcW w:w="1701" w:type="dxa"/>
          </w:tcPr>
          <w:p w14:paraId="2F2B00FE" w14:textId="757E880D" w:rsidR="00995EAD" w:rsidRPr="00613E10" w:rsidRDefault="00995EAD" w:rsidP="00995EAD">
            <w:pPr>
              <w:spacing w:beforeLines="40" w:before="96" w:afterLines="40" w:after="96"/>
              <w:rPr>
                <w:rFonts w:eastAsia="Calibri" w:cs="Arial"/>
                <w:sz w:val="20"/>
                <w:szCs w:val="20"/>
              </w:rPr>
            </w:pPr>
            <w:r>
              <w:rPr>
                <w:sz w:val="20"/>
                <w:szCs w:val="20"/>
              </w:rPr>
              <w:t xml:space="preserve">862 (6.3) </w:t>
            </w:r>
          </w:p>
        </w:tc>
        <w:tc>
          <w:tcPr>
            <w:tcW w:w="1701" w:type="dxa"/>
          </w:tcPr>
          <w:p w14:paraId="1FD1D3C9" w14:textId="12364B31" w:rsidR="00995EAD" w:rsidRPr="00613E10" w:rsidRDefault="00995EAD" w:rsidP="00995EAD">
            <w:pPr>
              <w:spacing w:beforeLines="40" w:before="96" w:afterLines="40" w:after="96"/>
              <w:rPr>
                <w:rFonts w:eastAsia="Calibri" w:cs="Arial"/>
                <w:sz w:val="20"/>
                <w:szCs w:val="20"/>
              </w:rPr>
            </w:pPr>
            <w:r>
              <w:rPr>
                <w:sz w:val="20"/>
                <w:szCs w:val="20"/>
              </w:rPr>
              <w:t xml:space="preserve">1250 (6.1) </w:t>
            </w:r>
          </w:p>
        </w:tc>
        <w:tc>
          <w:tcPr>
            <w:tcW w:w="992" w:type="dxa"/>
            <w:tcBorders>
              <w:bottom w:val="single" w:sz="4" w:space="0" w:color="auto"/>
            </w:tcBorders>
            <w:vAlign w:val="center"/>
          </w:tcPr>
          <w:p w14:paraId="4FB692BF" w14:textId="77777777" w:rsidR="00995EAD" w:rsidRPr="00613E10" w:rsidRDefault="00995EAD" w:rsidP="00995EAD">
            <w:pPr>
              <w:spacing w:beforeLines="40" w:before="96" w:afterLines="40" w:after="96"/>
              <w:rPr>
                <w:rFonts w:eastAsia="Calibri" w:cs="Arial"/>
                <w:sz w:val="20"/>
                <w:szCs w:val="20"/>
              </w:rPr>
            </w:pPr>
          </w:p>
        </w:tc>
        <w:tc>
          <w:tcPr>
            <w:tcW w:w="1701" w:type="dxa"/>
          </w:tcPr>
          <w:p w14:paraId="2A28833A" w14:textId="216B07BB" w:rsidR="00995EAD" w:rsidRPr="00613E10" w:rsidRDefault="00995EAD" w:rsidP="00995EAD">
            <w:pPr>
              <w:spacing w:beforeLines="40" w:before="96" w:afterLines="40" w:after="96"/>
              <w:rPr>
                <w:rFonts w:eastAsia="Calibri" w:cs="Arial"/>
                <w:sz w:val="20"/>
                <w:szCs w:val="20"/>
              </w:rPr>
            </w:pPr>
            <w:r>
              <w:rPr>
                <w:sz w:val="20"/>
                <w:szCs w:val="20"/>
              </w:rPr>
              <w:t xml:space="preserve">47 (4.1) </w:t>
            </w:r>
          </w:p>
        </w:tc>
        <w:tc>
          <w:tcPr>
            <w:tcW w:w="1701" w:type="dxa"/>
          </w:tcPr>
          <w:p w14:paraId="6F3F19BD" w14:textId="22144EFA" w:rsidR="00995EAD" w:rsidRPr="00613E10" w:rsidRDefault="00995EAD" w:rsidP="00995EAD">
            <w:pPr>
              <w:spacing w:beforeLines="40" w:before="96" w:afterLines="40" w:after="96"/>
              <w:rPr>
                <w:rFonts w:eastAsia="Calibri" w:cs="Arial"/>
                <w:sz w:val="20"/>
                <w:szCs w:val="20"/>
              </w:rPr>
            </w:pPr>
            <w:r>
              <w:rPr>
                <w:sz w:val="20"/>
                <w:szCs w:val="20"/>
              </w:rPr>
              <w:t xml:space="preserve">341 (6.0) </w:t>
            </w:r>
          </w:p>
        </w:tc>
        <w:tc>
          <w:tcPr>
            <w:tcW w:w="1701" w:type="dxa"/>
          </w:tcPr>
          <w:p w14:paraId="62CB6769" w14:textId="00268F96" w:rsidR="00995EAD" w:rsidRPr="00613E10" w:rsidRDefault="00995EAD" w:rsidP="00995EAD">
            <w:pPr>
              <w:spacing w:beforeLines="40" w:before="96" w:afterLines="40" w:after="96"/>
              <w:rPr>
                <w:rFonts w:eastAsia="Calibri" w:cs="Arial"/>
                <w:sz w:val="20"/>
                <w:szCs w:val="20"/>
              </w:rPr>
            </w:pPr>
            <w:r>
              <w:rPr>
                <w:sz w:val="20"/>
                <w:szCs w:val="20"/>
              </w:rPr>
              <w:t xml:space="preserve">388 (5.7) </w:t>
            </w:r>
          </w:p>
        </w:tc>
        <w:tc>
          <w:tcPr>
            <w:tcW w:w="992" w:type="dxa"/>
            <w:tcBorders>
              <w:bottom w:val="single" w:sz="4" w:space="0" w:color="auto"/>
            </w:tcBorders>
            <w:vAlign w:val="center"/>
          </w:tcPr>
          <w:p w14:paraId="304B1BCF" w14:textId="77777777" w:rsidR="00995EAD" w:rsidRPr="00613E10" w:rsidRDefault="00995EAD" w:rsidP="00995EAD">
            <w:pPr>
              <w:spacing w:beforeLines="40" w:before="96" w:afterLines="40" w:after="96"/>
              <w:rPr>
                <w:rFonts w:eastAsia="Calibri" w:cs="Arial"/>
                <w:sz w:val="20"/>
                <w:szCs w:val="20"/>
              </w:rPr>
            </w:pPr>
          </w:p>
        </w:tc>
      </w:tr>
      <w:tr w:rsidR="00995EAD" w:rsidRPr="00613E10" w14:paraId="548DDF2D" w14:textId="77777777" w:rsidTr="005277CB">
        <w:trPr>
          <w:cantSplit/>
          <w:trHeight w:val="20"/>
        </w:trPr>
        <w:tc>
          <w:tcPr>
            <w:tcW w:w="2978" w:type="dxa"/>
            <w:tcBorders>
              <w:bottom w:val="single" w:sz="4" w:space="0" w:color="auto"/>
            </w:tcBorders>
            <w:vAlign w:val="center"/>
          </w:tcPr>
          <w:p w14:paraId="5C718D8C" w14:textId="40A00E76" w:rsidR="00995EAD" w:rsidRDefault="00995EAD" w:rsidP="00995EAD">
            <w:pPr>
              <w:spacing w:beforeLines="40" w:before="96" w:afterLines="40" w:after="96"/>
              <w:rPr>
                <w:rFonts w:eastAsia="Calibri" w:cs="Arial"/>
                <w:sz w:val="20"/>
                <w:szCs w:val="20"/>
              </w:rPr>
            </w:pPr>
            <w:r>
              <w:rPr>
                <w:rFonts w:eastAsia="Calibri" w:cs="Arial"/>
                <w:sz w:val="20"/>
                <w:szCs w:val="20"/>
              </w:rPr>
              <w:lastRenderedPageBreak/>
              <w:t>Drinking status</w:t>
            </w:r>
          </w:p>
        </w:tc>
        <w:tc>
          <w:tcPr>
            <w:tcW w:w="1701" w:type="dxa"/>
          </w:tcPr>
          <w:p w14:paraId="0B50156B" w14:textId="77777777" w:rsidR="00995EAD" w:rsidRDefault="00995EAD" w:rsidP="00995EAD">
            <w:pPr>
              <w:spacing w:beforeLines="40" w:before="96" w:afterLines="40" w:after="96"/>
              <w:rPr>
                <w:sz w:val="20"/>
                <w:szCs w:val="20"/>
              </w:rPr>
            </w:pPr>
          </w:p>
        </w:tc>
        <w:tc>
          <w:tcPr>
            <w:tcW w:w="1701" w:type="dxa"/>
          </w:tcPr>
          <w:p w14:paraId="1A527062" w14:textId="77777777" w:rsidR="00995EAD" w:rsidRDefault="00995EAD" w:rsidP="00995EAD">
            <w:pPr>
              <w:spacing w:beforeLines="40" w:before="96" w:afterLines="40" w:after="96"/>
              <w:rPr>
                <w:sz w:val="20"/>
                <w:szCs w:val="20"/>
              </w:rPr>
            </w:pPr>
          </w:p>
        </w:tc>
        <w:tc>
          <w:tcPr>
            <w:tcW w:w="1701" w:type="dxa"/>
          </w:tcPr>
          <w:p w14:paraId="67AE1027" w14:textId="77777777" w:rsidR="00995EAD" w:rsidRDefault="00995EAD" w:rsidP="00995EAD">
            <w:pPr>
              <w:spacing w:beforeLines="40" w:before="96" w:afterLines="40" w:after="96"/>
              <w:rPr>
                <w:sz w:val="20"/>
                <w:szCs w:val="20"/>
              </w:rPr>
            </w:pPr>
          </w:p>
        </w:tc>
        <w:tc>
          <w:tcPr>
            <w:tcW w:w="992" w:type="dxa"/>
          </w:tcPr>
          <w:p w14:paraId="1BAE9CFC" w14:textId="5852C301" w:rsidR="00995EAD" w:rsidRPr="00613E10" w:rsidRDefault="00995EAD" w:rsidP="00995EAD">
            <w:pPr>
              <w:spacing w:beforeLines="40" w:before="96" w:afterLines="40" w:after="96"/>
              <w:rPr>
                <w:rFonts w:eastAsia="Calibri" w:cs="Arial"/>
                <w:sz w:val="20"/>
                <w:szCs w:val="20"/>
              </w:rPr>
            </w:pPr>
            <w:r>
              <w:rPr>
                <w:sz w:val="20"/>
                <w:szCs w:val="20"/>
              </w:rPr>
              <w:t xml:space="preserve">&lt;0.001 </w:t>
            </w:r>
          </w:p>
        </w:tc>
        <w:tc>
          <w:tcPr>
            <w:tcW w:w="1701" w:type="dxa"/>
          </w:tcPr>
          <w:p w14:paraId="14C929D8" w14:textId="77777777" w:rsidR="00995EAD" w:rsidRDefault="00995EAD" w:rsidP="00995EAD">
            <w:pPr>
              <w:spacing w:beforeLines="40" w:before="96" w:afterLines="40" w:after="96"/>
              <w:rPr>
                <w:sz w:val="20"/>
                <w:szCs w:val="20"/>
              </w:rPr>
            </w:pPr>
          </w:p>
        </w:tc>
        <w:tc>
          <w:tcPr>
            <w:tcW w:w="1701" w:type="dxa"/>
          </w:tcPr>
          <w:p w14:paraId="04570316" w14:textId="77777777" w:rsidR="00995EAD" w:rsidRDefault="00995EAD" w:rsidP="00995EAD">
            <w:pPr>
              <w:spacing w:beforeLines="40" w:before="96" w:afterLines="40" w:after="96"/>
              <w:rPr>
                <w:sz w:val="20"/>
                <w:szCs w:val="20"/>
              </w:rPr>
            </w:pPr>
          </w:p>
        </w:tc>
        <w:tc>
          <w:tcPr>
            <w:tcW w:w="1701" w:type="dxa"/>
            <w:tcBorders>
              <w:bottom w:val="single" w:sz="4" w:space="0" w:color="auto"/>
            </w:tcBorders>
            <w:vAlign w:val="center"/>
          </w:tcPr>
          <w:p w14:paraId="191E1EA3" w14:textId="77777777" w:rsidR="00995EAD" w:rsidRPr="000D3330" w:rsidRDefault="00995EAD" w:rsidP="00995EAD">
            <w:pPr>
              <w:spacing w:beforeLines="40" w:before="96" w:afterLines="40" w:after="96"/>
              <w:rPr>
                <w:rFonts w:eastAsia="Calibri" w:cs="Arial"/>
                <w:sz w:val="20"/>
                <w:szCs w:val="20"/>
              </w:rPr>
            </w:pPr>
          </w:p>
        </w:tc>
        <w:tc>
          <w:tcPr>
            <w:tcW w:w="992" w:type="dxa"/>
          </w:tcPr>
          <w:p w14:paraId="338A1D2C" w14:textId="14507A97" w:rsidR="00995EAD" w:rsidRPr="005277CB" w:rsidRDefault="00995EAD" w:rsidP="00995EAD">
            <w:pPr>
              <w:pStyle w:val="Default"/>
              <w:spacing w:beforeLines="40" w:before="96" w:afterLines="40" w:after="96"/>
              <w:rPr>
                <w:rFonts w:cs="Arial"/>
                <w:sz w:val="20"/>
                <w:szCs w:val="20"/>
              </w:rPr>
            </w:pPr>
            <w:r w:rsidRPr="005277CB">
              <w:rPr>
                <w:rFonts w:ascii="Arial" w:hAnsi="Arial" w:cs="Arial"/>
                <w:sz w:val="20"/>
                <w:szCs w:val="20"/>
              </w:rPr>
              <w:t xml:space="preserve">0.513 </w:t>
            </w:r>
          </w:p>
        </w:tc>
      </w:tr>
      <w:tr w:rsidR="00995EAD" w:rsidRPr="00613E10" w14:paraId="42FC5248" w14:textId="77777777" w:rsidTr="005277CB">
        <w:trPr>
          <w:cantSplit/>
          <w:trHeight w:val="20"/>
        </w:trPr>
        <w:tc>
          <w:tcPr>
            <w:tcW w:w="2978" w:type="dxa"/>
            <w:tcBorders>
              <w:bottom w:val="single" w:sz="4" w:space="0" w:color="auto"/>
            </w:tcBorders>
            <w:vAlign w:val="center"/>
          </w:tcPr>
          <w:p w14:paraId="74BE2F9D" w14:textId="2BBE216E" w:rsidR="00995EAD" w:rsidRDefault="00995EAD" w:rsidP="00995EAD">
            <w:pPr>
              <w:spacing w:beforeLines="40" w:before="96" w:afterLines="40" w:after="96"/>
              <w:ind w:left="320"/>
              <w:rPr>
                <w:rFonts w:eastAsia="Calibri" w:cs="Arial"/>
                <w:sz w:val="20"/>
                <w:szCs w:val="20"/>
              </w:rPr>
            </w:pPr>
            <w:r>
              <w:rPr>
                <w:rFonts w:eastAsia="Calibri" w:cs="Arial"/>
                <w:sz w:val="20"/>
                <w:szCs w:val="20"/>
              </w:rPr>
              <w:t>Non-drinker</w:t>
            </w:r>
          </w:p>
        </w:tc>
        <w:tc>
          <w:tcPr>
            <w:tcW w:w="1701" w:type="dxa"/>
          </w:tcPr>
          <w:p w14:paraId="3F359F8F" w14:textId="572EC912" w:rsidR="00995EAD" w:rsidRDefault="00995EAD" w:rsidP="00995EAD">
            <w:pPr>
              <w:spacing w:beforeLines="40" w:before="96" w:afterLines="40" w:after="96"/>
              <w:rPr>
                <w:sz w:val="20"/>
                <w:szCs w:val="20"/>
              </w:rPr>
            </w:pPr>
            <w:r>
              <w:rPr>
                <w:sz w:val="20"/>
                <w:szCs w:val="20"/>
              </w:rPr>
              <w:t xml:space="preserve">1010 (14.7) </w:t>
            </w:r>
          </w:p>
        </w:tc>
        <w:tc>
          <w:tcPr>
            <w:tcW w:w="1701" w:type="dxa"/>
          </w:tcPr>
          <w:p w14:paraId="0736FECE" w14:textId="38E49A38" w:rsidR="00995EAD" w:rsidRDefault="00995EAD" w:rsidP="00995EAD">
            <w:pPr>
              <w:spacing w:beforeLines="40" w:before="96" w:afterLines="40" w:after="96"/>
              <w:rPr>
                <w:sz w:val="20"/>
                <w:szCs w:val="20"/>
              </w:rPr>
            </w:pPr>
            <w:r>
              <w:rPr>
                <w:sz w:val="20"/>
                <w:szCs w:val="20"/>
              </w:rPr>
              <w:t xml:space="preserve">1852 (13.5) </w:t>
            </w:r>
          </w:p>
        </w:tc>
        <w:tc>
          <w:tcPr>
            <w:tcW w:w="1701" w:type="dxa"/>
          </w:tcPr>
          <w:p w14:paraId="63D9CDBF" w14:textId="34FD38A7" w:rsidR="00995EAD" w:rsidRDefault="00995EAD" w:rsidP="00995EAD">
            <w:pPr>
              <w:spacing w:beforeLines="40" w:before="96" w:afterLines="40" w:after="96"/>
              <w:rPr>
                <w:sz w:val="20"/>
                <w:szCs w:val="20"/>
              </w:rPr>
            </w:pPr>
            <w:r>
              <w:rPr>
                <w:sz w:val="20"/>
                <w:szCs w:val="20"/>
              </w:rPr>
              <w:t xml:space="preserve">2862 (13.9) </w:t>
            </w:r>
          </w:p>
        </w:tc>
        <w:tc>
          <w:tcPr>
            <w:tcW w:w="992" w:type="dxa"/>
            <w:tcBorders>
              <w:bottom w:val="single" w:sz="4" w:space="0" w:color="auto"/>
            </w:tcBorders>
            <w:vAlign w:val="center"/>
          </w:tcPr>
          <w:p w14:paraId="35B6F8F8" w14:textId="77777777" w:rsidR="00995EAD" w:rsidRPr="00613E10" w:rsidRDefault="00995EAD" w:rsidP="00995EAD">
            <w:pPr>
              <w:spacing w:beforeLines="40" w:before="96" w:afterLines="40" w:after="96"/>
              <w:rPr>
                <w:rFonts w:eastAsia="Calibri" w:cs="Arial"/>
                <w:sz w:val="20"/>
                <w:szCs w:val="20"/>
              </w:rPr>
            </w:pPr>
          </w:p>
        </w:tc>
        <w:tc>
          <w:tcPr>
            <w:tcW w:w="1701" w:type="dxa"/>
          </w:tcPr>
          <w:p w14:paraId="477A211A" w14:textId="71731E21" w:rsidR="00995EAD" w:rsidRDefault="00995EAD" w:rsidP="00995EAD">
            <w:pPr>
              <w:spacing w:beforeLines="40" w:before="96" w:afterLines="40" w:after="96"/>
              <w:rPr>
                <w:sz w:val="20"/>
                <w:szCs w:val="20"/>
              </w:rPr>
            </w:pPr>
            <w:r>
              <w:rPr>
                <w:sz w:val="20"/>
                <w:szCs w:val="20"/>
              </w:rPr>
              <w:t xml:space="preserve">163 (14.3) </w:t>
            </w:r>
          </w:p>
        </w:tc>
        <w:tc>
          <w:tcPr>
            <w:tcW w:w="1701" w:type="dxa"/>
          </w:tcPr>
          <w:p w14:paraId="3354C893" w14:textId="6857D26B" w:rsidR="00995EAD" w:rsidRDefault="00995EAD" w:rsidP="00995EAD">
            <w:pPr>
              <w:spacing w:beforeLines="40" w:before="96" w:afterLines="40" w:after="96"/>
              <w:rPr>
                <w:sz w:val="20"/>
                <w:szCs w:val="20"/>
              </w:rPr>
            </w:pPr>
            <w:r>
              <w:rPr>
                <w:sz w:val="20"/>
                <w:szCs w:val="20"/>
              </w:rPr>
              <w:t xml:space="preserve">847 (14.8) </w:t>
            </w:r>
          </w:p>
        </w:tc>
        <w:tc>
          <w:tcPr>
            <w:tcW w:w="1701" w:type="dxa"/>
          </w:tcPr>
          <w:p w14:paraId="569F78FB" w14:textId="0C304B96" w:rsidR="00995EAD" w:rsidRPr="000D3330" w:rsidRDefault="00995EAD" w:rsidP="00995EAD">
            <w:pPr>
              <w:spacing w:beforeLines="40" w:before="96" w:afterLines="40" w:after="96"/>
              <w:rPr>
                <w:rFonts w:eastAsia="Calibri" w:cs="Arial"/>
                <w:sz w:val="20"/>
                <w:szCs w:val="20"/>
              </w:rPr>
            </w:pPr>
            <w:r>
              <w:rPr>
                <w:sz w:val="20"/>
                <w:szCs w:val="20"/>
              </w:rPr>
              <w:t xml:space="preserve">1010 (14.7) </w:t>
            </w:r>
          </w:p>
        </w:tc>
        <w:tc>
          <w:tcPr>
            <w:tcW w:w="992" w:type="dxa"/>
            <w:tcBorders>
              <w:bottom w:val="single" w:sz="4" w:space="0" w:color="auto"/>
            </w:tcBorders>
            <w:vAlign w:val="center"/>
          </w:tcPr>
          <w:p w14:paraId="3EF11D42" w14:textId="77777777" w:rsidR="00995EAD" w:rsidRPr="00613E10" w:rsidRDefault="00995EAD" w:rsidP="00995EAD">
            <w:pPr>
              <w:spacing w:beforeLines="40" w:before="96" w:afterLines="40" w:after="96"/>
              <w:rPr>
                <w:rFonts w:eastAsia="Calibri" w:cs="Arial"/>
                <w:sz w:val="20"/>
                <w:szCs w:val="20"/>
              </w:rPr>
            </w:pPr>
          </w:p>
        </w:tc>
      </w:tr>
      <w:tr w:rsidR="00995EAD" w:rsidRPr="00613E10" w14:paraId="7DCAF6B0" w14:textId="77777777" w:rsidTr="005277CB">
        <w:trPr>
          <w:cantSplit/>
          <w:trHeight w:val="20"/>
        </w:trPr>
        <w:tc>
          <w:tcPr>
            <w:tcW w:w="2978" w:type="dxa"/>
            <w:tcBorders>
              <w:bottom w:val="single" w:sz="4" w:space="0" w:color="auto"/>
            </w:tcBorders>
            <w:vAlign w:val="center"/>
          </w:tcPr>
          <w:p w14:paraId="14C89479" w14:textId="1D3C1FA4" w:rsidR="00995EAD" w:rsidRDefault="00995EAD" w:rsidP="00995EAD">
            <w:pPr>
              <w:spacing w:beforeLines="40" w:before="96" w:afterLines="40" w:after="96"/>
              <w:ind w:left="320"/>
              <w:rPr>
                <w:rFonts w:eastAsia="Calibri" w:cs="Arial"/>
                <w:sz w:val="20"/>
                <w:szCs w:val="20"/>
              </w:rPr>
            </w:pPr>
            <w:r>
              <w:rPr>
                <w:rFonts w:eastAsia="Calibri" w:cs="Arial"/>
                <w:sz w:val="20"/>
                <w:szCs w:val="20"/>
              </w:rPr>
              <w:t>Ex-drinker</w:t>
            </w:r>
          </w:p>
        </w:tc>
        <w:tc>
          <w:tcPr>
            <w:tcW w:w="1701" w:type="dxa"/>
          </w:tcPr>
          <w:p w14:paraId="6DF49B3B" w14:textId="33D05E82" w:rsidR="00995EAD" w:rsidRDefault="00995EAD" w:rsidP="00995EAD">
            <w:pPr>
              <w:spacing w:beforeLines="40" w:before="96" w:afterLines="40" w:after="96"/>
              <w:rPr>
                <w:sz w:val="20"/>
                <w:szCs w:val="20"/>
              </w:rPr>
            </w:pPr>
            <w:r>
              <w:rPr>
                <w:sz w:val="20"/>
                <w:szCs w:val="20"/>
              </w:rPr>
              <w:t xml:space="preserve">769 (11.2) </w:t>
            </w:r>
          </w:p>
        </w:tc>
        <w:tc>
          <w:tcPr>
            <w:tcW w:w="1701" w:type="dxa"/>
          </w:tcPr>
          <w:p w14:paraId="5BF405E4" w14:textId="5BC670B9" w:rsidR="00995EAD" w:rsidRDefault="00995EAD" w:rsidP="00995EAD">
            <w:pPr>
              <w:spacing w:beforeLines="40" w:before="96" w:afterLines="40" w:after="96"/>
              <w:rPr>
                <w:sz w:val="20"/>
                <w:szCs w:val="20"/>
              </w:rPr>
            </w:pPr>
            <w:r>
              <w:rPr>
                <w:sz w:val="20"/>
                <w:szCs w:val="20"/>
              </w:rPr>
              <w:t xml:space="preserve">1321 (9.6) </w:t>
            </w:r>
          </w:p>
        </w:tc>
        <w:tc>
          <w:tcPr>
            <w:tcW w:w="1701" w:type="dxa"/>
          </w:tcPr>
          <w:p w14:paraId="3B92E58D" w14:textId="66DF5EB1" w:rsidR="00995EAD" w:rsidRDefault="00995EAD" w:rsidP="00995EAD">
            <w:pPr>
              <w:spacing w:beforeLines="40" w:before="96" w:afterLines="40" w:after="96"/>
              <w:rPr>
                <w:sz w:val="20"/>
                <w:szCs w:val="20"/>
              </w:rPr>
            </w:pPr>
            <w:r>
              <w:rPr>
                <w:sz w:val="20"/>
                <w:szCs w:val="20"/>
              </w:rPr>
              <w:t xml:space="preserve">2090 (10.2) </w:t>
            </w:r>
          </w:p>
        </w:tc>
        <w:tc>
          <w:tcPr>
            <w:tcW w:w="992" w:type="dxa"/>
            <w:tcBorders>
              <w:bottom w:val="single" w:sz="4" w:space="0" w:color="auto"/>
            </w:tcBorders>
            <w:vAlign w:val="center"/>
          </w:tcPr>
          <w:p w14:paraId="0D7D3761" w14:textId="77777777" w:rsidR="00995EAD" w:rsidRPr="00613E10" w:rsidRDefault="00995EAD" w:rsidP="00995EAD">
            <w:pPr>
              <w:spacing w:beforeLines="40" w:before="96" w:afterLines="40" w:after="96"/>
              <w:rPr>
                <w:rFonts w:eastAsia="Calibri" w:cs="Arial"/>
                <w:sz w:val="20"/>
                <w:szCs w:val="20"/>
              </w:rPr>
            </w:pPr>
          </w:p>
        </w:tc>
        <w:tc>
          <w:tcPr>
            <w:tcW w:w="1701" w:type="dxa"/>
          </w:tcPr>
          <w:p w14:paraId="17C23FF5" w14:textId="2240A550" w:rsidR="00995EAD" w:rsidRDefault="00995EAD" w:rsidP="00995EAD">
            <w:pPr>
              <w:spacing w:beforeLines="40" w:before="96" w:afterLines="40" w:after="96"/>
              <w:rPr>
                <w:sz w:val="20"/>
                <w:szCs w:val="20"/>
              </w:rPr>
            </w:pPr>
            <w:r>
              <w:rPr>
                <w:sz w:val="20"/>
                <w:szCs w:val="20"/>
              </w:rPr>
              <w:t xml:space="preserve">122 (10.7) </w:t>
            </w:r>
          </w:p>
        </w:tc>
        <w:tc>
          <w:tcPr>
            <w:tcW w:w="1701" w:type="dxa"/>
          </w:tcPr>
          <w:p w14:paraId="121C6AEE" w14:textId="2512AEF4" w:rsidR="00995EAD" w:rsidRDefault="00995EAD" w:rsidP="00995EAD">
            <w:pPr>
              <w:spacing w:beforeLines="40" w:before="96" w:afterLines="40" w:after="96"/>
              <w:rPr>
                <w:sz w:val="20"/>
                <w:szCs w:val="20"/>
              </w:rPr>
            </w:pPr>
            <w:r>
              <w:rPr>
                <w:sz w:val="20"/>
                <w:szCs w:val="20"/>
              </w:rPr>
              <w:t xml:space="preserve">647 (11.3) </w:t>
            </w:r>
          </w:p>
        </w:tc>
        <w:tc>
          <w:tcPr>
            <w:tcW w:w="1701" w:type="dxa"/>
          </w:tcPr>
          <w:p w14:paraId="673EE687" w14:textId="58CE85A7" w:rsidR="00995EAD" w:rsidRPr="000D3330" w:rsidRDefault="00995EAD" w:rsidP="00995EAD">
            <w:pPr>
              <w:spacing w:beforeLines="40" w:before="96" w:afterLines="40" w:after="96"/>
              <w:rPr>
                <w:rFonts w:eastAsia="Calibri" w:cs="Arial"/>
                <w:sz w:val="20"/>
                <w:szCs w:val="20"/>
              </w:rPr>
            </w:pPr>
            <w:r>
              <w:rPr>
                <w:sz w:val="20"/>
                <w:szCs w:val="20"/>
              </w:rPr>
              <w:t xml:space="preserve">769 (11.2) </w:t>
            </w:r>
          </w:p>
        </w:tc>
        <w:tc>
          <w:tcPr>
            <w:tcW w:w="992" w:type="dxa"/>
            <w:tcBorders>
              <w:bottom w:val="single" w:sz="4" w:space="0" w:color="auto"/>
            </w:tcBorders>
            <w:vAlign w:val="center"/>
          </w:tcPr>
          <w:p w14:paraId="731EC07A" w14:textId="77777777" w:rsidR="00995EAD" w:rsidRPr="00613E10" w:rsidRDefault="00995EAD" w:rsidP="00995EAD">
            <w:pPr>
              <w:spacing w:beforeLines="40" w:before="96" w:afterLines="40" w:after="96"/>
              <w:rPr>
                <w:rFonts w:eastAsia="Calibri" w:cs="Arial"/>
                <w:sz w:val="20"/>
                <w:szCs w:val="20"/>
              </w:rPr>
            </w:pPr>
          </w:p>
        </w:tc>
      </w:tr>
      <w:tr w:rsidR="00995EAD" w:rsidRPr="00613E10" w14:paraId="63A7BADD" w14:textId="77777777" w:rsidTr="005277CB">
        <w:trPr>
          <w:cantSplit/>
          <w:trHeight w:val="20"/>
        </w:trPr>
        <w:tc>
          <w:tcPr>
            <w:tcW w:w="2978" w:type="dxa"/>
            <w:tcBorders>
              <w:bottom w:val="single" w:sz="4" w:space="0" w:color="auto"/>
            </w:tcBorders>
            <w:vAlign w:val="center"/>
          </w:tcPr>
          <w:p w14:paraId="10834440" w14:textId="13A4615A" w:rsidR="00995EAD" w:rsidRDefault="00995EAD" w:rsidP="00995EAD">
            <w:pPr>
              <w:spacing w:beforeLines="40" w:before="96" w:afterLines="40" w:after="96"/>
              <w:ind w:left="320"/>
              <w:rPr>
                <w:rFonts w:eastAsia="Calibri" w:cs="Arial"/>
                <w:sz w:val="20"/>
                <w:szCs w:val="20"/>
              </w:rPr>
            </w:pPr>
            <w:r>
              <w:rPr>
                <w:rFonts w:eastAsia="Calibri" w:cs="Arial"/>
                <w:sz w:val="20"/>
                <w:szCs w:val="20"/>
              </w:rPr>
              <w:t>Drinker</w:t>
            </w:r>
          </w:p>
        </w:tc>
        <w:tc>
          <w:tcPr>
            <w:tcW w:w="1701" w:type="dxa"/>
          </w:tcPr>
          <w:p w14:paraId="16DE0266" w14:textId="05EA4EA8" w:rsidR="00995EAD" w:rsidRDefault="00995EAD" w:rsidP="00995EAD">
            <w:pPr>
              <w:spacing w:beforeLines="40" w:before="96" w:afterLines="40" w:after="96"/>
              <w:rPr>
                <w:sz w:val="20"/>
                <w:szCs w:val="20"/>
              </w:rPr>
            </w:pPr>
            <w:r>
              <w:rPr>
                <w:sz w:val="20"/>
                <w:szCs w:val="20"/>
              </w:rPr>
              <w:t xml:space="preserve">3867 (56.4) </w:t>
            </w:r>
          </w:p>
        </w:tc>
        <w:tc>
          <w:tcPr>
            <w:tcW w:w="1701" w:type="dxa"/>
          </w:tcPr>
          <w:p w14:paraId="5E0ED0E7" w14:textId="08D84798" w:rsidR="00995EAD" w:rsidRDefault="00995EAD" w:rsidP="00995EAD">
            <w:pPr>
              <w:spacing w:beforeLines="40" w:before="96" w:afterLines="40" w:after="96"/>
              <w:rPr>
                <w:sz w:val="20"/>
                <w:szCs w:val="20"/>
              </w:rPr>
            </w:pPr>
            <w:r>
              <w:rPr>
                <w:sz w:val="20"/>
                <w:szCs w:val="20"/>
              </w:rPr>
              <w:t xml:space="preserve">8005 (58.3) </w:t>
            </w:r>
          </w:p>
        </w:tc>
        <w:tc>
          <w:tcPr>
            <w:tcW w:w="1701" w:type="dxa"/>
          </w:tcPr>
          <w:p w14:paraId="7971238D" w14:textId="49F78823" w:rsidR="00995EAD" w:rsidRDefault="00995EAD" w:rsidP="00995EAD">
            <w:pPr>
              <w:spacing w:beforeLines="40" w:before="96" w:afterLines="40" w:after="96"/>
              <w:rPr>
                <w:sz w:val="20"/>
                <w:szCs w:val="20"/>
              </w:rPr>
            </w:pPr>
            <w:r>
              <w:rPr>
                <w:sz w:val="20"/>
                <w:szCs w:val="20"/>
              </w:rPr>
              <w:t xml:space="preserve">11 872 (57.7) </w:t>
            </w:r>
          </w:p>
        </w:tc>
        <w:tc>
          <w:tcPr>
            <w:tcW w:w="992" w:type="dxa"/>
            <w:tcBorders>
              <w:bottom w:val="single" w:sz="4" w:space="0" w:color="auto"/>
            </w:tcBorders>
            <w:vAlign w:val="center"/>
          </w:tcPr>
          <w:p w14:paraId="046DDF2C" w14:textId="77777777" w:rsidR="00995EAD" w:rsidRPr="00613E10" w:rsidRDefault="00995EAD" w:rsidP="00995EAD">
            <w:pPr>
              <w:spacing w:beforeLines="40" w:before="96" w:afterLines="40" w:after="96"/>
              <w:rPr>
                <w:rFonts w:eastAsia="Calibri" w:cs="Arial"/>
                <w:sz w:val="20"/>
                <w:szCs w:val="20"/>
              </w:rPr>
            </w:pPr>
          </w:p>
        </w:tc>
        <w:tc>
          <w:tcPr>
            <w:tcW w:w="1701" w:type="dxa"/>
          </w:tcPr>
          <w:p w14:paraId="061753B5" w14:textId="5389A204" w:rsidR="00995EAD" w:rsidRDefault="00995EAD" w:rsidP="00995EAD">
            <w:pPr>
              <w:spacing w:beforeLines="40" w:before="96" w:afterLines="40" w:after="96"/>
              <w:rPr>
                <w:sz w:val="20"/>
                <w:szCs w:val="20"/>
              </w:rPr>
            </w:pPr>
            <w:r>
              <w:rPr>
                <w:sz w:val="20"/>
                <w:szCs w:val="20"/>
              </w:rPr>
              <w:t xml:space="preserve">667 (58.5) </w:t>
            </w:r>
          </w:p>
        </w:tc>
        <w:tc>
          <w:tcPr>
            <w:tcW w:w="1701" w:type="dxa"/>
          </w:tcPr>
          <w:p w14:paraId="47F30D7C" w14:textId="62194A71" w:rsidR="00995EAD" w:rsidRDefault="00995EAD" w:rsidP="00995EAD">
            <w:pPr>
              <w:spacing w:beforeLines="40" w:before="96" w:afterLines="40" w:after="96"/>
              <w:rPr>
                <w:sz w:val="20"/>
                <w:szCs w:val="20"/>
              </w:rPr>
            </w:pPr>
            <w:r>
              <w:rPr>
                <w:sz w:val="20"/>
                <w:szCs w:val="20"/>
              </w:rPr>
              <w:t xml:space="preserve">3200 (55.9) </w:t>
            </w:r>
          </w:p>
        </w:tc>
        <w:tc>
          <w:tcPr>
            <w:tcW w:w="1701" w:type="dxa"/>
          </w:tcPr>
          <w:p w14:paraId="525939DE" w14:textId="7F49CCD4" w:rsidR="00995EAD" w:rsidRPr="000D3330" w:rsidRDefault="00995EAD" w:rsidP="00995EAD">
            <w:pPr>
              <w:spacing w:beforeLines="40" w:before="96" w:afterLines="40" w:after="96"/>
              <w:rPr>
                <w:rFonts w:eastAsia="Calibri" w:cs="Arial"/>
                <w:sz w:val="20"/>
                <w:szCs w:val="20"/>
              </w:rPr>
            </w:pPr>
            <w:r>
              <w:rPr>
                <w:sz w:val="20"/>
                <w:szCs w:val="20"/>
              </w:rPr>
              <w:t xml:space="preserve">3867 (56.4) </w:t>
            </w:r>
          </w:p>
        </w:tc>
        <w:tc>
          <w:tcPr>
            <w:tcW w:w="992" w:type="dxa"/>
            <w:tcBorders>
              <w:bottom w:val="single" w:sz="4" w:space="0" w:color="auto"/>
            </w:tcBorders>
            <w:vAlign w:val="center"/>
          </w:tcPr>
          <w:p w14:paraId="440DE219" w14:textId="77777777" w:rsidR="00995EAD" w:rsidRPr="00613E10" w:rsidRDefault="00995EAD" w:rsidP="00995EAD">
            <w:pPr>
              <w:spacing w:beforeLines="40" w:before="96" w:afterLines="40" w:after="96"/>
              <w:rPr>
                <w:rFonts w:eastAsia="Calibri" w:cs="Arial"/>
                <w:sz w:val="20"/>
                <w:szCs w:val="20"/>
              </w:rPr>
            </w:pPr>
          </w:p>
        </w:tc>
      </w:tr>
      <w:tr w:rsidR="00995EAD" w:rsidRPr="00613E10" w14:paraId="2E0951F5" w14:textId="77777777" w:rsidTr="005277CB">
        <w:trPr>
          <w:cantSplit/>
          <w:trHeight w:val="20"/>
        </w:trPr>
        <w:tc>
          <w:tcPr>
            <w:tcW w:w="2978" w:type="dxa"/>
            <w:tcBorders>
              <w:bottom w:val="single" w:sz="4" w:space="0" w:color="auto"/>
            </w:tcBorders>
            <w:vAlign w:val="center"/>
          </w:tcPr>
          <w:p w14:paraId="1F9E0706" w14:textId="1E62E2EF" w:rsidR="00995EAD" w:rsidRDefault="00995EAD" w:rsidP="00995EAD">
            <w:pPr>
              <w:spacing w:beforeLines="40" w:before="96" w:afterLines="40" w:after="96"/>
              <w:ind w:left="320"/>
              <w:rPr>
                <w:rFonts w:eastAsia="Calibri" w:cs="Arial"/>
                <w:sz w:val="20"/>
                <w:szCs w:val="20"/>
              </w:rPr>
            </w:pPr>
            <w:r>
              <w:rPr>
                <w:rFonts w:eastAsia="Calibri" w:cs="Arial"/>
                <w:sz w:val="20"/>
                <w:szCs w:val="20"/>
              </w:rPr>
              <w:t>Missing</w:t>
            </w:r>
          </w:p>
        </w:tc>
        <w:tc>
          <w:tcPr>
            <w:tcW w:w="1701" w:type="dxa"/>
          </w:tcPr>
          <w:p w14:paraId="0C802FD3" w14:textId="4D43E3EA" w:rsidR="00995EAD" w:rsidRDefault="00995EAD" w:rsidP="00995EAD">
            <w:pPr>
              <w:spacing w:beforeLines="40" w:before="96" w:afterLines="40" w:after="96"/>
              <w:rPr>
                <w:sz w:val="20"/>
                <w:szCs w:val="20"/>
              </w:rPr>
            </w:pPr>
            <w:r>
              <w:rPr>
                <w:sz w:val="20"/>
                <w:szCs w:val="20"/>
              </w:rPr>
              <w:t xml:space="preserve">1216 (17.7) </w:t>
            </w:r>
          </w:p>
        </w:tc>
        <w:tc>
          <w:tcPr>
            <w:tcW w:w="1701" w:type="dxa"/>
          </w:tcPr>
          <w:p w14:paraId="2CB75F6F" w14:textId="408B6E6F" w:rsidR="00995EAD" w:rsidRDefault="00995EAD" w:rsidP="00995EAD">
            <w:pPr>
              <w:spacing w:beforeLines="40" w:before="96" w:afterLines="40" w:after="96"/>
              <w:rPr>
                <w:sz w:val="20"/>
                <w:szCs w:val="20"/>
              </w:rPr>
            </w:pPr>
            <w:r>
              <w:rPr>
                <w:sz w:val="20"/>
                <w:szCs w:val="20"/>
              </w:rPr>
              <w:t xml:space="preserve">2546 (18.6) </w:t>
            </w:r>
          </w:p>
        </w:tc>
        <w:tc>
          <w:tcPr>
            <w:tcW w:w="1701" w:type="dxa"/>
          </w:tcPr>
          <w:p w14:paraId="11D4FE7E" w14:textId="40187DC7" w:rsidR="00995EAD" w:rsidRDefault="00995EAD" w:rsidP="00995EAD">
            <w:pPr>
              <w:spacing w:beforeLines="40" w:before="96" w:afterLines="40" w:after="96"/>
              <w:rPr>
                <w:sz w:val="20"/>
                <w:szCs w:val="20"/>
              </w:rPr>
            </w:pPr>
            <w:r>
              <w:rPr>
                <w:sz w:val="20"/>
                <w:szCs w:val="20"/>
              </w:rPr>
              <w:t xml:space="preserve">3762 (18.3) </w:t>
            </w:r>
          </w:p>
        </w:tc>
        <w:tc>
          <w:tcPr>
            <w:tcW w:w="992" w:type="dxa"/>
            <w:tcBorders>
              <w:bottom w:val="single" w:sz="4" w:space="0" w:color="auto"/>
            </w:tcBorders>
            <w:vAlign w:val="center"/>
          </w:tcPr>
          <w:p w14:paraId="3333E118" w14:textId="77777777" w:rsidR="00995EAD" w:rsidRPr="00613E10" w:rsidRDefault="00995EAD" w:rsidP="00995EAD">
            <w:pPr>
              <w:spacing w:beforeLines="40" w:before="96" w:afterLines="40" w:after="96"/>
              <w:rPr>
                <w:rFonts w:eastAsia="Calibri" w:cs="Arial"/>
                <w:sz w:val="20"/>
                <w:szCs w:val="20"/>
              </w:rPr>
            </w:pPr>
          </w:p>
        </w:tc>
        <w:tc>
          <w:tcPr>
            <w:tcW w:w="1701" w:type="dxa"/>
          </w:tcPr>
          <w:p w14:paraId="684F2DD5" w14:textId="069E12E3" w:rsidR="00995EAD" w:rsidRDefault="00995EAD" w:rsidP="00995EAD">
            <w:pPr>
              <w:spacing w:beforeLines="40" w:before="96" w:afterLines="40" w:after="96"/>
              <w:rPr>
                <w:sz w:val="20"/>
                <w:szCs w:val="20"/>
              </w:rPr>
            </w:pPr>
            <w:r>
              <w:rPr>
                <w:sz w:val="20"/>
                <w:szCs w:val="20"/>
              </w:rPr>
              <w:t xml:space="preserve">188 (16.5) </w:t>
            </w:r>
          </w:p>
        </w:tc>
        <w:tc>
          <w:tcPr>
            <w:tcW w:w="1701" w:type="dxa"/>
          </w:tcPr>
          <w:p w14:paraId="409E3599" w14:textId="79474EE6" w:rsidR="00995EAD" w:rsidRDefault="00995EAD" w:rsidP="00995EAD">
            <w:pPr>
              <w:spacing w:beforeLines="40" w:before="96" w:afterLines="40" w:after="96"/>
              <w:rPr>
                <w:sz w:val="20"/>
                <w:szCs w:val="20"/>
              </w:rPr>
            </w:pPr>
            <w:r>
              <w:rPr>
                <w:sz w:val="20"/>
                <w:szCs w:val="20"/>
              </w:rPr>
              <w:t xml:space="preserve">1028 (18.0) </w:t>
            </w:r>
          </w:p>
        </w:tc>
        <w:tc>
          <w:tcPr>
            <w:tcW w:w="1701" w:type="dxa"/>
          </w:tcPr>
          <w:p w14:paraId="107AF3AB" w14:textId="3FAAD5D9" w:rsidR="00995EAD" w:rsidRPr="000D3330" w:rsidRDefault="00995EAD" w:rsidP="00995EAD">
            <w:pPr>
              <w:spacing w:beforeLines="40" w:before="96" w:afterLines="40" w:after="96"/>
              <w:rPr>
                <w:rFonts w:eastAsia="Calibri" w:cs="Arial"/>
                <w:sz w:val="20"/>
                <w:szCs w:val="20"/>
              </w:rPr>
            </w:pPr>
            <w:r>
              <w:rPr>
                <w:sz w:val="20"/>
                <w:szCs w:val="20"/>
              </w:rPr>
              <w:t>1216 (17.7)</w:t>
            </w:r>
          </w:p>
        </w:tc>
        <w:tc>
          <w:tcPr>
            <w:tcW w:w="992" w:type="dxa"/>
            <w:tcBorders>
              <w:bottom w:val="single" w:sz="4" w:space="0" w:color="auto"/>
            </w:tcBorders>
            <w:vAlign w:val="center"/>
          </w:tcPr>
          <w:p w14:paraId="57E2ACBA" w14:textId="77777777" w:rsidR="00995EAD" w:rsidRPr="00613E10" w:rsidRDefault="00995EAD" w:rsidP="00995EAD">
            <w:pPr>
              <w:spacing w:beforeLines="40" w:before="96" w:afterLines="40" w:after="96"/>
              <w:rPr>
                <w:rFonts w:eastAsia="Calibri" w:cs="Arial"/>
                <w:sz w:val="20"/>
                <w:szCs w:val="20"/>
              </w:rPr>
            </w:pPr>
          </w:p>
        </w:tc>
      </w:tr>
      <w:tr w:rsidR="00995EAD" w:rsidRPr="00613E10" w14:paraId="61789DBD" w14:textId="77777777" w:rsidTr="000D3330">
        <w:trPr>
          <w:cantSplit/>
          <w:trHeight w:val="20"/>
        </w:trPr>
        <w:tc>
          <w:tcPr>
            <w:tcW w:w="2978" w:type="dxa"/>
            <w:tcBorders>
              <w:bottom w:val="single" w:sz="4" w:space="0" w:color="auto"/>
            </w:tcBorders>
            <w:vAlign w:val="center"/>
          </w:tcPr>
          <w:p w14:paraId="4FEDF94C" w14:textId="7A2B1382" w:rsidR="00995EAD" w:rsidRDefault="00995EAD" w:rsidP="00995EAD">
            <w:pPr>
              <w:spacing w:beforeLines="40" w:before="96" w:afterLines="40" w:after="96"/>
              <w:rPr>
                <w:rFonts w:eastAsia="Calibri" w:cs="Arial"/>
                <w:sz w:val="20"/>
                <w:szCs w:val="20"/>
              </w:rPr>
            </w:pPr>
            <w:r w:rsidRPr="007D1F5C">
              <w:rPr>
                <w:rFonts w:eastAsia="Calibri" w:cs="Arial"/>
                <w:sz w:val="20"/>
                <w:szCs w:val="20"/>
              </w:rPr>
              <w:t xml:space="preserve">Socioeconomic deprivation </w:t>
            </w:r>
            <w:proofErr w:type="spellStart"/>
            <w:r w:rsidRPr="007D1F5C">
              <w:rPr>
                <w:rFonts w:eastAsia="Calibri" w:cs="Arial"/>
                <w:sz w:val="20"/>
                <w:szCs w:val="20"/>
              </w:rPr>
              <w:t>level</w:t>
            </w:r>
            <w:r w:rsidRPr="005277CB">
              <w:rPr>
                <w:rFonts w:eastAsia="Calibri" w:cs="Arial"/>
                <w:sz w:val="20"/>
                <w:szCs w:val="20"/>
                <w:vertAlign w:val="superscript"/>
              </w:rPr>
              <w:t>d</w:t>
            </w:r>
            <w:proofErr w:type="spellEnd"/>
          </w:p>
        </w:tc>
        <w:tc>
          <w:tcPr>
            <w:tcW w:w="1701" w:type="dxa"/>
          </w:tcPr>
          <w:p w14:paraId="7781C70D" w14:textId="77777777" w:rsidR="00995EAD" w:rsidRDefault="00995EAD" w:rsidP="00995EAD">
            <w:pPr>
              <w:spacing w:beforeLines="40" w:before="96" w:afterLines="40" w:after="96"/>
              <w:rPr>
                <w:sz w:val="20"/>
                <w:szCs w:val="20"/>
              </w:rPr>
            </w:pPr>
          </w:p>
        </w:tc>
        <w:tc>
          <w:tcPr>
            <w:tcW w:w="1701" w:type="dxa"/>
          </w:tcPr>
          <w:p w14:paraId="48BE33E2" w14:textId="77777777" w:rsidR="00995EAD" w:rsidRDefault="00995EAD" w:rsidP="00995EAD">
            <w:pPr>
              <w:spacing w:beforeLines="40" w:before="96" w:afterLines="40" w:after="96"/>
              <w:rPr>
                <w:sz w:val="20"/>
                <w:szCs w:val="20"/>
              </w:rPr>
            </w:pPr>
          </w:p>
        </w:tc>
        <w:tc>
          <w:tcPr>
            <w:tcW w:w="1701" w:type="dxa"/>
          </w:tcPr>
          <w:p w14:paraId="43D9502D" w14:textId="77777777" w:rsidR="00995EAD" w:rsidRDefault="00995EAD" w:rsidP="00995EAD">
            <w:pPr>
              <w:spacing w:beforeLines="40" w:before="96" w:afterLines="40" w:after="96"/>
              <w:rPr>
                <w:sz w:val="20"/>
                <w:szCs w:val="20"/>
              </w:rPr>
            </w:pPr>
          </w:p>
        </w:tc>
        <w:tc>
          <w:tcPr>
            <w:tcW w:w="992" w:type="dxa"/>
            <w:tcBorders>
              <w:bottom w:val="single" w:sz="4" w:space="0" w:color="auto"/>
            </w:tcBorders>
            <w:vAlign w:val="center"/>
          </w:tcPr>
          <w:p w14:paraId="02E5977B" w14:textId="0C7E37EF" w:rsidR="00995EAD" w:rsidRPr="00613E10" w:rsidRDefault="00995EAD" w:rsidP="00995EAD">
            <w:pPr>
              <w:spacing w:beforeLines="40" w:before="96" w:afterLines="40" w:after="96"/>
              <w:rPr>
                <w:rFonts w:eastAsia="Calibri" w:cs="Arial"/>
                <w:sz w:val="20"/>
                <w:szCs w:val="20"/>
              </w:rPr>
            </w:pPr>
            <w:r w:rsidRPr="003F21F9">
              <w:rPr>
                <w:rFonts w:eastAsia="Calibri" w:cs="Arial"/>
                <w:sz w:val="20"/>
                <w:szCs w:val="20"/>
              </w:rPr>
              <w:t>&lt;0.001</w:t>
            </w:r>
          </w:p>
        </w:tc>
        <w:tc>
          <w:tcPr>
            <w:tcW w:w="1701" w:type="dxa"/>
          </w:tcPr>
          <w:p w14:paraId="3CF107F3" w14:textId="77777777" w:rsidR="00995EAD" w:rsidRDefault="00995EAD" w:rsidP="00995EAD">
            <w:pPr>
              <w:spacing w:beforeLines="40" w:before="96" w:afterLines="40" w:after="96"/>
              <w:rPr>
                <w:sz w:val="20"/>
                <w:szCs w:val="20"/>
              </w:rPr>
            </w:pPr>
          </w:p>
        </w:tc>
        <w:tc>
          <w:tcPr>
            <w:tcW w:w="1701" w:type="dxa"/>
          </w:tcPr>
          <w:p w14:paraId="05CACCF3" w14:textId="77777777" w:rsidR="00995EAD" w:rsidRDefault="00995EAD" w:rsidP="00995EAD">
            <w:pPr>
              <w:spacing w:beforeLines="40" w:before="96" w:afterLines="40" w:after="96"/>
              <w:rPr>
                <w:sz w:val="20"/>
                <w:szCs w:val="20"/>
              </w:rPr>
            </w:pPr>
          </w:p>
        </w:tc>
        <w:tc>
          <w:tcPr>
            <w:tcW w:w="1701" w:type="dxa"/>
            <w:tcBorders>
              <w:bottom w:val="single" w:sz="4" w:space="0" w:color="auto"/>
            </w:tcBorders>
            <w:vAlign w:val="center"/>
          </w:tcPr>
          <w:p w14:paraId="50253E53" w14:textId="77777777" w:rsidR="00995EAD" w:rsidRPr="000D3330" w:rsidRDefault="00995EAD" w:rsidP="00995EAD">
            <w:pPr>
              <w:spacing w:beforeLines="40" w:before="96" w:afterLines="40" w:after="96"/>
              <w:rPr>
                <w:rFonts w:eastAsia="Calibri" w:cs="Arial"/>
                <w:sz w:val="20"/>
                <w:szCs w:val="20"/>
              </w:rPr>
            </w:pPr>
          </w:p>
        </w:tc>
        <w:tc>
          <w:tcPr>
            <w:tcW w:w="992" w:type="dxa"/>
            <w:tcBorders>
              <w:bottom w:val="single" w:sz="4" w:space="0" w:color="auto"/>
            </w:tcBorders>
            <w:vAlign w:val="center"/>
          </w:tcPr>
          <w:p w14:paraId="3FD4CAE6" w14:textId="686BD5DE" w:rsidR="00995EAD" w:rsidRPr="00613E10" w:rsidRDefault="00995EAD" w:rsidP="00995EAD">
            <w:pPr>
              <w:spacing w:beforeLines="40" w:before="96" w:afterLines="40" w:after="96"/>
              <w:rPr>
                <w:rFonts w:eastAsia="Calibri" w:cs="Arial"/>
                <w:sz w:val="20"/>
                <w:szCs w:val="20"/>
              </w:rPr>
            </w:pPr>
            <w:r w:rsidRPr="003F21F9">
              <w:rPr>
                <w:rFonts w:eastAsia="Calibri" w:cs="Arial"/>
                <w:sz w:val="20"/>
                <w:szCs w:val="20"/>
              </w:rPr>
              <w:t>0.704</w:t>
            </w:r>
          </w:p>
        </w:tc>
      </w:tr>
      <w:tr w:rsidR="00995EAD" w:rsidRPr="00613E10" w14:paraId="2378A10D" w14:textId="77777777" w:rsidTr="005277CB">
        <w:trPr>
          <w:cantSplit/>
          <w:trHeight w:val="20"/>
        </w:trPr>
        <w:tc>
          <w:tcPr>
            <w:tcW w:w="2978" w:type="dxa"/>
            <w:tcBorders>
              <w:bottom w:val="single" w:sz="4" w:space="0" w:color="auto"/>
            </w:tcBorders>
            <w:vAlign w:val="center"/>
          </w:tcPr>
          <w:p w14:paraId="759BDCC4" w14:textId="7625C370" w:rsidR="00995EAD" w:rsidRDefault="00995EAD" w:rsidP="00995EAD">
            <w:pPr>
              <w:spacing w:beforeLines="40" w:before="96" w:afterLines="40" w:after="96"/>
              <w:ind w:left="320"/>
              <w:rPr>
                <w:rFonts w:eastAsia="Calibri" w:cs="Arial"/>
                <w:sz w:val="20"/>
                <w:szCs w:val="20"/>
              </w:rPr>
            </w:pPr>
            <w:r>
              <w:rPr>
                <w:rFonts w:eastAsia="Calibri" w:cs="Arial"/>
                <w:sz w:val="20"/>
                <w:szCs w:val="20"/>
              </w:rPr>
              <w:t>1</w:t>
            </w:r>
          </w:p>
        </w:tc>
        <w:tc>
          <w:tcPr>
            <w:tcW w:w="1701" w:type="dxa"/>
          </w:tcPr>
          <w:p w14:paraId="77712F28" w14:textId="7CC589E5" w:rsidR="00995EAD" w:rsidRDefault="00995EAD" w:rsidP="00995EAD">
            <w:pPr>
              <w:spacing w:beforeLines="40" w:before="96" w:afterLines="40" w:after="96"/>
              <w:rPr>
                <w:sz w:val="20"/>
                <w:szCs w:val="20"/>
              </w:rPr>
            </w:pPr>
            <w:r>
              <w:rPr>
                <w:sz w:val="20"/>
                <w:szCs w:val="20"/>
              </w:rPr>
              <w:t xml:space="preserve">1200 (17.5) </w:t>
            </w:r>
          </w:p>
        </w:tc>
        <w:tc>
          <w:tcPr>
            <w:tcW w:w="1701" w:type="dxa"/>
          </w:tcPr>
          <w:p w14:paraId="4C2AF75C" w14:textId="41482395" w:rsidR="00995EAD" w:rsidRDefault="00995EAD" w:rsidP="00995EAD">
            <w:pPr>
              <w:spacing w:beforeLines="40" w:before="96" w:afterLines="40" w:after="96"/>
              <w:rPr>
                <w:sz w:val="20"/>
                <w:szCs w:val="20"/>
              </w:rPr>
            </w:pPr>
            <w:r>
              <w:rPr>
                <w:sz w:val="20"/>
                <w:szCs w:val="20"/>
              </w:rPr>
              <w:t xml:space="preserve">2787 (20.3) </w:t>
            </w:r>
          </w:p>
        </w:tc>
        <w:tc>
          <w:tcPr>
            <w:tcW w:w="1701" w:type="dxa"/>
          </w:tcPr>
          <w:p w14:paraId="27605891" w14:textId="0789DBAE" w:rsidR="00995EAD" w:rsidRDefault="00995EAD" w:rsidP="00995EAD">
            <w:pPr>
              <w:spacing w:beforeLines="40" w:before="96" w:afterLines="40" w:after="96"/>
              <w:rPr>
                <w:sz w:val="20"/>
                <w:szCs w:val="20"/>
              </w:rPr>
            </w:pPr>
            <w:r>
              <w:rPr>
                <w:sz w:val="20"/>
                <w:szCs w:val="20"/>
              </w:rPr>
              <w:t xml:space="preserve">3987 (19.4) </w:t>
            </w:r>
          </w:p>
        </w:tc>
        <w:tc>
          <w:tcPr>
            <w:tcW w:w="992" w:type="dxa"/>
            <w:tcBorders>
              <w:bottom w:val="single" w:sz="4" w:space="0" w:color="auto"/>
            </w:tcBorders>
            <w:vAlign w:val="center"/>
          </w:tcPr>
          <w:p w14:paraId="36328BD7" w14:textId="77777777" w:rsidR="00995EAD" w:rsidRPr="00613E10" w:rsidRDefault="00995EAD" w:rsidP="00995EAD">
            <w:pPr>
              <w:spacing w:beforeLines="40" w:before="96" w:afterLines="40" w:after="96"/>
              <w:rPr>
                <w:rFonts w:eastAsia="Calibri" w:cs="Arial"/>
                <w:sz w:val="20"/>
                <w:szCs w:val="20"/>
              </w:rPr>
            </w:pPr>
          </w:p>
        </w:tc>
        <w:tc>
          <w:tcPr>
            <w:tcW w:w="1701" w:type="dxa"/>
          </w:tcPr>
          <w:p w14:paraId="4C2B96CA" w14:textId="4EBD5FCD" w:rsidR="00995EAD" w:rsidRDefault="00995EAD" w:rsidP="00995EAD">
            <w:pPr>
              <w:spacing w:beforeLines="40" w:before="96" w:afterLines="40" w:after="96"/>
              <w:rPr>
                <w:sz w:val="20"/>
                <w:szCs w:val="20"/>
              </w:rPr>
            </w:pPr>
            <w:r>
              <w:rPr>
                <w:sz w:val="20"/>
                <w:szCs w:val="20"/>
              </w:rPr>
              <w:t xml:space="preserve">210 (18.4) </w:t>
            </w:r>
          </w:p>
        </w:tc>
        <w:tc>
          <w:tcPr>
            <w:tcW w:w="1701" w:type="dxa"/>
          </w:tcPr>
          <w:p w14:paraId="3F449B80" w14:textId="52112126" w:rsidR="00995EAD" w:rsidRDefault="00995EAD" w:rsidP="00995EAD">
            <w:pPr>
              <w:spacing w:beforeLines="40" w:before="96" w:afterLines="40" w:after="96"/>
              <w:rPr>
                <w:sz w:val="20"/>
                <w:szCs w:val="20"/>
              </w:rPr>
            </w:pPr>
            <w:r>
              <w:rPr>
                <w:sz w:val="20"/>
                <w:szCs w:val="20"/>
              </w:rPr>
              <w:t xml:space="preserve">990 (17.3) </w:t>
            </w:r>
          </w:p>
        </w:tc>
        <w:tc>
          <w:tcPr>
            <w:tcW w:w="1701" w:type="dxa"/>
            <w:tcBorders>
              <w:bottom w:val="single" w:sz="4" w:space="0" w:color="auto"/>
            </w:tcBorders>
          </w:tcPr>
          <w:p w14:paraId="460E485A" w14:textId="76319B4C" w:rsidR="00995EAD" w:rsidRPr="000D3330" w:rsidRDefault="00995EAD" w:rsidP="00995EAD">
            <w:pPr>
              <w:spacing w:beforeLines="40" w:before="96" w:afterLines="40" w:after="96"/>
              <w:rPr>
                <w:rFonts w:eastAsia="Calibri" w:cs="Arial"/>
                <w:sz w:val="20"/>
                <w:szCs w:val="20"/>
              </w:rPr>
            </w:pPr>
            <w:r>
              <w:rPr>
                <w:sz w:val="20"/>
                <w:szCs w:val="20"/>
              </w:rPr>
              <w:t xml:space="preserve">1200 (17.5) </w:t>
            </w:r>
          </w:p>
        </w:tc>
        <w:tc>
          <w:tcPr>
            <w:tcW w:w="992" w:type="dxa"/>
            <w:tcBorders>
              <w:bottom w:val="single" w:sz="4" w:space="0" w:color="auto"/>
            </w:tcBorders>
            <w:vAlign w:val="center"/>
          </w:tcPr>
          <w:p w14:paraId="2CFA9025" w14:textId="77777777" w:rsidR="00995EAD" w:rsidRPr="00613E10" w:rsidRDefault="00995EAD" w:rsidP="00995EAD">
            <w:pPr>
              <w:spacing w:beforeLines="40" w:before="96" w:afterLines="40" w:after="96"/>
              <w:rPr>
                <w:rFonts w:eastAsia="Calibri" w:cs="Arial"/>
                <w:sz w:val="20"/>
                <w:szCs w:val="20"/>
              </w:rPr>
            </w:pPr>
          </w:p>
        </w:tc>
      </w:tr>
      <w:tr w:rsidR="00995EAD" w:rsidRPr="00613E10" w14:paraId="0C13E7D2" w14:textId="77777777" w:rsidTr="005277CB">
        <w:trPr>
          <w:cantSplit/>
          <w:trHeight w:val="20"/>
        </w:trPr>
        <w:tc>
          <w:tcPr>
            <w:tcW w:w="2978" w:type="dxa"/>
            <w:tcBorders>
              <w:bottom w:val="single" w:sz="4" w:space="0" w:color="auto"/>
            </w:tcBorders>
            <w:vAlign w:val="center"/>
          </w:tcPr>
          <w:p w14:paraId="15D60176" w14:textId="21C79BFF" w:rsidR="00995EAD" w:rsidRDefault="00995EAD" w:rsidP="00995EAD">
            <w:pPr>
              <w:spacing w:beforeLines="40" w:before="96" w:afterLines="40" w:after="96"/>
              <w:ind w:left="320"/>
              <w:rPr>
                <w:rFonts w:eastAsia="Calibri" w:cs="Arial"/>
                <w:sz w:val="20"/>
                <w:szCs w:val="20"/>
              </w:rPr>
            </w:pPr>
            <w:r>
              <w:rPr>
                <w:rFonts w:eastAsia="Calibri" w:cs="Arial"/>
                <w:sz w:val="20"/>
                <w:szCs w:val="20"/>
              </w:rPr>
              <w:t>2</w:t>
            </w:r>
          </w:p>
        </w:tc>
        <w:tc>
          <w:tcPr>
            <w:tcW w:w="1701" w:type="dxa"/>
          </w:tcPr>
          <w:p w14:paraId="4E02D047" w14:textId="681FB369" w:rsidR="00995EAD" w:rsidRDefault="00995EAD" w:rsidP="00995EAD">
            <w:pPr>
              <w:spacing w:beforeLines="40" w:before="96" w:afterLines="40" w:after="96"/>
              <w:rPr>
                <w:sz w:val="20"/>
                <w:szCs w:val="20"/>
              </w:rPr>
            </w:pPr>
            <w:r>
              <w:rPr>
                <w:sz w:val="20"/>
                <w:szCs w:val="20"/>
              </w:rPr>
              <w:t xml:space="preserve">1590 (23.2) </w:t>
            </w:r>
          </w:p>
        </w:tc>
        <w:tc>
          <w:tcPr>
            <w:tcW w:w="1701" w:type="dxa"/>
          </w:tcPr>
          <w:p w14:paraId="5CFD0769" w14:textId="2332A647" w:rsidR="00995EAD" w:rsidRDefault="00995EAD" w:rsidP="00995EAD">
            <w:pPr>
              <w:spacing w:beforeLines="40" w:before="96" w:afterLines="40" w:after="96"/>
              <w:rPr>
                <w:sz w:val="20"/>
                <w:szCs w:val="20"/>
              </w:rPr>
            </w:pPr>
            <w:r>
              <w:rPr>
                <w:sz w:val="20"/>
                <w:szCs w:val="20"/>
              </w:rPr>
              <w:t xml:space="preserve">3284 (23.9) </w:t>
            </w:r>
          </w:p>
        </w:tc>
        <w:tc>
          <w:tcPr>
            <w:tcW w:w="1701" w:type="dxa"/>
          </w:tcPr>
          <w:p w14:paraId="72123C41" w14:textId="6921B12E" w:rsidR="00995EAD" w:rsidRDefault="00995EAD" w:rsidP="00995EAD">
            <w:pPr>
              <w:spacing w:beforeLines="40" w:before="96" w:afterLines="40" w:after="96"/>
              <w:rPr>
                <w:sz w:val="20"/>
                <w:szCs w:val="20"/>
              </w:rPr>
            </w:pPr>
            <w:r>
              <w:rPr>
                <w:sz w:val="20"/>
                <w:szCs w:val="20"/>
              </w:rPr>
              <w:t xml:space="preserve">4874 (23.7) </w:t>
            </w:r>
          </w:p>
        </w:tc>
        <w:tc>
          <w:tcPr>
            <w:tcW w:w="992" w:type="dxa"/>
            <w:tcBorders>
              <w:bottom w:val="single" w:sz="4" w:space="0" w:color="auto"/>
            </w:tcBorders>
            <w:vAlign w:val="center"/>
          </w:tcPr>
          <w:p w14:paraId="409E8625" w14:textId="77777777" w:rsidR="00995EAD" w:rsidRPr="00613E10" w:rsidRDefault="00995EAD" w:rsidP="00995EAD">
            <w:pPr>
              <w:spacing w:beforeLines="40" w:before="96" w:afterLines="40" w:after="96"/>
              <w:rPr>
                <w:rFonts w:eastAsia="Calibri" w:cs="Arial"/>
                <w:sz w:val="20"/>
                <w:szCs w:val="20"/>
              </w:rPr>
            </w:pPr>
          </w:p>
        </w:tc>
        <w:tc>
          <w:tcPr>
            <w:tcW w:w="1701" w:type="dxa"/>
          </w:tcPr>
          <w:p w14:paraId="1C8D0F16" w14:textId="4C97252D" w:rsidR="00995EAD" w:rsidRDefault="00995EAD" w:rsidP="00995EAD">
            <w:pPr>
              <w:spacing w:beforeLines="40" w:before="96" w:afterLines="40" w:after="96"/>
              <w:rPr>
                <w:sz w:val="20"/>
                <w:szCs w:val="20"/>
              </w:rPr>
            </w:pPr>
            <w:r>
              <w:rPr>
                <w:sz w:val="20"/>
                <w:szCs w:val="20"/>
              </w:rPr>
              <w:t xml:space="preserve">262 (23.0) </w:t>
            </w:r>
          </w:p>
        </w:tc>
        <w:tc>
          <w:tcPr>
            <w:tcW w:w="1701" w:type="dxa"/>
          </w:tcPr>
          <w:p w14:paraId="6A888A11" w14:textId="5D7A05AA" w:rsidR="00995EAD" w:rsidRDefault="00995EAD" w:rsidP="00995EAD">
            <w:pPr>
              <w:spacing w:beforeLines="40" w:before="96" w:afterLines="40" w:after="96"/>
              <w:rPr>
                <w:sz w:val="20"/>
                <w:szCs w:val="20"/>
              </w:rPr>
            </w:pPr>
            <w:r>
              <w:rPr>
                <w:sz w:val="20"/>
                <w:szCs w:val="20"/>
              </w:rPr>
              <w:t xml:space="preserve">1328 (23.2) </w:t>
            </w:r>
          </w:p>
        </w:tc>
        <w:tc>
          <w:tcPr>
            <w:tcW w:w="1701" w:type="dxa"/>
            <w:vAlign w:val="center"/>
          </w:tcPr>
          <w:p w14:paraId="1325AE88" w14:textId="2D382E30" w:rsidR="00995EAD" w:rsidRPr="000D3330" w:rsidRDefault="00995EAD" w:rsidP="00995EAD">
            <w:pPr>
              <w:spacing w:beforeLines="40" w:before="96" w:afterLines="40" w:after="96"/>
              <w:rPr>
                <w:rFonts w:eastAsia="Calibri" w:cs="Arial"/>
                <w:sz w:val="20"/>
                <w:szCs w:val="20"/>
              </w:rPr>
            </w:pPr>
            <w:r w:rsidRPr="003F21F9">
              <w:rPr>
                <w:rFonts w:eastAsia="Calibri" w:cs="Arial"/>
                <w:sz w:val="20"/>
                <w:szCs w:val="20"/>
              </w:rPr>
              <w:t>1590 (23.2)</w:t>
            </w:r>
          </w:p>
        </w:tc>
        <w:tc>
          <w:tcPr>
            <w:tcW w:w="992" w:type="dxa"/>
            <w:tcBorders>
              <w:bottom w:val="single" w:sz="4" w:space="0" w:color="auto"/>
            </w:tcBorders>
            <w:vAlign w:val="center"/>
          </w:tcPr>
          <w:p w14:paraId="27A550A7" w14:textId="77777777" w:rsidR="00995EAD" w:rsidRPr="00613E10" w:rsidRDefault="00995EAD" w:rsidP="00995EAD">
            <w:pPr>
              <w:spacing w:beforeLines="40" w:before="96" w:afterLines="40" w:after="96"/>
              <w:rPr>
                <w:rFonts w:eastAsia="Calibri" w:cs="Arial"/>
                <w:sz w:val="20"/>
                <w:szCs w:val="20"/>
              </w:rPr>
            </w:pPr>
          </w:p>
        </w:tc>
      </w:tr>
      <w:tr w:rsidR="00995EAD" w:rsidRPr="00613E10" w14:paraId="2925F613" w14:textId="77777777" w:rsidTr="000D3330">
        <w:trPr>
          <w:cantSplit/>
          <w:trHeight w:val="20"/>
        </w:trPr>
        <w:tc>
          <w:tcPr>
            <w:tcW w:w="2978" w:type="dxa"/>
            <w:tcBorders>
              <w:bottom w:val="single" w:sz="4" w:space="0" w:color="auto"/>
            </w:tcBorders>
            <w:vAlign w:val="center"/>
          </w:tcPr>
          <w:p w14:paraId="677A365D" w14:textId="01B8464E" w:rsidR="00995EAD" w:rsidRDefault="00995EAD" w:rsidP="00995EAD">
            <w:pPr>
              <w:spacing w:beforeLines="40" w:before="96" w:afterLines="40" w:after="96"/>
              <w:ind w:left="320"/>
              <w:rPr>
                <w:rFonts w:eastAsia="Calibri" w:cs="Arial"/>
                <w:sz w:val="20"/>
                <w:szCs w:val="20"/>
              </w:rPr>
            </w:pPr>
            <w:r>
              <w:rPr>
                <w:rFonts w:eastAsia="Calibri" w:cs="Arial"/>
                <w:sz w:val="20"/>
                <w:szCs w:val="20"/>
              </w:rPr>
              <w:t>3</w:t>
            </w:r>
          </w:p>
        </w:tc>
        <w:tc>
          <w:tcPr>
            <w:tcW w:w="1701" w:type="dxa"/>
          </w:tcPr>
          <w:p w14:paraId="56848ABA" w14:textId="5F50C2B3" w:rsidR="00995EAD" w:rsidRDefault="00995EAD" w:rsidP="00995EAD">
            <w:pPr>
              <w:spacing w:beforeLines="40" w:before="96" w:afterLines="40" w:after="96"/>
              <w:rPr>
                <w:sz w:val="20"/>
                <w:szCs w:val="20"/>
              </w:rPr>
            </w:pPr>
            <w:r>
              <w:rPr>
                <w:sz w:val="20"/>
                <w:szCs w:val="20"/>
              </w:rPr>
              <w:t xml:space="preserve">1396 (20.3) </w:t>
            </w:r>
          </w:p>
        </w:tc>
        <w:tc>
          <w:tcPr>
            <w:tcW w:w="1701" w:type="dxa"/>
          </w:tcPr>
          <w:p w14:paraId="35CAEA2C" w14:textId="384A3002" w:rsidR="00995EAD" w:rsidRDefault="00995EAD" w:rsidP="00995EAD">
            <w:pPr>
              <w:spacing w:beforeLines="40" w:before="96" w:afterLines="40" w:after="96"/>
              <w:rPr>
                <w:sz w:val="20"/>
                <w:szCs w:val="20"/>
              </w:rPr>
            </w:pPr>
            <w:r>
              <w:rPr>
                <w:sz w:val="20"/>
                <w:szCs w:val="20"/>
              </w:rPr>
              <w:t xml:space="preserve">2892 (21.1) </w:t>
            </w:r>
          </w:p>
        </w:tc>
        <w:tc>
          <w:tcPr>
            <w:tcW w:w="1701" w:type="dxa"/>
          </w:tcPr>
          <w:p w14:paraId="44866357" w14:textId="1120948C" w:rsidR="00995EAD" w:rsidRDefault="00995EAD" w:rsidP="00995EAD">
            <w:pPr>
              <w:spacing w:beforeLines="40" w:before="96" w:afterLines="40" w:after="96"/>
              <w:rPr>
                <w:sz w:val="20"/>
                <w:szCs w:val="20"/>
              </w:rPr>
            </w:pPr>
            <w:r>
              <w:rPr>
                <w:sz w:val="20"/>
                <w:szCs w:val="20"/>
              </w:rPr>
              <w:t xml:space="preserve">4288 (20.8) </w:t>
            </w:r>
          </w:p>
        </w:tc>
        <w:tc>
          <w:tcPr>
            <w:tcW w:w="992" w:type="dxa"/>
            <w:tcBorders>
              <w:bottom w:val="single" w:sz="4" w:space="0" w:color="auto"/>
            </w:tcBorders>
            <w:vAlign w:val="center"/>
          </w:tcPr>
          <w:p w14:paraId="729DD3C6" w14:textId="77777777" w:rsidR="00995EAD" w:rsidRPr="00613E10" w:rsidRDefault="00995EAD" w:rsidP="00995EAD">
            <w:pPr>
              <w:spacing w:beforeLines="40" w:before="96" w:afterLines="40" w:after="96"/>
              <w:rPr>
                <w:rFonts w:eastAsia="Calibri" w:cs="Arial"/>
                <w:sz w:val="20"/>
                <w:szCs w:val="20"/>
              </w:rPr>
            </w:pPr>
          </w:p>
        </w:tc>
        <w:tc>
          <w:tcPr>
            <w:tcW w:w="1701" w:type="dxa"/>
          </w:tcPr>
          <w:p w14:paraId="2BD24499" w14:textId="29EF6DD7" w:rsidR="00995EAD" w:rsidRDefault="00995EAD" w:rsidP="00995EAD">
            <w:pPr>
              <w:spacing w:beforeLines="40" w:before="96" w:afterLines="40" w:after="96"/>
              <w:rPr>
                <w:sz w:val="20"/>
                <w:szCs w:val="20"/>
              </w:rPr>
            </w:pPr>
            <w:r>
              <w:rPr>
                <w:sz w:val="20"/>
                <w:szCs w:val="20"/>
              </w:rPr>
              <w:t xml:space="preserve">215 (18.9) </w:t>
            </w:r>
          </w:p>
        </w:tc>
        <w:tc>
          <w:tcPr>
            <w:tcW w:w="1701" w:type="dxa"/>
          </w:tcPr>
          <w:p w14:paraId="3C9E6A30" w14:textId="6155A6AC" w:rsidR="00995EAD" w:rsidRDefault="00995EAD" w:rsidP="00995EAD">
            <w:pPr>
              <w:spacing w:beforeLines="40" w:before="96" w:afterLines="40" w:after="96"/>
              <w:rPr>
                <w:sz w:val="20"/>
                <w:szCs w:val="20"/>
              </w:rPr>
            </w:pPr>
            <w:r>
              <w:rPr>
                <w:sz w:val="20"/>
                <w:szCs w:val="20"/>
              </w:rPr>
              <w:t xml:space="preserve">1181 (20.6) </w:t>
            </w:r>
          </w:p>
        </w:tc>
        <w:tc>
          <w:tcPr>
            <w:tcW w:w="1701" w:type="dxa"/>
            <w:tcBorders>
              <w:bottom w:val="single" w:sz="4" w:space="0" w:color="auto"/>
            </w:tcBorders>
            <w:vAlign w:val="center"/>
          </w:tcPr>
          <w:p w14:paraId="245C8DA7" w14:textId="2DE7FEF5" w:rsidR="00995EAD" w:rsidRPr="000D3330" w:rsidRDefault="00995EAD" w:rsidP="00995EAD">
            <w:pPr>
              <w:spacing w:beforeLines="40" w:before="96" w:afterLines="40" w:after="96"/>
              <w:rPr>
                <w:rFonts w:eastAsia="Calibri" w:cs="Arial"/>
                <w:sz w:val="20"/>
                <w:szCs w:val="20"/>
              </w:rPr>
            </w:pPr>
            <w:r w:rsidRPr="003F21F9">
              <w:rPr>
                <w:rFonts w:eastAsia="Calibri" w:cs="Arial"/>
                <w:sz w:val="20"/>
                <w:szCs w:val="20"/>
              </w:rPr>
              <w:t>1396 (20.3)</w:t>
            </w:r>
          </w:p>
        </w:tc>
        <w:tc>
          <w:tcPr>
            <w:tcW w:w="992" w:type="dxa"/>
            <w:tcBorders>
              <w:bottom w:val="single" w:sz="4" w:space="0" w:color="auto"/>
            </w:tcBorders>
            <w:vAlign w:val="center"/>
          </w:tcPr>
          <w:p w14:paraId="0DB30DD2" w14:textId="77777777" w:rsidR="00995EAD" w:rsidRPr="00613E10" w:rsidRDefault="00995EAD" w:rsidP="00995EAD">
            <w:pPr>
              <w:spacing w:beforeLines="40" w:before="96" w:afterLines="40" w:after="96"/>
              <w:rPr>
                <w:rFonts w:eastAsia="Calibri" w:cs="Arial"/>
                <w:sz w:val="20"/>
                <w:szCs w:val="20"/>
              </w:rPr>
            </w:pPr>
          </w:p>
        </w:tc>
      </w:tr>
      <w:tr w:rsidR="00995EAD" w:rsidRPr="00613E10" w14:paraId="0EE66FE5" w14:textId="77777777" w:rsidTr="000D3330">
        <w:trPr>
          <w:cantSplit/>
          <w:trHeight w:val="20"/>
        </w:trPr>
        <w:tc>
          <w:tcPr>
            <w:tcW w:w="2978" w:type="dxa"/>
            <w:tcBorders>
              <w:bottom w:val="single" w:sz="4" w:space="0" w:color="auto"/>
            </w:tcBorders>
            <w:vAlign w:val="center"/>
          </w:tcPr>
          <w:p w14:paraId="6B89D732" w14:textId="156DC873" w:rsidR="00995EAD" w:rsidRDefault="00995EAD" w:rsidP="00995EAD">
            <w:pPr>
              <w:spacing w:beforeLines="40" w:before="96" w:afterLines="40" w:after="96"/>
              <w:ind w:left="320"/>
              <w:rPr>
                <w:rFonts w:eastAsia="Calibri" w:cs="Arial"/>
                <w:sz w:val="20"/>
                <w:szCs w:val="20"/>
              </w:rPr>
            </w:pPr>
            <w:r>
              <w:rPr>
                <w:rFonts w:eastAsia="Calibri" w:cs="Arial"/>
                <w:sz w:val="20"/>
                <w:szCs w:val="20"/>
              </w:rPr>
              <w:t>4</w:t>
            </w:r>
          </w:p>
        </w:tc>
        <w:tc>
          <w:tcPr>
            <w:tcW w:w="1701" w:type="dxa"/>
          </w:tcPr>
          <w:p w14:paraId="22119878" w14:textId="382CDB1D" w:rsidR="00995EAD" w:rsidRDefault="00995EAD" w:rsidP="00995EAD">
            <w:pPr>
              <w:spacing w:beforeLines="40" w:before="96" w:afterLines="40" w:after="96"/>
              <w:rPr>
                <w:sz w:val="20"/>
                <w:szCs w:val="20"/>
              </w:rPr>
            </w:pPr>
            <w:r>
              <w:rPr>
                <w:sz w:val="20"/>
                <w:szCs w:val="20"/>
              </w:rPr>
              <w:t xml:space="preserve">1416 (20.6) </w:t>
            </w:r>
          </w:p>
        </w:tc>
        <w:tc>
          <w:tcPr>
            <w:tcW w:w="1701" w:type="dxa"/>
          </w:tcPr>
          <w:p w14:paraId="1812FE73" w14:textId="2BDEC6C5" w:rsidR="00995EAD" w:rsidRDefault="00995EAD" w:rsidP="00995EAD">
            <w:pPr>
              <w:spacing w:beforeLines="40" w:before="96" w:afterLines="40" w:after="96"/>
              <w:rPr>
                <w:sz w:val="20"/>
                <w:szCs w:val="20"/>
              </w:rPr>
            </w:pPr>
            <w:r>
              <w:rPr>
                <w:sz w:val="20"/>
                <w:szCs w:val="20"/>
              </w:rPr>
              <w:t xml:space="preserve">2586 (18.8) </w:t>
            </w:r>
          </w:p>
        </w:tc>
        <w:tc>
          <w:tcPr>
            <w:tcW w:w="1701" w:type="dxa"/>
          </w:tcPr>
          <w:p w14:paraId="2BB846DD" w14:textId="1C7C483D" w:rsidR="00995EAD" w:rsidRDefault="00995EAD" w:rsidP="00995EAD">
            <w:pPr>
              <w:spacing w:beforeLines="40" w:before="96" w:afterLines="40" w:after="96"/>
              <w:rPr>
                <w:sz w:val="20"/>
                <w:szCs w:val="20"/>
              </w:rPr>
            </w:pPr>
            <w:r>
              <w:rPr>
                <w:sz w:val="20"/>
                <w:szCs w:val="20"/>
              </w:rPr>
              <w:t xml:space="preserve">4002 (19.4) </w:t>
            </w:r>
          </w:p>
        </w:tc>
        <w:tc>
          <w:tcPr>
            <w:tcW w:w="992" w:type="dxa"/>
            <w:tcBorders>
              <w:bottom w:val="single" w:sz="4" w:space="0" w:color="auto"/>
            </w:tcBorders>
            <w:vAlign w:val="center"/>
          </w:tcPr>
          <w:p w14:paraId="578351E4" w14:textId="77777777" w:rsidR="00995EAD" w:rsidRPr="00613E10" w:rsidRDefault="00995EAD" w:rsidP="00995EAD">
            <w:pPr>
              <w:spacing w:beforeLines="40" w:before="96" w:afterLines="40" w:after="96"/>
              <w:rPr>
                <w:rFonts w:eastAsia="Calibri" w:cs="Arial"/>
                <w:sz w:val="20"/>
                <w:szCs w:val="20"/>
              </w:rPr>
            </w:pPr>
          </w:p>
        </w:tc>
        <w:tc>
          <w:tcPr>
            <w:tcW w:w="1701" w:type="dxa"/>
          </w:tcPr>
          <w:p w14:paraId="63E98E37" w14:textId="66EC0960" w:rsidR="00995EAD" w:rsidRDefault="00995EAD" w:rsidP="00995EAD">
            <w:pPr>
              <w:spacing w:beforeLines="40" w:before="96" w:afterLines="40" w:after="96"/>
              <w:rPr>
                <w:sz w:val="20"/>
                <w:szCs w:val="20"/>
              </w:rPr>
            </w:pPr>
            <w:r>
              <w:rPr>
                <w:sz w:val="20"/>
                <w:szCs w:val="20"/>
              </w:rPr>
              <w:t xml:space="preserve">237 (20.8) </w:t>
            </w:r>
          </w:p>
        </w:tc>
        <w:tc>
          <w:tcPr>
            <w:tcW w:w="1701" w:type="dxa"/>
          </w:tcPr>
          <w:p w14:paraId="1201AD86" w14:textId="08309114" w:rsidR="00995EAD" w:rsidRDefault="00995EAD" w:rsidP="00995EAD">
            <w:pPr>
              <w:spacing w:beforeLines="40" w:before="96" w:afterLines="40" w:after="96"/>
              <w:rPr>
                <w:sz w:val="20"/>
                <w:szCs w:val="20"/>
              </w:rPr>
            </w:pPr>
            <w:r>
              <w:rPr>
                <w:sz w:val="20"/>
                <w:szCs w:val="20"/>
              </w:rPr>
              <w:t xml:space="preserve">1179 (20.6) </w:t>
            </w:r>
          </w:p>
        </w:tc>
        <w:tc>
          <w:tcPr>
            <w:tcW w:w="1701" w:type="dxa"/>
            <w:tcBorders>
              <w:bottom w:val="single" w:sz="4" w:space="0" w:color="auto"/>
            </w:tcBorders>
            <w:vAlign w:val="center"/>
          </w:tcPr>
          <w:p w14:paraId="656AA37A" w14:textId="4A3A60A4" w:rsidR="00995EAD" w:rsidRPr="000D3330" w:rsidRDefault="00995EAD" w:rsidP="00995EAD">
            <w:pPr>
              <w:spacing w:beforeLines="40" w:before="96" w:afterLines="40" w:after="96"/>
              <w:rPr>
                <w:rFonts w:eastAsia="Calibri" w:cs="Arial"/>
                <w:sz w:val="20"/>
                <w:szCs w:val="20"/>
              </w:rPr>
            </w:pPr>
            <w:r w:rsidRPr="003F21F9">
              <w:rPr>
                <w:rFonts w:eastAsia="Calibri" w:cs="Arial"/>
                <w:sz w:val="20"/>
                <w:szCs w:val="20"/>
              </w:rPr>
              <w:t>1416 (20.6)</w:t>
            </w:r>
          </w:p>
        </w:tc>
        <w:tc>
          <w:tcPr>
            <w:tcW w:w="992" w:type="dxa"/>
            <w:tcBorders>
              <w:bottom w:val="single" w:sz="4" w:space="0" w:color="auto"/>
            </w:tcBorders>
            <w:vAlign w:val="center"/>
          </w:tcPr>
          <w:p w14:paraId="470E6932" w14:textId="77777777" w:rsidR="00995EAD" w:rsidRPr="00613E10" w:rsidRDefault="00995EAD" w:rsidP="00995EAD">
            <w:pPr>
              <w:spacing w:beforeLines="40" w:before="96" w:afterLines="40" w:after="96"/>
              <w:rPr>
                <w:rFonts w:eastAsia="Calibri" w:cs="Arial"/>
                <w:sz w:val="20"/>
                <w:szCs w:val="20"/>
              </w:rPr>
            </w:pPr>
          </w:p>
        </w:tc>
      </w:tr>
      <w:tr w:rsidR="00995EAD" w:rsidRPr="00613E10" w14:paraId="4F9DD239" w14:textId="77777777" w:rsidTr="000D3330">
        <w:trPr>
          <w:cantSplit/>
          <w:trHeight w:val="20"/>
        </w:trPr>
        <w:tc>
          <w:tcPr>
            <w:tcW w:w="2978" w:type="dxa"/>
            <w:tcBorders>
              <w:bottom w:val="single" w:sz="4" w:space="0" w:color="auto"/>
            </w:tcBorders>
            <w:vAlign w:val="center"/>
          </w:tcPr>
          <w:p w14:paraId="516EBF89" w14:textId="2FAF9A67" w:rsidR="00995EAD" w:rsidRDefault="00995EAD" w:rsidP="00995EAD">
            <w:pPr>
              <w:spacing w:beforeLines="40" w:before="96" w:afterLines="40" w:after="96"/>
              <w:ind w:left="320"/>
              <w:rPr>
                <w:rFonts w:eastAsia="Calibri" w:cs="Arial"/>
                <w:sz w:val="20"/>
                <w:szCs w:val="20"/>
              </w:rPr>
            </w:pPr>
            <w:r>
              <w:rPr>
                <w:rFonts w:eastAsia="Calibri" w:cs="Arial"/>
                <w:sz w:val="20"/>
                <w:szCs w:val="20"/>
              </w:rPr>
              <w:t>5</w:t>
            </w:r>
          </w:p>
        </w:tc>
        <w:tc>
          <w:tcPr>
            <w:tcW w:w="1701" w:type="dxa"/>
          </w:tcPr>
          <w:p w14:paraId="20B6C86F" w14:textId="3C9A4C25" w:rsidR="00995EAD" w:rsidRDefault="00995EAD" w:rsidP="00995EAD">
            <w:pPr>
              <w:spacing w:beforeLines="40" w:before="96" w:afterLines="40" w:after="96"/>
              <w:rPr>
                <w:sz w:val="20"/>
                <w:szCs w:val="20"/>
              </w:rPr>
            </w:pPr>
            <w:r>
              <w:rPr>
                <w:sz w:val="20"/>
                <w:szCs w:val="20"/>
              </w:rPr>
              <w:t xml:space="preserve">1249 (18.2) </w:t>
            </w:r>
          </w:p>
        </w:tc>
        <w:tc>
          <w:tcPr>
            <w:tcW w:w="1701" w:type="dxa"/>
          </w:tcPr>
          <w:p w14:paraId="1F33FFC0" w14:textId="0667F5BF" w:rsidR="00995EAD" w:rsidRDefault="00995EAD" w:rsidP="00995EAD">
            <w:pPr>
              <w:spacing w:beforeLines="40" w:before="96" w:afterLines="40" w:after="96"/>
              <w:rPr>
                <w:sz w:val="20"/>
                <w:szCs w:val="20"/>
              </w:rPr>
            </w:pPr>
            <w:r>
              <w:rPr>
                <w:sz w:val="20"/>
                <w:szCs w:val="20"/>
              </w:rPr>
              <w:t xml:space="preserve">2151 (15.7) </w:t>
            </w:r>
          </w:p>
        </w:tc>
        <w:tc>
          <w:tcPr>
            <w:tcW w:w="1701" w:type="dxa"/>
          </w:tcPr>
          <w:p w14:paraId="28E72FC9" w14:textId="5D4B4CBE" w:rsidR="00995EAD" w:rsidRDefault="00995EAD" w:rsidP="00995EAD">
            <w:pPr>
              <w:spacing w:beforeLines="40" w:before="96" w:afterLines="40" w:after="96"/>
              <w:rPr>
                <w:sz w:val="20"/>
                <w:szCs w:val="20"/>
              </w:rPr>
            </w:pPr>
            <w:r>
              <w:rPr>
                <w:sz w:val="20"/>
                <w:szCs w:val="20"/>
              </w:rPr>
              <w:t xml:space="preserve">3400 (16.5) </w:t>
            </w:r>
          </w:p>
        </w:tc>
        <w:tc>
          <w:tcPr>
            <w:tcW w:w="992" w:type="dxa"/>
            <w:tcBorders>
              <w:bottom w:val="single" w:sz="4" w:space="0" w:color="auto"/>
            </w:tcBorders>
            <w:vAlign w:val="center"/>
          </w:tcPr>
          <w:p w14:paraId="4820ECFD" w14:textId="77777777" w:rsidR="00995EAD" w:rsidRPr="00613E10" w:rsidRDefault="00995EAD" w:rsidP="00995EAD">
            <w:pPr>
              <w:spacing w:beforeLines="40" w:before="96" w:afterLines="40" w:after="96"/>
              <w:rPr>
                <w:rFonts w:eastAsia="Calibri" w:cs="Arial"/>
                <w:sz w:val="20"/>
                <w:szCs w:val="20"/>
              </w:rPr>
            </w:pPr>
          </w:p>
        </w:tc>
        <w:tc>
          <w:tcPr>
            <w:tcW w:w="1701" w:type="dxa"/>
          </w:tcPr>
          <w:p w14:paraId="32307DE1" w14:textId="2CCC033F" w:rsidR="00995EAD" w:rsidRDefault="00995EAD" w:rsidP="00995EAD">
            <w:pPr>
              <w:spacing w:beforeLines="40" w:before="96" w:afterLines="40" w:after="96"/>
              <w:rPr>
                <w:sz w:val="20"/>
                <w:szCs w:val="20"/>
              </w:rPr>
            </w:pPr>
            <w:r>
              <w:rPr>
                <w:sz w:val="20"/>
                <w:szCs w:val="20"/>
              </w:rPr>
              <w:t xml:space="preserve">215 (18.9) </w:t>
            </w:r>
          </w:p>
        </w:tc>
        <w:tc>
          <w:tcPr>
            <w:tcW w:w="1701" w:type="dxa"/>
          </w:tcPr>
          <w:p w14:paraId="0959DDA9" w14:textId="29A542C8" w:rsidR="00995EAD" w:rsidRDefault="00995EAD" w:rsidP="00995EAD">
            <w:pPr>
              <w:spacing w:beforeLines="40" w:before="96" w:afterLines="40" w:after="96"/>
              <w:rPr>
                <w:sz w:val="20"/>
                <w:szCs w:val="20"/>
              </w:rPr>
            </w:pPr>
            <w:r>
              <w:rPr>
                <w:sz w:val="20"/>
                <w:szCs w:val="20"/>
              </w:rPr>
              <w:t xml:space="preserve">1034 (18.1) </w:t>
            </w:r>
          </w:p>
        </w:tc>
        <w:tc>
          <w:tcPr>
            <w:tcW w:w="1701" w:type="dxa"/>
            <w:tcBorders>
              <w:bottom w:val="single" w:sz="4" w:space="0" w:color="auto"/>
            </w:tcBorders>
            <w:vAlign w:val="center"/>
          </w:tcPr>
          <w:p w14:paraId="5799435B" w14:textId="43FFC3A7" w:rsidR="00995EAD" w:rsidRPr="000D3330" w:rsidRDefault="00995EAD" w:rsidP="00995EAD">
            <w:pPr>
              <w:spacing w:beforeLines="40" w:before="96" w:afterLines="40" w:after="96"/>
              <w:rPr>
                <w:rFonts w:eastAsia="Calibri" w:cs="Arial"/>
                <w:sz w:val="20"/>
                <w:szCs w:val="20"/>
              </w:rPr>
            </w:pPr>
            <w:r w:rsidRPr="003F21F9">
              <w:rPr>
                <w:rFonts w:eastAsia="Calibri" w:cs="Arial"/>
                <w:sz w:val="20"/>
                <w:szCs w:val="20"/>
              </w:rPr>
              <w:t>1249 (18.2)</w:t>
            </w:r>
          </w:p>
        </w:tc>
        <w:tc>
          <w:tcPr>
            <w:tcW w:w="992" w:type="dxa"/>
            <w:tcBorders>
              <w:bottom w:val="single" w:sz="4" w:space="0" w:color="auto"/>
            </w:tcBorders>
            <w:vAlign w:val="center"/>
          </w:tcPr>
          <w:p w14:paraId="2DB9E548" w14:textId="77777777" w:rsidR="00995EAD" w:rsidRPr="00613E10" w:rsidRDefault="00995EAD" w:rsidP="00995EAD">
            <w:pPr>
              <w:spacing w:beforeLines="40" w:before="96" w:afterLines="40" w:after="96"/>
              <w:rPr>
                <w:rFonts w:eastAsia="Calibri" w:cs="Arial"/>
                <w:sz w:val="20"/>
                <w:szCs w:val="20"/>
              </w:rPr>
            </w:pPr>
          </w:p>
        </w:tc>
      </w:tr>
      <w:tr w:rsidR="00995EAD" w:rsidRPr="00613E10" w14:paraId="02169265" w14:textId="77777777" w:rsidTr="000D3330">
        <w:trPr>
          <w:cantSplit/>
          <w:trHeight w:val="20"/>
        </w:trPr>
        <w:tc>
          <w:tcPr>
            <w:tcW w:w="2978" w:type="dxa"/>
            <w:tcBorders>
              <w:bottom w:val="single" w:sz="4" w:space="0" w:color="auto"/>
            </w:tcBorders>
            <w:vAlign w:val="center"/>
          </w:tcPr>
          <w:p w14:paraId="68BBF2FD" w14:textId="14BBADF5" w:rsidR="00995EAD" w:rsidRDefault="00995EAD" w:rsidP="00995EAD">
            <w:pPr>
              <w:spacing w:beforeLines="40" w:before="96" w:afterLines="40" w:after="96"/>
              <w:ind w:left="320"/>
              <w:rPr>
                <w:rFonts w:eastAsia="Calibri" w:cs="Arial"/>
                <w:sz w:val="20"/>
                <w:szCs w:val="20"/>
              </w:rPr>
            </w:pPr>
            <w:r>
              <w:rPr>
                <w:rFonts w:eastAsia="Calibri" w:cs="Arial"/>
                <w:sz w:val="20"/>
                <w:szCs w:val="20"/>
              </w:rPr>
              <w:t>Missing</w:t>
            </w:r>
          </w:p>
        </w:tc>
        <w:tc>
          <w:tcPr>
            <w:tcW w:w="1701" w:type="dxa"/>
          </w:tcPr>
          <w:p w14:paraId="0D65CFC5" w14:textId="4601C512" w:rsidR="00995EAD" w:rsidRDefault="00995EAD" w:rsidP="00995EAD">
            <w:pPr>
              <w:spacing w:beforeLines="40" w:before="96" w:afterLines="40" w:after="96"/>
              <w:rPr>
                <w:sz w:val="20"/>
                <w:szCs w:val="20"/>
              </w:rPr>
            </w:pPr>
            <w:r>
              <w:rPr>
                <w:sz w:val="20"/>
                <w:szCs w:val="20"/>
              </w:rPr>
              <w:t xml:space="preserve">11 (0.2) </w:t>
            </w:r>
          </w:p>
        </w:tc>
        <w:tc>
          <w:tcPr>
            <w:tcW w:w="1701" w:type="dxa"/>
          </w:tcPr>
          <w:p w14:paraId="15E075B6" w14:textId="4CF2107D" w:rsidR="00995EAD" w:rsidRDefault="00995EAD" w:rsidP="00995EAD">
            <w:pPr>
              <w:spacing w:beforeLines="40" w:before="96" w:afterLines="40" w:after="96"/>
              <w:rPr>
                <w:sz w:val="20"/>
                <w:szCs w:val="20"/>
              </w:rPr>
            </w:pPr>
            <w:r>
              <w:rPr>
                <w:sz w:val="20"/>
                <w:szCs w:val="20"/>
              </w:rPr>
              <w:t xml:space="preserve">24 (0.2) </w:t>
            </w:r>
          </w:p>
        </w:tc>
        <w:tc>
          <w:tcPr>
            <w:tcW w:w="1701" w:type="dxa"/>
          </w:tcPr>
          <w:p w14:paraId="5F1082FC" w14:textId="7D6F7A27" w:rsidR="00995EAD" w:rsidRDefault="00995EAD" w:rsidP="00995EAD">
            <w:pPr>
              <w:spacing w:beforeLines="40" w:before="96" w:afterLines="40" w:after="96"/>
              <w:rPr>
                <w:sz w:val="20"/>
                <w:szCs w:val="20"/>
              </w:rPr>
            </w:pPr>
            <w:r>
              <w:rPr>
                <w:sz w:val="20"/>
                <w:szCs w:val="20"/>
              </w:rPr>
              <w:t xml:space="preserve">35 (0.2) </w:t>
            </w:r>
          </w:p>
        </w:tc>
        <w:tc>
          <w:tcPr>
            <w:tcW w:w="992" w:type="dxa"/>
            <w:tcBorders>
              <w:bottom w:val="single" w:sz="4" w:space="0" w:color="auto"/>
            </w:tcBorders>
            <w:vAlign w:val="center"/>
          </w:tcPr>
          <w:p w14:paraId="177DDC69" w14:textId="77777777" w:rsidR="00995EAD" w:rsidRPr="00613E10" w:rsidRDefault="00995EAD" w:rsidP="00995EAD">
            <w:pPr>
              <w:spacing w:beforeLines="40" w:before="96" w:afterLines="40" w:after="96"/>
              <w:rPr>
                <w:rFonts w:eastAsia="Calibri" w:cs="Arial"/>
                <w:sz w:val="20"/>
                <w:szCs w:val="20"/>
              </w:rPr>
            </w:pPr>
          </w:p>
        </w:tc>
        <w:tc>
          <w:tcPr>
            <w:tcW w:w="1701" w:type="dxa"/>
          </w:tcPr>
          <w:p w14:paraId="527D59F9" w14:textId="38AE15D7" w:rsidR="00995EAD" w:rsidRDefault="00995EAD" w:rsidP="00995EAD">
            <w:pPr>
              <w:spacing w:beforeLines="40" w:before="96" w:afterLines="40" w:after="96"/>
              <w:rPr>
                <w:sz w:val="20"/>
                <w:szCs w:val="20"/>
              </w:rPr>
            </w:pPr>
            <w:r>
              <w:rPr>
                <w:sz w:val="20"/>
                <w:szCs w:val="20"/>
              </w:rPr>
              <w:t xml:space="preserve">1 (&lt;0.1) </w:t>
            </w:r>
          </w:p>
        </w:tc>
        <w:tc>
          <w:tcPr>
            <w:tcW w:w="1701" w:type="dxa"/>
          </w:tcPr>
          <w:p w14:paraId="2DF17748" w14:textId="0988B3B3" w:rsidR="00995EAD" w:rsidRDefault="00995EAD" w:rsidP="00995EAD">
            <w:pPr>
              <w:spacing w:beforeLines="40" w:before="96" w:afterLines="40" w:after="96"/>
              <w:rPr>
                <w:sz w:val="20"/>
                <w:szCs w:val="20"/>
              </w:rPr>
            </w:pPr>
            <w:r>
              <w:rPr>
                <w:sz w:val="20"/>
                <w:szCs w:val="20"/>
              </w:rPr>
              <w:t xml:space="preserve">10 (0.2) </w:t>
            </w:r>
          </w:p>
        </w:tc>
        <w:tc>
          <w:tcPr>
            <w:tcW w:w="1701" w:type="dxa"/>
            <w:tcBorders>
              <w:bottom w:val="single" w:sz="4" w:space="0" w:color="auto"/>
            </w:tcBorders>
            <w:vAlign w:val="center"/>
          </w:tcPr>
          <w:p w14:paraId="2379C61F" w14:textId="5C627E4B" w:rsidR="00995EAD" w:rsidRPr="000D3330" w:rsidRDefault="00995EAD" w:rsidP="00995EAD">
            <w:pPr>
              <w:spacing w:beforeLines="40" w:before="96" w:afterLines="40" w:after="96"/>
              <w:rPr>
                <w:rFonts w:eastAsia="Calibri" w:cs="Arial"/>
                <w:sz w:val="20"/>
                <w:szCs w:val="20"/>
              </w:rPr>
            </w:pPr>
            <w:r w:rsidRPr="003F21F9">
              <w:rPr>
                <w:rFonts w:eastAsia="Calibri" w:cs="Arial"/>
                <w:sz w:val="20"/>
                <w:szCs w:val="20"/>
              </w:rPr>
              <w:t>11 (0.2)</w:t>
            </w:r>
          </w:p>
        </w:tc>
        <w:tc>
          <w:tcPr>
            <w:tcW w:w="992" w:type="dxa"/>
            <w:tcBorders>
              <w:bottom w:val="single" w:sz="4" w:space="0" w:color="auto"/>
            </w:tcBorders>
            <w:vAlign w:val="center"/>
          </w:tcPr>
          <w:p w14:paraId="11B2593F" w14:textId="77777777" w:rsidR="00995EAD" w:rsidRPr="00613E10" w:rsidRDefault="00995EAD" w:rsidP="00995EAD">
            <w:pPr>
              <w:spacing w:beforeLines="40" w:before="96" w:afterLines="40" w:after="96"/>
              <w:rPr>
                <w:rFonts w:eastAsia="Calibri" w:cs="Arial"/>
                <w:sz w:val="20"/>
                <w:szCs w:val="20"/>
              </w:rPr>
            </w:pPr>
          </w:p>
        </w:tc>
      </w:tr>
      <w:tr w:rsidR="00995EAD" w:rsidRPr="00613E10" w14:paraId="1BCF6FFE" w14:textId="77777777" w:rsidTr="00D4325F">
        <w:trPr>
          <w:cantSplit/>
          <w:trHeight w:val="20"/>
        </w:trPr>
        <w:tc>
          <w:tcPr>
            <w:tcW w:w="2978" w:type="dxa"/>
            <w:tcBorders>
              <w:top w:val="single" w:sz="4" w:space="0" w:color="auto"/>
              <w:left w:val="single" w:sz="4" w:space="0" w:color="auto"/>
              <w:bottom w:val="single" w:sz="4" w:space="0" w:color="auto"/>
              <w:right w:val="nil"/>
            </w:tcBorders>
            <w:vAlign w:val="center"/>
          </w:tcPr>
          <w:p w14:paraId="1D916A37" w14:textId="77777777" w:rsidR="00995EAD" w:rsidRPr="00613E10" w:rsidRDefault="00995EAD" w:rsidP="00995EAD">
            <w:pPr>
              <w:spacing w:beforeLines="40" w:before="96" w:afterLines="40" w:after="96"/>
              <w:rPr>
                <w:rFonts w:eastAsia="Calibri" w:cs="Arial"/>
                <w:b/>
                <w:sz w:val="20"/>
                <w:szCs w:val="20"/>
              </w:rPr>
            </w:pPr>
            <w:r w:rsidRPr="00613E10">
              <w:rPr>
                <w:rFonts w:eastAsia="Calibri" w:cs="Arial"/>
                <w:b/>
                <w:sz w:val="20"/>
                <w:szCs w:val="20"/>
              </w:rPr>
              <w:lastRenderedPageBreak/>
              <w:t>Current or prior comorbidities</w:t>
            </w:r>
          </w:p>
        </w:tc>
        <w:tc>
          <w:tcPr>
            <w:tcW w:w="1701" w:type="dxa"/>
            <w:tcBorders>
              <w:top w:val="single" w:sz="4" w:space="0" w:color="auto"/>
              <w:left w:val="nil"/>
              <w:bottom w:val="single" w:sz="4" w:space="0" w:color="auto"/>
              <w:right w:val="nil"/>
            </w:tcBorders>
            <w:vAlign w:val="center"/>
          </w:tcPr>
          <w:p w14:paraId="6EA48463"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3877C3F3"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65A51006" w14:textId="77777777" w:rsidR="00995EAD" w:rsidRPr="00613E10" w:rsidRDefault="00995EAD" w:rsidP="00995EAD">
            <w:pPr>
              <w:spacing w:beforeLines="40" w:before="96" w:afterLines="40" w:after="96"/>
              <w:rPr>
                <w:rFonts w:eastAsia="Calibri" w:cs="Arial"/>
                <w:sz w:val="20"/>
                <w:szCs w:val="20"/>
              </w:rPr>
            </w:pPr>
          </w:p>
        </w:tc>
        <w:tc>
          <w:tcPr>
            <w:tcW w:w="992" w:type="dxa"/>
            <w:tcBorders>
              <w:top w:val="single" w:sz="4" w:space="0" w:color="auto"/>
              <w:left w:val="nil"/>
              <w:bottom w:val="single" w:sz="4" w:space="0" w:color="auto"/>
              <w:right w:val="nil"/>
            </w:tcBorders>
            <w:vAlign w:val="center"/>
          </w:tcPr>
          <w:p w14:paraId="0864B2B7"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2931D52E"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77CC0193"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6865699F" w14:textId="77777777" w:rsidR="00995EAD" w:rsidRPr="00613E10" w:rsidRDefault="00995EAD" w:rsidP="00995EAD">
            <w:pPr>
              <w:spacing w:beforeLines="40" w:before="96" w:afterLines="40" w:after="96"/>
              <w:rPr>
                <w:rFonts w:eastAsia="Calibri" w:cs="Arial"/>
                <w:sz w:val="20"/>
                <w:szCs w:val="20"/>
              </w:rPr>
            </w:pPr>
          </w:p>
        </w:tc>
        <w:tc>
          <w:tcPr>
            <w:tcW w:w="992" w:type="dxa"/>
            <w:tcBorders>
              <w:top w:val="single" w:sz="4" w:space="0" w:color="auto"/>
              <w:left w:val="nil"/>
              <w:bottom w:val="single" w:sz="4" w:space="0" w:color="auto"/>
              <w:right w:val="single" w:sz="4" w:space="0" w:color="auto"/>
            </w:tcBorders>
            <w:vAlign w:val="center"/>
          </w:tcPr>
          <w:p w14:paraId="1591F778" w14:textId="77777777" w:rsidR="00995EAD" w:rsidRPr="00613E10" w:rsidRDefault="00995EAD" w:rsidP="00995EAD">
            <w:pPr>
              <w:spacing w:beforeLines="40" w:before="96" w:afterLines="40" w:after="96"/>
              <w:rPr>
                <w:rFonts w:eastAsia="Calibri" w:cs="Arial"/>
                <w:sz w:val="20"/>
                <w:szCs w:val="20"/>
              </w:rPr>
            </w:pPr>
          </w:p>
        </w:tc>
      </w:tr>
      <w:tr w:rsidR="00995EAD" w:rsidRPr="00613E10" w14:paraId="31D7FE54" w14:textId="77777777" w:rsidTr="00D4325F">
        <w:trPr>
          <w:cantSplit/>
          <w:trHeight w:val="20"/>
        </w:trPr>
        <w:tc>
          <w:tcPr>
            <w:tcW w:w="2978" w:type="dxa"/>
            <w:tcBorders>
              <w:top w:val="single" w:sz="4" w:space="0" w:color="auto"/>
            </w:tcBorders>
            <w:vAlign w:val="center"/>
          </w:tcPr>
          <w:p w14:paraId="5226CC5E" w14:textId="24186DA4"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Diabetes </w:t>
            </w:r>
            <w:proofErr w:type="spellStart"/>
            <w:r w:rsidRPr="00613E10">
              <w:rPr>
                <w:rFonts w:eastAsia="Calibri" w:cs="Arial"/>
                <w:sz w:val="20"/>
                <w:szCs w:val="20"/>
              </w:rPr>
              <w:t>mellitus</w:t>
            </w:r>
            <w:r>
              <w:rPr>
                <w:rFonts w:eastAsia="Calibri" w:cs="Arial"/>
                <w:sz w:val="20"/>
                <w:szCs w:val="20"/>
                <w:vertAlign w:val="superscript"/>
              </w:rPr>
              <w:t>e</w:t>
            </w:r>
            <w:proofErr w:type="spellEnd"/>
            <w:r w:rsidRPr="00613E10">
              <w:rPr>
                <w:rFonts w:eastAsia="Calibri" w:cs="Arial"/>
                <w:sz w:val="20"/>
                <w:szCs w:val="20"/>
              </w:rPr>
              <w:t>,</w:t>
            </w:r>
            <w:r w:rsidRPr="00613E10">
              <w:rPr>
                <w:rFonts w:eastAsia="Calibri" w:cs="Arial"/>
                <w:iCs/>
                <w:sz w:val="20"/>
                <w:szCs w:val="20"/>
              </w:rPr>
              <w:t xml:space="preserve"> n (%)</w:t>
            </w:r>
            <w:r w:rsidRPr="00613E10">
              <w:rPr>
                <w:rFonts w:eastAsia="Calibri" w:cs="Arial"/>
                <w:sz w:val="20"/>
                <w:szCs w:val="20"/>
              </w:rPr>
              <w:t xml:space="preserve"> </w:t>
            </w:r>
          </w:p>
        </w:tc>
        <w:tc>
          <w:tcPr>
            <w:tcW w:w="1701" w:type="dxa"/>
            <w:tcBorders>
              <w:top w:val="single" w:sz="4" w:space="0" w:color="auto"/>
            </w:tcBorders>
            <w:vAlign w:val="center"/>
          </w:tcPr>
          <w:p w14:paraId="357B1DF9" w14:textId="78494CFD"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1369 (20.0) </w:t>
            </w:r>
          </w:p>
        </w:tc>
        <w:tc>
          <w:tcPr>
            <w:tcW w:w="1701" w:type="dxa"/>
            <w:tcBorders>
              <w:top w:val="single" w:sz="4" w:space="0" w:color="auto"/>
            </w:tcBorders>
            <w:vAlign w:val="center"/>
          </w:tcPr>
          <w:p w14:paraId="4F39A92E" w14:textId="2F1B8272"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1979 (14.4) </w:t>
            </w:r>
          </w:p>
        </w:tc>
        <w:tc>
          <w:tcPr>
            <w:tcW w:w="1701" w:type="dxa"/>
            <w:tcBorders>
              <w:top w:val="single" w:sz="4" w:space="0" w:color="auto"/>
            </w:tcBorders>
            <w:vAlign w:val="center"/>
          </w:tcPr>
          <w:p w14:paraId="721C2DBD" w14:textId="4D68159F"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3348 (16.3) </w:t>
            </w:r>
          </w:p>
        </w:tc>
        <w:tc>
          <w:tcPr>
            <w:tcW w:w="992" w:type="dxa"/>
            <w:tcBorders>
              <w:top w:val="single" w:sz="4" w:space="0" w:color="auto"/>
            </w:tcBorders>
            <w:vAlign w:val="center"/>
          </w:tcPr>
          <w:p w14:paraId="3E13984E"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&lt;0.001 </w:t>
            </w:r>
          </w:p>
        </w:tc>
        <w:tc>
          <w:tcPr>
            <w:tcW w:w="1701" w:type="dxa"/>
            <w:tcBorders>
              <w:top w:val="single" w:sz="4" w:space="0" w:color="auto"/>
            </w:tcBorders>
            <w:vAlign w:val="center"/>
          </w:tcPr>
          <w:p w14:paraId="364770A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247 (21.7) </w:t>
            </w:r>
          </w:p>
        </w:tc>
        <w:tc>
          <w:tcPr>
            <w:tcW w:w="1701" w:type="dxa"/>
            <w:tcBorders>
              <w:top w:val="single" w:sz="4" w:space="0" w:color="auto"/>
            </w:tcBorders>
            <w:vAlign w:val="center"/>
          </w:tcPr>
          <w:p w14:paraId="6DBA4DC6" w14:textId="2D12562C"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1130 (19.7) </w:t>
            </w:r>
          </w:p>
        </w:tc>
        <w:tc>
          <w:tcPr>
            <w:tcW w:w="1701" w:type="dxa"/>
            <w:tcBorders>
              <w:top w:val="single" w:sz="4" w:space="0" w:color="auto"/>
            </w:tcBorders>
            <w:vAlign w:val="center"/>
          </w:tcPr>
          <w:p w14:paraId="1F469639" w14:textId="33808E8E"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1377 (20.1) </w:t>
            </w:r>
          </w:p>
        </w:tc>
        <w:tc>
          <w:tcPr>
            <w:tcW w:w="992" w:type="dxa"/>
            <w:tcBorders>
              <w:top w:val="single" w:sz="4" w:space="0" w:color="auto"/>
            </w:tcBorders>
            <w:vAlign w:val="center"/>
          </w:tcPr>
          <w:p w14:paraId="71FDD4C2"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0.140 </w:t>
            </w:r>
          </w:p>
        </w:tc>
      </w:tr>
      <w:tr w:rsidR="00995EAD" w:rsidRPr="00613E10" w14:paraId="27E1DCEC" w14:textId="77777777" w:rsidTr="00D4325F">
        <w:trPr>
          <w:cantSplit/>
          <w:trHeight w:val="20"/>
        </w:trPr>
        <w:tc>
          <w:tcPr>
            <w:tcW w:w="2978" w:type="dxa"/>
            <w:vAlign w:val="center"/>
          </w:tcPr>
          <w:p w14:paraId="4644AD10" w14:textId="5832EFA3" w:rsidR="00995EAD" w:rsidRPr="00613E10" w:rsidRDefault="00995EAD" w:rsidP="00995EAD">
            <w:pPr>
              <w:spacing w:beforeLines="40" w:before="96" w:afterLines="40" w:after="96"/>
              <w:rPr>
                <w:rFonts w:eastAsia="Calibri" w:cs="Arial"/>
                <w:sz w:val="20"/>
                <w:szCs w:val="20"/>
              </w:rPr>
            </w:pPr>
            <w:proofErr w:type="spellStart"/>
            <w:r w:rsidRPr="00613E10">
              <w:rPr>
                <w:rFonts w:eastAsia="Calibri" w:cs="Arial"/>
                <w:sz w:val="20"/>
                <w:szCs w:val="20"/>
              </w:rPr>
              <w:t>Hypertension</w:t>
            </w:r>
            <w:r>
              <w:rPr>
                <w:rFonts w:eastAsia="Calibri" w:cs="Arial"/>
                <w:sz w:val="20"/>
                <w:szCs w:val="20"/>
                <w:vertAlign w:val="superscript"/>
              </w:rPr>
              <w:t>e</w:t>
            </w:r>
            <w:proofErr w:type="spellEnd"/>
            <w:r w:rsidRPr="00613E10">
              <w:rPr>
                <w:rFonts w:eastAsia="Calibri" w:cs="Arial"/>
                <w:sz w:val="20"/>
                <w:szCs w:val="20"/>
              </w:rPr>
              <w:t xml:space="preserve"> </w:t>
            </w:r>
          </w:p>
        </w:tc>
        <w:tc>
          <w:tcPr>
            <w:tcW w:w="1701" w:type="dxa"/>
            <w:vAlign w:val="center"/>
          </w:tcPr>
          <w:p w14:paraId="53B022C4" w14:textId="200C3721"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5036 (73.4) </w:t>
            </w:r>
          </w:p>
        </w:tc>
        <w:tc>
          <w:tcPr>
            <w:tcW w:w="1701" w:type="dxa"/>
            <w:vAlign w:val="center"/>
          </w:tcPr>
          <w:p w14:paraId="27329EE2" w14:textId="0FABA4F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9172 (66.8) </w:t>
            </w:r>
          </w:p>
        </w:tc>
        <w:tc>
          <w:tcPr>
            <w:tcW w:w="1701" w:type="dxa"/>
            <w:vAlign w:val="center"/>
          </w:tcPr>
          <w:p w14:paraId="5C060A3C" w14:textId="46E43F25"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14</w:t>
            </w:r>
            <w:r>
              <w:rPr>
                <w:rFonts w:eastAsia="Calibri" w:cs="Arial"/>
                <w:sz w:val="20"/>
                <w:szCs w:val="20"/>
              </w:rPr>
              <w:t xml:space="preserve"> </w:t>
            </w:r>
            <w:r w:rsidRPr="00613E10">
              <w:rPr>
                <w:rFonts w:eastAsia="Calibri" w:cs="Arial"/>
                <w:sz w:val="20"/>
                <w:szCs w:val="20"/>
              </w:rPr>
              <w:t xml:space="preserve">208 (69.0) </w:t>
            </w:r>
          </w:p>
        </w:tc>
        <w:tc>
          <w:tcPr>
            <w:tcW w:w="992" w:type="dxa"/>
            <w:vAlign w:val="center"/>
          </w:tcPr>
          <w:p w14:paraId="6EC37A3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&lt;0.001 </w:t>
            </w:r>
          </w:p>
        </w:tc>
        <w:tc>
          <w:tcPr>
            <w:tcW w:w="1701" w:type="dxa"/>
            <w:vAlign w:val="center"/>
          </w:tcPr>
          <w:p w14:paraId="7FECB42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864 (75.8) </w:t>
            </w:r>
          </w:p>
        </w:tc>
        <w:tc>
          <w:tcPr>
            <w:tcW w:w="1701" w:type="dxa"/>
            <w:vAlign w:val="center"/>
          </w:tcPr>
          <w:p w14:paraId="36C73526" w14:textId="3D5736BF"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4172 (72.9) </w:t>
            </w:r>
          </w:p>
        </w:tc>
        <w:tc>
          <w:tcPr>
            <w:tcW w:w="1701" w:type="dxa"/>
            <w:vAlign w:val="center"/>
          </w:tcPr>
          <w:p w14:paraId="134EC0A9" w14:textId="55DC221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5036 (73.4) </w:t>
            </w:r>
          </w:p>
        </w:tc>
        <w:tc>
          <w:tcPr>
            <w:tcW w:w="992" w:type="dxa"/>
            <w:vAlign w:val="center"/>
          </w:tcPr>
          <w:p w14:paraId="4F41BC4E"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0.045 </w:t>
            </w:r>
          </w:p>
        </w:tc>
      </w:tr>
      <w:tr w:rsidR="00995EAD" w:rsidRPr="00613E10" w14:paraId="5CAF6FB4" w14:textId="77777777" w:rsidTr="00D4325F">
        <w:trPr>
          <w:cantSplit/>
          <w:trHeight w:val="20"/>
        </w:trPr>
        <w:tc>
          <w:tcPr>
            <w:tcW w:w="2978" w:type="dxa"/>
            <w:vAlign w:val="center"/>
          </w:tcPr>
          <w:p w14:paraId="1EE50262" w14:textId="35202FDC"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Inflammatory bowel </w:t>
            </w:r>
            <w:proofErr w:type="spellStart"/>
            <w:r w:rsidRPr="00613E10">
              <w:rPr>
                <w:rFonts w:eastAsia="Calibri" w:cs="Arial"/>
                <w:sz w:val="20"/>
                <w:szCs w:val="20"/>
              </w:rPr>
              <w:t>disease</w:t>
            </w:r>
            <w:r>
              <w:rPr>
                <w:rFonts w:eastAsia="Calibri" w:cs="Arial"/>
                <w:sz w:val="20"/>
                <w:szCs w:val="20"/>
                <w:vertAlign w:val="superscript"/>
              </w:rPr>
              <w:t>e</w:t>
            </w:r>
            <w:proofErr w:type="spellEnd"/>
            <w:r w:rsidRPr="00613E10">
              <w:rPr>
                <w:rFonts w:eastAsia="Calibri" w:cs="Arial"/>
                <w:sz w:val="20"/>
                <w:szCs w:val="20"/>
              </w:rPr>
              <w:t xml:space="preserve"> </w:t>
            </w:r>
          </w:p>
        </w:tc>
        <w:tc>
          <w:tcPr>
            <w:tcW w:w="1701" w:type="dxa"/>
            <w:vAlign w:val="center"/>
          </w:tcPr>
          <w:p w14:paraId="5299295D"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214 (3.1)</w:t>
            </w:r>
          </w:p>
        </w:tc>
        <w:tc>
          <w:tcPr>
            <w:tcW w:w="1701" w:type="dxa"/>
            <w:vAlign w:val="center"/>
          </w:tcPr>
          <w:p w14:paraId="58D4C4BA"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81 (0.6)</w:t>
            </w:r>
          </w:p>
        </w:tc>
        <w:tc>
          <w:tcPr>
            <w:tcW w:w="1701" w:type="dxa"/>
            <w:vAlign w:val="center"/>
          </w:tcPr>
          <w:p w14:paraId="758BFBA5"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295 (1.4)</w:t>
            </w:r>
          </w:p>
        </w:tc>
        <w:tc>
          <w:tcPr>
            <w:tcW w:w="992" w:type="dxa"/>
            <w:vAlign w:val="center"/>
          </w:tcPr>
          <w:p w14:paraId="1641CE3F"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7F916D2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44 (3.9) </w:t>
            </w:r>
          </w:p>
        </w:tc>
        <w:tc>
          <w:tcPr>
            <w:tcW w:w="1701" w:type="dxa"/>
            <w:vAlign w:val="center"/>
          </w:tcPr>
          <w:p w14:paraId="091638AF"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176 (3.1) </w:t>
            </w:r>
          </w:p>
        </w:tc>
        <w:tc>
          <w:tcPr>
            <w:tcW w:w="1701" w:type="dxa"/>
            <w:vAlign w:val="center"/>
          </w:tcPr>
          <w:p w14:paraId="3489434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220 (3.2) </w:t>
            </w:r>
          </w:p>
        </w:tc>
        <w:tc>
          <w:tcPr>
            <w:tcW w:w="992" w:type="dxa"/>
            <w:vAlign w:val="center"/>
          </w:tcPr>
          <w:p w14:paraId="10E5D88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0.170 </w:t>
            </w:r>
          </w:p>
        </w:tc>
      </w:tr>
      <w:tr w:rsidR="00995EAD" w:rsidRPr="00613E10" w14:paraId="21437E26" w14:textId="77777777" w:rsidTr="00D4325F">
        <w:trPr>
          <w:cantSplit/>
          <w:trHeight w:val="20"/>
        </w:trPr>
        <w:tc>
          <w:tcPr>
            <w:tcW w:w="2978" w:type="dxa"/>
            <w:vAlign w:val="center"/>
          </w:tcPr>
          <w:p w14:paraId="515D37FD" w14:textId="2ED8D720"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Renal </w:t>
            </w:r>
            <w:proofErr w:type="spellStart"/>
            <w:r w:rsidRPr="00613E10">
              <w:rPr>
                <w:rFonts w:eastAsia="Calibri" w:cs="Arial"/>
                <w:sz w:val="20"/>
                <w:szCs w:val="20"/>
              </w:rPr>
              <w:t>disease</w:t>
            </w:r>
            <w:r>
              <w:rPr>
                <w:rFonts w:eastAsia="Calibri" w:cs="Arial"/>
                <w:sz w:val="20"/>
                <w:szCs w:val="20"/>
                <w:vertAlign w:val="superscript"/>
              </w:rPr>
              <w:t>e</w:t>
            </w:r>
            <w:proofErr w:type="spellEnd"/>
            <w:r w:rsidRPr="00613E10">
              <w:rPr>
                <w:rFonts w:eastAsia="Calibri" w:cs="Arial"/>
                <w:sz w:val="20"/>
                <w:szCs w:val="20"/>
              </w:rPr>
              <w:t xml:space="preserve"> </w:t>
            </w:r>
          </w:p>
        </w:tc>
        <w:tc>
          <w:tcPr>
            <w:tcW w:w="1701" w:type="dxa"/>
            <w:vAlign w:val="center"/>
          </w:tcPr>
          <w:p w14:paraId="0039B876" w14:textId="5D10C6EA"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2386 (34.8)</w:t>
            </w:r>
          </w:p>
        </w:tc>
        <w:tc>
          <w:tcPr>
            <w:tcW w:w="1701" w:type="dxa"/>
            <w:vAlign w:val="center"/>
          </w:tcPr>
          <w:p w14:paraId="41662849" w14:textId="67ABE3C9"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3163 (23.0)</w:t>
            </w:r>
          </w:p>
        </w:tc>
        <w:tc>
          <w:tcPr>
            <w:tcW w:w="1701" w:type="dxa"/>
            <w:vAlign w:val="center"/>
          </w:tcPr>
          <w:p w14:paraId="072452D0" w14:textId="484E7B9F"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5549 (27.0)</w:t>
            </w:r>
          </w:p>
        </w:tc>
        <w:tc>
          <w:tcPr>
            <w:tcW w:w="992" w:type="dxa"/>
            <w:vAlign w:val="center"/>
          </w:tcPr>
          <w:p w14:paraId="1789B2B5"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54A8039F"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440 (38.6) </w:t>
            </w:r>
          </w:p>
        </w:tc>
        <w:tc>
          <w:tcPr>
            <w:tcW w:w="1701" w:type="dxa"/>
            <w:vAlign w:val="center"/>
          </w:tcPr>
          <w:p w14:paraId="4C9FC2F4" w14:textId="05E9684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1993 (34.8) </w:t>
            </w:r>
          </w:p>
        </w:tc>
        <w:tc>
          <w:tcPr>
            <w:tcW w:w="1701" w:type="dxa"/>
            <w:vAlign w:val="center"/>
          </w:tcPr>
          <w:p w14:paraId="2806DC77" w14:textId="6652BD71"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2433 (35.5) </w:t>
            </w:r>
          </w:p>
        </w:tc>
        <w:tc>
          <w:tcPr>
            <w:tcW w:w="992" w:type="dxa"/>
            <w:vAlign w:val="center"/>
          </w:tcPr>
          <w:p w14:paraId="2A448232"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0.015 </w:t>
            </w:r>
          </w:p>
        </w:tc>
      </w:tr>
      <w:tr w:rsidR="00995EAD" w:rsidRPr="00613E10" w14:paraId="2AB78625" w14:textId="77777777" w:rsidTr="00D4325F">
        <w:trPr>
          <w:cantSplit/>
          <w:trHeight w:val="20"/>
        </w:trPr>
        <w:tc>
          <w:tcPr>
            <w:tcW w:w="2978" w:type="dxa"/>
            <w:vAlign w:val="center"/>
          </w:tcPr>
          <w:p w14:paraId="354B444F" w14:textId="4FC1B60C"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Cerebrovascular </w:t>
            </w:r>
            <w:proofErr w:type="spellStart"/>
            <w:r w:rsidRPr="00613E10">
              <w:rPr>
                <w:rFonts w:eastAsia="Calibri" w:cs="Arial"/>
                <w:sz w:val="20"/>
                <w:szCs w:val="20"/>
              </w:rPr>
              <w:t>accident</w:t>
            </w:r>
            <w:r>
              <w:rPr>
                <w:rFonts w:eastAsia="Calibri" w:cs="Arial"/>
                <w:sz w:val="20"/>
                <w:szCs w:val="20"/>
                <w:vertAlign w:val="superscript"/>
              </w:rPr>
              <w:t>e</w:t>
            </w:r>
            <w:proofErr w:type="spellEnd"/>
            <w:r w:rsidRPr="00613E10">
              <w:rPr>
                <w:rFonts w:eastAsia="Calibri" w:cs="Arial"/>
                <w:sz w:val="20"/>
                <w:szCs w:val="20"/>
              </w:rPr>
              <w:t xml:space="preserve"> </w:t>
            </w:r>
          </w:p>
        </w:tc>
        <w:tc>
          <w:tcPr>
            <w:tcW w:w="1701" w:type="dxa"/>
            <w:vAlign w:val="center"/>
          </w:tcPr>
          <w:p w14:paraId="23884FA3" w14:textId="325E1BFD"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1910 (27.8)</w:t>
            </w:r>
          </w:p>
        </w:tc>
        <w:tc>
          <w:tcPr>
            <w:tcW w:w="1701" w:type="dxa"/>
            <w:vAlign w:val="center"/>
          </w:tcPr>
          <w:p w14:paraId="3F63D7E3" w14:textId="5F648CFA"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3249 (23.7)</w:t>
            </w:r>
          </w:p>
        </w:tc>
        <w:tc>
          <w:tcPr>
            <w:tcW w:w="1701" w:type="dxa"/>
            <w:vAlign w:val="center"/>
          </w:tcPr>
          <w:p w14:paraId="745DF7BA" w14:textId="2F814B62"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5159 (25.1)</w:t>
            </w:r>
          </w:p>
        </w:tc>
        <w:tc>
          <w:tcPr>
            <w:tcW w:w="992" w:type="dxa"/>
            <w:vAlign w:val="center"/>
          </w:tcPr>
          <w:p w14:paraId="53F599B9"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64D255B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349 (30.6) </w:t>
            </w:r>
          </w:p>
        </w:tc>
        <w:tc>
          <w:tcPr>
            <w:tcW w:w="1701" w:type="dxa"/>
            <w:vAlign w:val="center"/>
          </w:tcPr>
          <w:p w14:paraId="742FF884" w14:textId="0E35AC0C"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1625 (28.4) </w:t>
            </w:r>
          </w:p>
        </w:tc>
        <w:tc>
          <w:tcPr>
            <w:tcW w:w="1701" w:type="dxa"/>
            <w:vAlign w:val="center"/>
          </w:tcPr>
          <w:p w14:paraId="6F5DDD61" w14:textId="3C15F9BD"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1974 (28.8) </w:t>
            </w:r>
          </w:p>
        </w:tc>
        <w:tc>
          <w:tcPr>
            <w:tcW w:w="992" w:type="dxa"/>
            <w:vAlign w:val="center"/>
          </w:tcPr>
          <w:p w14:paraId="7F02D522"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0.131 </w:t>
            </w:r>
          </w:p>
        </w:tc>
      </w:tr>
      <w:tr w:rsidR="00995EAD" w:rsidRPr="00613E10" w14:paraId="4C290816" w14:textId="77777777" w:rsidTr="00D4325F">
        <w:trPr>
          <w:cantSplit/>
          <w:trHeight w:val="20"/>
        </w:trPr>
        <w:tc>
          <w:tcPr>
            <w:tcW w:w="2978" w:type="dxa"/>
            <w:vAlign w:val="center"/>
          </w:tcPr>
          <w:p w14:paraId="5DA1F89B" w14:textId="5571D8E1"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Moderate-to-severe liver </w:t>
            </w:r>
            <w:proofErr w:type="spellStart"/>
            <w:r w:rsidRPr="00613E10">
              <w:rPr>
                <w:rFonts w:eastAsia="Calibri" w:cs="Arial"/>
                <w:sz w:val="20"/>
                <w:szCs w:val="20"/>
              </w:rPr>
              <w:t>disease</w:t>
            </w:r>
            <w:r>
              <w:rPr>
                <w:rFonts w:eastAsia="Calibri" w:cs="Arial"/>
                <w:sz w:val="20"/>
                <w:szCs w:val="20"/>
                <w:vertAlign w:val="superscript"/>
              </w:rPr>
              <w:t>e</w:t>
            </w:r>
            <w:proofErr w:type="spellEnd"/>
            <w:r w:rsidRPr="00613E10">
              <w:rPr>
                <w:rFonts w:eastAsia="Calibri" w:cs="Arial"/>
                <w:sz w:val="20"/>
                <w:szCs w:val="20"/>
              </w:rPr>
              <w:t xml:space="preserve"> </w:t>
            </w:r>
          </w:p>
        </w:tc>
        <w:tc>
          <w:tcPr>
            <w:tcW w:w="1701" w:type="dxa"/>
            <w:vAlign w:val="center"/>
          </w:tcPr>
          <w:p w14:paraId="29CB30DF"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158 (2.3)</w:t>
            </w:r>
          </w:p>
        </w:tc>
        <w:tc>
          <w:tcPr>
            <w:tcW w:w="1701" w:type="dxa"/>
            <w:vAlign w:val="center"/>
          </w:tcPr>
          <w:p w14:paraId="731E975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88 (0.6)</w:t>
            </w:r>
          </w:p>
        </w:tc>
        <w:tc>
          <w:tcPr>
            <w:tcW w:w="1701" w:type="dxa"/>
            <w:vAlign w:val="center"/>
          </w:tcPr>
          <w:p w14:paraId="77A053D2"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246 (1.2)</w:t>
            </w:r>
          </w:p>
        </w:tc>
        <w:tc>
          <w:tcPr>
            <w:tcW w:w="992" w:type="dxa"/>
            <w:vAlign w:val="center"/>
          </w:tcPr>
          <w:p w14:paraId="5CBC851D"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3BE11329"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40 (3.5) </w:t>
            </w:r>
          </w:p>
        </w:tc>
        <w:tc>
          <w:tcPr>
            <w:tcW w:w="1701" w:type="dxa"/>
            <w:vAlign w:val="center"/>
          </w:tcPr>
          <w:p w14:paraId="44A8EB9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132 (2.3) </w:t>
            </w:r>
          </w:p>
        </w:tc>
        <w:tc>
          <w:tcPr>
            <w:tcW w:w="1701" w:type="dxa"/>
            <w:vAlign w:val="center"/>
          </w:tcPr>
          <w:p w14:paraId="1F6264E2"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172 (2.5) </w:t>
            </w:r>
          </w:p>
        </w:tc>
        <w:tc>
          <w:tcPr>
            <w:tcW w:w="992" w:type="dxa"/>
            <w:vAlign w:val="center"/>
          </w:tcPr>
          <w:p w14:paraId="1CC4FCF5"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0.018 </w:t>
            </w:r>
          </w:p>
        </w:tc>
      </w:tr>
      <w:tr w:rsidR="00995EAD" w:rsidRPr="00613E10" w14:paraId="679A8CAA" w14:textId="77777777" w:rsidTr="00D4325F">
        <w:trPr>
          <w:cantSplit/>
          <w:trHeight w:val="20"/>
        </w:trPr>
        <w:tc>
          <w:tcPr>
            <w:tcW w:w="2978" w:type="dxa"/>
            <w:vAlign w:val="center"/>
          </w:tcPr>
          <w:p w14:paraId="5D281FF6" w14:textId="0B9A0682"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Peripheral vascular </w:t>
            </w:r>
            <w:proofErr w:type="spellStart"/>
            <w:r w:rsidRPr="00613E10">
              <w:rPr>
                <w:rFonts w:eastAsia="Calibri" w:cs="Arial"/>
                <w:sz w:val="20"/>
                <w:szCs w:val="20"/>
              </w:rPr>
              <w:t>disease</w:t>
            </w:r>
            <w:r>
              <w:rPr>
                <w:rFonts w:eastAsia="Calibri" w:cs="Arial"/>
                <w:sz w:val="20"/>
                <w:szCs w:val="20"/>
                <w:vertAlign w:val="superscript"/>
              </w:rPr>
              <w:t>e</w:t>
            </w:r>
            <w:proofErr w:type="spellEnd"/>
            <w:r w:rsidRPr="00613E10">
              <w:rPr>
                <w:rFonts w:eastAsia="Calibri" w:cs="Arial"/>
                <w:sz w:val="20"/>
                <w:szCs w:val="20"/>
              </w:rPr>
              <w:t xml:space="preserve"> </w:t>
            </w:r>
          </w:p>
        </w:tc>
        <w:tc>
          <w:tcPr>
            <w:tcW w:w="1701" w:type="dxa"/>
            <w:vAlign w:val="center"/>
          </w:tcPr>
          <w:p w14:paraId="675F16C0" w14:textId="38EBF0D1"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1076 (15.7)</w:t>
            </w:r>
          </w:p>
        </w:tc>
        <w:tc>
          <w:tcPr>
            <w:tcW w:w="1701" w:type="dxa"/>
            <w:vAlign w:val="center"/>
          </w:tcPr>
          <w:p w14:paraId="45F8C3A7" w14:textId="4E825BB0"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1418 (10.3)</w:t>
            </w:r>
          </w:p>
        </w:tc>
        <w:tc>
          <w:tcPr>
            <w:tcW w:w="1701" w:type="dxa"/>
            <w:vAlign w:val="center"/>
          </w:tcPr>
          <w:p w14:paraId="7376B9D4" w14:textId="7A046000"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2494 (12.1)</w:t>
            </w:r>
          </w:p>
        </w:tc>
        <w:tc>
          <w:tcPr>
            <w:tcW w:w="992" w:type="dxa"/>
            <w:vAlign w:val="center"/>
          </w:tcPr>
          <w:p w14:paraId="2CC3E3E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1542F74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191 (16.8) </w:t>
            </w:r>
          </w:p>
        </w:tc>
        <w:tc>
          <w:tcPr>
            <w:tcW w:w="1701" w:type="dxa"/>
            <w:vAlign w:val="center"/>
          </w:tcPr>
          <w:p w14:paraId="4515EC29"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899 (15.7) </w:t>
            </w:r>
          </w:p>
        </w:tc>
        <w:tc>
          <w:tcPr>
            <w:tcW w:w="1701" w:type="dxa"/>
            <w:vAlign w:val="center"/>
          </w:tcPr>
          <w:p w14:paraId="7511BAA8" w14:textId="14E3E3E0"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1090 (15.9) </w:t>
            </w:r>
          </w:p>
        </w:tc>
        <w:tc>
          <w:tcPr>
            <w:tcW w:w="992" w:type="dxa"/>
            <w:vAlign w:val="center"/>
          </w:tcPr>
          <w:p w14:paraId="4432B019"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0.379 </w:t>
            </w:r>
          </w:p>
        </w:tc>
      </w:tr>
      <w:tr w:rsidR="00995EAD" w:rsidRPr="00613E10" w14:paraId="2C858D51" w14:textId="77777777" w:rsidTr="00D4325F">
        <w:trPr>
          <w:cantSplit/>
          <w:trHeight w:val="20"/>
        </w:trPr>
        <w:tc>
          <w:tcPr>
            <w:tcW w:w="2978" w:type="dxa"/>
            <w:vAlign w:val="center"/>
          </w:tcPr>
          <w:p w14:paraId="6BA26DE4" w14:textId="2EF869BE" w:rsidR="00995EAD" w:rsidRPr="00AD6E7E" w:rsidRDefault="00995EAD" w:rsidP="00995EAD">
            <w:pPr>
              <w:spacing w:beforeLines="40" w:before="96" w:afterLines="40" w:after="96"/>
              <w:rPr>
                <w:rFonts w:eastAsia="Calibri" w:cs="Arial"/>
                <w:sz w:val="20"/>
                <w:szCs w:val="20"/>
                <w:vertAlign w:val="superscript"/>
              </w:rPr>
            </w:pPr>
            <w:proofErr w:type="spellStart"/>
            <w:r>
              <w:rPr>
                <w:rFonts w:eastAsia="Calibri" w:cs="Arial"/>
                <w:sz w:val="20"/>
                <w:szCs w:val="20"/>
              </w:rPr>
              <w:t>Dementia</w:t>
            </w:r>
            <w:r>
              <w:rPr>
                <w:rFonts w:eastAsia="Calibri" w:cs="Arial"/>
                <w:sz w:val="20"/>
                <w:szCs w:val="20"/>
                <w:vertAlign w:val="superscript"/>
              </w:rPr>
              <w:t>e</w:t>
            </w:r>
            <w:proofErr w:type="spellEnd"/>
          </w:p>
        </w:tc>
        <w:tc>
          <w:tcPr>
            <w:tcW w:w="1701" w:type="dxa"/>
            <w:vAlign w:val="center"/>
          </w:tcPr>
          <w:p w14:paraId="515EBF76" w14:textId="68EF8778"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850 (12.4)</w:t>
            </w:r>
          </w:p>
        </w:tc>
        <w:tc>
          <w:tcPr>
            <w:tcW w:w="1701" w:type="dxa"/>
            <w:vAlign w:val="center"/>
          </w:tcPr>
          <w:p w14:paraId="3AE3F78C" w14:textId="5F8C3E58"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1694 (12.3</w:t>
            </w:r>
            <w:r>
              <w:rPr>
                <w:rFonts w:eastAsia="Calibri" w:cs="Arial"/>
                <w:sz w:val="20"/>
                <w:szCs w:val="20"/>
              </w:rPr>
              <w:t>)</w:t>
            </w:r>
          </w:p>
        </w:tc>
        <w:tc>
          <w:tcPr>
            <w:tcW w:w="1701" w:type="dxa"/>
            <w:vAlign w:val="center"/>
          </w:tcPr>
          <w:p w14:paraId="569C7BFE" w14:textId="2240968E"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2544 (12.4</w:t>
            </w:r>
            <w:r>
              <w:rPr>
                <w:rFonts w:eastAsia="Calibri" w:cs="Arial"/>
                <w:sz w:val="20"/>
                <w:szCs w:val="20"/>
              </w:rPr>
              <w:t>)</w:t>
            </w:r>
          </w:p>
        </w:tc>
        <w:tc>
          <w:tcPr>
            <w:tcW w:w="992" w:type="dxa"/>
            <w:vAlign w:val="center"/>
          </w:tcPr>
          <w:p w14:paraId="4C4D99B6" w14:textId="77393290"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0.928</w:t>
            </w:r>
          </w:p>
        </w:tc>
        <w:tc>
          <w:tcPr>
            <w:tcW w:w="1701" w:type="dxa"/>
            <w:vAlign w:val="center"/>
          </w:tcPr>
          <w:p w14:paraId="48A27CC5" w14:textId="68841355"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125 (11.0</w:t>
            </w:r>
            <w:r>
              <w:rPr>
                <w:rFonts w:eastAsia="Calibri" w:cs="Arial"/>
                <w:sz w:val="20"/>
                <w:szCs w:val="20"/>
              </w:rPr>
              <w:t>)</w:t>
            </w:r>
          </w:p>
        </w:tc>
        <w:tc>
          <w:tcPr>
            <w:tcW w:w="1701" w:type="dxa"/>
            <w:vAlign w:val="center"/>
          </w:tcPr>
          <w:p w14:paraId="1C9962CB" w14:textId="2D7CC617"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758 (13.2</w:t>
            </w:r>
            <w:r>
              <w:rPr>
                <w:rFonts w:eastAsia="Calibri" w:cs="Arial"/>
                <w:sz w:val="20"/>
                <w:szCs w:val="20"/>
              </w:rPr>
              <w:t>)</w:t>
            </w:r>
          </w:p>
        </w:tc>
        <w:tc>
          <w:tcPr>
            <w:tcW w:w="1701" w:type="dxa"/>
            <w:vAlign w:val="center"/>
          </w:tcPr>
          <w:p w14:paraId="436FB553" w14:textId="78CD9FB1"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883 (12.9</w:t>
            </w:r>
            <w:r>
              <w:rPr>
                <w:rFonts w:eastAsia="Calibri" w:cs="Arial"/>
                <w:sz w:val="20"/>
                <w:szCs w:val="20"/>
              </w:rPr>
              <w:t>)</w:t>
            </w:r>
          </w:p>
        </w:tc>
        <w:tc>
          <w:tcPr>
            <w:tcW w:w="992" w:type="dxa"/>
            <w:vAlign w:val="center"/>
          </w:tcPr>
          <w:p w14:paraId="2F8C181B" w14:textId="0DCDB781" w:rsidR="00995EAD" w:rsidRPr="00613E10" w:rsidRDefault="00995EAD" w:rsidP="00995EAD">
            <w:pPr>
              <w:spacing w:beforeLines="40" w:before="96" w:afterLines="40" w:after="96"/>
              <w:rPr>
                <w:rFonts w:eastAsia="Calibri" w:cs="Arial"/>
                <w:sz w:val="20"/>
                <w:szCs w:val="20"/>
              </w:rPr>
            </w:pPr>
            <w:r w:rsidRPr="00821EC2">
              <w:rPr>
                <w:rFonts w:eastAsia="Calibri" w:cs="Arial"/>
                <w:sz w:val="20"/>
                <w:szCs w:val="20"/>
              </w:rPr>
              <w:t>0.036</w:t>
            </w:r>
          </w:p>
        </w:tc>
      </w:tr>
      <w:tr w:rsidR="00995EAD" w:rsidRPr="00613E10" w14:paraId="16102D38" w14:textId="77777777" w:rsidTr="00D4325F">
        <w:trPr>
          <w:cantSplit/>
          <w:trHeight w:val="20"/>
        </w:trPr>
        <w:tc>
          <w:tcPr>
            <w:tcW w:w="2978" w:type="dxa"/>
            <w:vAlign w:val="center"/>
          </w:tcPr>
          <w:p w14:paraId="2F1350F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Malignant cancer ≤5 years previously, n </w:t>
            </w:r>
            <w:r w:rsidRPr="00613E10">
              <w:rPr>
                <w:rFonts w:eastAsia="Calibri" w:cs="Arial"/>
                <w:iCs/>
                <w:color w:val="000000"/>
                <w:sz w:val="20"/>
                <w:szCs w:val="20"/>
                <w:lang w:eastAsia="en-GB"/>
              </w:rPr>
              <w:t>(%)</w:t>
            </w:r>
          </w:p>
        </w:tc>
        <w:tc>
          <w:tcPr>
            <w:tcW w:w="1701" w:type="dxa"/>
            <w:vAlign w:val="center"/>
          </w:tcPr>
          <w:p w14:paraId="1314F8B5" w14:textId="22DC7E3C"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1485 (21.6)</w:t>
            </w:r>
          </w:p>
        </w:tc>
        <w:tc>
          <w:tcPr>
            <w:tcW w:w="1701" w:type="dxa"/>
            <w:vAlign w:val="center"/>
          </w:tcPr>
          <w:p w14:paraId="2695F25A" w14:textId="7FE3838F"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1781 (13.0)</w:t>
            </w:r>
          </w:p>
        </w:tc>
        <w:tc>
          <w:tcPr>
            <w:tcW w:w="1701" w:type="dxa"/>
            <w:vAlign w:val="center"/>
          </w:tcPr>
          <w:p w14:paraId="617F1BD1" w14:textId="563AF4E4"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3266 (15.9)</w:t>
            </w:r>
          </w:p>
        </w:tc>
        <w:tc>
          <w:tcPr>
            <w:tcW w:w="992" w:type="dxa"/>
            <w:vAlign w:val="center"/>
          </w:tcPr>
          <w:p w14:paraId="645B18CF"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74EE02EB"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213 (18.7) </w:t>
            </w:r>
          </w:p>
        </w:tc>
        <w:tc>
          <w:tcPr>
            <w:tcW w:w="1701" w:type="dxa"/>
            <w:vAlign w:val="center"/>
          </w:tcPr>
          <w:p w14:paraId="69F2E2BC" w14:textId="2ED1B70E"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1299 (22.7) </w:t>
            </w:r>
          </w:p>
        </w:tc>
        <w:tc>
          <w:tcPr>
            <w:tcW w:w="1701" w:type="dxa"/>
            <w:vAlign w:val="center"/>
          </w:tcPr>
          <w:p w14:paraId="25F13FC2" w14:textId="3E6860F6"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1512 (22.0) </w:t>
            </w:r>
          </w:p>
        </w:tc>
        <w:tc>
          <w:tcPr>
            <w:tcW w:w="992" w:type="dxa"/>
            <w:vAlign w:val="center"/>
          </w:tcPr>
          <w:p w14:paraId="3327B9D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0.003 </w:t>
            </w:r>
          </w:p>
        </w:tc>
      </w:tr>
      <w:tr w:rsidR="00995EAD" w:rsidRPr="00613E10" w14:paraId="2DCC9166" w14:textId="77777777" w:rsidTr="00D4325F">
        <w:trPr>
          <w:cantSplit/>
          <w:trHeight w:val="20"/>
        </w:trPr>
        <w:tc>
          <w:tcPr>
            <w:tcW w:w="2978" w:type="dxa"/>
            <w:tcBorders>
              <w:bottom w:val="single" w:sz="4" w:space="0" w:color="auto"/>
            </w:tcBorders>
            <w:vAlign w:val="center"/>
          </w:tcPr>
          <w:p w14:paraId="05A369DB"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Transplantation ≤24 months previously, </w:t>
            </w:r>
            <w:r w:rsidRPr="00613E10">
              <w:rPr>
                <w:rFonts w:eastAsia="Calibri" w:cs="Arial"/>
                <w:iCs/>
                <w:color w:val="000000"/>
                <w:sz w:val="20"/>
                <w:szCs w:val="20"/>
                <w:lang w:eastAsia="en-GB"/>
              </w:rPr>
              <w:t>n (%)</w:t>
            </w:r>
          </w:p>
        </w:tc>
        <w:tc>
          <w:tcPr>
            <w:tcW w:w="1701" w:type="dxa"/>
            <w:tcBorders>
              <w:bottom w:val="single" w:sz="4" w:space="0" w:color="auto"/>
            </w:tcBorders>
            <w:vAlign w:val="center"/>
          </w:tcPr>
          <w:p w14:paraId="6920A5F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87 (1.3)</w:t>
            </w:r>
          </w:p>
        </w:tc>
        <w:tc>
          <w:tcPr>
            <w:tcW w:w="1701" w:type="dxa"/>
            <w:tcBorders>
              <w:bottom w:val="single" w:sz="4" w:space="0" w:color="auto"/>
            </w:tcBorders>
            <w:vAlign w:val="center"/>
          </w:tcPr>
          <w:p w14:paraId="248CB3ED"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15 (0.1)</w:t>
            </w:r>
          </w:p>
        </w:tc>
        <w:tc>
          <w:tcPr>
            <w:tcW w:w="1701" w:type="dxa"/>
            <w:tcBorders>
              <w:bottom w:val="single" w:sz="4" w:space="0" w:color="auto"/>
            </w:tcBorders>
            <w:vAlign w:val="center"/>
          </w:tcPr>
          <w:p w14:paraId="44DF5CD8"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102 (0.5)</w:t>
            </w:r>
          </w:p>
        </w:tc>
        <w:tc>
          <w:tcPr>
            <w:tcW w:w="992" w:type="dxa"/>
            <w:tcBorders>
              <w:bottom w:val="single" w:sz="4" w:space="0" w:color="auto"/>
            </w:tcBorders>
            <w:vAlign w:val="center"/>
          </w:tcPr>
          <w:p w14:paraId="47F9AAD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tcBorders>
              <w:bottom w:val="single" w:sz="4" w:space="0" w:color="auto"/>
            </w:tcBorders>
            <w:vAlign w:val="center"/>
          </w:tcPr>
          <w:p w14:paraId="4303DE6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14 (1.2) </w:t>
            </w:r>
          </w:p>
        </w:tc>
        <w:tc>
          <w:tcPr>
            <w:tcW w:w="1701" w:type="dxa"/>
            <w:tcBorders>
              <w:bottom w:val="single" w:sz="4" w:space="0" w:color="auto"/>
            </w:tcBorders>
            <w:vAlign w:val="center"/>
          </w:tcPr>
          <w:p w14:paraId="06776ACA"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75 (1.3) </w:t>
            </w:r>
          </w:p>
        </w:tc>
        <w:tc>
          <w:tcPr>
            <w:tcW w:w="1701" w:type="dxa"/>
            <w:tcBorders>
              <w:bottom w:val="single" w:sz="4" w:space="0" w:color="auto"/>
            </w:tcBorders>
            <w:vAlign w:val="center"/>
          </w:tcPr>
          <w:p w14:paraId="2E486D4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89 (1.3) </w:t>
            </w:r>
          </w:p>
        </w:tc>
        <w:tc>
          <w:tcPr>
            <w:tcW w:w="992" w:type="dxa"/>
            <w:tcBorders>
              <w:bottom w:val="single" w:sz="4" w:space="0" w:color="auto"/>
            </w:tcBorders>
            <w:vAlign w:val="center"/>
          </w:tcPr>
          <w:p w14:paraId="2B95D30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0.822 </w:t>
            </w:r>
          </w:p>
        </w:tc>
      </w:tr>
      <w:tr w:rsidR="00995EAD" w:rsidRPr="00613E10" w14:paraId="6E506AB0" w14:textId="77777777" w:rsidTr="00D4325F">
        <w:trPr>
          <w:cantSplit/>
          <w:trHeight w:val="20"/>
        </w:trPr>
        <w:tc>
          <w:tcPr>
            <w:tcW w:w="8081" w:type="dxa"/>
            <w:gridSpan w:val="4"/>
            <w:tcBorders>
              <w:top w:val="single" w:sz="4" w:space="0" w:color="auto"/>
              <w:left w:val="single" w:sz="4" w:space="0" w:color="auto"/>
              <w:bottom w:val="single" w:sz="4" w:space="0" w:color="auto"/>
              <w:right w:val="nil"/>
            </w:tcBorders>
            <w:vAlign w:val="center"/>
          </w:tcPr>
          <w:p w14:paraId="3359EBC6" w14:textId="455CA525" w:rsidR="00995EAD" w:rsidRPr="00613E10" w:rsidRDefault="00995EAD" w:rsidP="00995EAD">
            <w:pPr>
              <w:spacing w:beforeLines="40" w:before="96" w:afterLines="40" w:after="96"/>
              <w:rPr>
                <w:rFonts w:eastAsia="Calibri" w:cs="Arial"/>
                <w:sz w:val="20"/>
                <w:szCs w:val="20"/>
              </w:rPr>
            </w:pPr>
            <w:r>
              <w:rPr>
                <w:rFonts w:eastAsia="Calibri" w:cs="Arial"/>
                <w:b/>
                <w:sz w:val="20"/>
                <w:szCs w:val="20"/>
              </w:rPr>
              <w:lastRenderedPageBreak/>
              <w:t>Medication</w:t>
            </w:r>
            <w:r w:rsidRPr="00613E10">
              <w:rPr>
                <w:rFonts w:eastAsia="Calibri" w:cs="Arial"/>
                <w:b/>
                <w:sz w:val="20"/>
                <w:szCs w:val="20"/>
              </w:rPr>
              <w:t xml:space="preserve"> prescriptions </w:t>
            </w:r>
            <w:r w:rsidRPr="00613E10">
              <w:rPr>
                <w:rFonts w:eastAsia="Calibri" w:cs="Arial"/>
                <w:b/>
                <w:iCs/>
                <w:color w:val="000000"/>
                <w:sz w:val="20"/>
                <w:szCs w:val="20"/>
                <w:lang w:eastAsia="en-GB"/>
              </w:rPr>
              <w:t>≤90 days previously</w:t>
            </w:r>
          </w:p>
        </w:tc>
        <w:tc>
          <w:tcPr>
            <w:tcW w:w="992" w:type="dxa"/>
            <w:tcBorders>
              <w:top w:val="single" w:sz="4" w:space="0" w:color="auto"/>
              <w:left w:val="nil"/>
              <w:bottom w:val="single" w:sz="4" w:space="0" w:color="auto"/>
              <w:right w:val="nil"/>
            </w:tcBorders>
            <w:vAlign w:val="center"/>
          </w:tcPr>
          <w:p w14:paraId="1BB6E260"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5E81600C"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244E94F6"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75B56AB8" w14:textId="77777777" w:rsidR="00995EAD" w:rsidRPr="00613E10" w:rsidRDefault="00995EAD" w:rsidP="00995EAD">
            <w:pPr>
              <w:spacing w:beforeLines="40" w:before="96" w:afterLines="40" w:after="96"/>
              <w:rPr>
                <w:rFonts w:eastAsia="Calibri" w:cs="Arial"/>
                <w:sz w:val="20"/>
                <w:szCs w:val="20"/>
              </w:rPr>
            </w:pPr>
          </w:p>
        </w:tc>
        <w:tc>
          <w:tcPr>
            <w:tcW w:w="992" w:type="dxa"/>
            <w:tcBorders>
              <w:top w:val="single" w:sz="4" w:space="0" w:color="auto"/>
              <w:left w:val="nil"/>
              <w:bottom w:val="single" w:sz="4" w:space="0" w:color="auto"/>
              <w:right w:val="single" w:sz="4" w:space="0" w:color="auto"/>
            </w:tcBorders>
            <w:vAlign w:val="center"/>
          </w:tcPr>
          <w:p w14:paraId="4BCC0E61" w14:textId="77777777" w:rsidR="00995EAD" w:rsidRPr="00613E10" w:rsidRDefault="00995EAD" w:rsidP="00995EAD">
            <w:pPr>
              <w:spacing w:beforeLines="40" w:before="96" w:afterLines="40" w:after="96"/>
              <w:rPr>
                <w:rFonts w:eastAsia="Calibri" w:cs="Arial"/>
                <w:sz w:val="20"/>
                <w:szCs w:val="20"/>
              </w:rPr>
            </w:pPr>
          </w:p>
        </w:tc>
      </w:tr>
      <w:tr w:rsidR="00995EAD" w:rsidRPr="00613E10" w14:paraId="63C8062F" w14:textId="77777777" w:rsidTr="00D4325F">
        <w:trPr>
          <w:cantSplit/>
          <w:trHeight w:val="20"/>
        </w:trPr>
        <w:tc>
          <w:tcPr>
            <w:tcW w:w="2978" w:type="dxa"/>
            <w:tcBorders>
              <w:top w:val="single" w:sz="4" w:space="0" w:color="auto"/>
            </w:tcBorders>
            <w:vAlign w:val="center"/>
          </w:tcPr>
          <w:p w14:paraId="1E19DEC5" w14:textId="70263CE5"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Any antibiotic</w:t>
            </w:r>
            <w:r w:rsidRPr="00613E10">
              <w:rPr>
                <w:rFonts w:eastAsia="Calibri" w:cs="Arial"/>
                <w:iCs/>
                <w:color w:val="000000"/>
                <w:sz w:val="20"/>
                <w:szCs w:val="20"/>
                <w:lang w:eastAsia="en-GB"/>
              </w:rPr>
              <w:t>, n (%)</w:t>
            </w:r>
          </w:p>
        </w:tc>
        <w:tc>
          <w:tcPr>
            <w:tcW w:w="1701" w:type="dxa"/>
            <w:tcBorders>
              <w:top w:val="single" w:sz="4" w:space="0" w:color="auto"/>
            </w:tcBorders>
            <w:vAlign w:val="center"/>
          </w:tcPr>
          <w:p w14:paraId="6183F6B8" w14:textId="0E3845E0"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2749 (40.1)</w:t>
            </w:r>
          </w:p>
        </w:tc>
        <w:tc>
          <w:tcPr>
            <w:tcW w:w="1701" w:type="dxa"/>
            <w:tcBorders>
              <w:top w:val="single" w:sz="4" w:space="0" w:color="auto"/>
            </w:tcBorders>
            <w:vAlign w:val="center"/>
          </w:tcPr>
          <w:p w14:paraId="1E9CD1CE" w14:textId="1FDD562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3961 (28.9)</w:t>
            </w:r>
          </w:p>
        </w:tc>
        <w:tc>
          <w:tcPr>
            <w:tcW w:w="1701" w:type="dxa"/>
            <w:tcBorders>
              <w:top w:val="single" w:sz="4" w:space="0" w:color="auto"/>
            </w:tcBorders>
            <w:vAlign w:val="center"/>
          </w:tcPr>
          <w:p w14:paraId="012980F7" w14:textId="093EDD5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6710 (32.6)</w:t>
            </w:r>
          </w:p>
        </w:tc>
        <w:tc>
          <w:tcPr>
            <w:tcW w:w="992" w:type="dxa"/>
            <w:tcBorders>
              <w:top w:val="single" w:sz="4" w:space="0" w:color="auto"/>
            </w:tcBorders>
            <w:vAlign w:val="center"/>
          </w:tcPr>
          <w:p w14:paraId="30452EE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tcBorders>
              <w:top w:val="single" w:sz="4" w:space="0" w:color="auto"/>
            </w:tcBorders>
            <w:vAlign w:val="center"/>
          </w:tcPr>
          <w:p w14:paraId="3EF2282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478 (41.9) </w:t>
            </w:r>
          </w:p>
        </w:tc>
        <w:tc>
          <w:tcPr>
            <w:tcW w:w="1701" w:type="dxa"/>
            <w:tcBorders>
              <w:top w:val="single" w:sz="4" w:space="0" w:color="auto"/>
            </w:tcBorders>
            <w:vAlign w:val="center"/>
          </w:tcPr>
          <w:p w14:paraId="6AFA2D3D" w14:textId="4BBE8E9A"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2254 (39.4) </w:t>
            </w:r>
          </w:p>
        </w:tc>
        <w:tc>
          <w:tcPr>
            <w:tcW w:w="1701" w:type="dxa"/>
            <w:tcBorders>
              <w:top w:val="single" w:sz="4" w:space="0" w:color="auto"/>
            </w:tcBorders>
            <w:vAlign w:val="center"/>
          </w:tcPr>
          <w:p w14:paraId="1AA6604B" w14:textId="687179A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2732 (39.8) </w:t>
            </w:r>
          </w:p>
        </w:tc>
        <w:tc>
          <w:tcPr>
            <w:tcW w:w="992" w:type="dxa"/>
            <w:tcBorders>
              <w:top w:val="single" w:sz="4" w:space="0" w:color="auto"/>
            </w:tcBorders>
            <w:vAlign w:val="center"/>
          </w:tcPr>
          <w:p w14:paraId="7BC8DCB5"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0.110 </w:t>
            </w:r>
          </w:p>
        </w:tc>
      </w:tr>
      <w:tr w:rsidR="00995EAD" w:rsidRPr="00613E10" w14:paraId="14F0B98D" w14:textId="77777777" w:rsidTr="00D4325F">
        <w:trPr>
          <w:cantSplit/>
          <w:trHeight w:val="20"/>
        </w:trPr>
        <w:tc>
          <w:tcPr>
            <w:tcW w:w="2978" w:type="dxa"/>
            <w:vAlign w:val="center"/>
          </w:tcPr>
          <w:p w14:paraId="0BA231CA" w14:textId="0AA9BFCA"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Lipid-lowering drugs</w:t>
            </w:r>
            <w:r w:rsidRPr="00613E10">
              <w:rPr>
                <w:rFonts w:eastAsia="Calibri" w:cs="Arial"/>
                <w:iCs/>
                <w:color w:val="000000"/>
                <w:sz w:val="20"/>
                <w:szCs w:val="20"/>
                <w:lang w:eastAsia="en-GB"/>
              </w:rPr>
              <w:t>, n (%)</w:t>
            </w:r>
          </w:p>
        </w:tc>
        <w:tc>
          <w:tcPr>
            <w:tcW w:w="1701" w:type="dxa"/>
            <w:vAlign w:val="center"/>
          </w:tcPr>
          <w:p w14:paraId="685CB765" w14:textId="64557926"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1904 (27.7)</w:t>
            </w:r>
          </w:p>
        </w:tc>
        <w:tc>
          <w:tcPr>
            <w:tcW w:w="1701" w:type="dxa"/>
            <w:vAlign w:val="center"/>
          </w:tcPr>
          <w:p w14:paraId="47F4938E" w14:textId="3E159373"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3492 (25.4)</w:t>
            </w:r>
          </w:p>
        </w:tc>
        <w:tc>
          <w:tcPr>
            <w:tcW w:w="1701" w:type="dxa"/>
            <w:vAlign w:val="center"/>
          </w:tcPr>
          <w:p w14:paraId="0CCD7DB7" w14:textId="5CC68B2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5396 (26.2)</w:t>
            </w:r>
          </w:p>
        </w:tc>
        <w:tc>
          <w:tcPr>
            <w:tcW w:w="992" w:type="dxa"/>
            <w:vAlign w:val="center"/>
          </w:tcPr>
          <w:p w14:paraId="425C81C3"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5EFC40BB"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344 (30.2) </w:t>
            </w:r>
          </w:p>
        </w:tc>
        <w:tc>
          <w:tcPr>
            <w:tcW w:w="1701" w:type="dxa"/>
            <w:vAlign w:val="center"/>
          </w:tcPr>
          <w:p w14:paraId="0E4C3CFF" w14:textId="47D531F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1547 (27.0) </w:t>
            </w:r>
          </w:p>
        </w:tc>
        <w:tc>
          <w:tcPr>
            <w:tcW w:w="1701" w:type="dxa"/>
            <w:vAlign w:val="center"/>
          </w:tcPr>
          <w:p w14:paraId="1DCCCE2B" w14:textId="58EB49B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1891 (27.6) </w:t>
            </w:r>
          </w:p>
        </w:tc>
        <w:tc>
          <w:tcPr>
            <w:tcW w:w="992" w:type="dxa"/>
            <w:vAlign w:val="center"/>
          </w:tcPr>
          <w:p w14:paraId="550DFEB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0.030 </w:t>
            </w:r>
          </w:p>
        </w:tc>
      </w:tr>
      <w:tr w:rsidR="00995EAD" w:rsidRPr="00613E10" w14:paraId="71CD8AA1" w14:textId="77777777" w:rsidTr="00D4325F">
        <w:trPr>
          <w:cantSplit/>
          <w:trHeight w:val="20"/>
        </w:trPr>
        <w:tc>
          <w:tcPr>
            <w:tcW w:w="2978" w:type="dxa"/>
            <w:vAlign w:val="center"/>
          </w:tcPr>
          <w:p w14:paraId="720B0340" w14:textId="2D2F54E4" w:rsidR="00995EAD" w:rsidRPr="00613E10" w:rsidRDefault="00995EAD" w:rsidP="00995EAD">
            <w:pPr>
              <w:spacing w:beforeLines="40" w:before="96" w:afterLines="40" w:after="96"/>
              <w:rPr>
                <w:rFonts w:eastAsia="Calibri" w:cs="Arial"/>
                <w:sz w:val="20"/>
                <w:szCs w:val="20"/>
                <w:highlight w:val="yellow"/>
              </w:rPr>
            </w:pPr>
            <w:r w:rsidRPr="00613E10">
              <w:rPr>
                <w:rFonts w:eastAsia="Calibri" w:cs="Arial"/>
                <w:sz w:val="20"/>
                <w:szCs w:val="20"/>
              </w:rPr>
              <w:t xml:space="preserve">Immunosuppressants excluding hydrocortisone and prednisolone, </w:t>
            </w:r>
            <w:r w:rsidRPr="00613E10">
              <w:rPr>
                <w:rFonts w:eastAsia="Calibri" w:cs="Arial"/>
                <w:iCs/>
                <w:color w:val="000000"/>
                <w:sz w:val="20"/>
                <w:szCs w:val="20"/>
                <w:lang w:eastAsia="en-GB"/>
              </w:rPr>
              <w:t>n (%)</w:t>
            </w:r>
          </w:p>
        </w:tc>
        <w:tc>
          <w:tcPr>
            <w:tcW w:w="1701" w:type="dxa"/>
            <w:vAlign w:val="center"/>
          </w:tcPr>
          <w:p w14:paraId="2B88B4D3"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59 (0.9)</w:t>
            </w:r>
          </w:p>
        </w:tc>
        <w:tc>
          <w:tcPr>
            <w:tcW w:w="1701" w:type="dxa"/>
            <w:vAlign w:val="center"/>
          </w:tcPr>
          <w:p w14:paraId="368DBED2"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27 (0.2)</w:t>
            </w:r>
          </w:p>
        </w:tc>
        <w:tc>
          <w:tcPr>
            <w:tcW w:w="1701" w:type="dxa"/>
            <w:vAlign w:val="center"/>
          </w:tcPr>
          <w:p w14:paraId="76DE52A8"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86 (0.4)</w:t>
            </w:r>
          </w:p>
        </w:tc>
        <w:tc>
          <w:tcPr>
            <w:tcW w:w="992" w:type="dxa"/>
            <w:vAlign w:val="center"/>
          </w:tcPr>
          <w:p w14:paraId="4A15E51A"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1BD1BD5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9 (0.8) </w:t>
            </w:r>
          </w:p>
        </w:tc>
        <w:tc>
          <w:tcPr>
            <w:tcW w:w="1701" w:type="dxa"/>
            <w:vAlign w:val="center"/>
          </w:tcPr>
          <w:p w14:paraId="58588898"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50 (0.9) </w:t>
            </w:r>
          </w:p>
        </w:tc>
        <w:tc>
          <w:tcPr>
            <w:tcW w:w="1701" w:type="dxa"/>
            <w:vAlign w:val="center"/>
          </w:tcPr>
          <w:p w14:paraId="577D039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59 (0.9) </w:t>
            </w:r>
          </w:p>
        </w:tc>
        <w:tc>
          <w:tcPr>
            <w:tcW w:w="992" w:type="dxa"/>
            <w:vAlign w:val="center"/>
          </w:tcPr>
          <w:p w14:paraId="71FF7F8F"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0.778 </w:t>
            </w:r>
          </w:p>
        </w:tc>
      </w:tr>
      <w:tr w:rsidR="00995EAD" w:rsidRPr="00613E10" w14:paraId="027D8BC8" w14:textId="77777777" w:rsidTr="00D4325F">
        <w:trPr>
          <w:cantSplit/>
          <w:trHeight w:val="20"/>
        </w:trPr>
        <w:tc>
          <w:tcPr>
            <w:tcW w:w="2978" w:type="dxa"/>
            <w:vAlign w:val="center"/>
          </w:tcPr>
          <w:p w14:paraId="754C4217" w14:textId="0B78C40B" w:rsidR="00995EAD" w:rsidRPr="00613E10" w:rsidRDefault="00995EAD" w:rsidP="00995EAD">
            <w:pPr>
              <w:spacing w:beforeLines="40" w:before="96" w:afterLines="40" w:after="96"/>
              <w:rPr>
                <w:rFonts w:eastAsia="Calibri" w:cs="Arial"/>
                <w:sz w:val="20"/>
                <w:szCs w:val="20"/>
                <w:highlight w:val="yellow"/>
              </w:rPr>
            </w:pPr>
            <w:r w:rsidRPr="00613E10">
              <w:rPr>
                <w:rFonts w:eastAsia="Calibri" w:cs="Arial"/>
                <w:sz w:val="20"/>
                <w:szCs w:val="20"/>
              </w:rPr>
              <w:t>Hydrocortisone and/or prednisolone</w:t>
            </w:r>
            <w:r w:rsidRPr="00613E10">
              <w:rPr>
                <w:rFonts w:eastAsia="Calibri" w:cs="Arial"/>
                <w:iCs/>
                <w:color w:val="000000"/>
                <w:sz w:val="20"/>
                <w:szCs w:val="20"/>
                <w:lang w:eastAsia="en-GB"/>
              </w:rPr>
              <w:t>, n (%)</w:t>
            </w:r>
          </w:p>
        </w:tc>
        <w:tc>
          <w:tcPr>
            <w:tcW w:w="1701" w:type="dxa"/>
            <w:vAlign w:val="center"/>
          </w:tcPr>
          <w:p w14:paraId="0990531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788 (11.5)</w:t>
            </w:r>
          </w:p>
        </w:tc>
        <w:tc>
          <w:tcPr>
            <w:tcW w:w="1701" w:type="dxa"/>
            <w:vAlign w:val="center"/>
          </w:tcPr>
          <w:p w14:paraId="00D027AC" w14:textId="5577E206"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1023 (7.5)</w:t>
            </w:r>
          </w:p>
        </w:tc>
        <w:tc>
          <w:tcPr>
            <w:tcW w:w="1701" w:type="dxa"/>
            <w:vAlign w:val="center"/>
          </w:tcPr>
          <w:p w14:paraId="4C8E9932" w14:textId="7326D346"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1811 (8.8)</w:t>
            </w:r>
          </w:p>
        </w:tc>
        <w:tc>
          <w:tcPr>
            <w:tcW w:w="992" w:type="dxa"/>
            <w:vAlign w:val="center"/>
          </w:tcPr>
          <w:p w14:paraId="1597F759"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408340C9"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137 (12.0) </w:t>
            </w:r>
          </w:p>
        </w:tc>
        <w:tc>
          <w:tcPr>
            <w:tcW w:w="1701" w:type="dxa"/>
            <w:vAlign w:val="center"/>
          </w:tcPr>
          <w:p w14:paraId="065929E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649 (11.3) </w:t>
            </w:r>
          </w:p>
        </w:tc>
        <w:tc>
          <w:tcPr>
            <w:tcW w:w="1701" w:type="dxa"/>
            <w:vAlign w:val="center"/>
          </w:tcPr>
          <w:p w14:paraId="25A85277"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786 (11.5) </w:t>
            </w:r>
          </w:p>
        </w:tc>
        <w:tc>
          <w:tcPr>
            <w:tcW w:w="992" w:type="dxa"/>
            <w:vAlign w:val="center"/>
          </w:tcPr>
          <w:p w14:paraId="45705BC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0.513 </w:t>
            </w:r>
          </w:p>
        </w:tc>
      </w:tr>
      <w:tr w:rsidR="00995EAD" w:rsidRPr="00613E10" w14:paraId="79A6C10D" w14:textId="77777777" w:rsidTr="00D4325F">
        <w:trPr>
          <w:cantSplit/>
          <w:trHeight w:val="20"/>
        </w:trPr>
        <w:tc>
          <w:tcPr>
            <w:tcW w:w="2978" w:type="dxa"/>
            <w:vAlign w:val="center"/>
          </w:tcPr>
          <w:p w14:paraId="25682AC2" w14:textId="13F64E3F"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Proton</w:t>
            </w:r>
            <w:r>
              <w:rPr>
                <w:rFonts w:eastAsia="Calibri" w:cs="Arial"/>
                <w:sz w:val="20"/>
                <w:szCs w:val="20"/>
              </w:rPr>
              <w:t>-</w:t>
            </w:r>
            <w:r w:rsidRPr="00613E10">
              <w:rPr>
                <w:rFonts w:eastAsia="Calibri" w:cs="Arial"/>
                <w:sz w:val="20"/>
                <w:szCs w:val="20"/>
              </w:rPr>
              <w:t>pump inhibitors,</w:t>
            </w:r>
            <w:r w:rsidRPr="00613E10">
              <w:rPr>
                <w:rFonts w:eastAsia="Calibri" w:cs="Arial"/>
                <w:iCs/>
                <w:color w:val="000000"/>
                <w:sz w:val="20"/>
                <w:szCs w:val="20"/>
                <w:lang w:eastAsia="en-GB"/>
              </w:rPr>
              <w:t xml:space="preserve"> n (%)</w:t>
            </w:r>
          </w:p>
        </w:tc>
        <w:tc>
          <w:tcPr>
            <w:tcW w:w="1701" w:type="dxa"/>
            <w:vAlign w:val="center"/>
          </w:tcPr>
          <w:p w14:paraId="283D29AD" w14:textId="33840F21"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2285 (33.3) </w:t>
            </w:r>
          </w:p>
        </w:tc>
        <w:tc>
          <w:tcPr>
            <w:tcW w:w="1701" w:type="dxa"/>
            <w:vAlign w:val="center"/>
          </w:tcPr>
          <w:p w14:paraId="4D748A1E" w14:textId="6C4531A3"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2806 (20.4) </w:t>
            </w:r>
          </w:p>
        </w:tc>
        <w:tc>
          <w:tcPr>
            <w:tcW w:w="1701" w:type="dxa"/>
            <w:vAlign w:val="center"/>
          </w:tcPr>
          <w:p w14:paraId="0AE38A8D" w14:textId="358E3373"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5091 (24.7) </w:t>
            </w:r>
          </w:p>
        </w:tc>
        <w:tc>
          <w:tcPr>
            <w:tcW w:w="992" w:type="dxa"/>
            <w:vAlign w:val="center"/>
          </w:tcPr>
          <w:p w14:paraId="5646FB0B"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&lt;0.001 </w:t>
            </w:r>
          </w:p>
        </w:tc>
        <w:tc>
          <w:tcPr>
            <w:tcW w:w="1701" w:type="dxa"/>
            <w:vAlign w:val="center"/>
          </w:tcPr>
          <w:p w14:paraId="022F641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382 (33.5) </w:t>
            </w:r>
          </w:p>
        </w:tc>
        <w:tc>
          <w:tcPr>
            <w:tcW w:w="1701" w:type="dxa"/>
            <w:vAlign w:val="center"/>
          </w:tcPr>
          <w:p w14:paraId="6F1F10EE" w14:textId="2B5898B9"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1888 (33.0) </w:t>
            </w:r>
          </w:p>
        </w:tc>
        <w:tc>
          <w:tcPr>
            <w:tcW w:w="1701" w:type="dxa"/>
            <w:vAlign w:val="center"/>
          </w:tcPr>
          <w:p w14:paraId="15D9671D" w14:textId="00E7B1CD"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2270 (33.1) </w:t>
            </w:r>
          </w:p>
        </w:tc>
        <w:tc>
          <w:tcPr>
            <w:tcW w:w="992" w:type="dxa"/>
            <w:vAlign w:val="center"/>
          </w:tcPr>
          <w:p w14:paraId="50557643"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0.737 </w:t>
            </w:r>
          </w:p>
        </w:tc>
      </w:tr>
      <w:tr w:rsidR="00995EAD" w:rsidRPr="00613E10" w14:paraId="58D5B366" w14:textId="77777777" w:rsidTr="00D4325F">
        <w:trPr>
          <w:cantSplit/>
          <w:trHeight w:val="20"/>
        </w:trPr>
        <w:tc>
          <w:tcPr>
            <w:tcW w:w="2978" w:type="dxa"/>
            <w:tcBorders>
              <w:bottom w:val="single" w:sz="4" w:space="0" w:color="auto"/>
            </w:tcBorders>
            <w:vAlign w:val="center"/>
          </w:tcPr>
          <w:p w14:paraId="0D491253" w14:textId="62D7F25D"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Glucocorticoids,</w:t>
            </w:r>
            <w:r w:rsidRPr="00613E10">
              <w:rPr>
                <w:rFonts w:eastAsia="Calibri" w:cs="Arial"/>
                <w:iCs/>
                <w:color w:val="000000"/>
                <w:sz w:val="20"/>
                <w:szCs w:val="20"/>
                <w:lang w:eastAsia="en-GB"/>
              </w:rPr>
              <w:t xml:space="preserve"> n (%)</w:t>
            </w:r>
          </w:p>
        </w:tc>
        <w:tc>
          <w:tcPr>
            <w:tcW w:w="1701" w:type="dxa"/>
            <w:tcBorders>
              <w:bottom w:val="single" w:sz="4" w:space="0" w:color="auto"/>
            </w:tcBorders>
            <w:vAlign w:val="center"/>
          </w:tcPr>
          <w:p w14:paraId="4750C4B5"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804 (11.7) </w:t>
            </w:r>
          </w:p>
        </w:tc>
        <w:tc>
          <w:tcPr>
            <w:tcW w:w="1701" w:type="dxa"/>
            <w:tcBorders>
              <w:bottom w:val="single" w:sz="4" w:space="0" w:color="auto"/>
            </w:tcBorders>
            <w:vAlign w:val="center"/>
          </w:tcPr>
          <w:p w14:paraId="00972355" w14:textId="539CA89D"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1041 (7.6) </w:t>
            </w:r>
          </w:p>
        </w:tc>
        <w:tc>
          <w:tcPr>
            <w:tcW w:w="1701" w:type="dxa"/>
            <w:tcBorders>
              <w:bottom w:val="single" w:sz="4" w:space="0" w:color="auto"/>
            </w:tcBorders>
            <w:vAlign w:val="center"/>
          </w:tcPr>
          <w:p w14:paraId="4133239C" w14:textId="3BFD7025"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1845 (9.0) </w:t>
            </w:r>
          </w:p>
        </w:tc>
        <w:tc>
          <w:tcPr>
            <w:tcW w:w="992" w:type="dxa"/>
            <w:tcBorders>
              <w:bottom w:val="single" w:sz="4" w:space="0" w:color="auto"/>
            </w:tcBorders>
            <w:vAlign w:val="center"/>
          </w:tcPr>
          <w:p w14:paraId="61E9E632"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&lt;0.001 </w:t>
            </w:r>
          </w:p>
        </w:tc>
        <w:tc>
          <w:tcPr>
            <w:tcW w:w="1701" w:type="dxa"/>
            <w:tcBorders>
              <w:bottom w:val="single" w:sz="4" w:space="0" w:color="auto"/>
            </w:tcBorders>
            <w:vAlign w:val="center"/>
          </w:tcPr>
          <w:p w14:paraId="23BD3A7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139 (12.2) </w:t>
            </w:r>
          </w:p>
        </w:tc>
        <w:tc>
          <w:tcPr>
            <w:tcW w:w="1701" w:type="dxa"/>
            <w:tcBorders>
              <w:bottom w:val="single" w:sz="4" w:space="0" w:color="auto"/>
            </w:tcBorders>
            <w:vAlign w:val="center"/>
          </w:tcPr>
          <w:p w14:paraId="2D7845D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663 (11.6) </w:t>
            </w:r>
          </w:p>
        </w:tc>
        <w:tc>
          <w:tcPr>
            <w:tcW w:w="1701" w:type="dxa"/>
            <w:tcBorders>
              <w:bottom w:val="single" w:sz="4" w:space="0" w:color="auto"/>
            </w:tcBorders>
            <w:vAlign w:val="center"/>
          </w:tcPr>
          <w:p w14:paraId="7A1B15F3"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802 (11.7) </w:t>
            </w:r>
          </w:p>
        </w:tc>
        <w:tc>
          <w:tcPr>
            <w:tcW w:w="992" w:type="dxa"/>
            <w:tcBorders>
              <w:bottom w:val="single" w:sz="4" w:space="0" w:color="auto"/>
            </w:tcBorders>
            <w:vAlign w:val="center"/>
          </w:tcPr>
          <w:p w14:paraId="7C25FFDD"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0.561 </w:t>
            </w:r>
          </w:p>
        </w:tc>
      </w:tr>
      <w:tr w:rsidR="00995EAD" w:rsidRPr="00613E10" w14:paraId="6B7125AF" w14:textId="77777777" w:rsidTr="00D4325F">
        <w:trPr>
          <w:cantSplit/>
          <w:trHeight w:val="20"/>
        </w:trPr>
        <w:tc>
          <w:tcPr>
            <w:tcW w:w="8081" w:type="dxa"/>
            <w:gridSpan w:val="4"/>
            <w:tcBorders>
              <w:top w:val="single" w:sz="4" w:space="0" w:color="auto"/>
              <w:left w:val="single" w:sz="4" w:space="0" w:color="auto"/>
              <w:bottom w:val="single" w:sz="4" w:space="0" w:color="auto"/>
              <w:right w:val="nil"/>
            </w:tcBorders>
            <w:vAlign w:val="center"/>
          </w:tcPr>
          <w:p w14:paraId="72FEB794" w14:textId="0811AE97" w:rsidR="00995EAD" w:rsidRPr="00613E10" w:rsidRDefault="00995EAD" w:rsidP="00995EAD">
            <w:pPr>
              <w:spacing w:beforeLines="40" w:before="96" w:afterLines="40" w:after="96"/>
              <w:rPr>
                <w:rFonts w:eastAsia="Calibri" w:cs="Arial"/>
                <w:sz w:val="20"/>
                <w:szCs w:val="20"/>
              </w:rPr>
            </w:pPr>
            <w:r w:rsidRPr="00613E10">
              <w:rPr>
                <w:rFonts w:eastAsia="Calibri" w:cs="Arial"/>
                <w:b/>
                <w:sz w:val="20"/>
                <w:szCs w:val="20"/>
              </w:rPr>
              <w:t>Health service use ≤12 months previously</w:t>
            </w:r>
          </w:p>
        </w:tc>
        <w:tc>
          <w:tcPr>
            <w:tcW w:w="992" w:type="dxa"/>
            <w:tcBorders>
              <w:top w:val="single" w:sz="4" w:space="0" w:color="auto"/>
              <w:left w:val="nil"/>
              <w:bottom w:val="single" w:sz="4" w:space="0" w:color="auto"/>
              <w:right w:val="nil"/>
            </w:tcBorders>
            <w:vAlign w:val="center"/>
          </w:tcPr>
          <w:p w14:paraId="30D596B0"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39434224"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644D40DC" w14:textId="77777777" w:rsidR="00995EAD" w:rsidRPr="00613E10" w:rsidRDefault="00995EAD" w:rsidP="00995EAD">
            <w:pPr>
              <w:spacing w:beforeLines="40" w:before="96" w:afterLines="40" w:after="96"/>
              <w:rPr>
                <w:rFonts w:eastAsia="Calibri" w:cs="Arial"/>
                <w:sz w:val="20"/>
                <w:szCs w:val="20"/>
              </w:rPr>
            </w:pPr>
          </w:p>
        </w:tc>
        <w:tc>
          <w:tcPr>
            <w:tcW w:w="1701" w:type="dxa"/>
            <w:tcBorders>
              <w:top w:val="single" w:sz="4" w:space="0" w:color="auto"/>
              <w:left w:val="nil"/>
              <w:bottom w:val="single" w:sz="4" w:space="0" w:color="auto"/>
              <w:right w:val="nil"/>
            </w:tcBorders>
            <w:vAlign w:val="center"/>
          </w:tcPr>
          <w:p w14:paraId="02BE1357" w14:textId="77777777" w:rsidR="00995EAD" w:rsidRPr="00613E10" w:rsidRDefault="00995EAD" w:rsidP="00995EAD">
            <w:pPr>
              <w:spacing w:beforeLines="40" w:before="96" w:afterLines="40" w:after="96"/>
              <w:rPr>
                <w:rFonts w:eastAsia="Calibri" w:cs="Arial"/>
                <w:sz w:val="20"/>
                <w:szCs w:val="20"/>
              </w:rPr>
            </w:pPr>
          </w:p>
        </w:tc>
        <w:tc>
          <w:tcPr>
            <w:tcW w:w="992" w:type="dxa"/>
            <w:tcBorders>
              <w:top w:val="single" w:sz="4" w:space="0" w:color="auto"/>
              <w:left w:val="nil"/>
              <w:bottom w:val="single" w:sz="4" w:space="0" w:color="auto"/>
              <w:right w:val="single" w:sz="4" w:space="0" w:color="auto"/>
            </w:tcBorders>
            <w:vAlign w:val="center"/>
          </w:tcPr>
          <w:p w14:paraId="50F894CC" w14:textId="77777777" w:rsidR="00995EAD" w:rsidRPr="00613E10" w:rsidRDefault="00995EAD" w:rsidP="00995EAD">
            <w:pPr>
              <w:spacing w:beforeLines="40" w:before="96" w:afterLines="40" w:after="96"/>
              <w:rPr>
                <w:rFonts w:eastAsia="Calibri" w:cs="Arial"/>
                <w:sz w:val="20"/>
                <w:szCs w:val="20"/>
              </w:rPr>
            </w:pPr>
          </w:p>
        </w:tc>
      </w:tr>
      <w:tr w:rsidR="00995EAD" w:rsidRPr="00613E10" w14:paraId="48474C9F" w14:textId="77777777" w:rsidTr="00D4325F">
        <w:trPr>
          <w:cantSplit/>
          <w:trHeight w:val="20"/>
        </w:trPr>
        <w:tc>
          <w:tcPr>
            <w:tcW w:w="2978" w:type="dxa"/>
            <w:tcBorders>
              <w:top w:val="single" w:sz="4" w:space="0" w:color="auto"/>
            </w:tcBorders>
            <w:vAlign w:val="center"/>
          </w:tcPr>
          <w:p w14:paraId="6EBF97AB" w14:textId="607F6C00"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GP consultations, mean (SD) </w:t>
            </w:r>
          </w:p>
        </w:tc>
        <w:tc>
          <w:tcPr>
            <w:tcW w:w="1701" w:type="dxa"/>
            <w:tcBorders>
              <w:top w:val="single" w:sz="4" w:space="0" w:color="auto"/>
            </w:tcBorders>
            <w:vAlign w:val="center"/>
          </w:tcPr>
          <w:p w14:paraId="472A66F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17.2 (15.4) </w:t>
            </w:r>
          </w:p>
        </w:tc>
        <w:tc>
          <w:tcPr>
            <w:tcW w:w="1701" w:type="dxa"/>
            <w:tcBorders>
              <w:top w:val="single" w:sz="4" w:space="0" w:color="auto"/>
            </w:tcBorders>
            <w:vAlign w:val="center"/>
          </w:tcPr>
          <w:p w14:paraId="40BC1413"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12.3 (11.7) </w:t>
            </w:r>
          </w:p>
        </w:tc>
        <w:tc>
          <w:tcPr>
            <w:tcW w:w="1701" w:type="dxa"/>
            <w:tcBorders>
              <w:top w:val="single" w:sz="4" w:space="0" w:color="auto"/>
            </w:tcBorders>
            <w:vAlign w:val="center"/>
          </w:tcPr>
          <w:p w14:paraId="0A5B05A8"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13.9 (13.2) </w:t>
            </w:r>
          </w:p>
        </w:tc>
        <w:tc>
          <w:tcPr>
            <w:tcW w:w="992" w:type="dxa"/>
            <w:tcBorders>
              <w:top w:val="single" w:sz="4" w:space="0" w:color="auto"/>
            </w:tcBorders>
            <w:vAlign w:val="center"/>
          </w:tcPr>
          <w:p w14:paraId="60F4AEF5"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&lt;0.001 </w:t>
            </w:r>
          </w:p>
        </w:tc>
        <w:tc>
          <w:tcPr>
            <w:tcW w:w="1701" w:type="dxa"/>
            <w:tcBorders>
              <w:top w:val="single" w:sz="4" w:space="0" w:color="auto"/>
            </w:tcBorders>
            <w:vAlign w:val="center"/>
          </w:tcPr>
          <w:p w14:paraId="71A4D5A9"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17.8 (15.8)</w:t>
            </w:r>
          </w:p>
        </w:tc>
        <w:tc>
          <w:tcPr>
            <w:tcW w:w="1701" w:type="dxa"/>
            <w:tcBorders>
              <w:top w:val="single" w:sz="4" w:space="0" w:color="auto"/>
            </w:tcBorders>
            <w:vAlign w:val="center"/>
          </w:tcPr>
          <w:p w14:paraId="5BA59C3E"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17.1 (15.4)</w:t>
            </w:r>
          </w:p>
        </w:tc>
        <w:tc>
          <w:tcPr>
            <w:tcW w:w="1701" w:type="dxa"/>
            <w:tcBorders>
              <w:top w:val="single" w:sz="4" w:space="0" w:color="auto"/>
            </w:tcBorders>
            <w:vAlign w:val="center"/>
          </w:tcPr>
          <w:p w14:paraId="7B67ED6E"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17.3 (15.4)</w:t>
            </w:r>
          </w:p>
        </w:tc>
        <w:tc>
          <w:tcPr>
            <w:tcW w:w="992" w:type="dxa"/>
            <w:tcBorders>
              <w:top w:val="single" w:sz="4" w:space="0" w:color="auto"/>
            </w:tcBorders>
            <w:vAlign w:val="center"/>
          </w:tcPr>
          <w:p w14:paraId="5D0C9F47"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0.537</w:t>
            </w:r>
          </w:p>
        </w:tc>
      </w:tr>
      <w:tr w:rsidR="00995EAD" w:rsidRPr="00613E10" w14:paraId="205AE024" w14:textId="77777777" w:rsidTr="00D4325F">
        <w:trPr>
          <w:cantSplit/>
          <w:trHeight w:val="20"/>
        </w:trPr>
        <w:tc>
          <w:tcPr>
            <w:tcW w:w="2978" w:type="dxa"/>
            <w:vAlign w:val="center"/>
          </w:tcPr>
          <w:p w14:paraId="725343D4" w14:textId="04C409F8"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 prior hospitali</w:t>
            </w:r>
            <w:r>
              <w:rPr>
                <w:rFonts w:eastAsia="Calibri" w:cs="Arial"/>
                <w:sz w:val="20"/>
                <w:szCs w:val="20"/>
              </w:rPr>
              <w:t>z</w:t>
            </w:r>
            <w:r w:rsidRPr="00613E10">
              <w:rPr>
                <w:rFonts w:eastAsia="Calibri" w:cs="Arial"/>
                <w:sz w:val="20"/>
                <w:szCs w:val="20"/>
              </w:rPr>
              <w:t>ations</w:t>
            </w:r>
          </w:p>
        </w:tc>
        <w:tc>
          <w:tcPr>
            <w:tcW w:w="1701" w:type="dxa"/>
            <w:vAlign w:val="center"/>
          </w:tcPr>
          <w:p w14:paraId="7F5E1492" w14:textId="6FBF305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2926 (42.6) </w:t>
            </w:r>
          </w:p>
        </w:tc>
        <w:tc>
          <w:tcPr>
            <w:tcW w:w="1701" w:type="dxa"/>
            <w:vAlign w:val="center"/>
          </w:tcPr>
          <w:p w14:paraId="57482F48" w14:textId="14AEF4E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2124 (15.5) </w:t>
            </w:r>
          </w:p>
        </w:tc>
        <w:tc>
          <w:tcPr>
            <w:tcW w:w="1701" w:type="dxa"/>
            <w:vAlign w:val="center"/>
          </w:tcPr>
          <w:p w14:paraId="074ABBF2" w14:textId="16F6978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5050 (24.5) </w:t>
            </w:r>
          </w:p>
        </w:tc>
        <w:tc>
          <w:tcPr>
            <w:tcW w:w="992" w:type="dxa"/>
            <w:vAlign w:val="center"/>
          </w:tcPr>
          <w:p w14:paraId="5918DDC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7B73B3F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574 (50.4%) </w:t>
            </w:r>
          </w:p>
        </w:tc>
        <w:tc>
          <w:tcPr>
            <w:tcW w:w="1701" w:type="dxa"/>
            <w:vAlign w:val="center"/>
          </w:tcPr>
          <w:p w14:paraId="20CBD43D" w14:textId="0D205D81"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2809 (49.1%) </w:t>
            </w:r>
          </w:p>
        </w:tc>
        <w:tc>
          <w:tcPr>
            <w:tcW w:w="1701" w:type="dxa"/>
            <w:vAlign w:val="center"/>
          </w:tcPr>
          <w:p w14:paraId="4699E2FB" w14:textId="2DAFE592"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3383 (49.3%) </w:t>
            </w:r>
          </w:p>
        </w:tc>
        <w:tc>
          <w:tcPr>
            <w:tcW w:w="992" w:type="dxa"/>
            <w:vAlign w:val="center"/>
          </w:tcPr>
          <w:p w14:paraId="18A58137"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0.032 </w:t>
            </w:r>
          </w:p>
        </w:tc>
      </w:tr>
      <w:tr w:rsidR="00995EAD" w:rsidRPr="00613E10" w14:paraId="04A20024" w14:textId="77777777" w:rsidTr="00D4325F">
        <w:trPr>
          <w:cantSplit/>
          <w:trHeight w:val="20"/>
        </w:trPr>
        <w:tc>
          <w:tcPr>
            <w:tcW w:w="2978" w:type="dxa"/>
            <w:vAlign w:val="center"/>
          </w:tcPr>
          <w:p w14:paraId="595591A7" w14:textId="5006E55C" w:rsidR="00995EAD" w:rsidRPr="00613E10" w:rsidRDefault="00995EAD" w:rsidP="00995EAD">
            <w:pPr>
              <w:spacing w:beforeLines="40" w:before="96" w:afterLines="40" w:after="96"/>
              <w:rPr>
                <w:rFonts w:eastAsia="Calibri" w:cs="Arial"/>
                <w:b/>
                <w:sz w:val="20"/>
                <w:szCs w:val="20"/>
              </w:rPr>
            </w:pPr>
            <w:r w:rsidRPr="00613E10">
              <w:rPr>
                <w:rFonts w:eastAsia="Calibri" w:cs="Arial"/>
                <w:b/>
                <w:sz w:val="20"/>
                <w:szCs w:val="20"/>
              </w:rPr>
              <w:t>Index hospitali</w:t>
            </w:r>
            <w:r>
              <w:rPr>
                <w:rFonts w:eastAsia="Calibri" w:cs="Arial"/>
                <w:b/>
                <w:sz w:val="20"/>
                <w:szCs w:val="20"/>
              </w:rPr>
              <w:t>z</w:t>
            </w:r>
            <w:r w:rsidRPr="00613E10">
              <w:rPr>
                <w:rFonts w:eastAsia="Calibri" w:cs="Arial"/>
                <w:b/>
                <w:sz w:val="20"/>
                <w:szCs w:val="20"/>
              </w:rPr>
              <w:t>ation</w:t>
            </w:r>
          </w:p>
        </w:tc>
        <w:tc>
          <w:tcPr>
            <w:tcW w:w="1701" w:type="dxa"/>
            <w:vAlign w:val="center"/>
          </w:tcPr>
          <w:p w14:paraId="42C1A5EF" w14:textId="77777777" w:rsidR="00995EAD" w:rsidRPr="00613E10" w:rsidRDefault="00995EAD" w:rsidP="00995EAD">
            <w:pPr>
              <w:spacing w:beforeLines="40" w:before="96" w:afterLines="40" w:after="96"/>
              <w:rPr>
                <w:rFonts w:eastAsia="Calibri" w:cs="Arial"/>
                <w:sz w:val="20"/>
                <w:szCs w:val="20"/>
              </w:rPr>
            </w:pPr>
          </w:p>
        </w:tc>
        <w:tc>
          <w:tcPr>
            <w:tcW w:w="1701" w:type="dxa"/>
            <w:vAlign w:val="center"/>
          </w:tcPr>
          <w:p w14:paraId="1A079BBE" w14:textId="77777777" w:rsidR="00995EAD" w:rsidRPr="00613E10" w:rsidRDefault="00995EAD" w:rsidP="00995EAD">
            <w:pPr>
              <w:spacing w:beforeLines="40" w:before="96" w:afterLines="40" w:after="96"/>
              <w:rPr>
                <w:rFonts w:eastAsia="Calibri" w:cs="Arial"/>
                <w:sz w:val="20"/>
                <w:szCs w:val="20"/>
              </w:rPr>
            </w:pPr>
          </w:p>
        </w:tc>
        <w:tc>
          <w:tcPr>
            <w:tcW w:w="1701" w:type="dxa"/>
            <w:vAlign w:val="center"/>
          </w:tcPr>
          <w:p w14:paraId="30EE7A4D" w14:textId="77777777" w:rsidR="00995EAD" w:rsidRPr="00613E10" w:rsidRDefault="00995EAD" w:rsidP="00995EAD">
            <w:pPr>
              <w:spacing w:beforeLines="40" w:before="96" w:afterLines="40" w:after="96"/>
              <w:rPr>
                <w:rFonts w:eastAsia="Calibri" w:cs="Arial"/>
                <w:sz w:val="20"/>
                <w:szCs w:val="20"/>
              </w:rPr>
            </w:pPr>
          </w:p>
        </w:tc>
        <w:tc>
          <w:tcPr>
            <w:tcW w:w="992" w:type="dxa"/>
            <w:vAlign w:val="center"/>
          </w:tcPr>
          <w:p w14:paraId="47D6B13E" w14:textId="77777777" w:rsidR="00995EAD" w:rsidRPr="00613E10" w:rsidRDefault="00995EAD" w:rsidP="00995EAD">
            <w:pPr>
              <w:spacing w:beforeLines="40" w:before="96" w:afterLines="40" w:after="96"/>
              <w:rPr>
                <w:rFonts w:eastAsia="Calibri" w:cs="Arial"/>
                <w:sz w:val="20"/>
                <w:szCs w:val="20"/>
              </w:rPr>
            </w:pPr>
          </w:p>
        </w:tc>
        <w:tc>
          <w:tcPr>
            <w:tcW w:w="1701" w:type="dxa"/>
            <w:vAlign w:val="center"/>
          </w:tcPr>
          <w:p w14:paraId="310CA1DB" w14:textId="77777777" w:rsidR="00995EAD" w:rsidRPr="00613E10" w:rsidRDefault="00995EAD" w:rsidP="00995EAD">
            <w:pPr>
              <w:spacing w:beforeLines="40" w:before="96" w:afterLines="40" w:after="96"/>
              <w:rPr>
                <w:rFonts w:eastAsia="Calibri" w:cs="Arial"/>
                <w:sz w:val="20"/>
                <w:szCs w:val="20"/>
              </w:rPr>
            </w:pPr>
          </w:p>
        </w:tc>
        <w:tc>
          <w:tcPr>
            <w:tcW w:w="1701" w:type="dxa"/>
            <w:vAlign w:val="center"/>
          </w:tcPr>
          <w:p w14:paraId="4CAA2C4B" w14:textId="77777777" w:rsidR="00995EAD" w:rsidRPr="00613E10" w:rsidRDefault="00995EAD" w:rsidP="00995EAD">
            <w:pPr>
              <w:spacing w:beforeLines="40" w:before="96" w:afterLines="40" w:after="96"/>
              <w:rPr>
                <w:rFonts w:eastAsia="Calibri" w:cs="Arial"/>
                <w:sz w:val="20"/>
                <w:szCs w:val="20"/>
              </w:rPr>
            </w:pPr>
          </w:p>
        </w:tc>
        <w:tc>
          <w:tcPr>
            <w:tcW w:w="1701" w:type="dxa"/>
            <w:vAlign w:val="center"/>
          </w:tcPr>
          <w:p w14:paraId="37721C01" w14:textId="77777777" w:rsidR="00995EAD" w:rsidRPr="00613E10" w:rsidRDefault="00995EAD" w:rsidP="00995EAD">
            <w:pPr>
              <w:spacing w:beforeLines="40" w:before="96" w:afterLines="40" w:after="96"/>
              <w:rPr>
                <w:rFonts w:eastAsia="Calibri" w:cs="Arial"/>
                <w:sz w:val="20"/>
                <w:szCs w:val="20"/>
              </w:rPr>
            </w:pPr>
          </w:p>
        </w:tc>
        <w:tc>
          <w:tcPr>
            <w:tcW w:w="992" w:type="dxa"/>
            <w:vAlign w:val="center"/>
          </w:tcPr>
          <w:p w14:paraId="2FA91547" w14:textId="77777777" w:rsidR="00995EAD" w:rsidRPr="00613E10" w:rsidRDefault="00995EAD" w:rsidP="00995EAD">
            <w:pPr>
              <w:spacing w:beforeLines="40" w:before="96" w:afterLines="40" w:after="96"/>
              <w:rPr>
                <w:rFonts w:eastAsia="Calibri" w:cs="Arial"/>
                <w:sz w:val="20"/>
                <w:szCs w:val="20"/>
              </w:rPr>
            </w:pPr>
          </w:p>
        </w:tc>
      </w:tr>
      <w:tr w:rsidR="00995EAD" w:rsidRPr="00613E10" w14:paraId="0E0D618C" w14:textId="77777777" w:rsidTr="00D4325F">
        <w:trPr>
          <w:cantSplit/>
          <w:trHeight w:val="20"/>
        </w:trPr>
        <w:tc>
          <w:tcPr>
            <w:tcW w:w="2978" w:type="dxa"/>
            <w:vAlign w:val="center"/>
          </w:tcPr>
          <w:p w14:paraId="55EC1328" w14:textId="2D03B86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lastRenderedPageBreak/>
              <w:t>Duration of hospital stay, median (IQR)</w:t>
            </w:r>
          </w:p>
        </w:tc>
        <w:tc>
          <w:tcPr>
            <w:tcW w:w="1701" w:type="dxa"/>
            <w:vAlign w:val="center"/>
          </w:tcPr>
          <w:p w14:paraId="5CA7DA9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28.0 (15.0–50.0) </w:t>
            </w:r>
          </w:p>
        </w:tc>
        <w:tc>
          <w:tcPr>
            <w:tcW w:w="1701" w:type="dxa"/>
            <w:vAlign w:val="center"/>
          </w:tcPr>
          <w:p w14:paraId="2E78E23D"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6.0 (1.0–15.0) </w:t>
            </w:r>
          </w:p>
        </w:tc>
        <w:tc>
          <w:tcPr>
            <w:tcW w:w="1701" w:type="dxa"/>
            <w:vAlign w:val="center"/>
          </w:tcPr>
          <w:p w14:paraId="6E8C17C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11.0 (3.0–28.0) </w:t>
            </w:r>
          </w:p>
        </w:tc>
        <w:tc>
          <w:tcPr>
            <w:tcW w:w="992" w:type="dxa"/>
            <w:vAlign w:val="center"/>
          </w:tcPr>
          <w:p w14:paraId="0F78EA1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&lt;0.001</w:t>
            </w:r>
          </w:p>
        </w:tc>
        <w:tc>
          <w:tcPr>
            <w:tcW w:w="1701" w:type="dxa"/>
            <w:vAlign w:val="center"/>
          </w:tcPr>
          <w:p w14:paraId="2FC7A2DD"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39.0 (24.0–62.0)</w:t>
            </w:r>
          </w:p>
        </w:tc>
        <w:tc>
          <w:tcPr>
            <w:tcW w:w="1701" w:type="dxa"/>
            <w:vAlign w:val="center"/>
          </w:tcPr>
          <w:p w14:paraId="18BFCA7C"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26.0 (14.0–47.0)</w:t>
            </w:r>
          </w:p>
        </w:tc>
        <w:tc>
          <w:tcPr>
            <w:tcW w:w="1701" w:type="dxa"/>
            <w:vAlign w:val="center"/>
          </w:tcPr>
          <w:p w14:paraId="10C7B47E"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28.0 (15.0–50.0)</w:t>
            </w:r>
          </w:p>
        </w:tc>
        <w:tc>
          <w:tcPr>
            <w:tcW w:w="992" w:type="dxa"/>
            <w:vAlign w:val="center"/>
          </w:tcPr>
          <w:p w14:paraId="5863F72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&lt;0.001 </w:t>
            </w:r>
          </w:p>
        </w:tc>
      </w:tr>
      <w:tr w:rsidR="00995EAD" w:rsidRPr="00613E10" w14:paraId="46AAC119" w14:textId="77777777" w:rsidTr="00D4325F">
        <w:trPr>
          <w:cantSplit/>
          <w:trHeight w:val="20"/>
        </w:trPr>
        <w:tc>
          <w:tcPr>
            <w:tcW w:w="2978" w:type="dxa"/>
            <w:vAlign w:val="center"/>
          </w:tcPr>
          <w:p w14:paraId="3263EB3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Emergency admission, n (%)</w:t>
            </w:r>
          </w:p>
        </w:tc>
        <w:tc>
          <w:tcPr>
            <w:tcW w:w="1701" w:type="dxa"/>
            <w:vAlign w:val="center"/>
          </w:tcPr>
          <w:p w14:paraId="3E42542C" w14:textId="3399D3AA"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5832 (85.0) </w:t>
            </w:r>
          </w:p>
        </w:tc>
        <w:tc>
          <w:tcPr>
            <w:tcW w:w="1701" w:type="dxa"/>
            <w:vAlign w:val="center"/>
          </w:tcPr>
          <w:p w14:paraId="11A3FD9E" w14:textId="2F59E10C"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11</w:t>
            </w:r>
            <w:r>
              <w:rPr>
                <w:rFonts w:eastAsia="Calibri" w:cs="Arial"/>
                <w:sz w:val="20"/>
                <w:szCs w:val="20"/>
              </w:rPr>
              <w:t> </w:t>
            </w:r>
            <w:r w:rsidRPr="00613E10">
              <w:rPr>
                <w:rFonts w:eastAsia="Calibri" w:cs="Arial"/>
                <w:sz w:val="20"/>
                <w:szCs w:val="20"/>
              </w:rPr>
              <w:t xml:space="preserve">664 (85.0) </w:t>
            </w:r>
          </w:p>
        </w:tc>
        <w:tc>
          <w:tcPr>
            <w:tcW w:w="1701" w:type="dxa"/>
            <w:vAlign w:val="center"/>
          </w:tcPr>
          <w:p w14:paraId="5B4563DF" w14:textId="261B5D5B"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17</w:t>
            </w:r>
            <w:r>
              <w:rPr>
                <w:rFonts w:eastAsia="Calibri" w:cs="Arial"/>
                <w:sz w:val="20"/>
                <w:szCs w:val="20"/>
              </w:rPr>
              <w:t> </w:t>
            </w:r>
            <w:r w:rsidRPr="00613E10">
              <w:rPr>
                <w:rFonts w:eastAsia="Calibri" w:cs="Arial"/>
                <w:sz w:val="20"/>
                <w:szCs w:val="20"/>
              </w:rPr>
              <w:t xml:space="preserve">496 (85.0) </w:t>
            </w:r>
          </w:p>
        </w:tc>
        <w:tc>
          <w:tcPr>
            <w:tcW w:w="992" w:type="dxa"/>
            <w:vAlign w:val="center"/>
          </w:tcPr>
          <w:p w14:paraId="10155B2D" w14:textId="02D9374A" w:rsidR="00995EAD" w:rsidRPr="00613E10" w:rsidRDefault="00995EAD" w:rsidP="00995EAD">
            <w:pPr>
              <w:spacing w:beforeLines="40" w:before="96" w:afterLines="40" w:after="96"/>
              <w:rPr>
                <w:rFonts w:eastAsia="Calibri" w:cs="Arial"/>
                <w:sz w:val="20"/>
                <w:szCs w:val="20"/>
              </w:rPr>
            </w:pPr>
            <w:r>
              <w:rPr>
                <w:rFonts w:eastAsia="Calibri" w:cs="Arial"/>
                <w:sz w:val="20"/>
                <w:szCs w:val="20"/>
              </w:rPr>
              <w:t>1.000</w:t>
            </w:r>
            <w:r>
              <w:rPr>
                <w:rFonts w:eastAsia="Calibri" w:cs="Arial"/>
                <w:sz w:val="20"/>
                <w:szCs w:val="20"/>
                <w:vertAlign w:val="superscript"/>
              </w:rPr>
              <w:t>c</w:t>
            </w:r>
          </w:p>
        </w:tc>
        <w:tc>
          <w:tcPr>
            <w:tcW w:w="1701" w:type="dxa"/>
            <w:vAlign w:val="center"/>
          </w:tcPr>
          <w:p w14:paraId="1C4F6356"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997 (87.5) </w:t>
            </w:r>
          </w:p>
        </w:tc>
        <w:tc>
          <w:tcPr>
            <w:tcW w:w="1701" w:type="dxa"/>
            <w:vAlign w:val="center"/>
          </w:tcPr>
          <w:p w14:paraId="2CA2AB9E" w14:textId="622AD371"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4835 (84.5) </w:t>
            </w:r>
          </w:p>
        </w:tc>
        <w:tc>
          <w:tcPr>
            <w:tcW w:w="1701" w:type="dxa"/>
            <w:vAlign w:val="center"/>
          </w:tcPr>
          <w:p w14:paraId="779E89E9" w14:textId="1FFE93C9"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5832 (85.0) </w:t>
            </w:r>
          </w:p>
        </w:tc>
        <w:tc>
          <w:tcPr>
            <w:tcW w:w="992" w:type="dxa"/>
            <w:vAlign w:val="center"/>
          </w:tcPr>
          <w:p w14:paraId="181DB4B8"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0.011 </w:t>
            </w:r>
          </w:p>
        </w:tc>
      </w:tr>
      <w:tr w:rsidR="00995EAD" w:rsidRPr="00613E10" w14:paraId="27117D8B" w14:textId="77777777" w:rsidTr="00D4325F">
        <w:trPr>
          <w:cantSplit/>
          <w:trHeight w:val="20"/>
        </w:trPr>
        <w:tc>
          <w:tcPr>
            <w:tcW w:w="2978" w:type="dxa"/>
            <w:vAlign w:val="center"/>
          </w:tcPr>
          <w:p w14:paraId="1FBEB626" w14:textId="0AFD6090"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Augmented/intensive </w:t>
            </w:r>
            <w:proofErr w:type="spellStart"/>
            <w:r w:rsidRPr="00613E10">
              <w:rPr>
                <w:rFonts w:eastAsia="Calibri" w:cs="Arial"/>
                <w:sz w:val="20"/>
                <w:szCs w:val="20"/>
              </w:rPr>
              <w:t>care</w:t>
            </w:r>
            <w:r>
              <w:rPr>
                <w:rFonts w:eastAsia="Calibri" w:cs="Arial"/>
                <w:sz w:val="20"/>
                <w:szCs w:val="20"/>
                <w:vertAlign w:val="superscript"/>
              </w:rPr>
              <w:t>f</w:t>
            </w:r>
            <w:proofErr w:type="spellEnd"/>
            <w:r w:rsidRPr="00613E10">
              <w:rPr>
                <w:rFonts w:eastAsia="Calibri" w:cs="Arial"/>
                <w:sz w:val="20"/>
                <w:szCs w:val="20"/>
              </w:rPr>
              <w:t>, n (%)</w:t>
            </w:r>
          </w:p>
        </w:tc>
        <w:tc>
          <w:tcPr>
            <w:tcW w:w="1701" w:type="dxa"/>
            <w:vAlign w:val="center"/>
          </w:tcPr>
          <w:p w14:paraId="725E900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234 (3.4) </w:t>
            </w:r>
          </w:p>
        </w:tc>
        <w:tc>
          <w:tcPr>
            <w:tcW w:w="1701" w:type="dxa"/>
            <w:vAlign w:val="center"/>
          </w:tcPr>
          <w:p w14:paraId="30C7DCD8"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119 (0.9) </w:t>
            </w:r>
          </w:p>
        </w:tc>
        <w:tc>
          <w:tcPr>
            <w:tcW w:w="1701" w:type="dxa"/>
            <w:vAlign w:val="center"/>
          </w:tcPr>
          <w:p w14:paraId="7E7019D0"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353 (1.7) </w:t>
            </w:r>
          </w:p>
        </w:tc>
        <w:tc>
          <w:tcPr>
            <w:tcW w:w="992" w:type="dxa"/>
            <w:vAlign w:val="center"/>
          </w:tcPr>
          <w:p w14:paraId="2D9B4E7A"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&lt;0.001 </w:t>
            </w:r>
          </w:p>
        </w:tc>
        <w:tc>
          <w:tcPr>
            <w:tcW w:w="1701" w:type="dxa"/>
            <w:vAlign w:val="center"/>
          </w:tcPr>
          <w:p w14:paraId="3E228C7F"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44 (3.9) </w:t>
            </w:r>
          </w:p>
        </w:tc>
        <w:tc>
          <w:tcPr>
            <w:tcW w:w="1701" w:type="dxa"/>
            <w:vAlign w:val="center"/>
          </w:tcPr>
          <w:p w14:paraId="4E74C851"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229 (4.0) </w:t>
            </w:r>
          </w:p>
        </w:tc>
        <w:tc>
          <w:tcPr>
            <w:tcW w:w="1701" w:type="dxa"/>
            <w:vAlign w:val="center"/>
          </w:tcPr>
          <w:p w14:paraId="71359FA4"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273 (4.0) </w:t>
            </w:r>
          </w:p>
        </w:tc>
        <w:tc>
          <w:tcPr>
            <w:tcW w:w="992" w:type="dxa"/>
            <w:vAlign w:val="center"/>
          </w:tcPr>
          <w:p w14:paraId="313A5D13" w14:textId="77777777" w:rsidR="00995EAD" w:rsidRPr="00613E10" w:rsidRDefault="00995EAD" w:rsidP="00995EAD">
            <w:pPr>
              <w:spacing w:beforeLines="40" w:before="96" w:afterLines="40" w:after="96"/>
              <w:rPr>
                <w:rFonts w:eastAsia="Calibri" w:cs="Arial"/>
                <w:sz w:val="20"/>
                <w:szCs w:val="20"/>
              </w:rPr>
            </w:pPr>
            <w:r w:rsidRPr="00613E10">
              <w:rPr>
                <w:rFonts w:eastAsia="Calibri" w:cs="Arial"/>
                <w:sz w:val="20"/>
                <w:szCs w:val="20"/>
              </w:rPr>
              <w:t xml:space="preserve">0.822 </w:t>
            </w:r>
          </w:p>
        </w:tc>
      </w:tr>
    </w:tbl>
    <w:p w14:paraId="6509F697" w14:textId="3836CBDB" w:rsidR="00613E10" w:rsidRPr="00456633" w:rsidRDefault="00613E10" w:rsidP="00AD6E7E">
      <w:pPr>
        <w:tabs>
          <w:tab w:val="left" w:pos="851"/>
        </w:tabs>
        <w:rPr>
          <w:rFonts w:eastAsia="Calibri" w:cs="Arial"/>
          <w:szCs w:val="20"/>
        </w:rPr>
      </w:pPr>
      <w:proofErr w:type="spellStart"/>
      <w:r w:rsidRPr="00456633">
        <w:rPr>
          <w:rFonts w:eastAsia="Calibri" w:cs="Arial"/>
          <w:sz w:val="20"/>
          <w:szCs w:val="18"/>
          <w:vertAlign w:val="superscript"/>
        </w:rPr>
        <w:t>a</w:t>
      </w:r>
      <w:r w:rsidRPr="00456633">
        <w:rPr>
          <w:rFonts w:eastAsia="Calibri" w:cs="Arial"/>
          <w:sz w:val="20"/>
          <w:szCs w:val="18"/>
        </w:rPr>
        <w:t>Characteristics</w:t>
      </w:r>
      <w:proofErr w:type="spellEnd"/>
      <w:r w:rsidRPr="00456633">
        <w:rPr>
          <w:rFonts w:eastAsia="Calibri" w:cs="Arial"/>
          <w:sz w:val="20"/>
          <w:szCs w:val="18"/>
        </w:rPr>
        <w:t xml:space="preserve"> were assessed for the specified duration prior to index hospital admission. </w:t>
      </w:r>
      <w:proofErr w:type="spellStart"/>
      <w:r w:rsidRPr="00456633">
        <w:rPr>
          <w:rFonts w:eastAsia="Calibri" w:cs="Arial"/>
          <w:b/>
          <w:bCs/>
          <w:sz w:val="20"/>
          <w:szCs w:val="18"/>
          <w:vertAlign w:val="superscript"/>
        </w:rPr>
        <w:t>b</w:t>
      </w:r>
      <w:r w:rsidRPr="00456633">
        <w:rPr>
          <w:rFonts w:eastAsia="Calibri" w:cs="Arial"/>
          <w:bCs/>
          <w:sz w:val="20"/>
          <w:szCs w:val="18"/>
        </w:rPr>
        <w:t>C</w:t>
      </w:r>
      <w:r w:rsidRPr="00456633">
        <w:rPr>
          <w:rFonts w:eastAsia="Calibri" w:cs="Arial"/>
          <w:sz w:val="20"/>
          <w:szCs w:val="18"/>
        </w:rPr>
        <w:t>haracteristics</w:t>
      </w:r>
      <w:proofErr w:type="spellEnd"/>
      <w:r w:rsidRPr="00456633">
        <w:rPr>
          <w:rFonts w:eastAsia="Calibri" w:cs="Arial"/>
          <w:sz w:val="20"/>
          <w:szCs w:val="18"/>
        </w:rPr>
        <w:t xml:space="preserve"> were assessed for the specified period prior to the index HA-CDI episode. </w:t>
      </w:r>
      <w:proofErr w:type="spellStart"/>
      <w:r w:rsidRPr="00456633">
        <w:rPr>
          <w:rFonts w:eastAsia="Calibri" w:cs="Arial"/>
          <w:sz w:val="20"/>
          <w:szCs w:val="18"/>
          <w:vertAlign w:val="superscript"/>
        </w:rPr>
        <w:t>c</w:t>
      </w:r>
      <w:r w:rsidR="008D5963">
        <w:rPr>
          <w:rFonts w:eastAsia="Calibri" w:cs="Arial"/>
          <w:sz w:val="20"/>
          <w:szCs w:val="18"/>
        </w:rPr>
        <w:t>Patients</w:t>
      </w:r>
      <w:proofErr w:type="spellEnd"/>
      <w:r w:rsidR="008D5963">
        <w:rPr>
          <w:rFonts w:eastAsia="Calibri" w:cs="Arial"/>
          <w:sz w:val="20"/>
          <w:szCs w:val="18"/>
        </w:rPr>
        <w:t xml:space="preserve"> with no CDI were matched to those with HA-CDI</w:t>
      </w:r>
      <w:r w:rsidR="008D5963" w:rsidRPr="008D5963">
        <w:rPr>
          <w:rFonts w:eastAsia="Calibri" w:cs="Arial"/>
          <w:sz w:val="20"/>
          <w:szCs w:val="18"/>
        </w:rPr>
        <w:t xml:space="preserve"> </w:t>
      </w:r>
      <w:r w:rsidR="0056047C">
        <w:rPr>
          <w:rFonts w:eastAsia="Calibri" w:cs="Arial"/>
          <w:sz w:val="20"/>
          <w:szCs w:val="18"/>
        </w:rPr>
        <w:t>for</w:t>
      </w:r>
      <w:r w:rsidR="008D5963" w:rsidRPr="008D5963">
        <w:rPr>
          <w:rFonts w:eastAsia="Calibri" w:cs="Arial"/>
          <w:sz w:val="20"/>
          <w:szCs w:val="18"/>
        </w:rPr>
        <w:t xml:space="preserve"> </w:t>
      </w:r>
      <w:r w:rsidR="008D5963">
        <w:rPr>
          <w:rFonts w:eastAsia="Calibri" w:cs="Arial"/>
          <w:sz w:val="20"/>
          <w:szCs w:val="18"/>
        </w:rPr>
        <w:t>this</w:t>
      </w:r>
      <w:r w:rsidR="008D5963" w:rsidRPr="008D5963">
        <w:rPr>
          <w:rFonts w:eastAsia="Calibri" w:cs="Arial"/>
          <w:sz w:val="20"/>
          <w:szCs w:val="18"/>
        </w:rPr>
        <w:t xml:space="preserve"> parameter</w:t>
      </w:r>
      <w:r w:rsidR="008D5963">
        <w:rPr>
          <w:rFonts w:eastAsia="Calibri" w:cs="Arial"/>
          <w:sz w:val="20"/>
          <w:szCs w:val="18"/>
        </w:rPr>
        <w:t>.</w:t>
      </w:r>
      <w:r w:rsidR="008D5963" w:rsidRPr="008D5963">
        <w:rPr>
          <w:rFonts w:eastAsia="Calibri" w:cs="Arial"/>
          <w:sz w:val="20"/>
          <w:szCs w:val="18"/>
        </w:rPr>
        <w:t xml:space="preserve"> </w:t>
      </w:r>
      <w:proofErr w:type="spellStart"/>
      <w:r w:rsidR="00C52897" w:rsidRPr="00C52897">
        <w:rPr>
          <w:rFonts w:eastAsia="Calibri" w:cs="Arial"/>
          <w:sz w:val="20"/>
          <w:szCs w:val="18"/>
          <w:vertAlign w:val="superscript"/>
        </w:rPr>
        <w:t>d</w:t>
      </w:r>
      <w:r w:rsidR="007D1F5C">
        <w:rPr>
          <w:rFonts w:eastAsia="Calibri" w:cs="Arial"/>
          <w:sz w:val="20"/>
          <w:szCs w:val="18"/>
        </w:rPr>
        <w:t>Grouping</w:t>
      </w:r>
      <w:proofErr w:type="spellEnd"/>
      <w:r w:rsidR="007D1F5C">
        <w:rPr>
          <w:rFonts w:eastAsia="Calibri" w:cs="Arial"/>
          <w:sz w:val="20"/>
          <w:szCs w:val="18"/>
        </w:rPr>
        <w:t xml:space="preserve"> based on Index of Multiple Deprivation scores, </w:t>
      </w:r>
      <w:r w:rsidR="00C52897">
        <w:rPr>
          <w:rFonts w:eastAsia="Calibri" w:cs="Arial"/>
          <w:sz w:val="20"/>
          <w:szCs w:val="18"/>
        </w:rPr>
        <w:t>with 1 being the least deprived</w:t>
      </w:r>
      <w:r w:rsidR="007D1F5C">
        <w:rPr>
          <w:rFonts w:eastAsia="Calibri" w:cs="Arial"/>
          <w:sz w:val="20"/>
          <w:szCs w:val="18"/>
        </w:rPr>
        <w:t xml:space="preserve"> and 5 the most deprived</w:t>
      </w:r>
      <w:r w:rsidR="00C52897">
        <w:rPr>
          <w:rFonts w:eastAsia="Calibri" w:cs="Arial"/>
          <w:sz w:val="20"/>
          <w:szCs w:val="18"/>
        </w:rPr>
        <w:t xml:space="preserve">. </w:t>
      </w:r>
      <w:proofErr w:type="spellStart"/>
      <w:r w:rsidR="00C52897">
        <w:rPr>
          <w:rFonts w:eastAsia="Calibri" w:cs="Arial"/>
          <w:sz w:val="20"/>
          <w:szCs w:val="18"/>
          <w:vertAlign w:val="superscript"/>
        </w:rPr>
        <w:t>e</w:t>
      </w:r>
      <w:r w:rsidRPr="00456633">
        <w:rPr>
          <w:rFonts w:eastAsia="Calibri" w:cs="Arial"/>
          <w:sz w:val="20"/>
          <w:szCs w:val="18"/>
        </w:rPr>
        <w:t>At</w:t>
      </w:r>
      <w:proofErr w:type="spellEnd"/>
      <w:r w:rsidRPr="00456633">
        <w:rPr>
          <w:rFonts w:eastAsia="Calibri" w:cs="Arial"/>
          <w:sz w:val="20"/>
          <w:szCs w:val="18"/>
        </w:rPr>
        <w:t xml:space="preserve"> any time previously. </w:t>
      </w:r>
      <w:proofErr w:type="spellStart"/>
      <w:r w:rsidR="00C52897">
        <w:rPr>
          <w:rFonts w:eastAsia="Calibri" w:cs="Arial"/>
          <w:sz w:val="20"/>
          <w:szCs w:val="18"/>
          <w:vertAlign w:val="superscript"/>
        </w:rPr>
        <w:t>f</w:t>
      </w:r>
      <w:r w:rsidR="0056047C" w:rsidRPr="00456633">
        <w:rPr>
          <w:rFonts w:eastAsia="Calibri" w:cs="Arial"/>
          <w:sz w:val="20"/>
          <w:szCs w:val="18"/>
        </w:rPr>
        <w:t>Assessed</w:t>
      </w:r>
      <w:proofErr w:type="spellEnd"/>
      <w:r w:rsidR="0056047C" w:rsidRPr="00456633">
        <w:rPr>
          <w:rFonts w:eastAsia="Calibri" w:cs="Arial"/>
          <w:sz w:val="20"/>
          <w:szCs w:val="18"/>
        </w:rPr>
        <w:t xml:space="preserve"> </w:t>
      </w:r>
      <w:r w:rsidRPr="00456633">
        <w:rPr>
          <w:rFonts w:eastAsia="Calibri" w:cs="Arial"/>
          <w:sz w:val="20"/>
          <w:szCs w:val="18"/>
        </w:rPr>
        <w:t>from admission to index date.</w:t>
      </w:r>
      <w:r w:rsidR="00AF001E">
        <w:rPr>
          <w:rFonts w:eastAsia="Calibri" w:cs="Arial"/>
          <w:sz w:val="20"/>
          <w:szCs w:val="18"/>
        </w:rPr>
        <w:t xml:space="preserve"> </w:t>
      </w:r>
      <w:r w:rsidR="00AF001E" w:rsidRPr="001A0768">
        <w:rPr>
          <w:rFonts w:eastAsia="Calibri" w:cs="Arial"/>
          <w:sz w:val="20"/>
          <w:szCs w:val="18"/>
        </w:rPr>
        <w:t xml:space="preserve">CDI, </w:t>
      </w:r>
      <w:proofErr w:type="spellStart"/>
      <w:r w:rsidR="00AF001E" w:rsidRPr="001A0768">
        <w:rPr>
          <w:rFonts w:eastAsia="Calibri" w:cs="Arial"/>
          <w:i/>
          <w:sz w:val="20"/>
          <w:szCs w:val="18"/>
        </w:rPr>
        <w:t>Clostridioides</w:t>
      </w:r>
      <w:proofErr w:type="spellEnd"/>
      <w:r w:rsidR="00AF001E" w:rsidRPr="001A0768">
        <w:rPr>
          <w:rFonts w:eastAsia="Calibri" w:cs="Arial"/>
          <w:i/>
          <w:sz w:val="20"/>
          <w:szCs w:val="18"/>
        </w:rPr>
        <w:t xml:space="preserve"> difficile</w:t>
      </w:r>
      <w:r w:rsidR="00AF001E" w:rsidRPr="001A0768">
        <w:rPr>
          <w:rFonts w:eastAsia="Calibri" w:cs="Arial"/>
          <w:sz w:val="20"/>
          <w:szCs w:val="18"/>
        </w:rPr>
        <w:t xml:space="preserve"> infection</w:t>
      </w:r>
      <w:r w:rsidR="00AF001E">
        <w:rPr>
          <w:rFonts w:eastAsia="Calibri" w:cs="Arial"/>
          <w:sz w:val="20"/>
          <w:szCs w:val="18"/>
        </w:rPr>
        <w:t>; HA, hospital-associated</w:t>
      </w:r>
      <w:r w:rsidRPr="00456633">
        <w:rPr>
          <w:rFonts w:eastAsia="Calibri" w:cs="Arial"/>
          <w:sz w:val="20"/>
          <w:szCs w:val="18"/>
        </w:rPr>
        <w:t xml:space="preserve"> </w:t>
      </w:r>
    </w:p>
    <w:bookmarkEnd w:id="5"/>
    <w:p w14:paraId="0F610508" w14:textId="310015BD" w:rsidR="00613E10" w:rsidRPr="00613E10" w:rsidRDefault="00613E10" w:rsidP="009A4EC6">
      <w:pPr>
        <w:sectPr w:rsidR="00613E10" w:rsidRPr="00613E10" w:rsidSect="00FD4CFE">
          <w:pgSz w:w="16838" w:h="11906" w:orient="landscape"/>
          <w:pgMar w:top="1440" w:right="1440" w:bottom="1440" w:left="1440" w:header="709" w:footer="709" w:gutter="0"/>
          <w:cols w:space="708"/>
          <w:docGrid w:linePitch="360"/>
        </w:sectPr>
      </w:pPr>
    </w:p>
    <w:p w14:paraId="432A8A56" w14:textId="5ECC49BA" w:rsidR="00C61C25" w:rsidRPr="00C61C25" w:rsidRDefault="00C61C25" w:rsidP="009A4EC6">
      <w:pPr>
        <w:pStyle w:val="Heading2"/>
        <w:spacing w:before="0"/>
      </w:pPr>
      <w:r>
        <w:lastRenderedPageBreak/>
        <w:t>Table I</w:t>
      </w:r>
      <w:r w:rsidR="00561952">
        <w:t>I</w:t>
      </w:r>
      <w:r>
        <w:t xml:space="preserve">. </w:t>
      </w:r>
      <w:r w:rsidRPr="00C61C25">
        <w:rPr>
          <w:b w:val="0"/>
        </w:rPr>
        <w:t>Incidence of death or complications in patients with CDI</w:t>
      </w:r>
    </w:p>
    <w:tbl>
      <w:tblPr>
        <w:tblW w:w="13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122"/>
        <w:gridCol w:w="1701"/>
        <w:gridCol w:w="1847"/>
        <w:gridCol w:w="1701"/>
        <w:gridCol w:w="1134"/>
        <w:gridCol w:w="1696"/>
        <w:gridCol w:w="1843"/>
        <w:gridCol w:w="1559"/>
      </w:tblGrid>
      <w:tr w:rsidR="00561952" w:rsidRPr="00C61C25" w14:paraId="22598BB6" w14:textId="77777777" w:rsidTr="00456633">
        <w:trPr>
          <w:trHeight w:hRule="exact" w:val="628"/>
        </w:trPr>
        <w:tc>
          <w:tcPr>
            <w:tcW w:w="2122" w:type="dxa"/>
            <w:vAlign w:val="center"/>
          </w:tcPr>
          <w:p w14:paraId="0EB285B2" w14:textId="77777777" w:rsidR="00561952" w:rsidRPr="00C61C25" w:rsidRDefault="00561952" w:rsidP="009A4EC6">
            <w:pPr>
              <w:widowControl w:val="0"/>
              <w:autoSpaceDE w:val="0"/>
              <w:autoSpaceDN w:val="0"/>
              <w:ind w:left="108"/>
              <w:rPr>
                <w:rFonts w:eastAsia="Times New Roman" w:cs="Arial"/>
                <w:b/>
                <w:sz w:val="20"/>
                <w:szCs w:val="20"/>
                <w:lang w:val="en-US"/>
              </w:rPr>
            </w:pPr>
          </w:p>
        </w:tc>
        <w:tc>
          <w:tcPr>
            <w:tcW w:w="1701" w:type="dxa"/>
            <w:tcBorders>
              <w:bottom w:val="single" w:sz="4" w:space="0" w:color="auto"/>
            </w:tcBorders>
            <w:vAlign w:val="center"/>
          </w:tcPr>
          <w:p w14:paraId="71BFA3F3" w14:textId="77777777" w:rsidR="00561952" w:rsidRPr="00C61C25" w:rsidRDefault="00561952" w:rsidP="009A4EC6">
            <w:pPr>
              <w:ind w:left="35"/>
              <w:rPr>
                <w:rFonts w:eastAsia="Calibri" w:cs="Arial"/>
                <w:b/>
                <w:sz w:val="20"/>
                <w:szCs w:val="20"/>
              </w:rPr>
            </w:pPr>
          </w:p>
        </w:tc>
        <w:tc>
          <w:tcPr>
            <w:tcW w:w="4682" w:type="dxa"/>
            <w:gridSpan w:val="3"/>
            <w:tcBorders>
              <w:bottom w:val="single" w:sz="4" w:space="0" w:color="auto"/>
            </w:tcBorders>
            <w:vAlign w:val="center"/>
          </w:tcPr>
          <w:p w14:paraId="3D8A6D5C" w14:textId="4305C627" w:rsidR="00561952" w:rsidRPr="00C61C25" w:rsidRDefault="00561952" w:rsidP="009A4EC6">
            <w:pPr>
              <w:widowControl w:val="0"/>
              <w:autoSpaceDE w:val="0"/>
              <w:autoSpaceDN w:val="0"/>
              <w:ind w:left="100"/>
              <w:jc w:val="center"/>
              <w:rPr>
                <w:rFonts w:eastAsia="Times New Roman" w:cs="Arial"/>
                <w:b/>
                <w:sz w:val="20"/>
                <w:szCs w:val="20"/>
                <w:lang w:val="en-US"/>
              </w:rPr>
            </w:pPr>
            <w:r>
              <w:rPr>
                <w:rFonts w:eastAsia="Times New Roman" w:cs="Arial"/>
                <w:b/>
                <w:sz w:val="20"/>
                <w:szCs w:val="20"/>
                <w:lang w:val="en-US"/>
              </w:rPr>
              <w:t>HA-CDI versus no CDI</w:t>
            </w:r>
          </w:p>
        </w:tc>
        <w:tc>
          <w:tcPr>
            <w:tcW w:w="5098" w:type="dxa"/>
            <w:gridSpan w:val="3"/>
            <w:tcBorders>
              <w:bottom w:val="single" w:sz="4" w:space="0" w:color="auto"/>
            </w:tcBorders>
            <w:vAlign w:val="center"/>
          </w:tcPr>
          <w:p w14:paraId="2E2A2852" w14:textId="4AADE9C6" w:rsidR="00561952" w:rsidRPr="00C61C25" w:rsidRDefault="00561952" w:rsidP="009A4EC6">
            <w:pPr>
              <w:widowControl w:val="0"/>
              <w:autoSpaceDE w:val="0"/>
              <w:autoSpaceDN w:val="0"/>
              <w:ind w:left="103"/>
              <w:jc w:val="center"/>
              <w:rPr>
                <w:rFonts w:eastAsia="Times New Roman" w:cs="Arial"/>
                <w:b/>
                <w:sz w:val="20"/>
                <w:szCs w:val="20"/>
                <w:lang w:val="en-US"/>
              </w:rPr>
            </w:pPr>
            <w:r>
              <w:rPr>
                <w:rFonts w:eastAsia="Times New Roman" w:cs="Arial"/>
                <w:b/>
                <w:sz w:val="20"/>
                <w:szCs w:val="20"/>
                <w:lang w:val="en-US"/>
              </w:rPr>
              <w:t>Recurrent CDI versus non-recurrent CDI</w:t>
            </w:r>
          </w:p>
        </w:tc>
      </w:tr>
      <w:tr w:rsidR="00C61C25" w:rsidRPr="00C61C25" w14:paraId="367F4FCE" w14:textId="77777777" w:rsidTr="00456633">
        <w:trPr>
          <w:trHeight w:hRule="exact" w:val="628"/>
        </w:trPr>
        <w:tc>
          <w:tcPr>
            <w:tcW w:w="2122" w:type="dxa"/>
            <w:vAlign w:val="center"/>
          </w:tcPr>
          <w:p w14:paraId="3DAE2E1E" w14:textId="77777777" w:rsidR="00C61C25" w:rsidRPr="00C61C25" w:rsidRDefault="00C61C25" w:rsidP="009A4EC6">
            <w:pPr>
              <w:widowControl w:val="0"/>
              <w:autoSpaceDE w:val="0"/>
              <w:autoSpaceDN w:val="0"/>
              <w:ind w:left="108"/>
              <w:rPr>
                <w:rFonts w:eastAsia="Times New Roman" w:cs="Arial"/>
                <w:b/>
                <w:sz w:val="20"/>
                <w:szCs w:val="20"/>
                <w:lang w:val="en-US"/>
              </w:rPr>
            </w:pPr>
            <w:r w:rsidRPr="00C61C25">
              <w:rPr>
                <w:rFonts w:eastAsia="Times New Roman" w:cs="Arial"/>
                <w:b/>
                <w:sz w:val="20"/>
                <w:szCs w:val="20"/>
                <w:lang w:val="en-US"/>
              </w:rPr>
              <w:t>Outcome</w:t>
            </w:r>
          </w:p>
        </w:tc>
        <w:tc>
          <w:tcPr>
            <w:tcW w:w="1701" w:type="dxa"/>
            <w:tcBorders>
              <w:bottom w:val="single" w:sz="4" w:space="0" w:color="auto"/>
            </w:tcBorders>
            <w:vAlign w:val="center"/>
          </w:tcPr>
          <w:p w14:paraId="5E2C05BF" w14:textId="77777777" w:rsidR="00C61C25" w:rsidRPr="00C61C25" w:rsidRDefault="00C61C25" w:rsidP="009A4EC6">
            <w:pPr>
              <w:ind w:left="35"/>
              <w:rPr>
                <w:rFonts w:eastAsia="Calibri" w:cs="Arial"/>
                <w:sz w:val="20"/>
                <w:szCs w:val="20"/>
              </w:rPr>
            </w:pPr>
            <w:r w:rsidRPr="00C61C25">
              <w:rPr>
                <w:rFonts w:eastAsia="Calibri" w:cs="Arial"/>
                <w:b/>
                <w:sz w:val="20"/>
                <w:szCs w:val="20"/>
              </w:rPr>
              <w:t>Time to outcome</w:t>
            </w:r>
          </w:p>
        </w:tc>
        <w:tc>
          <w:tcPr>
            <w:tcW w:w="1847" w:type="dxa"/>
            <w:tcBorders>
              <w:bottom w:val="single" w:sz="4" w:space="0" w:color="auto"/>
            </w:tcBorders>
            <w:vAlign w:val="center"/>
          </w:tcPr>
          <w:p w14:paraId="59E549DA" w14:textId="77777777" w:rsidR="00C61C25" w:rsidRPr="00C61C25" w:rsidRDefault="00C61C25" w:rsidP="009A4EC6">
            <w:pPr>
              <w:widowControl w:val="0"/>
              <w:autoSpaceDE w:val="0"/>
              <w:autoSpaceDN w:val="0"/>
              <w:ind w:left="103"/>
              <w:jc w:val="center"/>
              <w:rPr>
                <w:rFonts w:eastAsia="Times New Roman" w:cs="Arial"/>
                <w:b/>
                <w:sz w:val="20"/>
                <w:szCs w:val="20"/>
                <w:lang w:val="en-US"/>
              </w:rPr>
            </w:pPr>
            <w:r w:rsidRPr="00C61C25">
              <w:rPr>
                <w:rFonts w:eastAsia="Times New Roman" w:cs="Arial"/>
                <w:b/>
                <w:sz w:val="20"/>
                <w:szCs w:val="20"/>
                <w:lang w:val="en-US"/>
              </w:rPr>
              <w:t xml:space="preserve">HA-CDI </w:t>
            </w:r>
          </w:p>
          <w:p w14:paraId="4C4F0563" w14:textId="77777777" w:rsidR="00C61C25" w:rsidRPr="00C61C25" w:rsidRDefault="00C61C25" w:rsidP="009A4EC6">
            <w:pPr>
              <w:widowControl w:val="0"/>
              <w:autoSpaceDE w:val="0"/>
              <w:autoSpaceDN w:val="0"/>
              <w:ind w:left="103"/>
              <w:jc w:val="center"/>
              <w:rPr>
                <w:rFonts w:eastAsia="Times New Roman" w:cs="Arial"/>
                <w:b/>
                <w:sz w:val="20"/>
                <w:szCs w:val="20"/>
                <w:lang w:val="en-US"/>
              </w:rPr>
            </w:pPr>
            <w:r w:rsidRPr="00C61C25">
              <w:rPr>
                <w:rFonts w:eastAsia="Times New Roman" w:cs="Arial"/>
                <w:b/>
                <w:sz w:val="20"/>
                <w:szCs w:val="20"/>
                <w:lang w:val="en-US"/>
              </w:rPr>
              <w:t>(N=6,862)</w:t>
            </w:r>
          </w:p>
        </w:tc>
        <w:tc>
          <w:tcPr>
            <w:tcW w:w="1701" w:type="dxa"/>
            <w:tcBorders>
              <w:bottom w:val="single" w:sz="4" w:space="0" w:color="auto"/>
            </w:tcBorders>
            <w:vAlign w:val="center"/>
          </w:tcPr>
          <w:p w14:paraId="0E8E94F7" w14:textId="77777777" w:rsidR="00C61C25" w:rsidRPr="00C61C25" w:rsidRDefault="00C61C25" w:rsidP="009A4EC6">
            <w:pPr>
              <w:widowControl w:val="0"/>
              <w:autoSpaceDE w:val="0"/>
              <w:autoSpaceDN w:val="0"/>
              <w:jc w:val="center"/>
              <w:rPr>
                <w:rFonts w:eastAsia="Times New Roman" w:cs="Arial"/>
                <w:b/>
                <w:sz w:val="20"/>
                <w:szCs w:val="20"/>
                <w:lang w:val="en-US"/>
              </w:rPr>
            </w:pPr>
            <w:r w:rsidRPr="00C61C25">
              <w:rPr>
                <w:rFonts w:eastAsia="Times New Roman" w:cs="Arial"/>
                <w:b/>
                <w:sz w:val="20"/>
                <w:szCs w:val="20"/>
                <w:lang w:val="en-US"/>
              </w:rPr>
              <w:t xml:space="preserve">No CDI </w:t>
            </w:r>
          </w:p>
          <w:p w14:paraId="0EF56DB9" w14:textId="77777777" w:rsidR="00C61C25" w:rsidRPr="00C61C25" w:rsidRDefault="00C61C25" w:rsidP="009A4EC6">
            <w:pPr>
              <w:widowControl w:val="0"/>
              <w:autoSpaceDE w:val="0"/>
              <w:autoSpaceDN w:val="0"/>
              <w:jc w:val="center"/>
              <w:rPr>
                <w:rFonts w:eastAsia="Times New Roman" w:cs="Arial"/>
                <w:b/>
                <w:sz w:val="20"/>
                <w:szCs w:val="20"/>
                <w:lang w:val="en-US"/>
              </w:rPr>
            </w:pPr>
            <w:r w:rsidRPr="00C61C25">
              <w:rPr>
                <w:rFonts w:eastAsia="Times New Roman" w:cs="Arial"/>
                <w:b/>
                <w:sz w:val="20"/>
                <w:szCs w:val="20"/>
                <w:lang w:val="en-US"/>
              </w:rPr>
              <w:t>(N=13,724)</w:t>
            </w:r>
          </w:p>
        </w:tc>
        <w:tc>
          <w:tcPr>
            <w:tcW w:w="1134" w:type="dxa"/>
            <w:tcBorders>
              <w:bottom w:val="single" w:sz="4" w:space="0" w:color="auto"/>
            </w:tcBorders>
            <w:vAlign w:val="center"/>
          </w:tcPr>
          <w:p w14:paraId="787F0934" w14:textId="77777777" w:rsidR="00C61C25" w:rsidRPr="00C61C25" w:rsidRDefault="00C61C25" w:rsidP="009A4EC6">
            <w:pPr>
              <w:widowControl w:val="0"/>
              <w:autoSpaceDE w:val="0"/>
              <w:autoSpaceDN w:val="0"/>
              <w:ind w:left="100"/>
              <w:jc w:val="center"/>
              <w:rPr>
                <w:rFonts w:eastAsia="Times New Roman" w:cs="Arial"/>
                <w:b/>
                <w:sz w:val="20"/>
                <w:szCs w:val="20"/>
                <w:lang w:val="en-US"/>
              </w:rPr>
            </w:pPr>
            <w:r w:rsidRPr="00C61C25">
              <w:rPr>
                <w:rFonts w:eastAsia="Times New Roman" w:cs="Arial"/>
                <w:b/>
                <w:sz w:val="20"/>
                <w:szCs w:val="20"/>
                <w:lang w:val="en-US"/>
              </w:rPr>
              <w:t>p-value</w:t>
            </w:r>
          </w:p>
        </w:tc>
        <w:tc>
          <w:tcPr>
            <w:tcW w:w="1696" w:type="dxa"/>
            <w:tcBorders>
              <w:bottom w:val="single" w:sz="4" w:space="0" w:color="auto"/>
            </w:tcBorders>
          </w:tcPr>
          <w:p w14:paraId="3C90F62B" w14:textId="77777777" w:rsidR="00C61C25" w:rsidRPr="00C61C25" w:rsidRDefault="00C61C25" w:rsidP="009A4EC6">
            <w:pPr>
              <w:widowControl w:val="0"/>
              <w:autoSpaceDE w:val="0"/>
              <w:autoSpaceDN w:val="0"/>
              <w:ind w:left="103"/>
              <w:jc w:val="center"/>
              <w:rPr>
                <w:rFonts w:eastAsia="Times New Roman" w:cs="Arial"/>
                <w:b/>
                <w:sz w:val="20"/>
                <w:szCs w:val="20"/>
                <w:lang w:val="en-US"/>
              </w:rPr>
            </w:pPr>
            <w:r w:rsidRPr="00C61C25">
              <w:rPr>
                <w:rFonts w:eastAsia="Times New Roman" w:cs="Arial"/>
                <w:b/>
                <w:sz w:val="20"/>
                <w:szCs w:val="20"/>
                <w:lang w:val="en-US"/>
              </w:rPr>
              <w:t>Recurrent CDI (N=1,140)</w:t>
            </w:r>
          </w:p>
        </w:tc>
        <w:tc>
          <w:tcPr>
            <w:tcW w:w="1843" w:type="dxa"/>
            <w:tcBorders>
              <w:bottom w:val="single" w:sz="4" w:space="0" w:color="auto"/>
            </w:tcBorders>
          </w:tcPr>
          <w:p w14:paraId="2040A737" w14:textId="77777777" w:rsidR="00C61C25" w:rsidRPr="00C61C25" w:rsidRDefault="00C61C25" w:rsidP="009A4EC6">
            <w:pPr>
              <w:widowControl w:val="0"/>
              <w:autoSpaceDE w:val="0"/>
              <w:autoSpaceDN w:val="0"/>
              <w:ind w:left="103"/>
              <w:jc w:val="center"/>
              <w:rPr>
                <w:rFonts w:eastAsia="Times New Roman" w:cs="Arial"/>
                <w:b/>
                <w:sz w:val="20"/>
                <w:szCs w:val="20"/>
                <w:lang w:val="en-US"/>
              </w:rPr>
            </w:pPr>
            <w:r w:rsidRPr="00C61C25">
              <w:rPr>
                <w:rFonts w:eastAsia="Times New Roman" w:cs="Arial"/>
                <w:b/>
                <w:sz w:val="20"/>
                <w:szCs w:val="20"/>
                <w:lang w:val="en-US"/>
              </w:rPr>
              <w:t>Non-recurrent CDI (N=5,722)</w:t>
            </w:r>
          </w:p>
        </w:tc>
        <w:tc>
          <w:tcPr>
            <w:tcW w:w="1559" w:type="dxa"/>
            <w:tcBorders>
              <w:bottom w:val="single" w:sz="4" w:space="0" w:color="auto"/>
            </w:tcBorders>
          </w:tcPr>
          <w:p w14:paraId="6B5BA96B" w14:textId="77777777" w:rsidR="00C61C25" w:rsidRPr="00C61C25" w:rsidRDefault="00C61C25" w:rsidP="009A4EC6">
            <w:pPr>
              <w:widowControl w:val="0"/>
              <w:autoSpaceDE w:val="0"/>
              <w:autoSpaceDN w:val="0"/>
              <w:ind w:left="103"/>
              <w:jc w:val="center"/>
              <w:rPr>
                <w:rFonts w:eastAsia="Times New Roman" w:cs="Arial"/>
                <w:b/>
                <w:sz w:val="20"/>
                <w:szCs w:val="20"/>
                <w:lang w:val="en-US"/>
              </w:rPr>
            </w:pPr>
            <w:r w:rsidRPr="00C61C25">
              <w:rPr>
                <w:rFonts w:eastAsia="Times New Roman" w:cs="Arial"/>
                <w:b/>
                <w:sz w:val="20"/>
                <w:szCs w:val="20"/>
                <w:lang w:val="en-US"/>
              </w:rPr>
              <w:t>p-value</w:t>
            </w:r>
          </w:p>
        </w:tc>
      </w:tr>
      <w:tr w:rsidR="00C61C25" w:rsidRPr="00C61C25" w14:paraId="794191AF" w14:textId="77777777" w:rsidTr="00456633">
        <w:trPr>
          <w:trHeight w:hRule="exact" w:val="312"/>
        </w:trPr>
        <w:tc>
          <w:tcPr>
            <w:tcW w:w="2122" w:type="dxa"/>
            <w:vMerge w:val="restart"/>
            <w:tcBorders>
              <w:right w:val="single" w:sz="4" w:space="0" w:color="auto"/>
            </w:tcBorders>
            <w:vAlign w:val="center"/>
          </w:tcPr>
          <w:p w14:paraId="4D2554E5" w14:textId="77777777" w:rsidR="00C61C25" w:rsidRPr="00C61C25" w:rsidRDefault="00C61C25" w:rsidP="009A4EC6">
            <w:pPr>
              <w:widowControl w:val="0"/>
              <w:autoSpaceDE w:val="0"/>
              <w:autoSpaceDN w:val="0"/>
              <w:ind w:left="108"/>
              <w:rPr>
                <w:rFonts w:eastAsia="Times New Roman" w:cs="Arial"/>
                <w:sz w:val="20"/>
                <w:szCs w:val="20"/>
                <w:lang w:val="en-US"/>
              </w:rPr>
            </w:pPr>
            <w:proofErr w:type="spellStart"/>
            <w:r w:rsidRPr="00C61C25">
              <w:rPr>
                <w:rFonts w:eastAsia="Times New Roman" w:cs="Arial"/>
                <w:sz w:val="20"/>
                <w:szCs w:val="20"/>
                <w:lang w:val="en-US"/>
              </w:rPr>
              <w:t>Death</w:t>
            </w:r>
            <w:r w:rsidRPr="00C61C25">
              <w:rPr>
                <w:rFonts w:eastAsia="Times New Roman" w:cs="Arial"/>
                <w:sz w:val="20"/>
                <w:szCs w:val="20"/>
                <w:vertAlign w:val="superscript"/>
                <w:lang w:val="en-US"/>
              </w:rPr>
              <w:t>a</w:t>
            </w:r>
            <w:proofErr w:type="spellEnd"/>
            <w:r w:rsidRPr="00C61C25">
              <w:rPr>
                <w:rFonts w:eastAsia="Times New Roman" w:cs="Arial"/>
                <w:sz w:val="20"/>
                <w:szCs w:val="20"/>
                <w:lang w:val="en-US"/>
              </w:rPr>
              <w:t>, n (%)</w:t>
            </w:r>
          </w:p>
        </w:tc>
        <w:tc>
          <w:tcPr>
            <w:tcW w:w="1701" w:type="dxa"/>
            <w:tcBorders>
              <w:top w:val="single" w:sz="4" w:space="0" w:color="auto"/>
              <w:left w:val="single" w:sz="4" w:space="0" w:color="auto"/>
              <w:bottom w:val="nil"/>
              <w:right w:val="single" w:sz="4" w:space="0" w:color="auto"/>
            </w:tcBorders>
            <w:vAlign w:val="center"/>
          </w:tcPr>
          <w:p w14:paraId="2C36C4D6" w14:textId="77777777" w:rsidR="00C61C25" w:rsidRPr="00C61C25" w:rsidRDefault="00C61C25" w:rsidP="009A4EC6">
            <w:pPr>
              <w:spacing w:afterLines="40" w:after="96"/>
              <w:ind w:left="90"/>
              <w:rPr>
                <w:rFonts w:eastAsia="Calibri" w:cs="Arial"/>
                <w:sz w:val="20"/>
                <w:szCs w:val="20"/>
              </w:rPr>
            </w:pPr>
            <w:r w:rsidRPr="00C61C25">
              <w:rPr>
                <w:rFonts w:eastAsia="Calibri" w:cs="Arial"/>
                <w:sz w:val="20"/>
                <w:szCs w:val="20"/>
              </w:rPr>
              <w:t>≤30 days</w:t>
            </w:r>
          </w:p>
        </w:tc>
        <w:tc>
          <w:tcPr>
            <w:tcW w:w="1847" w:type="dxa"/>
            <w:tcBorders>
              <w:top w:val="single" w:sz="4" w:space="0" w:color="auto"/>
              <w:left w:val="single" w:sz="4" w:space="0" w:color="auto"/>
              <w:bottom w:val="nil"/>
              <w:right w:val="single" w:sz="4" w:space="0" w:color="auto"/>
            </w:tcBorders>
            <w:vAlign w:val="center"/>
          </w:tcPr>
          <w:p w14:paraId="4C2A11F2" w14:textId="0C8FBBC8"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1117 (16.3)</w:t>
            </w:r>
          </w:p>
        </w:tc>
        <w:tc>
          <w:tcPr>
            <w:tcW w:w="1701" w:type="dxa"/>
            <w:tcBorders>
              <w:top w:val="single" w:sz="4" w:space="0" w:color="auto"/>
              <w:left w:val="single" w:sz="4" w:space="0" w:color="auto"/>
              <w:bottom w:val="nil"/>
              <w:right w:val="single" w:sz="4" w:space="0" w:color="auto"/>
            </w:tcBorders>
            <w:vAlign w:val="center"/>
          </w:tcPr>
          <w:p w14:paraId="04FF4058" w14:textId="0123B07E"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2041 (14.9)</w:t>
            </w:r>
          </w:p>
        </w:tc>
        <w:tc>
          <w:tcPr>
            <w:tcW w:w="1134" w:type="dxa"/>
            <w:tcBorders>
              <w:top w:val="single" w:sz="4" w:space="0" w:color="auto"/>
              <w:left w:val="single" w:sz="4" w:space="0" w:color="auto"/>
              <w:bottom w:val="nil"/>
              <w:right w:val="single" w:sz="4" w:space="0" w:color="auto"/>
            </w:tcBorders>
            <w:vAlign w:val="center"/>
          </w:tcPr>
          <w:p w14:paraId="4F5411C3"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0.008</w:t>
            </w:r>
          </w:p>
        </w:tc>
        <w:tc>
          <w:tcPr>
            <w:tcW w:w="1696" w:type="dxa"/>
            <w:tcBorders>
              <w:top w:val="single" w:sz="4" w:space="0" w:color="auto"/>
              <w:left w:val="single" w:sz="4" w:space="0" w:color="auto"/>
              <w:bottom w:val="nil"/>
              <w:right w:val="single" w:sz="4" w:space="0" w:color="auto"/>
            </w:tcBorders>
          </w:tcPr>
          <w:p w14:paraId="673A3C9B"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87 (7.6)</w:t>
            </w:r>
          </w:p>
        </w:tc>
        <w:tc>
          <w:tcPr>
            <w:tcW w:w="1843" w:type="dxa"/>
            <w:tcBorders>
              <w:top w:val="single" w:sz="4" w:space="0" w:color="auto"/>
              <w:left w:val="single" w:sz="4" w:space="0" w:color="auto"/>
              <w:bottom w:val="nil"/>
              <w:right w:val="single" w:sz="4" w:space="0" w:color="auto"/>
            </w:tcBorders>
          </w:tcPr>
          <w:p w14:paraId="4033ED2F" w14:textId="5136742A"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1102 (19.3)</w:t>
            </w:r>
          </w:p>
        </w:tc>
        <w:tc>
          <w:tcPr>
            <w:tcW w:w="1559" w:type="dxa"/>
            <w:tcBorders>
              <w:top w:val="single" w:sz="4" w:space="0" w:color="auto"/>
              <w:left w:val="single" w:sz="4" w:space="0" w:color="auto"/>
              <w:bottom w:val="nil"/>
              <w:right w:val="single" w:sz="4" w:space="0" w:color="auto"/>
            </w:tcBorders>
          </w:tcPr>
          <w:p w14:paraId="231F0CFA"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&lt;0.001</w:t>
            </w:r>
          </w:p>
        </w:tc>
      </w:tr>
      <w:tr w:rsidR="00C61C25" w:rsidRPr="00C61C25" w14:paraId="15BEC9F9" w14:textId="77777777" w:rsidTr="00456633">
        <w:trPr>
          <w:trHeight w:hRule="exact" w:val="312"/>
        </w:trPr>
        <w:tc>
          <w:tcPr>
            <w:tcW w:w="2122" w:type="dxa"/>
            <w:vMerge/>
            <w:tcBorders>
              <w:right w:val="single" w:sz="4" w:space="0" w:color="auto"/>
            </w:tcBorders>
            <w:vAlign w:val="center"/>
          </w:tcPr>
          <w:p w14:paraId="637ECF9F" w14:textId="77777777" w:rsidR="00C61C25" w:rsidRPr="00C61C25" w:rsidRDefault="00C61C25" w:rsidP="009A4EC6">
            <w:pPr>
              <w:rPr>
                <w:rFonts w:eastAsia="Calibri" w:cs="Arial"/>
                <w:sz w:val="20"/>
                <w:szCs w:val="20"/>
              </w:rPr>
            </w:pPr>
          </w:p>
        </w:tc>
        <w:tc>
          <w:tcPr>
            <w:tcW w:w="1701" w:type="dxa"/>
            <w:tcBorders>
              <w:top w:val="nil"/>
              <w:left w:val="single" w:sz="4" w:space="0" w:color="auto"/>
              <w:bottom w:val="nil"/>
              <w:right w:val="single" w:sz="4" w:space="0" w:color="auto"/>
            </w:tcBorders>
            <w:vAlign w:val="center"/>
          </w:tcPr>
          <w:p w14:paraId="12EFFA14" w14:textId="77777777" w:rsidR="00C61C25" w:rsidRPr="00C61C25" w:rsidRDefault="00C61C25" w:rsidP="009A4EC6">
            <w:pPr>
              <w:spacing w:afterLines="40" w:after="96"/>
              <w:ind w:left="90"/>
              <w:rPr>
                <w:rFonts w:eastAsia="Calibri" w:cs="Arial"/>
                <w:sz w:val="20"/>
                <w:szCs w:val="20"/>
              </w:rPr>
            </w:pPr>
            <w:r w:rsidRPr="00C61C25">
              <w:rPr>
                <w:rFonts w:eastAsia="Calibri" w:cs="Arial"/>
                <w:sz w:val="20"/>
                <w:szCs w:val="20"/>
              </w:rPr>
              <w:t>≤90 days</w:t>
            </w:r>
          </w:p>
        </w:tc>
        <w:tc>
          <w:tcPr>
            <w:tcW w:w="1847" w:type="dxa"/>
            <w:tcBorders>
              <w:top w:val="nil"/>
              <w:left w:val="single" w:sz="4" w:space="0" w:color="auto"/>
              <w:bottom w:val="nil"/>
              <w:right w:val="single" w:sz="4" w:space="0" w:color="auto"/>
            </w:tcBorders>
            <w:vAlign w:val="center"/>
          </w:tcPr>
          <w:p w14:paraId="1B5999A6" w14:textId="31135769"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2535 (36.9)</w:t>
            </w:r>
          </w:p>
        </w:tc>
        <w:tc>
          <w:tcPr>
            <w:tcW w:w="1701" w:type="dxa"/>
            <w:tcBorders>
              <w:top w:val="nil"/>
              <w:left w:val="single" w:sz="4" w:space="0" w:color="auto"/>
              <w:bottom w:val="nil"/>
              <w:right w:val="single" w:sz="4" w:space="0" w:color="auto"/>
            </w:tcBorders>
            <w:vAlign w:val="center"/>
          </w:tcPr>
          <w:p w14:paraId="57683A9D" w14:textId="4E0D2884"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3094 (22.5)</w:t>
            </w:r>
          </w:p>
        </w:tc>
        <w:tc>
          <w:tcPr>
            <w:tcW w:w="1134" w:type="dxa"/>
            <w:tcBorders>
              <w:top w:val="nil"/>
              <w:left w:val="single" w:sz="4" w:space="0" w:color="auto"/>
              <w:bottom w:val="nil"/>
              <w:right w:val="single" w:sz="4" w:space="0" w:color="auto"/>
            </w:tcBorders>
            <w:vAlign w:val="center"/>
          </w:tcPr>
          <w:p w14:paraId="549D738C"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&lt;0.001</w:t>
            </w:r>
          </w:p>
        </w:tc>
        <w:tc>
          <w:tcPr>
            <w:tcW w:w="1696" w:type="dxa"/>
            <w:tcBorders>
              <w:top w:val="nil"/>
              <w:left w:val="single" w:sz="4" w:space="0" w:color="auto"/>
              <w:bottom w:val="nil"/>
              <w:right w:val="single" w:sz="4" w:space="0" w:color="auto"/>
            </w:tcBorders>
          </w:tcPr>
          <w:p w14:paraId="3766ABE2"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381 (33.4)</w:t>
            </w:r>
          </w:p>
        </w:tc>
        <w:tc>
          <w:tcPr>
            <w:tcW w:w="1843" w:type="dxa"/>
            <w:tcBorders>
              <w:top w:val="nil"/>
              <w:left w:val="single" w:sz="4" w:space="0" w:color="auto"/>
              <w:bottom w:val="nil"/>
              <w:right w:val="single" w:sz="4" w:space="0" w:color="auto"/>
            </w:tcBorders>
          </w:tcPr>
          <w:p w14:paraId="78DCD7C3" w14:textId="69D833D5"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2164 (37.8)</w:t>
            </w:r>
          </w:p>
        </w:tc>
        <w:tc>
          <w:tcPr>
            <w:tcW w:w="1559" w:type="dxa"/>
            <w:tcBorders>
              <w:top w:val="nil"/>
              <w:left w:val="single" w:sz="4" w:space="0" w:color="auto"/>
              <w:bottom w:val="nil"/>
              <w:right w:val="single" w:sz="4" w:space="0" w:color="auto"/>
            </w:tcBorders>
          </w:tcPr>
          <w:p w14:paraId="4B4E4BCD"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0.005</w:t>
            </w:r>
          </w:p>
        </w:tc>
      </w:tr>
      <w:tr w:rsidR="00C61C25" w:rsidRPr="00C61C25" w14:paraId="17242C0B" w14:textId="77777777" w:rsidTr="00456633">
        <w:trPr>
          <w:trHeight w:hRule="exact" w:val="312"/>
        </w:trPr>
        <w:tc>
          <w:tcPr>
            <w:tcW w:w="2122" w:type="dxa"/>
            <w:vMerge/>
            <w:tcBorders>
              <w:right w:val="single" w:sz="4" w:space="0" w:color="auto"/>
            </w:tcBorders>
            <w:vAlign w:val="center"/>
          </w:tcPr>
          <w:p w14:paraId="53570868" w14:textId="77777777" w:rsidR="00C61C25" w:rsidRPr="00C61C25" w:rsidRDefault="00C61C25" w:rsidP="009A4EC6">
            <w:pPr>
              <w:rPr>
                <w:rFonts w:eastAsia="Calibri" w:cs="Arial"/>
                <w:sz w:val="20"/>
                <w:szCs w:val="20"/>
              </w:rPr>
            </w:pPr>
          </w:p>
        </w:tc>
        <w:tc>
          <w:tcPr>
            <w:tcW w:w="1701" w:type="dxa"/>
            <w:tcBorders>
              <w:top w:val="nil"/>
              <w:left w:val="single" w:sz="4" w:space="0" w:color="auto"/>
              <w:bottom w:val="nil"/>
              <w:right w:val="single" w:sz="4" w:space="0" w:color="auto"/>
            </w:tcBorders>
            <w:vAlign w:val="center"/>
          </w:tcPr>
          <w:p w14:paraId="4CEA6B67" w14:textId="77777777" w:rsidR="00C61C25" w:rsidRPr="00C61C25" w:rsidRDefault="00C61C25" w:rsidP="009A4EC6">
            <w:pPr>
              <w:spacing w:afterLines="40" w:after="96"/>
              <w:ind w:left="90"/>
              <w:rPr>
                <w:rFonts w:eastAsia="Calibri" w:cs="Arial"/>
                <w:sz w:val="20"/>
                <w:szCs w:val="20"/>
              </w:rPr>
            </w:pPr>
            <w:r w:rsidRPr="00C61C25">
              <w:rPr>
                <w:rFonts w:eastAsia="Calibri" w:cs="Arial"/>
                <w:sz w:val="20"/>
                <w:szCs w:val="20"/>
              </w:rPr>
              <w:t>≤180 days</w:t>
            </w:r>
          </w:p>
        </w:tc>
        <w:tc>
          <w:tcPr>
            <w:tcW w:w="1847" w:type="dxa"/>
            <w:tcBorders>
              <w:top w:val="nil"/>
              <w:left w:val="single" w:sz="4" w:space="0" w:color="auto"/>
              <w:bottom w:val="nil"/>
              <w:right w:val="single" w:sz="4" w:space="0" w:color="auto"/>
            </w:tcBorders>
            <w:vAlign w:val="center"/>
          </w:tcPr>
          <w:p w14:paraId="58271E4A" w14:textId="2649511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3076 (44.8)</w:t>
            </w:r>
          </w:p>
        </w:tc>
        <w:tc>
          <w:tcPr>
            <w:tcW w:w="1701" w:type="dxa"/>
            <w:tcBorders>
              <w:top w:val="nil"/>
              <w:left w:val="single" w:sz="4" w:space="0" w:color="auto"/>
              <w:bottom w:val="nil"/>
              <w:right w:val="single" w:sz="4" w:space="0" w:color="auto"/>
            </w:tcBorders>
            <w:vAlign w:val="center"/>
          </w:tcPr>
          <w:p w14:paraId="6FC1EED9" w14:textId="65B8A99C"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3613 (26.3)</w:t>
            </w:r>
          </w:p>
        </w:tc>
        <w:tc>
          <w:tcPr>
            <w:tcW w:w="1134" w:type="dxa"/>
            <w:tcBorders>
              <w:top w:val="nil"/>
              <w:left w:val="single" w:sz="4" w:space="0" w:color="auto"/>
              <w:bottom w:val="nil"/>
              <w:right w:val="single" w:sz="4" w:space="0" w:color="auto"/>
            </w:tcBorders>
            <w:vAlign w:val="center"/>
          </w:tcPr>
          <w:p w14:paraId="7DF4DF3C"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&lt;0.001</w:t>
            </w:r>
          </w:p>
        </w:tc>
        <w:tc>
          <w:tcPr>
            <w:tcW w:w="1696" w:type="dxa"/>
            <w:tcBorders>
              <w:top w:val="nil"/>
              <w:left w:val="single" w:sz="4" w:space="0" w:color="auto"/>
              <w:bottom w:val="nil"/>
              <w:right w:val="single" w:sz="4" w:space="0" w:color="auto"/>
            </w:tcBorders>
          </w:tcPr>
          <w:p w14:paraId="3624E9EC"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492 (43.2)</w:t>
            </w:r>
          </w:p>
        </w:tc>
        <w:tc>
          <w:tcPr>
            <w:tcW w:w="1843" w:type="dxa"/>
            <w:tcBorders>
              <w:top w:val="nil"/>
              <w:left w:val="single" w:sz="4" w:space="0" w:color="auto"/>
              <w:bottom w:val="nil"/>
              <w:right w:val="single" w:sz="4" w:space="0" w:color="auto"/>
            </w:tcBorders>
          </w:tcPr>
          <w:p w14:paraId="412ED694" w14:textId="784F9FBC"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2494 (43.6)</w:t>
            </w:r>
          </w:p>
        </w:tc>
        <w:tc>
          <w:tcPr>
            <w:tcW w:w="1559" w:type="dxa"/>
            <w:tcBorders>
              <w:top w:val="nil"/>
              <w:left w:val="single" w:sz="4" w:space="0" w:color="auto"/>
              <w:bottom w:val="nil"/>
              <w:right w:val="single" w:sz="4" w:space="0" w:color="auto"/>
            </w:tcBorders>
          </w:tcPr>
          <w:p w14:paraId="3CEACF6C"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0.790</w:t>
            </w:r>
          </w:p>
        </w:tc>
      </w:tr>
      <w:tr w:rsidR="00C61C25" w:rsidRPr="00C61C25" w14:paraId="62CF0437" w14:textId="77777777" w:rsidTr="00456633">
        <w:trPr>
          <w:trHeight w:hRule="exact" w:val="387"/>
        </w:trPr>
        <w:tc>
          <w:tcPr>
            <w:tcW w:w="2122" w:type="dxa"/>
            <w:vMerge/>
            <w:tcBorders>
              <w:right w:val="single" w:sz="4" w:space="0" w:color="auto"/>
            </w:tcBorders>
            <w:vAlign w:val="center"/>
          </w:tcPr>
          <w:p w14:paraId="61BA5240" w14:textId="77777777" w:rsidR="00C61C25" w:rsidRPr="00C61C25" w:rsidRDefault="00C61C25" w:rsidP="009A4EC6">
            <w:pPr>
              <w:rPr>
                <w:rFonts w:eastAsia="Calibri" w:cs="Arial"/>
                <w:sz w:val="20"/>
                <w:szCs w:val="20"/>
              </w:rPr>
            </w:pPr>
          </w:p>
        </w:tc>
        <w:tc>
          <w:tcPr>
            <w:tcW w:w="1701" w:type="dxa"/>
            <w:tcBorders>
              <w:top w:val="nil"/>
              <w:left w:val="single" w:sz="4" w:space="0" w:color="auto"/>
              <w:bottom w:val="single" w:sz="4" w:space="0" w:color="auto"/>
              <w:right w:val="single" w:sz="4" w:space="0" w:color="auto"/>
            </w:tcBorders>
            <w:vAlign w:val="center"/>
          </w:tcPr>
          <w:p w14:paraId="43F23A31" w14:textId="77777777" w:rsidR="00C61C25" w:rsidRPr="00C61C25" w:rsidRDefault="00C61C25" w:rsidP="009A4EC6">
            <w:pPr>
              <w:spacing w:afterLines="40" w:after="96"/>
              <w:ind w:left="90"/>
              <w:rPr>
                <w:rFonts w:eastAsia="Calibri" w:cs="Arial"/>
                <w:sz w:val="20"/>
                <w:szCs w:val="20"/>
              </w:rPr>
            </w:pPr>
            <w:r w:rsidRPr="00C61C25">
              <w:rPr>
                <w:rFonts w:eastAsia="Calibri" w:cs="Arial"/>
                <w:sz w:val="20"/>
                <w:szCs w:val="20"/>
              </w:rPr>
              <w:t>≤365 days</w:t>
            </w:r>
          </w:p>
        </w:tc>
        <w:tc>
          <w:tcPr>
            <w:tcW w:w="1847" w:type="dxa"/>
            <w:tcBorders>
              <w:top w:val="nil"/>
              <w:left w:val="single" w:sz="4" w:space="0" w:color="auto"/>
              <w:bottom w:val="single" w:sz="4" w:space="0" w:color="auto"/>
              <w:right w:val="single" w:sz="4" w:space="0" w:color="auto"/>
            </w:tcBorders>
            <w:vAlign w:val="center"/>
          </w:tcPr>
          <w:p w14:paraId="3EAF3494" w14:textId="21AFD5E0"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3427 (49.9)</w:t>
            </w:r>
          </w:p>
        </w:tc>
        <w:tc>
          <w:tcPr>
            <w:tcW w:w="1701" w:type="dxa"/>
            <w:tcBorders>
              <w:top w:val="nil"/>
              <w:left w:val="single" w:sz="4" w:space="0" w:color="auto"/>
              <w:bottom w:val="single" w:sz="4" w:space="0" w:color="auto"/>
              <w:right w:val="single" w:sz="4" w:space="0" w:color="auto"/>
            </w:tcBorders>
            <w:vAlign w:val="center"/>
          </w:tcPr>
          <w:p w14:paraId="6280F63E" w14:textId="71ACBF79"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4146 (30.2)</w:t>
            </w:r>
          </w:p>
        </w:tc>
        <w:tc>
          <w:tcPr>
            <w:tcW w:w="1134" w:type="dxa"/>
            <w:tcBorders>
              <w:top w:val="nil"/>
              <w:left w:val="single" w:sz="4" w:space="0" w:color="auto"/>
              <w:bottom w:val="single" w:sz="4" w:space="0" w:color="auto"/>
              <w:right w:val="single" w:sz="4" w:space="0" w:color="auto"/>
            </w:tcBorders>
            <w:vAlign w:val="center"/>
          </w:tcPr>
          <w:p w14:paraId="0873989F"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&lt;0.001</w:t>
            </w:r>
          </w:p>
        </w:tc>
        <w:tc>
          <w:tcPr>
            <w:tcW w:w="1696" w:type="dxa"/>
            <w:tcBorders>
              <w:top w:val="nil"/>
              <w:left w:val="single" w:sz="4" w:space="0" w:color="auto"/>
              <w:bottom w:val="single" w:sz="4" w:space="0" w:color="auto"/>
              <w:right w:val="single" w:sz="4" w:space="0" w:color="auto"/>
            </w:tcBorders>
          </w:tcPr>
          <w:p w14:paraId="55B2B50C"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564 (49.5)</w:t>
            </w:r>
          </w:p>
        </w:tc>
        <w:tc>
          <w:tcPr>
            <w:tcW w:w="1843" w:type="dxa"/>
            <w:tcBorders>
              <w:top w:val="nil"/>
              <w:left w:val="single" w:sz="4" w:space="0" w:color="auto"/>
              <w:bottom w:val="single" w:sz="4" w:space="0" w:color="auto"/>
              <w:right w:val="single" w:sz="4" w:space="0" w:color="auto"/>
            </w:tcBorders>
          </w:tcPr>
          <w:p w14:paraId="43D86A6C" w14:textId="0B3A81A4"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2737 (47.8)</w:t>
            </w:r>
          </w:p>
        </w:tc>
        <w:tc>
          <w:tcPr>
            <w:tcW w:w="1559" w:type="dxa"/>
            <w:tcBorders>
              <w:top w:val="nil"/>
              <w:left w:val="single" w:sz="4" w:space="0" w:color="auto"/>
              <w:bottom w:val="single" w:sz="4" w:space="0" w:color="auto"/>
              <w:right w:val="single" w:sz="4" w:space="0" w:color="auto"/>
            </w:tcBorders>
          </w:tcPr>
          <w:p w14:paraId="60777BA3"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0.311</w:t>
            </w:r>
          </w:p>
        </w:tc>
      </w:tr>
      <w:tr w:rsidR="00C61C25" w:rsidRPr="00C61C25" w14:paraId="4C0B0245" w14:textId="77777777" w:rsidTr="00456633">
        <w:trPr>
          <w:trHeight w:hRule="exact" w:val="312"/>
        </w:trPr>
        <w:tc>
          <w:tcPr>
            <w:tcW w:w="2122" w:type="dxa"/>
            <w:vMerge w:val="restart"/>
            <w:vAlign w:val="center"/>
          </w:tcPr>
          <w:p w14:paraId="3AE19051" w14:textId="77777777" w:rsidR="00C61C25" w:rsidRPr="00C61C25" w:rsidRDefault="00C61C25" w:rsidP="009A4EC6">
            <w:pPr>
              <w:widowControl w:val="0"/>
              <w:autoSpaceDE w:val="0"/>
              <w:autoSpaceDN w:val="0"/>
              <w:ind w:left="108"/>
              <w:rPr>
                <w:rFonts w:eastAsia="Times New Roman" w:cs="Arial"/>
                <w:sz w:val="20"/>
                <w:szCs w:val="20"/>
                <w:lang w:val="en-US"/>
              </w:rPr>
            </w:pPr>
            <w:proofErr w:type="spellStart"/>
            <w:r w:rsidRPr="00C61C25">
              <w:rPr>
                <w:rFonts w:eastAsia="Times New Roman" w:cs="Arial"/>
                <w:sz w:val="20"/>
                <w:szCs w:val="20"/>
                <w:lang w:val="en-US"/>
              </w:rPr>
              <w:t>Complications</w:t>
            </w:r>
            <w:r w:rsidRPr="00C61C25">
              <w:rPr>
                <w:rFonts w:eastAsia="Times New Roman" w:cs="Arial"/>
                <w:sz w:val="20"/>
                <w:szCs w:val="20"/>
                <w:vertAlign w:val="superscript"/>
                <w:lang w:val="en-US"/>
              </w:rPr>
              <w:t>b</w:t>
            </w:r>
            <w:proofErr w:type="spellEnd"/>
            <w:r w:rsidRPr="00C61C25">
              <w:rPr>
                <w:rFonts w:eastAsia="Times New Roman" w:cs="Arial"/>
                <w:sz w:val="20"/>
                <w:szCs w:val="20"/>
                <w:lang w:val="en-US"/>
              </w:rPr>
              <w:t>, n (%)</w:t>
            </w:r>
          </w:p>
        </w:tc>
        <w:tc>
          <w:tcPr>
            <w:tcW w:w="1701" w:type="dxa"/>
            <w:tcBorders>
              <w:top w:val="single" w:sz="4" w:space="0" w:color="auto"/>
              <w:bottom w:val="nil"/>
              <w:right w:val="single" w:sz="4" w:space="0" w:color="auto"/>
            </w:tcBorders>
            <w:vAlign w:val="center"/>
          </w:tcPr>
          <w:p w14:paraId="7A6A4133"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≤30 days</w:t>
            </w:r>
          </w:p>
        </w:tc>
        <w:tc>
          <w:tcPr>
            <w:tcW w:w="1847" w:type="dxa"/>
            <w:tcBorders>
              <w:top w:val="single" w:sz="4" w:space="0" w:color="auto"/>
              <w:left w:val="single" w:sz="4" w:space="0" w:color="auto"/>
              <w:bottom w:val="nil"/>
              <w:right w:val="single" w:sz="4" w:space="0" w:color="auto"/>
            </w:tcBorders>
            <w:vAlign w:val="center"/>
          </w:tcPr>
          <w:p w14:paraId="59543032" w14:textId="5E8C2DA5"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1227 (17.9)</w:t>
            </w:r>
          </w:p>
        </w:tc>
        <w:tc>
          <w:tcPr>
            <w:tcW w:w="1701" w:type="dxa"/>
            <w:tcBorders>
              <w:top w:val="single" w:sz="4" w:space="0" w:color="auto"/>
              <w:left w:val="single" w:sz="4" w:space="0" w:color="auto"/>
              <w:bottom w:val="nil"/>
              <w:right w:val="single" w:sz="4" w:space="0" w:color="auto"/>
            </w:tcBorders>
            <w:vAlign w:val="center"/>
          </w:tcPr>
          <w:p w14:paraId="0DC9D2F2" w14:textId="42BFEE34"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1009 (7.4)</w:t>
            </w:r>
          </w:p>
        </w:tc>
        <w:tc>
          <w:tcPr>
            <w:tcW w:w="1134" w:type="dxa"/>
            <w:tcBorders>
              <w:top w:val="single" w:sz="4" w:space="0" w:color="auto"/>
              <w:left w:val="single" w:sz="4" w:space="0" w:color="auto"/>
              <w:bottom w:val="nil"/>
              <w:right w:val="single" w:sz="4" w:space="0" w:color="auto"/>
            </w:tcBorders>
            <w:vAlign w:val="center"/>
          </w:tcPr>
          <w:p w14:paraId="12AE4D28" w14:textId="77777777"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&lt;0.001</w:t>
            </w:r>
          </w:p>
        </w:tc>
        <w:tc>
          <w:tcPr>
            <w:tcW w:w="1696" w:type="dxa"/>
            <w:tcBorders>
              <w:top w:val="single" w:sz="4" w:space="0" w:color="auto"/>
              <w:left w:val="single" w:sz="4" w:space="0" w:color="auto"/>
              <w:bottom w:val="nil"/>
              <w:right w:val="single" w:sz="4" w:space="0" w:color="auto"/>
            </w:tcBorders>
          </w:tcPr>
          <w:p w14:paraId="43D2B6B2"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183 (16.1)</w:t>
            </w:r>
          </w:p>
        </w:tc>
        <w:tc>
          <w:tcPr>
            <w:tcW w:w="1843" w:type="dxa"/>
            <w:tcBorders>
              <w:top w:val="single" w:sz="4" w:space="0" w:color="auto"/>
              <w:left w:val="single" w:sz="4" w:space="0" w:color="auto"/>
              <w:bottom w:val="nil"/>
              <w:right w:val="single" w:sz="4" w:space="0" w:color="auto"/>
            </w:tcBorders>
          </w:tcPr>
          <w:p w14:paraId="05B7A93A"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868 (15.2)</w:t>
            </w:r>
          </w:p>
        </w:tc>
        <w:tc>
          <w:tcPr>
            <w:tcW w:w="1559" w:type="dxa"/>
            <w:tcBorders>
              <w:top w:val="single" w:sz="4" w:space="0" w:color="auto"/>
              <w:left w:val="single" w:sz="4" w:space="0" w:color="auto"/>
              <w:bottom w:val="nil"/>
              <w:right w:val="single" w:sz="4" w:space="0" w:color="auto"/>
            </w:tcBorders>
          </w:tcPr>
          <w:p w14:paraId="71E3D263"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0.450</w:t>
            </w:r>
          </w:p>
        </w:tc>
      </w:tr>
      <w:tr w:rsidR="00C61C25" w:rsidRPr="00C61C25" w14:paraId="1F783030" w14:textId="77777777" w:rsidTr="00456633">
        <w:trPr>
          <w:trHeight w:hRule="exact" w:val="312"/>
        </w:trPr>
        <w:tc>
          <w:tcPr>
            <w:tcW w:w="2122" w:type="dxa"/>
            <w:vMerge/>
            <w:vAlign w:val="center"/>
          </w:tcPr>
          <w:p w14:paraId="5D62F6E4" w14:textId="77777777" w:rsidR="00C61C25" w:rsidRPr="00C61C25" w:rsidRDefault="00C61C25" w:rsidP="009A4EC6">
            <w:pPr>
              <w:rPr>
                <w:rFonts w:eastAsia="Calibri" w:cs="Arial"/>
                <w:sz w:val="20"/>
                <w:szCs w:val="20"/>
              </w:rPr>
            </w:pPr>
          </w:p>
        </w:tc>
        <w:tc>
          <w:tcPr>
            <w:tcW w:w="1701" w:type="dxa"/>
            <w:tcBorders>
              <w:top w:val="nil"/>
              <w:bottom w:val="nil"/>
              <w:right w:val="single" w:sz="4" w:space="0" w:color="auto"/>
            </w:tcBorders>
            <w:vAlign w:val="center"/>
          </w:tcPr>
          <w:p w14:paraId="38A68343"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≤90 days</w:t>
            </w:r>
          </w:p>
        </w:tc>
        <w:tc>
          <w:tcPr>
            <w:tcW w:w="1847" w:type="dxa"/>
            <w:tcBorders>
              <w:top w:val="nil"/>
              <w:left w:val="single" w:sz="4" w:space="0" w:color="auto"/>
              <w:bottom w:val="nil"/>
              <w:right w:val="single" w:sz="4" w:space="0" w:color="auto"/>
            </w:tcBorders>
            <w:vAlign w:val="center"/>
          </w:tcPr>
          <w:p w14:paraId="67067389" w14:textId="582223DF"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1353 (19.7)</w:t>
            </w:r>
          </w:p>
        </w:tc>
        <w:tc>
          <w:tcPr>
            <w:tcW w:w="1701" w:type="dxa"/>
            <w:tcBorders>
              <w:top w:val="nil"/>
              <w:left w:val="single" w:sz="4" w:space="0" w:color="auto"/>
              <w:bottom w:val="nil"/>
              <w:right w:val="single" w:sz="4" w:space="0" w:color="auto"/>
            </w:tcBorders>
            <w:vAlign w:val="center"/>
          </w:tcPr>
          <w:p w14:paraId="7D8B3292" w14:textId="30C6F9D4"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1096 (8.0)</w:t>
            </w:r>
          </w:p>
        </w:tc>
        <w:tc>
          <w:tcPr>
            <w:tcW w:w="1134" w:type="dxa"/>
            <w:tcBorders>
              <w:top w:val="nil"/>
              <w:left w:val="single" w:sz="4" w:space="0" w:color="auto"/>
              <w:bottom w:val="nil"/>
              <w:right w:val="single" w:sz="4" w:space="0" w:color="auto"/>
            </w:tcBorders>
            <w:vAlign w:val="center"/>
          </w:tcPr>
          <w:p w14:paraId="60200924" w14:textId="77777777"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&lt;0.001</w:t>
            </w:r>
          </w:p>
        </w:tc>
        <w:tc>
          <w:tcPr>
            <w:tcW w:w="1696" w:type="dxa"/>
            <w:tcBorders>
              <w:top w:val="nil"/>
              <w:left w:val="single" w:sz="4" w:space="0" w:color="auto"/>
              <w:bottom w:val="nil"/>
              <w:right w:val="single" w:sz="4" w:space="0" w:color="auto"/>
            </w:tcBorders>
          </w:tcPr>
          <w:p w14:paraId="480B9EE4"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226 (19.8)</w:t>
            </w:r>
          </w:p>
        </w:tc>
        <w:tc>
          <w:tcPr>
            <w:tcW w:w="1843" w:type="dxa"/>
            <w:tcBorders>
              <w:top w:val="nil"/>
              <w:left w:val="single" w:sz="4" w:space="0" w:color="auto"/>
              <w:bottom w:val="nil"/>
              <w:right w:val="single" w:sz="4" w:space="0" w:color="auto"/>
            </w:tcBorders>
          </w:tcPr>
          <w:p w14:paraId="00DB717D"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940 (16.4)</w:t>
            </w:r>
          </w:p>
        </w:tc>
        <w:tc>
          <w:tcPr>
            <w:tcW w:w="1559" w:type="dxa"/>
            <w:tcBorders>
              <w:top w:val="nil"/>
              <w:left w:val="single" w:sz="4" w:space="0" w:color="auto"/>
              <w:bottom w:val="nil"/>
              <w:right w:val="single" w:sz="4" w:space="0" w:color="auto"/>
            </w:tcBorders>
          </w:tcPr>
          <w:p w14:paraId="7D9D8805"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0.005</w:t>
            </w:r>
          </w:p>
        </w:tc>
      </w:tr>
      <w:tr w:rsidR="00C61C25" w:rsidRPr="00C61C25" w14:paraId="2C487402" w14:textId="77777777" w:rsidTr="00456633">
        <w:trPr>
          <w:trHeight w:hRule="exact" w:val="312"/>
        </w:trPr>
        <w:tc>
          <w:tcPr>
            <w:tcW w:w="2122" w:type="dxa"/>
            <w:vMerge/>
            <w:vAlign w:val="center"/>
          </w:tcPr>
          <w:p w14:paraId="60DD76EE" w14:textId="77777777" w:rsidR="00C61C25" w:rsidRPr="00C61C25" w:rsidRDefault="00C61C25" w:rsidP="009A4EC6">
            <w:pPr>
              <w:rPr>
                <w:rFonts w:eastAsia="Calibri" w:cs="Arial"/>
                <w:sz w:val="20"/>
                <w:szCs w:val="20"/>
              </w:rPr>
            </w:pPr>
          </w:p>
        </w:tc>
        <w:tc>
          <w:tcPr>
            <w:tcW w:w="1701" w:type="dxa"/>
            <w:tcBorders>
              <w:top w:val="nil"/>
              <w:bottom w:val="nil"/>
              <w:right w:val="single" w:sz="4" w:space="0" w:color="auto"/>
            </w:tcBorders>
            <w:vAlign w:val="center"/>
          </w:tcPr>
          <w:p w14:paraId="2B286BF8"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≤180 days</w:t>
            </w:r>
          </w:p>
        </w:tc>
        <w:tc>
          <w:tcPr>
            <w:tcW w:w="1847" w:type="dxa"/>
            <w:tcBorders>
              <w:top w:val="nil"/>
              <w:left w:val="single" w:sz="4" w:space="0" w:color="auto"/>
              <w:bottom w:val="nil"/>
              <w:right w:val="single" w:sz="4" w:space="0" w:color="auto"/>
            </w:tcBorders>
            <w:vAlign w:val="center"/>
          </w:tcPr>
          <w:p w14:paraId="48C2C4F6" w14:textId="5C6B0F5C"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1436 (20.9)</w:t>
            </w:r>
          </w:p>
        </w:tc>
        <w:tc>
          <w:tcPr>
            <w:tcW w:w="1701" w:type="dxa"/>
            <w:tcBorders>
              <w:top w:val="nil"/>
              <w:left w:val="single" w:sz="4" w:space="0" w:color="auto"/>
              <w:bottom w:val="nil"/>
              <w:right w:val="single" w:sz="4" w:space="0" w:color="auto"/>
            </w:tcBorders>
            <w:vAlign w:val="center"/>
          </w:tcPr>
          <w:p w14:paraId="730AF039" w14:textId="123911FE"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1164 (8.5)</w:t>
            </w:r>
          </w:p>
        </w:tc>
        <w:tc>
          <w:tcPr>
            <w:tcW w:w="1134" w:type="dxa"/>
            <w:tcBorders>
              <w:top w:val="nil"/>
              <w:left w:val="single" w:sz="4" w:space="0" w:color="auto"/>
              <w:bottom w:val="nil"/>
              <w:right w:val="single" w:sz="4" w:space="0" w:color="auto"/>
            </w:tcBorders>
            <w:vAlign w:val="center"/>
          </w:tcPr>
          <w:p w14:paraId="05AEB944" w14:textId="77777777"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&lt;0.001</w:t>
            </w:r>
          </w:p>
        </w:tc>
        <w:tc>
          <w:tcPr>
            <w:tcW w:w="1696" w:type="dxa"/>
            <w:tcBorders>
              <w:top w:val="nil"/>
              <w:left w:val="single" w:sz="4" w:space="0" w:color="auto"/>
              <w:bottom w:val="nil"/>
              <w:right w:val="single" w:sz="4" w:space="0" w:color="auto"/>
            </w:tcBorders>
          </w:tcPr>
          <w:p w14:paraId="1B06113D"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241 (21.1)</w:t>
            </w:r>
          </w:p>
        </w:tc>
        <w:tc>
          <w:tcPr>
            <w:tcW w:w="1843" w:type="dxa"/>
            <w:tcBorders>
              <w:top w:val="nil"/>
              <w:left w:val="single" w:sz="4" w:space="0" w:color="auto"/>
              <w:bottom w:val="nil"/>
              <w:right w:val="single" w:sz="4" w:space="0" w:color="auto"/>
            </w:tcBorders>
          </w:tcPr>
          <w:p w14:paraId="52D01917"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996 (17.4)</w:t>
            </w:r>
          </w:p>
        </w:tc>
        <w:tc>
          <w:tcPr>
            <w:tcW w:w="1559" w:type="dxa"/>
            <w:tcBorders>
              <w:top w:val="nil"/>
              <w:left w:val="single" w:sz="4" w:space="0" w:color="auto"/>
              <w:bottom w:val="nil"/>
              <w:right w:val="single" w:sz="4" w:space="0" w:color="auto"/>
            </w:tcBorders>
          </w:tcPr>
          <w:p w14:paraId="145F6F95"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0.003</w:t>
            </w:r>
          </w:p>
        </w:tc>
      </w:tr>
      <w:tr w:rsidR="00C61C25" w:rsidRPr="00C61C25" w14:paraId="1B375F87" w14:textId="77777777" w:rsidTr="00456633">
        <w:trPr>
          <w:trHeight w:hRule="exact" w:val="312"/>
        </w:trPr>
        <w:tc>
          <w:tcPr>
            <w:tcW w:w="2122" w:type="dxa"/>
            <w:vMerge/>
            <w:vAlign w:val="center"/>
          </w:tcPr>
          <w:p w14:paraId="72973223" w14:textId="77777777" w:rsidR="00C61C25" w:rsidRPr="00C61C25" w:rsidRDefault="00C61C25" w:rsidP="009A4EC6">
            <w:pPr>
              <w:rPr>
                <w:rFonts w:eastAsia="Calibri" w:cs="Arial"/>
                <w:sz w:val="20"/>
                <w:szCs w:val="20"/>
              </w:rPr>
            </w:pPr>
          </w:p>
        </w:tc>
        <w:tc>
          <w:tcPr>
            <w:tcW w:w="1701" w:type="dxa"/>
            <w:tcBorders>
              <w:top w:val="nil"/>
              <w:bottom w:val="single" w:sz="4" w:space="0" w:color="auto"/>
              <w:right w:val="single" w:sz="4" w:space="0" w:color="auto"/>
            </w:tcBorders>
            <w:vAlign w:val="center"/>
          </w:tcPr>
          <w:p w14:paraId="2D6B5882"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≤365 days</w:t>
            </w:r>
          </w:p>
        </w:tc>
        <w:tc>
          <w:tcPr>
            <w:tcW w:w="1847" w:type="dxa"/>
            <w:tcBorders>
              <w:top w:val="nil"/>
              <w:left w:val="single" w:sz="4" w:space="0" w:color="auto"/>
              <w:bottom w:val="single" w:sz="4" w:space="0" w:color="auto"/>
              <w:right w:val="single" w:sz="4" w:space="0" w:color="auto"/>
            </w:tcBorders>
            <w:vAlign w:val="center"/>
          </w:tcPr>
          <w:p w14:paraId="0A2F4D5E" w14:textId="32740162"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1486 (21.7)</w:t>
            </w:r>
          </w:p>
        </w:tc>
        <w:tc>
          <w:tcPr>
            <w:tcW w:w="1701" w:type="dxa"/>
            <w:tcBorders>
              <w:top w:val="nil"/>
              <w:left w:val="single" w:sz="4" w:space="0" w:color="auto"/>
              <w:bottom w:val="single" w:sz="4" w:space="0" w:color="auto"/>
              <w:right w:val="single" w:sz="4" w:space="0" w:color="auto"/>
            </w:tcBorders>
            <w:vAlign w:val="center"/>
          </w:tcPr>
          <w:p w14:paraId="53B7D654" w14:textId="2765EAB7"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1240 (9.0)</w:t>
            </w:r>
          </w:p>
        </w:tc>
        <w:tc>
          <w:tcPr>
            <w:tcW w:w="1134" w:type="dxa"/>
            <w:tcBorders>
              <w:top w:val="nil"/>
              <w:left w:val="single" w:sz="4" w:space="0" w:color="auto"/>
              <w:bottom w:val="single" w:sz="4" w:space="0" w:color="auto"/>
              <w:right w:val="single" w:sz="4" w:space="0" w:color="auto"/>
            </w:tcBorders>
            <w:vAlign w:val="center"/>
          </w:tcPr>
          <w:p w14:paraId="4EA643C9" w14:textId="77777777"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&lt;0.001</w:t>
            </w:r>
          </w:p>
        </w:tc>
        <w:tc>
          <w:tcPr>
            <w:tcW w:w="1696" w:type="dxa"/>
            <w:tcBorders>
              <w:top w:val="nil"/>
              <w:left w:val="single" w:sz="4" w:space="0" w:color="auto"/>
              <w:bottom w:val="single" w:sz="4" w:space="0" w:color="auto"/>
              <w:right w:val="single" w:sz="4" w:space="0" w:color="auto"/>
            </w:tcBorders>
          </w:tcPr>
          <w:p w14:paraId="5B8345BE"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249 (21.8)</w:t>
            </w:r>
          </w:p>
        </w:tc>
        <w:tc>
          <w:tcPr>
            <w:tcW w:w="1843" w:type="dxa"/>
            <w:tcBorders>
              <w:top w:val="nil"/>
              <w:left w:val="single" w:sz="4" w:space="0" w:color="auto"/>
              <w:bottom w:val="single" w:sz="4" w:space="0" w:color="auto"/>
              <w:right w:val="single" w:sz="4" w:space="0" w:color="auto"/>
            </w:tcBorders>
          </w:tcPr>
          <w:p w14:paraId="56176E0D" w14:textId="0BEA275B"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1036 (18.1)</w:t>
            </w:r>
          </w:p>
        </w:tc>
        <w:tc>
          <w:tcPr>
            <w:tcW w:w="1559" w:type="dxa"/>
            <w:tcBorders>
              <w:top w:val="nil"/>
              <w:left w:val="single" w:sz="4" w:space="0" w:color="auto"/>
              <w:bottom w:val="single" w:sz="4" w:space="0" w:color="auto"/>
              <w:right w:val="single" w:sz="4" w:space="0" w:color="auto"/>
            </w:tcBorders>
          </w:tcPr>
          <w:p w14:paraId="5BE5D55E"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0.003</w:t>
            </w:r>
          </w:p>
        </w:tc>
      </w:tr>
      <w:tr w:rsidR="00C61C25" w:rsidRPr="00C61C25" w14:paraId="21CC32A9" w14:textId="77777777" w:rsidTr="00456633">
        <w:trPr>
          <w:trHeight w:hRule="exact" w:val="312"/>
        </w:trPr>
        <w:tc>
          <w:tcPr>
            <w:tcW w:w="2122" w:type="dxa"/>
            <w:vMerge w:val="restart"/>
            <w:vAlign w:val="center"/>
          </w:tcPr>
          <w:p w14:paraId="3658727E" w14:textId="77777777" w:rsidR="00C61C25" w:rsidRPr="00C61C25" w:rsidRDefault="00C61C25" w:rsidP="009A4EC6">
            <w:pPr>
              <w:widowControl w:val="0"/>
              <w:autoSpaceDE w:val="0"/>
              <w:autoSpaceDN w:val="0"/>
              <w:ind w:left="107" w:right="146"/>
              <w:rPr>
                <w:rFonts w:eastAsia="Times New Roman" w:cs="Arial"/>
                <w:sz w:val="20"/>
                <w:szCs w:val="20"/>
                <w:lang w:val="en-US"/>
              </w:rPr>
            </w:pPr>
            <w:proofErr w:type="spellStart"/>
            <w:r w:rsidRPr="00C61C25">
              <w:rPr>
                <w:rFonts w:eastAsia="Times New Roman" w:cs="Arial"/>
                <w:sz w:val="20"/>
                <w:szCs w:val="20"/>
                <w:lang w:val="en-US"/>
              </w:rPr>
              <w:t>Complications</w:t>
            </w:r>
            <w:r w:rsidRPr="00C61C25">
              <w:rPr>
                <w:rFonts w:eastAsia="Times New Roman" w:cs="Arial"/>
                <w:sz w:val="20"/>
                <w:szCs w:val="20"/>
                <w:vertAlign w:val="superscript"/>
                <w:lang w:val="en-US"/>
              </w:rPr>
              <w:t>b</w:t>
            </w:r>
            <w:proofErr w:type="spellEnd"/>
            <w:r w:rsidRPr="00C61C25">
              <w:rPr>
                <w:rFonts w:eastAsia="Times New Roman" w:cs="Arial"/>
                <w:position w:val="7"/>
                <w:sz w:val="20"/>
                <w:szCs w:val="20"/>
                <w:lang w:val="en-US"/>
              </w:rPr>
              <w:t xml:space="preserve"> </w:t>
            </w:r>
            <w:r w:rsidRPr="00C61C25">
              <w:rPr>
                <w:rFonts w:eastAsia="Times New Roman" w:cs="Arial"/>
                <w:sz w:val="20"/>
                <w:szCs w:val="20"/>
                <w:lang w:val="en-US"/>
              </w:rPr>
              <w:t xml:space="preserve">or </w:t>
            </w:r>
            <w:proofErr w:type="spellStart"/>
            <w:r w:rsidRPr="00C61C25">
              <w:rPr>
                <w:rFonts w:eastAsia="Times New Roman" w:cs="Arial"/>
                <w:sz w:val="20"/>
                <w:szCs w:val="20"/>
                <w:lang w:val="en-US"/>
              </w:rPr>
              <w:t>death</w:t>
            </w:r>
            <w:r w:rsidRPr="00C61C25">
              <w:rPr>
                <w:rFonts w:eastAsia="Times New Roman" w:cs="Arial"/>
                <w:sz w:val="20"/>
                <w:szCs w:val="20"/>
                <w:vertAlign w:val="superscript"/>
                <w:lang w:val="en-US"/>
              </w:rPr>
              <w:t>a</w:t>
            </w:r>
            <w:proofErr w:type="spellEnd"/>
            <w:r w:rsidRPr="00C61C25">
              <w:rPr>
                <w:rFonts w:eastAsia="Times New Roman" w:cs="Arial"/>
                <w:sz w:val="20"/>
                <w:szCs w:val="20"/>
                <w:lang w:val="en-US"/>
              </w:rPr>
              <w:t>, n (%)</w:t>
            </w:r>
          </w:p>
        </w:tc>
        <w:tc>
          <w:tcPr>
            <w:tcW w:w="1701" w:type="dxa"/>
            <w:tcBorders>
              <w:bottom w:val="nil"/>
            </w:tcBorders>
            <w:vAlign w:val="center"/>
          </w:tcPr>
          <w:p w14:paraId="7A2D2B4E"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≤30 days</w:t>
            </w:r>
          </w:p>
        </w:tc>
        <w:tc>
          <w:tcPr>
            <w:tcW w:w="1847" w:type="dxa"/>
            <w:tcBorders>
              <w:top w:val="single" w:sz="4" w:space="0" w:color="auto"/>
              <w:bottom w:val="nil"/>
            </w:tcBorders>
            <w:vAlign w:val="center"/>
          </w:tcPr>
          <w:p w14:paraId="31E33FE1" w14:textId="30F47C5E"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2032 (29.6)</w:t>
            </w:r>
          </w:p>
        </w:tc>
        <w:tc>
          <w:tcPr>
            <w:tcW w:w="1701" w:type="dxa"/>
            <w:tcBorders>
              <w:top w:val="single" w:sz="4" w:space="0" w:color="auto"/>
              <w:bottom w:val="nil"/>
            </w:tcBorders>
            <w:vAlign w:val="center"/>
          </w:tcPr>
          <w:p w14:paraId="76166DFB" w14:textId="2E53DF5E"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2639 (19.2)</w:t>
            </w:r>
          </w:p>
        </w:tc>
        <w:tc>
          <w:tcPr>
            <w:tcW w:w="1134" w:type="dxa"/>
            <w:tcBorders>
              <w:top w:val="single" w:sz="4" w:space="0" w:color="auto"/>
              <w:bottom w:val="nil"/>
            </w:tcBorders>
            <w:vAlign w:val="center"/>
          </w:tcPr>
          <w:p w14:paraId="55862ED1" w14:textId="77777777"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&lt;0.001</w:t>
            </w:r>
          </w:p>
        </w:tc>
        <w:tc>
          <w:tcPr>
            <w:tcW w:w="1696" w:type="dxa"/>
            <w:tcBorders>
              <w:top w:val="single" w:sz="4" w:space="0" w:color="auto"/>
              <w:bottom w:val="nil"/>
            </w:tcBorders>
          </w:tcPr>
          <w:p w14:paraId="17BEF2DA"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247 (21.7)</w:t>
            </w:r>
          </w:p>
        </w:tc>
        <w:tc>
          <w:tcPr>
            <w:tcW w:w="1843" w:type="dxa"/>
            <w:tcBorders>
              <w:top w:val="single" w:sz="4" w:space="0" w:color="auto"/>
              <w:bottom w:val="nil"/>
            </w:tcBorders>
          </w:tcPr>
          <w:p w14:paraId="13775064" w14:textId="62ACDBFC"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1690 (29.5)</w:t>
            </w:r>
          </w:p>
        </w:tc>
        <w:tc>
          <w:tcPr>
            <w:tcW w:w="1559" w:type="dxa"/>
            <w:tcBorders>
              <w:top w:val="single" w:sz="4" w:space="0" w:color="auto"/>
              <w:bottom w:val="nil"/>
            </w:tcBorders>
          </w:tcPr>
          <w:p w14:paraId="6353D2D5"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&lt;0.001</w:t>
            </w:r>
          </w:p>
        </w:tc>
      </w:tr>
      <w:tr w:rsidR="00C61C25" w:rsidRPr="00C61C25" w14:paraId="224FCFE4" w14:textId="77777777" w:rsidTr="00456633">
        <w:trPr>
          <w:trHeight w:hRule="exact" w:val="312"/>
        </w:trPr>
        <w:tc>
          <w:tcPr>
            <w:tcW w:w="2122" w:type="dxa"/>
            <w:vMerge/>
            <w:vAlign w:val="center"/>
          </w:tcPr>
          <w:p w14:paraId="31C04BD8" w14:textId="77777777" w:rsidR="00C61C25" w:rsidRPr="00C61C25" w:rsidRDefault="00C61C25" w:rsidP="009A4EC6">
            <w:pPr>
              <w:rPr>
                <w:rFonts w:eastAsia="Calibri" w:cs="Arial"/>
                <w:sz w:val="20"/>
                <w:szCs w:val="20"/>
              </w:rPr>
            </w:pPr>
          </w:p>
        </w:tc>
        <w:tc>
          <w:tcPr>
            <w:tcW w:w="1701" w:type="dxa"/>
            <w:tcBorders>
              <w:top w:val="nil"/>
              <w:bottom w:val="nil"/>
            </w:tcBorders>
            <w:vAlign w:val="center"/>
          </w:tcPr>
          <w:p w14:paraId="392A7E21"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≤90 days</w:t>
            </w:r>
          </w:p>
        </w:tc>
        <w:tc>
          <w:tcPr>
            <w:tcW w:w="1847" w:type="dxa"/>
            <w:tcBorders>
              <w:top w:val="nil"/>
              <w:bottom w:val="nil"/>
            </w:tcBorders>
            <w:vAlign w:val="center"/>
          </w:tcPr>
          <w:p w14:paraId="2E35779B" w14:textId="1C802D4A"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3251 (47.4)</w:t>
            </w:r>
          </w:p>
        </w:tc>
        <w:tc>
          <w:tcPr>
            <w:tcW w:w="1701" w:type="dxa"/>
            <w:tcBorders>
              <w:top w:val="nil"/>
              <w:bottom w:val="nil"/>
            </w:tcBorders>
            <w:vAlign w:val="center"/>
          </w:tcPr>
          <w:p w14:paraId="543A30F3" w14:textId="7C562215"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3620 (26.4)</w:t>
            </w:r>
          </w:p>
        </w:tc>
        <w:tc>
          <w:tcPr>
            <w:tcW w:w="1134" w:type="dxa"/>
            <w:tcBorders>
              <w:top w:val="nil"/>
              <w:bottom w:val="nil"/>
            </w:tcBorders>
            <w:vAlign w:val="center"/>
          </w:tcPr>
          <w:p w14:paraId="5774CA98" w14:textId="77777777" w:rsidR="00C61C25" w:rsidRPr="00C61C25" w:rsidRDefault="00C61C25" w:rsidP="009A4EC6">
            <w:pPr>
              <w:widowControl w:val="0"/>
              <w:autoSpaceDE w:val="0"/>
              <w:autoSpaceDN w:val="0"/>
              <w:jc w:val="center"/>
              <w:rPr>
                <w:rFonts w:eastAsia="Times New Roman" w:cs="Arial"/>
                <w:sz w:val="20"/>
                <w:szCs w:val="20"/>
                <w:lang w:val="en-US"/>
              </w:rPr>
            </w:pPr>
            <w:r w:rsidRPr="00C61C25">
              <w:rPr>
                <w:rFonts w:eastAsia="Times New Roman" w:cs="Arial"/>
                <w:sz w:val="20"/>
                <w:szCs w:val="20"/>
                <w:lang w:val="en-US"/>
              </w:rPr>
              <w:t>&lt;0.001</w:t>
            </w:r>
          </w:p>
        </w:tc>
        <w:tc>
          <w:tcPr>
            <w:tcW w:w="1696" w:type="dxa"/>
            <w:tcBorders>
              <w:top w:val="nil"/>
              <w:bottom w:val="nil"/>
            </w:tcBorders>
          </w:tcPr>
          <w:p w14:paraId="368D0DC6"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520 (45.6)</w:t>
            </w:r>
          </w:p>
        </w:tc>
        <w:tc>
          <w:tcPr>
            <w:tcW w:w="1843" w:type="dxa"/>
            <w:tcBorders>
              <w:top w:val="nil"/>
              <w:bottom w:val="nil"/>
            </w:tcBorders>
          </w:tcPr>
          <w:p w14:paraId="5C5635A0" w14:textId="0F66744C"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2628 (45.9)</w:t>
            </w:r>
          </w:p>
        </w:tc>
        <w:tc>
          <w:tcPr>
            <w:tcW w:w="1559" w:type="dxa"/>
            <w:tcBorders>
              <w:top w:val="nil"/>
              <w:bottom w:val="nil"/>
            </w:tcBorders>
          </w:tcPr>
          <w:p w14:paraId="72542D03"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0.846</w:t>
            </w:r>
          </w:p>
        </w:tc>
      </w:tr>
      <w:tr w:rsidR="00C61C25" w:rsidRPr="00C61C25" w14:paraId="4A975A39" w14:textId="77777777" w:rsidTr="00456633">
        <w:trPr>
          <w:trHeight w:hRule="exact" w:val="312"/>
        </w:trPr>
        <w:tc>
          <w:tcPr>
            <w:tcW w:w="2122" w:type="dxa"/>
            <w:vMerge/>
            <w:vAlign w:val="center"/>
          </w:tcPr>
          <w:p w14:paraId="6AE724C8" w14:textId="77777777" w:rsidR="00C61C25" w:rsidRPr="00C61C25" w:rsidRDefault="00C61C25" w:rsidP="009A4EC6">
            <w:pPr>
              <w:rPr>
                <w:rFonts w:eastAsia="Calibri" w:cs="Arial"/>
                <w:sz w:val="20"/>
                <w:szCs w:val="20"/>
              </w:rPr>
            </w:pPr>
          </w:p>
        </w:tc>
        <w:tc>
          <w:tcPr>
            <w:tcW w:w="1701" w:type="dxa"/>
            <w:tcBorders>
              <w:top w:val="nil"/>
              <w:bottom w:val="nil"/>
            </w:tcBorders>
            <w:vAlign w:val="center"/>
          </w:tcPr>
          <w:p w14:paraId="407B0D62"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≤180 days</w:t>
            </w:r>
          </w:p>
        </w:tc>
        <w:tc>
          <w:tcPr>
            <w:tcW w:w="1847" w:type="dxa"/>
            <w:tcBorders>
              <w:top w:val="nil"/>
              <w:bottom w:val="nil"/>
            </w:tcBorders>
            <w:vAlign w:val="center"/>
          </w:tcPr>
          <w:p w14:paraId="4BBD44D7" w14:textId="6888340A"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3742 (54.5)</w:t>
            </w:r>
          </w:p>
        </w:tc>
        <w:tc>
          <w:tcPr>
            <w:tcW w:w="1701" w:type="dxa"/>
            <w:tcBorders>
              <w:top w:val="nil"/>
              <w:bottom w:val="nil"/>
            </w:tcBorders>
            <w:vAlign w:val="center"/>
          </w:tcPr>
          <w:p w14:paraId="3706B696" w14:textId="4C4158D2"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4137 (30.1)</w:t>
            </w:r>
          </w:p>
        </w:tc>
        <w:tc>
          <w:tcPr>
            <w:tcW w:w="1134" w:type="dxa"/>
            <w:tcBorders>
              <w:top w:val="nil"/>
              <w:bottom w:val="nil"/>
            </w:tcBorders>
            <w:vAlign w:val="center"/>
          </w:tcPr>
          <w:p w14:paraId="1797611A"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&lt;0.001</w:t>
            </w:r>
          </w:p>
        </w:tc>
        <w:tc>
          <w:tcPr>
            <w:tcW w:w="1696" w:type="dxa"/>
            <w:tcBorders>
              <w:top w:val="nil"/>
              <w:bottom w:val="nil"/>
            </w:tcBorders>
          </w:tcPr>
          <w:p w14:paraId="2574D64C"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615 (53.9)</w:t>
            </w:r>
          </w:p>
        </w:tc>
        <w:tc>
          <w:tcPr>
            <w:tcW w:w="1843" w:type="dxa"/>
            <w:tcBorders>
              <w:top w:val="nil"/>
              <w:bottom w:val="nil"/>
            </w:tcBorders>
          </w:tcPr>
          <w:p w14:paraId="0E4DEFC3" w14:textId="01F94D6E"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2943 (51.4)</w:t>
            </w:r>
          </w:p>
        </w:tc>
        <w:tc>
          <w:tcPr>
            <w:tcW w:w="1559" w:type="dxa"/>
            <w:tcBorders>
              <w:top w:val="nil"/>
              <w:bottom w:val="nil"/>
            </w:tcBorders>
          </w:tcPr>
          <w:p w14:paraId="5EF3D09F"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0.121</w:t>
            </w:r>
          </w:p>
        </w:tc>
      </w:tr>
      <w:tr w:rsidR="00C61C25" w:rsidRPr="00C61C25" w14:paraId="79EA605E" w14:textId="77777777" w:rsidTr="00456633">
        <w:trPr>
          <w:trHeight w:hRule="exact" w:val="312"/>
        </w:trPr>
        <w:tc>
          <w:tcPr>
            <w:tcW w:w="2122" w:type="dxa"/>
            <w:vMerge/>
            <w:vAlign w:val="center"/>
          </w:tcPr>
          <w:p w14:paraId="2B6D1D37" w14:textId="77777777" w:rsidR="00C61C25" w:rsidRPr="00C61C25" w:rsidRDefault="00C61C25" w:rsidP="009A4EC6">
            <w:pPr>
              <w:rPr>
                <w:rFonts w:eastAsia="Calibri" w:cs="Arial"/>
                <w:sz w:val="20"/>
                <w:szCs w:val="20"/>
              </w:rPr>
            </w:pPr>
          </w:p>
        </w:tc>
        <w:tc>
          <w:tcPr>
            <w:tcW w:w="1701" w:type="dxa"/>
            <w:tcBorders>
              <w:top w:val="nil"/>
            </w:tcBorders>
            <w:vAlign w:val="center"/>
          </w:tcPr>
          <w:p w14:paraId="14069F06" w14:textId="77777777" w:rsidR="00C61C25" w:rsidRPr="00C61C25" w:rsidRDefault="00C61C25" w:rsidP="009A4EC6">
            <w:pPr>
              <w:widowControl w:val="0"/>
              <w:autoSpaceDE w:val="0"/>
              <w:autoSpaceDN w:val="0"/>
              <w:ind w:left="103"/>
              <w:rPr>
                <w:rFonts w:eastAsia="Times New Roman" w:cs="Arial"/>
                <w:sz w:val="20"/>
                <w:szCs w:val="20"/>
                <w:lang w:val="en-US"/>
              </w:rPr>
            </w:pPr>
            <w:r w:rsidRPr="00C61C25">
              <w:rPr>
                <w:rFonts w:eastAsia="Times New Roman" w:cs="Arial"/>
                <w:sz w:val="20"/>
                <w:szCs w:val="20"/>
                <w:lang w:val="en-US"/>
              </w:rPr>
              <w:t>≤365 days</w:t>
            </w:r>
          </w:p>
        </w:tc>
        <w:tc>
          <w:tcPr>
            <w:tcW w:w="1847" w:type="dxa"/>
            <w:tcBorders>
              <w:top w:val="nil"/>
            </w:tcBorders>
            <w:vAlign w:val="center"/>
          </w:tcPr>
          <w:p w14:paraId="5D0F6D10" w14:textId="541C1FF8"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4055 (59.1)</w:t>
            </w:r>
          </w:p>
        </w:tc>
        <w:tc>
          <w:tcPr>
            <w:tcW w:w="1701" w:type="dxa"/>
            <w:tcBorders>
              <w:top w:val="nil"/>
            </w:tcBorders>
            <w:vAlign w:val="center"/>
          </w:tcPr>
          <w:p w14:paraId="33D7EE62" w14:textId="560350F9"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4668 (34.0)</w:t>
            </w:r>
          </w:p>
        </w:tc>
        <w:tc>
          <w:tcPr>
            <w:tcW w:w="1134" w:type="dxa"/>
            <w:tcBorders>
              <w:top w:val="nil"/>
            </w:tcBorders>
            <w:vAlign w:val="center"/>
          </w:tcPr>
          <w:p w14:paraId="7DE0EAD5"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&lt;0.001</w:t>
            </w:r>
          </w:p>
        </w:tc>
        <w:tc>
          <w:tcPr>
            <w:tcW w:w="1696" w:type="dxa"/>
            <w:tcBorders>
              <w:top w:val="nil"/>
            </w:tcBorders>
          </w:tcPr>
          <w:p w14:paraId="389DE74A"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682 (59.8)</w:t>
            </w:r>
          </w:p>
        </w:tc>
        <w:tc>
          <w:tcPr>
            <w:tcW w:w="1843" w:type="dxa"/>
            <w:tcBorders>
              <w:top w:val="nil"/>
            </w:tcBorders>
          </w:tcPr>
          <w:p w14:paraId="1CBEC9BE" w14:textId="5846562B"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3173 (55.5)</w:t>
            </w:r>
          </w:p>
        </w:tc>
        <w:tc>
          <w:tcPr>
            <w:tcW w:w="1559" w:type="dxa"/>
            <w:tcBorders>
              <w:top w:val="nil"/>
            </w:tcBorders>
          </w:tcPr>
          <w:p w14:paraId="5E4E38EA" w14:textId="77777777" w:rsidR="00C61C25" w:rsidRPr="00C61C25" w:rsidRDefault="00C61C25" w:rsidP="009A4EC6">
            <w:pPr>
              <w:spacing w:afterLines="40" w:after="96"/>
              <w:jc w:val="center"/>
              <w:rPr>
                <w:rFonts w:eastAsia="Calibri" w:cs="Arial"/>
                <w:sz w:val="20"/>
                <w:szCs w:val="20"/>
              </w:rPr>
            </w:pPr>
            <w:r w:rsidRPr="00C61C25">
              <w:rPr>
                <w:rFonts w:eastAsia="Calibri" w:cs="Arial"/>
                <w:sz w:val="20"/>
                <w:szCs w:val="20"/>
              </w:rPr>
              <w:t>0.007</w:t>
            </w:r>
          </w:p>
        </w:tc>
      </w:tr>
    </w:tbl>
    <w:p w14:paraId="14AE8E13" w14:textId="3C46ABBC" w:rsidR="00561952" w:rsidRDefault="00561952" w:rsidP="009A4EC6">
      <w:pPr>
        <w:rPr>
          <w:sz w:val="20"/>
        </w:rPr>
      </w:pPr>
      <w:r>
        <w:rPr>
          <w:sz w:val="20"/>
        </w:rPr>
        <w:t>Follow</w:t>
      </w:r>
      <w:r w:rsidR="00A66EE7">
        <w:rPr>
          <w:sz w:val="20"/>
        </w:rPr>
        <w:t xml:space="preserve"> </w:t>
      </w:r>
      <w:r>
        <w:rPr>
          <w:sz w:val="20"/>
        </w:rPr>
        <w:t xml:space="preserve">up was from the start of the initial hospital care episode. CDI, </w:t>
      </w:r>
      <w:proofErr w:type="spellStart"/>
      <w:r w:rsidRPr="00A32B5D">
        <w:rPr>
          <w:i/>
          <w:sz w:val="20"/>
        </w:rPr>
        <w:t>Clostridioides</w:t>
      </w:r>
      <w:proofErr w:type="spellEnd"/>
      <w:r w:rsidRPr="00A32B5D">
        <w:rPr>
          <w:i/>
          <w:sz w:val="20"/>
        </w:rPr>
        <w:t xml:space="preserve"> difficile</w:t>
      </w:r>
      <w:r>
        <w:rPr>
          <w:sz w:val="20"/>
        </w:rPr>
        <w:t xml:space="preserve"> infection</w:t>
      </w:r>
      <w:r w:rsidR="00AF001E">
        <w:rPr>
          <w:sz w:val="20"/>
        </w:rPr>
        <w:t xml:space="preserve">; HA, </w:t>
      </w:r>
      <w:proofErr w:type="gramStart"/>
      <w:r w:rsidR="00AF001E">
        <w:rPr>
          <w:sz w:val="20"/>
        </w:rPr>
        <w:t>hospital-associated</w:t>
      </w:r>
      <w:proofErr w:type="gramEnd"/>
      <w:r>
        <w:rPr>
          <w:sz w:val="20"/>
        </w:rPr>
        <w:t xml:space="preserve">. </w:t>
      </w:r>
      <w:proofErr w:type="spellStart"/>
      <w:r w:rsidRPr="00C548AC">
        <w:rPr>
          <w:sz w:val="20"/>
          <w:vertAlign w:val="superscript"/>
        </w:rPr>
        <w:t>a</w:t>
      </w:r>
      <w:r w:rsidRPr="00BD4E8A">
        <w:rPr>
          <w:sz w:val="20"/>
        </w:rPr>
        <w:t>Ascertained</w:t>
      </w:r>
      <w:proofErr w:type="spellEnd"/>
      <w:r w:rsidRPr="00BD4E8A">
        <w:rPr>
          <w:sz w:val="20"/>
        </w:rPr>
        <w:t xml:space="preserve"> using death registration recorded in O</w:t>
      </w:r>
      <w:r>
        <w:rPr>
          <w:sz w:val="20"/>
        </w:rPr>
        <w:t>ffice of National Statistics</w:t>
      </w:r>
      <w:r w:rsidRPr="00BD4E8A">
        <w:rPr>
          <w:sz w:val="20"/>
        </w:rPr>
        <w:t xml:space="preserve"> </w:t>
      </w:r>
      <w:r>
        <w:rPr>
          <w:sz w:val="20"/>
        </w:rPr>
        <w:t>m</w:t>
      </w:r>
      <w:r w:rsidRPr="00BD4E8A">
        <w:rPr>
          <w:sz w:val="20"/>
        </w:rPr>
        <w:t>ortality data</w:t>
      </w:r>
      <w:r>
        <w:rPr>
          <w:sz w:val="20"/>
        </w:rPr>
        <w:t xml:space="preserve">. </w:t>
      </w:r>
      <w:proofErr w:type="spellStart"/>
      <w:r w:rsidRPr="00700DC8">
        <w:rPr>
          <w:rFonts w:cs="Arial"/>
          <w:sz w:val="20"/>
          <w:szCs w:val="20"/>
          <w:vertAlign w:val="superscript"/>
        </w:rPr>
        <w:t>b</w:t>
      </w:r>
      <w:r>
        <w:rPr>
          <w:sz w:val="20"/>
        </w:rPr>
        <w:t>Evaluated</w:t>
      </w:r>
      <w:proofErr w:type="spellEnd"/>
      <w:r>
        <w:rPr>
          <w:sz w:val="20"/>
        </w:rPr>
        <w:t xml:space="preserve"> using primary care</w:t>
      </w:r>
      <w:r w:rsidR="00680DDB">
        <w:rPr>
          <w:sz w:val="20"/>
        </w:rPr>
        <w:t xml:space="preserve"> (CPRD GOLD)</w:t>
      </w:r>
      <w:r>
        <w:rPr>
          <w:sz w:val="20"/>
        </w:rPr>
        <w:t xml:space="preserve">, hospital </w:t>
      </w:r>
      <w:r w:rsidR="00680DDB">
        <w:rPr>
          <w:sz w:val="20"/>
        </w:rPr>
        <w:t xml:space="preserve">(HES) </w:t>
      </w:r>
      <w:r>
        <w:rPr>
          <w:sz w:val="20"/>
        </w:rPr>
        <w:t xml:space="preserve">and </w:t>
      </w:r>
      <w:r w:rsidRPr="00BD4E8A">
        <w:rPr>
          <w:sz w:val="20"/>
        </w:rPr>
        <w:t>O</w:t>
      </w:r>
      <w:r>
        <w:rPr>
          <w:sz w:val="20"/>
        </w:rPr>
        <w:t>ffice of National Statistics</w:t>
      </w:r>
      <w:r w:rsidRPr="00BD4E8A">
        <w:rPr>
          <w:sz w:val="20"/>
        </w:rPr>
        <w:t xml:space="preserve"> </w:t>
      </w:r>
      <w:r>
        <w:rPr>
          <w:sz w:val="20"/>
        </w:rPr>
        <w:t>m</w:t>
      </w:r>
      <w:r w:rsidRPr="00BD4E8A">
        <w:rPr>
          <w:sz w:val="20"/>
        </w:rPr>
        <w:t>ortality data</w:t>
      </w:r>
      <w:r w:rsidR="004C10EB">
        <w:rPr>
          <w:sz w:val="20"/>
        </w:rPr>
        <w:t>.</w:t>
      </w:r>
      <w:r w:rsidR="00680DDB">
        <w:rPr>
          <w:sz w:val="20"/>
        </w:rPr>
        <w:t xml:space="preserve"> Complications included ulcerative pancolitis, megacolon, intestinal perforation, toxic gastroenteritis</w:t>
      </w:r>
      <w:r w:rsidR="00747C42">
        <w:rPr>
          <w:sz w:val="20"/>
        </w:rPr>
        <w:t>/</w:t>
      </w:r>
      <w:r w:rsidR="00680DDB">
        <w:rPr>
          <w:sz w:val="20"/>
        </w:rPr>
        <w:t>colitis, colectomy, renal failure and sepsis (</w:t>
      </w:r>
      <w:r w:rsidR="00680DDB" w:rsidRPr="005277CB">
        <w:rPr>
          <w:b/>
          <w:bCs/>
          <w:sz w:val="20"/>
        </w:rPr>
        <w:t>Table A.I</w:t>
      </w:r>
      <w:r w:rsidR="00F54419">
        <w:rPr>
          <w:sz w:val="20"/>
        </w:rPr>
        <w:t>, online supplementary information</w:t>
      </w:r>
      <w:r w:rsidR="00680DDB">
        <w:rPr>
          <w:sz w:val="20"/>
        </w:rPr>
        <w:t xml:space="preserve">)  </w:t>
      </w:r>
      <w:r w:rsidR="004C10EB">
        <w:rPr>
          <w:sz w:val="20"/>
        </w:rPr>
        <w:t xml:space="preserve"> </w:t>
      </w:r>
    </w:p>
    <w:p w14:paraId="56D68F05" w14:textId="77777777" w:rsidR="00561952" w:rsidRDefault="00561952" w:rsidP="009A4EC6">
      <w:pPr>
        <w:sectPr w:rsidR="00561952" w:rsidSect="00FD4CFE">
          <w:pgSz w:w="16838" w:h="11906" w:orient="landscape"/>
          <w:pgMar w:top="1440" w:right="1440" w:bottom="1440" w:left="1440" w:header="709" w:footer="709" w:gutter="0"/>
          <w:cols w:space="708"/>
          <w:docGrid w:linePitch="360"/>
        </w:sectPr>
      </w:pPr>
    </w:p>
    <w:p w14:paraId="5EC2812A" w14:textId="797280CC" w:rsidR="00561952" w:rsidRPr="00561952" w:rsidRDefault="00561952" w:rsidP="009A4EC6">
      <w:pPr>
        <w:keepNext/>
        <w:keepLines/>
        <w:outlineLvl w:val="1"/>
        <w:rPr>
          <w:rFonts w:eastAsia="MS Gothic" w:cs="Times New Roman"/>
          <w:b/>
          <w:sz w:val="24"/>
          <w:szCs w:val="26"/>
        </w:rPr>
      </w:pPr>
      <w:r w:rsidRPr="00561952">
        <w:rPr>
          <w:rFonts w:eastAsia="MS Gothic" w:cs="Times New Roman"/>
          <w:b/>
          <w:sz w:val="24"/>
          <w:szCs w:val="26"/>
        </w:rPr>
        <w:lastRenderedPageBreak/>
        <w:t>Table I</w:t>
      </w:r>
      <w:r w:rsidR="00457F09">
        <w:rPr>
          <w:rFonts w:eastAsia="MS Gothic" w:cs="Times New Roman"/>
          <w:b/>
          <w:sz w:val="24"/>
          <w:szCs w:val="26"/>
        </w:rPr>
        <w:t>II</w:t>
      </w:r>
      <w:r w:rsidRPr="00561952">
        <w:rPr>
          <w:rFonts w:eastAsia="MS Gothic" w:cs="Times New Roman"/>
          <w:b/>
          <w:sz w:val="24"/>
          <w:szCs w:val="26"/>
        </w:rPr>
        <w:t xml:space="preserve"> </w:t>
      </w:r>
      <w:r w:rsidRPr="00561952">
        <w:rPr>
          <w:rFonts w:eastAsia="MS Gothic" w:cs="Times New Roman"/>
          <w:sz w:val="24"/>
          <w:szCs w:val="26"/>
        </w:rPr>
        <w:t>Twelve-month risk of death or complications for patients with HA-CDI versus no CDI and</w:t>
      </w:r>
      <w:r w:rsidR="00457F09">
        <w:rPr>
          <w:rFonts w:eastAsia="MS Gothic" w:cs="Times New Roman"/>
          <w:sz w:val="24"/>
          <w:szCs w:val="26"/>
        </w:rPr>
        <w:t xml:space="preserve"> for</w:t>
      </w:r>
      <w:r w:rsidRPr="00561952">
        <w:rPr>
          <w:rFonts w:eastAsia="MS Gothic" w:cs="Times New Roman"/>
          <w:sz w:val="24"/>
          <w:szCs w:val="26"/>
        </w:rPr>
        <w:t xml:space="preserve"> recurrent CDI versus non-recurrent CDI </w:t>
      </w:r>
    </w:p>
    <w:tbl>
      <w:tblPr>
        <w:tblStyle w:val="TableGridLight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Look w:val="0420" w:firstRow="1" w:lastRow="0" w:firstColumn="0" w:lastColumn="0" w:noHBand="0" w:noVBand="1"/>
      </w:tblPr>
      <w:tblGrid>
        <w:gridCol w:w="838"/>
        <w:gridCol w:w="1344"/>
        <w:gridCol w:w="1641"/>
        <w:gridCol w:w="1420"/>
        <w:gridCol w:w="1423"/>
        <w:gridCol w:w="1282"/>
        <w:gridCol w:w="1417"/>
        <w:gridCol w:w="1261"/>
        <w:gridCol w:w="1417"/>
        <w:gridCol w:w="1412"/>
        <w:gridCol w:w="16"/>
      </w:tblGrid>
      <w:tr w:rsidR="00281703" w:rsidRPr="001D09D7" w14:paraId="20D41DAF" w14:textId="77777777" w:rsidTr="005277CB">
        <w:trPr>
          <w:trHeight w:val="214"/>
        </w:trPr>
        <w:tc>
          <w:tcPr>
            <w:tcW w:w="5000" w:type="pct"/>
            <w:gridSpan w:val="11"/>
            <w:tcBorders>
              <w:top w:val="single" w:sz="4" w:space="0" w:color="auto"/>
              <w:left w:val="single" w:sz="4" w:space="0" w:color="auto"/>
              <w:bottom w:val="single" w:sz="4" w:space="0" w:color="auto"/>
            </w:tcBorders>
            <w:vAlign w:val="center"/>
          </w:tcPr>
          <w:p w14:paraId="25AAB450" w14:textId="32741D8B" w:rsidR="007F0A22" w:rsidRPr="00456633" w:rsidRDefault="007F0A22" w:rsidP="003237DF">
            <w:pPr>
              <w:spacing w:beforeLines="40" w:before="96" w:afterLines="40" w:after="96"/>
              <w:jc w:val="center"/>
              <w:rPr>
                <w:rFonts w:eastAsia="Times New Roman" w:cs="Arial"/>
                <w:b/>
                <w:bCs/>
                <w:kern w:val="24"/>
                <w:sz w:val="20"/>
                <w:szCs w:val="18"/>
                <w:lang w:eastAsia="en-GB"/>
              </w:rPr>
            </w:pPr>
            <w:r w:rsidRPr="00456633">
              <w:rPr>
                <w:rFonts w:eastAsia="MS Mincho" w:cs="Arial"/>
                <w:b/>
                <w:kern w:val="24"/>
                <w:sz w:val="20"/>
                <w:szCs w:val="18"/>
                <w:lang w:eastAsia="en-GB"/>
              </w:rPr>
              <w:t>HA-CDI versus no CDI</w:t>
            </w:r>
          </w:p>
        </w:tc>
      </w:tr>
      <w:tr w:rsidR="00281703" w:rsidRPr="001D09D7" w14:paraId="12B24B11" w14:textId="77777777" w:rsidTr="005277CB">
        <w:trPr>
          <w:gridAfter w:val="1"/>
          <w:wAfter w:w="5" w:type="pct"/>
          <w:trHeight w:val="214"/>
        </w:trPr>
        <w:tc>
          <w:tcPr>
            <w:tcW w:w="311" w:type="pct"/>
            <w:tcBorders>
              <w:top w:val="single" w:sz="4" w:space="0" w:color="auto"/>
              <w:left w:val="single" w:sz="4" w:space="0" w:color="auto"/>
              <w:bottom w:val="single" w:sz="4" w:space="0" w:color="auto"/>
              <w:right w:val="nil"/>
            </w:tcBorders>
          </w:tcPr>
          <w:p w14:paraId="487D6B1B" w14:textId="77777777" w:rsidR="007F0A22" w:rsidRPr="00456633" w:rsidRDefault="007F0A22" w:rsidP="003237DF">
            <w:pPr>
              <w:spacing w:beforeLines="40" w:before="96" w:afterLines="40" w:after="96"/>
              <w:rPr>
                <w:rFonts w:eastAsia="Times New Roman" w:cs="Arial"/>
                <w:b/>
                <w:sz w:val="20"/>
                <w:szCs w:val="18"/>
                <w:lang w:eastAsia="en-GB"/>
              </w:rPr>
            </w:pPr>
          </w:p>
        </w:tc>
        <w:tc>
          <w:tcPr>
            <w:tcW w:w="499" w:type="pct"/>
            <w:tcBorders>
              <w:top w:val="single" w:sz="4" w:space="0" w:color="auto"/>
              <w:left w:val="single" w:sz="4" w:space="0" w:color="auto"/>
              <w:bottom w:val="single" w:sz="4" w:space="0" w:color="auto"/>
              <w:right w:val="nil"/>
            </w:tcBorders>
            <w:vAlign w:val="center"/>
          </w:tcPr>
          <w:p w14:paraId="66E20145" w14:textId="4528C795" w:rsidR="007F0A22" w:rsidRPr="00456633" w:rsidRDefault="007F0A22" w:rsidP="003237DF">
            <w:pPr>
              <w:spacing w:beforeLines="40" w:before="96" w:afterLines="40" w:after="96"/>
              <w:rPr>
                <w:rFonts w:eastAsia="Times New Roman" w:cs="Arial"/>
                <w:b/>
                <w:sz w:val="20"/>
                <w:szCs w:val="18"/>
                <w:lang w:eastAsia="en-GB"/>
              </w:rPr>
            </w:pPr>
          </w:p>
        </w:tc>
        <w:tc>
          <w:tcPr>
            <w:tcW w:w="609" w:type="pct"/>
            <w:tcBorders>
              <w:top w:val="single" w:sz="4" w:space="0" w:color="auto"/>
              <w:left w:val="nil"/>
              <w:bottom w:val="single" w:sz="4" w:space="0" w:color="auto"/>
              <w:right w:val="nil"/>
            </w:tcBorders>
          </w:tcPr>
          <w:p w14:paraId="0DBDB45A" w14:textId="77777777" w:rsidR="007F0A22" w:rsidRPr="00456633" w:rsidRDefault="007F0A22" w:rsidP="003237DF">
            <w:pPr>
              <w:spacing w:beforeLines="40" w:before="96" w:afterLines="40" w:after="96"/>
              <w:rPr>
                <w:rFonts w:eastAsia="Times New Roman" w:cs="Arial"/>
                <w:b/>
                <w:sz w:val="20"/>
                <w:szCs w:val="18"/>
                <w:lang w:eastAsia="en-GB"/>
              </w:rPr>
            </w:pPr>
          </w:p>
        </w:tc>
        <w:tc>
          <w:tcPr>
            <w:tcW w:w="527" w:type="pct"/>
            <w:tcBorders>
              <w:top w:val="single" w:sz="4" w:space="0" w:color="auto"/>
              <w:left w:val="nil"/>
              <w:bottom w:val="single" w:sz="4" w:space="0" w:color="auto"/>
              <w:right w:val="nil"/>
            </w:tcBorders>
            <w:vAlign w:val="center"/>
          </w:tcPr>
          <w:p w14:paraId="0757AC2E" w14:textId="7520FE03" w:rsidR="007F0A22" w:rsidRPr="00456633" w:rsidRDefault="007F0A22" w:rsidP="003237DF">
            <w:pPr>
              <w:spacing w:beforeLines="40" w:before="96" w:afterLines="40" w:after="96"/>
              <w:rPr>
                <w:rFonts w:eastAsia="Times New Roman" w:cs="Arial"/>
                <w:b/>
                <w:sz w:val="20"/>
                <w:szCs w:val="18"/>
                <w:lang w:eastAsia="en-GB"/>
              </w:rPr>
            </w:pPr>
          </w:p>
        </w:tc>
        <w:tc>
          <w:tcPr>
            <w:tcW w:w="1004" w:type="pct"/>
            <w:gridSpan w:val="2"/>
            <w:tcBorders>
              <w:left w:val="single" w:sz="4" w:space="0" w:color="auto"/>
            </w:tcBorders>
            <w:vAlign w:val="center"/>
            <w:hideMark/>
          </w:tcPr>
          <w:p w14:paraId="2C8E5BDC" w14:textId="3FDE0352" w:rsidR="007F0A22" w:rsidRPr="00456633" w:rsidRDefault="007F0A22" w:rsidP="003237DF">
            <w:pPr>
              <w:spacing w:beforeLines="40" w:before="96" w:afterLines="40" w:after="96"/>
              <w:jc w:val="center"/>
              <w:rPr>
                <w:rFonts w:eastAsia="Times New Roman" w:cs="Arial"/>
                <w:b/>
                <w:sz w:val="20"/>
                <w:szCs w:val="18"/>
                <w:lang w:eastAsia="en-GB"/>
              </w:rPr>
            </w:pPr>
            <w:proofErr w:type="spellStart"/>
            <w:r w:rsidRPr="00456633">
              <w:rPr>
                <w:rFonts w:eastAsia="Times New Roman" w:cs="Arial"/>
                <w:b/>
                <w:bCs/>
                <w:kern w:val="24"/>
                <w:sz w:val="20"/>
                <w:szCs w:val="18"/>
                <w:lang w:eastAsia="en-GB"/>
              </w:rPr>
              <w:t>Death</w:t>
            </w:r>
            <w:r w:rsidRPr="00456633">
              <w:rPr>
                <w:rFonts w:eastAsia="Times New Roman" w:cs="Arial"/>
                <w:bCs/>
                <w:kern w:val="24"/>
                <w:sz w:val="20"/>
                <w:szCs w:val="18"/>
                <w:vertAlign w:val="superscript"/>
                <w:lang w:eastAsia="en-GB"/>
              </w:rPr>
              <w:t>a</w:t>
            </w:r>
            <w:proofErr w:type="spellEnd"/>
          </w:p>
        </w:tc>
        <w:tc>
          <w:tcPr>
            <w:tcW w:w="994" w:type="pct"/>
            <w:gridSpan w:val="2"/>
            <w:vAlign w:val="center"/>
            <w:hideMark/>
          </w:tcPr>
          <w:p w14:paraId="6C66D30C" w14:textId="43322F50" w:rsidR="007F0A22" w:rsidRPr="00456633" w:rsidRDefault="007F0A22" w:rsidP="003237DF">
            <w:pPr>
              <w:spacing w:beforeLines="40" w:before="96" w:afterLines="40" w:after="96"/>
              <w:jc w:val="center"/>
              <w:rPr>
                <w:rFonts w:eastAsia="Times New Roman" w:cs="Arial"/>
                <w:b/>
                <w:sz w:val="20"/>
                <w:szCs w:val="18"/>
                <w:lang w:eastAsia="en-GB"/>
              </w:rPr>
            </w:pPr>
            <w:proofErr w:type="spellStart"/>
            <w:r w:rsidRPr="00456633">
              <w:rPr>
                <w:rFonts w:eastAsia="Times New Roman" w:cs="Arial"/>
                <w:b/>
                <w:bCs/>
                <w:kern w:val="24"/>
                <w:sz w:val="20"/>
                <w:szCs w:val="18"/>
                <w:lang w:eastAsia="en-GB"/>
              </w:rPr>
              <w:t>Complications</w:t>
            </w:r>
            <w:r w:rsidRPr="00456633">
              <w:rPr>
                <w:rFonts w:eastAsia="Times New Roman" w:cs="Arial"/>
                <w:bCs/>
                <w:kern w:val="24"/>
                <w:sz w:val="20"/>
                <w:szCs w:val="18"/>
                <w:vertAlign w:val="superscript"/>
                <w:lang w:eastAsia="en-GB"/>
              </w:rPr>
              <w:t>b</w:t>
            </w:r>
            <w:proofErr w:type="spellEnd"/>
          </w:p>
        </w:tc>
        <w:tc>
          <w:tcPr>
            <w:tcW w:w="1050" w:type="pct"/>
            <w:gridSpan w:val="2"/>
            <w:vAlign w:val="center"/>
            <w:hideMark/>
          </w:tcPr>
          <w:p w14:paraId="3FBB622E" w14:textId="50A5DA47" w:rsidR="007F0A22" w:rsidRPr="00456633" w:rsidRDefault="007F0A22" w:rsidP="003237DF">
            <w:pPr>
              <w:spacing w:beforeLines="40" w:before="96" w:afterLines="40" w:after="96"/>
              <w:jc w:val="center"/>
              <w:rPr>
                <w:rFonts w:eastAsia="Times New Roman" w:cs="Arial"/>
                <w:sz w:val="20"/>
                <w:szCs w:val="18"/>
                <w:vertAlign w:val="superscript"/>
                <w:lang w:eastAsia="en-GB"/>
              </w:rPr>
            </w:pPr>
            <w:proofErr w:type="spellStart"/>
            <w:r w:rsidRPr="00456633">
              <w:rPr>
                <w:rFonts w:eastAsia="Times New Roman" w:cs="Arial"/>
                <w:b/>
                <w:bCs/>
                <w:kern w:val="24"/>
                <w:sz w:val="20"/>
                <w:szCs w:val="18"/>
                <w:lang w:eastAsia="en-GB"/>
              </w:rPr>
              <w:t>Complications</w:t>
            </w:r>
            <w:r w:rsidRPr="00456633">
              <w:rPr>
                <w:rFonts w:eastAsia="Times New Roman" w:cs="Arial"/>
                <w:bCs/>
                <w:kern w:val="24"/>
                <w:sz w:val="20"/>
                <w:szCs w:val="18"/>
                <w:vertAlign w:val="superscript"/>
                <w:lang w:eastAsia="en-GB"/>
              </w:rPr>
              <w:t>b</w:t>
            </w:r>
            <w:proofErr w:type="spellEnd"/>
            <w:r w:rsidRPr="00456633">
              <w:rPr>
                <w:rFonts w:eastAsia="Times New Roman" w:cs="Arial"/>
                <w:b/>
                <w:bCs/>
                <w:kern w:val="24"/>
                <w:sz w:val="20"/>
                <w:szCs w:val="18"/>
                <w:lang w:eastAsia="en-GB"/>
              </w:rPr>
              <w:t xml:space="preserve"> or </w:t>
            </w:r>
            <w:proofErr w:type="spellStart"/>
            <w:r w:rsidRPr="00456633">
              <w:rPr>
                <w:rFonts w:eastAsia="Times New Roman" w:cs="Arial"/>
                <w:b/>
                <w:bCs/>
                <w:kern w:val="24"/>
                <w:sz w:val="20"/>
                <w:szCs w:val="18"/>
                <w:lang w:eastAsia="en-GB"/>
              </w:rPr>
              <w:t>death</w:t>
            </w:r>
            <w:r w:rsidRPr="00456633">
              <w:rPr>
                <w:rFonts w:eastAsia="Times New Roman" w:cs="Arial"/>
                <w:bCs/>
                <w:kern w:val="24"/>
                <w:sz w:val="20"/>
                <w:szCs w:val="18"/>
                <w:vertAlign w:val="superscript"/>
                <w:lang w:eastAsia="en-GB"/>
              </w:rPr>
              <w:t>a</w:t>
            </w:r>
            <w:proofErr w:type="spellEnd"/>
          </w:p>
        </w:tc>
      </w:tr>
      <w:tr w:rsidR="00281703" w:rsidRPr="001D09D7" w14:paraId="40B300CA" w14:textId="77777777" w:rsidTr="005277CB">
        <w:trPr>
          <w:gridAfter w:val="1"/>
          <w:wAfter w:w="5" w:type="pct"/>
          <w:trHeight w:val="541"/>
        </w:trPr>
        <w:tc>
          <w:tcPr>
            <w:tcW w:w="311" w:type="pct"/>
            <w:tcBorders>
              <w:top w:val="single" w:sz="4" w:space="0" w:color="auto"/>
            </w:tcBorders>
          </w:tcPr>
          <w:p w14:paraId="4ACD19D2" w14:textId="510E57A2" w:rsidR="007F0A22" w:rsidRPr="00456633" w:rsidRDefault="007F0A22" w:rsidP="007F0A22">
            <w:pPr>
              <w:spacing w:beforeLines="40" w:before="96" w:afterLines="40" w:after="96"/>
              <w:rPr>
                <w:rFonts w:eastAsia="MS Mincho" w:cs="Arial"/>
                <w:b/>
                <w:bCs/>
                <w:kern w:val="24"/>
                <w:sz w:val="20"/>
                <w:szCs w:val="18"/>
                <w:lang w:eastAsia="en-GB"/>
              </w:rPr>
            </w:pPr>
            <w:r>
              <w:rPr>
                <w:rFonts w:eastAsia="MS Mincho" w:cs="Arial"/>
                <w:b/>
                <w:bCs/>
                <w:kern w:val="24"/>
                <w:sz w:val="20"/>
                <w:szCs w:val="18"/>
                <w:lang w:eastAsia="en-GB"/>
              </w:rPr>
              <w:t>Model</w:t>
            </w:r>
          </w:p>
        </w:tc>
        <w:tc>
          <w:tcPr>
            <w:tcW w:w="499" w:type="pct"/>
            <w:tcBorders>
              <w:top w:val="single" w:sz="4" w:space="0" w:color="auto"/>
            </w:tcBorders>
            <w:vAlign w:val="center"/>
          </w:tcPr>
          <w:p w14:paraId="5CF6822C" w14:textId="38C41A41" w:rsidR="007F0A22" w:rsidRPr="00456633" w:rsidRDefault="007F0A22" w:rsidP="007F0A22">
            <w:pPr>
              <w:spacing w:beforeLines="40" w:before="96" w:afterLines="40" w:after="96"/>
              <w:rPr>
                <w:rFonts w:eastAsia="MS Mincho" w:cs="Arial"/>
                <w:b/>
                <w:bCs/>
                <w:kern w:val="24"/>
                <w:sz w:val="20"/>
                <w:szCs w:val="18"/>
                <w:lang w:eastAsia="en-GB"/>
              </w:rPr>
            </w:pPr>
            <w:r>
              <w:rPr>
                <w:rFonts w:eastAsia="MS Mincho" w:cs="Arial"/>
                <w:b/>
                <w:bCs/>
                <w:kern w:val="24"/>
                <w:sz w:val="20"/>
                <w:szCs w:val="18"/>
                <w:lang w:eastAsia="en-GB"/>
              </w:rPr>
              <w:t xml:space="preserve">CDI </w:t>
            </w:r>
            <w:r w:rsidR="00747C42">
              <w:rPr>
                <w:rFonts w:eastAsia="MS Mincho" w:cs="Arial"/>
                <w:b/>
                <w:bCs/>
                <w:kern w:val="24"/>
                <w:sz w:val="20"/>
                <w:szCs w:val="18"/>
                <w:lang w:eastAsia="en-GB"/>
              </w:rPr>
              <w:t xml:space="preserve">covariate </w:t>
            </w:r>
            <w:r w:rsidRPr="00456633">
              <w:rPr>
                <w:rFonts w:eastAsia="MS Mincho" w:cs="Arial"/>
                <w:b/>
                <w:bCs/>
                <w:kern w:val="24"/>
                <w:sz w:val="20"/>
                <w:szCs w:val="18"/>
                <w:lang w:eastAsia="en-GB"/>
              </w:rPr>
              <w:t>specification</w:t>
            </w:r>
          </w:p>
        </w:tc>
        <w:tc>
          <w:tcPr>
            <w:tcW w:w="609" w:type="pct"/>
            <w:tcBorders>
              <w:top w:val="single" w:sz="4" w:space="0" w:color="auto"/>
            </w:tcBorders>
            <w:vAlign w:val="center"/>
          </w:tcPr>
          <w:p w14:paraId="7967FAD8" w14:textId="2D304B8E" w:rsidR="007F0A22" w:rsidRPr="00456633" w:rsidRDefault="007F0A22" w:rsidP="007F0A22">
            <w:pPr>
              <w:spacing w:beforeLines="40" w:before="96" w:afterLines="40" w:after="96"/>
              <w:rPr>
                <w:rFonts w:eastAsia="MS Mincho" w:cs="Arial"/>
                <w:b/>
                <w:bCs/>
                <w:kern w:val="24"/>
                <w:sz w:val="20"/>
                <w:szCs w:val="18"/>
                <w:lang w:eastAsia="en-GB"/>
              </w:rPr>
            </w:pPr>
            <w:r w:rsidRPr="00456633">
              <w:rPr>
                <w:rFonts w:eastAsia="MS Mincho" w:cs="Arial"/>
                <w:b/>
                <w:bCs/>
                <w:kern w:val="24"/>
                <w:sz w:val="20"/>
                <w:szCs w:val="18"/>
                <w:lang w:eastAsia="en-GB"/>
              </w:rPr>
              <w:t>Index date of CDI</w:t>
            </w:r>
          </w:p>
        </w:tc>
        <w:tc>
          <w:tcPr>
            <w:tcW w:w="527" w:type="pct"/>
            <w:tcBorders>
              <w:top w:val="single" w:sz="4" w:space="0" w:color="auto"/>
            </w:tcBorders>
            <w:vAlign w:val="center"/>
            <w:hideMark/>
          </w:tcPr>
          <w:p w14:paraId="77ECB842" w14:textId="56300B1A" w:rsidR="007F0A22" w:rsidRPr="00456633" w:rsidRDefault="007F0A22" w:rsidP="007F0A22">
            <w:pPr>
              <w:spacing w:beforeLines="40" w:before="96" w:afterLines="40" w:after="96"/>
              <w:rPr>
                <w:rFonts w:eastAsia="Times New Roman" w:cs="Arial"/>
                <w:b/>
                <w:sz w:val="20"/>
                <w:szCs w:val="18"/>
                <w:lang w:eastAsia="en-GB"/>
              </w:rPr>
            </w:pPr>
            <w:r w:rsidRPr="00456633">
              <w:rPr>
                <w:rFonts w:eastAsia="MS Mincho" w:cs="Arial"/>
                <w:b/>
                <w:bCs/>
                <w:kern w:val="24"/>
                <w:sz w:val="20"/>
                <w:szCs w:val="18"/>
                <w:lang w:eastAsia="en-GB"/>
              </w:rPr>
              <w:t>Start of follow</w:t>
            </w:r>
            <w:r w:rsidR="00A66EE7">
              <w:rPr>
                <w:rFonts w:eastAsia="MS Mincho" w:cs="Arial"/>
                <w:b/>
                <w:bCs/>
                <w:kern w:val="24"/>
                <w:sz w:val="20"/>
                <w:szCs w:val="18"/>
                <w:lang w:eastAsia="en-GB"/>
              </w:rPr>
              <w:t xml:space="preserve"> </w:t>
            </w:r>
            <w:r w:rsidRPr="00456633">
              <w:rPr>
                <w:rFonts w:eastAsia="MS Mincho" w:cs="Arial"/>
                <w:b/>
                <w:bCs/>
                <w:kern w:val="24"/>
                <w:sz w:val="20"/>
                <w:szCs w:val="18"/>
                <w:lang w:eastAsia="en-GB"/>
              </w:rPr>
              <w:t xml:space="preserve">up </w:t>
            </w:r>
          </w:p>
        </w:tc>
        <w:tc>
          <w:tcPr>
            <w:tcW w:w="528" w:type="pct"/>
            <w:vAlign w:val="center"/>
            <w:hideMark/>
          </w:tcPr>
          <w:p w14:paraId="0C97E665" w14:textId="77777777" w:rsidR="007F0A22" w:rsidRPr="00456633" w:rsidRDefault="007F0A22" w:rsidP="007F0A22">
            <w:pPr>
              <w:spacing w:beforeLines="40" w:before="96" w:afterLines="40" w:after="96"/>
              <w:rPr>
                <w:rFonts w:eastAsia="Times New Roman" w:cs="Arial"/>
                <w:b/>
                <w:sz w:val="20"/>
                <w:szCs w:val="18"/>
                <w:lang w:eastAsia="en-GB"/>
              </w:rPr>
            </w:pPr>
            <w:r w:rsidRPr="00456633">
              <w:rPr>
                <w:rFonts w:eastAsia="MS Mincho" w:cs="Arial"/>
                <w:b/>
                <w:bCs/>
                <w:kern w:val="24"/>
                <w:sz w:val="20"/>
                <w:szCs w:val="18"/>
                <w:lang w:eastAsia="en-GB"/>
              </w:rPr>
              <w:t>Unadjusted HR (95% CI)</w:t>
            </w:r>
          </w:p>
        </w:tc>
        <w:tc>
          <w:tcPr>
            <w:tcW w:w="476" w:type="pct"/>
            <w:vAlign w:val="center"/>
            <w:hideMark/>
          </w:tcPr>
          <w:p w14:paraId="3A6E7062" w14:textId="77777777" w:rsidR="007F0A22" w:rsidRPr="00456633" w:rsidRDefault="007F0A22" w:rsidP="007F0A22">
            <w:pPr>
              <w:spacing w:beforeLines="40" w:before="96" w:afterLines="40" w:after="96"/>
              <w:rPr>
                <w:rFonts w:eastAsia="Times New Roman" w:cs="Arial"/>
                <w:b/>
                <w:sz w:val="20"/>
                <w:szCs w:val="18"/>
                <w:lang w:eastAsia="en-GB"/>
              </w:rPr>
            </w:pPr>
            <w:r w:rsidRPr="00456633">
              <w:rPr>
                <w:rFonts w:eastAsia="MS Mincho" w:cs="Arial"/>
                <w:b/>
                <w:bCs/>
                <w:kern w:val="24"/>
                <w:sz w:val="20"/>
                <w:szCs w:val="18"/>
                <w:lang w:eastAsia="en-GB"/>
              </w:rPr>
              <w:t>Adjusted HR (95% CI)</w:t>
            </w:r>
          </w:p>
        </w:tc>
        <w:tc>
          <w:tcPr>
            <w:tcW w:w="526" w:type="pct"/>
            <w:vAlign w:val="center"/>
            <w:hideMark/>
          </w:tcPr>
          <w:p w14:paraId="39DA2237" w14:textId="77777777" w:rsidR="007F0A22" w:rsidRPr="00456633" w:rsidRDefault="007F0A22" w:rsidP="007F0A22">
            <w:pPr>
              <w:spacing w:beforeLines="40" w:before="96" w:afterLines="40" w:after="96"/>
              <w:rPr>
                <w:rFonts w:eastAsia="Times New Roman" w:cs="Arial"/>
                <w:b/>
                <w:sz w:val="20"/>
                <w:szCs w:val="18"/>
                <w:lang w:eastAsia="en-GB"/>
              </w:rPr>
            </w:pPr>
            <w:r w:rsidRPr="00456633">
              <w:rPr>
                <w:rFonts w:eastAsia="MS Mincho" w:cs="Arial"/>
                <w:b/>
                <w:bCs/>
                <w:kern w:val="24"/>
                <w:sz w:val="20"/>
                <w:szCs w:val="18"/>
                <w:lang w:eastAsia="en-GB"/>
              </w:rPr>
              <w:t>Unadjusted HR (95% CI)</w:t>
            </w:r>
          </w:p>
        </w:tc>
        <w:tc>
          <w:tcPr>
            <w:tcW w:w="467" w:type="pct"/>
            <w:vAlign w:val="center"/>
            <w:hideMark/>
          </w:tcPr>
          <w:p w14:paraId="005F5DD1" w14:textId="77777777" w:rsidR="007F0A22" w:rsidRPr="00456633" w:rsidRDefault="007F0A22" w:rsidP="007F0A22">
            <w:pPr>
              <w:spacing w:beforeLines="40" w:before="96" w:afterLines="40" w:after="96"/>
              <w:rPr>
                <w:rFonts w:eastAsia="Times New Roman" w:cs="Arial"/>
                <w:b/>
                <w:sz w:val="20"/>
                <w:szCs w:val="18"/>
                <w:lang w:eastAsia="en-GB"/>
              </w:rPr>
            </w:pPr>
            <w:r w:rsidRPr="00456633">
              <w:rPr>
                <w:rFonts w:eastAsia="MS Mincho" w:cs="Arial"/>
                <w:b/>
                <w:bCs/>
                <w:kern w:val="24"/>
                <w:sz w:val="20"/>
                <w:szCs w:val="18"/>
                <w:lang w:eastAsia="en-GB"/>
              </w:rPr>
              <w:t>Adjusted HR (95% CI)</w:t>
            </w:r>
          </w:p>
        </w:tc>
        <w:tc>
          <w:tcPr>
            <w:tcW w:w="526" w:type="pct"/>
            <w:vAlign w:val="center"/>
            <w:hideMark/>
          </w:tcPr>
          <w:p w14:paraId="659ED97D" w14:textId="77777777" w:rsidR="007F0A22" w:rsidRPr="00456633" w:rsidRDefault="007F0A22" w:rsidP="007F0A22">
            <w:pPr>
              <w:spacing w:beforeLines="40" w:before="96" w:afterLines="40" w:after="96"/>
              <w:rPr>
                <w:rFonts w:eastAsia="Times New Roman" w:cs="Arial"/>
                <w:b/>
                <w:sz w:val="20"/>
                <w:szCs w:val="18"/>
                <w:lang w:eastAsia="en-GB"/>
              </w:rPr>
            </w:pPr>
            <w:r w:rsidRPr="00456633">
              <w:rPr>
                <w:rFonts w:eastAsia="MS Mincho" w:cs="Arial"/>
                <w:b/>
                <w:bCs/>
                <w:kern w:val="24"/>
                <w:sz w:val="20"/>
                <w:szCs w:val="18"/>
                <w:lang w:eastAsia="en-GB"/>
              </w:rPr>
              <w:t>Unadjusted HR (95% CI)</w:t>
            </w:r>
          </w:p>
        </w:tc>
        <w:tc>
          <w:tcPr>
            <w:tcW w:w="524" w:type="pct"/>
            <w:vAlign w:val="center"/>
            <w:hideMark/>
          </w:tcPr>
          <w:p w14:paraId="2074ECF4" w14:textId="5893D4F7" w:rsidR="007F0A22" w:rsidRPr="00456633" w:rsidRDefault="007F0A22" w:rsidP="007F0A22">
            <w:pPr>
              <w:spacing w:beforeLines="40" w:before="96" w:afterLines="40" w:after="96"/>
              <w:rPr>
                <w:rFonts w:eastAsia="Times New Roman" w:cs="Arial"/>
                <w:b/>
                <w:sz w:val="20"/>
                <w:szCs w:val="18"/>
                <w:lang w:eastAsia="en-GB"/>
              </w:rPr>
            </w:pPr>
            <w:r w:rsidRPr="00456633">
              <w:rPr>
                <w:rFonts w:eastAsia="MS Mincho" w:cs="Arial"/>
                <w:b/>
                <w:bCs/>
                <w:kern w:val="24"/>
                <w:sz w:val="20"/>
                <w:szCs w:val="18"/>
                <w:lang w:eastAsia="en-GB"/>
              </w:rPr>
              <w:t>Adjusted HR (95% CI)</w:t>
            </w:r>
          </w:p>
        </w:tc>
      </w:tr>
      <w:tr w:rsidR="00281703" w:rsidRPr="001D09D7" w14:paraId="1A7823EF" w14:textId="77777777" w:rsidTr="005277CB">
        <w:trPr>
          <w:gridAfter w:val="1"/>
          <w:wAfter w:w="5" w:type="pct"/>
          <w:trHeight w:val="465"/>
        </w:trPr>
        <w:tc>
          <w:tcPr>
            <w:tcW w:w="311" w:type="pct"/>
          </w:tcPr>
          <w:p w14:paraId="39367BE4" w14:textId="2E44B2DA" w:rsidR="007F0A22" w:rsidRPr="00456633" w:rsidRDefault="007F0A22" w:rsidP="007F0A22">
            <w:pPr>
              <w:spacing w:beforeLines="40" w:before="96" w:afterLines="40" w:after="96"/>
              <w:rPr>
                <w:rFonts w:eastAsia="MS Mincho" w:cs="Arial"/>
                <w:bCs/>
                <w:kern w:val="24"/>
                <w:sz w:val="20"/>
                <w:szCs w:val="18"/>
                <w:lang w:eastAsia="en-GB"/>
              </w:rPr>
            </w:pPr>
            <w:r>
              <w:rPr>
                <w:rFonts w:eastAsia="MS Mincho" w:cs="Arial"/>
                <w:bCs/>
                <w:kern w:val="24"/>
                <w:sz w:val="20"/>
                <w:szCs w:val="18"/>
                <w:lang w:eastAsia="en-GB"/>
              </w:rPr>
              <w:t>1</w:t>
            </w:r>
          </w:p>
        </w:tc>
        <w:tc>
          <w:tcPr>
            <w:tcW w:w="499" w:type="pct"/>
            <w:vAlign w:val="center"/>
          </w:tcPr>
          <w:p w14:paraId="102C7E04" w14:textId="7D04B8E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MS Mincho" w:cs="Arial"/>
                <w:bCs/>
                <w:kern w:val="24"/>
                <w:sz w:val="20"/>
                <w:szCs w:val="18"/>
                <w:lang w:eastAsia="en-GB"/>
              </w:rPr>
              <w:t xml:space="preserve">Time-dependent </w:t>
            </w:r>
          </w:p>
        </w:tc>
        <w:tc>
          <w:tcPr>
            <w:tcW w:w="609" w:type="pct"/>
            <w:vAlign w:val="center"/>
          </w:tcPr>
          <w:p w14:paraId="538500FD" w14:textId="02AF3ADB"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MS Mincho" w:cs="Arial"/>
                <w:bCs/>
                <w:kern w:val="24"/>
                <w:sz w:val="20"/>
                <w:szCs w:val="18"/>
                <w:lang w:eastAsia="en-GB"/>
              </w:rPr>
              <w:t>Start of CDI episode</w:t>
            </w:r>
          </w:p>
        </w:tc>
        <w:tc>
          <w:tcPr>
            <w:tcW w:w="527" w:type="pct"/>
            <w:vAlign w:val="center"/>
            <w:hideMark/>
          </w:tcPr>
          <w:p w14:paraId="15EB0B84" w14:textId="2D31332D"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Hospital admission</w:t>
            </w:r>
          </w:p>
        </w:tc>
        <w:tc>
          <w:tcPr>
            <w:tcW w:w="528" w:type="pct"/>
            <w:vAlign w:val="center"/>
            <w:hideMark/>
          </w:tcPr>
          <w:p w14:paraId="38B72C91" w14:textId="20D5538A"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1.96 (1.87–2.06)*</w:t>
            </w:r>
          </w:p>
        </w:tc>
        <w:tc>
          <w:tcPr>
            <w:tcW w:w="476" w:type="pct"/>
            <w:vAlign w:val="center"/>
            <w:hideMark/>
          </w:tcPr>
          <w:p w14:paraId="66358653" w14:textId="39EB4E03"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1.77 (1.67–1.87)*</w:t>
            </w:r>
          </w:p>
        </w:tc>
        <w:tc>
          <w:tcPr>
            <w:tcW w:w="526" w:type="pct"/>
            <w:vAlign w:val="center"/>
            <w:hideMark/>
          </w:tcPr>
          <w:p w14:paraId="2E6EFB37" w14:textId="700A4BF5"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1.80 (1.58–2.03)*</w:t>
            </w:r>
          </w:p>
        </w:tc>
        <w:tc>
          <w:tcPr>
            <w:tcW w:w="467" w:type="pct"/>
            <w:vAlign w:val="center"/>
            <w:hideMark/>
          </w:tcPr>
          <w:p w14:paraId="72A83762" w14:textId="77777777"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1.66 (1.46–1.88)*</w:t>
            </w:r>
          </w:p>
        </w:tc>
        <w:tc>
          <w:tcPr>
            <w:tcW w:w="526" w:type="pct"/>
            <w:vAlign w:val="center"/>
            <w:hideMark/>
          </w:tcPr>
          <w:p w14:paraId="3A61929A" w14:textId="77777777"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1.99 (1.89–2.08)*</w:t>
            </w:r>
          </w:p>
        </w:tc>
        <w:tc>
          <w:tcPr>
            <w:tcW w:w="524" w:type="pct"/>
            <w:vAlign w:val="center"/>
            <w:hideMark/>
          </w:tcPr>
          <w:p w14:paraId="4C41FC48" w14:textId="77777777"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1.75 (1.65–1.86)*</w:t>
            </w:r>
          </w:p>
        </w:tc>
      </w:tr>
      <w:tr w:rsidR="00281703" w:rsidRPr="001D09D7" w14:paraId="6E9B0D6F" w14:textId="77777777" w:rsidTr="005277CB">
        <w:trPr>
          <w:gridAfter w:val="1"/>
          <w:wAfter w:w="5" w:type="pct"/>
          <w:trHeight w:val="386"/>
        </w:trPr>
        <w:tc>
          <w:tcPr>
            <w:tcW w:w="311" w:type="pct"/>
          </w:tcPr>
          <w:p w14:paraId="5E1B07CB" w14:textId="1C8E163C" w:rsidR="007F0A22" w:rsidRPr="00456633" w:rsidRDefault="007F0A22" w:rsidP="007F0A22">
            <w:pPr>
              <w:spacing w:beforeLines="40" w:before="96" w:afterLines="40" w:after="96"/>
              <w:rPr>
                <w:rFonts w:eastAsia="MS Mincho" w:cs="Arial"/>
                <w:bCs/>
                <w:kern w:val="24"/>
                <w:sz w:val="20"/>
                <w:szCs w:val="18"/>
                <w:lang w:eastAsia="en-GB"/>
              </w:rPr>
            </w:pPr>
            <w:r>
              <w:rPr>
                <w:rFonts w:eastAsia="MS Mincho" w:cs="Arial"/>
                <w:bCs/>
                <w:kern w:val="24"/>
                <w:sz w:val="20"/>
                <w:szCs w:val="18"/>
                <w:lang w:eastAsia="en-GB"/>
              </w:rPr>
              <w:t>2</w:t>
            </w:r>
          </w:p>
        </w:tc>
        <w:tc>
          <w:tcPr>
            <w:tcW w:w="499" w:type="pct"/>
            <w:vAlign w:val="center"/>
          </w:tcPr>
          <w:p w14:paraId="0E075022" w14:textId="7A3BAAF9"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MS Mincho" w:cs="Arial"/>
                <w:bCs/>
                <w:kern w:val="24"/>
                <w:sz w:val="20"/>
                <w:szCs w:val="18"/>
                <w:lang w:eastAsia="en-GB"/>
              </w:rPr>
              <w:t xml:space="preserve">Time-fixed </w:t>
            </w:r>
          </w:p>
        </w:tc>
        <w:tc>
          <w:tcPr>
            <w:tcW w:w="609" w:type="pct"/>
            <w:vAlign w:val="center"/>
          </w:tcPr>
          <w:p w14:paraId="4D57C7A0" w14:textId="11522229"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MS Mincho" w:cs="Arial"/>
                <w:bCs/>
                <w:kern w:val="24"/>
                <w:sz w:val="20"/>
                <w:szCs w:val="18"/>
                <w:lang w:eastAsia="en-GB"/>
              </w:rPr>
              <w:t>Start of CDI episode</w:t>
            </w:r>
          </w:p>
        </w:tc>
        <w:tc>
          <w:tcPr>
            <w:tcW w:w="527" w:type="pct"/>
            <w:vAlign w:val="center"/>
            <w:hideMark/>
          </w:tcPr>
          <w:p w14:paraId="4999E6B1" w14:textId="3083DA3B"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Start of CDI/selected hospital care episode</w:t>
            </w:r>
          </w:p>
        </w:tc>
        <w:tc>
          <w:tcPr>
            <w:tcW w:w="528" w:type="pct"/>
            <w:vAlign w:val="center"/>
            <w:hideMark/>
          </w:tcPr>
          <w:p w14:paraId="53FBA479" w14:textId="416AD146"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1.77 (1.69–1.85)*</w:t>
            </w:r>
          </w:p>
        </w:tc>
        <w:tc>
          <w:tcPr>
            <w:tcW w:w="476" w:type="pct"/>
            <w:vAlign w:val="center"/>
            <w:hideMark/>
          </w:tcPr>
          <w:p w14:paraId="77E19424" w14:textId="131C8BEE"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1.55 (1.47–1.64)*</w:t>
            </w:r>
          </w:p>
        </w:tc>
        <w:tc>
          <w:tcPr>
            <w:tcW w:w="526" w:type="pct"/>
            <w:vAlign w:val="center"/>
            <w:hideMark/>
          </w:tcPr>
          <w:p w14:paraId="23FD0F48" w14:textId="6FAA36EE"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3.27 (3.00–3.56)*</w:t>
            </w:r>
          </w:p>
        </w:tc>
        <w:tc>
          <w:tcPr>
            <w:tcW w:w="467" w:type="pct"/>
            <w:vAlign w:val="center"/>
            <w:hideMark/>
          </w:tcPr>
          <w:p w14:paraId="3E400DB4" w14:textId="77777777"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3.36 (3.06–3.68)*</w:t>
            </w:r>
          </w:p>
        </w:tc>
        <w:tc>
          <w:tcPr>
            <w:tcW w:w="526" w:type="pct"/>
            <w:vAlign w:val="center"/>
            <w:hideMark/>
          </w:tcPr>
          <w:p w14:paraId="3A5A9658" w14:textId="77777777"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2.05 (1.96–2.14)*</w:t>
            </w:r>
          </w:p>
        </w:tc>
        <w:tc>
          <w:tcPr>
            <w:tcW w:w="524" w:type="pct"/>
            <w:vAlign w:val="center"/>
            <w:hideMark/>
          </w:tcPr>
          <w:p w14:paraId="404693A6" w14:textId="77777777" w:rsidR="007F0A22" w:rsidRPr="00456633" w:rsidRDefault="007F0A22" w:rsidP="007F0A22">
            <w:pPr>
              <w:spacing w:beforeLines="40" w:before="96" w:afterLines="40" w:after="96"/>
              <w:rPr>
                <w:rFonts w:eastAsia="Times New Roman" w:cs="Arial"/>
                <w:sz w:val="20"/>
                <w:szCs w:val="18"/>
                <w:lang w:eastAsia="en-GB"/>
              </w:rPr>
            </w:pPr>
            <w:r w:rsidRPr="00456633">
              <w:rPr>
                <w:rFonts w:eastAsia="MS Mincho" w:cs="Arial"/>
                <w:bCs/>
                <w:kern w:val="24"/>
                <w:sz w:val="20"/>
                <w:szCs w:val="18"/>
                <w:lang w:eastAsia="en-GB"/>
              </w:rPr>
              <w:t>1.88 (1.78–1.98)*</w:t>
            </w:r>
          </w:p>
        </w:tc>
      </w:tr>
      <w:tr w:rsidR="00281703" w:rsidRPr="001D09D7" w14:paraId="5E5E1AC1" w14:textId="77777777" w:rsidTr="005277CB">
        <w:trPr>
          <w:trHeight w:val="96"/>
        </w:trPr>
        <w:tc>
          <w:tcPr>
            <w:tcW w:w="5000" w:type="pct"/>
            <w:gridSpan w:val="11"/>
            <w:vAlign w:val="center"/>
          </w:tcPr>
          <w:p w14:paraId="4D5F5C20" w14:textId="0C26B5F9" w:rsidR="007F0A22" w:rsidRPr="005277CB" w:rsidRDefault="007F0A22" w:rsidP="005277CB">
            <w:pPr>
              <w:spacing w:beforeLines="40" w:before="96" w:afterLines="40" w:after="96"/>
              <w:jc w:val="center"/>
              <w:rPr>
                <w:rFonts w:eastAsia="MS Mincho" w:cs="Arial"/>
                <w:b/>
                <w:kern w:val="24"/>
                <w:sz w:val="20"/>
                <w:szCs w:val="18"/>
                <w:lang w:eastAsia="en-GB"/>
              </w:rPr>
            </w:pPr>
            <w:r w:rsidRPr="00456633">
              <w:rPr>
                <w:rFonts w:eastAsia="MS Mincho" w:cs="Arial"/>
                <w:b/>
                <w:kern w:val="24"/>
                <w:sz w:val="20"/>
                <w:szCs w:val="18"/>
                <w:lang w:eastAsia="en-GB"/>
              </w:rPr>
              <w:t>Recurrent CDI versus non-recurrent CDI</w:t>
            </w:r>
          </w:p>
        </w:tc>
      </w:tr>
      <w:tr w:rsidR="00281703" w:rsidRPr="001D09D7" w14:paraId="10C17285" w14:textId="77777777" w:rsidTr="005277CB">
        <w:trPr>
          <w:gridAfter w:val="1"/>
          <w:wAfter w:w="5" w:type="pct"/>
          <w:trHeight w:val="590"/>
        </w:trPr>
        <w:tc>
          <w:tcPr>
            <w:tcW w:w="311" w:type="pct"/>
          </w:tcPr>
          <w:p w14:paraId="4E2A7017" w14:textId="77777777" w:rsidR="007F0A22" w:rsidRDefault="007F0A22" w:rsidP="007F0A22">
            <w:pPr>
              <w:spacing w:beforeLines="40" w:before="96" w:afterLines="40" w:after="96"/>
              <w:rPr>
                <w:rFonts w:eastAsia="Calibri" w:cs="Arial"/>
                <w:bCs/>
                <w:sz w:val="20"/>
                <w:szCs w:val="18"/>
              </w:rPr>
            </w:pPr>
          </w:p>
        </w:tc>
        <w:tc>
          <w:tcPr>
            <w:tcW w:w="499" w:type="pct"/>
            <w:vAlign w:val="center"/>
          </w:tcPr>
          <w:p w14:paraId="4D1B0EB4" w14:textId="77777777" w:rsidR="007F0A22" w:rsidRPr="00456633" w:rsidRDefault="007F0A22" w:rsidP="007F0A22">
            <w:pPr>
              <w:spacing w:beforeLines="40" w:before="96" w:afterLines="40" w:after="96"/>
              <w:rPr>
                <w:rFonts w:eastAsia="Calibri" w:cs="Arial"/>
                <w:bCs/>
                <w:sz w:val="20"/>
                <w:szCs w:val="18"/>
              </w:rPr>
            </w:pPr>
          </w:p>
        </w:tc>
        <w:tc>
          <w:tcPr>
            <w:tcW w:w="609" w:type="pct"/>
          </w:tcPr>
          <w:p w14:paraId="2F6F95C3" w14:textId="77777777" w:rsidR="007F0A22" w:rsidRPr="00456633" w:rsidRDefault="007F0A22" w:rsidP="007F0A22">
            <w:pPr>
              <w:spacing w:beforeLines="40" w:before="96" w:afterLines="40" w:after="96"/>
              <w:rPr>
                <w:rFonts w:eastAsia="Calibri" w:cs="Arial"/>
                <w:sz w:val="20"/>
                <w:szCs w:val="18"/>
              </w:rPr>
            </w:pPr>
          </w:p>
        </w:tc>
        <w:tc>
          <w:tcPr>
            <w:tcW w:w="527" w:type="pct"/>
            <w:vAlign w:val="center"/>
          </w:tcPr>
          <w:p w14:paraId="220FDBE5" w14:textId="5C25C125" w:rsidR="007F0A22" w:rsidRPr="00456633" w:rsidRDefault="007F0A22" w:rsidP="007F0A22">
            <w:pPr>
              <w:spacing w:beforeLines="40" w:before="96" w:afterLines="40" w:after="96"/>
              <w:rPr>
                <w:rFonts w:eastAsia="Calibri" w:cs="Arial"/>
                <w:sz w:val="20"/>
                <w:szCs w:val="18"/>
              </w:rPr>
            </w:pPr>
          </w:p>
        </w:tc>
        <w:tc>
          <w:tcPr>
            <w:tcW w:w="1004" w:type="pct"/>
            <w:gridSpan w:val="2"/>
            <w:vAlign w:val="center"/>
          </w:tcPr>
          <w:p w14:paraId="23441DAA" w14:textId="136BF83E" w:rsidR="007F0A22" w:rsidRPr="00456633" w:rsidRDefault="007F0A22" w:rsidP="005277CB">
            <w:pPr>
              <w:spacing w:beforeLines="40" w:before="96" w:afterLines="40" w:after="96"/>
              <w:jc w:val="center"/>
              <w:rPr>
                <w:rFonts w:eastAsia="Calibri" w:cs="Arial"/>
                <w:sz w:val="20"/>
                <w:szCs w:val="18"/>
              </w:rPr>
            </w:pPr>
            <w:proofErr w:type="spellStart"/>
            <w:r w:rsidRPr="00456633">
              <w:rPr>
                <w:rFonts w:eastAsia="Times New Roman" w:cs="Arial"/>
                <w:b/>
                <w:bCs/>
                <w:kern w:val="24"/>
                <w:sz w:val="20"/>
                <w:szCs w:val="18"/>
                <w:lang w:eastAsia="en-GB"/>
              </w:rPr>
              <w:t>Death</w:t>
            </w:r>
            <w:r w:rsidRPr="00456633">
              <w:rPr>
                <w:rFonts w:eastAsia="Times New Roman" w:cs="Arial"/>
                <w:bCs/>
                <w:kern w:val="24"/>
                <w:sz w:val="20"/>
                <w:szCs w:val="18"/>
                <w:vertAlign w:val="superscript"/>
                <w:lang w:eastAsia="en-GB"/>
              </w:rPr>
              <w:t>a</w:t>
            </w:r>
            <w:proofErr w:type="spellEnd"/>
          </w:p>
        </w:tc>
        <w:tc>
          <w:tcPr>
            <w:tcW w:w="994" w:type="pct"/>
            <w:gridSpan w:val="2"/>
            <w:vAlign w:val="center"/>
          </w:tcPr>
          <w:p w14:paraId="3F5DAF48" w14:textId="6B0A089D" w:rsidR="007F0A22" w:rsidRPr="00456633" w:rsidRDefault="007F0A22" w:rsidP="005277CB">
            <w:pPr>
              <w:spacing w:beforeLines="40" w:before="96" w:afterLines="40" w:after="96"/>
              <w:jc w:val="center"/>
              <w:rPr>
                <w:rFonts w:eastAsia="Calibri" w:cs="Arial"/>
                <w:sz w:val="20"/>
                <w:szCs w:val="18"/>
              </w:rPr>
            </w:pPr>
            <w:proofErr w:type="spellStart"/>
            <w:r w:rsidRPr="00456633">
              <w:rPr>
                <w:rFonts w:eastAsia="Times New Roman" w:cs="Arial"/>
                <w:b/>
                <w:bCs/>
                <w:kern w:val="24"/>
                <w:sz w:val="20"/>
                <w:szCs w:val="18"/>
                <w:lang w:eastAsia="en-GB"/>
              </w:rPr>
              <w:t>Complications</w:t>
            </w:r>
            <w:r w:rsidRPr="00456633">
              <w:rPr>
                <w:rFonts w:eastAsia="Times New Roman" w:cs="Arial"/>
                <w:bCs/>
                <w:kern w:val="24"/>
                <w:sz w:val="20"/>
                <w:szCs w:val="18"/>
                <w:vertAlign w:val="superscript"/>
                <w:lang w:eastAsia="en-GB"/>
              </w:rPr>
              <w:t>b</w:t>
            </w:r>
            <w:proofErr w:type="spellEnd"/>
          </w:p>
        </w:tc>
        <w:tc>
          <w:tcPr>
            <w:tcW w:w="1050" w:type="pct"/>
            <w:gridSpan w:val="2"/>
            <w:vAlign w:val="center"/>
          </w:tcPr>
          <w:p w14:paraId="6DD147EE" w14:textId="1B3DCE43" w:rsidR="007F0A22" w:rsidRPr="00456633" w:rsidRDefault="007F0A22" w:rsidP="005277CB">
            <w:pPr>
              <w:spacing w:beforeLines="40" w:before="96" w:afterLines="40" w:after="96"/>
              <w:jc w:val="center"/>
              <w:rPr>
                <w:rFonts w:eastAsia="Calibri" w:cs="Arial"/>
                <w:sz w:val="20"/>
                <w:szCs w:val="18"/>
              </w:rPr>
            </w:pPr>
            <w:proofErr w:type="spellStart"/>
            <w:r w:rsidRPr="00456633">
              <w:rPr>
                <w:rFonts w:eastAsia="Times New Roman" w:cs="Arial"/>
                <w:b/>
                <w:bCs/>
                <w:kern w:val="24"/>
                <w:sz w:val="20"/>
                <w:szCs w:val="18"/>
                <w:lang w:eastAsia="en-GB"/>
              </w:rPr>
              <w:t>Complications</w:t>
            </w:r>
            <w:r w:rsidRPr="00456633">
              <w:rPr>
                <w:rFonts w:eastAsia="Times New Roman" w:cs="Arial"/>
                <w:bCs/>
                <w:kern w:val="24"/>
                <w:sz w:val="20"/>
                <w:szCs w:val="18"/>
                <w:vertAlign w:val="superscript"/>
                <w:lang w:eastAsia="en-GB"/>
              </w:rPr>
              <w:t>b</w:t>
            </w:r>
            <w:proofErr w:type="spellEnd"/>
            <w:r w:rsidRPr="00456633">
              <w:rPr>
                <w:rFonts w:eastAsia="Times New Roman" w:cs="Arial"/>
                <w:b/>
                <w:bCs/>
                <w:kern w:val="24"/>
                <w:sz w:val="20"/>
                <w:szCs w:val="18"/>
                <w:lang w:eastAsia="en-GB"/>
              </w:rPr>
              <w:t xml:space="preserve"> or </w:t>
            </w:r>
            <w:proofErr w:type="spellStart"/>
            <w:r w:rsidRPr="00456633">
              <w:rPr>
                <w:rFonts w:eastAsia="Times New Roman" w:cs="Arial"/>
                <w:b/>
                <w:bCs/>
                <w:kern w:val="24"/>
                <w:sz w:val="20"/>
                <w:szCs w:val="18"/>
                <w:lang w:eastAsia="en-GB"/>
              </w:rPr>
              <w:t>death</w:t>
            </w:r>
            <w:r w:rsidRPr="00456633">
              <w:rPr>
                <w:rFonts w:eastAsia="Times New Roman" w:cs="Arial"/>
                <w:bCs/>
                <w:kern w:val="24"/>
                <w:sz w:val="20"/>
                <w:szCs w:val="18"/>
                <w:vertAlign w:val="superscript"/>
                <w:lang w:eastAsia="en-GB"/>
              </w:rPr>
              <w:t>a</w:t>
            </w:r>
            <w:proofErr w:type="spellEnd"/>
          </w:p>
        </w:tc>
      </w:tr>
      <w:tr w:rsidR="00281703" w:rsidRPr="001D09D7" w14:paraId="34EAF3AE" w14:textId="77777777" w:rsidTr="005277CB">
        <w:trPr>
          <w:gridAfter w:val="1"/>
          <w:wAfter w:w="5" w:type="pct"/>
          <w:trHeight w:val="590"/>
        </w:trPr>
        <w:tc>
          <w:tcPr>
            <w:tcW w:w="311" w:type="pct"/>
            <w:vAlign w:val="center"/>
          </w:tcPr>
          <w:p w14:paraId="26E23479" w14:textId="5A87014F" w:rsidR="007F0A22" w:rsidRDefault="007F0A22" w:rsidP="007F0A22">
            <w:pPr>
              <w:spacing w:beforeLines="40" w:before="96" w:afterLines="40" w:after="96"/>
              <w:rPr>
                <w:rFonts w:eastAsia="Calibri" w:cs="Arial"/>
                <w:bCs/>
                <w:sz w:val="20"/>
                <w:szCs w:val="18"/>
              </w:rPr>
            </w:pPr>
            <w:r>
              <w:rPr>
                <w:rFonts w:eastAsia="MS Mincho" w:cs="Arial"/>
                <w:b/>
                <w:bCs/>
                <w:kern w:val="24"/>
                <w:sz w:val="20"/>
                <w:szCs w:val="18"/>
                <w:lang w:eastAsia="en-GB"/>
              </w:rPr>
              <w:lastRenderedPageBreak/>
              <w:t>Model</w:t>
            </w:r>
          </w:p>
        </w:tc>
        <w:tc>
          <w:tcPr>
            <w:tcW w:w="499" w:type="pct"/>
            <w:vAlign w:val="center"/>
          </w:tcPr>
          <w:p w14:paraId="4F03DE99" w14:textId="084A0B85" w:rsidR="007F0A22" w:rsidRPr="00456633" w:rsidRDefault="007F0A22" w:rsidP="007F0A22">
            <w:pPr>
              <w:spacing w:beforeLines="40" w:before="96" w:afterLines="40" w:after="96"/>
              <w:rPr>
                <w:rFonts w:eastAsia="Calibri" w:cs="Arial"/>
                <w:bCs/>
                <w:sz w:val="20"/>
                <w:szCs w:val="18"/>
              </w:rPr>
            </w:pPr>
            <w:r>
              <w:rPr>
                <w:rFonts w:eastAsia="MS Mincho" w:cs="Arial"/>
                <w:b/>
                <w:bCs/>
                <w:kern w:val="24"/>
                <w:sz w:val="20"/>
                <w:szCs w:val="18"/>
                <w:lang w:eastAsia="en-GB"/>
              </w:rPr>
              <w:t xml:space="preserve">CDI </w:t>
            </w:r>
            <w:r w:rsidRPr="00456633">
              <w:rPr>
                <w:rFonts w:eastAsia="MS Mincho" w:cs="Arial"/>
                <w:b/>
                <w:bCs/>
                <w:kern w:val="24"/>
                <w:sz w:val="20"/>
                <w:szCs w:val="18"/>
                <w:lang w:eastAsia="en-GB"/>
              </w:rPr>
              <w:t>specification</w:t>
            </w:r>
          </w:p>
        </w:tc>
        <w:tc>
          <w:tcPr>
            <w:tcW w:w="609" w:type="pct"/>
            <w:vAlign w:val="center"/>
          </w:tcPr>
          <w:p w14:paraId="02CC8AFB" w14:textId="670806DF" w:rsidR="007F0A22" w:rsidRPr="00456633" w:rsidRDefault="007F0A22" w:rsidP="007F0A22">
            <w:pPr>
              <w:spacing w:beforeLines="40" w:before="96" w:afterLines="40" w:after="96"/>
              <w:rPr>
                <w:rFonts w:eastAsia="MS Mincho" w:cs="Arial"/>
                <w:b/>
                <w:bCs/>
                <w:kern w:val="24"/>
                <w:sz w:val="20"/>
                <w:szCs w:val="18"/>
                <w:lang w:eastAsia="en-GB"/>
              </w:rPr>
            </w:pPr>
            <w:r w:rsidRPr="00456633">
              <w:rPr>
                <w:rFonts w:eastAsia="MS Mincho" w:cs="Arial"/>
                <w:b/>
                <w:bCs/>
                <w:kern w:val="24"/>
                <w:sz w:val="20"/>
                <w:szCs w:val="18"/>
                <w:lang w:eastAsia="en-GB"/>
              </w:rPr>
              <w:t xml:space="preserve">Index date of </w:t>
            </w:r>
            <w:r>
              <w:rPr>
                <w:rFonts w:eastAsia="MS Mincho" w:cs="Arial"/>
                <w:b/>
                <w:bCs/>
                <w:kern w:val="24"/>
                <w:sz w:val="20"/>
                <w:szCs w:val="18"/>
                <w:lang w:eastAsia="en-GB"/>
              </w:rPr>
              <w:t xml:space="preserve">recurrent </w:t>
            </w:r>
            <w:r w:rsidRPr="00456633">
              <w:rPr>
                <w:rFonts w:eastAsia="MS Mincho" w:cs="Arial"/>
                <w:b/>
                <w:bCs/>
                <w:kern w:val="24"/>
                <w:sz w:val="20"/>
                <w:szCs w:val="18"/>
                <w:lang w:eastAsia="en-GB"/>
              </w:rPr>
              <w:t>CDI</w:t>
            </w:r>
          </w:p>
        </w:tc>
        <w:tc>
          <w:tcPr>
            <w:tcW w:w="527" w:type="pct"/>
            <w:vAlign w:val="center"/>
          </w:tcPr>
          <w:p w14:paraId="627F68D9" w14:textId="441FB68C" w:rsidR="007F0A22" w:rsidRPr="00456633" w:rsidRDefault="007F0A22" w:rsidP="007F0A22">
            <w:pPr>
              <w:spacing w:beforeLines="40" w:before="96" w:afterLines="40" w:after="96"/>
              <w:rPr>
                <w:rFonts w:eastAsia="Calibri" w:cs="Arial"/>
                <w:sz w:val="20"/>
                <w:szCs w:val="18"/>
              </w:rPr>
            </w:pPr>
            <w:r w:rsidRPr="00456633">
              <w:rPr>
                <w:rFonts w:eastAsia="MS Mincho" w:cs="Arial"/>
                <w:b/>
                <w:bCs/>
                <w:kern w:val="24"/>
                <w:sz w:val="20"/>
                <w:szCs w:val="18"/>
                <w:lang w:eastAsia="en-GB"/>
              </w:rPr>
              <w:t>Start of follow</w:t>
            </w:r>
            <w:r w:rsidR="00A66EE7">
              <w:rPr>
                <w:rFonts w:eastAsia="MS Mincho" w:cs="Arial"/>
                <w:b/>
                <w:bCs/>
                <w:kern w:val="24"/>
                <w:sz w:val="20"/>
                <w:szCs w:val="18"/>
                <w:lang w:eastAsia="en-GB"/>
              </w:rPr>
              <w:t xml:space="preserve"> </w:t>
            </w:r>
            <w:r w:rsidRPr="00456633">
              <w:rPr>
                <w:rFonts w:eastAsia="MS Mincho" w:cs="Arial"/>
                <w:b/>
                <w:bCs/>
                <w:kern w:val="24"/>
                <w:sz w:val="20"/>
                <w:szCs w:val="18"/>
                <w:lang w:eastAsia="en-GB"/>
              </w:rPr>
              <w:t xml:space="preserve">up </w:t>
            </w:r>
          </w:p>
        </w:tc>
        <w:tc>
          <w:tcPr>
            <w:tcW w:w="528" w:type="pct"/>
            <w:vAlign w:val="center"/>
          </w:tcPr>
          <w:p w14:paraId="3876F757" w14:textId="21E4D9D3" w:rsidR="007F0A22" w:rsidRPr="00456633" w:rsidRDefault="007F0A22" w:rsidP="007F0A22">
            <w:pPr>
              <w:spacing w:beforeLines="40" w:before="96" w:afterLines="40" w:after="96"/>
              <w:rPr>
                <w:rFonts w:eastAsia="Calibri" w:cs="Arial"/>
                <w:sz w:val="20"/>
                <w:szCs w:val="18"/>
              </w:rPr>
            </w:pPr>
            <w:r w:rsidRPr="00456633">
              <w:rPr>
                <w:rFonts w:eastAsia="MS Mincho" w:cs="Arial"/>
                <w:b/>
                <w:bCs/>
                <w:kern w:val="24"/>
                <w:sz w:val="20"/>
                <w:szCs w:val="18"/>
                <w:lang w:eastAsia="en-GB"/>
              </w:rPr>
              <w:t>Unadjusted HR (95% CI)</w:t>
            </w:r>
          </w:p>
        </w:tc>
        <w:tc>
          <w:tcPr>
            <w:tcW w:w="476" w:type="pct"/>
            <w:vAlign w:val="center"/>
          </w:tcPr>
          <w:p w14:paraId="46FBA257" w14:textId="63852B66" w:rsidR="007F0A22" w:rsidRPr="00456633" w:rsidRDefault="007F0A22" w:rsidP="007F0A22">
            <w:pPr>
              <w:spacing w:beforeLines="40" w:before="96" w:afterLines="40" w:after="96"/>
              <w:rPr>
                <w:rFonts w:eastAsia="Calibri" w:cs="Arial"/>
                <w:sz w:val="20"/>
                <w:szCs w:val="18"/>
              </w:rPr>
            </w:pPr>
            <w:r w:rsidRPr="00456633">
              <w:rPr>
                <w:rFonts w:eastAsia="MS Mincho" w:cs="Arial"/>
                <w:b/>
                <w:bCs/>
                <w:kern w:val="24"/>
                <w:sz w:val="20"/>
                <w:szCs w:val="18"/>
                <w:lang w:eastAsia="en-GB"/>
              </w:rPr>
              <w:t>Adjusted HR (95% CI)</w:t>
            </w:r>
          </w:p>
        </w:tc>
        <w:tc>
          <w:tcPr>
            <w:tcW w:w="526" w:type="pct"/>
            <w:vAlign w:val="center"/>
          </w:tcPr>
          <w:p w14:paraId="3E8FC65D" w14:textId="06DEC74B" w:rsidR="007F0A22" w:rsidRPr="00456633" w:rsidRDefault="007F0A22" w:rsidP="007F0A22">
            <w:pPr>
              <w:spacing w:beforeLines="40" w:before="96" w:afterLines="40" w:after="96"/>
              <w:rPr>
                <w:rFonts w:eastAsia="Calibri" w:cs="Arial"/>
                <w:sz w:val="20"/>
                <w:szCs w:val="18"/>
              </w:rPr>
            </w:pPr>
            <w:r w:rsidRPr="00456633">
              <w:rPr>
                <w:rFonts w:eastAsia="MS Mincho" w:cs="Arial"/>
                <w:b/>
                <w:bCs/>
                <w:kern w:val="24"/>
                <w:sz w:val="20"/>
                <w:szCs w:val="18"/>
                <w:lang w:eastAsia="en-GB"/>
              </w:rPr>
              <w:t>Unadjusted HR (95% CI)</w:t>
            </w:r>
          </w:p>
        </w:tc>
        <w:tc>
          <w:tcPr>
            <w:tcW w:w="467" w:type="pct"/>
            <w:vAlign w:val="center"/>
          </w:tcPr>
          <w:p w14:paraId="2CB9A0B3" w14:textId="2B90368E" w:rsidR="007F0A22" w:rsidRPr="00456633" w:rsidRDefault="007F0A22" w:rsidP="007F0A22">
            <w:pPr>
              <w:spacing w:beforeLines="40" w:before="96" w:afterLines="40" w:after="96"/>
              <w:rPr>
                <w:rFonts w:eastAsia="Calibri" w:cs="Arial"/>
                <w:sz w:val="20"/>
                <w:szCs w:val="18"/>
              </w:rPr>
            </w:pPr>
            <w:r w:rsidRPr="00456633">
              <w:rPr>
                <w:rFonts w:eastAsia="MS Mincho" w:cs="Arial"/>
                <w:b/>
                <w:bCs/>
                <w:kern w:val="24"/>
                <w:sz w:val="20"/>
                <w:szCs w:val="18"/>
                <w:lang w:eastAsia="en-GB"/>
              </w:rPr>
              <w:t>Adjusted HR (95% CI)</w:t>
            </w:r>
          </w:p>
        </w:tc>
        <w:tc>
          <w:tcPr>
            <w:tcW w:w="526" w:type="pct"/>
            <w:vAlign w:val="center"/>
          </w:tcPr>
          <w:p w14:paraId="6856AE5E" w14:textId="5689A2CD" w:rsidR="007F0A22" w:rsidRPr="00456633" w:rsidRDefault="007F0A22" w:rsidP="007F0A22">
            <w:pPr>
              <w:spacing w:beforeLines="40" w:before="96" w:afterLines="40" w:after="96"/>
              <w:rPr>
                <w:rFonts w:eastAsia="Calibri" w:cs="Arial"/>
                <w:sz w:val="20"/>
                <w:szCs w:val="18"/>
              </w:rPr>
            </w:pPr>
            <w:r w:rsidRPr="00456633">
              <w:rPr>
                <w:rFonts w:eastAsia="MS Mincho" w:cs="Arial"/>
                <w:b/>
                <w:bCs/>
                <w:kern w:val="24"/>
                <w:sz w:val="20"/>
                <w:szCs w:val="18"/>
                <w:lang w:eastAsia="en-GB"/>
              </w:rPr>
              <w:t>Unadjusted HR (95% CI)</w:t>
            </w:r>
          </w:p>
        </w:tc>
        <w:tc>
          <w:tcPr>
            <w:tcW w:w="524" w:type="pct"/>
            <w:vAlign w:val="center"/>
          </w:tcPr>
          <w:p w14:paraId="606C46F4" w14:textId="79377BAB" w:rsidR="007F0A22" w:rsidRPr="00456633" w:rsidRDefault="007F0A22" w:rsidP="007F0A22">
            <w:pPr>
              <w:spacing w:beforeLines="40" w:before="96" w:afterLines="40" w:after="96"/>
              <w:rPr>
                <w:rFonts w:eastAsia="Calibri" w:cs="Arial"/>
                <w:sz w:val="20"/>
                <w:szCs w:val="18"/>
              </w:rPr>
            </w:pPr>
            <w:r w:rsidRPr="00456633">
              <w:rPr>
                <w:rFonts w:eastAsia="MS Mincho" w:cs="Arial"/>
                <w:b/>
                <w:bCs/>
                <w:kern w:val="24"/>
                <w:sz w:val="20"/>
                <w:szCs w:val="18"/>
                <w:lang w:eastAsia="en-GB"/>
              </w:rPr>
              <w:t>Adjusted HR (95% CI)</w:t>
            </w:r>
          </w:p>
        </w:tc>
      </w:tr>
      <w:tr w:rsidR="00281703" w:rsidRPr="001D09D7" w14:paraId="4B9FD6AF" w14:textId="77777777" w:rsidTr="005277CB">
        <w:trPr>
          <w:gridAfter w:val="1"/>
          <w:wAfter w:w="5" w:type="pct"/>
          <w:trHeight w:val="590"/>
        </w:trPr>
        <w:tc>
          <w:tcPr>
            <w:tcW w:w="311" w:type="pct"/>
          </w:tcPr>
          <w:p w14:paraId="200F2DA6" w14:textId="11F7C8C0" w:rsidR="007F0A22" w:rsidRPr="00456633" w:rsidRDefault="007F0A22" w:rsidP="007F0A22">
            <w:pPr>
              <w:spacing w:beforeLines="40" w:before="96" w:afterLines="40" w:after="96"/>
              <w:rPr>
                <w:rFonts w:eastAsia="Calibri" w:cs="Arial"/>
                <w:bCs/>
                <w:sz w:val="20"/>
                <w:szCs w:val="18"/>
              </w:rPr>
            </w:pPr>
            <w:r>
              <w:rPr>
                <w:rFonts w:eastAsia="Calibri" w:cs="Arial"/>
                <w:bCs/>
                <w:sz w:val="20"/>
                <w:szCs w:val="18"/>
              </w:rPr>
              <w:t>3</w:t>
            </w:r>
          </w:p>
        </w:tc>
        <w:tc>
          <w:tcPr>
            <w:tcW w:w="499" w:type="pct"/>
            <w:vAlign w:val="center"/>
          </w:tcPr>
          <w:p w14:paraId="5B3543DD" w14:textId="1EE70749" w:rsidR="007F0A22" w:rsidRPr="00456633" w:rsidRDefault="007F0A22" w:rsidP="007F0A22">
            <w:pPr>
              <w:spacing w:beforeLines="40" w:before="96" w:afterLines="40" w:after="96"/>
              <w:rPr>
                <w:rFonts w:eastAsia="Calibri" w:cs="Arial"/>
                <w:sz w:val="20"/>
                <w:szCs w:val="18"/>
              </w:rPr>
            </w:pPr>
            <w:r w:rsidRPr="00456633">
              <w:rPr>
                <w:rFonts w:eastAsia="Calibri" w:cs="Arial"/>
                <w:bCs/>
                <w:sz w:val="20"/>
                <w:szCs w:val="18"/>
              </w:rPr>
              <w:t>Time-dependent</w:t>
            </w:r>
            <w:r w:rsidRPr="00456633">
              <w:rPr>
                <w:rFonts w:eastAsia="Calibri" w:cs="Arial"/>
                <w:sz w:val="20"/>
                <w:szCs w:val="18"/>
              </w:rPr>
              <w:t xml:space="preserve"> </w:t>
            </w:r>
          </w:p>
        </w:tc>
        <w:tc>
          <w:tcPr>
            <w:tcW w:w="609" w:type="pct"/>
            <w:vAlign w:val="center"/>
          </w:tcPr>
          <w:p w14:paraId="20235F6C" w14:textId="2513E3C4" w:rsidR="007F0A22" w:rsidRPr="00456633" w:rsidRDefault="007F0A22" w:rsidP="007F0A22">
            <w:pPr>
              <w:spacing w:beforeLines="40" w:before="96" w:afterLines="40" w:after="96"/>
              <w:rPr>
                <w:rFonts w:eastAsia="Calibri" w:cs="Arial"/>
                <w:sz w:val="20"/>
                <w:szCs w:val="18"/>
              </w:rPr>
            </w:pPr>
            <w:r w:rsidRPr="00456633">
              <w:rPr>
                <w:rFonts w:eastAsia="Calibri" w:cs="Arial"/>
                <w:sz w:val="20"/>
                <w:szCs w:val="18"/>
              </w:rPr>
              <w:t>Start of recurrent episode</w:t>
            </w:r>
          </w:p>
        </w:tc>
        <w:tc>
          <w:tcPr>
            <w:tcW w:w="527" w:type="pct"/>
            <w:vAlign w:val="center"/>
          </w:tcPr>
          <w:p w14:paraId="257968C0" w14:textId="7BFC7BB9"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 xml:space="preserve">Episode start of the index CDI </w:t>
            </w:r>
          </w:p>
        </w:tc>
        <w:tc>
          <w:tcPr>
            <w:tcW w:w="528" w:type="pct"/>
            <w:vAlign w:val="center"/>
          </w:tcPr>
          <w:p w14:paraId="4C6FC39B" w14:textId="5610EDD0"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1.37 (1.25–1.50)*</w:t>
            </w:r>
          </w:p>
        </w:tc>
        <w:tc>
          <w:tcPr>
            <w:tcW w:w="476" w:type="pct"/>
            <w:vAlign w:val="center"/>
          </w:tcPr>
          <w:p w14:paraId="76AFEC91" w14:textId="62802F7C"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1.32 (1.20–1.45)*</w:t>
            </w:r>
          </w:p>
        </w:tc>
        <w:tc>
          <w:tcPr>
            <w:tcW w:w="526" w:type="pct"/>
            <w:vAlign w:val="center"/>
          </w:tcPr>
          <w:p w14:paraId="56138005" w14:textId="044A776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1.37 (1.02–1.85)*</w:t>
            </w:r>
          </w:p>
        </w:tc>
        <w:tc>
          <w:tcPr>
            <w:tcW w:w="467" w:type="pct"/>
            <w:vAlign w:val="center"/>
          </w:tcPr>
          <w:p w14:paraId="452317B5" w14:textId="37D354FA"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1.37 (1.01–1.84)*</w:t>
            </w:r>
          </w:p>
        </w:tc>
        <w:tc>
          <w:tcPr>
            <w:tcW w:w="526" w:type="pct"/>
            <w:vAlign w:val="center"/>
          </w:tcPr>
          <w:p w14:paraId="6E515710"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1.40 (1.26–1.54)*</w:t>
            </w:r>
          </w:p>
        </w:tc>
        <w:tc>
          <w:tcPr>
            <w:tcW w:w="524" w:type="pct"/>
            <w:vAlign w:val="center"/>
          </w:tcPr>
          <w:p w14:paraId="4185F8A0"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1.36 (1.22–1.50)*</w:t>
            </w:r>
          </w:p>
        </w:tc>
      </w:tr>
      <w:tr w:rsidR="00281703" w:rsidRPr="001D09D7" w14:paraId="6A297923" w14:textId="77777777" w:rsidTr="005277CB">
        <w:trPr>
          <w:gridAfter w:val="1"/>
          <w:wAfter w:w="5" w:type="pct"/>
          <w:trHeight w:val="418"/>
        </w:trPr>
        <w:tc>
          <w:tcPr>
            <w:tcW w:w="311" w:type="pct"/>
          </w:tcPr>
          <w:p w14:paraId="01C04410" w14:textId="69DD3621" w:rsidR="007F0A22" w:rsidRPr="00456633" w:rsidRDefault="007F0A22" w:rsidP="007F0A22">
            <w:pPr>
              <w:spacing w:beforeLines="40" w:before="96" w:afterLines="40" w:after="96"/>
              <w:rPr>
                <w:rFonts w:eastAsia="Calibri" w:cs="Arial"/>
                <w:bCs/>
                <w:sz w:val="20"/>
                <w:szCs w:val="18"/>
              </w:rPr>
            </w:pPr>
            <w:r>
              <w:rPr>
                <w:rFonts w:eastAsia="Calibri" w:cs="Arial"/>
                <w:bCs/>
                <w:sz w:val="20"/>
                <w:szCs w:val="18"/>
              </w:rPr>
              <w:t>4</w:t>
            </w:r>
          </w:p>
        </w:tc>
        <w:tc>
          <w:tcPr>
            <w:tcW w:w="499" w:type="pct"/>
            <w:vAlign w:val="center"/>
          </w:tcPr>
          <w:p w14:paraId="4DFBD921" w14:textId="015700A4" w:rsidR="007F0A22" w:rsidRPr="00456633" w:rsidRDefault="007F0A22" w:rsidP="007F0A22">
            <w:pPr>
              <w:spacing w:beforeLines="40" w:before="96" w:afterLines="40" w:after="96"/>
              <w:rPr>
                <w:rFonts w:eastAsia="Calibri" w:cs="Arial"/>
                <w:sz w:val="20"/>
                <w:szCs w:val="18"/>
              </w:rPr>
            </w:pPr>
            <w:r w:rsidRPr="00456633">
              <w:rPr>
                <w:rFonts w:eastAsia="Calibri" w:cs="Arial"/>
                <w:bCs/>
                <w:sz w:val="20"/>
                <w:szCs w:val="18"/>
              </w:rPr>
              <w:t>Time-dependent</w:t>
            </w:r>
            <w:r w:rsidRPr="00456633">
              <w:rPr>
                <w:rFonts w:eastAsia="Calibri" w:cs="Arial"/>
                <w:sz w:val="20"/>
                <w:szCs w:val="18"/>
              </w:rPr>
              <w:t xml:space="preserve"> </w:t>
            </w:r>
          </w:p>
        </w:tc>
        <w:tc>
          <w:tcPr>
            <w:tcW w:w="609" w:type="pct"/>
            <w:vAlign w:val="center"/>
          </w:tcPr>
          <w:p w14:paraId="7B7EE1BB" w14:textId="0715996B" w:rsidR="007F0A22" w:rsidRDefault="007F0A22" w:rsidP="007F0A22">
            <w:pPr>
              <w:spacing w:beforeLines="40" w:before="96" w:afterLines="40" w:after="96"/>
              <w:rPr>
                <w:rFonts w:eastAsia="Calibri" w:cs="Arial"/>
                <w:sz w:val="20"/>
                <w:szCs w:val="18"/>
              </w:rPr>
            </w:pPr>
            <w:r w:rsidRPr="00456633">
              <w:rPr>
                <w:rFonts w:eastAsia="Calibri" w:cs="Arial"/>
                <w:sz w:val="20"/>
                <w:szCs w:val="18"/>
              </w:rPr>
              <w:t>Start of recurrent episode</w:t>
            </w:r>
          </w:p>
        </w:tc>
        <w:tc>
          <w:tcPr>
            <w:tcW w:w="527" w:type="pct"/>
            <w:vAlign w:val="center"/>
          </w:tcPr>
          <w:p w14:paraId="51C5B3DC" w14:textId="0B3EB7FA" w:rsidR="007F0A22" w:rsidRPr="00456633" w:rsidRDefault="007F0A22" w:rsidP="007F0A22">
            <w:pPr>
              <w:spacing w:beforeLines="40" w:before="96" w:afterLines="40" w:after="96"/>
              <w:rPr>
                <w:rFonts w:eastAsia="MS Mincho" w:cs="Arial"/>
                <w:bCs/>
                <w:kern w:val="24"/>
                <w:sz w:val="20"/>
                <w:szCs w:val="18"/>
                <w:lang w:eastAsia="en-GB"/>
              </w:rPr>
            </w:pPr>
            <w:r>
              <w:rPr>
                <w:rFonts w:eastAsia="Calibri" w:cs="Arial"/>
                <w:sz w:val="20"/>
                <w:szCs w:val="18"/>
              </w:rPr>
              <w:t>Day 13 (s</w:t>
            </w:r>
            <w:r w:rsidRPr="00456633">
              <w:rPr>
                <w:rFonts w:eastAsia="Calibri" w:cs="Arial"/>
                <w:sz w:val="20"/>
                <w:szCs w:val="18"/>
              </w:rPr>
              <w:t>tart of recurrence risk window</w:t>
            </w:r>
            <w:r>
              <w:rPr>
                <w:rFonts w:eastAsia="Calibri" w:cs="Arial"/>
                <w:sz w:val="20"/>
                <w:szCs w:val="18"/>
              </w:rPr>
              <w:t>)</w:t>
            </w:r>
            <w:r w:rsidR="00281703">
              <w:rPr>
                <w:rFonts w:eastAsia="Calibri" w:cs="Arial"/>
                <w:sz w:val="20"/>
                <w:szCs w:val="18"/>
                <w:vertAlign w:val="superscript"/>
              </w:rPr>
              <w:t>c</w:t>
            </w:r>
            <w:r w:rsidRPr="00456633">
              <w:rPr>
                <w:rFonts w:eastAsia="Calibri" w:cs="Arial"/>
                <w:sz w:val="20"/>
                <w:szCs w:val="18"/>
              </w:rPr>
              <w:t xml:space="preserve"> </w:t>
            </w:r>
          </w:p>
        </w:tc>
        <w:tc>
          <w:tcPr>
            <w:tcW w:w="528" w:type="pct"/>
            <w:vAlign w:val="center"/>
          </w:tcPr>
          <w:p w14:paraId="7DC5678D" w14:textId="2B6DC5D1"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1.37 (1.25–1.50)*</w:t>
            </w:r>
          </w:p>
        </w:tc>
        <w:tc>
          <w:tcPr>
            <w:tcW w:w="476" w:type="pct"/>
            <w:vAlign w:val="center"/>
          </w:tcPr>
          <w:p w14:paraId="1922933F" w14:textId="6AAA899A"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1.34 (1.22–1.47)*</w:t>
            </w:r>
          </w:p>
        </w:tc>
        <w:tc>
          <w:tcPr>
            <w:tcW w:w="526" w:type="pct"/>
            <w:vAlign w:val="center"/>
          </w:tcPr>
          <w:p w14:paraId="5E7797A6" w14:textId="7061550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1.37 (1.02–1.85)*</w:t>
            </w:r>
          </w:p>
        </w:tc>
        <w:tc>
          <w:tcPr>
            <w:tcW w:w="467" w:type="pct"/>
            <w:vAlign w:val="center"/>
          </w:tcPr>
          <w:p w14:paraId="2D01AB40" w14:textId="416FDB41"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1.35 (1.00–1.83)*</w:t>
            </w:r>
          </w:p>
        </w:tc>
        <w:tc>
          <w:tcPr>
            <w:tcW w:w="526" w:type="pct"/>
            <w:vAlign w:val="center"/>
          </w:tcPr>
          <w:p w14:paraId="341377F7"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1.40 (1.26–1.54)*</w:t>
            </w:r>
          </w:p>
        </w:tc>
        <w:tc>
          <w:tcPr>
            <w:tcW w:w="524" w:type="pct"/>
            <w:vAlign w:val="center"/>
          </w:tcPr>
          <w:p w14:paraId="69EDFDAB"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1.36 (1.23–1.50)*</w:t>
            </w:r>
          </w:p>
        </w:tc>
      </w:tr>
      <w:tr w:rsidR="00281703" w:rsidRPr="001D09D7" w14:paraId="1190E798" w14:textId="77777777" w:rsidTr="005277CB">
        <w:trPr>
          <w:gridAfter w:val="1"/>
          <w:wAfter w:w="5" w:type="pct"/>
          <w:trHeight w:val="590"/>
        </w:trPr>
        <w:tc>
          <w:tcPr>
            <w:tcW w:w="311" w:type="pct"/>
          </w:tcPr>
          <w:p w14:paraId="38B32CBD" w14:textId="66727BA9" w:rsidR="007F0A22" w:rsidRPr="00456633" w:rsidRDefault="007F0A22" w:rsidP="007F0A22">
            <w:pPr>
              <w:spacing w:beforeLines="40" w:before="96" w:afterLines="40" w:after="96"/>
              <w:rPr>
                <w:rFonts w:eastAsia="Calibri" w:cs="Arial"/>
                <w:bCs/>
                <w:sz w:val="20"/>
                <w:szCs w:val="18"/>
              </w:rPr>
            </w:pPr>
            <w:r>
              <w:rPr>
                <w:rFonts w:eastAsia="Calibri" w:cs="Arial"/>
                <w:bCs/>
                <w:sz w:val="20"/>
                <w:szCs w:val="18"/>
              </w:rPr>
              <w:t>5</w:t>
            </w:r>
          </w:p>
        </w:tc>
        <w:tc>
          <w:tcPr>
            <w:tcW w:w="499" w:type="pct"/>
            <w:vAlign w:val="center"/>
          </w:tcPr>
          <w:p w14:paraId="541922C2" w14:textId="47FFBAEF" w:rsidR="007F0A22" w:rsidRPr="00456633" w:rsidRDefault="007F0A22" w:rsidP="007F0A22">
            <w:pPr>
              <w:spacing w:beforeLines="40" w:before="96" w:afterLines="40" w:after="96"/>
              <w:rPr>
                <w:rFonts w:eastAsia="Calibri" w:cs="Arial"/>
                <w:sz w:val="20"/>
                <w:szCs w:val="18"/>
              </w:rPr>
            </w:pPr>
            <w:r w:rsidRPr="00456633">
              <w:rPr>
                <w:rFonts w:eastAsia="Calibri" w:cs="Arial"/>
                <w:bCs/>
                <w:sz w:val="20"/>
                <w:szCs w:val="18"/>
              </w:rPr>
              <w:t>Time-fixed</w:t>
            </w:r>
            <w:r w:rsidRPr="00456633">
              <w:rPr>
                <w:rFonts w:eastAsia="Calibri" w:cs="Arial"/>
                <w:sz w:val="20"/>
                <w:szCs w:val="18"/>
              </w:rPr>
              <w:t xml:space="preserve"> </w:t>
            </w:r>
          </w:p>
        </w:tc>
        <w:tc>
          <w:tcPr>
            <w:tcW w:w="609" w:type="pct"/>
            <w:vAlign w:val="center"/>
          </w:tcPr>
          <w:p w14:paraId="0EFE0578" w14:textId="1442A2FA" w:rsidR="007F0A22" w:rsidRPr="0024178A" w:rsidRDefault="007F0A22" w:rsidP="007F0A22">
            <w:pPr>
              <w:spacing w:beforeLines="40" w:before="96" w:afterLines="40" w:after="96"/>
              <w:rPr>
                <w:rFonts w:eastAsia="Calibri" w:cs="Arial"/>
                <w:sz w:val="20"/>
                <w:szCs w:val="18"/>
                <w:vertAlign w:val="superscript"/>
              </w:rPr>
            </w:pPr>
            <w:r w:rsidRPr="00456633">
              <w:rPr>
                <w:rFonts w:eastAsia="Calibri" w:cs="Arial"/>
                <w:sz w:val="20"/>
                <w:szCs w:val="18"/>
              </w:rPr>
              <w:t xml:space="preserve">Final CDI </w:t>
            </w:r>
            <w:proofErr w:type="spellStart"/>
            <w:r w:rsidRPr="00456633">
              <w:rPr>
                <w:rFonts w:eastAsia="Calibri" w:cs="Arial"/>
                <w:sz w:val="20"/>
                <w:szCs w:val="18"/>
              </w:rPr>
              <w:t>status</w:t>
            </w:r>
            <w:r w:rsidR="00ED5737">
              <w:rPr>
                <w:rFonts w:eastAsia="Calibri" w:cs="Arial"/>
                <w:sz w:val="20"/>
                <w:szCs w:val="18"/>
                <w:vertAlign w:val="superscript"/>
              </w:rPr>
              <w:t>d</w:t>
            </w:r>
            <w:proofErr w:type="spellEnd"/>
          </w:p>
        </w:tc>
        <w:tc>
          <w:tcPr>
            <w:tcW w:w="527" w:type="pct"/>
            <w:vAlign w:val="center"/>
          </w:tcPr>
          <w:p w14:paraId="63574DA8" w14:textId="59E31B16"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Day 57 (end of the recurrence risk window</w:t>
            </w:r>
            <w:r>
              <w:rPr>
                <w:rFonts w:eastAsia="Calibri" w:cs="Arial"/>
                <w:sz w:val="20"/>
                <w:szCs w:val="18"/>
              </w:rPr>
              <w:t>)</w:t>
            </w:r>
            <w:r w:rsidR="00281703">
              <w:rPr>
                <w:rFonts w:eastAsia="Calibri" w:cs="Arial"/>
                <w:sz w:val="20"/>
                <w:szCs w:val="18"/>
                <w:vertAlign w:val="superscript"/>
              </w:rPr>
              <w:t>c</w:t>
            </w:r>
            <w:r w:rsidRPr="00456633">
              <w:rPr>
                <w:rFonts w:eastAsia="Calibri" w:cs="Arial"/>
                <w:sz w:val="20"/>
                <w:szCs w:val="18"/>
              </w:rPr>
              <w:t xml:space="preserve"> </w:t>
            </w:r>
          </w:p>
        </w:tc>
        <w:tc>
          <w:tcPr>
            <w:tcW w:w="528" w:type="pct"/>
            <w:vAlign w:val="center"/>
          </w:tcPr>
          <w:p w14:paraId="06A818C3" w14:textId="2D4AB9D8"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1.45 (1.27–1.64)*</w:t>
            </w:r>
          </w:p>
        </w:tc>
        <w:tc>
          <w:tcPr>
            <w:tcW w:w="476" w:type="pct"/>
            <w:vAlign w:val="center"/>
          </w:tcPr>
          <w:p w14:paraId="79CA970D" w14:textId="26C861EC"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1.40 (1.23–1.59)*</w:t>
            </w:r>
          </w:p>
        </w:tc>
        <w:tc>
          <w:tcPr>
            <w:tcW w:w="526" w:type="pct"/>
            <w:vAlign w:val="center"/>
          </w:tcPr>
          <w:p w14:paraId="6C11BFFC" w14:textId="6107D385"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1.39 (0.95–2.02)</w:t>
            </w:r>
          </w:p>
        </w:tc>
        <w:tc>
          <w:tcPr>
            <w:tcW w:w="467" w:type="pct"/>
            <w:vAlign w:val="center"/>
          </w:tcPr>
          <w:p w14:paraId="7FFF26E5" w14:textId="7B3B1DAF"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1.34 (0.91–1.95)</w:t>
            </w:r>
          </w:p>
        </w:tc>
        <w:tc>
          <w:tcPr>
            <w:tcW w:w="526" w:type="pct"/>
            <w:vAlign w:val="center"/>
          </w:tcPr>
          <w:p w14:paraId="7A84253C"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1.50 (1.31–1.71)*</w:t>
            </w:r>
          </w:p>
        </w:tc>
        <w:tc>
          <w:tcPr>
            <w:tcW w:w="524" w:type="pct"/>
            <w:vAlign w:val="center"/>
          </w:tcPr>
          <w:p w14:paraId="3A956D5A"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1.46 (1.27–1.67)*</w:t>
            </w:r>
          </w:p>
        </w:tc>
      </w:tr>
      <w:tr w:rsidR="00281703" w:rsidRPr="001D09D7" w14:paraId="5C99674C" w14:textId="77777777" w:rsidTr="005277CB">
        <w:trPr>
          <w:gridAfter w:val="1"/>
          <w:wAfter w:w="5" w:type="pct"/>
          <w:trHeight w:val="590"/>
        </w:trPr>
        <w:tc>
          <w:tcPr>
            <w:tcW w:w="311" w:type="pct"/>
            <w:tcBorders>
              <w:bottom w:val="single" w:sz="4" w:space="0" w:color="7F7F7F"/>
            </w:tcBorders>
          </w:tcPr>
          <w:p w14:paraId="364AC239" w14:textId="50FEDCE8" w:rsidR="007F0A22" w:rsidRPr="00456633" w:rsidRDefault="007F0A22" w:rsidP="007F0A22">
            <w:pPr>
              <w:spacing w:beforeLines="40" w:before="96" w:afterLines="40" w:after="96"/>
              <w:rPr>
                <w:rFonts w:eastAsia="Calibri" w:cs="Arial"/>
                <w:bCs/>
                <w:sz w:val="20"/>
                <w:szCs w:val="18"/>
              </w:rPr>
            </w:pPr>
            <w:r>
              <w:rPr>
                <w:rFonts w:eastAsia="Calibri" w:cs="Arial"/>
                <w:bCs/>
                <w:sz w:val="20"/>
                <w:szCs w:val="18"/>
              </w:rPr>
              <w:t>6</w:t>
            </w:r>
          </w:p>
        </w:tc>
        <w:tc>
          <w:tcPr>
            <w:tcW w:w="499" w:type="pct"/>
            <w:tcBorders>
              <w:bottom w:val="single" w:sz="4" w:space="0" w:color="7F7F7F"/>
            </w:tcBorders>
            <w:vAlign w:val="center"/>
          </w:tcPr>
          <w:p w14:paraId="7F117A25" w14:textId="4CC82BF2" w:rsidR="007F0A22" w:rsidRPr="00456633" w:rsidRDefault="007F0A22" w:rsidP="007F0A22">
            <w:pPr>
              <w:spacing w:beforeLines="40" w:before="96" w:afterLines="40" w:after="96"/>
              <w:rPr>
                <w:rFonts w:eastAsia="Calibri" w:cs="Arial"/>
                <w:sz w:val="20"/>
                <w:szCs w:val="18"/>
              </w:rPr>
            </w:pPr>
            <w:r w:rsidRPr="00456633">
              <w:rPr>
                <w:rFonts w:eastAsia="Calibri" w:cs="Arial"/>
                <w:bCs/>
                <w:sz w:val="20"/>
                <w:szCs w:val="18"/>
              </w:rPr>
              <w:t xml:space="preserve">Time-fixed </w:t>
            </w:r>
          </w:p>
        </w:tc>
        <w:tc>
          <w:tcPr>
            <w:tcW w:w="609" w:type="pct"/>
            <w:tcBorders>
              <w:bottom w:val="single" w:sz="4" w:space="0" w:color="7F7F7F"/>
            </w:tcBorders>
            <w:vAlign w:val="center"/>
          </w:tcPr>
          <w:p w14:paraId="0DD91E23" w14:textId="304635C5" w:rsidR="007F0A22" w:rsidRPr="0024178A" w:rsidRDefault="007F0A22" w:rsidP="007F0A22">
            <w:pPr>
              <w:spacing w:beforeLines="40" w:before="96" w:afterLines="40" w:after="96"/>
              <w:rPr>
                <w:rFonts w:eastAsia="Calibri" w:cs="Arial"/>
                <w:sz w:val="20"/>
                <w:szCs w:val="18"/>
                <w:vertAlign w:val="superscript"/>
              </w:rPr>
            </w:pPr>
            <w:r w:rsidRPr="00456633">
              <w:rPr>
                <w:rFonts w:eastAsia="Calibri" w:cs="Arial"/>
                <w:sz w:val="20"/>
                <w:szCs w:val="18"/>
              </w:rPr>
              <w:t xml:space="preserve">Final CDI </w:t>
            </w:r>
            <w:proofErr w:type="spellStart"/>
            <w:r w:rsidRPr="00456633">
              <w:rPr>
                <w:rFonts w:eastAsia="Calibri" w:cs="Arial"/>
                <w:sz w:val="20"/>
                <w:szCs w:val="18"/>
              </w:rPr>
              <w:t>status</w:t>
            </w:r>
            <w:r w:rsidR="00ED5737">
              <w:rPr>
                <w:rFonts w:eastAsia="Calibri" w:cs="Arial"/>
                <w:sz w:val="20"/>
                <w:szCs w:val="18"/>
                <w:vertAlign w:val="superscript"/>
              </w:rPr>
              <w:t>d</w:t>
            </w:r>
            <w:proofErr w:type="spellEnd"/>
          </w:p>
        </w:tc>
        <w:tc>
          <w:tcPr>
            <w:tcW w:w="527" w:type="pct"/>
            <w:tcBorders>
              <w:bottom w:val="single" w:sz="4" w:space="0" w:color="7F7F7F"/>
            </w:tcBorders>
            <w:vAlign w:val="center"/>
          </w:tcPr>
          <w:p w14:paraId="5C87EC07" w14:textId="4224839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 xml:space="preserve">Episode start of the index CDI </w:t>
            </w:r>
          </w:p>
        </w:tc>
        <w:tc>
          <w:tcPr>
            <w:tcW w:w="528" w:type="pct"/>
            <w:tcBorders>
              <w:bottom w:val="single" w:sz="4" w:space="0" w:color="7F7F7F"/>
            </w:tcBorders>
            <w:vAlign w:val="center"/>
          </w:tcPr>
          <w:p w14:paraId="1711AF4E" w14:textId="7C2E445C"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0.91 (0.83–1.00)*</w:t>
            </w:r>
          </w:p>
        </w:tc>
        <w:tc>
          <w:tcPr>
            <w:tcW w:w="476" w:type="pct"/>
            <w:tcBorders>
              <w:bottom w:val="single" w:sz="4" w:space="0" w:color="7F7F7F"/>
            </w:tcBorders>
            <w:vAlign w:val="center"/>
          </w:tcPr>
          <w:p w14:paraId="1C7F08A6" w14:textId="16018A5D" w:rsidR="007F0A22" w:rsidRPr="00456633" w:rsidRDefault="007F0A22" w:rsidP="007F0A22">
            <w:pPr>
              <w:spacing w:beforeLines="40" w:before="96" w:afterLines="40" w:after="96"/>
              <w:rPr>
                <w:rFonts w:eastAsia="MS Mincho" w:cs="Arial"/>
                <w:bCs/>
                <w:kern w:val="24"/>
                <w:sz w:val="20"/>
                <w:szCs w:val="18"/>
                <w:lang w:eastAsia="en-GB"/>
              </w:rPr>
            </w:pPr>
            <w:bookmarkStart w:id="7" w:name="_Hlk28798858"/>
            <w:r w:rsidRPr="00456633">
              <w:rPr>
                <w:rFonts w:eastAsia="Calibri" w:cs="Arial"/>
                <w:sz w:val="20"/>
                <w:szCs w:val="18"/>
              </w:rPr>
              <w:t>0.88 (0.80–0.96)*</w:t>
            </w:r>
            <w:bookmarkEnd w:id="7"/>
          </w:p>
        </w:tc>
        <w:tc>
          <w:tcPr>
            <w:tcW w:w="526" w:type="pct"/>
            <w:tcBorders>
              <w:bottom w:val="single" w:sz="4" w:space="0" w:color="7F7F7F"/>
            </w:tcBorders>
            <w:vAlign w:val="center"/>
          </w:tcPr>
          <w:p w14:paraId="507B7C74" w14:textId="5425DEE3"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1.18 (1.03–1.36)*</w:t>
            </w:r>
          </w:p>
        </w:tc>
        <w:tc>
          <w:tcPr>
            <w:tcW w:w="467" w:type="pct"/>
            <w:tcBorders>
              <w:bottom w:val="single" w:sz="4" w:space="0" w:color="7F7F7F"/>
            </w:tcBorders>
            <w:vAlign w:val="center"/>
          </w:tcPr>
          <w:p w14:paraId="2C62582A" w14:textId="4BE480C8"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1.17 (1.02–1.34)*</w:t>
            </w:r>
          </w:p>
        </w:tc>
        <w:tc>
          <w:tcPr>
            <w:tcW w:w="526" w:type="pct"/>
            <w:tcBorders>
              <w:bottom w:val="single" w:sz="4" w:space="0" w:color="7F7F7F"/>
            </w:tcBorders>
            <w:vAlign w:val="center"/>
          </w:tcPr>
          <w:p w14:paraId="53DD1DEC"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1.01 (0.93–1.10)</w:t>
            </w:r>
          </w:p>
        </w:tc>
        <w:tc>
          <w:tcPr>
            <w:tcW w:w="524" w:type="pct"/>
            <w:tcBorders>
              <w:bottom w:val="single" w:sz="4" w:space="0" w:color="7F7F7F"/>
            </w:tcBorders>
            <w:vAlign w:val="center"/>
          </w:tcPr>
          <w:p w14:paraId="64D1B854" w14:textId="77777777" w:rsidR="007F0A22" w:rsidRPr="00456633" w:rsidRDefault="007F0A22" w:rsidP="007F0A22">
            <w:pPr>
              <w:spacing w:beforeLines="40" w:before="96" w:afterLines="40" w:after="96"/>
              <w:rPr>
                <w:rFonts w:eastAsia="MS Mincho" w:cs="Arial"/>
                <w:bCs/>
                <w:kern w:val="24"/>
                <w:sz w:val="20"/>
                <w:szCs w:val="18"/>
                <w:lang w:eastAsia="en-GB"/>
              </w:rPr>
            </w:pPr>
            <w:r w:rsidRPr="00456633">
              <w:rPr>
                <w:rFonts w:eastAsia="Calibri" w:cs="Arial"/>
                <w:sz w:val="20"/>
                <w:szCs w:val="18"/>
              </w:rPr>
              <w:t>0.99 (0.91–1.08)</w:t>
            </w:r>
          </w:p>
        </w:tc>
      </w:tr>
    </w:tbl>
    <w:p w14:paraId="041CC753" w14:textId="4C623951" w:rsidR="00561952" w:rsidRPr="00456633" w:rsidRDefault="00561952" w:rsidP="009A4EC6">
      <w:pPr>
        <w:spacing w:beforeLines="40" w:before="96" w:afterLines="40" w:after="96"/>
        <w:rPr>
          <w:rFonts w:eastAsia="Calibri" w:cs="Arial"/>
          <w:sz w:val="20"/>
          <w:szCs w:val="18"/>
        </w:rPr>
      </w:pPr>
      <w:r w:rsidRPr="00456633">
        <w:rPr>
          <w:rFonts w:eastAsia="Calibri" w:cs="Arial"/>
          <w:sz w:val="20"/>
          <w:szCs w:val="18"/>
        </w:rPr>
        <w:t xml:space="preserve">CDI, </w:t>
      </w:r>
      <w:proofErr w:type="spellStart"/>
      <w:r w:rsidRPr="00456633">
        <w:rPr>
          <w:rFonts w:eastAsia="Calibri" w:cs="Arial"/>
          <w:i/>
          <w:sz w:val="20"/>
          <w:szCs w:val="18"/>
        </w:rPr>
        <w:t>Clostridioides</w:t>
      </w:r>
      <w:proofErr w:type="spellEnd"/>
      <w:r w:rsidRPr="00456633">
        <w:rPr>
          <w:rFonts w:eastAsia="Calibri" w:cs="Arial"/>
          <w:i/>
          <w:sz w:val="20"/>
          <w:szCs w:val="18"/>
        </w:rPr>
        <w:t xml:space="preserve"> difficile</w:t>
      </w:r>
      <w:r w:rsidRPr="00456633">
        <w:rPr>
          <w:rFonts w:eastAsia="Calibri" w:cs="Arial"/>
          <w:sz w:val="20"/>
          <w:szCs w:val="18"/>
        </w:rPr>
        <w:t xml:space="preserve"> infection</w:t>
      </w:r>
      <w:r w:rsidR="00AF001E">
        <w:rPr>
          <w:rFonts w:eastAsia="Calibri" w:cs="Arial"/>
          <w:sz w:val="20"/>
          <w:szCs w:val="18"/>
        </w:rPr>
        <w:t xml:space="preserve">; </w:t>
      </w:r>
      <w:r w:rsidR="00AF001E">
        <w:rPr>
          <w:sz w:val="20"/>
        </w:rPr>
        <w:t>HA, hospital-associated</w:t>
      </w:r>
      <w:r w:rsidR="00F40650" w:rsidRPr="00456633">
        <w:rPr>
          <w:rFonts w:eastAsia="Calibri" w:cs="Arial"/>
          <w:sz w:val="20"/>
          <w:szCs w:val="18"/>
        </w:rPr>
        <w:t>; HR, hazard ratio</w:t>
      </w:r>
      <w:r w:rsidRPr="00456633">
        <w:rPr>
          <w:rFonts w:eastAsia="Calibri" w:cs="Arial"/>
          <w:sz w:val="20"/>
          <w:szCs w:val="18"/>
        </w:rPr>
        <w:t xml:space="preserve">. </w:t>
      </w:r>
      <w:r w:rsidR="00457F09" w:rsidRPr="00456633">
        <w:rPr>
          <w:rFonts w:eastAsia="Calibri" w:cs="Arial"/>
          <w:sz w:val="20"/>
          <w:szCs w:val="18"/>
        </w:rPr>
        <w:t xml:space="preserve">Recurrent CDI was defined as a second CDI episode diagnosed on </w:t>
      </w:r>
      <w:r w:rsidR="00A11193">
        <w:rPr>
          <w:rFonts w:eastAsia="Calibri" w:cs="Arial"/>
          <w:sz w:val="20"/>
          <w:szCs w:val="18"/>
        </w:rPr>
        <w:t>D</w:t>
      </w:r>
      <w:r w:rsidR="00457F09" w:rsidRPr="00456633">
        <w:rPr>
          <w:rFonts w:eastAsia="Calibri" w:cs="Arial"/>
          <w:sz w:val="20"/>
          <w:szCs w:val="18"/>
        </w:rPr>
        <w:t xml:space="preserve">ays 13−56. </w:t>
      </w:r>
      <w:proofErr w:type="spellStart"/>
      <w:r w:rsidRPr="00456633">
        <w:rPr>
          <w:rFonts w:eastAsia="Calibri" w:cs="Arial"/>
          <w:sz w:val="20"/>
          <w:szCs w:val="18"/>
          <w:vertAlign w:val="superscript"/>
        </w:rPr>
        <w:t>a</w:t>
      </w:r>
      <w:r w:rsidRPr="00456633">
        <w:rPr>
          <w:rFonts w:eastAsia="Calibri" w:cs="Arial"/>
          <w:sz w:val="20"/>
          <w:szCs w:val="18"/>
        </w:rPr>
        <w:t>Ascertained</w:t>
      </w:r>
      <w:proofErr w:type="spellEnd"/>
      <w:r w:rsidRPr="00456633">
        <w:rPr>
          <w:rFonts w:eastAsia="Calibri" w:cs="Arial"/>
          <w:sz w:val="20"/>
          <w:szCs w:val="18"/>
        </w:rPr>
        <w:t xml:space="preserve"> using death registration recorded in Office of National Statistics mortality data. </w:t>
      </w:r>
      <w:proofErr w:type="spellStart"/>
      <w:r w:rsidR="00747C42" w:rsidRPr="00700DC8">
        <w:rPr>
          <w:rFonts w:cs="Arial"/>
          <w:sz w:val="20"/>
          <w:szCs w:val="20"/>
          <w:vertAlign w:val="superscript"/>
        </w:rPr>
        <w:t>b</w:t>
      </w:r>
      <w:r w:rsidR="00747C42">
        <w:rPr>
          <w:sz w:val="20"/>
        </w:rPr>
        <w:t>Evaluated</w:t>
      </w:r>
      <w:proofErr w:type="spellEnd"/>
      <w:r w:rsidR="00747C42">
        <w:rPr>
          <w:sz w:val="20"/>
        </w:rPr>
        <w:t xml:space="preserve"> using primary care (CPRD GOLD), hospital (HES) and </w:t>
      </w:r>
      <w:r w:rsidR="00747C42" w:rsidRPr="00BD4E8A">
        <w:rPr>
          <w:sz w:val="20"/>
        </w:rPr>
        <w:t>O</w:t>
      </w:r>
      <w:r w:rsidR="00747C42">
        <w:rPr>
          <w:sz w:val="20"/>
        </w:rPr>
        <w:t>ffice of National Statistics</w:t>
      </w:r>
      <w:r w:rsidR="00747C42" w:rsidRPr="00BD4E8A">
        <w:rPr>
          <w:sz w:val="20"/>
        </w:rPr>
        <w:t xml:space="preserve"> </w:t>
      </w:r>
      <w:r w:rsidR="00747C42">
        <w:rPr>
          <w:sz w:val="20"/>
        </w:rPr>
        <w:t>m</w:t>
      </w:r>
      <w:r w:rsidR="00747C42" w:rsidRPr="00BD4E8A">
        <w:rPr>
          <w:sz w:val="20"/>
        </w:rPr>
        <w:t>ortality data</w:t>
      </w:r>
      <w:r w:rsidR="00747C42">
        <w:rPr>
          <w:sz w:val="20"/>
        </w:rPr>
        <w:t xml:space="preserve">. Complications included ulcerative pancolitis, megacolon, intestinal perforation, toxic </w:t>
      </w:r>
      <w:r w:rsidR="00747C42">
        <w:rPr>
          <w:sz w:val="20"/>
        </w:rPr>
        <w:lastRenderedPageBreak/>
        <w:t>gastroenteritis/colitis, colectomy, renal failure and sepsis (</w:t>
      </w:r>
      <w:r w:rsidR="00747C42" w:rsidRPr="00834206">
        <w:rPr>
          <w:b/>
          <w:bCs/>
          <w:sz w:val="20"/>
        </w:rPr>
        <w:t>Table A.I</w:t>
      </w:r>
      <w:r w:rsidR="00747C42">
        <w:rPr>
          <w:sz w:val="20"/>
        </w:rPr>
        <w:t>, online supplementary information).</w:t>
      </w:r>
      <w:r w:rsidR="00281703">
        <w:rPr>
          <w:sz w:val="20"/>
        </w:rPr>
        <w:t xml:space="preserve"> </w:t>
      </w:r>
      <w:proofErr w:type="spellStart"/>
      <w:r w:rsidR="00281703" w:rsidRPr="00281703">
        <w:rPr>
          <w:rFonts w:eastAsia="Calibri" w:cs="Arial"/>
          <w:sz w:val="20"/>
          <w:szCs w:val="18"/>
          <w:vertAlign w:val="superscript"/>
        </w:rPr>
        <w:t>c</w:t>
      </w:r>
      <w:r w:rsidR="00281703">
        <w:rPr>
          <w:rFonts w:eastAsia="Calibri" w:cs="Arial"/>
          <w:sz w:val="20"/>
          <w:szCs w:val="18"/>
        </w:rPr>
        <w:t>As</w:t>
      </w:r>
      <w:proofErr w:type="spellEnd"/>
      <w:r w:rsidR="00281703">
        <w:rPr>
          <w:rFonts w:eastAsia="Calibri" w:cs="Arial"/>
          <w:sz w:val="20"/>
          <w:szCs w:val="18"/>
        </w:rPr>
        <w:t xml:space="preserve"> evaluated from the date of index CDI.</w:t>
      </w:r>
      <w:r w:rsidR="00ED5737">
        <w:rPr>
          <w:rFonts w:eastAsia="Calibri" w:cs="Arial"/>
          <w:sz w:val="20"/>
          <w:szCs w:val="18"/>
        </w:rPr>
        <w:t xml:space="preserve"> </w:t>
      </w:r>
      <w:proofErr w:type="spellStart"/>
      <w:r w:rsidR="00ED5737" w:rsidRPr="0024178A">
        <w:rPr>
          <w:rFonts w:eastAsia="Calibri" w:cs="Arial"/>
          <w:sz w:val="20"/>
          <w:szCs w:val="18"/>
          <w:vertAlign w:val="superscript"/>
        </w:rPr>
        <w:t>d</w:t>
      </w:r>
      <w:r w:rsidR="00ED5737" w:rsidRPr="0024178A">
        <w:rPr>
          <w:rFonts w:eastAsia="Calibri" w:cs="Arial"/>
          <w:sz w:val="20"/>
          <w:szCs w:val="18"/>
        </w:rPr>
        <w:t>D</w:t>
      </w:r>
      <w:r w:rsidR="00ED5737" w:rsidRPr="00ED5737">
        <w:rPr>
          <w:rFonts w:eastAsia="Calibri" w:cs="Arial"/>
          <w:sz w:val="20"/>
          <w:szCs w:val="18"/>
        </w:rPr>
        <w:t>efined</w:t>
      </w:r>
      <w:proofErr w:type="spellEnd"/>
      <w:r w:rsidR="00ED5737" w:rsidRPr="00ED5737">
        <w:rPr>
          <w:rFonts w:eastAsia="Calibri" w:cs="Arial"/>
          <w:sz w:val="20"/>
          <w:szCs w:val="18"/>
        </w:rPr>
        <w:t xml:space="preserve"> as ever having a diagnosis of CDI (yes or no) during the study period</w:t>
      </w:r>
      <w:r w:rsidR="00ED5737">
        <w:rPr>
          <w:rFonts w:eastAsia="Calibri" w:cs="Arial"/>
          <w:sz w:val="20"/>
          <w:szCs w:val="18"/>
        </w:rPr>
        <w:t xml:space="preserve">. </w:t>
      </w:r>
      <w:r w:rsidRPr="00456633">
        <w:rPr>
          <w:rFonts w:eastAsia="Calibri" w:cs="Arial"/>
          <w:sz w:val="20"/>
          <w:szCs w:val="18"/>
        </w:rPr>
        <w:t xml:space="preserve">*p&lt;0.05 for </w:t>
      </w:r>
      <w:r w:rsidR="00457F09" w:rsidRPr="00456633">
        <w:rPr>
          <w:rFonts w:eastAsia="Calibri" w:cs="Arial"/>
          <w:sz w:val="20"/>
          <w:szCs w:val="18"/>
        </w:rPr>
        <w:t>comparison</w:t>
      </w:r>
    </w:p>
    <w:p w14:paraId="12F5C614" w14:textId="79BCB0C6" w:rsidR="00561952" w:rsidRPr="00911FF1" w:rsidRDefault="00561952" w:rsidP="009A4EC6"/>
    <w:p w14:paraId="60AE8F91" w14:textId="70D56521" w:rsidR="00561952" w:rsidRPr="00561952" w:rsidRDefault="00561952" w:rsidP="009A4EC6">
      <w:pPr>
        <w:sectPr w:rsidR="00561952" w:rsidRPr="00561952" w:rsidSect="00FD4CFE">
          <w:pgSz w:w="16838" w:h="11906" w:orient="landscape"/>
          <w:pgMar w:top="1440" w:right="1440" w:bottom="1440" w:left="1440" w:header="709" w:footer="709" w:gutter="0"/>
          <w:cols w:space="708"/>
          <w:docGrid w:linePitch="360"/>
        </w:sectPr>
      </w:pPr>
    </w:p>
    <w:p w14:paraId="15325334" w14:textId="011D9E92" w:rsidR="00726BDA" w:rsidRDefault="00726BDA" w:rsidP="009A4EC6">
      <w:pPr>
        <w:pStyle w:val="Heading1"/>
        <w:spacing w:before="0" w:after="0"/>
      </w:pPr>
      <w:r w:rsidRPr="00304821">
        <w:lastRenderedPageBreak/>
        <w:t>Figures</w:t>
      </w:r>
    </w:p>
    <w:p w14:paraId="6858E8FB" w14:textId="77777777" w:rsidR="00B73061" w:rsidRPr="0073622B" w:rsidRDefault="00B73061" w:rsidP="003B3515"/>
    <w:p w14:paraId="46AEBBFF" w14:textId="2817764D" w:rsidR="00947BBA" w:rsidRPr="002A7F01" w:rsidRDefault="00ED7F96">
      <w:pPr>
        <w:pStyle w:val="Heading2"/>
        <w:spacing w:before="0"/>
        <w:rPr>
          <w:b w:val="0"/>
        </w:rPr>
      </w:pPr>
      <w:r w:rsidRPr="00BF2D59">
        <w:t xml:space="preserve">Figure </w:t>
      </w:r>
      <w:r w:rsidR="007A4CA5" w:rsidRPr="00BF2D59">
        <w:t>1</w:t>
      </w:r>
      <w:r w:rsidR="00133F90" w:rsidRPr="00C25695">
        <w:t xml:space="preserve">. </w:t>
      </w:r>
      <w:r w:rsidR="007A4CA5" w:rsidRPr="00A32B5D">
        <w:rPr>
          <w:b w:val="0"/>
        </w:rPr>
        <w:t>Selection of cases with HA-CDI recorded in the first</w:t>
      </w:r>
      <w:r w:rsidR="00911FF1" w:rsidRPr="00A32B5D">
        <w:rPr>
          <w:b w:val="0"/>
        </w:rPr>
        <w:t xml:space="preserve"> or </w:t>
      </w:r>
      <w:r w:rsidR="007A4CA5" w:rsidRPr="00A32B5D">
        <w:rPr>
          <w:b w:val="0"/>
        </w:rPr>
        <w:t xml:space="preserve">second episode of </w:t>
      </w:r>
      <w:r w:rsidR="007A4CA5" w:rsidRPr="002A7F01">
        <w:rPr>
          <w:b w:val="0"/>
        </w:rPr>
        <w:t>hospital care</w:t>
      </w:r>
      <w:bookmarkStart w:id="8" w:name="_GoBack"/>
      <w:bookmarkEnd w:id="8"/>
    </w:p>
    <w:p w14:paraId="133DB4A9" w14:textId="7916600F" w:rsidR="00EE2F68" w:rsidRDefault="00EE2F68" w:rsidP="009A4EC6"/>
    <w:p w14:paraId="1C3CF86F" w14:textId="21826FB6" w:rsidR="0020540A" w:rsidRPr="002A7F01" w:rsidRDefault="00783C90" w:rsidP="009A4EC6">
      <w:r>
        <w:rPr>
          <w:noProof/>
        </w:rPr>
        <w:drawing>
          <wp:inline distT="0" distB="0" distL="0" distR="0" wp14:anchorId="24AEC98E" wp14:editId="5DFD7411">
            <wp:extent cx="5698079" cy="4331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2664" cy="4342746"/>
                    </a:xfrm>
                    <a:prstGeom prst="rect">
                      <a:avLst/>
                    </a:prstGeom>
                    <a:noFill/>
                  </pic:spPr>
                </pic:pic>
              </a:graphicData>
            </a:graphic>
          </wp:inline>
        </w:drawing>
      </w:r>
    </w:p>
    <w:p w14:paraId="15F033E1" w14:textId="77777777" w:rsidR="00DF19BE" w:rsidRPr="002A7F01" w:rsidRDefault="00AD1A96" w:rsidP="009A4EC6">
      <w:r w:rsidRPr="002D7632" w:rsidDel="00AD1A96">
        <w:rPr>
          <w:b/>
          <w:bCs/>
        </w:rPr>
        <w:t xml:space="preserve"> </w:t>
      </w:r>
      <w:r w:rsidR="00341AAE" w:rsidRPr="002A7F0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B0302C6" w14:textId="3AA4F428" w:rsidR="00BF2D59" w:rsidRPr="00FA52AD" w:rsidRDefault="00AA4F62" w:rsidP="009A4EC6">
      <w:pPr>
        <w:rPr>
          <w:sz w:val="20"/>
        </w:rPr>
        <w:sectPr w:rsidR="00BF2D59" w:rsidRPr="00FA52AD" w:rsidSect="00A32B5D">
          <w:pgSz w:w="11906" w:h="16838"/>
          <w:pgMar w:top="1440" w:right="1440" w:bottom="1440" w:left="1440" w:header="709" w:footer="709" w:gutter="0"/>
          <w:cols w:space="708"/>
          <w:docGrid w:linePitch="360"/>
        </w:sectPr>
      </w:pPr>
      <w:proofErr w:type="spellStart"/>
      <w:r w:rsidRPr="002A7F01">
        <w:rPr>
          <w:sz w:val="20"/>
          <w:vertAlign w:val="superscript"/>
        </w:rPr>
        <w:t>a</w:t>
      </w:r>
      <w:r w:rsidRPr="002A7F01">
        <w:rPr>
          <w:sz w:val="20"/>
        </w:rPr>
        <w:t>Patients</w:t>
      </w:r>
      <w:proofErr w:type="spellEnd"/>
      <w:r w:rsidRPr="002A7F01">
        <w:rPr>
          <w:sz w:val="20"/>
        </w:rPr>
        <w:t xml:space="preserve"> </w:t>
      </w:r>
      <w:r w:rsidR="00A269E0">
        <w:rPr>
          <w:sz w:val="20"/>
        </w:rPr>
        <w:t>are</w:t>
      </w:r>
      <w:r w:rsidR="00A269E0" w:rsidRPr="002A7F01">
        <w:rPr>
          <w:sz w:val="20"/>
        </w:rPr>
        <w:t xml:space="preserve"> </w:t>
      </w:r>
      <w:r w:rsidRPr="002A7F01">
        <w:rPr>
          <w:sz w:val="20"/>
        </w:rPr>
        <w:t>co</w:t>
      </w:r>
      <w:r w:rsidRPr="00FA52AD">
        <w:rPr>
          <w:sz w:val="20"/>
        </w:rPr>
        <w:t xml:space="preserve">nsidered acceptable by </w:t>
      </w:r>
      <w:r w:rsidR="00A269E0">
        <w:rPr>
          <w:sz w:val="20"/>
        </w:rPr>
        <w:t xml:space="preserve">the CPRD based on 15-point criteria </w:t>
      </w:r>
      <w:r w:rsidRPr="00FA52AD">
        <w:rPr>
          <w:sz w:val="20"/>
        </w:rPr>
        <w:t>that exclude</w:t>
      </w:r>
      <w:r w:rsidR="00A269E0">
        <w:rPr>
          <w:sz w:val="20"/>
        </w:rPr>
        <w:t>s</w:t>
      </w:r>
      <w:r w:rsidRPr="00FA52AD">
        <w:rPr>
          <w:sz w:val="20"/>
        </w:rPr>
        <w:t xml:space="preserve"> patients with non-continuous follow up, or patients with poor data recording that raise</w:t>
      </w:r>
      <w:r w:rsidR="00A269E0">
        <w:rPr>
          <w:sz w:val="20"/>
        </w:rPr>
        <w:t>s</w:t>
      </w:r>
      <w:r w:rsidRPr="00FA52AD">
        <w:rPr>
          <w:sz w:val="20"/>
        </w:rPr>
        <w:t xml:space="preserve"> suspicion as to the validity of those patients’ records. </w:t>
      </w:r>
      <w:r w:rsidR="00924715" w:rsidRPr="001A0768">
        <w:rPr>
          <w:rFonts w:eastAsia="Calibri" w:cs="Arial"/>
          <w:sz w:val="20"/>
          <w:szCs w:val="18"/>
        </w:rPr>
        <w:t xml:space="preserve">CDI, </w:t>
      </w:r>
      <w:proofErr w:type="spellStart"/>
      <w:r w:rsidR="00924715" w:rsidRPr="001A0768">
        <w:rPr>
          <w:rFonts w:eastAsia="Calibri" w:cs="Arial"/>
          <w:i/>
          <w:sz w:val="20"/>
          <w:szCs w:val="18"/>
        </w:rPr>
        <w:t>Clostridioides</w:t>
      </w:r>
      <w:proofErr w:type="spellEnd"/>
      <w:r w:rsidR="00924715" w:rsidRPr="001A0768">
        <w:rPr>
          <w:rFonts w:eastAsia="Calibri" w:cs="Arial"/>
          <w:i/>
          <w:sz w:val="20"/>
          <w:szCs w:val="18"/>
        </w:rPr>
        <w:t xml:space="preserve"> difficile</w:t>
      </w:r>
      <w:r w:rsidR="00924715" w:rsidRPr="001A0768">
        <w:rPr>
          <w:rFonts w:eastAsia="Calibri" w:cs="Arial"/>
          <w:sz w:val="20"/>
          <w:szCs w:val="18"/>
        </w:rPr>
        <w:t xml:space="preserve"> infection</w:t>
      </w:r>
      <w:r w:rsidR="00924715">
        <w:rPr>
          <w:sz w:val="20"/>
        </w:rPr>
        <w:t xml:space="preserve">; </w:t>
      </w:r>
      <w:r w:rsidR="006C13E0" w:rsidRPr="00FA52AD">
        <w:rPr>
          <w:sz w:val="20"/>
        </w:rPr>
        <w:t>CPRD, Clinical Practice Research Datalink; HA, hospital-associated; HES, Hospital Episode Statistics</w:t>
      </w:r>
      <w:r w:rsidR="00E81DFD" w:rsidRPr="00FA52AD">
        <w:rPr>
          <w:sz w:val="20"/>
        </w:rPr>
        <w:t>; UTS, up-to-standard</w:t>
      </w:r>
      <w:r w:rsidR="000B73B0">
        <w:rPr>
          <w:sz w:val="20"/>
        </w:rPr>
        <w:t xml:space="preserve">. </w:t>
      </w:r>
      <w:r w:rsidR="000B73B0" w:rsidRPr="000B73B0">
        <w:rPr>
          <w:sz w:val="20"/>
        </w:rPr>
        <w:t>Grey boxes indicate patients excluded from the dataset</w:t>
      </w:r>
      <w:r w:rsidR="00924715">
        <w:rPr>
          <w:sz w:val="20"/>
        </w:rPr>
        <w:t>.</w:t>
      </w:r>
    </w:p>
    <w:p w14:paraId="54C9BEE5" w14:textId="075464EF" w:rsidR="00531A74" w:rsidRDefault="00BF2D59" w:rsidP="009A4EC6">
      <w:pPr>
        <w:pStyle w:val="Heading2"/>
        <w:spacing w:before="0"/>
      </w:pPr>
      <w:r w:rsidRPr="005C7499">
        <w:lastRenderedPageBreak/>
        <w:t xml:space="preserve">Figure </w:t>
      </w:r>
      <w:r w:rsidR="00735BBA">
        <w:t>2</w:t>
      </w:r>
      <w:r>
        <w:t xml:space="preserve">. </w:t>
      </w:r>
      <w:r w:rsidR="00012D3D">
        <w:rPr>
          <w:b w:val="0"/>
        </w:rPr>
        <w:t>Twelve</w:t>
      </w:r>
      <w:r w:rsidR="004F6E2A" w:rsidRPr="00A32B5D">
        <w:rPr>
          <w:b w:val="0"/>
        </w:rPr>
        <w:t>-month m</w:t>
      </w:r>
      <w:r w:rsidRPr="00A32B5D">
        <w:rPr>
          <w:b w:val="0"/>
        </w:rPr>
        <w:t>ortality</w:t>
      </w:r>
      <w:r w:rsidR="004F6E2A" w:rsidRPr="00A32B5D">
        <w:rPr>
          <w:b w:val="0"/>
        </w:rPr>
        <w:t>, assessed</w:t>
      </w:r>
      <w:r w:rsidRPr="00A32B5D">
        <w:rPr>
          <w:b w:val="0"/>
        </w:rPr>
        <w:t xml:space="preserve"> </w:t>
      </w:r>
      <w:r w:rsidR="004F6E2A" w:rsidRPr="00A32B5D">
        <w:rPr>
          <w:b w:val="0"/>
        </w:rPr>
        <w:t xml:space="preserve">from the start of the </w:t>
      </w:r>
      <w:r w:rsidR="002967E2">
        <w:rPr>
          <w:b w:val="0"/>
        </w:rPr>
        <w:t>CDI recurrence window</w:t>
      </w:r>
      <w:r w:rsidR="004F6E2A" w:rsidRPr="00A32B5D">
        <w:rPr>
          <w:b w:val="0"/>
        </w:rPr>
        <w:t xml:space="preserve">, </w:t>
      </w:r>
      <w:r w:rsidRPr="00A32B5D">
        <w:rPr>
          <w:b w:val="0"/>
        </w:rPr>
        <w:t>among patients with recurrent and non-recurrent CDI</w:t>
      </w:r>
      <w:r>
        <w:t xml:space="preserve"> </w:t>
      </w:r>
    </w:p>
    <w:p w14:paraId="1673515B" w14:textId="383D5348" w:rsidR="00712728" w:rsidRPr="00712728" w:rsidRDefault="00712728" w:rsidP="003B3515">
      <w:r>
        <w:rPr>
          <w:noProof/>
        </w:rPr>
        <w:drawing>
          <wp:inline distT="0" distB="0" distL="0" distR="0" wp14:anchorId="71AC0B0C" wp14:editId="0B7856B1">
            <wp:extent cx="6079067" cy="36786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7536" cy="3689867"/>
                    </a:xfrm>
                    <a:prstGeom prst="rect">
                      <a:avLst/>
                    </a:prstGeom>
                    <a:noFill/>
                    <a:ln>
                      <a:noFill/>
                    </a:ln>
                  </pic:spPr>
                </pic:pic>
              </a:graphicData>
            </a:graphic>
          </wp:inline>
        </w:drawing>
      </w:r>
    </w:p>
    <w:p w14:paraId="331B90A4" w14:textId="09F2BC27" w:rsidR="00AA57B8" w:rsidRPr="00A32B5D" w:rsidRDefault="00924715" w:rsidP="009A4EC6">
      <w:pPr>
        <w:rPr>
          <w:sz w:val="20"/>
        </w:rPr>
        <w:sectPr w:rsidR="00AA57B8" w:rsidRPr="00A32B5D" w:rsidSect="00CF3AB1">
          <w:pgSz w:w="11906" w:h="16838"/>
          <w:pgMar w:top="1440" w:right="1440" w:bottom="1440" w:left="1440" w:header="709" w:footer="709" w:gutter="0"/>
          <w:cols w:space="708"/>
          <w:docGrid w:linePitch="360"/>
        </w:sectPr>
      </w:pPr>
      <w:r w:rsidRPr="001A0768">
        <w:rPr>
          <w:rFonts w:eastAsia="Calibri" w:cs="Arial"/>
          <w:sz w:val="20"/>
          <w:szCs w:val="18"/>
        </w:rPr>
        <w:t xml:space="preserve">CDI, </w:t>
      </w:r>
      <w:proofErr w:type="spellStart"/>
      <w:r w:rsidRPr="001A0768">
        <w:rPr>
          <w:rFonts w:eastAsia="Calibri" w:cs="Arial"/>
          <w:i/>
          <w:sz w:val="20"/>
          <w:szCs w:val="18"/>
        </w:rPr>
        <w:t>Clostridioides</w:t>
      </w:r>
      <w:proofErr w:type="spellEnd"/>
      <w:r w:rsidRPr="001A0768">
        <w:rPr>
          <w:rFonts w:eastAsia="Calibri" w:cs="Arial"/>
          <w:i/>
          <w:sz w:val="20"/>
          <w:szCs w:val="18"/>
        </w:rPr>
        <w:t xml:space="preserve"> difficile</w:t>
      </w:r>
      <w:r w:rsidRPr="001A0768">
        <w:rPr>
          <w:rFonts w:eastAsia="Calibri" w:cs="Arial"/>
          <w:sz w:val="20"/>
          <w:szCs w:val="18"/>
        </w:rPr>
        <w:t xml:space="preserve"> infection</w:t>
      </w:r>
      <w:r>
        <w:rPr>
          <w:rFonts w:eastAsia="Calibri" w:cs="Arial"/>
          <w:sz w:val="20"/>
          <w:szCs w:val="18"/>
        </w:rPr>
        <w:t xml:space="preserve">. </w:t>
      </w:r>
      <w:bookmarkStart w:id="9" w:name="_Hlk15481313"/>
      <w:r w:rsidR="00AA57B8" w:rsidRPr="00A32B5D">
        <w:rPr>
          <w:sz w:val="20"/>
        </w:rPr>
        <w:t xml:space="preserve">Recurrent CDI was defined as a second CDI episode documented on </w:t>
      </w:r>
      <w:r w:rsidR="00DA6D42">
        <w:rPr>
          <w:sz w:val="20"/>
        </w:rPr>
        <w:t>d</w:t>
      </w:r>
      <w:r w:rsidR="00AA57B8" w:rsidRPr="00A32B5D">
        <w:rPr>
          <w:sz w:val="20"/>
        </w:rPr>
        <w:t xml:space="preserve">ays 13−56 inclusive. Time to death was assessed </w:t>
      </w:r>
      <w:r w:rsidR="00973775">
        <w:rPr>
          <w:sz w:val="20"/>
        </w:rPr>
        <w:t>from the start of the CDI recurrence window at day 13. The</w:t>
      </w:r>
      <w:r w:rsidR="00AA57B8" w:rsidRPr="00A32B5D">
        <w:rPr>
          <w:sz w:val="20"/>
        </w:rPr>
        <w:t xml:space="preserve"> date of recurrence was defined as the start of the </w:t>
      </w:r>
      <w:r w:rsidR="00A269E0">
        <w:rPr>
          <w:sz w:val="20"/>
        </w:rPr>
        <w:t>hospital episode in which the recurrent CDI episode was identified</w:t>
      </w:r>
      <w:r w:rsidR="00AA57B8" w:rsidRPr="00A32B5D">
        <w:rPr>
          <w:sz w:val="20"/>
        </w:rPr>
        <w:t xml:space="preserve">. </w:t>
      </w:r>
      <w:r w:rsidR="00AF001E">
        <w:rPr>
          <w:sz w:val="20"/>
        </w:rPr>
        <w:t xml:space="preserve"> </w:t>
      </w:r>
    </w:p>
    <w:bookmarkEnd w:id="9"/>
    <w:p w14:paraId="4388B420" w14:textId="77777777" w:rsidR="004B40A1" w:rsidRDefault="003556DC" w:rsidP="009A4EC6">
      <w:pPr>
        <w:pStyle w:val="Heading1"/>
        <w:spacing w:before="0" w:after="0"/>
      </w:pPr>
      <w:r>
        <w:lastRenderedPageBreak/>
        <w:t>Figure l</w:t>
      </w:r>
      <w:r w:rsidR="004B40A1">
        <w:t>egends</w:t>
      </w:r>
    </w:p>
    <w:p w14:paraId="268BEBD7" w14:textId="60E37091" w:rsidR="00712728" w:rsidRPr="001427A3" w:rsidRDefault="007B0246" w:rsidP="003B3515">
      <w:r w:rsidRPr="003B3515">
        <w:rPr>
          <w:b/>
          <w:bCs/>
        </w:rPr>
        <w:t>Figure 1</w:t>
      </w:r>
      <w:r w:rsidRPr="00B2235E">
        <w:t xml:space="preserve">. Selection of cases with HA-CDI recorded in the first or second episode </w:t>
      </w:r>
      <w:r w:rsidRPr="00B73061">
        <w:t>of hospital care</w:t>
      </w:r>
      <w:r w:rsidRPr="0073622B">
        <w:t>.</w:t>
      </w:r>
    </w:p>
    <w:p w14:paraId="01F5A3C7" w14:textId="6F3DB52F" w:rsidR="007B0246" w:rsidRPr="003B3515" w:rsidRDefault="007B0246" w:rsidP="009A4EC6">
      <w:pPr>
        <w:rPr>
          <w:sz w:val="20"/>
          <w:szCs w:val="20"/>
        </w:rPr>
      </w:pPr>
      <w:proofErr w:type="spellStart"/>
      <w:r w:rsidRPr="003B3515">
        <w:rPr>
          <w:sz w:val="20"/>
          <w:szCs w:val="20"/>
          <w:vertAlign w:val="superscript"/>
        </w:rPr>
        <w:t>a</w:t>
      </w:r>
      <w:r w:rsidRPr="003B3515">
        <w:rPr>
          <w:sz w:val="20"/>
          <w:szCs w:val="20"/>
        </w:rPr>
        <w:t>Patients</w:t>
      </w:r>
      <w:proofErr w:type="spellEnd"/>
      <w:r w:rsidRPr="003B3515">
        <w:rPr>
          <w:sz w:val="20"/>
          <w:szCs w:val="20"/>
        </w:rPr>
        <w:t xml:space="preserve"> are considered acceptable by the CPRD based on 15-point criteria that excludes patients with non-continuous follow</w:t>
      </w:r>
      <w:r w:rsidR="00A66EE7">
        <w:rPr>
          <w:sz w:val="20"/>
          <w:szCs w:val="20"/>
        </w:rPr>
        <w:t xml:space="preserve"> </w:t>
      </w:r>
      <w:r w:rsidRPr="003B3515">
        <w:rPr>
          <w:sz w:val="20"/>
          <w:szCs w:val="20"/>
        </w:rPr>
        <w:t xml:space="preserve">up, or patients with poor data recording that raises suspicion as to the validity of those patients’ records. </w:t>
      </w:r>
      <w:r w:rsidRPr="003B3515">
        <w:rPr>
          <w:rFonts w:eastAsia="Calibri" w:cs="Arial"/>
          <w:sz w:val="20"/>
          <w:szCs w:val="20"/>
        </w:rPr>
        <w:t xml:space="preserve">CDI, </w:t>
      </w:r>
      <w:proofErr w:type="spellStart"/>
      <w:r w:rsidRPr="003B3515">
        <w:rPr>
          <w:rFonts w:eastAsia="Calibri" w:cs="Arial"/>
          <w:i/>
          <w:sz w:val="20"/>
          <w:szCs w:val="20"/>
        </w:rPr>
        <w:t>Clostridioides</w:t>
      </w:r>
      <w:proofErr w:type="spellEnd"/>
      <w:r w:rsidRPr="003B3515">
        <w:rPr>
          <w:rFonts w:eastAsia="Calibri" w:cs="Arial"/>
          <w:i/>
          <w:sz w:val="20"/>
          <w:szCs w:val="20"/>
        </w:rPr>
        <w:t xml:space="preserve"> difficile</w:t>
      </w:r>
      <w:r w:rsidRPr="003B3515">
        <w:rPr>
          <w:rFonts w:eastAsia="Calibri" w:cs="Arial"/>
          <w:sz w:val="20"/>
          <w:szCs w:val="20"/>
        </w:rPr>
        <w:t xml:space="preserve"> infection</w:t>
      </w:r>
      <w:r w:rsidRPr="003B3515">
        <w:rPr>
          <w:sz w:val="20"/>
          <w:szCs w:val="20"/>
        </w:rPr>
        <w:t>; CPRD, Clinical Practice Research Datalink; HA, hospital-associated; HES, Hospital Episode Statistics; UTS, up-to-standard. Grey boxes indicate patients excluded from the dataset.</w:t>
      </w:r>
    </w:p>
    <w:p w14:paraId="490A6930" w14:textId="77777777" w:rsidR="007B0246" w:rsidRDefault="007B0246" w:rsidP="009A4EC6">
      <w:pPr>
        <w:rPr>
          <w:sz w:val="20"/>
        </w:rPr>
      </w:pPr>
    </w:p>
    <w:p w14:paraId="34D2B35D" w14:textId="6612607A" w:rsidR="007B0246" w:rsidRPr="003B3515" w:rsidRDefault="007B0246" w:rsidP="003B3515">
      <w:pPr>
        <w:spacing w:after="240"/>
      </w:pPr>
      <w:r w:rsidRPr="003B3515">
        <w:rPr>
          <w:b/>
          <w:bCs/>
        </w:rPr>
        <w:t>Figure 2.</w:t>
      </w:r>
      <w:r w:rsidRPr="003B3515">
        <w:t xml:space="preserve"> Twelve-month mortality, assessed from the start of the CDI recurrence window, among patients with recurrent and non-recurrent CDI.</w:t>
      </w:r>
    </w:p>
    <w:p w14:paraId="1C7F58D1" w14:textId="4F862ADC" w:rsidR="007B0246" w:rsidRPr="003B3515" w:rsidRDefault="007B0246" w:rsidP="003B3515">
      <w:pPr>
        <w:rPr>
          <w:sz w:val="18"/>
          <w:szCs w:val="18"/>
        </w:rPr>
      </w:pPr>
      <w:r w:rsidRPr="003B3515">
        <w:rPr>
          <w:sz w:val="20"/>
          <w:szCs w:val="20"/>
        </w:rPr>
        <w:t xml:space="preserve">CDI, </w:t>
      </w:r>
      <w:proofErr w:type="spellStart"/>
      <w:r w:rsidRPr="003B3515">
        <w:rPr>
          <w:i/>
          <w:iCs/>
          <w:sz w:val="20"/>
          <w:szCs w:val="20"/>
        </w:rPr>
        <w:t>Clostridioides</w:t>
      </w:r>
      <w:proofErr w:type="spellEnd"/>
      <w:r w:rsidRPr="003B3515">
        <w:rPr>
          <w:i/>
          <w:iCs/>
          <w:sz w:val="20"/>
          <w:szCs w:val="20"/>
        </w:rPr>
        <w:t xml:space="preserve"> difficile</w:t>
      </w:r>
      <w:r w:rsidRPr="003B3515">
        <w:rPr>
          <w:sz w:val="20"/>
          <w:szCs w:val="20"/>
        </w:rPr>
        <w:t xml:space="preserve"> infection. Recurrent CDI was defined as a second CDI episode documented on </w:t>
      </w:r>
      <w:r w:rsidR="00A11193" w:rsidRPr="003B3515">
        <w:rPr>
          <w:sz w:val="20"/>
          <w:szCs w:val="20"/>
        </w:rPr>
        <w:t>D</w:t>
      </w:r>
      <w:r w:rsidRPr="003B3515">
        <w:rPr>
          <w:sz w:val="20"/>
          <w:szCs w:val="20"/>
        </w:rPr>
        <w:t xml:space="preserve">ays 13−56 inclusive. Time to death was assessed from the start of the CDI recurrence window at </w:t>
      </w:r>
      <w:r w:rsidR="00A11193" w:rsidRPr="003B3515">
        <w:rPr>
          <w:sz w:val="20"/>
          <w:szCs w:val="20"/>
        </w:rPr>
        <w:t>D</w:t>
      </w:r>
      <w:r w:rsidRPr="003B3515">
        <w:rPr>
          <w:sz w:val="20"/>
          <w:szCs w:val="20"/>
        </w:rPr>
        <w:t xml:space="preserve">ay 13. The date of recurrence was defined as the start of the hospital episode in which the recurrent CDI episode was identified.   </w:t>
      </w:r>
    </w:p>
    <w:p w14:paraId="3F47F0EA" w14:textId="551D3E13" w:rsidR="00D558C5" w:rsidRPr="004F6E2A" w:rsidRDefault="00D558C5" w:rsidP="009A4EC6">
      <w:pPr>
        <w:rPr>
          <w:rFonts w:eastAsiaTheme="majorEastAsia" w:cstheme="majorBidi"/>
          <w:szCs w:val="26"/>
        </w:rPr>
      </w:pPr>
    </w:p>
    <w:sectPr w:rsidR="00D558C5" w:rsidRPr="004F6E2A" w:rsidSect="008D424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1A45" w14:textId="77777777" w:rsidR="007C7F14" w:rsidRDefault="007C7F14" w:rsidP="003A3C2E">
      <w:pPr>
        <w:spacing w:line="240" w:lineRule="auto"/>
      </w:pPr>
      <w:r>
        <w:separator/>
      </w:r>
    </w:p>
  </w:endnote>
  <w:endnote w:type="continuationSeparator" w:id="0">
    <w:p w14:paraId="3ACBC708" w14:textId="77777777" w:rsidR="007C7F14" w:rsidRDefault="007C7F14" w:rsidP="003A3C2E">
      <w:pPr>
        <w:spacing w:line="240" w:lineRule="auto"/>
      </w:pPr>
      <w:r>
        <w:continuationSeparator/>
      </w:r>
    </w:p>
  </w:endnote>
  <w:endnote w:type="continuationNotice" w:id="1">
    <w:p w14:paraId="17864820" w14:textId="77777777" w:rsidR="007C7F14" w:rsidRDefault="007C7F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26922"/>
      <w:docPartObj>
        <w:docPartGallery w:val="Page Numbers (Bottom of Page)"/>
        <w:docPartUnique/>
      </w:docPartObj>
    </w:sdtPr>
    <w:sdtEndPr>
      <w:rPr>
        <w:noProof/>
        <w:sz w:val="20"/>
        <w:szCs w:val="20"/>
      </w:rPr>
    </w:sdtEndPr>
    <w:sdtContent>
      <w:p w14:paraId="1D10F42D" w14:textId="77777777" w:rsidR="007C7F14" w:rsidRPr="002716B9" w:rsidRDefault="007C7F14">
        <w:pPr>
          <w:pStyle w:val="Footer"/>
          <w:jc w:val="center"/>
          <w:rPr>
            <w:sz w:val="20"/>
            <w:szCs w:val="20"/>
          </w:rPr>
        </w:pPr>
        <w:r w:rsidRPr="002716B9">
          <w:rPr>
            <w:sz w:val="20"/>
            <w:szCs w:val="20"/>
          </w:rPr>
          <w:fldChar w:fldCharType="begin"/>
        </w:r>
        <w:r w:rsidRPr="002716B9">
          <w:rPr>
            <w:sz w:val="20"/>
            <w:szCs w:val="20"/>
          </w:rPr>
          <w:instrText xml:space="preserve"> PAGE   \* MERGEFORMAT </w:instrText>
        </w:r>
        <w:r w:rsidRPr="002716B9">
          <w:rPr>
            <w:sz w:val="20"/>
            <w:szCs w:val="20"/>
          </w:rPr>
          <w:fldChar w:fldCharType="separate"/>
        </w:r>
        <w:r>
          <w:rPr>
            <w:noProof/>
            <w:sz w:val="20"/>
            <w:szCs w:val="20"/>
          </w:rPr>
          <w:t>34</w:t>
        </w:r>
        <w:r w:rsidRPr="002716B9">
          <w:rPr>
            <w:noProof/>
            <w:sz w:val="20"/>
            <w:szCs w:val="20"/>
          </w:rPr>
          <w:fldChar w:fldCharType="end"/>
        </w:r>
      </w:p>
    </w:sdtContent>
  </w:sdt>
  <w:p w14:paraId="2E7414DA" w14:textId="77777777" w:rsidR="007C7F14" w:rsidRDefault="007C7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9B859" w14:textId="77777777" w:rsidR="007C7F14" w:rsidRDefault="007C7F14" w:rsidP="003A3C2E">
      <w:pPr>
        <w:spacing w:line="240" w:lineRule="auto"/>
      </w:pPr>
      <w:r>
        <w:separator/>
      </w:r>
    </w:p>
  </w:footnote>
  <w:footnote w:type="continuationSeparator" w:id="0">
    <w:p w14:paraId="50FCCE39" w14:textId="77777777" w:rsidR="007C7F14" w:rsidRDefault="007C7F14" w:rsidP="003A3C2E">
      <w:pPr>
        <w:spacing w:line="240" w:lineRule="auto"/>
      </w:pPr>
      <w:r>
        <w:continuationSeparator/>
      </w:r>
    </w:p>
  </w:footnote>
  <w:footnote w:type="continuationNotice" w:id="1">
    <w:p w14:paraId="0BDFB833" w14:textId="77777777" w:rsidR="007C7F14" w:rsidRDefault="007C7F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19"/>
    <w:multiLevelType w:val="hybridMultilevel"/>
    <w:tmpl w:val="BCCA3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2720F"/>
    <w:multiLevelType w:val="hybridMultilevel"/>
    <w:tmpl w:val="39FC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EA34B7"/>
    <w:multiLevelType w:val="hybridMultilevel"/>
    <w:tmpl w:val="2D2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D1B27"/>
    <w:multiLevelType w:val="hybridMultilevel"/>
    <w:tmpl w:val="571E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3489C"/>
    <w:multiLevelType w:val="hybridMultilevel"/>
    <w:tmpl w:val="8CBC7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550BA"/>
    <w:multiLevelType w:val="hybridMultilevel"/>
    <w:tmpl w:val="8F4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C03D4"/>
    <w:multiLevelType w:val="hybridMultilevel"/>
    <w:tmpl w:val="2D0C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924F6"/>
    <w:multiLevelType w:val="hybridMultilevel"/>
    <w:tmpl w:val="604C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F1FF9"/>
    <w:multiLevelType w:val="hybridMultilevel"/>
    <w:tmpl w:val="9118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110E1"/>
    <w:multiLevelType w:val="hybridMultilevel"/>
    <w:tmpl w:val="6C9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C40E3"/>
    <w:multiLevelType w:val="hybridMultilevel"/>
    <w:tmpl w:val="E724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D2B8A"/>
    <w:multiLevelType w:val="hybridMultilevel"/>
    <w:tmpl w:val="288C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30B83"/>
    <w:multiLevelType w:val="hybridMultilevel"/>
    <w:tmpl w:val="B220F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C5045"/>
    <w:multiLevelType w:val="hybridMultilevel"/>
    <w:tmpl w:val="91D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0010F"/>
    <w:multiLevelType w:val="hybridMultilevel"/>
    <w:tmpl w:val="B722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172C6"/>
    <w:multiLevelType w:val="hybridMultilevel"/>
    <w:tmpl w:val="ACF26E5E"/>
    <w:lvl w:ilvl="0" w:tplc="2BC2FA70">
      <w:start w:val="2017"/>
      <w:numFmt w:val="bullet"/>
      <w:lvlText w:val="–"/>
      <w:lvlJc w:val="left"/>
      <w:pPr>
        <w:ind w:left="720" w:hanging="360"/>
      </w:pPr>
      <w:rPr>
        <w:rFonts w:ascii="Courier"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15ECC"/>
    <w:multiLevelType w:val="hybridMultilevel"/>
    <w:tmpl w:val="C0A88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E6C46"/>
    <w:multiLevelType w:val="hybridMultilevel"/>
    <w:tmpl w:val="631217BA"/>
    <w:lvl w:ilvl="0" w:tplc="08090001">
      <w:start w:val="1"/>
      <w:numFmt w:val="bullet"/>
      <w:lvlText w:val=""/>
      <w:lvlJc w:val="left"/>
      <w:pPr>
        <w:ind w:left="720" w:hanging="360"/>
      </w:pPr>
      <w:rPr>
        <w:rFonts w:ascii="Symbol" w:hAnsi="Symbol" w:hint="default"/>
      </w:rPr>
    </w:lvl>
    <w:lvl w:ilvl="1" w:tplc="BD02A69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85840"/>
    <w:multiLevelType w:val="hybridMultilevel"/>
    <w:tmpl w:val="8564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41324"/>
    <w:multiLevelType w:val="hybridMultilevel"/>
    <w:tmpl w:val="EE38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2153C"/>
    <w:multiLevelType w:val="hybridMultilevel"/>
    <w:tmpl w:val="C832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86AFF"/>
    <w:multiLevelType w:val="hybridMultilevel"/>
    <w:tmpl w:val="215E6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15ABC"/>
    <w:multiLevelType w:val="hybridMultilevel"/>
    <w:tmpl w:val="7370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C149C"/>
    <w:multiLevelType w:val="hybridMultilevel"/>
    <w:tmpl w:val="94BE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96C73"/>
    <w:multiLevelType w:val="hybridMultilevel"/>
    <w:tmpl w:val="74F4574C"/>
    <w:lvl w:ilvl="0" w:tplc="69E62F96">
      <w:start w:val="1"/>
      <w:numFmt w:val="bullet"/>
      <w:lvlText w:val="•"/>
      <w:lvlJc w:val="left"/>
      <w:pPr>
        <w:tabs>
          <w:tab w:val="num" w:pos="720"/>
        </w:tabs>
        <w:ind w:left="720" w:hanging="360"/>
      </w:pPr>
      <w:rPr>
        <w:rFonts w:ascii="Arial" w:hAnsi="Arial" w:hint="default"/>
      </w:rPr>
    </w:lvl>
    <w:lvl w:ilvl="1" w:tplc="15C69A08">
      <w:start w:val="1"/>
      <w:numFmt w:val="bullet"/>
      <w:lvlText w:val="•"/>
      <w:lvlJc w:val="left"/>
      <w:pPr>
        <w:tabs>
          <w:tab w:val="num" w:pos="1440"/>
        </w:tabs>
        <w:ind w:left="1440" w:hanging="360"/>
      </w:pPr>
      <w:rPr>
        <w:rFonts w:ascii="Arial" w:hAnsi="Arial" w:hint="default"/>
      </w:rPr>
    </w:lvl>
    <w:lvl w:ilvl="2" w:tplc="B908F790" w:tentative="1">
      <w:start w:val="1"/>
      <w:numFmt w:val="bullet"/>
      <w:lvlText w:val="•"/>
      <w:lvlJc w:val="left"/>
      <w:pPr>
        <w:tabs>
          <w:tab w:val="num" w:pos="2160"/>
        </w:tabs>
        <w:ind w:left="2160" w:hanging="360"/>
      </w:pPr>
      <w:rPr>
        <w:rFonts w:ascii="Arial" w:hAnsi="Arial" w:hint="default"/>
      </w:rPr>
    </w:lvl>
    <w:lvl w:ilvl="3" w:tplc="14D6DC8E" w:tentative="1">
      <w:start w:val="1"/>
      <w:numFmt w:val="bullet"/>
      <w:lvlText w:val="•"/>
      <w:lvlJc w:val="left"/>
      <w:pPr>
        <w:tabs>
          <w:tab w:val="num" w:pos="2880"/>
        </w:tabs>
        <w:ind w:left="2880" w:hanging="360"/>
      </w:pPr>
      <w:rPr>
        <w:rFonts w:ascii="Arial" w:hAnsi="Arial" w:hint="default"/>
      </w:rPr>
    </w:lvl>
    <w:lvl w:ilvl="4" w:tplc="D1427C18" w:tentative="1">
      <w:start w:val="1"/>
      <w:numFmt w:val="bullet"/>
      <w:lvlText w:val="•"/>
      <w:lvlJc w:val="left"/>
      <w:pPr>
        <w:tabs>
          <w:tab w:val="num" w:pos="3600"/>
        </w:tabs>
        <w:ind w:left="3600" w:hanging="360"/>
      </w:pPr>
      <w:rPr>
        <w:rFonts w:ascii="Arial" w:hAnsi="Arial" w:hint="default"/>
      </w:rPr>
    </w:lvl>
    <w:lvl w:ilvl="5" w:tplc="07CA37D8" w:tentative="1">
      <w:start w:val="1"/>
      <w:numFmt w:val="bullet"/>
      <w:lvlText w:val="•"/>
      <w:lvlJc w:val="left"/>
      <w:pPr>
        <w:tabs>
          <w:tab w:val="num" w:pos="4320"/>
        </w:tabs>
        <w:ind w:left="4320" w:hanging="360"/>
      </w:pPr>
      <w:rPr>
        <w:rFonts w:ascii="Arial" w:hAnsi="Arial" w:hint="default"/>
      </w:rPr>
    </w:lvl>
    <w:lvl w:ilvl="6" w:tplc="A6768068" w:tentative="1">
      <w:start w:val="1"/>
      <w:numFmt w:val="bullet"/>
      <w:lvlText w:val="•"/>
      <w:lvlJc w:val="left"/>
      <w:pPr>
        <w:tabs>
          <w:tab w:val="num" w:pos="5040"/>
        </w:tabs>
        <w:ind w:left="5040" w:hanging="360"/>
      </w:pPr>
      <w:rPr>
        <w:rFonts w:ascii="Arial" w:hAnsi="Arial" w:hint="default"/>
      </w:rPr>
    </w:lvl>
    <w:lvl w:ilvl="7" w:tplc="9EB2A39E" w:tentative="1">
      <w:start w:val="1"/>
      <w:numFmt w:val="bullet"/>
      <w:lvlText w:val="•"/>
      <w:lvlJc w:val="left"/>
      <w:pPr>
        <w:tabs>
          <w:tab w:val="num" w:pos="5760"/>
        </w:tabs>
        <w:ind w:left="5760" w:hanging="360"/>
      </w:pPr>
      <w:rPr>
        <w:rFonts w:ascii="Arial" w:hAnsi="Arial" w:hint="default"/>
      </w:rPr>
    </w:lvl>
    <w:lvl w:ilvl="8" w:tplc="723C00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B258C6"/>
    <w:multiLevelType w:val="hybridMultilevel"/>
    <w:tmpl w:val="E526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615DB"/>
    <w:multiLevelType w:val="hybridMultilevel"/>
    <w:tmpl w:val="7E8E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11609"/>
    <w:multiLevelType w:val="hybridMultilevel"/>
    <w:tmpl w:val="156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6"/>
  </w:num>
  <w:num w:numId="4">
    <w:abstractNumId w:val="6"/>
  </w:num>
  <w:num w:numId="5">
    <w:abstractNumId w:val="3"/>
  </w:num>
  <w:num w:numId="6">
    <w:abstractNumId w:val="21"/>
  </w:num>
  <w:num w:numId="7">
    <w:abstractNumId w:val="18"/>
  </w:num>
  <w:num w:numId="8">
    <w:abstractNumId w:val="16"/>
  </w:num>
  <w:num w:numId="9">
    <w:abstractNumId w:val="27"/>
  </w:num>
  <w:num w:numId="10">
    <w:abstractNumId w:val="4"/>
  </w:num>
  <w:num w:numId="11">
    <w:abstractNumId w:val="24"/>
  </w:num>
  <w:num w:numId="12">
    <w:abstractNumId w:val="20"/>
  </w:num>
  <w:num w:numId="13">
    <w:abstractNumId w:val="7"/>
  </w:num>
  <w:num w:numId="14">
    <w:abstractNumId w:val="12"/>
  </w:num>
  <w:num w:numId="15">
    <w:abstractNumId w:val="0"/>
  </w:num>
  <w:num w:numId="16">
    <w:abstractNumId w:val="14"/>
  </w:num>
  <w:num w:numId="17">
    <w:abstractNumId w:val="22"/>
  </w:num>
  <w:num w:numId="18">
    <w:abstractNumId w:val="13"/>
  </w:num>
  <w:num w:numId="19">
    <w:abstractNumId w:val="10"/>
  </w:num>
  <w:num w:numId="20">
    <w:abstractNumId w:val="5"/>
  </w:num>
  <w:num w:numId="21">
    <w:abstractNumId w:val="2"/>
  </w:num>
  <w:num w:numId="22">
    <w:abstractNumId w:val="1"/>
  </w:num>
  <w:num w:numId="23">
    <w:abstractNumId w:val="19"/>
  </w:num>
  <w:num w:numId="24">
    <w:abstractNumId w:val="17"/>
  </w:num>
  <w:num w:numId="25">
    <w:abstractNumId w:val="25"/>
  </w:num>
  <w:num w:numId="26">
    <w:abstractNumId w:val="9"/>
  </w:num>
  <w:num w:numId="27">
    <w:abstractNumId w:val="23"/>
  </w:num>
  <w:num w:numId="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hideGrammaticalErrors/>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C9"/>
    <w:rsid w:val="0000012A"/>
    <w:rsid w:val="00001F64"/>
    <w:rsid w:val="00002559"/>
    <w:rsid w:val="000025DA"/>
    <w:rsid w:val="000027D2"/>
    <w:rsid w:val="00002858"/>
    <w:rsid w:val="00002924"/>
    <w:rsid w:val="0000316F"/>
    <w:rsid w:val="00003791"/>
    <w:rsid w:val="00003A3F"/>
    <w:rsid w:val="00003A6C"/>
    <w:rsid w:val="0000434C"/>
    <w:rsid w:val="00004898"/>
    <w:rsid w:val="00004E7C"/>
    <w:rsid w:val="0000533F"/>
    <w:rsid w:val="00005704"/>
    <w:rsid w:val="00005A15"/>
    <w:rsid w:val="00005E27"/>
    <w:rsid w:val="000061B6"/>
    <w:rsid w:val="000065C2"/>
    <w:rsid w:val="00006A15"/>
    <w:rsid w:val="00006BC7"/>
    <w:rsid w:val="000072CB"/>
    <w:rsid w:val="000076E0"/>
    <w:rsid w:val="00007C15"/>
    <w:rsid w:val="00007CDC"/>
    <w:rsid w:val="00010135"/>
    <w:rsid w:val="0001013B"/>
    <w:rsid w:val="00010A9B"/>
    <w:rsid w:val="00010B98"/>
    <w:rsid w:val="00011429"/>
    <w:rsid w:val="000116F9"/>
    <w:rsid w:val="00011E2B"/>
    <w:rsid w:val="00012408"/>
    <w:rsid w:val="00012743"/>
    <w:rsid w:val="000128EB"/>
    <w:rsid w:val="00012D3D"/>
    <w:rsid w:val="00012D55"/>
    <w:rsid w:val="00012DDE"/>
    <w:rsid w:val="00012EDA"/>
    <w:rsid w:val="00014A0A"/>
    <w:rsid w:val="00015218"/>
    <w:rsid w:val="00015931"/>
    <w:rsid w:val="00015A94"/>
    <w:rsid w:val="00015ED6"/>
    <w:rsid w:val="00016041"/>
    <w:rsid w:val="00016343"/>
    <w:rsid w:val="00016E3B"/>
    <w:rsid w:val="000171CA"/>
    <w:rsid w:val="000175FF"/>
    <w:rsid w:val="0002013C"/>
    <w:rsid w:val="00020770"/>
    <w:rsid w:val="00021018"/>
    <w:rsid w:val="00021421"/>
    <w:rsid w:val="0002148B"/>
    <w:rsid w:val="00021660"/>
    <w:rsid w:val="00021AEE"/>
    <w:rsid w:val="0002217D"/>
    <w:rsid w:val="000226D2"/>
    <w:rsid w:val="00022BA8"/>
    <w:rsid w:val="00022EB4"/>
    <w:rsid w:val="00023B2D"/>
    <w:rsid w:val="000240DD"/>
    <w:rsid w:val="0002423A"/>
    <w:rsid w:val="0002449A"/>
    <w:rsid w:val="0002471D"/>
    <w:rsid w:val="00024CAD"/>
    <w:rsid w:val="00024EF8"/>
    <w:rsid w:val="0002531E"/>
    <w:rsid w:val="00025467"/>
    <w:rsid w:val="00025690"/>
    <w:rsid w:val="00025995"/>
    <w:rsid w:val="00025C19"/>
    <w:rsid w:val="00025E6A"/>
    <w:rsid w:val="000268CD"/>
    <w:rsid w:val="00026DD3"/>
    <w:rsid w:val="00027550"/>
    <w:rsid w:val="00027779"/>
    <w:rsid w:val="000278A3"/>
    <w:rsid w:val="00027D0E"/>
    <w:rsid w:val="00030615"/>
    <w:rsid w:val="00030E98"/>
    <w:rsid w:val="00031457"/>
    <w:rsid w:val="0003155B"/>
    <w:rsid w:val="00031AC9"/>
    <w:rsid w:val="000324C7"/>
    <w:rsid w:val="000325EC"/>
    <w:rsid w:val="0003271A"/>
    <w:rsid w:val="000330C9"/>
    <w:rsid w:val="000331B3"/>
    <w:rsid w:val="00033566"/>
    <w:rsid w:val="00033D22"/>
    <w:rsid w:val="00033EA6"/>
    <w:rsid w:val="00033FBB"/>
    <w:rsid w:val="0003432C"/>
    <w:rsid w:val="00034457"/>
    <w:rsid w:val="00034A37"/>
    <w:rsid w:val="00034BAA"/>
    <w:rsid w:val="00034EAD"/>
    <w:rsid w:val="00035481"/>
    <w:rsid w:val="00035503"/>
    <w:rsid w:val="000362AC"/>
    <w:rsid w:val="00036D40"/>
    <w:rsid w:val="000371CA"/>
    <w:rsid w:val="00040B60"/>
    <w:rsid w:val="0004115B"/>
    <w:rsid w:val="00041827"/>
    <w:rsid w:val="0004189E"/>
    <w:rsid w:val="00041955"/>
    <w:rsid w:val="00041BB8"/>
    <w:rsid w:val="000426CA"/>
    <w:rsid w:val="0004270A"/>
    <w:rsid w:val="00042CF9"/>
    <w:rsid w:val="00043396"/>
    <w:rsid w:val="00043B52"/>
    <w:rsid w:val="00044EC1"/>
    <w:rsid w:val="00044F01"/>
    <w:rsid w:val="000451A3"/>
    <w:rsid w:val="0004554A"/>
    <w:rsid w:val="00045A2B"/>
    <w:rsid w:val="00045D3E"/>
    <w:rsid w:val="00045E39"/>
    <w:rsid w:val="000460DF"/>
    <w:rsid w:val="00046229"/>
    <w:rsid w:val="00046287"/>
    <w:rsid w:val="000463E1"/>
    <w:rsid w:val="00046946"/>
    <w:rsid w:val="00046A32"/>
    <w:rsid w:val="0004739F"/>
    <w:rsid w:val="000476B6"/>
    <w:rsid w:val="00050078"/>
    <w:rsid w:val="00050C00"/>
    <w:rsid w:val="00051095"/>
    <w:rsid w:val="000512DE"/>
    <w:rsid w:val="00051458"/>
    <w:rsid w:val="000514C4"/>
    <w:rsid w:val="0005150A"/>
    <w:rsid w:val="0005155A"/>
    <w:rsid w:val="00052E81"/>
    <w:rsid w:val="000533A4"/>
    <w:rsid w:val="00053BC4"/>
    <w:rsid w:val="00054DB1"/>
    <w:rsid w:val="0005566A"/>
    <w:rsid w:val="00055E9E"/>
    <w:rsid w:val="000565D1"/>
    <w:rsid w:val="000566D2"/>
    <w:rsid w:val="00056BF5"/>
    <w:rsid w:val="00057EAC"/>
    <w:rsid w:val="000600C2"/>
    <w:rsid w:val="00060167"/>
    <w:rsid w:val="000607C4"/>
    <w:rsid w:val="00061342"/>
    <w:rsid w:val="00061608"/>
    <w:rsid w:val="000618D0"/>
    <w:rsid w:val="00061C9D"/>
    <w:rsid w:val="00061D4F"/>
    <w:rsid w:val="00061DCC"/>
    <w:rsid w:val="00061F27"/>
    <w:rsid w:val="000621F8"/>
    <w:rsid w:val="0006266F"/>
    <w:rsid w:val="0006291D"/>
    <w:rsid w:val="000635B3"/>
    <w:rsid w:val="000637CA"/>
    <w:rsid w:val="00063B2F"/>
    <w:rsid w:val="00064CEF"/>
    <w:rsid w:val="00064D01"/>
    <w:rsid w:val="000653CD"/>
    <w:rsid w:val="00065B89"/>
    <w:rsid w:val="00065C13"/>
    <w:rsid w:val="00065C5F"/>
    <w:rsid w:val="00066696"/>
    <w:rsid w:val="00067541"/>
    <w:rsid w:val="00067650"/>
    <w:rsid w:val="00067DE5"/>
    <w:rsid w:val="00070FCE"/>
    <w:rsid w:val="0007126D"/>
    <w:rsid w:val="00072023"/>
    <w:rsid w:val="00072060"/>
    <w:rsid w:val="0007253E"/>
    <w:rsid w:val="00072E64"/>
    <w:rsid w:val="00073B92"/>
    <w:rsid w:val="0007424B"/>
    <w:rsid w:val="00074462"/>
    <w:rsid w:val="0007455F"/>
    <w:rsid w:val="0007489E"/>
    <w:rsid w:val="000749E0"/>
    <w:rsid w:val="00074BFD"/>
    <w:rsid w:val="00074CB0"/>
    <w:rsid w:val="000765FB"/>
    <w:rsid w:val="00076A27"/>
    <w:rsid w:val="00076CD6"/>
    <w:rsid w:val="00077433"/>
    <w:rsid w:val="000776B9"/>
    <w:rsid w:val="00077C15"/>
    <w:rsid w:val="00077C76"/>
    <w:rsid w:val="000803EF"/>
    <w:rsid w:val="0008054F"/>
    <w:rsid w:val="00080577"/>
    <w:rsid w:val="000805A8"/>
    <w:rsid w:val="00080921"/>
    <w:rsid w:val="00080E66"/>
    <w:rsid w:val="00080F1D"/>
    <w:rsid w:val="00080F90"/>
    <w:rsid w:val="00081CB0"/>
    <w:rsid w:val="00082425"/>
    <w:rsid w:val="00082E55"/>
    <w:rsid w:val="000836A7"/>
    <w:rsid w:val="00083713"/>
    <w:rsid w:val="00083718"/>
    <w:rsid w:val="000839ED"/>
    <w:rsid w:val="0008536A"/>
    <w:rsid w:val="000853BB"/>
    <w:rsid w:val="000854FA"/>
    <w:rsid w:val="000858C0"/>
    <w:rsid w:val="00085E57"/>
    <w:rsid w:val="00085FFB"/>
    <w:rsid w:val="000870F1"/>
    <w:rsid w:val="00087DA9"/>
    <w:rsid w:val="00090155"/>
    <w:rsid w:val="000905AE"/>
    <w:rsid w:val="000906EB"/>
    <w:rsid w:val="00090793"/>
    <w:rsid w:val="00091EA0"/>
    <w:rsid w:val="00092D97"/>
    <w:rsid w:val="00092FD9"/>
    <w:rsid w:val="00093091"/>
    <w:rsid w:val="00093B2D"/>
    <w:rsid w:val="00093C77"/>
    <w:rsid w:val="00094193"/>
    <w:rsid w:val="00094623"/>
    <w:rsid w:val="00094D79"/>
    <w:rsid w:val="00094DC7"/>
    <w:rsid w:val="000954EE"/>
    <w:rsid w:val="000955A2"/>
    <w:rsid w:val="00095605"/>
    <w:rsid w:val="00095BF9"/>
    <w:rsid w:val="00095DED"/>
    <w:rsid w:val="0009616A"/>
    <w:rsid w:val="00096692"/>
    <w:rsid w:val="000969A8"/>
    <w:rsid w:val="00096B82"/>
    <w:rsid w:val="00096BEF"/>
    <w:rsid w:val="00096DB6"/>
    <w:rsid w:val="00097143"/>
    <w:rsid w:val="000972AD"/>
    <w:rsid w:val="000A02C8"/>
    <w:rsid w:val="000A08A9"/>
    <w:rsid w:val="000A1230"/>
    <w:rsid w:val="000A1324"/>
    <w:rsid w:val="000A1591"/>
    <w:rsid w:val="000A1A0B"/>
    <w:rsid w:val="000A1C30"/>
    <w:rsid w:val="000A1D67"/>
    <w:rsid w:val="000A24B3"/>
    <w:rsid w:val="000A28BE"/>
    <w:rsid w:val="000A2B59"/>
    <w:rsid w:val="000A2D3F"/>
    <w:rsid w:val="000A3117"/>
    <w:rsid w:val="000A3D58"/>
    <w:rsid w:val="000A3DC1"/>
    <w:rsid w:val="000A3F93"/>
    <w:rsid w:val="000A430E"/>
    <w:rsid w:val="000A4336"/>
    <w:rsid w:val="000A558F"/>
    <w:rsid w:val="000A5717"/>
    <w:rsid w:val="000A5BF2"/>
    <w:rsid w:val="000A6A2C"/>
    <w:rsid w:val="000A6F55"/>
    <w:rsid w:val="000A71D9"/>
    <w:rsid w:val="000B083D"/>
    <w:rsid w:val="000B0A94"/>
    <w:rsid w:val="000B0B7B"/>
    <w:rsid w:val="000B0E68"/>
    <w:rsid w:val="000B0E9C"/>
    <w:rsid w:val="000B1054"/>
    <w:rsid w:val="000B13C5"/>
    <w:rsid w:val="000B15C0"/>
    <w:rsid w:val="000B3246"/>
    <w:rsid w:val="000B3915"/>
    <w:rsid w:val="000B3D9A"/>
    <w:rsid w:val="000B4910"/>
    <w:rsid w:val="000B509B"/>
    <w:rsid w:val="000B50FE"/>
    <w:rsid w:val="000B56D0"/>
    <w:rsid w:val="000B600B"/>
    <w:rsid w:val="000B640A"/>
    <w:rsid w:val="000B6BB4"/>
    <w:rsid w:val="000B73B0"/>
    <w:rsid w:val="000B76A1"/>
    <w:rsid w:val="000B7E57"/>
    <w:rsid w:val="000B7FA2"/>
    <w:rsid w:val="000C01D9"/>
    <w:rsid w:val="000C08E6"/>
    <w:rsid w:val="000C0C29"/>
    <w:rsid w:val="000C1384"/>
    <w:rsid w:val="000C1521"/>
    <w:rsid w:val="000C1C8A"/>
    <w:rsid w:val="000C1E63"/>
    <w:rsid w:val="000C21B9"/>
    <w:rsid w:val="000C23FF"/>
    <w:rsid w:val="000C2C92"/>
    <w:rsid w:val="000C2F78"/>
    <w:rsid w:val="000C2FDE"/>
    <w:rsid w:val="000C49E7"/>
    <w:rsid w:val="000C58EE"/>
    <w:rsid w:val="000C6525"/>
    <w:rsid w:val="000C66A8"/>
    <w:rsid w:val="000C66D4"/>
    <w:rsid w:val="000C7038"/>
    <w:rsid w:val="000D00FD"/>
    <w:rsid w:val="000D0700"/>
    <w:rsid w:val="000D0826"/>
    <w:rsid w:val="000D0BC5"/>
    <w:rsid w:val="000D0EA5"/>
    <w:rsid w:val="000D10B2"/>
    <w:rsid w:val="000D1B15"/>
    <w:rsid w:val="000D1D75"/>
    <w:rsid w:val="000D2360"/>
    <w:rsid w:val="000D2455"/>
    <w:rsid w:val="000D25D1"/>
    <w:rsid w:val="000D3330"/>
    <w:rsid w:val="000D373A"/>
    <w:rsid w:val="000D4168"/>
    <w:rsid w:val="000D4217"/>
    <w:rsid w:val="000D49A6"/>
    <w:rsid w:val="000D4B4F"/>
    <w:rsid w:val="000D4B86"/>
    <w:rsid w:val="000D4EFB"/>
    <w:rsid w:val="000D4F3A"/>
    <w:rsid w:val="000D52E0"/>
    <w:rsid w:val="000D556C"/>
    <w:rsid w:val="000D561D"/>
    <w:rsid w:val="000D578A"/>
    <w:rsid w:val="000D5CCA"/>
    <w:rsid w:val="000D5D9B"/>
    <w:rsid w:val="000D5DF1"/>
    <w:rsid w:val="000D6E15"/>
    <w:rsid w:val="000D6E69"/>
    <w:rsid w:val="000D7246"/>
    <w:rsid w:val="000D789A"/>
    <w:rsid w:val="000D7953"/>
    <w:rsid w:val="000D7AD3"/>
    <w:rsid w:val="000D7C46"/>
    <w:rsid w:val="000D7F5E"/>
    <w:rsid w:val="000E0118"/>
    <w:rsid w:val="000E0C07"/>
    <w:rsid w:val="000E0C1F"/>
    <w:rsid w:val="000E0D5A"/>
    <w:rsid w:val="000E0F1E"/>
    <w:rsid w:val="000E0F5F"/>
    <w:rsid w:val="000E138D"/>
    <w:rsid w:val="000E1652"/>
    <w:rsid w:val="000E170C"/>
    <w:rsid w:val="000E19CC"/>
    <w:rsid w:val="000E1CA5"/>
    <w:rsid w:val="000E2BB9"/>
    <w:rsid w:val="000E2FFB"/>
    <w:rsid w:val="000E373E"/>
    <w:rsid w:val="000E37FC"/>
    <w:rsid w:val="000E3B13"/>
    <w:rsid w:val="000E3E6D"/>
    <w:rsid w:val="000E3EB7"/>
    <w:rsid w:val="000E5281"/>
    <w:rsid w:val="000E5617"/>
    <w:rsid w:val="000E57AB"/>
    <w:rsid w:val="000E58FB"/>
    <w:rsid w:val="000E59D6"/>
    <w:rsid w:val="000E5ACF"/>
    <w:rsid w:val="000E5B44"/>
    <w:rsid w:val="000E5BC5"/>
    <w:rsid w:val="000E68A9"/>
    <w:rsid w:val="000E68CF"/>
    <w:rsid w:val="000E7129"/>
    <w:rsid w:val="000E72E2"/>
    <w:rsid w:val="000E7307"/>
    <w:rsid w:val="000E79B1"/>
    <w:rsid w:val="000E7D45"/>
    <w:rsid w:val="000E7FD9"/>
    <w:rsid w:val="000F0238"/>
    <w:rsid w:val="000F08FF"/>
    <w:rsid w:val="000F0BE3"/>
    <w:rsid w:val="000F123E"/>
    <w:rsid w:val="000F1323"/>
    <w:rsid w:val="000F1605"/>
    <w:rsid w:val="000F1646"/>
    <w:rsid w:val="000F1A6A"/>
    <w:rsid w:val="000F2FC6"/>
    <w:rsid w:val="000F2FFD"/>
    <w:rsid w:val="000F31DC"/>
    <w:rsid w:val="000F3AA2"/>
    <w:rsid w:val="000F45B8"/>
    <w:rsid w:val="000F4910"/>
    <w:rsid w:val="000F4B15"/>
    <w:rsid w:val="000F4C54"/>
    <w:rsid w:val="000F5DA9"/>
    <w:rsid w:val="000F5FDD"/>
    <w:rsid w:val="000F6036"/>
    <w:rsid w:val="000F655F"/>
    <w:rsid w:val="000F65D5"/>
    <w:rsid w:val="000F66AB"/>
    <w:rsid w:val="000F7470"/>
    <w:rsid w:val="000F78A5"/>
    <w:rsid w:val="0010013E"/>
    <w:rsid w:val="001001FD"/>
    <w:rsid w:val="001006E5"/>
    <w:rsid w:val="001013D5"/>
    <w:rsid w:val="001016D7"/>
    <w:rsid w:val="00101754"/>
    <w:rsid w:val="0010237F"/>
    <w:rsid w:val="001024A3"/>
    <w:rsid w:val="00102746"/>
    <w:rsid w:val="00102853"/>
    <w:rsid w:val="00104060"/>
    <w:rsid w:val="001045BF"/>
    <w:rsid w:val="001055F5"/>
    <w:rsid w:val="0010611E"/>
    <w:rsid w:val="00106210"/>
    <w:rsid w:val="001063F1"/>
    <w:rsid w:val="001068F9"/>
    <w:rsid w:val="00106911"/>
    <w:rsid w:val="00106B09"/>
    <w:rsid w:val="00107138"/>
    <w:rsid w:val="00107241"/>
    <w:rsid w:val="00107579"/>
    <w:rsid w:val="00107AE2"/>
    <w:rsid w:val="00110535"/>
    <w:rsid w:val="0011069B"/>
    <w:rsid w:val="00110A9D"/>
    <w:rsid w:val="00110E92"/>
    <w:rsid w:val="00111329"/>
    <w:rsid w:val="001118AC"/>
    <w:rsid w:val="00111BAE"/>
    <w:rsid w:val="00112102"/>
    <w:rsid w:val="00112C40"/>
    <w:rsid w:val="00112F04"/>
    <w:rsid w:val="001131A9"/>
    <w:rsid w:val="0011325D"/>
    <w:rsid w:val="001133CC"/>
    <w:rsid w:val="0011386D"/>
    <w:rsid w:val="00113D12"/>
    <w:rsid w:val="00114368"/>
    <w:rsid w:val="00114925"/>
    <w:rsid w:val="001149CC"/>
    <w:rsid w:val="001149DA"/>
    <w:rsid w:val="00114FC2"/>
    <w:rsid w:val="00114FD9"/>
    <w:rsid w:val="00115A5C"/>
    <w:rsid w:val="00115A87"/>
    <w:rsid w:val="001161FB"/>
    <w:rsid w:val="001163FE"/>
    <w:rsid w:val="001164E6"/>
    <w:rsid w:val="001166A1"/>
    <w:rsid w:val="00116F3C"/>
    <w:rsid w:val="00116FA7"/>
    <w:rsid w:val="00117BEC"/>
    <w:rsid w:val="00120156"/>
    <w:rsid w:val="001201B6"/>
    <w:rsid w:val="0012030C"/>
    <w:rsid w:val="00120A84"/>
    <w:rsid w:val="00121B9E"/>
    <w:rsid w:val="00122680"/>
    <w:rsid w:val="0012277C"/>
    <w:rsid w:val="00122C0D"/>
    <w:rsid w:val="001233D2"/>
    <w:rsid w:val="00123C29"/>
    <w:rsid w:val="00123F5D"/>
    <w:rsid w:val="001249B2"/>
    <w:rsid w:val="00124E0E"/>
    <w:rsid w:val="00124ED2"/>
    <w:rsid w:val="001252D7"/>
    <w:rsid w:val="0012548D"/>
    <w:rsid w:val="00125C37"/>
    <w:rsid w:val="00125E3D"/>
    <w:rsid w:val="0012650D"/>
    <w:rsid w:val="00126B2B"/>
    <w:rsid w:val="00127199"/>
    <w:rsid w:val="00127F48"/>
    <w:rsid w:val="00127F5D"/>
    <w:rsid w:val="00130426"/>
    <w:rsid w:val="001305AD"/>
    <w:rsid w:val="0013098A"/>
    <w:rsid w:val="00130D22"/>
    <w:rsid w:val="001317BB"/>
    <w:rsid w:val="001319C4"/>
    <w:rsid w:val="00131C72"/>
    <w:rsid w:val="001320D3"/>
    <w:rsid w:val="00132622"/>
    <w:rsid w:val="00132746"/>
    <w:rsid w:val="00132ABD"/>
    <w:rsid w:val="00132F4F"/>
    <w:rsid w:val="001333AD"/>
    <w:rsid w:val="001335BF"/>
    <w:rsid w:val="00133F90"/>
    <w:rsid w:val="00135135"/>
    <w:rsid w:val="00135228"/>
    <w:rsid w:val="0013529A"/>
    <w:rsid w:val="001353F0"/>
    <w:rsid w:val="001354D8"/>
    <w:rsid w:val="0013555D"/>
    <w:rsid w:val="001362E1"/>
    <w:rsid w:val="00136452"/>
    <w:rsid w:val="0013688C"/>
    <w:rsid w:val="0013691E"/>
    <w:rsid w:val="00136C80"/>
    <w:rsid w:val="00136F20"/>
    <w:rsid w:val="001372DC"/>
    <w:rsid w:val="00137432"/>
    <w:rsid w:val="001375DB"/>
    <w:rsid w:val="00137707"/>
    <w:rsid w:val="00140582"/>
    <w:rsid w:val="001417D3"/>
    <w:rsid w:val="00142617"/>
    <w:rsid w:val="001427A3"/>
    <w:rsid w:val="001427AD"/>
    <w:rsid w:val="0014285D"/>
    <w:rsid w:val="00142A2E"/>
    <w:rsid w:val="001434AF"/>
    <w:rsid w:val="00143517"/>
    <w:rsid w:val="0014379E"/>
    <w:rsid w:val="00143B61"/>
    <w:rsid w:val="00143CFA"/>
    <w:rsid w:val="00143D05"/>
    <w:rsid w:val="00143F2B"/>
    <w:rsid w:val="00144365"/>
    <w:rsid w:val="00144EE5"/>
    <w:rsid w:val="001454B5"/>
    <w:rsid w:val="00145664"/>
    <w:rsid w:val="00145C20"/>
    <w:rsid w:val="00145CF5"/>
    <w:rsid w:val="00146B90"/>
    <w:rsid w:val="00146F44"/>
    <w:rsid w:val="001471E2"/>
    <w:rsid w:val="00147CCC"/>
    <w:rsid w:val="0015084F"/>
    <w:rsid w:val="00150926"/>
    <w:rsid w:val="00150E07"/>
    <w:rsid w:val="00151DD0"/>
    <w:rsid w:val="00152809"/>
    <w:rsid w:val="00152CDE"/>
    <w:rsid w:val="00153014"/>
    <w:rsid w:val="00153153"/>
    <w:rsid w:val="00153332"/>
    <w:rsid w:val="00153894"/>
    <w:rsid w:val="001538ED"/>
    <w:rsid w:val="00153DDB"/>
    <w:rsid w:val="00153DDC"/>
    <w:rsid w:val="00153F4C"/>
    <w:rsid w:val="00154D75"/>
    <w:rsid w:val="00155289"/>
    <w:rsid w:val="0015563D"/>
    <w:rsid w:val="0015576D"/>
    <w:rsid w:val="001558C8"/>
    <w:rsid w:val="00155CA2"/>
    <w:rsid w:val="00155E7E"/>
    <w:rsid w:val="00156055"/>
    <w:rsid w:val="00156ADE"/>
    <w:rsid w:val="00156C4C"/>
    <w:rsid w:val="00156F78"/>
    <w:rsid w:val="001571E3"/>
    <w:rsid w:val="00157B44"/>
    <w:rsid w:val="00157E89"/>
    <w:rsid w:val="00160176"/>
    <w:rsid w:val="0016060A"/>
    <w:rsid w:val="0016064C"/>
    <w:rsid w:val="001609A7"/>
    <w:rsid w:val="00160BC5"/>
    <w:rsid w:val="00161481"/>
    <w:rsid w:val="001616C2"/>
    <w:rsid w:val="00161721"/>
    <w:rsid w:val="0016190C"/>
    <w:rsid w:val="00161B7E"/>
    <w:rsid w:val="00161D89"/>
    <w:rsid w:val="00162191"/>
    <w:rsid w:val="00162526"/>
    <w:rsid w:val="00162635"/>
    <w:rsid w:val="001628B6"/>
    <w:rsid w:val="00162AEA"/>
    <w:rsid w:val="00162F03"/>
    <w:rsid w:val="0016307D"/>
    <w:rsid w:val="0016336F"/>
    <w:rsid w:val="001636FA"/>
    <w:rsid w:val="00163F64"/>
    <w:rsid w:val="001641F4"/>
    <w:rsid w:val="00164413"/>
    <w:rsid w:val="00164AAE"/>
    <w:rsid w:val="00164B02"/>
    <w:rsid w:val="00164B64"/>
    <w:rsid w:val="00164F4E"/>
    <w:rsid w:val="00165350"/>
    <w:rsid w:val="001654D2"/>
    <w:rsid w:val="00166A00"/>
    <w:rsid w:val="0016703F"/>
    <w:rsid w:val="00167122"/>
    <w:rsid w:val="0016728F"/>
    <w:rsid w:val="00167BB6"/>
    <w:rsid w:val="00167DA3"/>
    <w:rsid w:val="001700CA"/>
    <w:rsid w:val="0017029F"/>
    <w:rsid w:val="001718D1"/>
    <w:rsid w:val="00171B31"/>
    <w:rsid w:val="00171B78"/>
    <w:rsid w:val="00171BEB"/>
    <w:rsid w:val="00172D4E"/>
    <w:rsid w:val="001732A9"/>
    <w:rsid w:val="001732D8"/>
    <w:rsid w:val="001733C9"/>
    <w:rsid w:val="00173A05"/>
    <w:rsid w:val="00173B27"/>
    <w:rsid w:val="00173EFB"/>
    <w:rsid w:val="00173F9E"/>
    <w:rsid w:val="0017415A"/>
    <w:rsid w:val="00174FC6"/>
    <w:rsid w:val="00175872"/>
    <w:rsid w:val="001771ED"/>
    <w:rsid w:val="0018072A"/>
    <w:rsid w:val="00180820"/>
    <w:rsid w:val="00180DFC"/>
    <w:rsid w:val="0018128D"/>
    <w:rsid w:val="001815DC"/>
    <w:rsid w:val="00181D9C"/>
    <w:rsid w:val="00182587"/>
    <w:rsid w:val="00182623"/>
    <w:rsid w:val="00182BF0"/>
    <w:rsid w:val="00182FED"/>
    <w:rsid w:val="00183036"/>
    <w:rsid w:val="00183180"/>
    <w:rsid w:val="00183276"/>
    <w:rsid w:val="00183583"/>
    <w:rsid w:val="001837D9"/>
    <w:rsid w:val="00183A24"/>
    <w:rsid w:val="00183B59"/>
    <w:rsid w:val="0018461A"/>
    <w:rsid w:val="00185294"/>
    <w:rsid w:val="001856EF"/>
    <w:rsid w:val="0018597A"/>
    <w:rsid w:val="00186064"/>
    <w:rsid w:val="00186A2D"/>
    <w:rsid w:val="00186EB6"/>
    <w:rsid w:val="00186F38"/>
    <w:rsid w:val="00190884"/>
    <w:rsid w:val="00190E7B"/>
    <w:rsid w:val="001910EB"/>
    <w:rsid w:val="0019139C"/>
    <w:rsid w:val="0019186E"/>
    <w:rsid w:val="00191B45"/>
    <w:rsid w:val="001920AB"/>
    <w:rsid w:val="00192619"/>
    <w:rsid w:val="00192871"/>
    <w:rsid w:val="001929CE"/>
    <w:rsid w:val="00193702"/>
    <w:rsid w:val="00193775"/>
    <w:rsid w:val="00193AA9"/>
    <w:rsid w:val="0019424C"/>
    <w:rsid w:val="00194EB2"/>
    <w:rsid w:val="00195153"/>
    <w:rsid w:val="00195227"/>
    <w:rsid w:val="001959F6"/>
    <w:rsid w:val="00195C24"/>
    <w:rsid w:val="001965B4"/>
    <w:rsid w:val="0019747C"/>
    <w:rsid w:val="00197B24"/>
    <w:rsid w:val="00197E88"/>
    <w:rsid w:val="001A02A2"/>
    <w:rsid w:val="001A0548"/>
    <w:rsid w:val="001A0815"/>
    <w:rsid w:val="001A127D"/>
    <w:rsid w:val="001A13ED"/>
    <w:rsid w:val="001A15A8"/>
    <w:rsid w:val="001A1666"/>
    <w:rsid w:val="001A1DA0"/>
    <w:rsid w:val="001A22D9"/>
    <w:rsid w:val="001A2C82"/>
    <w:rsid w:val="001A30B2"/>
    <w:rsid w:val="001A31F6"/>
    <w:rsid w:val="001A338E"/>
    <w:rsid w:val="001A33DC"/>
    <w:rsid w:val="001A34EA"/>
    <w:rsid w:val="001A3869"/>
    <w:rsid w:val="001A3889"/>
    <w:rsid w:val="001A45F1"/>
    <w:rsid w:val="001A4795"/>
    <w:rsid w:val="001A4A16"/>
    <w:rsid w:val="001A4B3D"/>
    <w:rsid w:val="001A5078"/>
    <w:rsid w:val="001A50EB"/>
    <w:rsid w:val="001A54A6"/>
    <w:rsid w:val="001A55D7"/>
    <w:rsid w:val="001A578D"/>
    <w:rsid w:val="001A59DD"/>
    <w:rsid w:val="001A5C21"/>
    <w:rsid w:val="001A60FF"/>
    <w:rsid w:val="001A6523"/>
    <w:rsid w:val="001A6ACF"/>
    <w:rsid w:val="001A6D46"/>
    <w:rsid w:val="001A7545"/>
    <w:rsid w:val="001A7719"/>
    <w:rsid w:val="001A7D0D"/>
    <w:rsid w:val="001A7ED1"/>
    <w:rsid w:val="001B0685"/>
    <w:rsid w:val="001B0DFB"/>
    <w:rsid w:val="001B0EE9"/>
    <w:rsid w:val="001B1D53"/>
    <w:rsid w:val="001B1FF3"/>
    <w:rsid w:val="001B21CD"/>
    <w:rsid w:val="001B3AEB"/>
    <w:rsid w:val="001B432B"/>
    <w:rsid w:val="001B4A00"/>
    <w:rsid w:val="001B4AC2"/>
    <w:rsid w:val="001B4BAF"/>
    <w:rsid w:val="001B4E0A"/>
    <w:rsid w:val="001B5A5E"/>
    <w:rsid w:val="001B5B53"/>
    <w:rsid w:val="001B5C0D"/>
    <w:rsid w:val="001B63CF"/>
    <w:rsid w:val="001B63E2"/>
    <w:rsid w:val="001B703E"/>
    <w:rsid w:val="001B7086"/>
    <w:rsid w:val="001B77F9"/>
    <w:rsid w:val="001B7AB6"/>
    <w:rsid w:val="001C097A"/>
    <w:rsid w:val="001C0D30"/>
    <w:rsid w:val="001C2348"/>
    <w:rsid w:val="001C2557"/>
    <w:rsid w:val="001C2577"/>
    <w:rsid w:val="001C2B07"/>
    <w:rsid w:val="001C2B23"/>
    <w:rsid w:val="001C2B4F"/>
    <w:rsid w:val="001C2BC4"/>
    <w:rsid w:val="001C2CC3"/>
    <w:rsid w:val="001C2CD9"/>
    <w:rsid w:val="001C36CA"/>
    <w:rsid w:val="001C37E4"/>
    <w:rsid w:val="001C3BC7"/>
    <w:rsid w:val="001C3EA7"/>
    <w:rsid w:val="001C41BB"/>
    <w:rsid w:val="001C47D9"/>
    <w:rsid w:val="001C49D6"/>
    <w:rsid w:val="001C4B13"/>
    <w:rsid w:val="001C4EF1"/>
    <w:rsid w:val="001C5C09"/>
    <w:rsid w:val="001C5D0F"/>
    <w:rsid w:val="001C5DB7"/>
    <w:rsid w:val="001C66EF"/>
    <w:rsid w:val="001C6B3A"/>
    <w:rsid w:val="001C6C35"/>
    <w:rsid w:val="001C7234"/>
    <w:rsid w:val="001C7275"/>
    <w:rsid w:val="001C7333"/>
    <w:rsid w:val="001C7AF9"/>
    <w:rsid w:val="001D0168"/>
    <w:rsid w:val="001D0631"/>
    <w:rsid w:val="001D0960"/>
    <w:rsid w:val="001D09D7"/>
    <w:rsid w:val="001D13C2"/>
    <w:rsid w:val="001D1975"/>
    <w:rsid w:val="001D1C3C"/>
    <w:rsid w:val="001D1CDC"/>
    <w:rsid w:val="001D1D02"/>
    <w:rsid w:val="001D277E"/>
    <w:rsid w:val="001D2F0E"/>
    <w:rsid w:val="001D3254"/>
    <w:rsid w:val="001D4069"/>
    <w:rsid w:val="001D45FA"/>
    <w:rsid w:val="001D4689"/>
    <w:rsid w:val="001D486B"/>
    <w:rsid w:val="001D49D1"/>
    <w:rsid w:val="001D566E"/>
    <w:rsid w:val="001D61D6"/>
    <w:rsid w:val="001D64C4"/>
    <w:rsid w:val="001D720B"/>
    <w:rsid w:val="001D7A4C"/>
    <w:rsid w:val="001D7CCE"/>
    <w:rsid w:val="001E0094"/>
    <w:rsid w:val="001E0BF4"/>
    <w:rsid w:val="001E1168"/>
    <w:rsid w:val="001E18D1"/>
    <w:rsid w:val="001E2610"/>
    <w:rsid w:val="001E28E7"/>
    <w:rsid w:val="001E4331"/>
    <w:rsid w:val="001E47E1"/>
    <w:rsid w:val="001E484C"/>
    <w:rsid w:val="001E5068"/>
    <w:rsid w:val="001E54D6"/>
    <w:rsid w:val="001E552B"/>
    <w:rsid w:val="001E5F60"/>
    <w:rsid w:val="001E6DA9"/>
    <w:rsid w:val="001E723D"/>
    <w:rsid w:val="001E72A6"/>
    <w:rsid w:val="001E7A6A"/>
    <w:rsid w:val="001E7D52"/>
    <w:rsid w:val="001F0208"/>
    <w:rsid w:val="001F0957"/>
    <w:rsid w:val="001F0958"/>
    <w:rsid w:val="001F0CF3"/>
    <w:rsid w:val="001F10C3"/>
    <w:rsid w:val="001F1557"/>
    <w:rsid w:val="001F17BB"/>
    <w:rsid w:val="001F1C1A"/>
    <w:rsid w:val="001F1EBE"/>
    <w:rsid w:val="001F1F88"/>
    <w:rsid w:val="001F22C5"/>
    <w:rsid w:val="001F283F"/>
    <w:rsid w:val="001F2C3D"/>
    <w:rsid w:val="001F2DE8"/>
    <w:rsid w:val="001F359F"/>
    <w:rsid w:val="001F37D6"/>
    <w:rsid w:val="001F452E"/>
    <w:rsid w:val="001F45CA"/>
    <w:rsid w:val="001F4B20"/>
    <w:rsid w:val="001F4E1D"/>
    <w:rsid w:val="001F5263"/>
    <w:rsid w:val="001F5AE9"/>
    <w:rsid w:val="001F5BDE"/>
    <w:rsid w:val="001F5F7D"/>
    <w:rsid w:val="001F5FAF"/>
    <w:rsid w:val="001F6076"/>
    <w:rsid w:val="001F7098"/>
    <w:rsid w:val="001F7692"/>
    <w:rsid w:val="001F7FAC"/>
    <w:rsid w:val="00201002"/>
    <w:rsid w:val="00201355"/>
    <w:rsid w:val="00201846"/>
    <w:rsid w:val="00201E71"/>
    <w:rsid w:val="0020211D"/>
    <w:rsid w:val="002025C2"/>
    <w:rsid w:val="002029D4"/>
    <w:rsid w:val="002030A6"/>
    <w:rsid w:val="0020351F"/>
    <w:rsid w:val="00203849"/>
    <w:rsid w:val="002038BD"/>
    <w:rsid w:val="00203925"/>
    <w:rsid w:val="00204042"/>
    <w:rsid w:val="00204839"/>
    <w:rsid w:val="002051F0"/>
    <w:rsid w:val="0020520C"/>
    <w:rsid w:val="00205268"/>
    <w:rsid w:val="0020540A"/>
    <w:rsid w:val="002055CF"/>
    <w:rsid w:val="00205BAF"/>
    <w:rsid w:val="00205CD3"/>
    <w:rsid w:val="002060D2"/>
    <w:rsid w:val="002065BC"/>
    <w:rsid w:val="002076C7"/>
    <w:rsid w:val="00207F2E"/>
    <w:rsid w:val="00210115"/>
    <w:rsid w:val="0021016B"/>
    <w:rsid w:val="00210D6A"/>
    <w:rsid w:val="002111BC"/>
    <w:rsid w:val="0021120A"/>
    <w:rsid w:val="002117AD"/>
    <w:rsid w:val="0021199E"/>
    <w:rsid w:val="00211D58"/>
    <w:rsid w:val="00211FC8"/>
    <w:rsid w:val="00212056"/>
    <w:rsid w:val="00213419"/>
    <w:rsid w:val="0021342B"/>
    <w:rsid w:val="00213883"/>
    <w:rsid w:val="00213DEE"/>
    <w:rsid w:val="0021443B"/>
    <w:rsid w:val="00215085"/>
    <w:rsid w:val="0021510E"/>
    <w:rsid w:val="002152CC"/>
    <w:rsid w:val="00215C1B"/>
    <w:rsid w:val="00216251"/>
    <w:rsid w:val="0021666A"/>
    <w:rsid w:val="00216922"/>
    <w:rsid w:val="002169C2"/>
    <w:rsid w:val="00216E09"/>
    <w:rsid w:val="00217684"/>
    <w:rsid w:val="00217CBC"/>
    <w:rsid w:val="00217D70"/>
    <w:rsid w:val="00220D81"/>
    <w:rsid w:val="002213C0"/>
    <w:rsid w:val="002215ED"/>
    <w:rsid w:val="00221896"/>
    <w:rsid w:val="00221ABD"/>
    <w:rsid w:val="00221E1D"/>
    <w:rsid w:val="002228C3"/>
    <w:rsid w:val="00222C8D"/>
    <w:rsid w:val="0022357B"/>
    <w:rsid w:val="002238CC"/>
    <w:rsid w:val="00223AE0"/>
    <w:rsid w:val="00223C85"/>
    <w:rsid w:val="00224D98"/>
    <w:rsid w:val="00224FD3"/>
    <w:rsid w:val="002255D7"/>
    <w:rsid w:val="00225686"/>
    <w:rsid w:val="00225D8D"/>
    <w:rsid w:val="00225FB3"/>
    <w:rsid w:val="00226044"/>
    <w:rsid w:val="00226A73"/>
    <w:rsid w:val="00226B49"/>
    <w:rsid w:val="00226F03"/>
    <w:rsid w:val="00227134"/>
    <w:rsid w:val="00227135"/>
    <w:rsid w:val="00227340"/>
    <w:rsid w:val="002274A8"/>
    <w:rsid w:val="0022752C"/>
    <w:rsid w:val="0022783C"/>
    <w:rsid w:val="00227933"/>
    <w:rsid w:val="002279C8"/>
    <w:rsid w:val="00227CC7"/>
    <w:rsid w:val="00227CE1"/>
    <w:rsid w:val="00227F6B"/>
    <w:rsid w:val="00230653"/>
    <w:rsid w:val="00230B45"/>
    <w:rsid w:val="00230D2A"/>
    <w:rsid w:val="00232231"/>
    <w:rsid w:val="002326D7"/>
    <w:rsid w:val="00232A23"/>
    <w:rsid w:val="002330B4"/>
    <w:rsid w:val="00233623"/>
    <w:rsid w:val="002348D0"/>
    <w:rsid w:val="002348F3"/>
    <w:rsid w:val="00234D33"/>
    <w:rsid w:val="00234F8C"/>
    <w:rsid w:val="0023571F"/>
    <w:rsid w:val="002367B2"/>
    <w:rsid w:val="00236914"/>
    <w:rsid w:val="00237127"/>
    <w:rsid w:val="0023716F"/>
    <w:rsid w:val="0023733B"/>
    <w:rsid w:val="002375DA"/>
    <w:rsid w:val="00237827"/>
    <w:rsid w:val="00237B95"/>
    <w:rsid w:val="0024067A"/>
    <w:rsid w:val="0024100B"/>
    <w:rsid w:val="0024178A"/>
    <w:rsid w:val="00241F65"/>
    <w:rsid w:val="002420B8"/>
    <w:rsid w:val="002433EF"/>
    <w:rsid w:val="00243BD6"/>
    <w:rsid w:val="00243DD2"/>
    <w:rsid w:val="00244580"/>
    <w:rsid w:val="002447B7"/>
    <w:rsid w:val="00244C0F"/>
    <w:rsid w:val="00245397"/>
    <w:rsid w:val="002457B5"/>
    <w:rsid w:val="0024595A"/>
    <w:rsid w:val="00245B7F"/>
    <w:rsid w:val="00245C95"/>
    <w:rsid w:val="00245E49"/>
    <w:rsid w:val="0024601E"/>
    <w:rsid w:val="002460D6"/>
    <w:rsid w:val="002469F7"/>
    <w:rsid w:val="00246DF0"/>
    <w:rsid w:val="0024795F"/>
    <w:rsid w:val="00247E58"/>
    <w:rsid w:val="00250193"/>
    <w:rsid w:val="00250214"/>
    <w:rsid w:val="00250CA4"/>
    <w:rsid w:val="0025194F"/>
    <w:rsid w:val="00251FC4"/>
    <w:rsid w:val="00252318"/>
    <w:rsid w:val="00252A31"/>
    <w:rsid w:val="00252ABF"/>
    <w:rsid w:val="00252D6F"/>
    <w:rsid w:val="00252F6D"/>
    <w:rsid w:val="002530A3"/>
    <w:rsid w:val="0025389E"/>
    <w:rsid w:val="00253ABE"/>
    <w:rsid w:val="00253E3F"/>
    <w:rsid w:val="00253E72"/>
    <w:rsid w:val="00254E6E"/>
    <w:rsid w:val="002557DC"/>
    <w:rsid w:val="00255A02"/>
    <w:rsid w:val="0025602A"/>
    <w:rsid w:val="00256C01"/>
    <w:rsid w:val="00256FA7"/>
    <w:rsid w:val="002571F6"/>
    <w:rsid w:val="0025778B"/>
    <w:rsid w:val="0026144E"/>
    <w:rsid w:val="0026193C"/>
    <w:rsid w:val="00262249"/>
    <w:rsid w:val="00262276"/>
    <w:rsid w:val="002624C6"/>
    <w:rsid w:val="0026290F"/>
    <w:rsid w:val="00262C83"/>
    <w:rsid w:val="00262F21"/>
    <w:rsid w:val="0026336B"/>
    <w:rsid w:val="00265364"/>
    <w:rsid w:val="002654E3"/>
    <w:rsid w:val="002655ED"/>
    <w:rsid w:val="0026583D"/>
    <w:rsid w:val="00265C7F"/>
    <w:rsid w:val="00266DF3"/>
    <w:rsid w:val="0026762C"/>
    <w:rsid w:val="00267660"/>
    <w:rsid w:val="00267722"/>
    <w:rsid w:val="002677B8"/>
    <w:rsid w:val="00270086"/>
    <w:rsid w:val="002700C1"/>
    <w:rsid w:val="00270126"/>
    <w:rsid w:val="0027017E"/>
    <w:rsid w:val="002709FD"/>
    <w:rsid w:val="00270C27"/>
    <w:rsid w:val="002714FA"/>
    <w:rsid w:val="002716B9"/>
    <w:rsid w:val="00271A69"/>
    <w:rsid w:val="002721E4"/>
    <w:rsid w:val="002725A2"/>
    <w:rsid w:val="0027341D"/>
    <w:rsid w:val="00273842"/>
    <w:rsid w:val="00273A7A"/>
    <w:rsid w:val="00273ACF"/>
    <w:rsid w:val="00273BF8"/>
    <w:rsid w:val="00274B4F"/>
    <w:rsid w:val="00274F02"/>
    <w:rsid w:val="00275475"/>
    <w:rsid w:val="00275E79"/>
    <w:rsid w:val="002763A5"/>
    <w:rsid w:val="002768F6"/>
    <w:rsid w:val="002768FD"/>
    <w:rsid w:val="0027694C"/>
    <w:rsid w:val="002769DE"/>
    <w:rsid w:val="00276AB2"/>
    <w:rsid w:val="00276E62"/>
    <w:rsid w:val="0027730D"/>
    <w:rsid w:val="00277588"/>
    <w:rsid w:val="002779FD"/>
    <w:rsid w:val="00277BD6"/>
    <w:rsid w:val="0028048F"/>
    <w:rsid w:val="00280627"/>
    <w:rsid w:val="002809B8"/>
    <w:rsid w:val="00280F91"/>
    <w:rsid w:val="00281703"/>
    <w:rsid w:val="002819E8"/>
    <w:rsid w:val="00281A22"/>
    <w:rsid w:val="00281BFB"/>
    <w:rsid w:val="00282236"/>
    <w:rsid w:val="0028265A"/>
    <w:rsid w:val="00282A76"/>
    <w:rsid w:val="00282CAD"/>
    <w:rsid w:val="00283193"/>
    <w:rsid w:val="0028354B"/>
    <w:rsid w:val="00283639"/>
    <w:rsid w:val="002836A0"/>
    <w:rsid w:val="0028388D"/>
    <w:rsid w:val="00283999"/>
    <w:rsid w:val="00283B7C"/>
    <w:rsid w:val="00283B87"/>
    <w:rsid w:val="00284188"/>
    <w:rsid w:val="0028503B"/>
    <w:rsid w:val="002851DF"/>
    <w:rsid w:val="00285568"/>
    <w:rsid w:val="00285632"/>
    <w:rsid w:val="002856AD"/>
    <w:rsid w:val="00286359"/>
    <w:rsid w:val="002868A6"/>
    <w:rsid w:val="002868B8"/>
    <w:rsid w:val="00286A4B"/>
    <w:rsid w:val="00286DE6"/>
    <w:rsid w:val="00287511"/>
    <w:rsid w:val="00287B08"/>
    <w:rsid w:val="002900E5"/>
    <w:rsid w:val="00290347"/>
    <w:rsid w:val="002903FA"/>
    <w:rsid w:val="00291BED"/>
    <w:rsid w:val="00291F22"/>
    <w:rsid w:val="002921B3"/>
    <w:rsid w:val="00292768"/>
    <w:rsid w:val="00292F99"/>
    <w:rsid w:val="00293A5A"/>
    <w:rsid w:val="00293C3F"/>
    <w:rsid w:val="00293C61"/>
    <w:rsid w:val="00294810"/>
    <w:rsid w:val="00295804"/>
    <w:rsid w:val="00295F1D"/>
    <w:rsid w:val="002967E2"/>
    <w:rsid w:val="00296B6C"/>
    <w:rsid w:val="00296C2F"/>
    <w:rsid w:val="00296EA8"/>
    <w:rsid w:val="00296EBD"/>
    <w:rsid w:val="00296EF0"/>
    <w:rsid w:val="002970DC"/>
    <w:rsid w:val="0029783B"/>
    <w:rsid w:val="00297B10"/>
    <w:rsid w:val="00297FFC"/>
    <w:rsid w:val="002A02EC"/>
    <w:rsid w:val="002A05C1"/>
    <w:rsid w:val="002A0A1E"/>
    <w:rsid w:val="002A0E15"/>
    <w:rsid w:val="002A13BD"/>
    <w:rsid w:val="002A17F3"/>
    <w:rsid w:val="002A1A70"/>
    <w:rsid w:val="002A1F8B"/>
    <w:rsid w:val="002A25FD"/>
    <w:rsid w:val="002A2705"/>
    <w:rsid w:val="002A2CF6"/>
    <w:rsid w:val="002A2D6A"/>
    <w:rsid w:val="002A3D42"/>
    <w:rsid w:val="002A46D7"/>
    <w:rsid w:val="002A4C08"/>
    <w:rsid w:val="002A53EF"/>
    <w:rsid w:val="002A557F"/>
    <w:rsid w:val="002A5AB4"/>
    <w:rsid w:val="002A5B22"/>
    <w:rsid w:val="002A5D2B"/>
    <w:rsid w:val="002A5E4B"/>
    <w:rsid w:val="002A6388"/>
    <w:rsid w:val="002A6A23"/>
    <w:rsid w:val="002A6EC7"/>
    <w:rsid w:val="002A7837"/>
    <w:rsid w:val="002A7ABA"/>
    <w:rsid w:val="002A7AEE"/>
    <w:rsid w:val="002A7F01"/>
    <w:rsid w:val="002B04B7"/>
    <w:rsid w:val="002B0976"/>
    <w:rsid w:val="002B0AF8"/>
    <w:rsid w:val="002B0C2A"/>
    <w:rsid w:val="002B137D"/>
    <w:rsid w:val="002B1446"/>
    <w:rsid w:val="002B24B9"/>
    <w:rsid w:val="002B32C1"/>
    <w:rsid w:val="002B35C7"/>
    <w:rsid w:val="002B397B"/>
    <w:rsid w:val="002B51BC"/>
    <w:rsid w:val="002B6401"/>
    <w:rsid w:val="002B6460"/>
    <w:rsid w:val="002B769E"/>
    <w:rsid w:val="002B79C4"/>
    <w:rsid w:val="002B7D19"/>
    <w:rsid w:val="002B7E50"/>
    <w:rsid w:val="002C0F17"/>
    <w:rsid w:val="002C10F7"/>
    <w:rsid w:val="002C144B"/>
    <w:rsid w:val="002C21FD"/>
    <w:rsid w:val="002C252E"/>
    <w:rsid w:val="002C2C17"/>
    <w:rsid w:val="002C3901"/>
    <w:rsid w:val="002C4197"/>
    <w:rsid w:val="002C4AC0"/>
    <w:rsid w:val="002C512A"/>
    <w:rsid w:val="002C550F"/>
    <w:rsid w:val="002C5ABC"/>
    <w:rsid w:val="002C5D47"/>
    <w:rsid w:val="002C5DF3"/>
    <w:rsid w:val="002C5E54"/>
    <w:rsid w:val="002C5F66"/>
    <w:rsid w:val="002C6670"/>
    <w:rsid w:val="002C6AC3"/>
    <w:rsid w:val="002C7529"/>
    <w:rsid w:val="002C75A3"/>
    <w:rsid w:val="002C7E30"/>
    <w:rsid w:val="002C7E4D"/>
    <w:rsid w:val="002D03AF"/>
    <w:rsid w:val="002D0677"/>
    <w:rsid w:val="002D0D79"/>
    <w:rsid w:val="002D1118"/>
    <w:rsid w:val="002D19F8"/>
    <w:rsid w:val="002D1ADA"/>
    <w:rsid w:val="002D1C04"/>
    <w:rsid w:val="002D29D2"/>
    <w:rsid w:val="002D35A0"/>
    <w:rsid w:val="002D392F"/>
    <w:rsid w:val="002D3D5B"/>
    <w:rsid w:val="002D4159"/>
    <w:rsid w:val="002D44A5"/>
    <w:rsid w:val="002D46F3"/>
    <w:rsid w:val="002D550C"/>
    <w:rsid w:val="002D5D31"/>
    <w:rsid w:val="002D6275"/>
    <w:rsid w:val="002D6A97"/>
    <w:rsid w:val="002D6E38"/>
    <w:rsid w:val="002D7290"/>
    <w:rsid w:val="002D7632"/>
    <w:rsid w:val="002D7A7A"/>
    <w:rsid w:val="002D7A90"/>
    <w:rsid w:val="002E006D"/>
    <w:rsid w:val="002E0C13"/>
    <w:rsid w:val="002E11BB"/>
    <w:rsid w:val="002E1639"/>
    <w:rsid w:val="002E1752"/>
    <w:rsid w:val="002E18BC"/>
    <w:rsid w:val="002E18F6"/>
    <w:rsid w:val="002E1EF4"/>
    <w:rsid w:val="002E225E"/>
    <w:rsid w:val="002E276D"/>
    <w:rsid w:val="002E306E"/>
    <w:rsid w:val="002E32B2"/>
    <w:rsid w:val="002E41AE"/>
    <w:rsid w:val="002E41B7"/>
    <w:rsid w:val="002E43B3"/>
    <w:rsid w:val="002E4D33"/>
    <w:rsid w:val="002E4F27"/>
    <w:rsid w:val="002E55D7"/>
    <w:rsid w:val="002E61FD"/>
    <w:rsid w:val="002E6774"/>
    <w:rsid w:val="002E6D72"/>
    <w:rsid w:val="002E7131"/>
    <w:rsid w:val="002E7D40"/>
    <w:rsid w:val="002F0784"/>
    <w:rsid w:val="002F0D40"/>
    <w:rsid w:val="002F1B2D"/>
    <w:rsid w:val="002F1DD1"/>
    <w:rsid w:val="002F2003"/>
    <w:rsid w:val="002F2129"/>
    <w:rsid w:val="002F21FE"/>
    <w:rsid w:val="002F2F5D"/>
    <w:rsid w:val="002F31CD"/>
    <w:rsid w:val="002F36C5"/>
    <w:rsid w:val="002F3B8F"/>
    <w:rsid w:val="002F40F1"/>
    <w:rsid w:val="002F44AE"/>
    <w:rsid w:val="002F51B7"/>
    <w:rsid w:val="002F52C5"/>
    <w:rsid w:val="002F5A51"/>
    <w:rsid w:val="002F5CE0"/>
    <w:rsid w:val="002F7A72"/>
    <w:rsid w:val="002F7CDB"/>
    <w:rsid w:val="00300B60"/>
    <w:rsid w:val="00300C0F"/>
    <w:rsid w:val="00301442"/>
    <w:rsid w:val="00302414"/>
    <w:rsid w:val="00302A1A"/>
    <w:rsid w:val="00302BE8"/>
    <w:rsid w:val="00302D75"/>
    <w:rsid w:val="00303298"/>
    <w:rsid w:val="00303C54"/>
    <w:rsid w:val="00304319"/>
    <w:rsid w:val="00304821"/>
    <w:rsid w:val="00304F71"/>
    <w:rsid w:val="00305032"/>
    <w:rsid w:val="00305312"/>
    <w:rsid w:val="003064F5"/>
    <w:rsid w:val="00306848"/>
    <w:rsid w:val="00307676"/>
    <w:rsid w:val="00310BB3"/>
    <w:rsid w:val="00310D9D"/>
    <w:rsid w:val="00310E87"/>
    <w:rsid w:val="00311305"/>
    <w:rsid w:val="00311A35"/>
    <w:rsid w:val="00311FF4"/>
    <w:rsid w:val="003125EB"/>
    <w:rsid w:val="0031263B"/>
    <w:rsid w:val="00312B7E"/>
    <w:rsid w:val="00312FB1"/>
    <w:rsid w:val="003137C8"/>
    <w:rsid w:val="00313CB2"/>
    <w:rsid w:val="00314603"/>
    <w:rsid w:val="00314736"/>
    <w:rsid w:val="003147F4"/>
    <w:rsid w:val="00314941"/>
    <w:rsid w:val="00314CD6"/>
    <w:rsid w:val="00314D75"/>
    <w:rsid w:val="00314F79"/>
    <w:rsid w:val="003151D0"/>
    <w:rsid w:val="003152B9"/>
    <w:rsid w:val="00315594"/>
    <w:rsid w:val="003164F8"/>
    <w:rsid w:val="00317063"/>
    <w:rsid w:val="003200F2"/>
    <w:rsid w:val="00320142"/>
    <w:rsid w:val="00320675"/>
    <w:rsid w:val="003207FC"/>
    <w:rsid w:val="0032093E"/>
    <w:rsid w:val="00320A09"/>
    <w:rsid w:val="00320B9E"/>
    <w:rsid w:val="00320CBE"/>
    <w:rsid w:val="00320F9E"/>
    <w:rsid w:val="00321044"/>
    <w:rsid w:val="003225DA"/>
    <w:rsid w:val="003226DE"/>
    <w:rsid w:val="00322E74"/>
    <w:rsid w:val="00323500"/>
    <w:rsid w:val="003237DF"/>
    <w:rsid w:val="00323F9D"/>
    <w:rsid w:val="00324069"/>
    <w:rsid w:val="00324161"/>
    <w:rsid w:val="0032433F"/>
    <w:rsid w:val="0032489D"/>
    <w:rsid w:val="00324B20"/>
    <w:rsid w:val="00325815"/>
    <w:rsid w:val="00325B90"/>
    <w:rsid w:val="0032607F"/>
    <w:rsid w:val="00327363"/>
    <w:rsid w:val="003277B3"/>
    <w:rsid w:val="00327D8D"/>
    <w:rsid w:val="00327F3D"/>
    <w:rsid w:val="0033006C"/>
    <w:rsid w:val="003302A9"/>
    <w:rsid w:val="00330B04"/>
    <w:rsid w:val="00330D61"/>
    <w:rsid w:val="00332352"/>
    <w:rsid w:val="003324E4"/>
    <w:rsid w:val="0033276D"/>
    <w:rsid w:val="00332BB1"/>
    <w:rsid w:val="00332D4E"/>
    <w:rsid w:val="00332F12"/>
    <w:rsid w:val="003332A0"/>
    <w:rsid w:val="003334D8"/>
    <w:rsid w:val="003336FE"/>
    <w:rsid w:val="00333BEC"/>
    <w:rsid w:val="00333EC1"/>
    <w:rsid w:val="003340D7"/>
    <w:rsid w:val="0033529E"/>
    <w:rsid w:val="00335461"/>
    <w:rsid w:val="00335EE6"/>
    <w:rsid w:val="00336D56"/>
    <w:rsid w:val="003374DA"/>
    <w:rsid w:val="00337658"/>
    <w:rsid w:val="00337D7C"/>
    <w:rsid w:val="00337F6C"/>
    <w:rsid w:val="00340A2A"/>
    <w:rsid w:val="00340B66"/>
    <w:rsid w:val="003418A2"/>
    <w:rsid w:val="00341AAE"/>
    <w:rsid w:val="00341EDB"/>
    <w:rsid w:val="00341EEA"/>
    <w:rsid w:val="0034234C"/>
    <w:rsid w:val="0034260D"/>
    <w:rsid w:val="003426C9"/>
    <w:rsid w:val="00342DBD"/>
    <w:rsid w:val="003432E5"/>
    <w:rsid w:val="00343844"/>
    <w:rsid w:val="003440E6"/>
    <w:rsid w:val="003447A4"/>
    <w:rsid w:val="003448FE"/>
    <w:rsid w:val="00344D87"/>
    <w:rsid w:val="0034553D"/>
    <w:rsid w:val="003459E1"/>
    <w:rsid w:val="00345CDF"/>
    <w:rsid w:val="00345EC9"/>
    <w:rsid w:val="00345F5C"/>
    <w:rsid w:val="00346593"/>
    <w:rsid w:val="00346C21"/>
    <w:rsid w:val="00346DDA"/>
    <w:rsid w:val="00350779"/>
    <w:rsid w:val="003510FB"/>
    <w:rsid w:val="00351788"/>
    <w:rsid w:val="00351821"/>
    <w:rsid w:val="00351EA9"/>
    <w:rsid w:val="0035249F"/>
    <w:rsid w:val="00352E24"/>
    <w:rsid w:val="0035340F"/>
    <w:rsid w:val="003535F8"/>
    <w:rsid w:val="00353BE1"/>
    <w:rsid w:val="0035440A"/>
    <w:rsid w:val="0035443A"/>
    <w:rsid w:val="00355385"/>
    <w:rsid w:val="003556DC"/>
    <w:rsid w:val="00355A7A"/>
    <w:rsid w:val="00355BF9"/>
    <w:rsid w:val="003564B9"/>
    <w:rsid w:val="00356782"/>
    <w:rsid w:val="00356877"/>
    <w:rsid w:val="00360183"/>
    <w:rsid w:val="0036079C"/>
    <w:rsid w:val="00360A2C"/>
    <w:rsid w:val="00360B53"/>
    <w:rsid w:val="00360F7A"/>
    <w:rsid w:val="003614B0"/>
    <w:rsid w:val="00362046"/>
    <w:rsid w:val="00362460"/>
    <w:rsid w:val="003627FE"/>
    <w:rsid w:val="0036295F"/>
    <w:rsid w:val="00362D43"/>
    <w:rsid w:val="00363C3B"/>
    <w:rsid w:val="00363D76"/>
    <w:rsid w:val="00364E6D"/>
    <w:rsid w:val="003650B4"/>
    <w:rsid w:val="003650B9"/>
    <w:rsid w:val="003656FA"/>
    <w:rsid w:val="00365B7C"/>
    <w:rsid w:val="003661AA"/>
    <w:rsid w:val="00366CC8"/>
    <w:rsid w:val="00367275"/>
    <w:rsid w:val="003674BC"/>
    <w:rsid w:val="003674E0"/>
    <w:rsid w:val="00367550"/>
    <w:rsid w:val="003679A5"/>
    <w:rsid w:val="00367AF7"/>
    <w:rsid w:val="00370083"/>
    <w:rsid w:val="00370278"/>
    <w:rsid w:val="0037050B"/>
    <w:rsid w:val="0037176A"/>
    <w:rsid w:val="00371DCA"/>
    <w:rsid w:val="00371E5D"/>
    <w:rsid w:val="00371F3D"/>
    <w:rsid w:val="003720E8"/>
    <w:rsid w:val="003723C7"/>
    <w:rsid w:val="003728F2"/>
    <w:rsid w:val="00372942"/>
    <w:rsid w:val="003732FB"/>
    <w:rsid w:val="003733F7"/>
    <w:rsid w:val="00373619"/>
    <w:rsid w:val="00373C74"/>
    <w:rsid w:val="003740EF"/>
    <w:rsid w:val="003744F8"/>
    <w:rsid w:val="00374699"/>
    <w:rsid w:val="00374994"/>
    <w:rsid w:val="00374C99"/>
    <w:rsid w:val="00375148"/>
    <w:rsid w:val="0037522C"/>
    <w:rsid w:val="00375DF2"/>
    <w:rsid w:val="0037637E"/>
    <w:rsid w:val="00377597"/>
    <w:rsid w:val="003805C0"/>
    <w:rsid w:val="00380747"/>
    <w:rsid w:val="0038136C"/>
    <w:rsid w:val="00381405"/>
    <w:rsid w:val="00381C88"/>
    <w:rsid w:val="00381D64"/>
    <w:rsid w:val="00382016"/>
    <w:rsid w:val="00382254"/>
    <w:rsid w:val="00383508"/>
    <w:rsid w:val="00383717"/>
    <w:rsid w:val="00383B0D"/>
    <w:rsid w:val="00383D1A"/>
    <w:rsid w:val="003842F5"/>
    <w:rsid w:val="0038509D"/>
    <w:rsid w:val="00385126"/>
    <w:rsid w:val="00385A01"/>
    <w:rsid w:val="003870AB"/>
    <w:rsid w:val="003871FE"/>
    <w:rsid w:val="0038782B"/>
    <w:rsid w:val="00387994"/>
    <w:rsid w:val="00387CAA"/>
    <w:rsid w:val="003902EF"/>
    <w:rsid w:val="00390311"/>
    <w:rsid w:val="00390421"/>
    <w:rsid w:val="0039079C"/>
    <w:rsid w:val="00390FE4"/>
    <w:rsid w:val="0039108F"/>
    <w:rsid w:val="00391197"/>
    <w:rsid w:val="003914E5"/>
    <w:rsid w:val="00391A65"/>
    <w:rsid w:val="00391DE4"/>
    <w:rsid w:val="00391F52"/>
    <w:rsid w:val="00392393"/>
    <w:rsid w:val="003925BD"/>
    <w:rsid w:val="00392CEC"/>
    <w:rsid w:val="003931D0"/>
    <w:rsid w:val="00393608"/>
    <w:rsid w:val="00393798"/>
    <w:rsid w:val="003949F5"/>
    <w:rsid w:val="00394C89"/>
    <w:rsid w:val="00394D59"/>
    <w:rsid w:val="00394E87"/>
    <w:rsid w:val="00394FC7"/>
    <w:rsid w:val="0039520E"/>
    <w:rsid w:val="00395438"/>
    <w:rsid w:val="00395BDD"/>
    <w:rsid w:val="00395CB9"/>
    <w:rsid w:val="00396247"/>
    <w:rsid w:val="003965E6"/>
    <w:rsid w:val="003969AB"/>
    <w:rsid w:val="00396CB6"/>
    <w:rsid w:val="00397363"/>
    <w:rsid w:val="003975F6"/>
    <w:rsid w:val="00397922"/>
    <w:rsid w:val="003A04BC"/>
    <w:rsid w:val="003A05E8"/>
    <w:rsid w:val="003A060F"/>
    <w:rsid w:val="003A0774"/>
    <w:rsid w:val="003A0C98"/>
    <w:rsid w:val="003A1384"/>
    <w:rsid w:val="003A13AF"/>
    <w:rsid w:val="003A169D"/>
    <w:rsid w:val="003A1F8B"/>
    <w:rsid w:val="003A2600"/>
    <w:rsid w:val="003A2F0A"/>
    <w:rsid w:val="003A342E"/>
    <w:rsid w:val="003A37B9"/>
    <w:rsid w:val="003A3A9B"/>
    <w:rsid w:val="003A3C2E"/>
    <w:rsid w:val="003A3FA1"/>
    <w:rsid w:val="003A46E1"/>
    <w:rsid w:val="003A47FD"/>
    <w:rsid w:val="003A4981"/>
    <w:rsid w:val="003A4E0B"/>
    <w:rsid w:val="003A55F3"/>
    <w:rsid w:val="003A5864"/>
    <w:rsid w:val="003A6288"/>
    <w:rsid w:val="003A6353"/>
    <w:rsid w:val="003A66FF"/>
    <w:rsid w:val="003A6741"/>
    <w:rsid w:val="003A7044"/>
    <w:rsid w:val="003B03AE"/>
    <w:rsid w:val="003B0892"/>
    <w:rsid w:val="003B0959"/>
    <w:rsid w:val="003B263B"/>
    <w:rsid w:val="003B2BE9"/>
    <w:rsid w:val="003B3041"/>
    <w:rsid w:val="003B3515"/>
    <w:rsid w:val="003B36B3"/>
    <w:rsid w:val="003B43B7"/>
    <w:rsid w:val="003B4715"/>
    <w:rsid w:val="003B47DB"/>
    <w:rsid w:val="003B4F2A"/>
    <w:rsid w:val="003B5797"/>
    <w:rsid w:val="003B5AD4"/>
    <w:rsid w:val="003B5B16"/>
    <w:rsid w:val="003B5E5A"/>
    <w:rsid w:val="003B5FCD"/>
    <w:rsid w:val="003B6223"/>
    <w:rsid w:val="003B74D3"/>
    <w:rsid w:val="003C0293"/>
    <w:rsid w:val="003C04CE"/>
    <w:rsid w:val="003C0998"/>
    <w:rsid w:val="003C099B"/>
    <w:rsid w:val="003C0B93"/>
    <w:rsid w:val="003C0D6B"/>
    <w:rsid w:val="003C0FD4"/>
    <w:rsid w:val="003C2CCD"/>
    <w:rsid w:val="003C309A"/>
    <w:rsid w:val="003C37BA"/>
    <w:rsid w:val="003C3932"/>
    <w:rsid w:val="003C3F90"/>
    <w:rsid w:val="003C47A2"/>
    <w:rsid w:val="003C5361"/>
    <w:rsid w:val="003C5456"/>
    <w:rsid w:val="003C5542"/>
    <w:rsid w:val="003C686B"/>
    <w:rsid w:val="003C6893"/>
    <w:rsid w:val="003C788C"/>
    <w:rsid w:val="003C7A04"/>
    <w:rsid w:val="003D02BB"/>
    <w:rsid w:val="003D02F2"/>
    <w:rsid w:val="003D0367"/>
    <w:rsid w:val="003D14D3"/>
    <w:rsid w:val="003D1B9B"/>
    <w:rsid w:val="003D1D6A"/>
    <w:rsid w:val="003D2576"/>
    <w:rsid w:val="003D3219"/>
    <w:rsid w:val="003D3C4C"/>
    <w:rsid w:val="003D43B8"/>
    <w:rsid w:val="003D4514"/>
    <w:rsid w:val="003D46A5"/>
    <w:rsid w:val="003D4D20"/>
    <w:rsid w:val="003D5147"/>
    <w:rsid w:val="003D531A"/>
    <w:rsid w:val="003D5B22"/>
    <w:rsid w:val="003D5C08"/>
    <w:rsid w:val="003D62C9"/>
    <w:rsid w:val="003D63BE"/>
    <w:rsid w:val="003D6E15"/>
    <w:rsid w:val="003D76E6"/>
    <w:rsid w:val="003D779A"/>
    <w:rsid w:val="003E0324"/>
    <w:rsid w:val="003E1059"/>
    <w:rsid w:val="003E1234"/>
    <w:rsid w:val="003E1BBF"/>
    <w:rsid w:val="003E208C"/>
    <w:rsid w:val="003E252D"/>
    <w:rsid w:val="003E26CB"/>
    <w:rsid w:val="003E289E"/>
    <w:rsid w:val="003E2AF3"/>
    <w:rsid w:val="003E38B8"/>
    <w:rsid w:val="003E3CCC"/>
    <w:rsid w:val="003E3EF1"/>
    <w:rsid w:val="003E402A"/>
    <w:rsid w:val="003E4738"/>
    <w:rsid w:val="003E4B35"/>
    <w:rsid w:val="003E665D"/>
    <w:rsid w:val="003E7CBF"/>
    <w:rsid w:val="003E7E4F"/>
    <w:rsid w:val="003F04EB"/>
    <w:rsid w:val="003F0BC4"/>
    <w:rsid w:val="003F0CAD"/>
    <w:rsid w:val="003F14E6"/>
    <w:rsid w:val="003F165E"/>
    <w:rsid w:val="003F1799"/>
    <w:rsid w:val="003F19F4"/>
    <w:rsid w:val="003F1B04"/>
    <w:rsid w:val="003F21F9"/>
    <w:rsid w:val="003F22DF"/>
    <w:rsid w:val="003F29F9"/>
    <w:rsid w:val="003F2E84"/>
    <w:rsid w:val="003F3114"/>
    <w:rsid w:val="003F3485"/>
    <w:rsid w:val="003F36EB"/>
    <w:rsid w:val="003F4461"/>
    <w:rsid w:val="003F488E"/>
    <w:rsid w:val="003F4D6C"/>
    <w:rsid w:val="003F5EF2"/>
    <w:rsid w:val="003F6064"/>
    <w:rsid w:val="003F620F"/>
    <w:rsid w:val="003F6580"/>
    <w:rsid w:val="003F695C"/>
    <w:rsid w:val="003F6DD5"/>
    <w:rsid w:val="003F7531"/>
    <w:rsid w:val="003F7CE3"/>
    <w:rsid w:val="004019A1"/>
    <w:rsid w:val="0040213C"/>
    <w:rsid w:val="004026E4"/>
    <w:rsid w:val="00402DCE"/>
    <w:rsid w:val="004034D5"/>
    <w:rsid w:val="0040389A"/>
    <w:rsid w:val="00403BE2"/>
    <w:rsid w:val="00404615"/>
    <w:rsid w:val="0040491E"/>
    <w:rsid w:val="00404C39"/>
    <w:rsid w:val="00405851"/>
    <w:rsid w:val="00406324"/>
    <w:rsid w:val="004072CE"/>
    <w:rsid w:val="00407C79"/>
    <w:rsid w:val="00407D12"/>
    <w:rsid w:val="00407EBC"/>
    <w:rsid w:val="004109B9"/>
    <w:rsid w:val="00411A8C"/>
    <w:rsid w:val="00411ABB"/>
    <w:rsid w:val="004123B8"/>
    <w:rsid w:val="0041270C"/>
    <w:rsid w:val="0041476F"/>
    <w:rsid w:val="00415667"/>
    <w:rsid w:val="0041574A"/>
    <w:rsid w:val="00415818"/>
    <w:rsid w:val="00415C2B"/>
    <w:rsid w:val="00415FDA"/>
    <w:rsid w:val="004162E1"/>
    <w:rsid w:val="004164F1"/>
    <w:rsid w:val="00416B6C"/>
    <w:rsid w:val="00416E8E"/>
    <w:rsid w:val="00416F30"/>
    <w:rsid w:val="0041777E"/>
    <w:rsid w:val="00417853"/>
    <w:rsid w:val="004209F6"/>
    <w:rsid w:val="00421062"/>
    <w:rsid w:val="004211B7"/>
    <w:rsid w:val="0042186E"/>
    <w:rsid w:val="00422055"/>
    <w:rsid w:val="004222C9"/>
    <w:rsid w:val="00423B48"/>
    <w:rsid w:val="00423F37"/>
    <w:rsid w:val="004242ED"/>
    <w:rsid w:val="00424B38"/>
    <w:rsid w:val="004252EE"/>
    <w:rsid w:val="00425A8C"/>
    <w:rsid w:val="00425C45"/>
    <w:rsid w:val="00425CD8"/>
    <w:rsid w:val="00426135"/>
    <w:rsid w:val="004261A3"/>
    <w:rsid w:val="0042646D"/>
    <w:rsid w:val="0042669E"/>
    <w:rsid w:val="004268BA"/>
    <w:rsid w:val="00426C5C"/>
    <w:rsid w:val="00430559"/>
    <w:rsid w:val="00430D24"/>
    <w:rsid w:val="00431BE6"/>
    <w:rsid w:val="00431C9A"/>
    <w:rsid w:val="00431D22"/>
    <w:rsid w:val="00431D29"/>
    <w:rsid w:val="004320E7"/>
    <w:rsid w:val="00432352"/>
    <w:rsid w:val="004324F6"/>
    <w:rsid w:val="00432A09"/>
    <w:rsid w:val="00432A23"/>
    <w:rsid w:val="00432B1A"/>
    <w:rsid w:val="00433021"/>
    <w:rsid w:val="004338D9"/>
    <w:rsid w:val="00433A87"/>
    <w:rsid w:val="00433B19"/>
    <w:rsid w:val="0043564A"/>
    <w:rsid w:val="00435772"/>
    <w:rsid w:val="0043583F"/>
    <w:rsid w:val="0043588B"/>
    <w:rsid w:val="00435A40"/>
    <w:rsid w:val="00436157"/>
    <w:rsid w:val="004361C8"/>
    <w:rsid w:val="0043633D"/>
    <w:rsid w:val="00436768"/>
    <w:rsid w:val="00436B37"/>
    <w:rsid w:val="00436C8B"/>
    <w:rsid w:val="00436E08"/>
    <w:rsid w:val="00437985"/>
    <w:rsid w:val="00437A50"/>
    <w:rsid w:val="00437D6F"/>
    <w:rsid w:val="00440815"/>
    <w:rsid w:val="004409A6"/>
    <w:rsid w:val="00440A06"/>
    <w:rsid w:val="00440E33"/>
    <w:rsid w:val="0044152A"/>
    <w:rsid w:val="00441911"/>
    <w:rsid w:val="00441ADA"/>
    <w:rsid w:val="00441BD4"/>
    <w:rsid w:val="00442707"/>
    <w:rsid w:val="0044296B"/>
    <w:rsid w:val="00442C20"/>
    <w:rsid w:val="00443834"/>
    <w:rsid w:val="00443B73"/>
    <w:rsid w:val="00444160"/>
    <w:rsid w:val="004441C2"/>
    <w:rsid w:val="004443F6"/>
    <w:rsid w:val="004447FA"/>
    <w:rsid w:val="00444817"/>
    <w:rsid w:val="00445019"/>
    <w:rsid w:val="0044542E"/>
    <w:rsid w:val="0044573A"/>
    <w:rsid w:val="00445E94"/>
    <w:rsid w:val="00446C8D"/>
    <w:rsid w:val="004470EA"/>
    <w:rsid w:val="004472D3"/>
    <w:rsid w:val="00447A83"/>
    <w:rsid w:val="0045000F"/>
    <w:rsid w:val="004504D8"/>
    <w:rsid w:val="00450BAF"/>
    <w:rsid w:val="004510B0"/>
    <w:rsid w:val="0045166C"/>
    <w:rsid w:val="004520AB"/>
    <w:rsid w:val="00452188"/>
    <w:rsid w:val="00452767"/>
    <w:rsid w:val="00452DF1"/>
    <w:rsid w:val="00453071"/>
    <w:rsid w:val="00453302"/>
    <w:rsid w:val="00453373"/>
    <w:rsid w:val="00453626"/>
    <w:rsid w:val="00453F4E"/>
    <w:rsid w:val="00453FB5"/>
    <w:rsid w:val="0045415B"/>
    <w:rsid w:val="00454570"/>
    <w:rsid w:val="00454631"/>
    <w:rsid w:val="004547D7"/>
    <w:rsid w:val="00454BB8"/>
    <w:rsid w:val="00455407"/>
    <w:rsid w:val="0045547E"/>
    <w:rsid w:val="00455F50"/>
    <w:rsid w:val="0045617B"/>
    <w:rsid w:val="004564F2"/>
    <w:rsid w:val="00456633"/>
    <w:rsid w:val="00456681"/>
    <w:rsid w:val="00456A00"/>
    <w:rsid w:val="00456C69"/>
    <w:rsid w:val="00457B39"/>
    <w:rsid w:val="00457E6F"/>
    <w:rsid w:val="00457F09"/>
    <w:rsid w:val="00460236"/>
    <w:rsid w:val="004606CA"/>
    <w:rsid w:val="00460ED6"/>
    <w:rsid w:val="0046122D"/>
    <w:rsid w:val="00461ADA"/>
    <w:rsid w:val="00461C8D"/>
    <w:rsid w:val="00462B02"/>
    <w:rsid w:val="00462C72"/>
    <w:rsid w:val="00463DE3"/>
    <w:rsid w:val="00463F04"/>
    <w:rsid w:val="00464114"/>
    <w:rsid w:val="00464CF9"/>
    <w:rsid w:val="00465265"/>
    <w:rsid w:val="0046585B"/>
    <w:rsid w:val="004659F1"/>
    <w:rsid w:val="004663B2"/>
    <w:rsid w:val="00466C1F"/>
    <w:rsid w:val="00467149"/>
    <w:rsid w:val="004674DC"/>
    <w:rsid w:val="00467AC6"/>
    <w:rsid w:val="00470756"/>
    <w:rsid w:val="0047086E"/>
    <w:rsid w:val="00471761"/>
    <w:rsid w:val="00471C8F"/>
    <w:rsid w:val="004727AC"/>
    <w:rsid w:val="00472AF7"/>
    <w:rsid w:val="00473637"/>
    <w:rsid w:val="00473986"/>
    <w:rsid w:val="004739BA"/>
    <w:rsid w:val="00473EBF"/>
    <w:rsid w:val="004741E6"/>
    <w:rsid w:val="00474B45"/>
    <w:rsid w:val="00474E9D"/>
    <w:rsid w:val="00474EEF"/>
    <w:rsid w:val="00474F42"/>
    <w:rsid w:val="00475106"/>
    <w:rsid w:val="004756CF"/>
    <w:rsid w:val="00475AAD"/>
    <w:rsid w:val="004760B0"/>
    <w:rsid w:val="004765F8"/>
    <w:rsid w:val="0047698D"/>
    <w:rsid w:val="00476B72"/>
    <w:rsid w:val="004775B5"/>
    <w:rsid w:val="00477D29"/>
    <w:rsid w:val="00477EF1"/>
    <w:rsid w:val="00481B8A"/>
    <w:rsid w:val="00481B98"/>
    <w:rsid w:val="00481FC4"/>
    <w:rsid w:val="004821D1"/>
    <w:rsid w:val="00482371"/>
    <w:rsid w:val="004824EA"/>
    <w:rsid w:val="004828F0"/>
    <w:rsid w:val="00482CBB"/>
    <w:rsid w:val="00483718"/>
    <w:rsid w:val="004837ED"/>
    <w:rsid w:val="00483829"/>
    <w:rsid w:val="0048452A"/>
    <w:rsid w:val="004847D4"/>
    <w:rsid w:val="004847DF"/>
    <w:rsid w:val="00484A05"/>
    <w:rsid w:val="00484B33"/>
    <w:rsid w:val="00485683"/>
    <w:rsid w:val="00485BE7"/>
    <w:rsid w:val="00486108"/>
    <w:rsid w:val="0048639E"/>
    <w:rsid w:val="0048648E"/>
    <w:rsid w:val="0048666A"/>
    <w:rsid w:val="0048679C"/>
    <w:rsid w:val="00486C3D"/>
    <w:rsid w:val="00486D82"/>
    <w:rsid w:val="004870D9"/>
    <w:rsid w:val="004875E0"/>
    <w:rsid w:val="00490065"/>
    <w:rsid w:val="004904D1"/>
    <w:rsid w:val="00490698"/>
    <w:rsid w:val="00490A7D"/>
    <w:rsid w:val="004913D4"/>
    <w:rsid w:val="00491A6C"/>
    <w:rsid w:val="0049252C"/>
    <w:rsid w:val="00492950"/>
    <w:rsid w:val="00492985"/>
    <w:rsid w:val="00492BD1"/>
    <w:rsid w:val="00493B92"/>
    <w:rsid w:val="004943B3"/>
    <w:rsid w:val="004957F3"/>
    <w:rsid w:val="0049652C"/>
    <w:rsid w:val="00496DC5"/>
    <w:rsid w:val="00497958"/>
    <w:rsid w:val="004A0125"/>
    <w:rsid w:val="004A015F"/>
    <w:rsid w:val="004A098B"/>
    <w:rsid w:val="004A0CDE"/>
    <w:rsid w:val="004A0E78"/>
    <w:rsid w:val="004A0ECD"/>
    <w:rsid w:val="004A0F72"/>
    <w:rsid w:val="004A1613"/>
    <w:rsid w:val="004A189F"/>
    <w:rsid w:val="004A1D7A"/>
    <w:rsid w:val="004A1DBA"/>
    <w:rsid w:val="004A1EE5"/>
    <w:rsid w:val="004A2691"/>
    <w:rsid w:val="004A40BD"/>
    <w:rsid w:val="004A4120"/>
    <w:rsid w:val="004A4359"/>
    <w:rsid w:val="004A4CA2"/>
    <w:rsid w:val="004A4DAD"/>
    <w:rsid w:val="004A531E"/>
    <w:rsid w:val="004A53BC"/>
    <w:rsid w:val="004A542A"/>
    <w:rsid w:val="004A5701"/>
    <w:rsid w:val="004A5CAC"/>
    <w:rsid w:val="004A5EA8"/>
    <w:rsid w:val="004A7311"/>
    <w:rsid w:val="004A7515"/>
    <w:rsid w:val="004B04C1"/>
    <w:rsid w:val="004B0973"/>
    <w:rsid w:val="004B1E07"/>
    <w:rsid w:val="004B2A9C"/>
    <w:rsid w:val="004B2DAB"/>
    <w:rsid w:val="004B3717"/>
    <w:rsid w:val="004B3C8F"/>
    <w:rsid w:val="004B40A1"/>
    <w:rsid w:val="004B433A"/>
    <w:rsid w:val="004B45B1"/>
    <w:rsid w:val="004B4773"/>
    <w:rsid w:val="004B49D0"/>
    <w:rsid w:val="004B50C8"/>
    <w:rsid w:val="004B539B"/>
    <w:rsid w:val="004B64DF"/>
    <w:rsid w:val="004B6886"/>
    <w:rsid w:val="004B6F47"/>
    <w:rsid w:val="004B7135"/>
    <w:rsid w:val="004B73F4"/>
    <w:rsid w:val="004B7486"/>
    <w:rsid w:val="004B7680"/>
    <w:rsid w:val="004B7871"/>
    <w:rsid w:val="004B7CB4"/>
    <w:rsid w:val="004B7DAB"/>
    <w:rsid w:val="004B7EDF"/>
    <w:rsid w:val="004C03C7"/>
    <w:rsid w:val="004C0DA5"/>
    <w:rsid w:val="004C10EB"/>
    <w:rsid w:val="004C117B"/>
    <w:rsid w:val="004C13EF"/>
    <w:rsid w:val="004C2329"/>
    <w:rsid w:val="004C2EC3"/>
    <w:rsid w:val="004C34BE"/>
    <w:rsid w:val="004C4161"/>
    <w:rsid w:val="004C4894"/>
    <w:rsid w:val="004C509E"/>
    <w:rsid w:val="004C603A"/>
    <w:rsid w:val="004C65CF"/>
    <w:rsid w:val="004C67D2"/>
    <w:rsid w:val="004C693E"/>
    <w:rsid w:val="004C6B3C"/>
    <w:rsid w:val="004C730C"/>
    <w:rsid w:val="004C7D02"/>
    <w:rsid w:val="004C7E2C"/>
    <w:rsid w:val="004C7E9C"/>
    <w:rsid w:val="004D011E"/>
    <w:rsid w:val="004D0B25"/>
    <w:rsid w:val="004D0E8F"/>
    <w:rsid w:val="004D1D4E"/>
    <w:rsid w:val="004D1F04"/>
    <w:rsid w:val="004D2E73"/>
    <w:rsid w:val="004D3F19"/>
    <w:rsid w:val="004D50CE"/>
    <w:rsid w:val="004D686F"/>
    <w:rsid w:val="004D715C"/>
    <w:rsid w:val="004D7666"/>
    <w:rsid w:val="004D77DB"/>
    <w:rsid w:val="004D79A8"/>
    <w:rsid w:val="004D79C0"/>
    <w:rsid w:val="004D7BC2"/>
    <w:rsid w:val="004D7CD2"/>
    <w:rsid w:val="004D7D37"/>
    <w:rsid w:val="004E1285"/>
    <w:rsid w:val="004E1295"/>
    <w:rsid w:val="004E2472"/>
    <w:rsid w:val="004E2569"/>
    <w:rsid w:val="004E2644"/>
    <w:rsid w:val="004E2936"/>
    <w:rsid w:val="004E2940"/>
    <w:rsid w:val="004E2EC8"/>
    <w:rsid w:val="004E305D"/>
    <w:rsid w:val="004E3413"/>
    <w:rsid w:val="004E3B0B"/>
    <w:rsid w:val="004E4148"/>
    <w:rsid w:val="004E4615"/>
    <w:rsid w:val="004E49E8"/>
    <w:rsid w:val="004E55F5"/>
    <w:rsid w:val="004E5D16"/>
    <w:rsid w:val="004E62A9"/>
    <w:rsid w:val="004E67EC"/>
    <w:rsid w:val="004E686D"/>
    <w:rsid w:val="004E68B4"/>
    <w:rsid w:val="004E6976"/>
    <w:rsid w:val="004E6BAE"/>
    <w:rsid w:val="004E7023"/>
    <w:rsid w:val="004E719E"/>
    <w:rsid w:val="004E73B8"/>
    <w:rsid w:val="004E7C3E"/>
    <w:rsid w:val="004E7CE0"/>
    <w:rsid w:val="004F0243"/>
    <w:rsid w:val="004F02F2"/>
    <w:rsid w:val="004F03C3"/>
    <w:rsid w:val="004F093C"/>
    <w:rsid w:val="004F0C7B"/>
    <w:rsid w:val="004F14D2"/>
    <w:rsid w:val="004F168B"/>
    <w:rsid w:val="004F1A33"/>
    <w:rsid w:val="004F1CEE"/>
    <w:rsid w:val="004F24DD"/>
    <w:rsid w:val="004F351D"/>
    <w:rsid w:val="004F3712"/>
    <w:rsid w:val="004F393D"/>
    <w:rsid w:val="004F3FB1"/>
    <w:rsid w:val="004F46DE"/>
    <w:rsid w:val="004F4BB5"/>
    <w:rsid w:val="004F536F"/>
    <w:rsid w:val="004F5375"/>
    <w:rsid w:val="004F639A"/>
    <w:rsid w:val="004F6838"/>
    <w:rsid w:val="004F6E2A"/>
    <w:rsid w:val="004F73E0"/>
    <w:rsid w:val="004F767D"/>
    <w:rsid w:val="004F76B7"/>
    <w:rsid w:val="004F7867"/>
    <w:rsid w:val="005000DB"/>
    <w:rsid w:val="0050045A"/>
    <w:rsid w:val="005004E1"/>
    <w:rsid w:val="00500603"/>
    <w:rsid w:val="00500EFA"/>
    <w:rsid w:val="0050119D"/>
    <w:rsid w:val="00502080"/>
    <w:rsid w:val="00502322"/>
    <w:rsid w:val="005029F2"/>
    <w:rsid w:val="00502F8C"/>
    <w:rsid w:val="00502FCB"/>
    <w:rsid w:val="00503959"/>
    <w:rsid w:val="00503DDA"/>
    <w:rsid w:val="00504256"/>
    <w:rsid w:val="005043CC"/>
    <w:rsid w:val="0050464C"/>
    <w:rsid w:val="0050491B"/>
    <w:rsid w:val="005055E4"/>
    <w:rsid w:val="005056C6"/>
    <w:rsid w:val="00505E13"/>
    <w:rsid w:val="005061A5"/>
    <w:rsid w:val="00506299"/>
    <w:rsid w:val="0050640F"/>
    <w:rsid w:val="00506799"/>
    <w:rsid w:val="0050710F"/>
    <w:rsid w:val="00507325"/>
    <w:rsid w:val="00507557"/>
    <w:rsid w:val="00507C28"/>
    <w:rsid w:val="00507CBF"/>
    <w:rsid w:val="00510C6D"/>
    <w:rsid w:val="00510C9D"/>
    <w:rsid w:val="00510F39"/>
    <w:rsid w:val="005113C3"/>
    <w:rsid w:val="005114A1"/>
    <w:rsid w:val="0051164B"/>
    <w:rsid w:val="0051174A"/>
    <w:rsid w:val="00511BE6"/>
    <w:rsid w:val="00511D2A"/>
    <w:rsid w:val="00511FC0"/>
    <w:rsid w:val="00512002"/>
    <w:rsid w:val="00512185"/>
    <w:rsid w:val="005122C2"/>
    <w:rsid w:val="00512471"/>
    <w:rsid w:val="0051271D"/>
    <w:rsid w:val="0051379F"/>
    <w:rsid w:val="005139A5"/>
    <w:rsid w:val="00513AA7"/>
    <w:rsid w:val="00514776"/>
    <w:rsid w:val="00514957"/>
    <w:rsid w:val="00514DB4"/>
    <w:rsid w:val="005154D9"/>
    <w:rsid w:val="00516005"/>
    <w:rsid w:val="0051617D"/>
    <w:rsid w:val="00517042"/>
    <w:rsid w:val="00517643"/>
    <w:rsid w:val="005178C2"/>
    <w:rsid w:val="00517C38"/>
    <w:rsid w:val="005200C7"/>
    <w:rsid w:val="00520649"/>
    <w:rsid w:val="00520BC2"/>
    <w:rsid w:val="005210B0"/>
    <w:rsid w:val="00521920"/>
    <w:rsid w:val="00521C08"/>
    <w:rsid w:val="00522329"/>
    <w:rsid w:val="005227C4"/>
    <w:rsid w:val="0052296E"/>
    <w:rsid w:val="00522A2B"/>
    <w:rsid w:val="00522A48"/>
    <w:rsid w:val="00522BF3"/>
    <w:rsid w:val="0052305F"/>
    <w:rsid w:val="00523211"/>
    <w:rsid w:val="005238FC"/>
    <w:rsid w:val="00524011"/>
    <w:rsid w:val="00524315"/>
    <w:rsid w:val="00524644"/>
    <w:rsid w:val="00524884"/>
    <w:rsid w:val="00524F81"/>
    <w:rsid w:val="005250EB"/>
    <w:rsid w:val="00525C0C"/>
    <w:rsid w:val="00525DAC"/>
    <w:rsid w:val="005266CC"/>
    <w:rsid w:val="0052715D"/>
    <w:rsid w:val="005277CB"/>
    <w:rsid w:val="00530DA0"/>
    <w:rsid w:val="0053173C"/>
    <w:rsid w:val="00531A74"/>
    <w:rsid w:val="00531D30"/>
    <w:rsid w:val="00532187"/>
    <w:rsid w:val="005327EE"/>
    <w:rsid w:val="00532CA9"/>
    <w:rsid w:val="00533B1F"/>
    <w:rsid w:val="00533F0E"/>
    <w:rsid w:val="0053432F"/>
    <w:rsid w:val="00534890"/>
    <w:rsid w:val="00535429"/>
    <w:rsid w:val="00536009"/>
    <w:rsid w:val="00536592"/>
    <w:rsid w:val="0053672A"/>
    <w:rsid w:val="00536A77"/>
    <w:rsid w:val="00536D1D"/>
    <w:rsid w:val="005373AF"/>
    <w:rsid w:val="00540F24"/>
    <w:rsid w:val="00541364"/>
    <w:rsid w:val="005413A5"/>
    <w:rsid w:val="00541A4A"/>
    <w:rsid w:val="00541F54"/>
    <w:rsid w:val="0054238C"/>
    <w:rsid w:val="0054243F"/>
    <w:rsid w:val="00542649"/>
    <w:rsid w:val="00542D90"/>
    <w:rsid w:val="005436A4"/>
    <w:rsid w:val="005437BC"/>
    <w:rsid w:val="00543CFA"/>
    <w:rsid w:val="005442C5"/>
    <w:rsid w:val="00544C91"/>
    <w:rsid w:val="00544D33"/>
    <w:rsid w:val="00546B0C"/>
    <w:rsid w:val="00546D0A"/>
    <w:rsid w:val="00546E1C"/>
    <w:rsid w:val="0054789A"/>
    <w:rsid w:val="005502CD"/>
    <w:rsid w:val="00550367"/>
    <w:rsid w:val="00550BE1"/>
    <w:rsid w:val="00550E33"/>
    <w:rsid w:val="00551758"/>
    <w:rsid w:val="00551B8E"/>
    <w:rsid w:val="00552461"/>
    <w:rsid w:val="00552B99"/>
    <w:rsid w:val="00552F9B"/>
    <w:rsid w:val="00553F8A"/>
    <w:rsid w:val="00554329"/>
    <w:rsid w:val="00554910"/>
    <w:rsid w:val="005549A5"/>
    <w:rsid w:val="005557CA"/>
    <w:rsid w:val="00555ED0"/>
    <w:rsid w:val="00556295"/>
    <w:rsid w:val="0055695C"/>
    <w:rsid w:val="005570D7"/>
    <w:rsid w:val="005601CB"/>
    <w:rsid w:val="005603DB"/>
    <w:rsid w:val="0056047C"/>
    <w:rsid w:val="00560CE7"/>
    <w:rsid w:val="00560FD2"/>
    <w:rsid w:val="005618EA"/>
    <w:rsid w:val="00561952"/>
    <w:rsid w:val="00561A02"/>
    <w:rsid w:val="00561D10"/>
    <w:rsid w:val="0056262B"/>
    <w:rsid w:val="00562D70"/>
    <w:rsid w:val="0056300E"/>
    <w:rsid w:val="00563157"/>
    <w:rsid w:val="00565480"/>
    <w:rsid w:val="00565807"/>
    <w:rsid w:val="00565CBA"/>
    <w:rsid w:val="00566591"/>
    <w:rsid w:val="00566C2A"/>
    <w:rsid w:val="005670F6"/>
    <w:rsid w:val="005674FE"/>
    <w:rsid w:val="00567ABF"/>
    <w:rsid w:val="0057005B"/>
    <w:rsid w:val="00570062"/>
    <w:rsid w:val="00570704"/>
    <w:rsid w:val="00570F45"/>
    <w:rsid w:val="0057118A"/>
    <w:rsid w:val="005718E3"/>
    <w:rsid w:val="00571B88"/>
    <w:rsid w:val="00571CDD"/>
    <w:rsid w:val="00571DE4"/>
    <w:rsid w:val="0057220A"/>
    <w:rsid w:val="005726CA"/>
    <w:rsid w:val="00572715"/>
    <w:rsid w:val="00572C0C"/>
    <w:rsid w:val="00572EAA"/>
    <w:rsid w:val="00573606"/>
    <w:rsid w:val="00576120"/>
    <w:rsid w:val="0057614E"/>
    <w:rsid w:val="005762B3"/>
    <w:rsid w:val="00576490"/>
    <w:rsid w:val="0057683A"/>
    <w:rsid w:val="00577505"/>
    <w:rsid w:val="00577550"/>
    <w:rsid w:val="005777C7"/>
    <w:rsid w:val="00580033"/>
    <w:rsid w:val="005804DA"/>
    <w:rsid w:val="005806FA"/>
    <w:rsid w:val="00580723"/>
    <w:rsid w:val="00581674"/>
    <w:rsid w:val="00581763"/>
    <w:rsid w:val="00581979"/>
    <w:rsid w:val="00581B15"/>
    <w:rsid w:val="00581BD4"/>
    <w:rsid w:val="00581CEA"/>
    <w:rsid w:val="00581EA3"/>
    <w:rsid w:val="0058228F"/>
    <w:rsid w:val="00582471"/>
    <w:rsid w:val="005824D2"/>
    <w:rsid w:val="005825DF"/>
    <w:rsid w:val="00583110"/>
    <w:rsid w:val="005833AE"/>
    <w:rsid w:val="005842CC"/>
    <w:rsid w:val="00584965"/>
    <w:rsid w:val="00584CB2"/>
    <w:rsid w:val="00585A31"/>
    <w:rsid w:val="00585E45"/>
    <w:rsid w:val="00586FC6"/>
    <w:rsid w:val="0058718C"/>
    <w:rsid w:val="0058730C"/>
    <w:rsid w:val="00587378"/>
    <w:rsid w:val="00590026"/>
    <w:rsid w:val="005905AC"/>
    <w:rsid w:val="005906A5"/>
    <w:rsid w:val="005907F9"/>
    <w:rsid w:val="00590D31"/>
    <w:rsid w:val="00591703"/>
    <w:rsid w:val="00591B60"/>
    <w:rsid w:val="00592221"/>
    <w:rsid w:val="00592463"/>
    <w:rsid w:val="0059252F"/>
    <w:rsid w:val="0059285A"/>
    <w:rsid w:val="00592895"/>
    <w:rsid w:val="00592A39"/>
    <w:rsid w:val="00592E8C"/>
    <w:rsid w:val="00593075"/>
    <w:rsid w:val="00593563"/>
    <w:rsid w:val="00593FA1"/>
    <w:rsid w:val="0059408A"/>
    <w:rsid w:val="005945C9"/>
    <w:rsid w:val="005947B3"/>
    <w:rsid w:val="005947CC"/>
    <w:rsid w:val="00594B91"/>
    <w:rsid w:val="00595C15"/>
    <w:rsid w:val="00595DE6"/>
    <w:rsid w:val="00595F5D"/>
    <w:rsid w:val="0059619C"/>
    <w:rsid w:val="0059634A"/>
    <w:rsid w:val="00596EBE"/>
    <w:rsid w:val="005970C3"/>
    <w:rsid w:val="005973EF"/>
    <w:rsid w:val="0059748D"/>
    <w:rsid w:val="00597F08"/>
    <w:rsid w:val="005A03C8"/>
    <w:rsid w:val="005A0F88"/>
    <w:rsid w:val="005A0F92"/>
    <w:rsid w:val="005A0FA7"/>
    <w:rsid w:val="005A1026"/>
    <w:rsid w:val="005A1983"/>
    <w:rsid w:val="005A1B0E"/>
    <w:rsid w:val="005A1F56"/>
    <w:rsid w:val="005A2307"/>
    <w:rsid w:val="005A289C"/>
    <w:rsid w:val="005A2A0E"/>
    <w:rsid w:val="005A2B2A"/>
    <w:rsid w:val="005A2C07"/>
    <w:rsid w:val="005A2C23"/>
    <w:rsid w:val="005A2E90"/>
    <w:rsid w:val="005A3348"/>
    <w:rsid w:val="005A3860"/>
    <w:rsid w:val="005A3C09"/>
    <w:rsid w:val="005A3F7C"/>
    <w:rsid w:val="005A4184"/>
    <w:rsid w:val="005A4253"/>
    <w:rsid w:val="005A44CC"/>
    <w:rsid w:val="005A4503"/>
    <w:rsid w:val="005A4A75"/>
    <w:rsid w:val="005A4B44"/>
    <w:rsid w:val="005A4F94"/>
    <w:rsid w:val="005A5229"/>
    <w:rsid w:val="005A540A"/>
    <w:rsid w:val="005A5684"/>
    <w:rsid w:val="005A5921"/>
    <w:rsid w:val="005A5CD6"/>
    <w:rsid w:val="005A62A6"/>
    <w:rsid w:val="005A6313"/>
    <w:rsid w:val="005A6751"/>
    <w:rsid w:val="005A681A"/>
    <w:rsid w:val="005A788D"/>
    <w:rsid w:val="005A78D9"/>
    <w:rsid w:val="005A7973"/>
    <w:rsid w:val="005A7AFA"/>
    <w:rsid w:val="005A7B67"/>
    <w:rsid w:val="005B034E"/>
    <w:rsid w:val="005B0E85"/>
    <w:rsid w:val="005B1ACE"/>
    <w:rsid w:val="005B1B26"/>
    <w:rsid w:val="005B1DF0"/>
    <w:rsid w:val="005B1FC3"/>
    <w:rsid w:val="005B21F2"/>
    <w:rsid w:val="005B2675"/>
    <w:rsid w:val="005B275D"/>
    <w:rsid w:val="005B284F"/>
    <w:rsid w:val="005B3250"/>
    <w:rsid w:val="005B3E7D"/>
    <w:rsid w:val="005B3EFD"/>
    <w:rsid w:val="005B412B"/>
    <w:rsid w:val="005B44D0"/>
    <w:rsid w:val="005B4B6D"/>
    <w:rsid w:val="005B5314"/>
    <w:rsid w:val="005B5E4D"/>
    <w:rsid w:val="005B6740"/>
    <w:rsid w:val="005B6B1F"/>
    <w:rsid w:val="005B75DF"/>
    <w:rsid w:val="005B7BB4"/>
    <w:rsid w:val="005B7C71"/>
    <w:rsid w:val="005C0525"/>
    <w:rsid w:val="005C061E"/>
    <w:rsid w:val="005C0E9D"/>
    <w:rsid w:val="005C14D8"/>
    <w:rsid w:val="005C15E2"/>
    <w:rsid w:val="005C28FF"/>
    <w:rsid w:val="005C3BB1"/>
    <w:rsid w:val="005C3D92"/>
    <w:rsid w:val="005C4345"/>
    <w:rsid w:val="005C489D"/>
    <w:rsid w:val="005C4B60"/>
    <w:rsid w:val="005C4FFA"/>
    <w:rsid w:val="005C57C7"/>
    <w:rsid w:val="005C592C"/>
    <w:rsid w:val="005C5982"/>
    <w:rsid w:val="005C668B"/>
    <w:rsid w:val="005C689A"/>
    <w:rsid w:val="005C6B72"/>
    <w:rsid w:val="005C6E59"/>
    <w:rsid w:val="005C7021"/>
    <w:rsid w:val="005C7499"/>
    <w:rsid w:val="005C7788"/>
    <w:rsid w:val="005C7E11"/>
    <w:rsid w:val="005D0112"/>
    <w:rsid w:val="005D07D2"/>
    <w:rsid w:val="005D08B0"/>
    <w:rsid w:val="005D104D"/>
    <w:rsid w:val="005D11C6"/>
    <w:rsid w:val="005D1776"/>
    <w:rsid w:val="005D17ED"/>
    <w:rsid w:val="005D1B88"/>
    <w:rsid w:val="005D1E4F"/>
    <w:rsid w:val="005D20AE"/>
    <w:rsid w:val="005D224B"/>
    <w:rsid w:val="005D2633"/>
    <w:rsid w:val="005D3028"/>
    <w:rsid w:val="005D3E19"/>
    <w:rsid w:val="005D420C"/>
    <w:rsid w:val="005D49B1"/>
    <w:rsid w:val="005D49C1"/>
    <w:rsid w:val="005D4AED"/>
    <w:rsid w:val="005D4DD2"/>
    <w:rsid w:val="005D514B"/>
    <w:rsid w:val="005D53C6"/>
    <w:rsid w:val="005D56CA"/>
    <w:rsid w:val="005D5CCF"/>
    <w:rsid w:val="005D600A"/>
    <w:rsid w:val="005D6554"/>
    <w:rsid w:val="005D7493"/>
    <w:rsid w:val="005D770F"/>
    <w:rsid w:val="005D7C12"/>
    <w:rsid w:val="005E0016"/>
    <w:rsid w:val="005E07C1"/>
    <w:rsid w:val="005E0B17"/>
    <w:rsid w:val="005E0B18"/>
    <w:rsid w:val="005E0F90"/>
    <w:rsid w:val="005E1076"/>
    <w:rsid w:val="005E132D"/>
    <w:rsid w:val="005E2068"/>
    <w:rsid w:val="005E2BC0"/>
    <w:rsid w:val="005E2C30"/>
    <w:rsid w:val="005E2D73"/>
    <w:rsid w:val="005E3F0C"/>
    <w:rsid w:val="005E421A"/>
    <w:rsid w:val="005E4C28"/>
    <w:rsid w:val="005E4CA3"/>
    <w:rsid w:val="005E54C3"/>
    <w:rsid w:val="005E59AE"/>
    <w:rsid w:val="005E666A"/>
    <w:rsid w:val="005E69F9"/>
    <w:rsid w:val="005E7187"/>
    <w:rsid w:val="005E742F"/>
    <w:rsid w:val="005E7616"/>
    <w:rsid w:val="005E794B"/>
    <w:rsid w:val="005E7C13"/>
    <w:rsid w:val="005F0424"/>
    <w:rsid w:val="005F0A74"/>
    <w:rsid w:val="005F0BBA"/>
    <w:rsid w:val="005F0FFA"/>
    <w:rsid w:val="005F1449"/>
    <w:rsid w:val="005F188D"/>
    <w:rsid w:val="005F18F5"/>
    <w:rsid w:val="005F205B"/>
    <w:rsid w:val="005F2541"/>
    <w:rsid w:val="005F316D"/>
    <w:rsid w:val="005F31C1"/>
    <w:rsid w:val="005F3618"/>
    <w:rsid w:val="005F3742"/>
    <w:rsid w:val="005F384B"/>
    <w:rsid w:val="005F454E"/>
    <w:rsid w:val="005F4578"/>
    <w:rsid w:val="005F463A"/>
    <w:rsid w:val="005F47AF"/>
    <w:rsid w:val="005F4A44"/>
    <w:rsid w:val="005F4AFF"/>
    <w:rsid w:val="005F567F"/>
    <w:rsid w:val="005F582F"/>
    <w:rsid w:val="005F5BDF"/>
    <w:rsid w:val="005F5C89"/>
    <w:rsid w:val="005F5F12"/>
    <w:rsid w:val="005F6C0E"/>
    <w:rsid w:val="005F6D6A"/>
    <w:rsid w:val="005F71E3"/>
    <w:rsid w:val="005F7CF9"/>
    <w:rsid w:val="005F7F08"/>
    <w:rsid w:val="00601B7B"/>
    <w:rsid w:val="0060283C"/>
    <w:rsid w:val="00602948"/>
    <w:rsid w:val="00603876"/>
    <w:rsid w:val="00603E20"/>
    <w:rsid w:val="00605D5A"/>
    <w:rsid w:val="00606197"/>
    <w:rsid w:val="006063AC"/>
    <w:rsid w:val="0060711F"/>
    <w:rsid w:val="00607437"/>
    <w:rsid w:val="0060760A"/>
    <w:rsid w:val="0060761D"/>
    <w:rsid w:val="0060765D"/>
    <w:rsid w:val="00607C7C"/>
    <w:rsid w:val="00610A0F"/>
    <w:rsid w:val="00611646"/>
    <w:rsid w:val="00611841"/>
    <w:rsid w:val="00611A63"/>
    <w:rsid w:val="00611AEF"/>
    <w:rsid w:val="00611DDA"/>
    <w:rsid w:val="00611EB9"/>
    <w:rsid w:val="00612112"/>
    <w:rsid w:val="0061217F"/>
    <w:rsid w:val="00612311"/>
    <w:rsid w:val="00612541"/>
    <w:rsid w:val="0061272F"/>
    <w:rsid w:val="00612EE3"/>
    <w:rsid w:val="00612FD7"/>
    <w:rsid w:val="006131B0"/>
    <w:rsid w:val="006132F4"/>
    <w:rsid w:val="00613B66"/>
    <w:rsid w:val="00613CD1"/>
    <w:rsid w:val="00613E10"/>
    <w:rsid w:val="006141F8"/>
    <w:rsid w:val="006142B4"/>
    <w:rsid w:val="0061483B"/>
    <w:rsid w:val="00615483"/>
    <w:rsid w:val="006154DE"/>
    <w:rsid w:val="00615E33"/>
    <w:rsid w:val="0061632A"/>
    <w:rsid w:val="00616615"/>
    <w:rsid w:val="00616BA3"/>
    <w:rsid w:val="00617213"/>
    <w:rsid w:val="00617599"/>
    <w:rsid w:val="006202B8"/>
    <w:rsid w:val="0062065C"/>
    <w:rsid w:val="006208AB"/>
    <w:rsid w:val="00620923"/>
    <w:rsid w:val="00620C2B"/>
    <w:rsid w:val="00621151"/>
    <w:rsid w:val="0062124E"/>
    <w:rsid w:val="00621413"/>
    <w:rsid w:val="00621AE5"/>
    <w:rsid w:val="0062263E"/>
    <w:rsid w:val="006227EF"/>
    <w:rsid w:val="00622B73"/>
    <w:rsid w:val="0062301B"/>
    <w:rsid w:val="0062315A"/>
    <w:rsid w:val="00623669"/>
    <w:rsid w:val="0062385E"/>
    <w:rsid w:val="0062408E"/>
    <w:rsid w:val="00624428"/>
    <w:rsid w:val="0062447B"/>
    <w:rsid w:val="006245B2"/>
    <w:rsid w:val="0062502A"/>
    <w:rsid w:val="0062519F"/>
    <w:rsid w:val="006255CC"/>
    <w:rsid w:val="0062563B"/>
    <w:rsid w:val="00625E17"/>
    <w:rsid w:val="006262CE"/>
    <w:rsid w:val="006264CE"/>
    <w:rsid w:val="0062665B"/>
    <w:rsid w:val="00626D56"/>
    <w:rsid w:val="006271F6"/>
    <w:rsid w:val="0062744E"/>
    <w:rsid w:val="006274B2"/>
    <w:rsid w:val="00627D30"/>
    <w:rsid w:val="00630C55"/>
    <w:rsid w:val="00631B50"/>
    <w:rsid w:val="0063228E"/>
    <w:rsid w:val="00632527"/>
    <w:rsid w:val="006328A3"/>
    <w:rsid w:val="00633017"/>
    <w:rsid w:val="0063329B"/>
    <w:rsid w:val="00633412"/>
    <w:rsid w:val="00633B63"/>
    <w:rsid w:val="00633B72"/>
    <w:rsid w:val="00634EA3"/>
    <w:rsid w:val="006357FD"/>
    <w:rsid w:val="006365BF"/>
    <w:rsid w:val="00636935"/>
    <w:rsid w:val="00637C37"/>
    <w:rsid w:val="006405E3"/>
    <w:rsid w:val="00640820"/>
    <w:rsid w:val="006410EE"/>
    <w:rsid w:val="00641489"/>
    <w:rsid w:val="00641B29"/>
    <w:rsid w:val="00641C6B"/>
    <w:rsid w:val="00642501"/>
    <w:rsid w:val="006429D0"/>
    <w:rsid w:val="00642D7A"/>
    <w:rsid w:val="006430EA"/>
    <w:rsid w:val="006432F4"/>
    <w:rsid w:val="00643372"/>
    <w:rsid w:val="0064406D"/>
    <w:rsid w:val="0064553B"/>
    <w:rsid w:val="00645628"/>
    <w:rsid w:val="006459EB"/>
    <w:rsid w:val="00645AAD"/>
    <w:rsid w:val="00645C5C"/>
    <w:rsid w:val="00645EBA"/>
    <w:rsid w:val="00646241"/>
    <w:rsid w:val="00646C2F"/>
    <w:rsid w:val="0064711C"/>
    <w:rsid w:val="00647429"/>
    <w:rsid w:val="00647572"/>
    <w:rsid w:val="006477DC"/>
    <w:rsid w:val="0065012C"/>
    <w:rsid w:val="00650500"/>
    <w:rsid w:val="00651A19"/>
    <w:rsid w:val="006520AA"/>
    <w:rsid w:val="00652590"/>
    <w:rsid w:val="00653BEB"/>
    <w:rsid w:val="006545FE"/>
    <w:rsid w:val="00654B2D"/>
    <w:rsid w:val="00656215"/>
    <w:rsid w:val="006562B5"/>
    <w:rsid w:val="00656DC8"/>
    <w:rsid w:val="00657088"/>
    <w:rsid w:val="006570E0"/>
    <w:rsid w:val="0065740D"/>
    <w:rsid w:val="0065748F"/>
    <w:rsid w:val="0065787C"/>
    <w:rsid w:val="006578DF"/>
    <w:rsid w:val="00657CC5"/>
    <w:rsid w:val="00657EE2"/>
    <w:rsid w:val="00657F52"/>
    <w:rsid w:val="00660060"/>
    <w:rsid w:val="006607F0"/>
    <w:rsid w:val="00660B7D"/>
    <w:rsid w:val="006613AE"/>
    <w:rsid w:val="006614BC"/>
    <w:rsid w:val="00661613"/>
    <w:rsid w:val="006617D2"/>
    <w:rsid w:val="006628EE"/>
    <w:rsid w:val="00663222"/>
    <w:rsid w:val="00663B05"/>
    <w:rsid w:val="00663CC6"/>
    <w:rsid w:val="00663ED5"/>
    <w:rsid w:val="0066400C"/>
    <w:rsid w:val="006642E5"/>
    <w:rsid w:val="006644CC"/>
    <w:rsid w:val="006648BD"/>
    <w:rsid w:val="00664D0F"/>
    <w:rsid w:val="00664E93"/>
    <w:rsid w:val="006650F7"/>
    <w:rsid w:val="00665740"/>
    <w:rsid w:val="006657EF"/>
    <w:rsid w:val="00665C2B"/>
    <w:rsid w:val="00665E46"/>
    <w:rsid w:val="0066680B"/>
    <w:rsid w:val="00666C8C"/>
    <w:rsid w:val="00667EFC"/>
    <w:rsid w:val="00670026"/>
    <w:rsid w:val="00670719"/>
    <w:rsid w:val="006711D0"/>
    <w:rsid w:val="00671388"/>
    <w:rsid w:val="006715BF"/>
    <w:rsid w:val="00671FA1"/>
    <w:rsid w:val="00672129"/>
    <w:rsid w:val="006723E2"/>
    <w:rsid w:val="0067279E"/>
    <w:rsid w:val="006735BF"/>
    <w:rsid w:val="0067379F"/>
    <w:rsid w:val="00673B91"/>
    <w:rsid w:val="00673BC0"/>
    <w:rsid w:val="006741B3"/>
    <w:rsid w:val="006742B4"/>
    <w:rsid w:val="00674AB4"/>
    <w:rsid w:val="00675080"/>
    <w:rsid w:val="0067658B"/>
    <w:rsid w:val="00676672"/>
    <w:rsid w:val="00676AD3"/>
    <w:rsid w:val="00677030"/>
    <w:rsid w:val="0067709C"/>
    <w:rsid w:val="00677558"/>
    <w:rsid w:val="00677B53"/>
    <w:rsid w:val="006807EC"/>
    <w:rsid w:val="00680D6C"/>
    <w:rsid w:val="00680D98"/>
    <w:rsid w:val="00680DDB"/>
    <w:rsid w:val="00681169"/>
    <w:rsid w:val="00681752"/>
    <w:rsid w:val="00682586"/>
    <w:rsid w:val="00682D22"/>
    <w:rsid w:val="006837F0"/>
    <w:rsid w:val="00683834"/>
    <w:rsid w:val="00683A01"/>
    <w:rsid w:val="00683CF6"/>
    <w:rsid w:val="00683FC1"/>
    <w:rsid w:val="006842B0"/>
    <w:rsid w:val="00684D70"/>
    <w:rsid w:val="00685548"/>
    <w:rsid w:val="00685849"/>
    <w:rsid w:val="006860D3"/>
    <w:rsid w:val="00686CF8"/>
    <w:rsid w:val="006871A5"/>
    <w:rsid w:val="00690091"/>
    <w:rsid w:val="006900EE"/>
    <w:rsid w:val="006903C1"/>
    <w:rsid w:val="00690400"/>
    <w:rsid w:val="006913F6"/>
    <w:rsid w:val="0069163F"/>
    <w:rsid w:val="00691E49"/>
    <w:rsid w:val="00691F3D"/>
    <w:rsid w:val="00692282"/>
    <w:rsid w:val="0069250D"/>
    <w:rsid w:val="006926B7"/>
    <w:rsid w:val="00692E95"/>
    <w:rsid w:val="006931FF"/>
    <w:rsid w:val="00693F00"/>
    <w:rsid w:val="006947EC"/>
    <w:rsid w:val="00694DF5"/>
    <w:rsid w:val="00694FD8"/>
    <w:rsid w:val="00695560"/>
    <w:rsid w:val="00695BCF"/>
    <w:rsid w:val="00696180"/>
    <w:rsid w:val="00696358"/>
    <w:rsid w:val="00696504"/>
    <w:rsid w:val="006969CD"/>
    <w:rsid w:val="00696E20"/>
    <w:rsid w:val="00696EA2"/>
    <w:rsid w:val="00697445"/>
    <w:rsid w:val="00697534"/>
    <w:rsid w:val="00697AC2"/>
    <w:rsid w:val="006A08D3"/>
    <w:rsid w:val="006A0976"/>
    <w:rsid w:val="006A0B73"/>
    <w:rsid w:val="006A2140"/>
    <w:rsid w:val="006A321A"/>
    <w:rsid w:val="006A3319"/>
    <w:rsid w:val="006A3C1D"/>
    <w:rsid w:val="006A3E71"/>
    <w:rsid w:val="006A4714"/>
    <w:rsid w:val="006A4758"/>
    <w:rsid w:val="006A50E1"/>
    <w:rsid w:val="006A556B"/>
    <w:rsid w:val="006A558D"/>
    <w:rsid w:val="006A583B"/>
    <w:rsid w:val="006A5BF8"/>
    <w:rsid w:val="006A5D0F"/>
    <w:rsid w:val="006A5F58"/>
    <w:rsid w:val="006A642D"/>
    <w:rsid w:val="006A759C"/>
    <w:rsid w:val="006A7924"/>
    <w:rsid w:val="006A7D5B"/>
    <w:rsid w:val="006A7F80"/>
    <w:rsid w:val="006A7FE5"/>
    <w:rsid w:val="006B0FA2"/>
    <w:rsid w:val="006B1628"/>
    <w:rsid w:val="006B17BE"/>
    <w:rsid w:val="006B2242"/>
    <w:rsid w:val="006B28D6"/>
    <w:rsid w:val="006B29E7"/>
    <w:rsid w:val="006B2F45"/>
    <w:rsid w:val="006B2F69"/>
    <w:rsid w:val="006B2FBB"/>
    <w:rsid w:val="006B3B36"/>
    <w:rsid w:val="006B3CC9"/>
    <w:rsid w:val="006B40FF"/>
    <w:rsid w:val="006B426A"/>
    <w:rsid w:val="006B429F"/>
    <w:rsid w:val="006B5611"/>
    <w:rsid w:val="006B59F7"/>
    <w:rsid w:val="006B5B1C"/>
    <w:rsid w:val="006B6579"/>
    <w:rsid w:val="006B6E54"/>
    <w:rsid w:val="006B712A"/>
    <w:rsid w:val="006B77D6"/>
    <w:rsid w:val="006C1018"/>
    <w:rsid w:val="006C13E0"/>
    <w:rsid w:val="006C210E"/>
    <w:rsid w:val="006C2AB6"/>
    <w:rsid w:val="006C328E"/>
    <w:rsid w:val="006C39B8"/>
    <w:rsid w:val="006C3C63"/>
    <w:rsid w:val="006C42BC"/>
    <w:rsid w:val="006C4560"/>
    <w:rsid w:val="006C464E"/>
    <w:rsid w:val="006C4CB4"/>
    <w:rsid w:val="006C4FEC"/>
    <w:rsid w:val="006C53DE"/>
    <w:rsid w:val="006C5923"/>
    <w:rsid w:val="006C5DD8"/>
    <w:rsid w:val="006C6004"/>
    <w:rsid w:val="006C61D5"/>
    <w:rsid w:val="006C6788"/>
    <w:rsid w:val="006C689C"/>
    <w:rsid w:val="006C6EAF"/>
    <w:rsid w:val="006C72B2"/>
    <w:rsid w:val="006C73BE"/>
    <w:rsid w:val="006C76A8"/>
    <w:rsid w:val="006C794A"/>
    <w:rsid w:val="006C7BE3"/>
    <w:rsid w:val="006C7E71"/>
    <w:rsid w:val="006C7F2D"/>
    <w:rsid w:val="006D079A"/>
    <w:rsid w:val="006D0E22"/>
    <w:rsid w:val="006D1354"/>
    <w:rsid w:val="006D2103"/>
    <w:rsid w:val="006D219E"/>
    <w:rsid w:val="006D28E6"/>
    <w:rsid w:val="006D2DD7"/>
    <w:rsid w:val="006D3E4A"/>
    <w:rsid w:val="006D4281"/>
    <w:rsid w:val="006D5132"/>
    <w:rsid w:val="006D594D"/>
    <w:rsid w:val="006D61B6"/>
    <w:rsid w:val="006D62D0"/>
    <w:rsid w:val="006D6B52"/>
    <w:rsid w:val="006D6E23"/>
    <w:rsid w:val="006D76BD"/>
    <w:rsid w:val="006D78D4"/>
    <w:rsid w:val="006D7AE2"/>
    <w:rsid w:val="006D7B4E"/>
    <w:rsid w:val="006D7D46"/>
    <w:rsid w:val="006D7DF9"/>
    <w:rsid w:val="006E0173"/>
    <w:rsid w:val="006E0535"/>
    <w:rsid w:val="006E0C02"/>
    <w:rsid w:val="006E1026"/>
    <w:rsid w:val="006E115B"/>
    <w:rsid w:val="006E152A"/>
    <w:rsid w:val="006E1563"/>
    <w:rsid w:val="006E1960"/>
    <w:rsid w:val="006E1A8E"/>
    <w:rsid w:val="006E2547"/>
    <w:rsid w:val="006E28BB"/>
    <w:rsid w:val="006E326E"/>
    <w:rsid w:val="006E334F"/>
    <w:rsid w:val="006E3356"/>
    <w:rsid w:val="006E38AE"/>
    <w:rsid w:val="006E3B61"/>
    <w:rsid w:val="006E3E49"/>
    <w:rsid w:val="006E3FE6"/>
    <w:rsid w:val="006E42F0"/>
    <w:rsid w:val="006E4805"/>
    <w:rsid w:val="006E505A"/>
    <w:rsid w:val="006E56EE"/>
    <w:rsid w:val="006E59B3"/>
    <w:rsid w:val="006E5E29"/>
    <w:rsid w:val="006E682B"/>
    <w:rsid w:val="006E7001"/>
    <w:rsid w:val="006E7705"/>
    <w:rsid w:val="006E77F8"/>
    <w:rsid w:val="006E7E16"/>
    <w:rsid w:val="006E7FFA"/>
    <w:rsid w:val="006F0028"/>
    <w:rsid w:val="006F077B"/>
    <w:rsid w:val="006F08AE"/>
    <w:rsid w:val="006F092D"/>
    <w:rsid w:val="006F111B"/>
    <w:rsid w:val="006F137B"/>
    <w:rsid w:val="006F170B"/>
    <w:rsid w:val="006F174C"/>
    <w:rsid w:val="006F1F1C"/>
    <w:rsid w:val="006F2186"/>
    <w:rsid w:val="006F254B"/>
    <w:rsid w:val="006F2951"/>
    <w:rsid w:val="006F2D4A"/>
    <w:rsid w:val="006F2D6B"/>
    <w:rsid w:val="006F36C6"/>
    <w:rsid w:val="006F3AB1"/>
    <w:rsid w:val="006F3F8E"/>
    <w:rsid w:val="006F3FA5"/>
    <w:rsid w:val="006F4882"/>
    <w:rsid w:val="006F49EB"/>
    <w:rsid w:val="006F4FDD"/>
    <w:rsid w:val="006F5067"/>
    <w:rsid w:val="006F5A22"/>
    <w:rsid w:val="006F5E9F"/>
    <w:rsid w:val="006F697D"/>
    <w:rsid w:val="006F6A92"/>
    <w:rsid w:val="006F7842"/>
    <w:rsid w:val="006F7B52"/>
    <w:rsid w:val="0070079C"/>
    <w:rsid w:val="00701601"/>
    <w:rsid w:val="00701CAE"/>
    <w:rsid w:val="00701E77"/>
    <w:rsid w:val="00702F88"/>
    <w:rsid w:val="00704A69"/>
    <w:rsid w:val="00704CA1"/>
    <w:rsid w:val="00705D8B"/>
    <w:rsid w:val="00705DB0"/>
    <w:rsid w:val="00706397"/>
    <w:rsid w:val="00706A46"/>
    <w:rsid w:val="00706A8E"/>
    <w:rsid w:val="007077D2"/>
    <w:rsid w:val="007078EB"/>
    <w:rsid w:val="0070794B"/>
    <w:rsid w:val="00707E2E"/>
    <w:rsid w:val="0071086E"/>
    <w:rsid w:val="00710C71"/>
    <w:rsid w:val="0071164B"/>
    <w:rsid w:val="0071178A"/>
    <w:rsid w:val="00711CC2"/>
    <w:rsid w:val="0071212E"/>
    <w:rsid w:val="007123F6"/>
    <w:rsid w:val="00712728"/>
    <w:rsid w:val="00712BC4"/>
    <w:rsid w:val="00712C9A"/>
    <w:rsid w:val="00712CEB"/>
    <w:rsid w:val="00712D68"/>
    <w:rsid w:val="007135EE"/>
    <w:rsid w:val="0071384F"/>
    <w:rsid w:val="00713C24"/>
    <w:rsid w:val="00713EDC"/>
    <w:rsid w:val="0071457D"/>
    <w:rsid w:val="0071496A"/>
    <w:rsid w:val="00714D6D"/>
    <w:rsid w:val="00714F40"/>
    <w:rsid w:val="007153DF"/>
    <w:rsid w:val="00715B1C"/>
    <w:rsid w:val="00716278"/>
    <w:rsid w:val="007179F3"/>
    <w:rsid w:val="00717E40"/>
    <w:rsid w:val="00720142"/>
    <w:rsid w:val="0072042B"/>
    <w:rsid w:val="007205EC"/>
    <w:rsid w:val="0072100F"/>
    <w:rsid w:val="00721591"/>
    <w:rsid w:val="00721AF9"/>
    <w:rsid w:val="00721B64"/>
    <w:rsid w:val="00721DD2"/>
    <w:rsid w:val="00721E3B"/>
    <w:rsid w:val="00722531"/>
    <w:rsid w:val="0072286A"/>
    <w:rsid w:val="00722957"/>
    <w:rsid w:val="00722DFB"/>
    <w:rsid w:val="00722E6C"/>
    <w:rsid w:val="00723435"/>
    <w:rsid w:val="007240EE"/>
    <w:rsid w:val="007242BB"/>
    <w:rsid w:val="007244DB"/>
    <w:rsid w:val="0072550C"/>
    <w:rsid w:val="0072668F"/>
    <w:rsid w:val="00726B4A"/>
    <w:rsid w:val="00726BDA"/>
    <w:rsid w:val="00726F98"/>
    <w:rsid w:val="007272C7"/>
    <w:rsid w:val="0072768D"/>
    <w:rsid w:val="0073040D"/>
    <w:rsid w:val="00730425"/>
    <w:rsid w:val="0073052C"/>
    <w:rsid w:val="00730C52"/>
    <w:rsid w:val="00731006"/>
    <w:rsid w:val="00731CA1"/>
    <w:rsid w:val="0073281E"/>
    <w:rsid w:val="00732AFB"/>
    <w:rsid w:val="00732B45"/>
    <w:rsid w:val="00734418"/>
    <w:rsid w:val="00734436"/>
    <w:rsid w:val="00734D74"/>
    <w:rsid w:val="00735104"/>
    <w:rsid w:val="007354B0"/>
    <w:rsid w:val="00735B12"/>
    <w:rsid w:val="00735BBA"/>
    <w:rsid w:val="00736115"/>
    <w:rsid w:val="0073622B"/>
    <w:rsid w:val="007364F6"/>
    <w:rsid w:val="00736F22"/>
    <w:rsid w:val="0073729D"/>
    <w:rsid w:val="007378F0"/>
    <w:rsid w:val="0074135D"/>
    <w:rsid w:val="00741C8A"/>
    <w:rsid w:val="00741F6E"/>
    <w:rsid w:val="007422D3"/>
    <w:rsid w:val="00742BD7"/>
    <w:rsid w:val="00742F60"/>
    <w:rsid w:val="0074346B"/>
    <w:rsid w:val="0074365C"/>
    <w:rsid w:val="00743918"/>
    <w:rsid w:val="00743DAF"/>
    <w:rsid w:val="00743E73"/>
    <w:rsid w:val="0074570F"/>
    <w:rsid w:val="0074599F"/>
    <w:rsid w:val="00745A00"/>
    <w:rsid w:val="00745E53"/>
    <w:rsid w:val="00747934"/>
    <w:rsid w:val="00747B12"/>
    <w:rsid w:val="00747C42"/>
    <w:rsid w:val="0075004C"/>
    <w:rsid w:val="00750195"/>
    <w:rsid w:val="00750FCC"/>
    <w:rsid w:val="00751838"/>
    <w:rsid w:val="00751BCA"/>
    <w:rsid w:val="00751C03"/>
    <w:rsid w:val="00752047"/>
    <w:rsid w:val="00752465"/>
    <w:rsid w:val="00752506"/>
    <w:rsid w:val="00752BED"/>
    <w:rsid w:val="00753234"/>
    <w:rsid w:val="0075329D"/>
    <w:rsid w:val="00753370"/>
    <w:rsid w:val="00753580"/>
    <w:rsid w:val="0075382F"/>
    <w:rsid w:val="00753B6C"/>
    <w:rsid w:val="00753D1C"/>
    <w:rsid w:val="00753EE5"/>
    <w:rsid w:val="0075495E"/>
    <w:rsid w:val="007553BE"/>
    <w:rsid w:val="007558D2"/>
    <w:rsid w:val="00756555"/>
    <w:rsid w:val="00757988"/>
    <w:rsid w:val="00757AF0"/>
    <w:rsid w:val="00757BDD"/>
    <w:rsid w:val="00757C15"/>
    <w:rsid w:val="00757EB6"/>
    <w:rsid w:val="007601BF"/>
    <w:rsid w:val="007601F0"/>
    <w:rsid w:val="00760D8D"/>
    <w:rsid w:val="00761185"/>
    <w:rsid w:val="00761B47"/>
    <w:rsid w:val="00762267"/>
    <w:rsid w:val="0076271F"/>
    <w:rsid w:val="00762751"/>
    <w:rsid w:val="00762C28"/>
    <w:rsid w:val="007635CA"/>
    <w:rsid w:val="00763B86"/>
    <w:rsid w:val="00763BC8"/>
    <w:rsid w:val="00763CC4"/>
    <w:rsid w:val="00763D64"/>
    <w:rsid w:val="00763F6A"/>
    <w:rsid w:val="00764077"/>
    <w:rsid w:val="00764585"/>
    <w:rsid w:val="007651A9"/>
    <w:rsid w:val="0076650C"/>
    <w:rsid w:val="007674D8"/>
    <w:rsid w:val="00767D56"/>
    <w:rsid w:val="00767FB2"/>
    <w:rsid w:val="00770751"/>
    <w:rsid w:val="007710A9"/>
    <w:rsid w:val="0077160D"/>
    <w:rsid w:val="00772472"/>
    <w:rsid w:val="00772C61"/>
    <w:rsid w:val="00772CE3"/>
    <w:rsid w:val="007731C4"/>
    <w:rsid w:val="007732E9"/>
    <w:rsid w:val="00773A7F"/>
    <w:rsid w:val="00773E56"/>
    <w:rsid w:val="00774229"/>
    <w:rsid w:val="007744E0"/>
    <w:rsid w:val="00775095"/>
    <w:rsid w:val="0077658D"/>
    <w:rsid w:val="007769CA"/>
    <w:rsid w:val="00776AE8"/>
    <w:rsid w:val="00776D80"/>
    <w:rsid w:val="007773B0"/>
    <w:rsid w:val="007776B0"/>
    <w:rsid w:val="0077780C"/>
    <w:rsid w:val="00777CCE"/>
    <w:rsid w:val="00777DFF"/>
    <w:rsid w:val="00777E06"/>
    <w:rsid w:val="00780005"/>
    <w:rsid w:val="00780772"/>
    <w:rsid w:val="00780CFE"/>
    <w:rsid w:val="00780EDB"/>
    <w:rsid w:val="00781760"/>
    <w:rsid w:val="007819E3"/>
    <w:rsid w:val="00782BFA"/>
    <w:rsid w:val="007834C3"/>
    <w:rsid w:val="00783C90"/>
    <w:rsid w:val="00783DEB"/>
    <w:rsid w:val="00783DF6"/>
    <w:rsid w:val="00783F3E"/>
    <w:rsid w:val="0078415A"/>
    <w:rsid w:val="00784B03"/>
    <w:rsid w:val="00784C72"/>
    <w:rsid w:val="00784CEA"/>
    <w:rsid w:val="00784F8E"/>
    <w:rsid w:val="00784FC5"/>
    <w:rsid w:val="00784FFD"/>
    <w:rsid w:val="007852C9"/>
    <w:rsid w:val="007855CF"/>
    <w:rsid w:val="007857F0"/>
    <w:rsid w:val="00785CD1"/>
    <w:rsid w:val="007867C0"/>
    <w:rsid w:val="00786DEE"/>
    <w:rsid w:val="0078733E"/>
    <w:rsid w:val="0078743A"/>
    <w:rsid w:val="00787A1D"/>
    <w:rsid w:val="00787FA4"/>
    <w:rsid w:val="00791267"/>
    <w:rsid w:val="00791DED"/>
    <w:rsid w:val="0079223F"/>
    <w:rsid w:val="00792EC1"/>
    <w:rsid w:val="007931C2"/>
    <w:rsid w:val="00793204"/>
    <w:rsid w:val="00793280"/>
    <w:rsid w:val="00793897"/>
    <w:rsid w:val="00793B17"/>
    <w:rsid w:val="0079414F"/>
    <w:rsid w:val="007942E0"/>
    <w:rsid w:val="0079436D"/>
    <w:rsid w:val="00794412"/>
    <w:rsid w:val="007949EB"/>
    <w:rsid w:val="00795299"/>
    <w:rsid w:val="007956BA"/>
    <w:rsid w:val="0079575F"/>
    <w:rsid w:val="00796066"/>
    <w:rsid w:val="0079639D"/>
    <w:rsid w:val="00796838"/>
    <w:rsid w:val="00796869"/>
    <w:rsid w:val="00796EDD"/>
    <w:rsid w:val="007971AD"/>
    <w:rsid w:val="00797514"/>
    <w:rsid w:val="00797C8F"/>
    <w:rsid w:val="00797EB9"/>
    <w:rsid w:val="007A00F4"/>
    <w:rsid w:val="007A0357"/>
    <w:rsid w:val="007A04B4"/>
    <w:rsid w:val="007A0A50"/>
    <w:rsid w:val="007A1200"/>
    <w:rsid w:val="007A1522"/>
    <w:rsid w:val="007A19C4"/>
    <w:rsid w:val="007A1C20"/>
    <w:rsid w:val="007A245A"/>
    <w:rsid w:val="007A3410"/>
    <w:rsid w:val="007A3E2F"/>
    <w:rsid w:val="007A4569"/>
    <w:rsid w:val="007A495C"/>
    <w:rsid w:val="007A4B27"/>
    <w:rsid w:val="007A4CA5"/>
    <w:rsid w:val="007A549D"/>
    <w:rsid w:val="007A5914"/>
    <w:rsid w:val="007A59F8"/>
    <w:rsid w:val="007A5FA0"/>
    <w:rsid w:val="007A66B3"/>
    <w:rsid w:val="007A6B9D"/>
    <w:rsid w:val="007A7105"/>
    <w:rsid w:val="007A75FF"/>
    <w:rsid w:val="007A7DF2"/>
    <w:rsid w:val="007B0246"/>
    <w:rsid w:val="007B03A2"/>
    <w:rsid w:val="007B05F5"/>
    <w:rsid w:val="007B1C0F"/>
    <w:rsid w:val="007B1C11"/>
    <w:rsid w:val="007B246B"/>
    <w:rsid w:val="007B3153"/>
    <w:rsid w:val="007B322D"/>
    <w:rsid w:val="007B35C9"/>
    <w:rsid w:val="007B4432"/>
    <w:rsid w:val="007B470C"/>
    <w:rsid w:val="007B5471"/>
    <w:rsid w:val="007B5764"/>
    <w:rsid w:val="007B58DF"/>
    <w:rsid w:val="007B6299"/>
    <w:rsid w:val="007B7085"/>
    <w:rsid w:val="007B71A2"/>
    <w:rsid w:val="007B7364"/>
    <w:rsid w:val="007B757E"/>
    <w:rsid w:val="007B7F0E"/>
    <w:rsid w:val="007C029F"/>
    <w:rsid w:val="007C02C1"/>
    <w:rsid w:val="007C071F"/>
    <w:rsid w:val="007C0919"/>
    <w:rsid w:val="007C0C85"/>
    <w:rsid w:val="007C2042"/>
    <w:rsid w:val="007C2330"/>
    <w:rsid w:val="007C2472"/>
    <w:rsid w:val="007C3341"/>
    <w:rsid w:val="007C42FB"/>
    <w:rsid w:val="007C4F84"/>
    <w:rsid w:val="007C521F"/>
    <w:rsid w:val="007C5264"/>
    <w:rsid w:val="007C55A4"/>
    <w:rsid w:val="007C5A85"/>
    <w:rsid w:val="007C62D2"/>
    <w:rsid w:val="007C65F2"/>
    <w:rsid w:val="007C718D"/>
    <w:rsid w:val="007C75D3"/>
    <w:rsid w:val="007C78E5"/>
    <w:rsid w:val="007C7B2C"/>
    <w:rsid w:val="007C7F14"/>
    <w:rsid w:val="007D021B"/>
    <w:rsid w:val="007D07AD"/>
    <w:rsid w:val="007D0A46"/>
    <w:rsid w:val="007D122F"/>
    <w:rsid w:val="007D193E"/>
    <w:rsid w:val="007D1F5C"/>
    <w:rsid w:val="007D2A59"/>
    <w:rsid w:val="007D3715"/>
    <w:rsid w:val="007D38DE"/>
    <w:rsid w:val="007D3A2D"/>
    <w:rsid w:val="007D4123"/>
    <w:rsid w:val="007D4D60"/>
    <w:rsid w:val="007D4E0B"/>
    <w:rsid w:val="007D4EED"/>
    <w:rsid w:val="007D5465"/>
    <w:rsid w:val="007D56A2"/>
    <w:rsid w:val="007D5B2C"/>
    <w:rsid w:val="007D6D5C"/>
    <w:rsid w:val="007D7004"/>
    <w:rsid w:val="007D717B"/>
    <w:rsid w:val="007D71FA"/>
    <w:rsid w:val="007D78E6"/>
    <w:rsid w:val="007E039A"/>
    <w:rsid w:val="007E07E6"/>
    <w:rsid w:val="007E10AB"/>
    <w:rsid w:val="007E140D"/>
    <w:rsid w:val="007E1FEB"/>
    <w:rsid w:val="007E21F7"/>
    <w:rsid w:val="007E22AF"/>
    <w:rsid w:val="007E3020"/>
    <w:rsid w:val="007E3509"/>
    <w:rsid w:val="007E3981"/>
    <w:rsid w:val="007E3CA7"/>
    <w:rsid w:val="007E428F"/>
    <w:rsid w:val="007E4676"/>
    <w:rsid w:val="007E4745"/>
    <w:rsid w:val="007E4C07"/>
    <w:rsid w:val="007E581B"/>
    <w:rsid w:val="007E6069"/>
    <w:rsid w:val="007E61AA"/>
    <w:rsid w:val="007E6A99"/>
    <w:rsid w:val="007E74A0"/>
    <w:rsid w:val="007E7A74"/>
    <w:rsid w:val="007F0A22"/>
    <w:rsid w:val="007F0DDB"/>
    <w:rsid w:val="007F0F08"/>
    <w:rsid w:val="007F14AD"/>
    <w:rsid w:val="007F15A2"/>
    <w:rsid w:val="007F1887"/>
    <w:rsid w:val="007F193E"/>
    <w:rsid w:val="007F2761"/>
    <w:rsid w:val="007F3033"/>
    <w:rsid w:val="007F326D"/>
    <w:rsid w:val="007F4499"/>
    <w:rsid w:val="007F44A9"/>
    <w:rsid w:val="007F51D0"/>
    <w:rsid w:val="007F5FA9"/>
    <w:rsid w:val="007F6426"/>
    <w:rsid w:val="007F65CB"/>
    <w:rsid w:val="007F7614"/>
    <w:rsid w:val="007F79ED"/>
    <w:rsid w:val="007F7B2B"/>
    <w:rsid w:val="00800214"/>
    <w:rsid w:val="008004B2"/>
    <w:rsid w:val="00800D55"/>
    <w:rsid w:val="00800E75"/>
    <w:rsid w:val="00801146"/>
    <w:rsid w:val="008011E2"/>
    <w:rsid w:val="00801536"/>
    <w:rsid w:val="00801744"/>
    <w:rsid w:val="008017DA"/>
    <w:rsid w:val="00801B9A"/>
    <w:rsid w:val="008023CA"/>
    <w:rsid w:val="00802C0E"/>
    <w:rsid w:val="00802EE8"/>
    <w:rsid w:val="00802FDC"/>
    <w:rsid w:val="00803263"/>
    <w:rsid w:val="008038DE"/>
    <w:rsid w:val="00803C4B"/>
    <w:rsid w:val="00803FAC"/>
    <w:rsid w:val="00803FFA"/>
    <w:rsid w:val="00804107"/>
    <w:rsid w:val="0080493B"/>
    <w:rsid w:val="0080583D"/>
    <w:rsid w:val="00805C01"/>
    <w:rsid w:val="00806037"/>
    <w:rsid w:val="0080610D"/>
    <w:rsid w:val="0080671F"/>
    <w:rsid w:val="008070B8"/>
    <w:rsid w:val="008110C0"/>
    <w:rsid w:val="0081119D"/>
    <w:rsid w:val="00811F67"/>
    <w:rsid w:val="00811F82"/>
    <w:rsid w:val="00812BA5"/>
    <w:rsid w:val="00813123"/>
    <w:rsid w:val="0081356B"/>
    <w:rsid w:val="00813A7A"/>
    <w:rsid w:val="00813F7E"/>
    <w:rsid w:val="0081496E"/>
    <w:rsid w:val="008152B2"/>
    <w:rsid w:val="00815553"/>
    <w:rsid w:val="00816660"/>
    <w:rsid w:val="008172F1"/>
    <w:rsid w:val="00817675"/>
    <w:rsid w:val="00817855"/>
    <w:rsid w:val="00817E0B"/>
    <w:rsid w:val="00820210"/>
    <w:rsid w:val="00821EC2"/>
    <w:rsid w:val="00822964"/>
    <w:rsid w:val="00823D18"/>
    <w:rsid w:val="00823F07"/>
    <w:rsid w:val="00824C6B"/>
    <w:rsid w:val="00825074"/>
    <w:rsid w:val="008255BF"/>
    <w:rsid w:val="0082571D"/>
    <w:rsid w:val="00825F4C"/>
    <w:rsid w:val="00826589"/>
    <w:rsid w:val="00826C2C"/>
    <w:rsid w:val="00826E57"/>
    <w:rsid w:val="00827056"/>
    <w:rsid w:val="0082718E"/>
    <w:rsid w:val="0082723E"/>
    <w:rsid w:val="008274C1"/>
    <w:rsid w:val="0083003C"/>
    <w:rsid w:val="008316B9"/>
    <w:rsid w:val="00831F12"/>
    <w:rsid w:val="00832023"/>
    <w:rsid w:val="0083210C"/>
    <w:rsid w:val="008326F5"/>
    <w:rsid w:val="00833392"/>
    <w:rsid w:val="00833BAA"/>
    <w:rsid w:val="0083406B"/>
    <w:rsid w:val="008342E7"/>
    <w:rsid w:val="00834DBA"/>
    <w:rsid w:val="008355BC"/>
    <w:rsid w:val="0083569E"/>
    <w:rsid w:val="00835A07"/>
    <w:rsid w:val="0083611E"/>
    <w:rsid w:val="00837685"/>
    <w:rsid w:val="008376C5"/>
    <w:rsid w:val="00837EF8"/>
    <w:rsid w:val="00840019"/>
    <w:rsid w:val="008403AA"/>
    <w:rsid w:val="008404CC"/>
    <w:rsid w:val="008406B4"/>
    <w:rsid w:val="0084076A"/>
    <w:rsid w:val="00840B8D"/>
    <w:rsid w:val="00840DBB"/>
    <w:rsid w:val="00840E0C"/>
    <w:rsid w:val="0084147C"/>
    <w:rsid w:val="00842F4E"/>
    <w:rsid w:val="008437EC"/>
    <w:rsid w:val="00843EDA"/>
    <w:rsid w:val="00844AA6"/>
    <w:rsid w:val="00844B4C"/>
    <w:rsid w:val="00844D02"/>
    <w:rsid w:val="00844D89"/>
    <w:rsid w:val="0084524F"/>
    <w:rsid w:val="008454EC"/>
    <w:rsid w:val="008464EB"/>
    <w:rsid w:val="008465CA"/>
    <w:rsid w:val="0084662D"/>
    <w:rsid w:val="008466CE"/>
    <w:rsid w:val="00846BC2"/>
    <w:rsid w:val="00846D00"/>
    <w:rsid w:val="008471D7"/>
    <w:rsid w:val="008472A4"/>
    <w:rsid w:val="00847328"/>
    <w:rsid w:val="0084737D"/>
    <w:rsid w:val="00847E5D"/>
    <w:rsid w:val="00850057"/>
    <w:rsid w:val="00850304"/>
    <w:rsid w:val="0085146D"/>
    <w:rsid w:val="008518F6"/>
    <w:rsid w:val="00851927"/>
    <w:rsid w:val="00851E69"/>
    <w:rsid w:val="00852121"/>
    <w:rsid w:val="008521FD"/>
    <w:rsid w:val="008522A2"/>
    <w:rsid w:val="0085311D"/>
    <w:rsid w:val="008531D4"/>
    <w:rsid w:val="00853222"/>
    <w:rsid w:val="0085378B"/>
    <w:rsid w:val="008537C1"/>
    <w:rsid w:val="00853E2D"/>
    <w:rsid w:val="0085432A"/>
    <w:rsid w:val="0085469E"/>
    <w:rsid w:val="00854E4B"/>
    <w:rsid w:val="008551DA"/>
    <w:rsid w:val="0085595A"/>
    <w:rsid w:val="00856854"/>
    <w:rsid w:val="00856904"/>
    <w:rsid w:val="008569A8"/>
    <w:rsid w:val="00856A13"/>
    <w:rsid w:val="00856C50"/>
    <w:rsid w:val="00857135"/>
    <w:rsid w:val="00857147"/>
    <w:rsid w:val="008576D3"/>
    <w:rsid w:val="00857A02"/>
    <w:rsid w:val="00857E1C"/>
    <w:rsid w:val="0086009C"/>
    <w:rsid w:val="0086178C"/>
    <w:rsid w:val="00861DF0"/>
    <w:rsid w:val="00861E0F"/>
    <w:rsid w:val="00862A4F"/>
    <w:rsid w:val="00862C93"/>
    <w:rsid w:val="00863F68"/>
    <w:rsid w:val="00864739"/>
    <w:rsid w:val="00865188"/>
    <w:rsid w:val="00865362"/>
    <w:rsid w:val="00865688"/>
    <w:rsid w:val="00865A07"/>
    <w:rsid w:val="00865A63"/>
    <w:rsid w:val="00865CD4"/>
    <w:rsid w:val="00865D6F"/>
    <w:rsid w:val="00867083"/>
    <w:rsid w:val="00867865"/>
    <w:rsid w:val="00870093"/>
    <w:rsid w:val="008716DB"/>
    <w:rsid w:val="008718DE"/>
    <w:rsid w:val="00871DE3"/>
    <w:rsid w:val="0087248A"/>
    <w:rsid w:val="0087305A"/>
    <w:rsid w:val="0087336E"/>
    <w:rsid w:val="008747AC"/>
    <w:rsid w:val="00874E55"/>
    <w:rsid w:val="00875429"/>
    <w:rsid w:val="0087554D"/>
    <w:rsid w:val="0087572E"/>
    <w:rsid w:val="00875C62"/>
    <w:rsid w:val="008766F9"/>
    <w:rsid w:val="00876790"/>
    <w:rsid w:val="0087711F"/>
    <w:rsid w:val="00877278"/>
    <w:rsid w:val="00877524"/>
    <w:rsid w:val="0087776F"/>
    <w:rsid w:val="00877F6B"/>
    <w:rsid w:val="00880ADE"/>
    <w:rsid w:val="00880D25"/>
    <w:rsid w:val="00881034"/>
    <w:rsid w:val="00881F3D"/>
    <w:rsid w:val="0088207F"/>
    <w:rsid w:val="00882365"/>
    <w:rsid w:val="00882406"/>
    <w:rsid w:val="00884D08"/>
    <w:rsid w:val="00886270"/>
    <w:rsid w:val="0088687F"/>
    <w:rsid w:val="0088751F"/>
    <w:rsid w:val="0088760C"/>
    <w:rsid w:val="0088771D"/>
    <w:rsid w:val="00887D2C"/>
    <w:rsid w:val="00887FF6"/>
    <w:rsid w:val="00890208"/>
    <w:rsid w:val="00890911"/>
    <w:rsid w:val="00890D34"/>
    <w:rsid w:val="00890E84"/>
    <w:rsid w:val="0089130D"/>
    <w:rsid w:val="00891373"/>
    <w:rsid w:val="00891E1B"/>
    <w:rsid w:val="00891FE4"/>
    <w:rsid w:val="008925C9"/>
    <w:rsid w:val="00892DE5"/>
    <w:rsid w:val="008932E5"/>
    <w:rsid w:val="008935EF"/>
    <w:rsid w:val="00893A31"/>
    <w:rsid w:val="00894D6B"/>
    <w:rsid w:val="00895436"/>
    <w:rsid w:val="0089568D"/>
    <w:rsid w:val="0089613D"/>
    <w:rsid w:val="00896355"/>
    <w:rsid w:val="00896509"/>
    <w:rsid w:val="00896ECA"/>
    <w:rsid w:val="008971C4"/>
    <w:rsid w:val="00897D7B"/>
    <w:rsid w:val="008A0CE6"/>
    <w:rsid w:val="008A1E94"/>
    <w:rsid w:val="008A21D1"/>
    <w:rsid w:val="008A245D"/>
    <w:rsid w:val="008A28BC"/>
    <w:rsid w:val="008A2C0A"/>
    <w:rsid w:val="008A3497"/>
    <w:rsid w:val="008A35B9"/>
    <w:rsid w:val="008A3CF9"/>
    <w:rsid w:val="008A3DF9"/>
    <w:rsid w:val="008A40E2"/>
    <w:rsid w:val="008A48D6"/>
    <w:rsid w:val="008A49CC"/>
    <w:rsid w:val="008A4D36"/>
    <w:rsid w:val="008A4EE9"/>
    <w:rsid w:val="008A5271"/>
    <w:rsid w:val="008A57FC"/>
    <w:rsid w:val="008A6683"/>
    <w:rsid w:val="008A6A92"/>
    <w:rsid w:val="008A6BA9"/>
    <w:rsid w:val="008A6ED1"/>
    <w:rsid w:val="008A7D53"/>
    <w:rsid w:val="008A7F50"/>
    <w:rsid w:val="008B071B"/>
    <w:rsid w:val="008B0AA7"/>
    <w:rsid w:val="008B0ECA"/>
    <w:rsid w:val="008B112A"/>
    <w:rsid w:val="008B11C2"/>
    <w:rsid w:val="008B18DB"/>
    <w:rsid w:val="008B1A96"/>
    <w:rsid w:val="008B1BE1"/>
    <w:rsid w:val="008B1EEE"/>
    <w:rsid w:val="008B1F80"/>
    <w:rsid w:val="008B1FB7"/>
    <w:rsid w:val="008B1FF3"/>
    <w:rsid w:val="008B2213"/>
    <w:rsid w:val="008B2328"/>
    <w:rsid w:val="008B2AE8"/>
    <w:rsid w:val="008B3548"/>
    <w:rsid w:val="008B35FA"/>
    <w:rsid w:val="008B391B"/>
    <w:rsid w:val="008B3CA0"/>
    <w:rsid w:val="008B43CD"/>
    <w:rsid w:val="008B45FB"/>
    <w:rsid w:val="008B4677"/>
    <w:rsid w:val="008B470A"/>
    <w:rsid w:val="008B4A2E"/>
    <w:rsid w:val="008B4A8A"/>
    <w:rsid w:val="008B4B22"/>
    <w:rsid w:val="008B53D8"/>
    <w:rsid w:val="008B54F5"/>
    <w:rsid w:val="008B5F26"/>
    <w:rsid w:val="008B7183"/>
    <w:rsid w:val="008B7CF5"/>
    <w:rsid w:val="008B7D5D"/>
    <w:rsid w:val="008C03D4"/>
    <w:rsid w:val="008C07B8"/>
    <w:rsid w:val="008C0AFE"/>
    <w:rsid w:val="008C0F15"/>
    <w:rsid w:val="008C1850"/>
    <w:rsid w:val="008C3804"/>
    <w:rsid w:val="008C4A24"/>
    <w:rsid w:val="008C52EC"/>
    <w:rsid w:val="008C54DC"/>
    <w:rsid w:val="008C591E"/>
    <w:rsid w:val="008C5DCC"/>
    <w:rsid w:val="008C6838"/>
    <w:rsid w:val="008C7253"/>
    <w:rsid w:val="008C7619"/>
    <w:rsid w:val="008C7B6A"/>
    <w:rsid w:val="008C7C79"/>
    <w:rsid w:val="008D017C"/>
    <w:rsid w:val="008D031A"/>
    <w:rsid w:val="008D0748"/>
    <w:rsid w:val="008D2576"/>
    <w:rsid w:val="008D290F"/>
    <w:rsid w:val="008D2A87"/>
    <w:rsid w:val="008D2D4E"/>
    <w:rsid w:val="008D34FD"/>
    <w:rsid w:val="008D351E"/>
    <w:rsid w:val="008D3704"/>
    <w:rsid w:val="008D4242"/>
    <w:rsid w:val="008D52F3"/>
    <w:rsid w:val="008D5427"/>
    <w:rsid w:val="008D5963"/>
    <w:rsid w:val="008D5D4C"/>
    <w:rsid w:val="008D5E04"/>
    <w:rsid w:val="008D6DB5"/>
    <w:rsid w:val="008D7097"/>
    <w:rsid w:val="008D7A9B"/>
    <w:rsid w:val="008E01B8"/>
    <w:rsid w:val="008E0312"/>
    <w:rsid w:val="008E03FE"/>
    <w:rsid w:val="008E048B"/>
    <w:rsid w:val="008E06CC"/>
    <w:rsid w:val="008E083E"/>
    <w:rsid w:val="008E0A46"/>
    <w:rsid w:val="008E0EAA"/>
    <w:rsid w:val="008E1228"/>
    <w:rsid w:val="008E1ADF"/>
    <w:rsid w:val="008E1C71"/>
    <w:rsid w:val="008E35E5"/>
    <w:rsid w:val="008E3608"/>
    <w:rsid w:val="008E3AD6"/>
    <w:rsid w:val="008E4431"/>
    <w:rsid w:val="008E4A5A"/>
    <w:rsid w:val="008E56CB"/>
    <w:rsid w:val="008E5AAA"/>
    <w:rsid w:val="008E5B16"/>
    <w:rsid w:val="008E6D57"/>
    <w:rsid w:val="008E70D4"/>
    <w:rsid w:val="008E7B2D"/>
    <w:rsid w:val="008F0CA1"/>
    <w:rsid w:val="008F1073"/>
    <w:rsid w:val="008F1111"/>
    <w:rsid w:val="008F1297"/>
    <w:rsid w:val="008F1770"/>
    <w:rsid w:val="008F2152"/>
    <w:rsid w:val="008F239A"/>
    <w:rsid w:val="008F24FE"/>
    <w:rsid w:val="008F2E56"/>
    <w:rsid w:val="008F3702"/>
    <w:rsid w:val="008F3995"/>
    <w:rsid w:val="008F3CCA"/>
    <w:rsid w:val="008F3E7C"/>
    <w:rsid w:val="008F4538"/>
    <w:rsid w:val="008F47E1"/>
    <w:rsid w:val="008F534E"/>
    <w:rsid w:val="008F5646"/>
    <w:rsid w:val="008F5A8D"/>
    <w:rsid w:val="008F5B1A"/>
    <w:rsid w:val="008F5BC0"/>
    <w:rsid w:val="008F5F1F"/>
    <w:rsid w:val="008F6590"/>
    <w:rsid w:val="008F6784"/>
    <w:rsid w:val="008F6B12"/>
    <w:rsid w:val="008F6BE4"/>
    <w:rsid w:val="008F6E6B"/>
    <w:rsid w:val="008F6EC3"/>
    <w:rsid w:val="008F6F33"/>
    <w:rsid w:val="008F74CB"/>
    <w:rsid w:val="009003BB"/>
    <w:rsid w:val="009003D1"/>
    <w:rsid w:val="00901237"/>
    <w:rsid w:val="009014E6"/>
    <w:rsid w:val="00901968"/>
    <w:rsid w:val="0090197C"/>
    <w:rsid w:val="00901AF0"/>
    <w:rsid w:val="00901F58"/>
    <w:rsid w:val="009027C6"/>
    <w:rsid w:val="00902ADD"/>
    <w:rsid w:val="00902C1D"/>
    <w:rsid w:val="00903825"/>
    <w:rsid w:val="00903B7D"/>
    <w:rsid w:val="009046A9"/>
    <w:rsid w:val="009048DF"/>
    <w:rsid w:val="00904AE6"/>
    <w:rsid w:val="009059C7"/>
    <w:rsid w:val="00905D90"/>
    <w:rsid w:val="00906294"/>
    <w:rsid w:val="00906762"/>
    <w:rsid w:val="009067CC"/>
    <w:rsid w:val="00907229"/>
    <w:rsid w:val="0090769A"/>
    <w:rsid w:val="009076C7"/>
    <w:rsid w:val="00907AB7"/>
    <w:rsid w:val="00910044"/>
    <w:rsid w:val="009101C8"/>
    <w:rsid w:val="009102DF"/>
    <w:rsid w:val="009106D3"/>
    <w:rsid w:val="00910DA7"/>
    <w:rsid w:val="00910EE1"/>
    <w:rsid w:val="00910F32"/>
    <w:rsid w:val="0091106D"/>
    <w:rsid w:val="009119AF"/>
    <w:rsid w:val="00911D55"/>
    <w:rsid w:val="00911E61"/>
    <w:rsid w:val="00911FF1"/>
    <w:rsid w:val="009122CA"/>
    <w:rsid w:val="00912C7E"/>
    <w:rsid w:val="009131D3"/>
    <w:rsid w:val="009133C9"/>
    <w:rsid w:val="00913AF1"/>
    <w:rsid w:val="00913EBF"/>
    <w:rsid w:val="0091403C"/>
    <w:rsid w:val="00915000"/>
    <w:rsid w:val="00915528"/>
    <w:rsid w:val="00915A0F"/>
    <w:rsid w:val="009165FB"/>
    <w:rsid w:val="00917B93"/>
    <w:rsid w:val="00917BA5"/>
    <w:rsid w:val="00920F61"/>
    <w:rsid w:val="00921550"/>
    <w:rsid w:val="00921EE7"/>
    <w:rsid w:val="00922018"/>
    <w:rsid w:val="0092227F"/>
    <w:rsid w:val="0092274B"/>
    <w:rsid w:val="00922A0D"/>
    <w:rsid w:val="00922CCD"/>
    <w:rsid w:val="00922F1E"/>
    <w:rsid w:val="009230F5"/>
    <w:rsid w:val="00923BB8"/>
    <w:rsid w:val="00923D95"/>
    <w:rsid w:val="009244AA"/>
    <w:rsid w:val="00924715"/>
    <w:rsid w:val="00924A15"/>
    <w:rsid w:val="00924E5A"/>
    <w:rsid w:val="009256A4"/>
    <w:rsid w:val="00926992"/>
    <w:rsid w:val="00926B34"/>
    <w:rsid w:val="00926DAD"/>
    <w:rsid w:val="00927772"/>
    <w:rsid w:val="0092783B"/>
    <w:rsid w:val="00927E58"/>
    <w:rsid w:val="00927FAF"/>
    <w:rsid w:val="009300E4"/>
    <w:rsid w:val="009300E6"/>
    <w:rsid w:val="0093112D"/>
    <w:rsid w:val="009314AD"/>
    <w:rsid w:val="00931828"/>
    <w:rsid w:val="00931C8D"/>
    <w:rsid w:val="00931CA8"/>
    <w:rsid w:val="00931D34"/>
    <w:rsid w:val="00932808"/>
    <w:rsid w:val="0093361A"/>
    <w:rsid w:val="009336E0"/>
    <w:rsid w:val="0093377F"/>
    <w:rsid w:val="00933B53"/>
    <w:rsid w:val="00933C61"/>
    <w:rsid w:val="00933D54"/>
    <w:rsid w:val="00934222"/>
    <w:rsid w:val="0093467E"/>
    <w:rsid w:val="00934B75"/>
    <w:rsid w:val="0093578E"/>
    <w:rsid w:val="00936461"/>
    <w:rsid w:val="00936D30"/>
    <w:rsid w:val="00937106"/>
    <w:rsid w:val="00937698"/>
    <w:rsid w:val="0093788D"/>
    <w:rsid w:val="0094002A"/>
    <w:rsid w:val="0094085A"/>
    <w:rsid w:val="00940E7C"/>
    <w:rsid w:val="00941DEF"/>
    <w:rsid w:val="00942049"/>
    <w:rsid w:val="0094235F"/>
    <w:rsid w:val="00942B45"/>
    <w:rsid w:val="00942E54"/>
    <w:rsid w:val="00943694"/>
    <w:rsid w:val="00943748"/>
    <w:rsid w:val="00943A7E"/>
    <w:rsid w:val="00943C47"/>
    <w:rsid w:val="00943DD1"/>
    <w:rsid w:val="009440D0"/>
    <w:rsid w:val="00944BD6"/>
    <w:rsid w:val="009452B8"/>
    <w:rsid w:val="009453C4"/>
    <w:rsid w:val="009457AC"/>
    <w:rsid w:val="0094583E"/>
    <w:rsid w:val="009459FC"/>
    <w:rsid w:val="00945E52"/>
    <w:rsid w:val="0094624C"/>
    <w:rsid w:val="00946E7A"/>
    <w:rsid w:val="00947188"/>
    <w:rsid w:val="009472C8"/>
    <w:rsid w:val="00947967"/>
    <w:rsid w:val="00947BBA"/>
    <w:rsid w:val="00947FA2"/>
    <w:rsid w:val="009504A6"/>
    <w:rsid w:val="00950E0E"/>
    <w:rsid w:val="009515A3"/>
    <w:rsid w:val="00951E2A"/>
    <w:rsid w:val="00951EB2"/>
    <w:rsid w:val="0095271D"/>
    <w:rsid w:val="00952E93"/>
    <w:rsid w:val="009538C6"/>
    <w:rsid w:val="00953C44"/>
    <w:rsid w:val="00954B4B"/>
    <w:rsid w:val="009550C0"/>
    <w:rsid w:val="00955702"/>
    <w:rsid w:val="00955F93"/>
    <w:rsid w:val="0095608A"/>
    <w:rsid w:val="00957159"/>
    <w:rsid w:val="009572A8"/>
    <w:rsid w:val="00957543"/>
    <w:rsid w:val="00957983"/>
    <w:rsid w:val="009579A2"/>
    <w:rsid w:val="00957BE5"/>
    <w:rsid w:val="00960355"/>
    <w:rsid w:val="0096088B"/>
    <w:rsid w:val="00960BEF"/>
    <w:rsid w:val="009612AE"/>
    <w:rsid w:val="00961481"/>
    <w:rsid w:val="00961CEC"/>
    <w:rsid w:val="009625B6"/>
    <w:rsid w:val="00962624"/>
    <w:rsid w:val="009630FB"/>
    <w:rsid w:val="009632BF"/>
    <w:rsid w:val="00963E23"/>
    <w:rsid w:val="00963E4F"/>
    <w:rsid w:val="00963E8A"/>
    <w:rsid w:val="00963EB1"/>
    <w:rsid w:val="00964477"/>
    <w:rsid w:val="00964CEA"/>
    <w:rsid w:val="00964F01"/>
    <w:rsid w:val="0096517F"/>
    <w:rsid w:val="009657FE"/>
    <w:rsid w:val="00965864"/>
    <w:rsid w:val="00965D18"/>
    <w:rsid w:val="00966C89"/>
    <w:rsid w:val="00967848"/>
    <w:rsid w:val="00967D2D"/>
    <w:rsid w:val="00967F69"/>
    <w:rsid w:val="00970528"/>
    <w:rsid w:val="009708B7"/>
    <w:rsid w:val="009709BC"/>
    <w:rsid w:val="00971531"/>
    <w:rsid w:val="00971914"/>
    <w:rsid w:val="00972BB3"/>
    <w:rsid w:val="00972EB8"/>
    <w:rsid w:val="0097376C"/>
    <w:rsid w:val="00973775"/>
    <w:rsid w:val="00974425"/>
    <w:rsid w:val="009746F5"/>
    <w:rsid w:val="00974990"/>
    <w:rsid w:val="00974D6C"/>
    <w:rsid w:val="009751EC"/>
    <w:rsid w:val="0097571A"/>
    <w:rsid w:val="00975DD8"/>
    <w:rsid w:val="00976DFC"/>
    <w:rsid w:val="00976F56"/>
    <w:rsid w:val="00977172"/>
    <w:rsid w:val="00977B5E"/>
    <w:rsid w:val="00977CAA"/>
    <w:rsid w:val="00977D24"/>
    <w:rsid w:val="00980898"/>
    <w:rsid w:val="00980CE9"/>
    <w:rsid w:val="00981443"/>
    <w:rsid w:val="009815D7"/>
    <w:rsid w:val="0098190E"/>
    <w:rsid w:val="00981959"/>
    <w:rsid w:val="00981C96"/>
    <w:rsid w:val="00981FAB"/>
    <w:rsid w:val="0098250E"/>
    <w:rsid w:val="00982B7A"/>
    <w:rsid w:val="00982EA5"/>
    <w:rsid w:val="00983D7F"/>
    <w:rsid w:val="00983FA5"/>
    <w:rsid w:val="00984348"/>
    <w:rsid w:val="009849A3"/>
    <w:rsid w:val="009850A7"/>
    <w:rsid w:val="0098534D"/>
    <w:rsid w:val="00985450"/>
    <w:rsid w:val="00985654"/>
    <w:rsid w:val="00985792"/>
    <w:rsid w:val="00985C97"/>
    <w:rsid w:val="00986AB3"/>
    <w:rsid w:val="00986FD9"/>
    <w:rsid w:val="00987044"/>
    <w:rsid w:val="0098760D"/>
    <w:rsid w:val="00987CA4"/>
    <w:rsid w:val="009910B8"/>
    <w:rsid w:val="00991A07"/>
    <w:rsid w:val="00992826"/>
    <w:rsid w:val="00992B46"/>
    <w:rsid w:val="00992F4E"/>
    <w:rsid w:val="00993CF3"/>
    <w:rsid w:val="009941F4"/>
    <w:rsid w:val="009946D9"/>
    <w:rsid w:val="00994A2B"/>
    <w:rsid w:val="00994CC4"/>
    <w:rsid w:val="00994E57"/>
    <w:rsid w:val="009957F1"/>
    <w:rsid w:val="00995CE5"/>
    <w:rsid w:val="00995D99"/>
    <w:rsid w:val="00995EAD"/>
    <w:rsid w:val="0099652E"/>
    <w:rsid w:val="009973D0"/>
    <w:rsid w:val="009A09FB"/>
    <w:rsid w:val="009A0FC9"/>
    <w:rsid w:val="009A2277"/>
    <w:rsid w:val="009A2B2A"/>
    <w:rsid w:val="009A2B7D"/>
    <w:rsid w:val="009A2F99"/>
    <w:rsid w:val="009A30FE"/>
    <w:rsid w:val="009A344A"/>
    <w:rsid w:val="009A346B"/>
    <w:rsid w:val="009A3E83"/>
    <w:rsid w:val="009A3FEE"/>
    <w:rsid w:val="009A4846"/>
    <w:rsid w:val="009A49F2"/>
    <w:rsid w:val="009A4B04"/>
    <w:rsid w:val="009A4EC6"/>
    <w:rsid w:val="009A54C7"/>
    <w:rsid w:val="009A5BAE"/>
    <w:rsid w:val="009A5ECD"/>
    <w:rsid w:val="009A6568"/>
    <w:rsid w:val="009A6886"/>
    <w:rsid w:val="009A7486"/>
    <w:rsid w:val="009B04B1"/>
    <w:rsid w:val="009B073E"/>
    <w:rsid w:val="009B0D89"/>
    <w:rsid w:val="009B0E2C"/>
    <w:rsid w:val="009B18BE"/>
    <w:rsid w:val="009B205B"/>
    <w:rsid w:val="009B2B05"/>
    <w:rsid w:val="009B2E1D"/>
    <w:rsid w:val="009B34B3"/>
    <w:rsid w:val="009B3673"/>
    <w:rsid w:val="009B460C"/>
    <w:rsid w:val="009B4BA1"/>
    <w:rsid w:val="009B4C36"/>
    <w:rsid w:val="009B4CA0"/>
    <w:rsid w:val="009B4E41"/>
    <w:rsid w:val="009B5D43"/>
    <w:rsid w:val="009B5FF8"/>
    <w:rsid w:val="009B62B0"/>
    <w:rsid w:val="009B6410"/>
    <w:rsid w:val="009B6CC9"/>
    <w:rsid w:val="009B74C9"/>
    <w:rsid w:val="009B75A3"/>
    <w:rsid w:val="009B7C78"/>
    <w:rsid w:val="009C0279"/>
    <w:rsid w:val="009C054E"/>
    <w:rsid w:val="009C057B"/>
    <w:rsid w:val="009C0ECA"/>
    <w:rsid w:val="009C0FF1"/>
    <w:rsid w:val="009C180B"/>
    <w:rsid w:val="009C18B2"/>
    <w:rsid w:val="009C1970"/>
    <w:rsid w:val="009C1AF7"/>
    <w:rsid w:val="009C22B3"/>
    <w:rsid w:val="009C22C9"/>
    <w:rsid w:val="009C3233"/>
    <w:rsid w:val="009C3891"/>
    <w:rsid w:val="009C3EEF"/>
    <w:rsid w:val="009C4705"/>
    <w:rsid w:val="009C4824"/>
    <w:rsid w:val="009C52A5"/>
    <w:rsid w:val="009C5948"/>
    <w:rsid w:val="009C654B"/>
    <w:rsid w:val="009C6B36"/>
    <w:rsid w:val="009C6D95"/>
    <w:rsid w:val="009C6DE4"/>
    <w:rsid w:val="009C7022"/>
    <w:rsid w:val="009C70C1"/>
    <w:rsid w:val="009C76F1"/>
    <w:rsid w:val="009C7E55"/>
    <w:rsid w:val="009D0874"/>
    <w:rsid w:val="009D0992"/>
    <w:rsid w:val="009D0B5F"/>
    <w:rsid w:val="009D0BEC"/>
    <w:rsid w:val="009D2405"/>
    <w:rsid w:val="009D28FF"/>
    <w:rsid w:val="009D291A"/>
    <w:rsid w:val="009D297B"/>
    <w:rsid w:val="009D3547"/>
    <w:rsid w:val="009D53E0"/>
    <w:rsid w:val="009D56B8"/>
    <w:rsid w:val="009D58A3"/>
    <w:rsid w:val="009D5902"/>
    <w:rsid w:val="009D5AD1"/>
    <w:rsid w:val="009D68E7"/>
    <w:rsid w:val="009D720A"/>
    <w:rsid w:val="009D73B6"/>
    <w:rsid w:val="009D7AE2"/>
    <w:rsid w:val="009D7FCA"/>
    <w:rsid w:val="009E00D4"/>
    <w:rsid w:val="009E040F"/>
    <w:rsid w:val="009E0424"/>
    <w:rsid w:val="009E09C7"/>
    <w:rsid w:val="009E0A23"/>
    <w:rsid w:val="009E0AD0"/>
    <w:rsid w:val="009E103C"/>
    <w:rsid w:val="009E136A"/>
    <w:rsid w:val="009E185E"/>
    <w:rsid w:val="009E1B67"/>
    <w:rsid w:val="009E282E"/>
    <w:rsid w:val="009E2CCB"/>
    <w:rsid w:val="009E2DE8"/>
    <w:rsid w:val="009E336E"/>
    <w:rsid w:val="009E3712"/>
    <w:rsid w:val="009E3A05"/>
    <w:rsid w:val="009E3A4A"/>
    <w:rsid w:val="009E3ABC"/>
    <w:rsid w:val="009E3BFF"/>
    <w:rsid w:val="009E3D96"/>
    <w:rsid w:val="009E4020"/>
    <w:rsid w:val="009E4B56"/>
    <w:rsid w:val="009E4C5D"/>
    <w:rsid w:val="009E4EF0"/>
    <w:rsid w:val="009E56C3"/>
    <w:rsid w:val="009E5F19"/>
    <w:rsid w:val="009E64B5"/>
    <w:rsid w:val="009E71AA"/>
    <w:rsid w:val="009E7203"/>
    <w:rsid w:val="009E7320"/>
    <w:rsid w:val="009E76FF"/>
    <w:rsid w:val="009E77A6"/>
    <w:rsid w:val="009E77BE"/>
    <w:rsid w:val="009F08CA"/>
    <w:rsid w:val="009F0A27"/>
    <w:rsid w:val="009F10B1"/>
    <w:rsid w:val="009F2A73"/>
    <w:rsid w:val="009F3680"/>
    <w:rsid w:val="009F36EB"/>
    <w:rsid w:val="009F3AC7"/>
    <w:rsid w:val="009F3E57"/>
    <w:rsid w:val="009F3FA4"/>
    <w:rsid w:val="009F4094"/>
    <w:rsid w:val="009F4233"/>
    <w:rsid w:val="009F49C7"/>
    <w:rsid w:val="009F4D23"/>
    <w:rsid w:val="009F4D68"/>
    <w:rsid w:val="009F4E1F"/>
    <w:rsid w:val="009F5143"/>
    <w:rsid w:val="009F524E"/>
    <w:rsid w:val="009F5589"/>
    <w:rsid w:val="009F5CC4"/>
    <w:rsid w:val="009F5E7E"/>
    <w:rsid w:val="009F60C5"/>
    <w:rsid w:val="009F7464"/>
    <w:rsid w:val="009F76FF"/>
    <w:rsid w:val="009F78EC"/>
    <w:rsid w:val="009F7FB2"/>
    <w:rsid w:val="00A00022"/>
    <w:rsid w:val="00A00B0D"/>
    <w:rsid w:val="00A00F0E"/>
    <w:rsid w:val="00A015D6"/>
    <w:rsid w:val="00A0195F"/>
    <w:rsid w:val="00A01A83"/>
    <w:rsid w:val="00A01D5C"/>
    <w:rsid w:val="00A03024"/>
    <w:rsid w:val="00A036C2"/>
    <w:rsid w:val="00A037B5"/>
    <w:rsid w:val="00A03919"/>
    <w:rsid w:val="00A03B8D"/>
    <w:rsid w:val="00A04442"/>
    <w:rsid w:val="00A0473D"/>
    <w:rsid w:val="00A04B3A"/>
    <w:rsid w:val="00A054A2"/>
    <w:rsid w:val="00A05989"/>
    <w:rsid w:val="00A05E2F"/>
    <w:rsid w:val="00A062E6"/>
    <w:rsid w:val="00A0677A"/>
    <w:rsid w:val="00A0692F"/>
    <w:rsid w:val="00A06A92"/>
    <w:rsid w:val="00A06F7C"/>
    <w:rsid w:val="00A07192"/>
    <w:rsid w:val="00A073A7"/>
    <w:rsid w:val="00A079D1"/>
    <w:rsid w:val="00A1055C"/>
    <w:rsid w:val="00A10BC1"/>
    <w:rsid w:val="00A10FD2"/>
    <w:rsid w:val="00A10FE9"/>
    <w:rsid w:val="00A11193"/>
    <w:rsid w:val="00A1125B"/>
    <w:rsid w:val="00A116A9"/>
    <w:rsid w:val="00A11DA0"/>
    <w:rsid w:val="00A1202C"/>
    <w:rsid w:val="00A1230B"/>
    <w:rsid w:val="00A1284A"/>
    <w:rsid w:val="00A13279"/>
    <w:rsid w:val="00A13EBC"/>
    <w:rsid w:val="00A13F83"/>
    <w:rsid w:val="00A15002"/>
    <w:rsid w:val="00A152D1"/>
    <w:rsid w:val="00A155DF"/>
    <w:rsid w:val="00A155F0"/>
    <w:rsid w:val="00A159FE"/>
    <w:rsid w:val="00A16967"/>
    <w:rsid w:val="00A16987"/>
    <w:rsid w:val="00A1716C"/>
    <w:rsid w:val="00A173BF"/>
    <w:rsid w:val="00A174D0"/>
    <w:rsid w:val="00A176D2"/>
    <w:rsid w:val="00A17A7C"/>
    <w:rsid w:val="00A17B68"/>
    <w:rsid w:val="00A17DCC"/>
    <w:rsid w:val="00A21005"/>
    <w:rsid w:val="00A21684"/>
    <w:rsid w:val="00A21AC3"/>
    <w:rsid w:val="00A220C1"/>
    <w:rsid w:val="00A221CC"/>
    <w:rsid w:val="00A226C6"/>
    <w:rsid w:val="00A229AA"/>
    <w:rsid w:val="00A22F57"/>
    <w:rsid w:val="00A23A33"/>
    <w:rsid w:val="00A23C8D"/>
    <w:rsid w:val="00A23DB8"/>
    <w:rsid w:val="00A2459D"/>
    <w:rsid w:val="00A25233"/>
    <w:rsid w:val="00A25525"/>
    <w:rsid w:val="00A255FD"/>
    <w:rsid w:val="00A257B7"/>
    <w:rsid w:val="00A25CBB"/>
    <w:rsid w:val="00A26049"/>
    <w:rsid w:val="00A264E9"/>
    <w:rsid w:val="00A2684C"/>
    <w:rsid w:val="00A269E0"/>
    <w:rsid w:val="00A26DD5"/>
    <w:rsid w:val="00A26F47"/>
    <w:rsid w:val="00A273B3"/>
    <w:rsid w:val="00A27535"/>
    <w:rsid w:val="00A279F3"/>
    <w:rsid w:val="00A27A46"/>
    <w:rsid w:val="00A27C79"/>
    <w:rsid w:val="00A27E75"/>
    <w:rsid w:val="00A314B4"/>
    <w:rsid w:val="00A3177A"/>
    <w:rsid w:val="00A3180C"/>
    <w:rsid w:val="00A318D9"/>
    <w:rsid w:val="00A31B26"/>
    <w:rsid w:val="00A321FF"/>
    <w:rsid w:val="00A32756"/>
    <w:rsid w:val="00A32793"/>
    <w:rsid w:val="00A327D9"/>
    <w:rsid w:val="00A32B5D"/>
    <w:rsid w:val="00A32F77"/>
    <w:rsid w:val="00A33F18"/>
    <w:rsid w:val="00A34056"/>
    <w:rsid w:val="00A34789"/>
    <w:rsid w:val="00A347D5"/>
    <w:rsid w:val="00A34DA7"/>
    <w:rsid w:val="00A34DF1"/>
    <w:rsid w:val="00A35022"/>
    <w:rsid w:val="00A35061"/>
    <w:rsid w:val="00A35458"/>
    <w:rsid w:val="00A35C87"/>
    <w:rsid w:val="00A366A7"/>
    <w:rsid w:val="00A36AAD"/>
    <w:rsid w:val="00A36F0F"/>
    <w:rsid w:val="00A37C5C"/>
    <w:rsid w:val="00A4024A"/>
    <w:rsid w:val="00A4026A"/>
    <w:rsid w:val="00A40ECF"/>
    <w:rsid w:val="00A41B45"/>
    <w:rsid w:val="00A41BCD"/>
    <w:rsid w:val="00A42558"/>
    <w:rsid w:val="00A4324E"/>
    <w:rsid w:val="00A43375"/>
    <w:rsid w:val="00A4352D"/>
    <w:rsid w:val="00A4396C"/>
    <w:rsid w:val="00A43B4B"/>
    <w:rsid w:val="00A44DBF"/>
    <w:rsid w:val="00A44EFF"/>
    <w:rsid w:val="00A45856"/>
    <w:rsid w:val="00A46245"/>
    <w:rsid w:val="00A46449"/>
    <w:rsid w:val="00A4674B"/>
    <w:rsid w:val="00A46793"/>
    <w:rsid w:val="00A472B9"/>
    <w:rsid w:val="00A47783"/>
    <w:rsid w:val="00A506B7"/>
    <w:rsid w:val="00A5079D"/>
    <w:rsid w:val="00A51063"/>
    <w:rsid w:val="00A5189C"/>
    <w:rsid w:val="00A51981"/>
    <w:rsid w:val="00A5206B"/>
    <w:rsid w:val="00A52216"/>
    <w:rsid w:val="00A52379"/>
    <w:rsid w:val="00A528F2"/>
    <w:rsid w:val="00A530DC"/>
    <w:rsid w:val="00A5374F"/>
    <w:rsid w:val="00A53942"/>
    <w:rsid w:val="00A54C38"/>
    <w:rsid w:val="00A550F9"/>
    <w:rsid w:val="00A55306"/>
    <w:rsid w:val="00A557A1"/>
    <w:rsid w:val="00A55886"/>
    <w:rsid w:val="00A56412"/>
    <w:rsid w:val="00A56634"/>
    <w:rsid w:val="00A56E5A"/>
    <w:rsid w:val="00A57404"/>
    <w:rsid w:val="00A602D8"/>
    <w:rsid w:val="00A6073E"/>
    <w:rsid w:val="00A61202"/>
    <w:rsid w:val="00A61321"/>
    <w:rsid w:val="00A61751"/>
    <w:rsid w:val="00A61BC2"/>
    <w:rsid w:val="00A61D4F"/>
    <w:rsid w:val="00A61FC6"/>
    <w:rsid w:val="00A623CD"/>
    <w:rsid w:val="00A62765"/>
    <w:rsid w:val="00A6289B"/>
    <w:rsid w:val="00A62B82"/>
    <w:rsid w:val="00A62D8B"/>
    <w:rsid w:val="00A63C28"/>
    <w:rsid w:val="00A64B5A"/>
    <w:rsid w:val="00A64E8E"/>
    <w:rsid w:val="00A65EC5"/>
    <w:rsid w:val="00A66EE7"/>
    <w:rsid w:val="00A67AD8"/>
    <w:rsid w:val="00A67FDF"/>
    <w:rsid w:val="00A71215"/>
    <w:rsid w:val="00A712CC"/>
    <w:rsid w:val="00A71EF6"/>
    <w:rsid w:val="00A720A5"/>
    <w:rsid w:val="00A7215E"/>
    <w:rsid w:val="00A7221E"/>
    <w:rsid w:val="00A72AA2"/>
    <w:rsid w:val="00A72BA3"/>
    <w:rsid w:val="00A730BE"/>
    <w:rsid w:val="00A73233"/>
    <w:rsid w:val="00A734AB"/>
    <w:rsid w:val="00A73F9E"/>
    <w:rsid w:val="00A756AE"/>
    <w:rsid w:val="00A76130"/>
    <w:rsid w:val="00A7616A"/>
    <w:rsid w:val="00A764CC"/>
    <w:rsid w:val="00A766F7"/>
    <w:rsid w:val="00A768B9"/>
    <w:rsid w:val="00A76B79"/>
    <w:rsid w:val="00A77392"/>
    <w:rsid w:val="00A773FF"/>
    <w:rsid w:val="00A77E20"/>
    <w:rsid w:val="00A804B4"/>
    <w:rsid w:val="00A80B7B"/>
    <w:rsid w:val="00A81447"/>
    <w:rsid w:val="00A81582"/>
    <w:rsid w:val="00A8168E"/>
    <w:rsid w:val="00A81715"/>
    <w:rsid w:val="00A82583"/>
    <w:rsid w:val="00A83671"/>
    <w:rsid w:val="00A83C06"/>
    <w:rsid w:val="00A8463D"/>
    <w:rsid w:val="00A84B19"/>
    <w:rsid w:val="00A8501A"/>
    <w:rsid w:val="00A85D38"/>
    <w:rsid w:val="00A85F2A"/>
    <w:rsid w:val="00A8661E"/>
    <w:rsid w:val="00A8667D"/>
    <w:rsid w:val="00A86873"/>
    <w:rsid w:val="00A868DE"/>
    <w:rsid w:val="00A86B74"/>
    <w:rsid w:val="00A87317"/>
    <w:rsid w:val="00A87E0B"/>
    <w:rsid w:val="00A90298"/>
    <w:rsid w:val="00A903FF"/>
    <w:rsid w:val="00A904A5"/>
    <w:rsid w:val="00A9079A"/>
    <w:rsid w:val="00A908CF"/>
    <w:rsid w:val="00A90F8E"/>
    <w:rsid w:val="00A9113E"/>
    <w:rsid w:val="00A91394"/>
    <w:rsid w:val="00A921CE"/>
    <w:rsid w:val="00A93166"/>
    <w:rsid w:val="00A93480"/>
    <w:rsid w:val="00A938F9"/>
    <w:rsid w:val="00A941B6"/>
    <w:rsid w:val="00A94C51"/>
    <w:rsid w:val="00A94DCA"/>
    <w:rsid w:val="00A95C2C"/>
    <w:rsid w:val="00A966BC"/>
    <w:rsid w:val="00A968BC"/>
    <w:rsid w:val="00A96B95"/>
    <w:rsid w:val="00A96DA8"/>
    <w:rsid w:val="00A97017"/>
    <w:rsid w:val="00A970B8"/>
    <w:rsid w:val="00A97373"/>
    <w:rsid w:val="00A973DD"/>
    <w:rsid w:val="00A97447"/>
    <w:rsid w:val="00A97A84"/>
    <w:rsid w:val="00A97BDE"/>
    <w:rsid w:val="00AA00CC"/>
    <w:rsid w:val="00AA0387"/>
    <w:rsid w:val="00AA0AF8"/>
    <w:rsid w:val="00AA1107"/>
    <w:rsid w:val="00AA1335"/>
    <w:rsid w:val="00AA1B09"/>
    <w:rsid w:val="00AA1DC5"/>
    <w:rsid w:val="00AA2590"/>
    <w:rsid w:val="00AA2EFB"/>
    <w:rsid w:val="00AA3301"/>
    <w:rsid w:val="00AA3951"/>
    <w:rsid w:val="00AA3973"/>
    <w:rsid w:val="00AA3D9A"/>
    <w:rsid w:val="00AA4F62"/>
    <w:rsid w:val="00AA5432"/>
    <w:rsid w:val="00AA57B8"/>
    <w:rsid w:val="00AA5CE3"/>
    <w:rsid w:val="00AA6225"/>
    <w:rsid w:val="00AA633C"/>
    <w:rsid w:val="00AA6803"/>
    <w:rsid w:val="00AA6FDA"/>
    <w:rsid w:val="00AA73AA"/>
    <w:rsid w:val="00AB0C28"/>
    <w:rsid w:val="00AB0EED"/>
    <w:rsid w:val="00AB1411"/>
    <w:rsid w:val="00AB1F07"/>
    <w:rsid w:val="00AB2BA0"/>
    <w:rsid w:val="00AB31E0"/>
    <w:rsid w:val="00AB3A7B"/>
    <w:rsid w:val="00AB3A98"/>
    <w:rsid w:val="00AB431C"/>
    <w:rsid w:val="00AB4CA8"/>
    <w:rsid w:val="00AB580B"/>
    <w:rsid w:val="00AB5B48"/>
    <w:rsid w:val="00AB6D76"/>
    <w:rsid w:val="00AB71CB"/>
    <w:rsid w:val="00AB7864"/>
    <w:rsid w:val="00AC1547"/>
    <w:rsid w:val="00AC1A58"/>
    <w:rsid w:val="00AC2C50"/>
    <w:rsid w:val="00AC2F78"/>
    <w:rsid w:val="00AC3076"/>
    <w:rsid w:val="00AC32C3"/>
    <w:rsid w:val="00AC375F"/>
    <w:rsid w:val="00AC3F72"/>
    <w:rsid w:val="00AC446C"/>
    <w:rsid w:val="00AC46FA"/>
    <w:rsid w:val="00AC47D8"/>
    <w:rsid w:val="00AC482E"/>
    <w:rsid w:val="00AC5FBE"/>
    <w:rsid w:val="00AC645C"/>
    <w:rsid w:val="00AC65FB"/>
    <w:rsid w:val="00AC67B3"/>
    <w:rsid w:val="00AC6B04"/>
    <w:rsid w:val="00AC728B"/>
    <w:rsid w:val="00AD04B0"/>
    <w:rsid w:val="00AD11E3"/>
    <w:rsid w:val="00AD1246"/>
    <w:rsid w:val="00AD1A96"/>
    <w:rsid w:val="00AD1BD2"/>
    <w:rsid w:val="00AD1D58"/>
    <w:rsid w:val="00AD1F02"/>
    <w:rsid w:val="00AD2074"/>
    <w:rsid w:val="00AD23E5"/>
    <w:rsid w:val="00AD2FC6"/>
    <w:rsid w:val="00AD30D6"/>
    <w:rsid w:val="00AD3FFC"/>
    <w:rsid w:val="00AD44BA"/>
    <w:rsid w:val="00AD4F28"/>
    <w:rsid w:val="00AD530D"/>
    <w:rsid w:val="00AD61D2"/>
    <w:rsid w:val="00AD628B"/>
    <w:rsid w:val="00AD62DE"/>
    <w:rsid w:val="00AD6665"/>
    <w:rsid w:val="00AD680D"/>
    <w:rsid w:val="00AD6884"/>
    <w:rsid w:val="00AD6AF7"/>
    <w:rsid w:val="00AD6DDA"/>
    <w:rsid w:val="00AD6E7E"/>
    <w:rsid w:val="00AD7395"/>
    <w:rsid w:val="00AD74C4"/>
    <w:rsid w:val="00AD7556"/>
    <w:rsid w:val="00AD76BB"/>
    <w:rsid w:val="00AD786B"/>
    <w:rsid w:val="00AD79E0"/>
    <w:rsid w:val="00AD7C40"/>
    <w:rsid w:val="00AD7D0A"/>
    <w:rsid w:val="00AE053F"/>
    <w:rsid w:val="00AE069B"/>
    <w:rsid w:val="00AE094C"/>
    <w:rsid w:val="00AE0F25"/>
    <w:rsid w:val="00AE1234"/>
    <w:rsid w:val="00AE1261"/>
    <w:rsid w:val="00AE143F"/>
    <w:rsid w:val="00AE1675"/>
    <w:rsid w:val="00AE1BC0"/>
    <w:rsid w:val="00AE2329"/>
    <w:rsid w:val="00AE26AA"/>
    <w:rsid w:val="00AE2755"/>
    <w:rsid w:val="00AE2C13"/>
    <w:rsid w:val="00AE2DFC"/>
    <w:rsid w:val="00AE2FD9"/>
    <w:rsid w:val="00AE354E"/>
    <w:rsid w:val="00AE374C"/>
    <w:rsid w:val="00AE4BC6"/>
    <w:rsid w:val="00AE5EB7"/>
    <w:rsid w:val="00AE6225"/>
    <w:rsid w:val="00AE68BC"/>
    <w:rsid w:val="00AE68CD"/>
    <w:rsid w:val="00AE6C89"/>
    <w:rsid w:val="00AE7056"/>
    <w:rsid w:val="00AE7342"/>
    <w:rsid w:val="00AE738C"/>
    <w:rsid w:val="00AE7724"/>
    <w:rsid w:val="00AE7ADA"/>
    <w:rsid w:val="00AF001E"/>
    <w:rsid w:val="00AF02C0"/>
    <w:rsid w:val="00AF05B3"/>
    <w:rsid w:val="00AF1880"/>
    <w:rsid w:val="00AF1BCE"/>
    <w:rsid w:val="00AF2462"/>
    <w:rsid w:val="00AF2637"/>
    <w:rsid w:val="00AF2948"/>
    <w:rsid w:val="00AF322E"/>
    <w:rsid w:val="00AF3D45"/>
    <w:rsid w:val="00AF3FBA"/>
    <w:rsid w:val="00AF4335"/>
    <w:rsid w:val="00AF4377"/>
    <w:rsid w:val="00AF4863"/>
    <w:rsid w:val="00AF4F3D"/>
    <w:rsid w:val="00AF5B92"/>
    <w:rsid w:val="00AF5F2D"/>
    <w:rsid w:val="00AF6BDF"/>
    <w:rsid w:val="00AF6C16"/>
    <w:rsid w:val="00AF6D05"/>
    <w:rsid w:val="00AF6F6F"/>
    <w:rsid w:val="00AF760A"/>
    <w:rsid w:val="00AF77B7"/>
    <w:rsid w:val="00AF7936"/>
    <w:rsid w:val="00AF7A3C"/>
    <w:rsid w:val="00AF7E23"/>
    <w:rsid w:val="00AF7F4C"/>
    <w:rsid w:val="00B001A3"/>
    <w:rsid w:val="00B01633"/>
    <w:rsid w:val="00B01673"/>
    <w:rsid w:val="00B02290"/>
    <w:rsid w:val="00B0243A"/>
    <w:rsid w:val="00B0272F"/>
    <w:rsid w:val="00B02999"/>
    <w:rsid w:val="00B03022"/>
    <w:rsid w:val="00B031D3"/>
    <w:rsid w:val="00B03C98"/>
    <w:rsid w:val="00B03E58"/>
    <w:rsid w:val="00B0680D"/>
    <w:rsid w:val="00B068A5"/>
    <w:rsid w:val="00B06963"/>
    <w:rsid w:val="00B06C8E"/>
    <w:rsid w:val="00B07CDD"/>
    <w:rsid w:val="00B101B4"/>
    <w:rsid w:val="00B108C9"/>
    <w:rsid w:val="00B10AFE"/>
    <w:rsid w:val="00B10B92"/>
    <w:rsid w:val="00B10E70"/>
    <w:rsid w:val="00B111EF"/>
    <w:rsid w:val="00B11B3E"/>
    <w:rsid w:val="00B122A6"/>
    <w:rsid w:val="00B1268C"/>
    <w:rsid w:val="00B12E91"/>
    <w:rsid w:val="00B1364B"/>
    <w:rsid w:val="00B138BD"/>
    <w:rsid w:val="00B139F8"/>
    <w:rsid w:val="00B1490D"/>
    <w:rsid w:val="00B14D3C"/>
    <w:rsid w:val="00B152A4"/>
    <w:rsid w:val="00B1550E"/>
    <w:rsid w:val="00B155FC"/>
    <w:rsid w:val="00B15A5C"/>
    <w:rsid w:val="00B15B19"/>
    <w:rsid w:val="00B16854"/>
    <w:rsid w:val="00B16AB8"/>
    <w:rsid w:val="00B16BEF"/>
    <w:rsid w:val="00B1745F"/>
    <w:rsid w:val="00B17A01"/>
    <w:rsid w:val="00B203B8"/>
    <w:rsid w:val="00B20BEB"/>
    <w:rsid w:val="00B21234"/>
    <w:rsid w:val="00B21598"/>
    <w:rsid w:val="00B218FA"/>
    <w:rsid w:val="00B21933"/>
    <w:rsid w:val="00B21B07"/>
    <w:rsid w:val="00B2235E"/>
    <w:rsid w:val="00B233B2"/>
    <w:rsid w:val="00B2346F"/>
    <w:rsid w:val="00B23565"/>
    <w:rsid w:val="00B2369C"/>
    <w:rsid w:val="00B237B5"/>
    <w:rsid w:val="00B237EE"/>
    <w:rsid w:val="00B23899"/>
    <w:rsid w:val="00B23980"/>
    <w:rsid w:val="00B23BEE"/>
    <w:rsid w:val="00B23E0A"/>
    <w:rsid w:val="00B23FBB"/>
    <w:rsid w:val="00B24C12"/>
    <w:rsid w:val="00B25AE3"/>
    <w:rsid w:val="00B25C71"/>
    <w:rsid w:val="00B26114"/>
    <w:rsid w:val="00B26729"/>
    <w:rsid w:val="00B26CB6"/>
    <w:rsid w:val="00B277D5"/>
    <w:rsid w:val="00B2788F"/>
    <w:rsid w:val="00B30902"/>
    <w:rsid w:val="00B30CC5"/>
    <w:rsid w:val="00B31DF8"/>
    <w:rsid w:val="00B320AA"/>
    <w:rsid w:val="00B33EEB"/>
    <w:rsid w:val="00B3459F"/>
    <w:rsid w:val="00B349AE"/>
    <w:rsid w:val="00B34ED0"/>
    <w:rsid w:val="00B35028"/>
    <w:rsid w:val="00B35208"/>
    <w:rsid w:val="00B354F6"/>
    <w:rsid w:val="00B355EB"/>
    <w:rsid w:val="00B3565A"/>
    <w:rsid w:val="00B360A7"/>
    <w:rsid w:val="00B3640F"/>
    <w:rsid w:val="00B3659A"/>
    <w:rsid w:val="00B36686"/>
    <w:rsid w:val="00B36B3B"/>
    <w:rsid w:val="00B36D16"/>
    <w:rsid w:val="00B40080"/>
    <w:rsid w:val="00B40185"/>
    <w:rsid w:val="00B40429"/>
    <w:rsid w:val="00B4045C"/>
    <w:rsid w:val="00B40585"/>
    <w:rsid w:val="00B415B9"/>
    <w:rsid w:val="00B415FC"/>
    <w:rsid w:val="00B416A0"/>
    <w:rsid w:val="00B41720"/>
    <w:rsid w:val="00B41C48"/>
    <w:rsid w:val="00B4204F"/>
    <w:rsid w:val="00B421AF"/>
    <w:rsid w:val="00B42275"/>
    <w:rsid w:val="00B4301E"/>
    <w:rsid w:val="00B43230"/>
    <w:rsid w:val="00B43245"/>
    <w:rsid w:val="00B4351A"/>
    <w:rsid w:val="00B437A5"/>
    <w:rsid w:val="00B45666"/>
    <w:rsid w:val="00B45CF7"/>
    <w:rsid w:val="00B460ED"/>
    <w:rsid w:val="00B461E7"/>
    <w:rsid w:val="00B46C21"/>
    <w:rsid w:val="00B46D36"/>
    <w:rsid w:val="00B473F7"/>
    <w:rsid w:val="00B4758B"/>
    <w:rsid w:val="00B479C6"/>
    <w:rsid w:val="00B47B65"/>
    <w:rsid w:val="00B510D9"/>
    <w:rsid w:val="00B510E6"/>
    <w:rsid w:val="00B51405"/>
    <w:rsid w:val="00B5140F"/>
    <w:rsid w:val="00B5159D"/>
    <w:rsid w:val="00B51858"/>
    <w:rsid w:val="00B51886"/>
    <w:rsid w:val="00B51C01"/>
    <w:rsid w:val="00B5233F"/>
    <w:rsid w:val="00B5281B"/>
    <w:rsid w:val="00B52943"/>
    <w:rsid w:val="00B52DBA"/>
    <w:rsid w:val="00B5335E"/>
    <w:rsid w:val="00B53D98"/>
    <w:rsid w:val="00B5404B"/>
    <w:rsid w:val="00B54D3D"/>
    <w:rsid w:val="00B552B1"/>
    <w:rsid w:val="00B55722"/>
    <w:rsid w:val="00B563AB"/>
    <w:rsid w:val="00B56796"/>
    <w:rsid w:val="00B56BE0"/>
    <w:rsid w:val="00B57A03"/>
    <w:rsid w:val="00B6200A"/>
    <w:rsid w:val="00B62015"/>
    <w:rsid w:val="00B622E2"/>
    <w:rsid w:val="00B626FB"/>
    <w:rsid w:val="00B62EA6"/>
    <w:rsid w:val="00B63154"/>
    <w:rsid w:val="00B63E32"/>
    <w:rsid w:val="00B63EBE"/>
    <w:rsid w:val="00B63F80"/>
    <w:rsid w:val="00B6422A"/>
    <w:rsid w:val="00B647DF"/>
    <w:rsid w:val="00B64A1B"/>
    <w:rsid w:val="00B64A49"/>
    <w:rsid w:val="00B65836"/>
    <w:rsid w:val="00B664BA"/>
    <w:rsid w:val="00B66D69"/>
    <w:rsid w:val="00B66FE1"/>
    <w:rsid w:val="00B672BD"/>
    <w:rsid w:val="00B673EC"/>
    <w:rsid w:val="00B67F2C"/>
    <w:rsid w:val="00B7106D"/>
    <w:rsid w:val="00B72506"/>
    <w:rsid w:val="00B73061"/>
    <w:rsid w:val="00B730F2"/>
    <w:rsid w:val="00B73664"/>
    <w:rsid w:val="00B73E65"/>
    <w:rsid w:val="00B73FF2"/>
    <w:rsid w:val="00B74877"/>
    <w:rsid w:val="00B74BE0"/>
    <w:rsid w:val="00B75E57"/>
    <w:rsid w:val="00B76255"/>
    <w:rsid w:val="00B763FF"/>
    <w:rsid w:val="00B76854"/>
    <w:rsid w:val="00B76943"/>
    <w:rsid w:val="00B77295"/>
    <w:rsid w:val="00B77846"/>
    <w:rsid w:val="00B80960"/>
    <w:rsid w:val="00B80AA2"/>
    <w:rsid w:val="00B80E64"/>
    <w:rsid w:val="00B80E87"/>
    <w:rsid w:val="00B81439"/>
    <w:rsid w:val="00B81490"/>
    <w:rsid w:val="00B81A3F"/>
    <w:rsid w:val="00B81FF9"/>
    <w:rsid w:val="00B82102"/>
    <w:rsid w:val="00B8273C"/>
    <w:rsid w:val="00B8378F"/>
    <w:rsid w:val="00B83AB2"/>
    <w:rsid w:val="00B83D16"/>
    <w:rsid w:val="00B83D38"/>
    <w:rsid w:val="00B83E2C"/>
    <w:rsid w:val="00B83E42"/>
    <w:rsid w:val="00B83E67"/>
    <w:rsid w:val="00B8434A"/>
    <w:rsid w:val="00B844CD"/>
    <w:rsid w:val="00B844D5"/>
    <w:rsid w:val="00B84C41"/>
    <w:rsid w:val="00B84FA1"/>
    <w:rsid w:val="00B8504E"/>
    <w:rsid w:val="00B853A5"/>
    <w:rsid w:val="00B85797"/>
    <w:rsid w:val="00B85866"/>
    <w:rsid w:val="00B85D2D"/>
    <w:rsid w:val="00B85FDB"/>
    <w:rsid w:val="00B86196"/>
    <w:rsid w:val="00B86463"/>
    <w:rsid w:val="00B865C7"/>
    <w:rsid w:val="00B8676B"/>
    <w:rsid w:val="00B87082"/>
    <w:rsid w:val="00B8746E"/>
    <w:rsid w:val="00B8749B"/>
    <w:rsid w:val="00B8751D"/>
    <w:rsid w:val="00B909A2"/>
    <w:rsid w:val="00B90ADA"/>
    <w:rsid w:val="00B90FEC"/>
    <w:rsid w:val="00B910C1"/>
    <w:rsid w:val="00B91D23"/>
    <w:rsid w:val="00B9253E"/>
    <w:rsid w:val="00B92ABD"/>
    <w:rsid w:val="00B92E53"/>
    <w:rsid w:val="00B92EDD"/>
    <w:rsid w:val="00B933A0"/>
    <w:rsid w:val="00B93428"/>
    <w:rsid w:val="00B93504"/>
    <w:rsid w:val="00B93A08"/>
    <w:rsid w:val="00B93B5D"/>
    <w:rsid w:val="00B93F82"/>
    <w:rsid w:val="00B94146"/>
    <w:rsid w:val="00B946EB"/>
    <w:rsid w:val="00B95246"/>
    <w:rsid w:val="00B953F3"/>
    <w:rsid w:val="00B95BBC"/>
    <w:rsid w:val="00B962E5"/>
    <w:rsid w:val="00B96E09"/>
    <w:rsid w:val="00B9739F"/>
    <w:rsid w:val="00B97F7C"/>
    <w:rsid w:val="00BA088B"/>
    <w:rsid w:val="00BA158C"/>
    <w:rsid w:val="00BA2112"/>
    <w:rsid w:val="00BA28C3"/>
    <w:rsid w:val="00BA292F"/>
    <w:rsid w:val="00BA2AA0"/>
    <w:rsid w:val="00BA2AB9"/>
    <w:rsid w:val="00BA360A"/>
    <w:rsid w:val="00BA3BD6"/>
    <w:rsid w:val="00BA3DA5"/>
    <w:rsid w:val="00BA5692"/>
    <w:rsid w:val="00BA573E"/>
    <w:rsid w:val="00BA63E2"/>
    <w:rsid w:val="00BA7947"/>
    <w:rsid w:val="00BA79C3"/>
    <w:rsid w:val="00BA7F43"/>
    <w:rsid w:val="00BB012A"/>
    <w:rsid w:val="00BB05EE"/>
    <w:rsid w:val="00BB1733"/>
    <w:rsid w:val="00BB1D77"/>
    <w:rsid w:val="00BB2509"/>
    <w:rsid w:val="00BB27F0"/>
    <w:rsid w:val="00BB29CB"/>
    <w:rsid w:val="00BB4205"/>
    <w:rsid w:val="00BB56B3"/>
    <w:rsid w:val="00BB5DE8"/>
    <w:rsid w:val="00BB5F0E"/>
    <w:rsid w:val="00BB6241"/>
    <w:rsid w:val="00BB6282"/>
    <w:rsid w:val="00BB7094"/>
    <w:rsid w:val="00BB73B8"/>
    <w:rsid w:val="00BB74F3"/>
    <w:rsid w:val="00BB7936"/>
    <w:rsid w:val="00BB7D94"/>
    <w:rsid w:val="00BB7E95"/>
    <w:rsid w:val="00BC056F"/>
    <w:rsid w:val="00BC08EA"/>
    <w:rsid w:val="00BC0CA8"/>
    <w:rsid w:val="00BC0E8A"/>
    <w:rsid w:val="00BC213E"/>
    <w:rsid w:val="00BC2893"/>
    <w:rsid w:val="00BC28CC"/>
    <w:rsid w:val="00BC3CDD"/>
    <w:rsid w:val="00BC3F5F"/>
    <w:rsid w:val="00BC43D2"/>
    <w:rsid w:val="00BC466D"/>
    <w:rsid w:val="00BC4C41"/>
    <w:rsid w:val="00BC57EF"/>
    <w:rsid w:val="00BC594C"/>
    <w:rsid w:val="00BC595D"/>
    <w:rsid w:val="00BC5B57"/>
    <w:rsid w:val="00BC5EC2"/>
    <w:rsid w:val="00BC5ED9"/>
    <w:rsid w:val="00BC6A97"/>
    <w:rsid w:val="00BC6B13"/>
    <w:rsid w:val="00BC6C7F"/>
    <w:rsid w:val="00BC70A8"/>
    <w:rsid w:val="00BC711F"/>
    <w:rsid w:val="00BC72C6"/>
    <w:rsid w:val="00BC7471"/>
    <w:rsid w:val="00BC7963"/>
    <w:rsid w:val="00BD01C8"/>
    <w:rsid w:val="00BD0CF9"/>
    <w:rsid w:val="00BD0EFB"/>
    <w:rsid w:val="00BD1D74"/>
    <w:rsid w:val="00BD23E4"/>
    <w:rsid w:val="00BD2653"/>
    <w:rsid w:val="00BD3158"/>
    <w:rsid w:val="00BD3640"/>
    <w:rsid w:val="00BD3895"/>
    <w:rsid w:val="00BD38A2"/>
    <w:rsid w:val="00BD3B32"/>
    <w:rsid w:val="00BD3BD6"/>
    <w:rsid w:val="00BD463A"/>
    <w:rsid w:val="00BD5036"/>
    <w:rsid w:val="00BD50A7"/>
    <w:rsid w:val="00BD5768"/>
    <w:rsid w:val="00BD5BB4"/>
    <w:rsid w:val="00BD5C0A"/>
    <w:rsid w:val="00BD5C21"/>
    <w:rsid w:val="00BD65F5"/>
    <w:rsid w:val="00BD6F29"/>
    <w:rsid w:val="00BD7730"/>
    <w:rsid w:val="00BD7957"/>
    <w:rsid w:val="00BE0113"/>
    <w:rsid w:val="00BE01CA"/>
    <w:rsid w:val="00BE0EAA"/>
    <w:rsid w:val="00BE0F27"/>
    <w:rsid w:val="00BE2749"/>
    <w:rsid w:val="00BE2F7C"/>
    <w:rsid w:val="00BE344C"/>
    <w:rsid w:val="00BE3928"/>
    <w:rsid w:val="00BE4010"/>
    <w:rsid w:val="00BE4176"/>
    <w:rsid w:val="00BE47E1"/>
    <w:rsid w:val="00BE4969"/>
    <w:rsid w:val="00BE4B47"/>
    <w:rsid w:val="00BE4CE9"/>
    <w:rsid w:val="00BE553A"/>
    <w:rsid w:val="00BE56AF"/>
    <w:rsid w:val="00BE5706"/>
    <w:rsid w:val="00BE5753"/>
    <w:rsid w:val="00BE68B1"/>
    <w:rsid w:val="00BE6C4F"/>
    <w:rsid w:val="00BE6CAD"/>
    <w:rsid w:val="00BE710B"/>
    <w:rsid w:val="00BE7306"/>
    <w:rsid w:val="00BE7320"/>
    <w:rsid w:val="00BE7B8D"/>
    <w:rsid w:val="00BF09E8"/>
    <w:rsid w:val="00BF0D17"/>
    <w:rsid w:val="00BF17DE"/>
    <w:rsid w:val="00BF188C"/>
    <w:rsid w:val="00BF1ADA"/>
    <w:rsid w:val="00BF1CAC"/>
    <w:rsid w:val="00BF1CF0"/>
    <w:rsid w:val="00BF2D59"/>
    <w:rsid w:val="00BF318B"/>
    <w:rsid w:val="00BF31D2"/>
    <w:rsid w:val="00BF3338"/>
    <w:rsid w:val="00BF42ED"/>
    <w:rsid w:val="00BF45D2"/>
    <w:rsid w:val="00BF49A9"/>
    <w:rsid w:val="00BF4AAF"/>
    <w:rsid w:val="00BF4ABC"/>
    <w:rsid w:val="00BF4DF3"/>
    <w:rsid w:val="00BF51DC"/>
    <w:rsid w:val="00BF5B0D"/>
    <w:rsid w:val="00BF5BD6"/>
    <w:rsid w:val="00BF6308"/>
    <w:rsid w:val="00BF6C77"/>
    <w:rsid w:val="00BF752E"/>
    <w:rsid w:val="00BF767B"/>
    <w:rsid w:val="00BF7764"/>
    <w:rsid w:val="00BF7E9B"/>
    <w:rsid w:val="00C00851"/>
    <w:rsid w:val="00C00DC9"/>
    <w:rsid w:val="00C02FD1"/>
    <w:rsid w:val="00C031AA"/>
    <w:rsid w:val="00C04788"/>
    <w:rsid w:val="00C04EFE"/>
    <w:rsid w:val="00C05519"/>
    <w:rsid w:val="00C05CE2"/>
    <w:rsid w:val="00C05FB0"/>
    <w:rsid w:val="00C060F9"/>
    <w:rsid w:val="00C0684B"/>
    <w:rsid w:val="00C0708F"/>
    <w:rsid w:val="00C070F2"/>
    <w:rsid w:val="00C101C0"/>
    <w:rsid w:val="00C10DCF"/>
    <w:rsid w:val="00C10F13"/>
    <w:rsid w:val="00C11197"/>
    <w:rsid w:val="00C11B30"/>
    <w:rsid w:val="00C1257C"/>
    <w:rsid w:val="00C12766"/>
    <w:rsid w:val="00C1349E"/>
    <w:rsid w:val="00C136A1"/>
    <w:rsid w:val="00C13936"/>
    <w:rsid w:val="00C140B2"/>
    <w:rsid w:val="00C148B0"/>
    <w:rsid w:val="00C14C53"/>
    <w:rsid w:val="00C14F0E"/>
    <w:rsid w:val="00C15964"/>
    <w:rsid w:val="00C15D13"/>
    <w:rsid w:val="00C15D27"/>
    <w:rsid w:val="00C16407"/>
    <w:rsid w:val="00C16BF2"/>
    <w:rsid w:val="00C16C9D"/>
    <w:rsid w:val="00C16CA7"/>
    <w:rsid w:val="00C16EE5"/>
    <w:rsid w:val="00C173B6"/>
    <w:rsid w:val="00C1742C"/>
    <w:rsid w:val="00C17A29"/>
    <w:rsid w:val="00C17E62"/>
    <w:rsid w:val="00C20154"/>
    <w:rsid w:val="00C20A05"/>
    <w:rsid w:val="00C20FB7"/>
    <w:rsid w:val="00C21672"/>
    <w:rsid w:val="00C2173B"/>
    <w:rsid w:val="00C21DF3"/>
    <w:rsid w:val="00C2244C"/>
    <w:rsid w:val="00C22AAE"/>
    <w:rsid w:val="00C235AB"/>
    <w:rsid w:val="00C23C73"/>
    <w:rsid w:val="00C245AB"/>
    <w:rsid w:val="00C2476A"/>
    <w:rsid w:val="00C24C58"/>
    <w:rsid w:val="00C2519F"/>
    <w:rsid w:val="00C252EE"/>
    <w:rsid w:val="00C25695"/>
    <w:rsid w:val="00C25720"/>
    <w:rsid w:val="00C25B96"/>
    <w:rsid w:val="00C25E3E"/>
    <w:rsid w:val="00C2699F"/>
    <w:rsid w:val="00C2748F"/>
    <w:rsid w:val="00C278E0"/>
    <w:rsid w:val="00C3007C"/>
    <w:rsid w:val="00C3015A"/>
    <w:rsid w:val="00C301A1"/>
    <w:rsid w:val="00C30615"/>
    <w:rsid w:val="00C30A29"/>
    <w:rsid w:val="00C30E68"/>
    <w:rsid w:val="00C314CE"/>
    <w:rsid w:val="00C3174E"/>
    <w:rsid w:val="00C319F2"/>
    <w:rsid w:val="00C31A6F"/>
    <w:rsid w:val="00C31F6C"/>
    <w:rsid w:val="00C3264F"/>
    <w:rsid w:val="00C32BF1"/>
    <w:rsid w:val="00C32C8A"/>
    <w:rsid w:val="00C3333E"/>
    <w:rsid w:val="00C33DFF"/>
    <w:rsid w:val="00C34870"/>
    <w:rsid w:val="00C3548E"/>
    <w:rsid w:val="00C35A31"/>
    <w:rsid w:val="00C379D0"/>
    <w:rsid w:val="00C37ECE"/>
    <w:rsid w:val="00C404A3"/>
    <w:rsid w:val="00C405E9"/>
    <w:rsid w:val="00C40894"/>
    <w:rsid w:val="00C40B0A"/>
    <w:rsid w:val="00C4132D"/>
    <w:rsid w:val="00C4173B"/>
    <w:rsid w:val="00C42154"/>
    <w:rsid w:val="00C42D57"/>
    <w:rsid w:val="00C42F89"/>
    <w:rsid w:val="00C43566"/>
    <w:rsid w:val="00C43AA7"/>
    <w:rsid w:val="00C4449E"/>
    <w:rsid w:val="00C447FE"/>
    <w:rsid w:val="00C44ABE"/>
    <w:rsid w:val="00C44BC0"/>
    <w:rsid w:val="00C44BC5"/>
    <w:rsid w:val="00C4536F"/>
    <w:rsid w:val="00C454D8"/>
    <w:rsid w:val="00C46225"/>
    <w:rsid w:val="00C466F7"/>
    <w:rsid w:val="00C468A6"/>
    <w:rsid w:val="00C46FC0"/>
    <w:rsid w:val="00C47132"/>
    <w:rsid w:val="00C471D9"/>
    <w:rsid w:val="00C47544"/>
    <w:rsid w:val="00C476CB"/>
    <w:rsid w:val="00C47AC3"/>
    <w:rsid w:val="00C47E30"/>
    <w:rsid w:val="00C47E81"/>
    <w:rsid w:val="00C50235"/>
    <w:rsid w:val="00C5038A"/>
    <w:rsid w:val="00C505C3"/>
    <w:rsid w:val="00C50B4B"/>
    <w:rsid w:val="00C50E86"/>
    <w:rsid w:val="00C50F34"/>
    <w:rsid w:val="00C514C2"/>
    <w:rsid w:val="00C517F2"/>
    <w:rsid w:val="00C519C3"/>
    <w:rsid w:val="00C51C23"/>
    <w:rsid w:val="00C521A0"/>
    <w:rsid w:val="00C521E3"/>
    <w:rsid w:val="00C52897"/>
    <w:rsid w:val="00C52A2A"/>
    <w:rsid w:val="00C539BC"/>
    <w:rsid w:val="00C53D52"/>
    <w:rsid w:val="00C54044"/>
    <w:rsid w:val="00C542EE"/>
    <w:rsid w:val="00C548AC"/>
    <w:rsid w:val="00C54B51"/>
    <w:rsid w:val="00C54B9C"/>
    <w:rsid w:val="00C54D24"/>
    <w:rsid w:val="00C55110"/>
    <w:rsid w:val="00C55513"/>
    <w:rsid w:val="00C5585F"/>
    <w:rsid w:val="00C566B8"/>
    <w:rsid w:val="00C569D3"/>
    <w:rsid w:val="00C56C97"/>
    <w:rsid w:val="00C56CE9"/>
    <w:rsid w:val="00C56D11"/>
    <w:rsid w:val="00C56E96"/>
    <w:rsid w:val="00C571E2"/>
    <w:rsid w:val="00C57D5B"/>
    <w:rsid w:val="00C57FA6"/>
    <w:rsid w:val="00C60579"/>
    <w:rsid w:val="00C60A0D"/>
    <w:rsid w:val="00C60D54"/>
    <w:rsid w:val="00C6129E"/>
    <w:rsid w:val="00C612FE"/>
    <w:rsid w:val="00C61553"/>
    <w:rsid w:val="00C61873"/>
    <w:rsid w:val="00C618FC"/>
    <w:rsid w:val="00C61980"/>
    <w:rsid w:val="00C61C25"/>
    <w:rsid w:val="00C621C7"/>
    <w:rsid w:val="00C62309"/>
    <w:rsid w:val="00C62436"/>
    <w:rsid w:val="00C62826"/>
    <w:rsid w:val="00C6331C"/>
    <w:rsid w:val="00C6397F"/>
    <w:rsid w:val="00C63FF1"/>
    <w:rsid w:val="00C641F4"/>
    <w:rsid w:val="00C64208"/>
    <w:rsid w:val="00C64689"/>
    <w:rsid w:val="00C649CC"/>
    <w:rsid w:val="00C64ED8"/>
    <w:rsid w:val="00C64EF7"/>
    <w:rsid w:val="00C65B92"/>
    <w:rsid w:val="00C66B11"/>
    <w:rsid w:val="00C66BB0"/>
    <w:rsid w:val="00C66EE5"/>
    <w:rsid w:val="00C67039"/>
    <w:rsid w:val="00C672A0"/>
    <w:rsid w:val="00C673F4"/>
    <w:rsid w:val="00C67806"/>
    <w:rsid w:val="00C67E5B"/>
    <w:rsid w:val="00C7194F"/>
    <w:rsid w:val="00C71975"/>
    <w:rsid w:val="00C71E8F"/>
    <w:rsid w:val="00C71F7A"/>
    <w:rsid w:val="00C723E3"/>
    <w:rsid w:val="00C72AAD"/>
    <w:rsid w:val="00C72B74"/>
    <w:rsid w:val="00C7302E"/>
    <w:rsid w:val="00C73876"/>
    <w:rsid w:val="00C74353"/>
    <w:rsid w:val="00C748E8"/>
    <w:rsid w:val="00C74BC9"/>
    <w:rsid w:val="00C74C22"/>
    <w:rsid w:val="00C74C7B"/>
    <w:rsid w:val="00C74C8F"/>
    <w:rsid w:val="00C757D3"/>
    <w:rsid w:val="00C76269"/>
    <w:rsid w:val="00C769EC"/>
    <w:rsid w:val="00C7748C"/>
    <w:rsid w:val="00C775B1"/>
    <w:rsid w:val="00C77635"/>
    <w:rsid w:val="00C77DA9"/>
    <w:rsid w:val="00C77E5D"/>
    <w:rsid w:val="00C80430"/>
    <w:rsid w:val="00C804DA"/>
    <w:rsid w:val="00C806CB"/>
    <w:rsid w:val="00C80E5E"/>
    <w:rsid w:val="00C81379"/>
    <w:rsid w:val="00C817E3"/>
    <w:rsid w:val="00C81A70"/>
    <w:rsid w:val="00C82130"/>
    <w:rsid w:val="00C82609"/>
    <w:rsid w:val="00C82B9F"/>
    <w:rsid w:val="00C82ECF"/>
    <w:rsid w:val="00C83527"/>
    <w:rsid w:val="00C83642"/>
    <w:rsid w:val="00C836D0"/>
    <w:rsid w:val="00C83803"/>
    <w:rsid w:val="00C84041"/>
    <w:rsid w:val="00C8461F"/>
    <w:rsid w:val="00C8513A"/>
    <w:rsid w:val="00C852BB"/>
    <w:rsid w:val="00C8584D"/>
    <w:rsid w:val="00C8618D"/>
    <w:rsid w:val="00C863D7"/>
    <w:rsid w:val="00C86C92"/>
    <w:rsid w:val="00C87F4A"/>
    <w:rsid w:val="00C90231"/>
    <w:rsid w:val="00C90443"/>
    <w:rsid w:val="00C9068F"/>
    <w:rsid w:val="00C90B09"/>
    <w:rsid w:val="00C90C9C"/>
    <w:rsid w:val="00C90D01"/>
    <w:rsid w:val="00C91582"/>
    <w:rsid w:val="00C91597"/>
    <w:rsid w:val="00C918C1"/>
    <w:rsid w:val="00C91E91"/>
    <w:rsid w:val="00C9284C"/>
    <w:rsid w:val="00C92907"/>
    <w:rsid w:val="00C92B27"/>
    <w:rsid w:val="00C939B3"/>
    <w:rsid w:val="00C93E78"/>
    <w:rsid w:val="00C94200"/>
    <w:rsid w:val="00C9461A"/>
    <w:rsid w:val="00C95372"/>
    <w:rsid w:val="00C95B42"/>
    <w:rsid w:val="00C95BB6"/>
    <w:rsid w:val="00C9630C"/>
    <w:rsid w:val="00C96CAF"/>
    <w:rsid w:val="00C96DF9"/>
    <w:rsid w:val="00C97B98"/>
    <w:rsid w:val="00C97C9E"/>
    <w:rsid w:val="00C97F1D"/>
    <w:rsid w:val="00CA00D9"/>
    <w:rsid w:val="00CA098E"/>
    <w:rsid w:val="00CA0B03"/>
    <w:rsid w:val="00CA0CDD"/>
    <w:rsid w:val="00CA0DF2"/>
    <w:rsid w:val="00CA1DA6"/>
    <w:rsid w:val="00CA1F2D"/>
    <w:rsid w:val="00CA1FAA"/>
    <w:rsid w:val="00CA284F"/>
    <w:rsid w:val="00CA2AE7"/>
    <w:rsid w:val="00CA2C76"/>
    <w:rsid w:val="00CA3776"/>
    <w:rsid w:val="00CA3C3C"/>
    <w:rsid w:val="00CA46C2"/>
    <w:rsid w:val="00CA4973"/>
    <w:rsid w:val="00CA5339"/>
    <w:rsid w:val="00CA55E0"/>
    <w:rsid w:val="00CA59B8"/>
    <w:rsid w:val="00CA5C01"/>
    <w:rsid w:val="00CA6F62"/>
    <w:rsid w:val="00CA7281"/>
    <w:rsid w:val="00CA7570"/>
    <w:rsid w:val="00CA7644"/>
    <w:rsid w:val="00CA76DD"/>
    <w:rsid w:val="00CA7AAD"/>
    <w:rsid w:val="00CB024A"/>
    <w:rsid w:val="00CB0336"/>
    <w:rsid w:val="00CB122A"/>
    <w:rsid w:val="00CB16BB"/>
    <w:rsid w:val="00CB1E32"/>
    <w:rsid w:val="00CB1F71"/>
    <w:rsid w:val="00CB21DB"/>
    <w:rsid w:val="00CB2AB2"/>
    <w:rsid w:val="00CB2C5E"/>
    <w:rsid w:val="00CB394C"/>
    <w:rsid w:val="00CB3C95"/>
    <w:rsid w:val="00CB4252"/>
    <w:rsid w:val="00CB4B0B"/>
    <w:rsid w:val="00CB523F"/>
    <w:rsid w:val="00CB5521"/>
    <w:rsid w:val="00CB62FE"/>
    <w:rsid w:val="00CB63C0"/>
    <w:rsid w:val="00CB63F3"/>
    <w:rsid w:val="00CB67D2"/>
    <w:rsid w:val="00CB740E"/>
    <w:rsid w:val="00CB7411"/>
    <w:rsid w:val="00CB78CB"/>
    <w:rsid w:val="00CB79C7"/>
    <w:rsid w:val="00CC0A30"/>
    <w:rsid w:val="00CC0D52"/>
    <w:rsid w:val="00CC139C"/>
    <w:rsid w:val="00CC2715"/>
    <w:rsid w:val="00CC273C"/>
    <w:rsid w:val="00CC3071"/>
    <w:rsid w:val="00CC31CC"/>
    <w:rsid w:val="00CC33C1"/>
    <w:rsid w:val="00CC341C"/>
    <w:rsid w:val="00CC34DB"/>
    <w:rsid w:val="00CC4559"/>
    <w:rsid w:val="00CC4A3A"/>
    <w:rsid w:val="00CC4F04"/>
    <w:rsid w:val="00CC57B2"/>
    <w:rsid w:val="00CC5801"/>
    <w:rsid w:val="00CC6616"/>
    <w:rsid w:val="00CC663B"/>
    <w:rsid w:val="00CC68AF"/>
    <w:rsid w:val="00CC6967"/>
    <w:rsid w:val="00CC7263"/>
    <w:rsid w:val="00CC752E"/>
    <w:rsid w:val="00CC7EF9"/>
    <w:rsid w:val="00CD07B6"/>
    <w:rsid w:val="00CD13C3"/>
    <w:rsid w:val="00CD1443"/>
    <w:rsid w:val="00CD1B31"/>
    <w:rsid w:val="00CD1B51"/>
    <w:rsid w:val="00CD1D27"/>
    <w:rsid w:val="00CD1FF1"/>
    <w:rsid w:val="00CD204A"/>
    <w:rsid w:val="00CD284B"/>
    <w:rsid w:val="00CD35FA"/>
    <w:rsid w:val="00CD3904"/>
    <w:rsid w:val="00CD3B97"/>
    <w:rsid w:val="00CD3BE9"/>
    <w:rsid w:val="00CD3EC6"/>
    <w:rsid w:val="00CD3FBB"/>
    <w:rsid w:val="00CD431D"/>
    <w:rsid w:val="00CD53A0"/>
    <w:rsid w:val="00CD54B6"/>
    <w:rsid w:val="00CD5B4C"/>
    <w:rsid w:val="00CD5D6D"/>
    <w:rsid w:val="00CD60F5"/>
    <w:rsid w:val="00CD6E1A"/>
    <w:rsid w:val="00CD7460"/>
    <w:rsid w:val="00CD7488"/>
    <w:rsid w:val="00CE023E"/>
    <w:rsid w:val="00CE0322"/>
    <w:rsid w:val="00CE0431"/>
    <w:rsid w:val="00CE04BC"/>
    <w:rsid w:val="00CE0EC6"/>
    <w:rsid w:val="00CE18E5"/>
    <w:rsid w:val="00CE1C4B"/>
    <w:rsid w:val="00CE2AC4"/>
    <w:rsid w:val="00CE2EAF"/>
    <w:rsid w:val="00CE3E88"/>
    <w:rsid w:val="00CE3EA4"/>
    <w:rsid w:val="00CE3F12"/>
    <w:rsid w:val="00CE428D"/>
    <w:rsid w:val="00CE4C6F"/>
    <w:rsid w:val="00CE5C64"/>
    <w:rsid w:val="00CE67F0"/>
    <w:rsid w:val="00CE6D85"/>
    <w:rsid w:val="00CE6DFA"/>
    <w:rsid w:val="00CE78B9"/>
    <w:rsid w:val="00CE7A65"/>
    <w:rsid w:val="00CF0614"/>
    <w:rsid w:val="00CF0736"/>
    <w:rsid w:val="00CF08F0"/>
    <w:rsid w:val="00CF0B91"/>
    <w:rsid w:val="00CF0E2D"/>
    <w:rsid w:val="00CF1833"/>
    <w:rsid w:val="00CF1BD1"/>
    <w:rsid w:val="00CF2302"/>
    <w:rsid w:val="00CF2D0A"/>
    <w:rsid w:val="00CF2E20"/>
    <w:rsid w:val="00CF3010"/>
    <w:rsid w:val="00CF30AB"/>
    <w:rsid w:val="00CF385D"/>
    <w:rsid w:val="00CF3AB1"/>
    <w:rsid w:val="00CF43CE"/>
    <w:rsid w:val="00CF43D2"/>
    <w:rsid w:val="00CF45D0"/>
    <w:rsid w:val="00CF4E97"/>
    <w:rsid w:val="00CF5A7A"/>
    <w:rsid w:val="00CF63D3"/>
    <w:rsid w:val="00CF6D55"/>
    <w:rsid w:val="00CF7213"/>
    <w:rsid w:val="00D00DB2"/>
    <w:rsid w:val="00D01161"/>
    <w:rsid w:val="00D01331"/>
    <w:rsid w:val="00D01393"/>
    <w:rsid w:val="00D014C1"/>
    <w:rsid w:val="00D0197B"/>
    <w:rsid w:val="00D01A60"/>
    <w:rsid w:val="00D01C44"/>
    <w:rsid w:val="00D01DB2"/>
    <w:rsid w:val="00D025C8"/>
    <w:rsid w:val="00D0274E"/>
    <w:rsid w:val="00D02B9B"/>
    <w:rsid w:val="00D03325"/>
    <w:rsid w:val="00D03785"/>
    <w:rsid w:val="00D03D47"/>
    <w:rsid w:val="00D043F8"/>
    <w:rsid w:val="00D04435"/>
    <w:rsid w:val="00D04837"/>
    <w:rsid w:val="00D04A44"/>
    <w:rsid w:val="00D04F89"/>
    <w:rsid w:val="00D05338"/>
    <w:rsid w:val="00D05860"/>
    <w:rsid w:val="00D05951"/>
    <w:rsid w:val="00D059A9"/>
    <w:rsid w:val="00D059C3"/>
    <w:rsid w:val="00D059DF"/>
    <w:rsid w:val="00D0681C"/>
    <w:rsid w:val="00D069D6"/>
    <w:rsid w:val="00D06F75"/>
    <w:rsid w:val="00D07673"/>
    <w:rsid w:val="00D07F92"/>
    <w:rsid w:val="00D10273"/>
    <w:rsid w:val="00D103DA"/>
    <w:rsid w:val="00D10C16"/>
    <w:rsid w:val="00D114D4"/>
    <w:rsid w:val="00D11EFC"/>
    <w:rsid w:val="00D12088"/>
    <w:rsid w:val="00D12CEC"/>
    <w:rsid w:val="00D144E2"/>
    <w:rsid w:val="00D14649"/>
    <w:rsid w:val="00D14791"/>
    <w:rsid w:val="00D15065"/>
    <w:rsid w:val="00D15431"/>
    <w:rsid w:val="00D15731"/>
    <w:rsid w:val="00D16C8F"/>
    <w:rsid w:val="00D17655"/>
    <w:rsid w:val="00D17AB1"/>
    <w:rsid w:val="00D20141"/>
    <w:rsid w:val="00D2071C"/>
    <w:rsid w:val="00D21376"/>
    <w:rsid w:val="00D21F09"/>
    <w:rsid w:val="00D2203A"/>
    <w:rsid w:val="00D2233F"/>
    <w:rsid w:val="00D22598"/>
    <w:rsid w:val="00D22B39"/>
    <w:rsid w:val="00D22BF9"/>
    <w:rsid w:val="00D234E0"/>
    <w:rsid w:val="00D23A29"/>
    <w:rsid w:val="00D23F67"/>
    <w:rsid w:val="00D2400C"/>
    <w:rsid w:val="00D2419B"/>
    <w:rsid w:val="00D2426E"/>
    <w:rsid w:val="00D24462"/>
    <w:rsid w:val="00D247F9"/>
    <w:rsid w:val="00D25556"/>
    <w:rsid w:val="00D25581"/>
    <w:rsid w:val="00D25891"/>
    <w:rsid w:val="00D260ED"/>
    <w:rsid w:val="00D26143"/>
    <w:rsid w:val="00D26227"/>
    <w:rsid w:val="00D26A4A"/>
    <w:rsid w:val="00D27E3A"/>
    <w:rsid w:val="00D30011"/>
    <w:rsid w:val="00D30FDD"/>
    <w:rsid w:val="00D3150F"/>
    <w:rsid w:val="00D3179B"/>
    <w:rsid w:val="00D31A3E"/>
    <w:rsid w:val="00D32087"/>
    <w:rsid w:val="00D3275A"/>
    <w:rsid w:val="00D329C5"/>
    <w:rsid w:val="00D32A74"/>
    <w:rsid w:val="00D32EC9"/>
    <w:rsid w:val="00D3305E"/>
    <w:rsid w:val="00D331EB"/>
    <w:rsid w:val="00D33A35"/>
    <w:rsid w:val="00D341EC"/>
    <w:rsid w:val="00D34276"/>
    <w:rsid w:val="00D34294"/>
    <w:rsid w:val="00D34518"/>
    <w:rsid w:val="00D3491F"/>
    <w:rsid w:val="00D349B2"/>
    <w:rsid w:val="00D34EFB"/>
    <w:rsid w:val="00D352FB"/>
    <w:rsid w:val="00D35414"/>
    <w:rsid w:val="00D35BC4"/>
    <w:rsid w:val="00D35CBB"/>
    <w:rsid w:val="00D361C7"/>
    <w:rsid w:val="00D3734D"/>
    <w:rsid w:val="00D37406"/>
    <w:rsid w:val="00D37636"/>
    <w:rsid w:val="00D37A9E"/>
    <w:rsid w:val="00D40B27"/>
    <w:rsid w:val="00D40EA7"/>
    <w:rsid w:val="00D40F71"/>
    <w:rsid w:val="00D411C7"/>
    <w:rsid w:val="00D41A3E"/>
    <w:rsid w:val="00D42153"/>
    <w:rsid w:val="00D4231E"/>
    <w:rsid w:val="00D42330"/>
    <w:rsid w:val="00D4256E"/>
    <w:rsid w:val="00D4325F"/>
    <w:rsid w:val="00D43811"/>
    <w:rsid w:val="00D43C43"/>
    <w:rsid w:val="00D43F3F"/>
    <w:rsid w:val="00D44466"/>
    <w:rsid w:val="00D4476B"/>
    <w:rsid w:val="00D44BF4"/>
    <w:rsid w:val="00D44E79"/>
    <w:rsid w:val="00D44FDC"/>
    <w:rsid w:val="00D451D6"/>
    <w:rsid w:val="00D455E0"/>
    <w:rsid w:val="00D4588E"/>
    <w:rsid w:val="00D460C5"/>
    <w:rsid w:val="00D460D9"/>
    <w:rsid w:val="00D469AF"/>
    <w:rsid w:val="00D46A69"/>
    <w:rsid w:val="00D46C0A"/>
    <w:rsid w:val="00D473FD"/>
    <w:rsid w:val="00D47A82"/>
    <w:rsid w:val="00D47E0B"/>
    <w:rsid w:val="00D50408"/>
    <w:rsid w:val="00D50BE2"/>
    <w:rsid w:val="00D51D46"/>
    <w:rsid w:val="00D52512"/>
    <w:rsid w:val="00D52D74"/>
    <w:rsid w:val="00D52DA0"/>
    <w:rsid w:val="00D53E14"/>
    <w:rsid w:val="00D54284"/>
    <w:rsid w:val="00D54354"/>
    <w:rsid w:val="00D54E31"/>
    <w:rsid w:val="00D55836"/>
    <w:rsid w:val="00D558C5"/>
    <w:rsid w:val="00D561E4"/>
    <w:rsid w:val="00D563EE"/>
    <w:rsid w:val="00D568D0"/>
    <w:rsid w:val="00D568D8"/>
    <w:rsid w:val="00D56A14"/>
    <w:rsid w:val="00D56C09"/>
    <w:rsid w:val="00D56C77"/>
    <w:rsid w:val="00D57525"/>
    <w:rsid w:val="00D578E7"/>
    <w:rsid w:val="00D57C43"/>
    <w:rsid w:val="00D57CBD"/>
    <w:rsid w:val="00D57DB4"/>
    <w:rsid w:val="00D57E70"/>
    <w:rsid w:val="00D604E3"/>
    <w:rsid w:val="00D60A1A"/>
    <w:rsid w:val="00D60C9B"/>
    <w:rsid w:val="00D61320"/>
    <w:rsid w:val="00D616C2"/>
    <w:rsid w:val="00D61738"/>
    <w:rsid w:val="00D617CF"/>
    <w:rsid w:val="00D61AF0"/>
    <w:rsid w:val="00D61D02"/>
    <w:rsid w:val="00D61EFA"/>
    <w:rsid w:val="00D621A7"/>
    <w:rsid w:val="00D6226A"/>
    <w:rsid w:val="00D62BA2"/>
    <w:rsid w:val="00D62F06"/>
    <w:rsid w:val="00D6315A"/>
    <w:rsid w:val="00D63484"/>
    <w:rsid w:val="00D63F19"/>
    <w:rsid w:val="00D64901"/>
    <w:rsid w:val="00D64A13"/>
    <w:rsid w:val="00D651B1"/>
    <w:rsid w:val="00D65357"/>
    <w:rsid w:val="00D65456"/>
    <w:rsid w:val="00D658A7"/>
    <w:rsid w:val="00D659B6"/>
    <w:rsid w:val="00D663F2"/>
    <w:rsid w:val="00D66558"/>
    <w:rsid w:val="00D667F3"/>
    <w:rsid w:val="00D66938"/>
    <w:rsid w:val="00D66A4C"/>
    <w:rsid w:val="00D70BE5"/>
    <w:rsid w:val="00D70E5C"/>
    <w:rsid w:val="00D70E97"/>
    <w:rsid w:val="00D7130B"/>
    <w:rsid w:val="00D715F8"/>
    <w:rsid w:val="00D71FDF"/>
    <w:rsid w:val="00D735CB"/>
    <w:rsid w:val="00D73988"/>
    <w:rsid w:val="00D73C38"/>
    <w:rsid w:val="00D743EA"/>
    <w:rsid w:val="00D748DA"/>
    <w:rsid w:val="00D74FC2"/>
    <w:rsid w:val="00D751EB"/>
    <w:rsid w:val="00D752CD"/>
    <w:rsid w:val="00D7531E"/>
    <w:rsid w:val="00D7592D"/>
    <w:rsid w:val="00D75F55"/>
    <w:rsid w:val="00D76625"/>
    <w:rsid w:val="00D77B50"/>
    <w:rsid w:val="00D8069F"/>
    <w:rsid w:val="00D813D9"/>
    <w:rsid w:val="00D8153A"/>
    <w:rsid w:val="00D81B65"/>
    <w:rsid w:val="00D82088"/>
    <w:rsid w:val="00D828CD"/>
    <w:rsid w:val="00D832E8"/>
    <w:rsid w:val="00D832F9"/>
    <w:rsid w:val="00D83AB2"/>
    <w:rsid w:val="00D83DDF"/>
    <w:rsid w:val="00D8404F"/>
    <w:rsid w:val="00D842F0"/>
    <w:rsid w:val="00D84AC4"/>
    <w:rsid w:val="00D85394"/>
    <w:rsid w:val="00D854B5"/>
    <w:rsid w:val="00D85F1F"/>
    <w:rsid w:val="00D86026"/>
    <w:rsid w:val="00D86C22"/>
    <w:rsid w:val="00D87858"/>
    <w:rsid w:val="00D8788B"/>
    <w:rsid w:val="00D879BF"/>
    <w:rsid w:val="00D87BB2"/>
    <w:rsid w:val="00D90532"/>
    <w:rsid w:val="00D90AE6"/>
    <w:rsid w:val="00D9119E"/>
    <w:rsid w:val="00D91810"/>
    <w:rsid w:val="00D91901"/>
    <w:rsid w:val="00D91B1B"/>
    <w:rsid w:val="00D91CC9"/>
    <w:rsid w:val="00D91F41"/>
    <w:rsid w:val="00D92072"/>
    <w:rsid w:val="00D92869"/>
    <w:rsid w:val="00D929AE"/>
    <w:rsid w:val="00D92DDA"/>
    <w:rsid w:val="00D92F28"/>
    <w:rsid w:val="00D93A16"/>
    <w:rsid w:val="00D942DF"/>
    <w:rsid w:val="00D94627"/>
    <w:rsid w:val="00D94C58"/>
    <w:rsid w:val="00D952C6"/>
    <w:rsid w:val="00D96C28"/>
    <w:rsid w:val="00D96CB2"/>
    <w:rsid w:val="00D97801"/>
    <w:rsid w:val="00D979CB"/>
    <w:rsid w:val="00DA0281"/>
    <w:rsid w:val="00DA0A11"/>
    <w:rsid w:val="00DA1369"/>
    <w:rsid w:val="00DA1434"/>
    <w:rsid w:val="00DA18FB"/>
    <w:rsid w:val="00DA1A40"/>
    <w:rsid w:val="00DA1B60"/>
    <w:rsid w:val="00DA1DD5"/>
    <w:rsid w:val="00DA284E"/>
    <w:rsid w:val="00DA317F"/>
    <w:rsid w:val="00DA33DD"/>
    <w:rsid w:val="00DA351A"/>
    <w:rsid w:val="00DA37A1"/>
    <w:rsid w:val="00DA3956"/>
    <w:rsid w:val="00DA3AE7"/>
    <w:rsid w:val="00DA403A"/>
    <w:rsid w:val="00DA47D7"/>
    <w:rsid w:val="00DA4B65"/>
    <w:rsid w:val="00DA5203"/>
    <w:rsid w:val="00DA5667"/>
    <w:rsid w:val="00DA5A01"/>
    <w:rsid w:val="00DA5B29"/>
    <w:rsid w:val="00DA6699"/>
    <w:rsid w:val="00DA6D42"/>
    <w:rsid w:val="00DA6D74"/>
    <w:rsid w:val="00DA6DCC"/>
    <w:rsid w:val="00DA73DD"/>
    <w:rsid w:val="00DA7B9B"/>
    <w:rsid w:val="00DB02B7"/>
    <w:rsid w:val="00DB02DE"/>
    <w:rsid w:val="00DB058C"/>
    <w:rsid w:val="00DB07B1"/>
    <w:rsid w:val="00DB09E7"/>
    <w:rsid w:val="00DB0C01"/>
    <w:rsid w:val="00DB18CE"/>
    <w:rsid w:val="00DB1958"/>
    <w:rsid w:val="00DB1D25"/>
    <w:rsid w:val="00DB204B"/>
    <w:rsid w:val="00DB21D2"/>
    <w:rsid w:val="00DB2299"/>
    <w:rsid w:val="00DB24AB"/>
    <w:rsid w:val="00DB30AD"/>
    <w:rsid w:val="00DB34A9"/>
    <w:rsid w:val="00DB3939"/>
    <w:rsid w:val="00DB3AF9"/>
    <w:rsid w:val="00DB3BAD"/>
    <w:rsid w:val="00DB41B9"/>
    <w:rsid w:val="00DB4538"/>
    <w:rsid w:val="00DB53BC"/>
    <w:rsid w:val="00DB54A5"/>
    <w:rsid w:val="00DB5A7C"/>
    <w:rsid w:val="00DB5C8A"/>
    <w:rsid w:val="00DB5EC8"/>
    <w:rsid w:val="00DB6648"/>
    <w:rsid w:val="00DB664F"/>
    <w:rsid w:val="00DB7040"/>
    <w:rsid w:val="00DB7112"/>
    <w:rsid w:val="00DB79D0"/>
    <w:rsid w:val="00DB7D9D"/>
    <w:rsid w:val="00DB7F65"/>
    <w:rsid w:val="00DC0899"/>
    <w:rsid w:val="00DC1077"/>
    <w:rsid w:val="00DC1125"/>
    <w:rsid w:val="00DC1DD9"/>
    <w:rsid w:val="00DC236F"/>
    <w:rsid w:val="00DC26DC"/>
    <w:rsid w:val="00DC2C28"/>
    <w:rsid w:val="00DC3F5C"/>
    <w:rsid w:val="00DC4072"/>
    <w:rsid w:val="00DC40D7"/>
    <w:rsid w:val="00DC4708"/>
    <w:rsid w:val="00DC4A2B"/>
    <w:rsid w:val="00DC4C6D"/>
    <w:rsid w:val="00DC4F3C"/>
    <w:rsid w:val="00DC50B1"/>
    <w:rsid w:val="00DC5742"/>
    <w:rsid w:val="00DC58D2"/>
    <w:rsid w:val="00DC5CF8"/>
    <w:rsid w:val="00DC6180"/>
    <w:rsid w:val="00DC61EF"/>
    <w:rsid w:val="00DC6867"/>
    <w:rsid w:val="00DC6DD9"/>
    <w:rsid w:val="00DC71D4"/>
    <w:rsid w:val="00DC7572"/>
    <w:rsid w:val="00DC773E"/>
    <w:rsid w:val="00DC7A20"/>
    <w:rsid w:val="00DC7D78"/>
    <w:rsid w:val="00DC7E8E"/>
    <w:rsid w:val="00DD018B"/>
    <w:rsid w:val="00DD024A"/>
    <w:rsid w:val="00DD1162"/>
    <w:rsid w:val="00DD1904"/>
    <w:rsid w:val="00DD1989"/>
    <w:rsid w:val="00DD1C3A"/>
    <w:rsid w:val="00DD1F79"/>
    <w:rsid w:val="00DD2114"/>
    <w:rsid w:val="00DD2DB0"/>
    <w:rsid w:val="00DD2E66"/>
    <w:rsid w:val="00DD330C"/>
    <w:rsid w:val="00DD3688"/>
    <w:rsid w:val="00DD3C77"/>
    <w:rsid w:val="00DD3D76"/>
    <w:rsid w:val="00DD3D8D"/>
    <w:rsid w:val="00DD4084"/>
    <w:rsid w:val="00DD46A7"/>
    <w:rsid w:val="00DD4FD0"/>
    <w:rsid w:val="00DD5164"/>
    <w:rsid w:val="00DD5D6A"/>
    <w:rsid w:val="00DD61AE"/>
    <w:rsid w:val="00DD6462"/>
    <w:rsid w:val="00DD6617"/>
    <w:rsid w:val="00DD6686"/>
    <w:rsid w:val="00DD67DB"/>
    <w:rsid w:val="00DD719B"/>
    <w:rsid w:val="00DD73C6"/>
    <w:rsid w:val="00DD787A"/>
    <w:rsid w:val="00DD7A1C"/>
    <w:rsid w:val="00DD7A88"/>
    <w:rsid w:val="00DD7FBB"/>
    <w:rsid w:val="00DD7FD4"/>
    <w:rsid w:val="00DE03F1"/>
    <w:rsid w:val="00DE0540"/>
    <w:rsid w:val="00DE086F"/>
    <w:rsid w:val="00DE1164"/>
    <w:rsid w:val="00DE124A"/>
    <w:rsid w:val="00DE137A"/>
    <w:rsid w:val="00DE15C1"/>
    <w:rsid w:val="00DE2250"/>
    <w:rsid w:val="00DE24AE"/>
    <w:rsid w:val="00DE28CC"/>
    <w:rsid w:val="00DE3118"/>
    <w:rsid w:val="00DE401F"/>
    <w:rsid w:val="00DE4082"/>
    <w:rsid w:val="00DE41F4"/>
    <w:rsid w:val="00DE42CA"/>
    <w:rsid w:val="00DE4A66"/>
    <w:rsid w:val="00DE4AA9"/>
    <w:rsid w:val="00DE5A2A"/>
    <w:rsid w:val="00DE5B98"/>
    <w:rsid w:val="00DE5FFD"/>
    <w:rsid w:val="00DE602D"/>
    <w:rsid w:val="00DE6528"/>
    <w:rsid w:val="00DE6BB6"/>
    <w:rsid w:val="00DE6CD5"/>
    <w:rsid w:val="00DE70CD"/>
    <w:rsid w:val="00DE7152"/>
    <w:rsid w:val="00DE7A94"/>
    <w:rsid w:val="00DE7C40"/>
    <w:rsid w:val="00DF0778"/>
    <w:rsid w:val="00DF097B"/>
    <w:rsid w:val="00DF0F2E"/>
    <w:rsid w:val="00DF1225"/>
    <w:rsid w:val="00DF19BE"/>
    <w:rsid w:val="00DF1AD3"/>
    <w:rsid w:val="00DF1D32"/>
    <w:rsid w:val="00DF2038"/>
    <w:rsid w:val="00DF23FE"/>
    <w:rsid w:val="00DF3459"/>
    <w:rsid w:val="00DF35C2"/>
    <w:rsid w:val="00DF380D"/>
    <w:rsid w:val="00DF3827"/>
    <w:rsid w:val="00DF4F22"/>
    <w:rsid w:val="00DF5738"/>
    <w:rsid w:val="00DF6175"/>
    <w:rsid w:val="00DF6588"/>
    <w:rsid w:val="00DF6669"/>
    <w:rsid w:val="00DF6771"/>
    <w:rsid w:val="00DF686E"/>
    <w:rsid w:val="00DF6A53"/>
    <w:rsid w:val="00DF77BF"/>
    <w:rsid w:val="00DF78DD"/>
    <w:rsid w:val="00DF7E2A"/>
    <w:rsid w:val="00DF7F40"/>
    <w:rsid w:val="00E008DC"/>
    <w:rsid w:val="00E00B7B"/>
    <w:rsid w:val="00E01043"/>
    <w:rsid w:val="00E0139E"/>
    <w:rsid w:val="00E01409"/>
    <w:rsid w:val="00E01EC0"/>
    <w:rsid w:val="00E01FC6"/>
    <w:rsid w:val="00E026F4"/>
    <w:rsid w:val="00E02EF0"/>
    <w:rsid w:val="00E0367E"/>
    <w:rsid w:val="00E03787"/>
    <w:rsid w:val="00E0445E"/>
    <w:rsid w:val="00E0499C"/>
    <w:rsid w:val="00E05432"/>
    <w:rsid w:val="00E05D16"/>
    <w:rsid w:val="00E06795"/>
    <w:rsid w:val="00E0765E"/>
    <w:rsid w:val="00E0779D"/>
    <w:rsid w:val="00E07872"/>
    <w:rsid w:val="00E07972"/>
    <w:rsid w:val="00E07CC4"/>
    <w:rsid w:val="00E105DE"/>
    <w:rsid w:val="00E1066C"/>
    <w:rsid w:val="00E11CC7"/>
    <w:rsid w:val="00E11D4C"/>
    <w:rsid w:val="00E11E28"/>
    <w:rsid w:val="00E1220C"/>
    <w:rsid w:val="00E12346"/>
    <w:rsid w:val="00E123B0"/>
    <w:rsid w:val="00E12979"/>
    <w:rsid w:val="00E12A74"/>
    <w:rsid w:val="00E12D99"/>
    <w:rsid w:val="00E131B7"/>
    <w:rsid w:val="00E13A14"/>
    <w:rsid w:val="00E13A23"/>
    <w:rsid w:val="00E1402D"/>
    <w:rsid w:val="00E1414D"/>
    <w:rsid w:val="00E144CC"/>
    <w:rsid w:val="00E14515"/>
    <w:rsid w:val="00E14A4B"/>
    <w:rsid w:val="00E15D32"/>
    <w:rsid w:val="00E166DD"/>
    <w:rsid w:val="00E177F1"/>
    <w:rsid w:val="00E17F6E"/>
    <w:rsid w:val="00E204F2"/>
    <w:rsid w:val="00E2058D"/>
    <w:rsid w:val="00E206AF"/>
    <w:rsid w:val="00E21B0E"/>
    <w:rsid w:val="00E21E39"/>
    <w:rsid w:val="00E22793"/>
    <w:rsid w:val="00E227C5"/>
    <w:rsid w:val="00E2298B"/>
    <w:rsid w:val="00E22BBF"/>
    <w:rsid w:val="00E2338A"/>
    <w:rsid w:val="00E23E9E"/>
    <w:rsid w:val="00E23FAE"/>
    <w:rsid w:val="00E2408B"/>
    <w:rsid w:val="00E2413C"/>
    <w:rsid w:val="00E25AA7"/>
    <w:rsid w:val="00E25D07"/>
    <w:rsid w:val="00E26163"/>
    <w:rsid w:val="00E26466"/>
    <w:rsid w:val="00E26647"/>
    <w:rsid w:val="00E26F35"/>
    <w:rsid w:val="00E276D7"/>
    <w:rsid w:val="00E27C8F"/>
    <w:rsid w:val="00E27F82"/>
    <w:rsid w:val="00E27FD1"/>
    <w:rsid w:val="00E30051"/>
    <w:rsid w:val="00E30116"/>
    <w:rsid w:val="00E301C6"/>
    <w:rsid w:val="00E30971"/>
    <w:rsid w:val="00E31124"/>
    <w:rsid w:val="00E316B5"/>
    <w:rsid w:val="00E31849"/>
    <w:rsid w:val="00E31B75"/>
    <w:rsid w:val="00E31D82"/>
    <w:rsid w:val="00E31DDC"/>
    <w:rsid w:val="00E3204A"/>
    <w:rsid w:val="00E320E5"/>
    <w:rsid w:val="00E32D28"/>
    <w:rsid w:val="00E3365A"/>
    <w:rsid w:val="00E3378C"/>
    <w:rsid w:val="00E34516"/>
    <w:rsid w:val="00E34802"/>
    <w:rsid w:val="00E34843"/>
    <w:rsid w:val="00E34FBC"/>
    <w:rsid w:val="00E353BF"/>
    <w:rsid w:val="00E358DC"/>
    <w:rsid w:val="00E35A3A"/>
    <w:rsid w:val="00E35E25"/>
    <w:rsid w:val="00E3678D"/>
    <w:rsid w:val="00E36BDF"/>
    <w:rsid w:val="00E37208"/>
    <w:rsid w:val="00E3744D"/>
    <w:rsid w:val="00E37605"/>
    <w:rsid w:val="00E37762"/>
    <w:rsid w:val="00E3784A"/>
    <w:rsid w:val="00E37D76"/>
    <w:rsid w:val="00E37DA1"/>
    <w:rsid w:val="00E40544"/>
    <w:rsid w:val="00E405D6"/>
    <w:rsid w:val="00E409F3"/>
    <w:rsid w:val="00E40D2A"/>
    <w:rsid w:val="00E40F77"/>
    <w:rsid w:val="00E41234"/>
    <w:rsid w:val="00E41AD3"/>
    <w:rsid w:val="00E41DDE"/>
    <w:rsid w:val="00E4222A"/>
    <w:rsid w:val="00E425A5"/>
    <w:rsid w:val="00E429E2"/>
    <w:rsid w:val="00E42A6E"/>
    <w:rsid w:val="00E42A9D"/>
    <w:rsid w:val="00E42C22"/>
    <w:rsid w:val="00E43831"/>
    <w:rsid w:val="00E43C7F"/>
    <w:rsid w:val="00E43DF2"/>
    <w:rsid w:val="00E44115"/>
    <w:rsid w:val="00E44353"/>
    <w:rsid w:val="00E44A3A"/>
    <w:rsid w:val="00E458D1"/>
    <w:rsid w:val="00E45A8C"/>
    <w:rsid w:val="00E45BEC"/>
    <w:rsid w:val="00E463D4"/>
    <w:rsid w:val="00E474FE"/>
    <w:rsid w:val="00E50B43"/>
    <w:rsid w:val="00E513C9"/>
    <w:rsid w:val="00E51A90"/>
    <w:rsid w:val="00E51F06"/>
    <w:rsid w:val="00E52313"/>
    <w:rsid w:val="00E52C57"/>
    <w:rsid w:val="00E52CE5"/>
    <w:rsid w:val="00E52DEA"/>
    <w:rsid w:val="00E53DDF"/>
    <w:rsid w:val="00E544FE"/>
    <w:rsid w:val="00E54778"/>
    <w:rsid w:val="00E550C7"/>
    <w:rsid w:val="00E55201"/>
    <w:rsid w:val="00E55F12"/>
    <w:rsid w:val="00E560C7"/>
    <w:rsid w:val="00E562E4"/>
    <w:rsid w:val="00E56891"/>
    <w:rsid w:val="00E56D8A"/>
    <w:rsid w:val="00E57411"/>
    <w:rsid w:val="00E578C4"/>
    <w:rsid w:val="00E578E2"/>
    <w:rsid w:val="00E579E1"/>
    <w:rsid w:val="00E57DE2"/>
    <w:rsid w:val="00E57F72"/>
    <w:rsid w:val="00E606ED"/>
    <w:rsid w:val="00E609DD"/>
    <w:rsid w:val="00E60AE2"/>
    <w:rsid w:val="00E60CE4"/>
    <w:rsid w:val="00E60EBA"/>
    <w:rsid w:val="00E6178D"/>
    <w:rsid w:val="00E61C53"/>
    <w:rsid w:val="00E621A7"/>
    <w:rsid w:val="00E62575"/>
    <w:rsid w:val="00E627E0"/>
    <w:rsid w:val="00E63380"/>
    <w:rsid w:val="00E63E38"/>
    <w:rsid w:val="00E63E53"/>
    <w:rsid w:val="00E646A7"/>
    <w:rsid w:val="00E64AD4"/>
    <w:rsid w:val="00E65100"/>
    <w:rsid w:val="00E6598F"/>
    <w:rsid w:val="00E6634E"/>
    <w:rsid w:val="00E66932"/>
    <w:rsid w:val="00E66A42"/>
    <w:rsid w:val="00E670E7"/>
    <w:rsid w:val="00E7001B"/>
    <w:rsid w:val="00E71311"/>
    <w:rsid w:val="00E71B34"/>
    <w:rsid w:val="00E71F1D"/>
    <w:rsid w:val="00E7231B"/>
    <w:rsid w:val="00E72A63"/>
    <w:rsid w:val="00E72BB7"/>
    <w:rsid w:val="00E72ED8"/>
    <w:rsid w:val="00E73168"/>
    <w:rsid w:val="00E7391C"/>
    <w:rsid w:val="00E73C5D"/>
    <w:rsid w:val="00E74138"/>
    <w:rsid w:val="00E74E64"/>
    <w:rsid w:val="00E750A8"/>
    <w:rsid w:val="00E759CA"/>
    <w:rsid w:val="00E766A3"/>
    <w:rsid w:val="00E77004"/>
    <w:rsid w:val="00E80995"/>
    <w:rsid w:val="00E810DF"/>
    <w:rsid w:val="00E81DFD"/>
    <w:rsid w:val="00E8224E"/>
    <w:rsid w:val="00E8250D"/>
    <w:rsid w:val="00E8255E"/>
    <w:rsid w:val="00E826AE"/>
    <w:rsid w:val="00E829AA"/>
    <w:rsid w:val="00E82F43"/>
    <w:rsid w:val="00E8303A"/>
    <w:rsid w:val="00E831FC"/>
    <w:rsid w:val="00E8339B"/>
    <w:rsid w:val="00E8340F"/>
    <w:rsid w:val="00E83590"/>
    <w:rsid w:val="00E83BF3"/>
    <w:rsid w:val="00E83C66"/>
    <w:rsid w:val="00E83F0C"/>
    <w:rsid w:val="00E8429D"/>
    <w:rsid w:val="00E842FE"/>
    <w:rsid w:val="00E843B5"/>
    <w:rsid w:val="00E84CAC"/>
    <w:rsid w:val="00E84ECF"/>
    <w:rsid w:val="00E859BE"/>
    <w:rsid w:val="00E85D0E"/>
    <w:rsid w:val="00E85D3B"/>
    <w:rsid w:val="00E85DE2"/>
    <w:rsid w:val="00E85F9D"/>
    <w:rsid w:val="00E85FB9"/>
    <w:rsid w:val="00E86F8E"/>
    <w:rsid w:val="00E90206"/>
    <w:rsid w:val="00E906F8"/>
    <w:rsid w:val="00E90747"/>
    <w:rsid w:val="00E90760"/>
    <w:rsid w:val="00E90763"/>
    <w:rsid w:val="00E91F15"/>
    <w:rsid w:val="00E92148"/>
    <w:rsid w:val="00E92619"/>
    <w:rsid w:val="00E92B43"/>
    <w:rsid w:val="00E938DE"/>
    <w:rsid w:val="00E93B66"/>
    <w:rsid w:val="00E94116"/>
    <w:rsid w:val="00E9415F"/>
    <w:rsid w:val="00E943E0"/>
    <w:rsid w:val="00E94796"/>
    <w:rsid w:val="00E94C19"/>
    <w:rsid w:val="00E94CC9"/>
    <w:rsid w:val="00E94F58"/>
    <w:rsid w:val="00E95582"/>
    <w:rsid w:val="00E959C3"/>
    <w:rsid w:val="00E95C37"/>
    <w:rsid w:val="00E96585"/>
    <w:rsid w:val="00E966B3"/>
    <w:rsid w:val="00E97566"/>
    <w:rsid w:val="00E97B6D"/>
    <w:rsid w:val="00E97D0B"/>
    <w:rsid w:val="00EA0124"/>
    <w:rsid w:val="00EA099B"/>
    <w:rsid w:val="00EA0E8F"/>
    <w:rsid w:val="00EA1219"/>
    <w:rsid w:val="00EA17A7"/>
    <w:rsid w:val="00EA1AEC"/>
    <w:rsid w:val="00EA1F43"/>
    <w:rsid w:val="00EA2ECF"/>
    <w:rsid w:val="00EA3182"/>
    <w:rsid w:val="00EA38E5"/>
    <w:rsid w:val="00EA42DD"/>
    <w:rsid w:val="00EA434F"/>
    <w:rsid w:val="00EA479F"/>
    <w:rsid w:val="00EA4EB4"/>
    <w:rsid w:val="00EA5046"/>
    <w:rsid w:val="00EA5EAD"/>
    <w:rsid w:val="00EA6991"/>
    <w:rsid w:val="00EA718C"/>
    <w:rsid w:val="00EA7847"/>
    <w:rsid w:val="00EA79A2"/>
    <w:rsid w:val="00EB07A8"/>
    <w:rsid w:val="00EB0F24"/>
    <w:rsid w:val="00EB195B"/>
    <w:rsid w:val="00EB1A2F"/>
    <w:rsid w:val="00EB20ED"/>
    <w:rsid w:val="00EB28D7"/>
    <w:rsid w:val="00EB307F"/>
    <w:rsid w:val="00EB3128"/>
    <w:rsid w:val="00EB3579"/>
    <w:rsid w:val="00EB3A47"/>
    <w:rsid w:val="00EB470E"/>
    <w:rsid w:val="00EB4AA5"/>
    <w:rsid w:val="00EB4E71"/>
    <w:rsid w:val="00EB5001"/>
    <w:rsid w:val="00EB52FF"/>
    <w:rsid w:val="00EB53E6"/>
    <w:rsid w:val="00EB56C1"/>
    <w:rsid w:val="00EB6046"/>
    <w:rsid w:val="00EB698B"/>
    <w:rsid w:val="00EB69F8"/>
    <w:rsid w:val="00EB6C29"/>
    <w:rsid w:val="00EB6C36"/>
    <w:rsid w:val="00EB7186"/>
    <w:rsid w:val="00EB73A7"/>
    <w:rsid w:val="00EB7658"/>
    <w:rsid w:val="00EB7958"/>
    <w:rsid w:val="00EC0846"/>
    <w:rsid w:val="00EC0F0E"/>
    <w:rsid w:val="00EC1248"/>
    <w:rsid w:val="00EC16A6"/>
    <w:rsid w:val="00EC22D0"/>
    <w:rsid w:val="00EC2315"/>
    <w:rsid w:val="00EC2378"/>
    <w:rsid w:val="00EC2FB6"/>
    <w:rsid w:val="00EC4CFE"/>
    <w:rsid w:val="00EC5012"/>
    <w:rsid w:val="00EC5495"/>
    <w:rsid w:val="00EC5502"/>
    <w:rsid w:val="00EC5CE3"/>
    <w:rsid w:val="00EC5F63"/>
    <w:rsid w:val="00EC6235"/>
    <w:rsid w:val="00EC6D8F"/>
    <w:rsid w:val="00EC7871"/>
    <w:rsid w:val="00EC7941"/>
    <w:rsid w:val="00EC7A18"/>
    <w:rsid w:val="00ED04C0"/>
    <w:rsid w:val="00ED0AB7"/>
    <w:rsid w:val="00ED0C2F"/>
    <w:rsid w:val="00ED14D0"/>
    <w:rsid w:val="00ED19FC"/>
    <w:rsid w:val="00ED250D"/>
    <w:rsid w:val="00ED34F5"/>
    <w:rsid w:val="00ED37EB"/>
    <w:rsid w:val="00ED3904"/>
    <w:rsid w:val="00ED45F5"/>
    <w:rsid w:val="00ED489F"/>
    <w:rsid w:val="00ED50DE"/>
    <w:rsid w:val="00ED546B"/>
    <w:rsid w:val="00ED55A4"/>
    <w:rsid w:val="00ED5637"/>
    <w:rsid w:val="00ED5737"/>
    <w:rsid w:val="00ED5914"/>
    <w:rsid w:val="00ED5A29"/>
    <w:rsid w:val="00ED5B7E"/>
    <w:rsid w:val="00ED5EF6"/>
    <w:rsid w:val="00ED5F73"/>
    <w:rsid w:val="00ED63E0"/>
    <w:rsid w:val="00ED7076"/>
    <w:rsid w:val="00ED7318"/>
    <w:rsid w:val="00ED78ED"/>
    <w:rsid w:val="00ED79B3"/>
    <w:rsid w:val="00ED7A45"/>
    <w:rsid w:val="00ED7F70"/>
    <w:rsid w:val="00ED7F96"/>
    <w:rsid w:val="00EE0D2E"/>
    <w:rsid w:val="00EE14CF"/>
    <w:rsid w:val="00EE2148"/>
    <w:rsid w:val="00EE25BB"/>
    <w:rsid w:val="00EE2A79"/>
    <w:rsid w:val="00EE2CF9"/>
    <w:rsid w:val="00EE2F68"/>
    <w:rsid w:val="00EE2FC1"/>
    <w:rsid w:val="00EE32B2"/>
    <w:rsid w:val="00EE386B"/>
    <w:rsid w:val="00EE3AD1"/>
    <w:rsid w:val="00EE3D54"/>
    <w:rsid w:val="00EE41F5"/>
    <w:rsid w:val="00EE4B63"/>
    <w:rsid w:val="00EE6395"/>
    <w:rsid w:val="00EE658F"/>
    <w:rsid w:val="00EE7B59"/>
    <w:rsid w:val="00EE7DD3"/>
    <w:rsid w:val="00EF007C"/>
    <w:rsid w:val="00EF00DA"/>
    <w:rsid w:val="00EF08F7"/>
    <w:rsid w:val="00EF11E6"/>
    <w:rsid w:val="00EF16A1"/>
    <w:rsid w:val="00EF2464"/>
    <w:rsid w:val="00EF2D80"/>
    <w:rsid w:val="00EF308C"/>
    <w:rsid w:val="00EF39FB"/>
    <w:rsid w:val="00EF3C31"/>
    <w:rsid w:val="00EF3D7B"/>
    <w:rsid w:val="00EF4252"/>
    <w:rsid w:val="00EF42F0"/>
    <w:rsid w:val="00EF47A1"/>
    <w:rsid w:val="00EF47E6"/>
    <w:rsid w:val="00EF4C08"/>
    <w:rsid w:val="00EF4FC9"/>
    <w:rsid w:val="00EF5350"/>
    <w:rsid w:val="00EF5C6F"/>
    <w:rsid w:val="00EF6D69"/>
    <w:rsid w:val="00EF722D"/>
    <w:rsid w:val="00F0089A"/>
    <w:rsid w:val="00F00D0D"/>
    <w:rsid w:val="00F0116F"/>
    <w:rsid w:val="00F018DB"/>
    <w:rsid w:val="00F01A36"/>
    <w:rsid w:val="00F01BF1"/>
    <w:rsid w:val="00F01F23"/>
    <w:rsid w:val="00F0201D"/>
    <w:rsid w:val="00F0214C"/>
    <w:rsid w:val="00F029C5"/>
    <w:rsid w:val="00F02BCE"/>
    <w:rsid w:val="00F03141"/>
    <w:rsid w:val="00F0392B"/>
    <w:rsid w:val="00F03D19"/>
    <w:rsid w:val="00F040FB"/>
    <w:rsid w:val="00F04149"/>
    <w:rsid w:val="00F04B39"/>
    <w:rsid w:val="00F04BBA"/>
    <w:rsid w:val="00F051A8"/>
    <w:rsid w:val="00F05A4E"/>
    <w:rsid w:val="00F05BE8"/>
    <w:rsid w:val="00F060DC"/>
    <w:rsid w:val="00F0627D"/>
    <w:rsid w:val="00F063A2"/>
    <w:rsid w:val="00F063F6"/>
    <w:rsid w:val="00F0657F"/>
    <w:rsid w:val="00F06B2A"/>
    <w:rsid w:val="00F06BE4"/>
    <w:rsid w:val="00F07166"/>
    <w:rsid w:val="00F071C9"/>
    <w:rsid w:val="00F075B6"/>
    <w:rsid w:val="00F0765A"/>
    <w:rsid w:val="00F076AD"/>
    <w:rsid w:val="00F07988"/>
    <w:rsid w:val="00F079F3"/>
    <w:rsid w:val="00F07BDF"/>
    <w:rsid w:val="00F07C88"/>
    <w:rsid w:val="00F07DE7"/>
    <w:rsid w:val="00F104A5"/>
    <w:rsid w:val="00F112DB"/>
    <w:rsid w:val="00F113A6"/>
    <w:rsid w:val="00F1143A"/>
    <w:rsid w:val="00F11775"/>
    <w:rsid w:val="00F118DE"/>
    <w:rsid w:val="00F11F6D"/>
    <w:rsid w:val="00F1209E"/>
    <w:rsid w:val="00F1256F"/>
    <w:rsid w:val="00F12C2E"/>
    <w:rsid w:val="00F12C69"/>
    <w:rsid w:val="00F13368"/>
    <w:rsid w:val="00F13383"/>
    <w:rsid w:val="00F13434"/>
    <w:rsid w:val="00F13477"/>
    <w:rsid w:val="00F13D59"/>
    <w:rsid w:val="00F13FDD"/>
    <w:rsid w:val="00F14252"/>
    <w:rsid w:val="00F14611"/>
    <w:rsid w:val="00F1481C"/>
    <w:rsid w:val="00F149EE"/>
    <w:rsid w:val="00F14E89"/>
    <w:rsid w:val="00F14F35"/>
    <w:rsid w:val="00F1513C"/>
    <w:rsid w:val="00F160FB"/>
    <w:rsid w:val="00F16844"/>
    <w:rsid w:val="00F16B26"/>
    <w:rsid w:val="00F16CA2"/>
    <w:rsid w:val="00F1707B"/>
    <w:rsid w:val="00F176B2"/>
    <w:rsid w:val="00F20081"/>
    <w:rsid w:val="00F20517"/>
    <w:rsid w:val="00F209B6"/>
    <w:rsid w:val="00F209D9"/>
    <w:rsid w:val="00F20B6E"/>
    <w:rsid w:val="00F20DAC"/>
    <w:rsid w:val="00F20F4D"/>
    <w:rsid w:val="00F217F3"/>
    <w:rsid w:val="00F21825"/>
    <w:rsid w:val="00F218E5"/>
    <w:rsid w:val="00F21BA5"/>
    <w:rsid w:val="00F22648"/>
    <w:rsid w:val="00F23246"/>
    <w:rsid w:val="00F244A6"/>
    <w:rsid w:val="00F24509"/>
    <w:rsid w:val="00F24947"/>
    <w:rsid w:val="00F26050"/>
    <w:rsid w:val="00F2612B"/>
    <w:rsid w:val="00F2618A"/>
    <w:rsid w:val="00F26788"/>
    <w:rsid w:val="00F26B06"/>
    <w:rsid w:val="00F26B78"/>
    <w:rsid w:val="00F26F23"/>
    <w:rsid w:val="00F309DA"/>
    <w:rsid w:val="00F30ADE"/>
    <w:rsid w:val="00F3287C"/>
    <w:rsid w:val="00F336F9"/>
    <w:rsid w:val="00F33807"/>
    <w:rsid w:val="00F3387E"/>
    <w:rsid w:val="00F338E4"/>
    <w:rsid w:val="00F34144"/>
    <w:rsid w:val="00F34893"/>
    <w:rsid w:val="00F348A4"/>
    <w:rsid w:val="00F34AFD"/>
    <w:rsid w:val="00F34D3B"/>
    <w:rsid w:val="00F34DFA"/>
    <w:rsid w:val="00F34E16"/>
    <w:rsid w:val="00F354E1"/>
    <w:rsid w:val="00F3615C"/>
    <w:rsid w:val="00F36E5F"/>
    <w:rsid w:val="00F37086"/>
    <w:rsid w:val="00F3713C"/>
    <w:rsid w:val="00F37432"/>
    <w:rsid w:val="00F37580"/>
    <w:rsid w:val="00F376F8"/>
    <w:rsid w:val="00F37C53"/>
    <w:rsid w:val="00F37D7C"/>
    <w:rsid w:val="00F37DEC"/>
    <w:rsid w:val="00F37E62"/>
    <w:rsid w:val="00F403ED"/>
    <w:rsid w:val="00F40476"/>
    <w:rsid w:val="00F40650"/>
    <w:rsid w:val="00F40D7B"/>
    <w:rsid w:val="00F4159D"/>
    <w:rsid w:val="00F416BD"/>
    <w:rsid w:val="00F4360B"/>
    <w:rsid w:val="00F4379D"/>
    <w:rsid w:val="00F43AE4"/>
    <w:rsid w:val="00F43B85"/>
    <w:rsid w:val="00F43C7B"/>
    <w:rsid w:val="00F43C80"/>
    <w:rsid w:val="00F43F7E"/>
    <w:rsid w:val="00F44662"/>
    <w:rsid w:val="00F450FC"/>
    <w:rsid w:val="00F45452"/>
    <w:rsid w:val="00F4604A"/>
    <w:rsid w:val="00F4624F"/>
    <w:rsid w:val="00F4628D"/>
    <w:rsid w:val="00F467CD"/>
    <w:rsid w:val="00F469BC"/>
    <w:rsid w:val="00F46AD7"/>
    <w:rsid w:val="00F46F06"/>
    <w:rsid w:val="00F47203"/>
    <w:rsid w:val="00F479CA"/>
    <w:rsid w:val="00F5022B"/>
    <w:rsid w:val="00F5041E"/>
    <w:rsid w:val="00F51535"/>
    <w:rsid w:val="00F518FD"/>
    <w:rsid w:val="00F52057"/>
    <w:rsid w:val="00F52A69"/>
    <w:rsid w:val="00F52CBC"/>
    <w:rsid w:val="00F531E4"/>
    <w:rsid w:val="00F5327F"/>
    <w:rsid w:val="00F532B0"/>
    <w:rsid w:val="00F53C09"/>
    <w:rsid w:val="00F5431F"/>
    <w:rsid w:val="00F54369"/>
    <w:rsid w:val="00F54419"/>
    <w:rsid w:val="00F54581"/>
    <w:rsid w:val="00F5464D"/>
    <w:rsid w:val="00F54A1E"/>
    <w:rsid w:val="00F54AF5"/>
    <w:rsid w:val="00F54B7D"/>
    <w:rsid w:val="00F54D7E"/>
    <w:rsid w:val="00F55231"/>
    <w:rsid w:val="00F5552A"/>
    <w:rsid w:val="00F558C9"/>
    <w:rsid w:val="00F55A20"/>
    <w:rsid w:val="00F566F8"/>
    <w:rsid w:val="00F56829"/>
    <w:rsid w:val="00F5684B"/>
    <w:rsid w:val="00F56920"/>
    <w:rsid w:val="00F56BF7"/>
    <w:rsid w:val="00F56D12"/>
    <w:rsid w:val="00F56FD4"/>
    <w:rsid w:val="00F6058F"/>
    <w:rsid w:val="00F6088A"/>
    <w:rsid w:val="00F61433"/>
    <w:rsid w:val="00F616DE"/>
    <w:rsid w:val="00F617A0"/>
    <w:rsid w:val="00F617C1"/>
    <w:rsid w:val="00F61CDF"/>
    <w:rsid w:val="00F62216"/>
    <w:rsid w:val="00F62775"/>
    <w:rsid w:val="00F62800"/>
    <w:rsid w:val="00F62873"/>
    <w:rsid w:val="00F62927"/>
    <w:rsid w:val="00F6327C"/>
    <w:rsid w:val="00F633C9"/>
    <w:rsid w:val="00F63AC4"/>
    <w:rsid w:val="00F64317"/>
    <w:rsid w:val="00F64FA3"/>
    <w:rsid w:val="00F656D9"/>
    <w:rsid w:val="00F6572F"/>
    <w:rsid w:val="00F65C26"/>
    <w:rsid w:val="00F65F4F"/>
    <w:rsid w:val="00F6610C"/>
    <w:rsid w:val="00F66135"/>
    <w:rsid w:val="00F662DE"/>
    <w:rsid w:val="00F66C42"/>
    <w:rsid w:val="00F67023"/>
    <w:rsid w:val="00F6766C"/>
    <w:rsid w:val="00F6774F"/>
    <w:rsid w:val="00F679F7"/>
    <w:rsid w:val="00F70319"/>
    <w:rsid w:val="00F70A62"/>
    <w:rsid w:val="00F70CAB"/>
    <w:rsid w:val="00F71560"/>
    <w:rsid w:val="00F72298"/>
    <w:rsid w:val="00F72446"/>
    <w:rsid w:val="00F72E04"/>
    <w:rsid w:val="00F7313E"/>
    <w:rsid w:val="00F732DC"/>
    <w:rsid w:val="00F7336C"/>
    <w:rsid w:val="00F7375C"/>
    <w:rsid w:val="00F73898"/>
    <w:rsid w:val="00F73FAC"/>
    <w:rsid w:val="00F74215"/>
    <w:rsid w:val="00F74473"/>
    <w:rsid w:val="00F75DA6"/>
    <w:rsid w:val="00F760DC"/>
    <w:rsid w:val="00F76AF3"/>
    <w:rsid w:val="00F76D7A"/>
    <w:rsid w:val="00F7782C"/>
    <w:rsid w:val="00F77A96"/>
    <w:rsid w:val="00F800AE"/>
    <w:rsid w:val="00F80AAC"/>
    <w:rsid w:val="00F80AEF"/>
    <w:rsid w:val="00F80BE6"/>
    <w:rsid w:val="00F80CAB"/>
    <w:rsid w:val="00F811A7"/>
    <w:rsid w:val="00F814D4"/>
    <w:rsid w:val="00F818BA"/>
    <w:rsid w:val="00F8195F"/>
    <w:rsid w:val="00F81EEE"/>
    <w:rsid w:val="00F82DBE"/>
    <w:rsid w:val="00F82FDE"/>
    <w:rsid w:val="00F8326B"/>
    <w:rsid w:val="00F83347"/>
    <w:rsid w:val="00F8344D"/>
    <w:rsid w:val="00F83644"/>
    <w:rsid w:val="00F84C78"/>
    <w:rsid w:val="00F85798"/>
    <w:rsid w:val="00F85A86"/>
    <w:rsid w:val="00F85D69"/>
    <w:rsid w:val="00F85EBB"/>
    <w:rsid w:val="00F8627E"/>
    <w:rsid w:val="00F8634F"/>
    <w:rsid w:val="00F86771"/>
    <w:rsid w:val="00F86845"/>
    <w:rsid w:val="00F86A9B"/>
    <w:rsid w:val="00F86FEC"/>
    <w:rsid w:val="00F87376"/>
    <w:rsid w:val="00F87A0C"/>
    <w:rsid w:val="00F90803"/>
    <w:rsid w:val="00F908D8"/>
    <w:rsid w:val="00F90EDB"/>
    <w:rsid w:val="00F91C8A"/>
    <w:rsid w:val="00F92280"/>
    <w:rsid w:val="00F92947"/>
    <w:rsid w:val="00F930A2"/>
    <w:rsid w:val="00F93268"/>
    <w:rsid w:val="00F93815"/>
    <w:rsid w:val="00F9396E"/>
    <w:rsid w:val="00F93A78"/>
    <w:rsid w:val="00F93A95"/>
    <w:rsid w:val="00F93EC1"/>
    <w:rsid w:val="00F95AA0"/>
    <w:rsid w:val="00F96841"/>
    <w:rsid w:val="00F97677"/>
    <w:rsid w:val="00FA00E3"/>
    <w:rsid w:val="00FA03E5"/>
    <w:rsid w:val="00FA0B4F"/>
    <w:rsid w:val="00FA1C8E"/>
    <w:rsid w:val="00FA1CC9"/>
    <w:rsid w:val="00FA1F64"/>
    <w:rsid w:val="00FA215E"/>
    <w:rsid w:val="00FA2354"/>
    <w:rsid w:val="00FA24DC"/>
    <w:rsid w:val="00FA25C6"/>
    <w:rsid w:val="00FA2678"/>
    <w:rsid w:val="00FA28AB"/>
    <w:rsid w:val="00FA2ADD"/>
    <w:rsid w:val="00FA2AFE"/>
    <w:rsid w:val="00FA2EBD"/>
    <w:rsid w:val="00FA2F44"/>
    <w:rsid w:val="00FA4332"/>
    <w:rsid w:val="00FA4C61"/>
    <w:rsid w:val="00FA52AD"/>
    <w:rsid w:val="00FA56FC"/>
    <w:rsid w:val="00FA5843"/>
    <w:rsid w:val="00FA589A"/>
    <w:rsid w:val="00FA5E0E"/>
    <w:rsid w:val="00FA6A7E"/>
    <w:rsid w:val="00FA7A63"/>
    <w:rsid w:val="00FA7C74"/>
    <w:rsid w:val="00FA7D20"/>
    <w:rsid w:val="00FA7E13"/>
    <w:rsid w:val="00FB0075"/>
    <w:rsid w:val="00FB0981"/>
    <w:rsid w:val="00FB1341"/>
    <w:rsid w:val="00FB18FD"/>
    <w:rsid w:val="00FB193F"/>
    <w:rsid w:val="00FB1FF1"/>
    <w:rsid w:val="00FB2ADB"/>
    <w:rsid w:val="00FB2AF1"/>
    <w:rsid w:val="00FB2F37"/>
    <w:rsid w:val="00FB382A"/>
    <w:rsid w:val="00FB3AFD"/>
    <w:rsid w:val="00FB4118"/>
    <w:rsid w:val="00FB518C"/>
    <w:rsid w:val="00FB5931"/>
    <w:rsid w:val="00FB5BF9"/>
    <w:rsid w:val="00FB5EA7"/>
    <w:rsid w:val="00FB65D8"/>
    <w:rsid w:val="00FB6DF5"/>
    <w:rsid w:val="00FB7195"/>
    <w:rsid w:val="00FC0B6B"/>
    <w:rsid w:val="00FC1DBB"/>
    <w:rsid w:val="00FC1E13"/>
    <w:rsid w:val="00FC1EBE"/>
    <w:rsid w:val="00FC1F85"/>
    <w:rsid w:val="00FC1FBB"/>
    <w:rsid w:val="00FC249A"/>
    <w:rsid w:val="00FC299A"/>
    <w:rsid w:val="00FC3276"/>
    <w:rsid w:val="00FC3303"/>
    <w:rsid w:val="00FC3AF2"/>
    <w:rsid w:val="00FC472A"/>
    <w:rsid w:val="00FC474C"/>
    <w:rsid w:val="00FC602E"/>
    <w:rsid w:val="00FC60D0"/>
    <w:rsid w:val="00FC6905"/>
    <w:rsid w:val="00FC6EC9"/>
    <w:rsid w:val="00FC7A48"/>
    <w:rsid w:val="00FD0014"/>
    <w:rsid w:val="00FD0B91"/>
    <w:rsid w:val="00FD0F02"/>
    <w:rsid w:val="00FD13BD"/>
    <w:rsid w:val="00FD1CCE"/>
    <w:rsid w:val="00FD2A56"/>
    <w:rsid w:val="00FD3333"/>
    <w:rsid w:val="00FD3920"/>
    <w:rsid w:val="00FD3AC9"/>
    <w:rsid w:val="00FD4439"/>
    <w:rsid w:val="00FD44F9"/>
    <w:rsid w:val="00FD45B8"/>
    <w:rsid w:val="00FD4CFE"/>
    <w:rsid w:val="00FD4F94"/>
    <w:rsid w:val="00FD5BA3"/>
    <w:rsid w:val="00FD5E20"/>
    <w:rsid w:val="00FD6058"/>
    <w:rsid w:val="00FD62BC"/>
    <w:rsid w:val="00FD70CC"/>
    <w:rsid w:val="00FD712F"/>
    <w:rsid w:val="00FD71A8"/>
    <w:rsid w:val="00FD7492"/>
    <w:rsid w:val="00FE018E"/>
    <w:rsid w:val="00FE08F4"/>
    <w:rsid w:val="00FE0EC4"/>
    <w:rsid w:val="00FE0EDB"/>
    <w:rsid w:val="00FE100F"/>
    <w:rsid w:val="00FE1494"/>
    <w:rsid w:val="00FE19FB"/>
    <w:rsid w:val="00FE1B11"/>
    <w:rsid w:val="00FE22AE"/>
    <w:rsid w:val="00FE2645"/>
    <w:rsid w:val="00FE2798"/>
    <w:rsid w:val="00FE2881"/>
    <w:rsid w:val="00FE2BBD"/>
    <w:rsid w:val="00FE2C8F"/>
    <w:rsid w:val="00FE2D5E"/>
    <w:rsid w:val="00FE3426"/>
    <w:rsid w:val="00FE3564"/>
    <w:rsid w:val="00FE3576"/>
    <w:rsid w:val="00FE3ACF"/>
    <w:rsid w:val="00FE3C41"/>
    <w:rsid w:val="00FE3F88"/>
    <w:rsid w:val="00FE4B84"/>
    <w:rsid w:val="00FE52D0"/>
    <w:rsid w:val="00FE53D8"/>
    <w:rsid w:val="00FE54B0"/>
    <w:rsid w:val="00FE59C1"/>
    <w:rsid w:val="00FE5AAD"/>
    <w:rsid w:val="00FE5B7B"/>
    <w:rsid w:val="00FE687C"/>
    <w:rsid w:val="00FE6BD1"/>
    <w:rsid w:val="00FE6FE8"/>
    <w:rsid w:val="00FE72A1"/>
    <w:rsid w:val="00FE740B"/>
    <w:rsid w:val="00FE75C3"/>
    <w:rsid w:val="00FE7872"/>
    <w:rsid w:val="00FF1618"/>
    <w:rsid w:val="00FF1846"/>
    <w:rsid w:val="00FF1AC6"/>
    <w:rsid w:val="00FF1E4A"/>
    <w:rsid w:val="00FF20FE"/>
    <w:rsid w:val="00FF2364"/>
    <w:rsid w:val="00FF2469"/>
    <w:rsid w:val="00FF28EB"/>
    <w:rsid w:val="00FF2D97"/>
    <w:rsid w:val="00FF3102"/>
    <w:rsid w:val="00FF354D"/>
    <w:rsid w:val="00FF3628"/>
    <w:rsid w:val="00FF42A2"/>
    <w:rsid w:val="00FF4409"/>
    <w:rsid w:val="00FF4884"/>
    <w:rsid w:val="00FF4CE5"/>
    <w:rsid w:val="00FF4D1B"/>
    <w:rsid w:val="00FF5045"/>
    <w:rsid w:val="00FF5FBB"/>
    <w:rsid w:val="00FF6A26"/>
    <w:rsid w:val="00FF6DB4"/>
    <w:rsid w:val="00FF6F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71529"/>
  <w15:docId w15:val="{C90A150B-31FB-401C-A4F3-E44E9A3A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61"/>
    <w:pPr>
      <w:spacing w:after="0" w:line="360" w:lineRule="auto"/>
    </w:pPr>
    <w:rPr>
      <w:rFonts w:ascii="Arial" w:hAnsi="Arial"/>
    </w:rPr>
  </w:style>
  <w:style w:type="paragraph" w:styleId="Heading1">
    <w:name w:val="heading 1"/>
    <w:basedOn w:val="Normal"/>
    <w:next w:val="Normal"/>
    <w:link w:val="Heading1Char"/>
    <w:uiPriority w:val="9"/>
    <w:qFormat/>
    <w:rsid w:val="00BD3BD6"/>
    <w:pPr>
      <w:keepNext/>
      <w:keepLines/>
      <w:spacing w:before="840" w:after="36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D3BD6"/>
    <w:pPr>
      <w:keepNext/>
      <w:keepLines/>
      <w:spacing w:before="36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2531E"/>
    <w:pPr>
      <w:keepNext/>
      <w:keepLines/>
      <w:outlineLvl w:val="2"/>
    </w:pPr>
    <w:rPr>
      <w:rFonts w:eastAsiaTheme="majorEastAsia" w:cstheme="majorBidi"/>
      <w:i/>
      <w:szCs w:val="24"/>
    </w:rPr>
  </w:style>
  <w:style w:type="paragraph" w:styleId="Heading7">
    <w:name w:val="heading 7"/>
    <w:basedOn w:val="Normal"/>
    <w:next w:val="Normal"/>
    <w:link w:val="Heading7Char"/>
    <w:uiPriority w:val="9"/>
    <w:semiHidden/>
    <w:unhideWhenUsed/>
    <w:qFormat/>
    <w:rsid w:val="00BF776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BD6"/>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BD3BD6"/>
    <w:rPr>
      <w:rFonts w:ascii="Arial" w:eastAsiaTheme="majorEastAsia" w:hAnsi="Arial" w:cstheme="majorBidi"/>
      <w:b/>
      <w:sz w:val="24"/>
      <w:szCs w:val="26"/>
    </w:rPr>
  </w:style>
  <w:style w:type="paragraph" w:styleId="ListParagraph">
    <w:name w:val="List Paragraph"/>
    <w:basedOn w:val="Normal"/>
    <w:uiPriority w:val="34"/>
    <w:qFormat/>
    <w:rsid w:val="00C3548E"/>
    <w:pPr>
      <w:ind w:left="720"/>
      <w:contextualSpacing/>
    </w:pPr>
  </w:style>
  <w:style w:type="character" w:styleId="CommentReference">
    <w:name w:val="annotation reference"/>
    <w:basedOn w:val="DefaultParagraphFont"/>
    <w:uiPriority w:val="99"/>
    <w:semiHidden/>
    <w:unhideWhenUsed/>
    <w:rsid w:val="005B7C71"/>
    <w:rPr>
      <w:sz w:val="16"/>
      <w:szCs w:val="16"/>
    </w:rPr>
  </w:style>
  <w:style w:type="paragraph" w:styleId="CommentText">
    <w:name w:val="annotation text"/>
    <w:basedOn w:val="Normal"/>
    <w:link w:val="CommentTextChar"/>
    <w:uiPriority w:val="99"/>
    <w:unhideWhenUsed/>
    <w:rsid w:val="005B7C71"/>
    <w:pPr>
      <w:spacing w:line="240" w:lineRule="auto"/>
    </w:pPr>
    <w:rPr>
      <w:sz w:val="20"/>
      <w:szCs w:val="20"/>
    </w:rPr>
  </w:style>
  <w:style w:type="character" w:customStyle="1" w:styleId="CommentTextChar">
    <w:name w:val="Comment Text Char"/>
    <w:basedOn w:val="DefaultParagraphFont"/>
    <w:link w:val="CommentText"/>
    <w:uiPriority w:val="99"/>
    <w:rsid w:val="005B7C7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B7C71"/>
    <w:rPr>
      <w:b/>
      <w:bCs/>
    </w:rPr>
  </w:style>
  <w:style w:type="character" w:customStyle="1" w:styleId="CommentSubjectChar">
    <w:name w:val="Comment Subject Char"/>
    <w:basedOn w:val="CommentTextChar"/>
    <w:link w:val="CommentSubject"/>
    <w:uiPriority w:val="99"/>
    <w:semiHidden/>
    <w:rsid w:val="005B7C71"/>
    <w:rPr>
      <w:rFonts w:ascii="Arial" w:hAnsi="Arial"/>
      <w:b/>
      <w:bCs/>
      <w:sz w:val="20"/>
      <w:szCs w:val="20"/>
    </w:rPr>
  </w:style>
  <w:style w:type="paragraph" w:styleId="BalloonText">
    <w:name w:val="Balloon Text"/>
    <w:basedOn w:val="Normal"/>
    <w:link w:val="BalloonTextChar"/>
    <w:uiPriority w:val="99"/>
    <w:semiHidden/>
    <w:unhideWhenUsed/>
    <w:rsid w:val="005B7C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C71"/>
    <w:rPr>
      <w:rFonts w:ascii="Segoe UI" w:hAnsi="Segoe UI" w:cs="Segoe UI"/>
      <w:sz w:val="18"/>
      <w:szCs w:val="18"/>
    </w:rPr>
  </w:style>
  <w:style w:type="character" w:customStyle="1" w:styleId="Heading3Char">
    <w:name w:val="Heading 3 Char"/>
    <w:basedOn w:val="DefaultParagraphFont"/>
    <w:link w:val="Heading3"/>
    <w:uiPriority w:val="9"/>
    <w:rsid w:val="0002531E"/>
    <w:rPr>
      <w:rFonts w:ascii="Arial" w:eastAsiaTheme="majorEastAsia" w:hAnsi="Arial" w:cstheme="majorBidi"/>
      <w:i/>
      <w:szCs w:val="24"/>
    </w:rPr>
  </w:style>
  <w:style w:type="paragraph" w:styleId="Caption">
    <w:name w:val="caption"/>
    <w:basedOn w:val="Normal"/>
    <w:next w:val="Normal"/>
    <w:uiPriority w:val="35"/>
    <w:unhideWhenUsed/>
    <w:qFormat/>
    <w:rsid w:val="006C39B8"/>
    <w:pPr>
      <w:spacing w:after="200" w:line="240" w:lineRule="auto"/>
    </w:pPr>
    <w:rPr>
      <w:b/>
      <w:iCs/>
      <w:szCs w:val="18"/>
    </w:rPr>
  </w:style>
  <w:style w:type="character" w:styleId="Hyperlink">
    <w:name w:val="Hyperlink"/>
    <w:basedOn w:val="DefaultParagraphFont"/>
    <w:uiPriority w:val="99"/>
    <w:unhideWhenUsed/>
    <w:rsid w:val="00324B20"/>
    <w:rPr>
      <w:color w:val="0000FF"/>
      <w:u w:val="single"/>
    </w:rPr>
  </w:style>
  <w:style w:type="paragraph" w:customStyle="1" w:styleId="text13">
    <w:name w:val="text13"/>
    <w:basedOn w:val="Normal"/>
    <w:rsid w:val="0032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separator">
    <w:name w:val="js-separator"/>
    <w:basedOn w:val="DefaultParagraphFont"/>
    <w:rsid w:val="00324B20"/>
  </w:style>
  <w:style w:type="paragraph" w:styleId="Revision">
    <w:name w:val="Revision"/>
    <w:hidden/>
    <w:uiPriority w:val="99"/>
    <w:semiHidden/>
    <w:rsid w:val="004837ED"/>
    <w:pPr>
      <w:spacing w:after="0" w:line="240" w:lineRule="auto"/>
    </w:pPr>
    <w:rPr>
      <w:rFonts w:ascii="Arial" w:hAnsi="Arial"/>
    </w:rPr>
  </w:style>
  <w:style w:type="table" w:styleId="TableGrid">
    <w:name w:val="Table Grid"/>
    <w:basedOn w:val="TableNormal"/>
    <w:uiPriority w:val="39"/>
    <w:rsid w:val="00150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58A7"/>
    <w:rPr>
      <w:b/>
      <w:bCs/>
    </w:rPr>
  </w:style>
  <w:style w:type="paragraph" w:styleId="Header">
    <w:name w:val="header"/>
    <w:basedOn w:val="Normal"/>
    <w:link w:val="HeaderChar"/>
    <w:uiPriority w:val="99"/>
    <w:unhideWhenUsed/>
    <w:rsid w:val="003A3C2E"/>
    <w:pPr>
      <w:tabs>
        <w:tab w:val="center" w:pos="4513"/>
        <w:tab w:val="right" w:pos="9026"/>
      </w:tabs>
      <w:spacing w:line="240" w:lineRule="auto"/>
    </w:pPr>
  </w:style>
  <w:style w:type="character" w:customStyle="1" w:styleId="HeaderChar">
    <w:name w:val="Header Char"/>
    <w:basedOn w:val="DefaultParagraphFont"/>
    <w:link w:val="Header"/>
    <w:uiPriority w:val="99"/>
    <w:rsid w:val="003A3C2E"/>
    <w:rPr>
      <w:rFonts w:ascii="Arial" w:hAnsi="Arial"/>
    </w:rPr>
  </w:style>
  <w:style w:type="paragraph" w:styleId="Footer">
    <w:name w:val="footer"/>
    <w:basedOn w:val="Normal"/>
    <w:link w:val="FooterChar"/>
    <w:uiPriority w:val="99"/>
    <w:unhideWhenUsed/>
    <w:rsid w:val="003A3C2E"/>
    <w:pPr>
      <w:tabs>
        <w:tab w:val="center" w:pos="4513"/>
        <w:tab w:val="right" w:pos="9026"/>
      </w:tabs>
      <w:spacing w:line="240" w:lineRule="auto"/>
    </w:pPr>
  </w:style>
  <w:style w:type="character" w:customStyle="1" w:styleId="FooterChar">
    <w:name w:val="Footer Char"/>
    <w:basedOn w:val="DefaultParagraphFont"/>
    <w:link w:val="Footer"/>
    <w:uiPriority w:val="99"/>
    <w:rsid w:val="003A3C2E"/>
    <w:rPr>
      <w:rFonts w:ascii="Arial" w:hAnsi="Arial"/>
    </w:rPr>
  </w:style>
  <w:style w:type="character" w:customStyle="1" w:styleId="Heading7Char">
    <w:name w:val="Heading 7 Char"/>
    <w:basedOn w:val="DefaultParagraphFont"/>
    <w:link w:val="Heading7"/>
    <w:uiPriority w:val="9"/>
    <w:semiHidden/>
    <w:rsid w:val="00BF7764"/>
    <w:rPr>
      <w:rFonts w:asciiTheme="majorHAnsi" w:eastAsiaTheme="majorEastAsia" w:hAnsiTheme="majorHAnsi" w:cstheme="majorBidi"/>
      <w:i/>
      <w:iCs/>
      <w:color w:val="1F4D78" w:themeColor="accent1" w:themeShade="7F"/>
    </w:rPr>
  </w:style>
  <w:style w:type="character" w:styleId="LineNumber">
    <w:name w:val="line number"/>
    <w:basedOn w:val="DefaultParagraphFont"/>
    <w:uiPriority w:val="99"/>
    <w:semiHidden/>
    <w:unhideWhenUsed/>
    <w:rsid w:val="005B284F"/>
  </w:style>
  <w:style w:type="paragraph" w:customStyle="1" w:styleId="Default">
    <w:name w:val="Default"/>
    <w:rsid w:val="00994E57"/>
    <w:pPr>
      <w:autoSpaceDE w:val="0"/>
      <w:autoSpaceDN w:val="0"/>
      <w:adjustRightInd w:val="0"/>
      <w:spacing w:after="0" w:line="240" w:lineRule="auto"/>
    </w:pPr>
    <w:rPr>
      <w:rFonts w:ascii="TimesNewRomanPS" w:hAnsi="TimesNewRomanPS" w:cs="TimesNewRomanPS"/>
      <w:color w:val="000000"/>
      <w:sz w:val="24"/>
      <w:szCs w:val="24"/>
      <w:lang w:val="en-US"/>
    </w:rPr>
  </w:style>
  <w:style w:type="paragraph" w:styleId="BodyText">
    <w:name w:val="Body Text"/>
    <w:basedOn w:val="Normal"/>
    <w:link w:val="BodyTextChar"/>
    <w:semiHidden/>
    <w:rsid w:val="00994E57"/>
    <w:pPr>
      <w:spacing w:line="240" w:lineRule="auto"/>
      <w:jc w:val="both"/>
    </w:pPr>
    <w:rPr>
      <w:rFonts w:eastAsia="Times New Roman" w:cs="Arial"/>
      <w:szCs w:val="24"/>
      <w:lang w:eastAsia="sl-SI"/>
    </w:rPr>
  </w:style>
  <w:style w:type="character" w:customStyle="1" w:styleId="BodyTextChar">
    <w:name w:val="Body Text Char"/>
    <w:basedOn w:val="DefaultParagraphFont"/>
    <w:link w:val="BodyText"/>
    <w:semiHidden/>
    <w:rsid w:val="00994E57"/>
    <w:rPr>
      <w:rFonts w:ascii="Arial" w:eastAsia="Times New Roman" w:hAnsi="Arial" w:cs="Arial"/>
      <w:szCs w:val="24"/>
      <w:lang w:eastAsia="sl-SI"/>
    </w:rPr>
  </w:style>
  <w:style w:type="paragraph" w:styleId="NormalWeb">
    <w:name w:val="Normal (Web)"/>
    <w:basedOn w:val="Normal"/>
    <w:uiPriority w:val="99"/>
    <w:semiHidden/>
    <w:unhideWhenUsed/>
    <w:rsid w:val="00923BB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Light1">
    <w:name w:val="Table Grid Light1"/>
    <w:basedOn w:val="TableNormal"/>
    <w:uiPriority w:val="40"/>
    <w:rsid w:val="00923B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BC79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5038A"/>
    <w:pPr>
      <w:widowControl w:val="0"/>
      <w:autoSpaceDE w:val="0"/>
      <w:autoSpaceDN w:val="0"/>
      <w:spacing w:line="240" w:lineRule="auto"/>
    </w:pPr>
    <w:rPr>
      <w:rFonts w:ascii="Times New Roman" w:eastAsia="Times New Roman" w:hAnsi="Times New Roman" w:cs="Times New Roman"/>
      <w:lang w:val="en-US"/>
    </w:rPr>
  </w:style>
  <w:style w:type="table" w:customStyle="1" w:styleId="PlainTable211">
    <w:name w:val="Plain Table 211"/>
    <w:basedOn w:val="TableNormal"/>
    <w:uiPriority w:val="42"/>
    <w:rsid w:val="00EB28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18597A"/>
    <w:rPr>
      <w:color w:val="808080"/>
    </w:rPr>
  </w:style>
  <w:style w:type="character" w:styleId="Emphasis">
    <w:name w:val="Emphasis"/>
    <w:basedOn w:val="DefaultParagraphFont"/>
    <w:uiPriority w:val="20"/>
    <w:qFormat/>
    <w:rsid w:val="00CC68AF"/>
    <w:rPr>
      <w:i/>
      <w:iCs/>
    </w:rPr>
  </w:style>
  <w:style w:type="paragraph" w:styleId="HTMLPreformatted">
    <w:name w:val="HTML Preformatted"/>
    <w:basedOn w:val="Normal"/>
    <w:link w:val="HTMLPreformattedChar"/>
    <w:uiPriority w:val="99"/>
    <w:unhideWhenUsed/>
    <w:rsid w:val="00CC68A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C68AF"/>
    <w:rPr>
      <w:rFonts w:ascii="Consolas" w:hAnsi="Consolas"/>
      <w:sz w:val="20"/>
      <w:szCs w:val="20"/>
    </w:rPr>
  </w:style>
  <w:style w:type="paragraph" w:customStyle="1" w:styleId="00Paragraph">
    <w:name w:val="00Paragraph"/>
    <w:link w:val="00ParagraphChar"/>
    <w:qFormat/>
    <w:rsid w:val="00690400"/>
    <w:pPr>
      <w:spacing w:before="120" w:after="120" w:line="300" w:lineRule="atLeast"/>
    </w:pPr>
    <w:rPr>
      <w:rFonts w:ascii="Times New Roman" w:eastAsia="MS Mincho" w:hAnsi="Times New Roman" w:cs="Times New Roman"/>
      <w:sz w:val="24"/>
      <w:szCs w:val="24"/>
    </w:rPr>
  </w:style>
  <w:style w:type="character" w:customStyle="1" w:styleId="00ParagraphChar">
    <w:name w:val="00Paragraph Char"/>
    <w:link w:val="00Paragraph"/>
    <w:rsid w:val="00690400"/>
    <w:rPr>
      <w:rFonts w:ascii="Times New Roman" w:eastAsia="MS Mincho" w:hAnsi="Times New Roman" w:cs="Times New Roman"/>
      <w:sz w:val="24"/>
      <w:szCs w:val="24"/>
    </w:rPr>
  </w:style>
  <w:style w:type="table" w:customStyle="1" w:styleId="TableGridLight11">
    <w:name w:val="Table Grid Light11"/>
    <w:basedOn w:val="TableNormal"/>
    <w:uiPriority w:val="40"/>
    <w:rsid w:val="0056195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uiPriority w:val="99"/>
    <w:semiHidden/>
    <w:unhideWhenUsed/>
    <w:rsid w:val="00815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4371">
      <w:bodyDiv w:val="1"/>
      <w:marLeft w:val="0"/>
      <w:marRight w:val="0"/>
      <w:marTop w:val="0"/>
      <w:marBottom w:val="0"/>
      <w:divBdr>
        <w:top w:val="none" w:sz="0" w:space="0" w:color="auto"/>
        <w:left w:val="none" w:sz="0" w:space="0" w:color="auto"/>
        <w:bottom w:val="none" w:sz="0" w:space="0" w:color="auto"/>
        <w:right w:val="none" w:sz="0" w:space="0" w:color="auto"/>
      </w:divBdr>
    </w:div>
    <w:div w:id="38937799">
      <w:bodyDiv w:val="1"/>
      <w:marLeft w:val="0"/>
      <w:marRight w:val="0"/>
      <w:marTop w:val="0"/>
      <w:marBottom w:val="0"/>
      <w:divBdr>
        <w:top w:val="none" w:sz="0" w:space="0" w:color="auto"/>
        <w:left w:val="none" w:sz="0" w:space="0" w:color="auto"/>
        <w:bottom w:val="none" w:sz="0" w:space="0" w:color="auto"/>
        <w:right w:val="none" w:sz="0" w:space="0" w:color="auto"/>
      </w:divBdr>
      <w:divsChild>
        <w:div w:id="1172138729">
          <w:marLeft w:val="0"/>
          <w:marRight w:val="0"/>
          <w:marTop w:val="0"/>
          <w:marBottom w:val="420"/>
          <w:divBdr>
            <w:top w:val="none" w:sz="0" w:space="0" w:color="auto"/>
            <w:left w:val="none" w:sz="0" w:space="0" w:color="auto"/>
            <w:bottom w:val="none" w:sz="0" w:space="0" w:color="auto"/>
            <w:right w:val="none" w:sz="0" w:space="0" w:color="auto"/>
          </w:divBdr>
          <w:divsChild>
            <w:div w:id="1914973119">
              <w:marLeft w:val="0"/>
              <w:marRight w:val="289"/>
              <w:marTop w:val="0"/>
              <w:marBottom w:val="0"/>
              <w:divBdr>
                <w:top w:val="none" w:sz="0" w:space="0" w:color="auto"/>
                <w:left w:val="none" w:sz="0" w:space="0" w:color="auto"/>
                <w:bottom w:val="none" w:sz="0" w:space="0" w:color="auto"/>
                <w:right w:val="none" w:sz="0" w:space="0" w:color="auto"/>
              </w:divBdr>
            </w:div>
          </w:divsChild>
        </w:div>
      </w:divsChild>
    </w:div>
    <w:div w:id="134681182">
      <w:bodyDiv w:val="1"/>
      <w:marLeft w:val="0"/>
      <w:marRight w:val="0"/>
      <w:marTop w:val="0"/>
      <w:marBottom w:val="0"/>
      <w:divBdr>
        <w:top w:val="none" w:sz="0" w:space="0" w:color="auto"/>
        <w:left w:val="none" w:sz="0" w:space="0" w:color="auto"/>
        <w:bottom w:val="none" w:sz="0" w:space="0" w:color="auto"/>
        <w:right w:val="none" w:sz="0" w:space="0" w:color="auto"/>
      </w:divBdr>
      <w:divsChild>
        <w:div w:id="875431810">
          <w:marLeft w:val="0"/>
          <w:marRight w:val="0"/>
          <w:marTop w:val="166"/>
          <w:marBottom w:val="166"/>
          <w:divBdr>
            <w:top w:val="none" w:sz="0" w:space="0" w:color="auto"/>
            <w:left w:val="none" w:sz="0" w:space="0" w:color="auto"/>
            <w:bottom w:val="none" w:sz="0" w:space="0" w:color="auto"/>
            <w:right w:val="none" w:sz="0" w:space="0" w:color="auto"/>
          </w:divBdr>
        </w:div>
        <w:div w:id="487213288">
          <w:marLeft w:val="0"/>
          <w:marRight w:val="0"/>
          <w:marTop w:val="166"/>
          <w:marBottom w:val="166"/>
          <w:divBdr>
            <w:top w:val="none" w:sz="0" w:space="0" w:color="auto"/>
            <w:left w:val="none" w:sz="0" w:space="0" w:color="auto"/>
            <w:bottom w:val="none" w:sz="0" w:space="0" w:color="auto"/>
            <w:right w:val="none" w:sz="0" w:space="0" w:color="auto"/>
          </w:divBdr>
        </w:div>
      </w:divsChild>
    </w:div>
    <w:div w:id="136652285">
      <w:bodyDiv w:val="1"/>
      <w:marLeft w:val="0"/>
      <w:marRight w:val="0"/>
      <w:marTop w:val="0"/>
      <w:marBottom w:val="0"/>
      <w:divBdr>
        <w:top w:val="none" w:sz="0" w:space="0" w:color="auto"/>
        <w:left w:val="none" w:sz="0" w:space="0" w:color="auto"/>
        <w:bottom w:val="none" w:sz="0" w:space="0" w:color="auto"/>
        <w:right w:val="none" w:sz="0" w:space="0" w:color="auto"/>
      </w:divBdr>
    </w:div>
    <w:div w:id="327905655">
      <w:bodyDiv w:val="1"/>
      <w:marLeft w:val="0"/>
      <w:marRight w:val="0"/>
      <w:marTop w:val="0"/>
      <w:marBottom w:val="0"/>
      <w:divBdr>
        <w:top w:val="none" w:sz="0" w:space="0" w:color="auto"/>
        <w:left w:val="none" w:sz="0" w:space="0" w:color="auto"/>
        <w:bottom w:val="none" w:sz="0" w:space="0" w:color="auto"/>
        <w:right w:val="none" w:sz="0" w:space="0" w:color="auto"/>
      </w:divBdr>
    </w:div>
    <w:div w:id="361829992">
      <w:bodyDiv w:val="1"/>
      <w:marLeft w:val="0"/>
      <w:marRight w:val="0"/>
      <w:marTop w:val="0"/>
      <w:marBottom w:val="0"/>
      <w:divBdr>
        <w:top w:val="none" w:sz="0" w:space="0" w:color="auto"/>
        <w:left w:val="none" w:sz="0" w:space="0" w:color="auto"/>
        <w:bottom w:val="none" w:sz="0" w:space="0" w:color="auto"/>
        <w:right w:val="none" w:sz="0" w:space="0" w:color="auto"/>
      </w:divBdr>
    </w:div>
    <w:div w:id="429663268">
      <w:bodyDiv w:val="1"/>
      <w:marLeft w:val="0"/>
      <w:marRight w:val="0"/>
      <w:marTop w:val="0"/>
      <w:marBottom w:val="0"/>
      <w:divBdr>
        <w:top w:val="none" w:sz="0" w:space="0" w:color="auto"/>
        <w:left w:val="none" w:sz="0" w:space="0" w:color="auto"/>
        <w:bottom w:val="none" w:sz="0" w:space="0" w:color="auto"/>
        <w:right w:val="none" w:sz="0" w:space="0" w:color="auto"/>
      </w:divBdr>
    </w:div>
    <w:div w:id="456877105">
      <w:bodyDiv w:val="1"/>
      <w:marLeft w:val="0"/>
      <w:marRight w:val="0"/>
      <w:marTop w:val="0"/>
      <w:marBottom w:val="0"/>
      <w:divBdr>
        <w:top w:val="none" w:sz="0" w:space="0" w:color="auto"/>
        <w:left w:val="none" w:sz="0" w:space="0" w:color="auto"/>
        <w:bottom w:val="none" w:sz="0" w:space="0" w:color="auto"/>
        <w:right w:val="none" w:sz="0" w:space="0" w:color="auto"/>
      </w:divBdr>
    </w:div>
    <w:div w:id="464853691">
      <w:bodyDiv w:val="1"/>
      <w:marLeft w:val="0"/>
      <w:marRight w:val="0"/>
      <w:marTop w:val="0"/>
      <w:marBottom w:val="0"/>
      <w:divBdr>
        <w:top w:val="none" w:sz="0" w:space="0" w:color="auto"/>
        <w:left w:val="none" w:sz="0" w:space="0" w:color="auto"/>
        <w:bottom w:val="none" w:sz="0" w:space="0" w:color="auto"/>
        <w:right w:val="none" w:sz="0" w:space="0" w:color="auto"/>
      </w:divBdr>
    </w:div>
    <w:div w:id="480460906">
      <w:bodyDiv w:val="1"/>
      <w:marLeft w:val="0"/>
      <w:marRight w:val="0"/>
      <w:marTop w:val="0"/>
      <w:marBottom w:val="0"/>
      <w:divBdr>
        <w:top w:val="none" w:sz="0" w:space="0" w:color="auto"/>
        <w:left w:val="none" w:sz="0" w:space="0" w:color="auto"/>
        <w:bottom w:val="none" w:sz="0" w:space="0" w:color="auto"/>
        <w:right w:val="none" w:sz="0" w:space="0" w:color="auto"/>
      </w:divBdr>
    </w:div>
    <w:div w:id="544489748">
      <w:bodyDiv w:val="1"/>
      <w:marLeft w:val="0"/>
      <w:marRight w:val="0"/>
      <w:marTop w:val="0"/>
      <w:marBottom w:val="0"/>
      <w:divBdr>
        <w:top w:val="none" w:sz="0" w:space="0" w:color="auto"/>
        <w:left w:val="none" w:sz="0" w:space="0" w:color="auto"/>
        <w:bottom w:val="none" w:sz="0" w:space="0" w:color="auto"/>
        <w:right w:val="none" w:sz="0" w:space="0" w:color="auto"/>
      </w:divBdr>
    </w:div>
    <w:div w:id="619724135">
      <w:bodyDiv w:val="1"/>
      <w:marLeft w:val="0"/>
      <w:marRight w:val="0"/>
      <w:marTop w:val="0"/>
      <w:marBottom w:val="0"/>
      <w:divBdr>
        <w:top w:val="none" w:sz="0" w:space="0" w:color="auto"/>
        <w:left w:val="none" w:sz="0" w:space="0" w:color="auto"/>
        <w:bottom w:val="none" w:sz="0" w:space="0" w:color="auto"/>
        <w:right w:val="none" w:sz="0" w:space="0" w:color="auto"/>
      </w:divBdr>
    </w:div>
    <w:div w:id="717634293">
      <w:bodyDiv w:val="1"/>
      <w:marLeft w:val="0"/>
      <w:marRight w:val="0"/>
      <w:marTop w:val="0"/>
      <w:marBottom w:val="0"/>
      <w:divBdr>
        <w:top w:val="none" w:sz="0" w:space="0" w:color="auto"/>
        <w:left w:val="none" w:sz="0" w:space="0" w:color="auto"/>
        <w:bottom w:val="none" w:sz="0" w:space="0" w:color="auto"/>
        <w:right w:val="none" w:sz="0" w:space="0" w:color="auto"/>
      </w:divBdr>
      <w:divsChild>
        <w:div w:id="343174205">
          <w:marLeft w:val="979"/>
          <w:marRight w:val="0"/>
          <w:marTop w:val="80"/>
          <w:marBottom w:val="80"/>
          <w:divBdr>
            <w:top w:val="none" w:sz="0" w:space="0" w:color="auto"/>
            <w:left w:val="none" w:sz="0" w:space="0" w:color="auto"/>
            <w:bottom w:val="none" w:sz="0" w:space="0" w:color="auto"/>
            <w:right w:val="none" w:sz="0" w:space="0" w:color="auto"/>
          </w:divBdr>
        </w:div>
        <w:div w:id="1049568606">
          <w:marLeft w:val="979"/>
          <w:marRight w:val="0"/>
          <w:marTop w:val="80"/>
          <w:marBottom w:val="80"/>
          <w:divBdr>
            <w:top w:val="none" w:sz="0" w:space="0" w:color="auto"/>
            <w:left w:val="none" w:sz="0" w:space="0" w:color="auto"/>
            <w:bottom w:val="none" w:sz="0" w:space="0" w:color="auto"/>
            <w:right w:val="none" w:sz="0" w:space="0" w:color="auto"/>
          </w:divBdr>
        </w:div>
        <w:div w:id="1585993794">
          <w:marLeft w:val="979"/>
          <w:marRight w:val="0"/>
          <w:marTop w:val="80"/>
          <w:marBottom w:val="80"/>
          <w:divBdr>
            <w:top w:val="none" w:sz="0" w:space="0" w:color="auto"/>
            <w:left w:val="none" w:sz="0" w:space="0" w:color="auto"/>
            <w:bottom w:val="none" w:sz="0" w:space="0" w:color="auto"/>
            <w:right w:val="none" w:sz="0" w:space="0" w:color="auto"/>
          </w:divBdr>
        </w:div>
      </w:divsChild>
    </w:div>
    <w:div w:id="748186530">
      <w:bodyDiv w:val="1"/>
      <w:marLeft w:val="0"/>
      <w:marRight w:val="0"/>
      <w:marTop w:val="0"/>
      <w:marBottom w:val="0"/>
      <w:divBdr>
        <w:top w:val="none" w:sz="0" w:space="0" w:color="auto"/>
        <w:left w:val="none" w:sz="0" w:space="0" w:color="auto"/>
        <w:bottom w:val="none" w:sz="0" w:space="0" w:color="auto"/>
        <w:right w:val="none" w:sz="0" w:space="0" w:color="auto"/>
      </w:divBdr>
      <w:divsChild>
        <w:div w:id="809978750">
          <w:marLeft w:val="0"/>
          <w:marRight w:val="0"/>
          <w:marTop w:val="0"/>
          <w:marBottom w:val="0"/>
          <w:divBdr>
            <w:top w:val="none" w:sz="0" w:space="0" w:color="auto"/>
            <w:left w:val="none" w:sz="0" w:space="0" w:color="auto"/>
            <w:bottom w:val="none" w:sz="0" w:space="0" w:color="auto"/>
            <w:right w:val="none" w:sz="0" w:space="0" w:color="auto"/>
          </w:divBdr>
          <w:divsChild>
            <w:div w:id="394009887">
              <w:marLeft w:val="0"/>
              <w:marRight w:val="0"/>
              <w:marTop w:val="0"/>
              <w:marBottom w:val="0"/>
              <w:divBdr>
                <w:top w:val="none" w:sz="0" w:space="0" w:color="auto"/>
                <w:left w:val="none" w:sz="0" w:space="0" w:color="auto"/>
                <w:bottom w:val="none" w:sz="0" w:space="0" w:color="auto"/>
                <w:right w:val="none" w:sz="0" w:space="0" w:color="auto"/>
              </w:divBdr>
            </w:div>
            <w:div w:id="394820147">
              <w:marLeft w:val="0"/>
              <w:marRight w:val="0"/>
              <w:marTop w:val="0"/>
              <w:marBottom w:val="0"/>
              <w:divBdr>
                <w:top w:val="none" w:sz="0" w:space="0" w:color="auto"/>
                <w:left w:val="none" w:sz="0" w:space="0" w:color="auto"/>
                <w:bottom w:val="none" w:sz="0" w:space="0" w:color="auto"/>
                <w:right w:val="none" w:sz="0" w:space="0" w:color="auto"/>
              </w:divBdr>
            </w:div>
            <w:div w:id="1492411279">
              <w:marLeft w:val="0"/>
              <w:marRight w:val="0"/>
              <w:marTop w:val="0"/>
              <w:marBottom w:val="0"/>
              <w:divBdr>
                <w:top w:val="none" w:sz="0" w:space="0" w:color="auto"/>
                <w:left w:val="none" w:sz="0" w:space="0" w:color="auto"/>
                <w:bottom w:val="none" w:sz="0" w:space="0" w:color="auto"/>
                <w:right w:val="none" w:sz="0" w:space="0" w:color="auto"/>
              </w:divBdr>
              <w:divsChild>
                <w:div w:id="1790780356">
                  <w:marLeft w:val="0"/>
                  <w:marRight w:val="0"/>
                  <w:marTop w:val="0"/>
                  <w:marBottom w:val="0"/>
                  <w:divBdr>
                    <w:top w:val="none" w:sz="0" w:space="0" w:color="auto"/>
                    <w:left w:val="none" w:sz="0" w:space="0" w:color="auto"/>
                    <w:bottom w:val="none" w:sz="0" w:space="0" w:color="auto"/>
                    <w:right w:val="none" w:sz="0" w:space="0" w:color="auto"/>
                  </w:divBdr>
                  <w:divsChild>
                    <w:div w:id="620647249">
                      <w:marLeft w:val="0"/>
                      <w:marRight w:val="0"/>
                      <w:marTop w:val="0"/>
                      <w:marBottom w:val="0"/>
                      <w:divBdr>
                        <w:top w:val="none" w:sz="0" w:space="0" w:color="auto"/>
                        <w:left w:val="none" w:sz="0" w:space="0" w:color="auto"/>
                        <w:bottom w:val="none" w:sz="0" w:space="0" w:color="auto"/>
                        <w:right w:val="none" w:sz="0" w:space="0" w:color="auto"/>
                      </w:divBdr>
                    </w:div>
                    <w:div w:id="2050952227">
                      <w:marLeft w:val="0"/>
                      <w:marRight w:val="0"/>
                      <w:marTop w:val="0"/>
                      <w:marBottom w:val="0"/>
                      <w:divBdr>
                        <w:top w:val="none" w:sz="0" w:space="0" w:color="auto"/>
                        <w:left w:val="none" w:sz="0" w:space="0" w:color="auto"/>
                        <w:bottom w:val="none" w:sz="0" w:space="0" w:color="auto"/>
                        <w:right w:val="none" w:sz="0" w:space="0" w:color="auto"/>
                      </w:divBdr>
                    </w:div>
                  </w:divsChild>
                </w:div>
                <w:div w:id="1929921051">
                  <w:marLeft w:val="0"/>
                  <w:marRight w:val="0"/>
                  <w:marTop w:val="0"/>
                  <w:marBottom w:val="0"/>
                  <w:divBdr>
                    <w:top w:val="none" w:sz="0" w:space="0" w:color="auto"/>
                    <w:left w:val="none" w:sz="0" w:space="0" w:color="auto"/>
                    <w:bottom w:val="none" w:sz="0" w:space="0" w:color="auto"/>
                    <w:right w:val="none" w:sz="0" w:space="0" w:color="auto"/>
                  </w:divBdr>
                  <w:divsChild>
                    <w:div w:id="894007891">
                      <w:marLeft w:val="0"/>
                      <w:marRight w:val="0"/>
                      <w:marTop w:val="0"/>
                      <w:marBottom w:val="0"/>
                      <w:divBdr>
                        <w:top w:val="none" w:sz="0" w:space="0" w:color="auto"/>
                        <w:left w:val="none" w:sz="0" w:space="0" w:color="auto"/>
                        <w:bottom w:val="none" w:sz="0" w:space="0" w:color="auto"/>
                        <w:right w:val="none" w:sz="0" w:space="0" w:color="auto"/>
                      </w:divBdr>
                    </w:div>
                    <w:div w:id="2095934825">
                      <w:marLeft w:val="0"/>
                      <w:marRight w:val="0"/>
                      <w:marTop w:val="0"/>
                      <w:marBottom w:val="0"/>
                      <w:divBdr>
                        <w:top w:val="none" w:sz="0" w:space="0" w:color="auto"/>
                        <w:left w:val="none" w:sz="0" w:space="0" w:color="auto"/>
                        <w:bottom w:val="none" w:sz="0" w:space="0" w:color="auto"/>
                        <w:right w:val="none" w:sz="0" w:space="0" w:color="auto"/>
                      </w:divBdr>
                    </w:div>
                  </w:divsChild>
                </w:div>
                <w:div w:id="1957953924">
                  <w:marLeft w:val="0"/>
                  <w:marRight w:val="0"/>
                  <w:marTop w:val="0"/>
                  <w:marBottom w:val="0"/>
                  <w:divBdr>
                    <w:top w:val="none" w:sz="0" w:space="0" w:color="auto"/>
                    <w:left w:val="none" w:sz="0" w:space="0" w:color="auto"/>
                    <w:bottom w:val="none" w:sz="0" w:space="0" w:color="auto"/>
                    <w:right w:val="none" w:sz="0" w:space="0" w:color="auto"/>
                  </w:divBdr>
                  <w:divsChild>
                    <w:div w:id="196165506">
                      <w:marLeft w:val="0"/>
                      <w:marRight w:val="0"/>
                      <w:marTop w:val="0"/>
                      <w:marBottom w:val="0"/>
                      <w:divBdr>
                        <w:top w:val="none" w:sz="0" w:space="0" w:color="auto"/>
                        <w:left w:val="none" w:sz="0" w:space="0" w:color="auto"/>
                        <w:bottom w:val="none" w:sz="0" w:space="0" w:color="auto"/>
                        <w:right w:val="none" w:sz="0" w:space="0" w:color="auto"/>
                      </w:divBdr>
                    </w:div>
                    <w:div w:id="396364794">
                      <w:marLeft w:val="0"/>
                      <w:marRight w:val="0"/>
                      <w:marTop w:val="0"/>
                      <w:marBottom w:val="0"/>
                      <w:divBdr>
                        <w:top w:val="none" w:sz="0" w:space="0" w:color="auto"/>
                        <w:left w:val="none" w:sz="0" w:space="0" w:color="auto"/>
                        <w:bottom w:val="none" w:sz="0" w:space="0" w:color="auto"/>
                        <w:right w:val="none" w:sz="0" w:space="0" w:color="auto"/>
                      </w:divBdr>
                    </w:div>
                  </w:divsChild>
                </w:div>
                <w:div w:id="2067993360">
                  <w:marLeft w:val="0"/>
                  <w:marRight w:val="0"/>
                  <w:marTop w:val="0"/>
                  <w:marBottom w:val="0"/>
                  <w:divBdr>
                    <w:top w:val="none" w:sz="0" w:space="0" w:color="auto"/>
                    <w:left w:val="none" w:sz="0" w:space="0" w:color="auto"/>
                    <w:bottom w:val="none" w:sz="0" w:space="0" w:color="auto"/>
                    <w:right w:val="none" w:sz="0" w:space="0" w:color="auto"/>
                  </w:divBdr>
                  <w:divsChild>
                    <w:div w:id="569080683">
                      <w:marLeft w:val="0"/>
                      <w:marRight w:val="0"/>
                      <w:marTop w:val="0"/>
                      <w:marBottom w:val="0"/>
                      <w:divBdr>
                        <w:top w:val="none" w:sz="0" w:space="0" w:color="auto"/>
                        <w:left w:val="none" w:sz="0" w:space="0" w:color="auto"/>
                        <w:bottom w:val="none" w:sz="0" w:space="0" w:color="auto"/>
                        <w:right w:val="none" w:sz="0" w:space="0" w:color="auto"/>
                      </w:divBdr>
                    </w:div>
                    <w:div w:id="18733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82909">
      <w:bodyDiv w:val="1"/>
      <w:marLeft w:val="0"/>
      <w:marRight w:val="0"/>
      <w:marTop w:val="0"/>
      <w:marBottom w:val="0"/>
      <w:divBdr>
        <w:top w:val="none" w:sz="0" w:space="0" w:color="auto"/>
        <w:left w:val="none" w:sz="0" w:space="0" w:color="auto"/>
        <w:bottom w:val="none" w:sz="0" w:space="0" w:color="auto"/>
        <w:right w:val="none" w:sz="0" w:space="0" w:color="auto"/>
      </w:divBdr>
    </w:div>
    <w:div w:id="793711757">
      <w:bodyDiv w:val="1"/>
      <w:marLeft w:val="0"/>
      <w:marRight w:val="0"/>
      <w:marTop w:val="0"/>
      <w:marBottom w:val="0"/>
      <w:divBdr>
        <w:top w:val="none" w:sz="0" w:space="0" w:color="auto"/>
        <w:left w:val="none" w:sz="0" w:space="0" w:color="auto"/>
        <w:bottom w:val="none" w:sz="0" w:space="0" w:color="auto"/>
        <w:right w:val="none" w:sz="0" w:space="0" w:color="auto"/>
      </w:divBdr>
    </w:div>
    <w:div w:id="916936147">
      <w:bodyDiv w:val="1"/>
      <w:marLeft w:val="0"/>
      <w:marRight w:val="0"/>
      <w:marTop w:val="0"/>
      <w:marBottom w:val="0"/>
      <w:divBdr>
        <w:top w:val="none" w:sz="0" w:space="0" w:color="auto"/>
        <w:left w:val="none" w:sz="0" w:space="0" w:color="auto"/>
        <w:bottom w:val="none" w:sz="0" w:space="0" w:color="auto"/>
        <w:right w:val="none" w:sz="0" w:space="0" w:color="auto"/>
      </w:divBdr>
    </w:div>
    <w:div w:id="950892887">
      <w:bodyDiv w:val="1"/>
      <w:marLeft w:val="0"/>
      <w:marRight w:val="0"/>
      <w:marTop w:val="0"/>
      <w:marBottom w:val="0"/>
      <w:divBdr>
        <w:top w:val="none" w:sz="0" w:space="0" w:color="auto"/>
        <w:left w:val="none" w:sz="0" w:space="0" w:color="auto"/>
        <w:bottom w:val="none" w:sz="0" w:space="0" w:color="auto"/>
        <w:right w:val="none" w:sz="0" w:space="0" w:color="auto"/>
      </w:divBdr>
    </w:div>
    <w:div w:id="954285941">
      <w:bodyDiv w:val="1"/>
      <w:marLeft w:val="0"/>
      <w:marRight w:val="0"/>
      <w:marTop w:val="0"/>
      <w:marBottom w:val="0"/>
      <w:divBdr>
        <w:top w:val="none" w:sz="0" w:space="0" w:color="auto"/>
        <w:left w:val="none" w:sz="0" w:space="0" w:color="auto"/>
        <w:bottom w:val="none" w:sz="0" w:space="0" w:color="auto"/>
        <w:right w:val="none" w:sz="0" w:space="0" w:color="auto"/>
      </w:divBdr>
    </w:div>
    <w:div w:id="965351111">
      <w:bodyDiv w:val="1"/>
      <w:marLeft w:val="0"/>
      <w:marRight w:val="0"/>
      <w:marTop w:val="0"/>
      <w:marBottom w:val="0"/>
      <w:divBdr>
        <w:top w:val="none" w:sz="0" w:space="0" w:color="auto"/>
        <w:left w:val="none" w:sz="0" w:space="0" w:color="auto"/>
        <w:bottom w:val="none" w:sz="0" w:space="0" w:color="auto"/>
        <w:right w:val="none" w:sz="0" w:space="0" w:color="auto"/>
      </w:divBdr>
    </w:div>
    <w:div w:id="1014918048">
      <w:bodyDiv w:val="1"/>
      <w:marLeft w:val="0"/>
      <w:marRight w:val="0"/>
      <w:marTop w:val="0"/>
      <w:marBottom w:val="0"/>
      <w:divBdr>
        <w:top w:val="none" w:sz="0" w:space="0" w:color="auto"/>
        <w:left w:val="none" w:sz="0" w:space="0" w:color="auto"/>
        <w:bottom w:val="none" w:sz="0" w:space="0" w:color="auto"/>
        <w:right w:val="none" w:sz="0" w:space="0" w:color="auto"/>
      </w:divBdr>
    </w:div>
    <w:div w:id="1100446150">
      <w:bodyDiv w:val="1"/>
      <w:marLeft w:val="0"/>
      <w:marRight w:val="0"/>
      <w:marTop w:val="0"/>
      <w:marBottom w:val="0"/>
      <w:divBdr>
        <w:top w:val="none" w:sz="0" w:space="0" w:color="auto"/>
        <w:left w:val="none" w:sz="0" w:space="0" w:color="auto"/>
        <w:bottom w:val="none" w:sz="0" w:space="0" w:color="auto"/>
        <w:right w:val="none" w:sz="0" w:space="0" w:color="auto"/>
      </w:divBdr>
    </w:div>
    <w:div w:id="1137601414">
      <w:bodyDiv w:val="1"/>
      <w:marLeft w:val="0"/>
      <w:marRight w:val="0"/>
      <w:marTop w:val="0"/>
      <w:marBottom w:val="0"/>
      <w:divBdr>
        <w:top w:val="none" w:sz="0" w:space="0" w:color="auto"/>
        <w:left w:val="none" w:sz="0" w:space="0" w:color="auto"/>
        <w:bottom w:val="none" w:sz="0" w:space="0" w:color="auto"/>
        <w:right w:val="none" w:sz="0" w:space="0" w:color="auto"/>
      </w:divBdr>
    </w:div>
    <w:div w:id="1368529970">
      <w:bodyDiv w:val="1"/>
      <w:marLeft w:val="0"/>
      <w:marRight w:val="0"/>
      <w:marTop w:val="0"/>
      <w:marBottom w:val="0"/>
      <w:divBdr>
        <w:top w:val="none" w:sz="0" w:space="0" w:color="auto"/>
        <w:left w:val="none" w:sz="0" w:space="0" w:color="auto"/>
        <w:bottom w:val="none" w:sz="0" w:space="0" w:color="auto"/>
        <w:right w:val="none" w:sz="0" w:space="0" w:color="auto"/>
      </w:divBdr>
    </w:div>
    <w:div w:id="1471244890">
      <w:bodyDiv w:val="1"/>
      <w:marLeft w:val="0"/>
      <w:marRight w:val="0"/>
      <w:marTop w:val="0"/>
      <w:marBottom w:val="0"/>
      <w:divBdr>
        <w:top w:val="none" w:sz="0" w:space="0" w:color="auto"/>
        <w:left w:val="none" w:sz="0" w:space="0" w:color="auto"/>
        <w:bottom w:val="none" w:sz="0" w:space="0" w:color="auto"/>
        <w:right w:val="none" w:sz="0" w:space="0" w:color="auto"/>
      </w:divBdr>
    </w:div>
    <w:div w:id="1473600992">
      <w:bodyDiv w:val="1"/>
      <w:marLeft w:val="0"/>
      <w:marRight w:val="0"/>
      <w:marTop w:val="0"/>
      <w:marBottom w:val="0"/>
      <w:divBdr>
        <w:top w:val="none" w:sz="0" w:space="0" w:color="auto"/>
        <w:left w:val="none" w:sz="0" w:space="0" w:color="auto"/>
        <w:bottom w:val="none" w:sz="0" w:space="0" w:color="auto"/>
        <w:right w:val="none" w:sz="0" w:space="0" w:color="auto"/>
      </w:divBdr>
    </w:div>
    <w:div w:id="1477333570">
      <w:bodyDiv w:val="1"/>
      <w:marLeft w:val="0"/>
      <w:marRight w:val="0"/>
      <w:marTop w:val="0"/>
      <w:marBottom w:val="0"/>
      <w:divBdr>
        <w:top w:val="none" w:sz="0" w:space="0" w:color="auto"/>
        <w:left w:val="none" w:sz="0" w:space="0" w:color="auto"/>
        <w:bottom w:val="none" w:sz="0" w:space="0" w:color="auto"/>
        <w:right w:val="none" w:sz="0" w:space="0" w:color="auto"/>
      </w:divBdr>
    </w:div>
    <w:div w:id="1649435376">
      <w:bodyDiv w:val="1"/>
      <w:marLeft w:val="0"/>
      <w:marRight w:val="0"/>
      <w:marTop w:val="0"/>
      <w:marBottom w:val="0"/>
      <w:divBdr>
        <w:top w:val="none" w:sz="0" w:space="0" w:color="auto"/>
        <w:left w:val="none" w:sz="0" w:space="0" w:color="auto"/>
        <w:bottom w:val="none" w:sz="0" w:space="0" w:color="auto"/>
        <w:right w:val="none" w:sz="0" w:space="0" w:color="auto"/>
      </w:divBdr>
    </w:div>
    <w:div w:id="1653096615">
      <w:bodyDiv w:val="1"/>
      <w:marLeft w:val="0"/>
      <w:marRight w:val="0"/>
      <w:marTop w:val="0"/>
      <w:marBottom w:val="0"/>
      <w:divBdr>
        <w:top w:val="none" w:sz="0" w:space="0" w:color="auto"/>
        <w:left w:val="none" w:sz="0" w:space="0" w:color="auto"/>
        <w:bottom w:val="none" w:sz="0" w:space="0" w:color="auto"/>
        <w:right w:val="none" w:sz="0" w:space="0" w:color="auto"/>
      </w:divBdr>
    </w:div>
    <w:div w:id="1671443930">
      <w:bodyDiv w:val="1"/>
      <w:marLeft w:val="0"/>
      <w:marRight w:val="0"/>
      <w:marTop w:val="0"/>
      <w:marBottom w:val="0"/>
      <w:divBdr>
        <w:top w:val="none" w:sz="0" w:space="0" w:color="auto"/>
        <w:left w:val="none" w:sz="0" w:space="0" w:color="auto"/>
        <w:bottom w:val="none" w:sz="0" w:space="0" w:color="auto"/>
        <w:right w:val="none" w:sz="0" w:space="0" w:color="auto"/>
      </w:divBdr>
    </w:div>
    <w:div w:id="1683049200">
      <w:bodyDiv w:val="1"/>
      <w:marLeft w:val="0"/>
      <w:marRight w:val="0"/>
      <w:marTop w:val="0"/>
      <w:marBottom w:val="0"/>
      <w:divBdr>
        <w:top w:val="none" w:sz="0" w:space="0" w:color="auto"/>
        <w:left w:val="none" w:sz="0" w:space="0" w:color="auto"/>
        <w:bottom w:val="none" w:sz="0" w:space="0" w:color="auto"/>
        <w:right w:val="none" w:sz="0" w:space="0" w:color="auto"/>
      </w:divBdr>
    </w:div>
    <w:div w:id="1719473153">
      <w:bodyDiv w:val="1"/>
      <w:marLeft w:val="0"/>
      <w:marRight w:val="0"/>
      <w:marTop w:val="0"/>
      <w:marBottom w:val="0"/>
      <w:divBdr>
        <w:top w:val="none" w:sz="0" w:space="0" w:color="auto"/>
        <w:left w:val="none" w:sz="0" w:space="0" w:color="auto"/>
        <w:bottom w:val="none" w:sz="0" w:space="0" w:color="auto"/>
        <w:right w:val="none" w:sz="0" w:space="0" w:color="auto"/>
      </w:divBdr>
    </w:div>
    <w:div w:id="1805852609">
      <w:bodyDiv w:val="1"/>
      <w:marLeft w:val="0"/>
      <w:marRight w:val="0"/>
      <w:marTop w:val="0"/>
      <w:marBottom w:val="0"/>
      <w:divBdr>
        <w:top w:val="none" w:sz="0" w:space="0" w:color="auto"/>
        <w:left w:val="none" w:sz="0" w:space="0" w:color="auto"/>
        <w:bottom w:val="none" w:sz="0" w:space="0" w:color="auto"/>
        <w:right w:val="none" w:sz="0" w:space="0" w:color="auto"/>
      </w:divBdr>
    </w:div>
    <w:div w:id="1845128452">
      <w:bodyDiv w:val="1"/>
      <w:marLeft w:val="0"/>
      <w:marRight w:val="0"/>
      <w:marTop w:val="0"/>
      <w:marBottom w:val="0"/>
      <w:divBdr>
        <w:top w:val="none" w:sz="0" w:space="0" w:color="auto"/>
        <w:left w:val="none" w:sz="0" w:space="0" w:color="auto"/>
        <w:bottom w:val="none" w:sz="0" w:space="0" w:color="auto"/>
        <w:right w:val="none" w:sz="0" w:space="0" w:color="auto"/>
      </w:divBdr>
    </w:div>
    <w:div w:id="1932346211">
      <w:bodyDiv w:val="1"/>
      <w:marLeft w:val="0"/>
      <w:marRight w:val="0"/>
      <w:marTop w:val="0"/>
      <w:marBottom w:val="0"/>
      <w:divBdr>
        <w:top w:val="none" w:sz="0" w:space="0" w:color="auto"/>
        <w:left w:val="none" w:sz="0" w:space="0" w:color="auto"/>
        <w:bottom w:val="none" w:sz="0" w:space="0" w:color="auto"/>
        <w:right w:val="none" w:sz="0" w:space="0" w:color="auto"/>
      </w:divBdr>
    </w:div>
    <w:div w:id="1963002378">
      <w:bodyDiv w:val="1"/>
      <w:marLeft w:val="0"/>
      <w:marRight w:val="0"/>
      <w:marTop w:val="0"/>
      <w:marBottom w:val="0"/>
      <w:divBdr>
        <w:top w:val="none" w:sz="0" w:space="0" w:color="auto"/>
        <w:left w:val="none" w:sz="0" w:space="0" w:color="auto"/>
        <w:bottom w:val="none" w:sz="0" w:space="0" w:color="auto"/>
        <w:right w:val="none" w:sz="0" w:space="0" w:color="auto"/>
      </w:divBdr>
    </w:div>
    <w:div w:id="20622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C7EB0FB49464C8EC438F1CE053DBE" ma:contentTypeVersion="14" ma:contentTypeDescription="Create a new document." ma:contentTypeScope="" ma:versionID="b082019bf77c1cfda4aaf5e0f59cb57a">
  <xsd:schema xmlns:xsd="http://www.w3.org/2001/XMLSchema" xmlns:xs="http://www.w3.org/2001/XMLSchema" xmlns:p="http://schemas.microsoft.com/office/2006/metadata/properties" xmlns:ns1="http://schemas.microsoft.com/sharepoint/v3" xmlns:ns3="769ebd85-33b1-40b0-b57d-9e1ed3227c8d" xmlns:ns4="01560da8-91a8-40fa-baad-333fc2c24192" targetNamespace="http://schemas.microsoft.com/office/2006/metadata/properties" ma:root="true" ma:fieldsID="5c6f58f241e97554cea6cfb5c38702dd" ns1:_="" ns3:_="" ns4:_="">
    <xsd:import namespace="http://schemas.microsoft.com/sharepoint/v3"/>
    <xsd:import namespace="769ebd85-33b1-40b0-b57d-9e1ed3227c8d"/>
    <xsd:import namespace="01560da8-91a8-40fa-baad-333fc2c241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ebd85-33b1-40b0-b57d-9e1ed3227c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60da8-91a8-40fa-baad-333fc2c2419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60A2-B2A6-47AE-AD16-061DE808699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8F79B26-9094-4E5D-87C2-31A20C9F1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9ebd85-33b1-40b0-b57d-9e1ed3227c8d"/>
    <ds:schemaRef ds:uri="01560da8-91a8-40fa-baad-333fc2c24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9284A-3BD0-45E3-9A67-7D2B2AE2833E}">
  <ds:schemaRefs>
    <ds:schemaRef ds:uri="http://schemas.microsoft.com/sharepoint/v3/contenttype/forms"/>
  </ds:schemaRefs>
</ds:datastoreItem>
</file>

<file path=customXml/itemProps4.xml><?xml version="1.0" encoding="utf-8"?>
<ds:datastoreItem xmlns:ds="http://schemas.openxmlformats.org/officeDocument/2006/customXml" ds:itemID="{FA527A13-2938-4421-9E4D-F836C118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36935</Words>
  <Characters>210536</Characters>
  <Application>Microsoft Office Word</Application>
  <DocSecurity>0</DocSecurity>
  <Lines>1754</Lines>
  <Paragraphs>493</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246978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Murray-Thomas, Tarita</dc:creator>
  <cp:lastModifiedBy>Iona Easthope</cp:lastModifiedBy>
  <cp:revision>3</cp:revision>
  <cp:lastPrinted>2019-12-13T12:47:00Z</cp:lastPrinted>
  <dcterms:created xsi:type="dcterms:W3CDTF">2020-09-18T11:44:00Z</dcterms:created>
  <dcterms:modified xsi:type="dcterms:W3CDTF">2020-09-18T11:44:00Z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ec7da099-f470-3a6c-8673-1c87dc27acc1</vt:lpwstr>
  </property>
  <property fmtid="{D5CDD505-2E9C-101B-9397-08002B2CF9AE}" pid="4" name="Mendeley Citation Style_1">
    <vt:lpwstr>http://www.zotero.org/styles/journal-of-hospital-infection</vt:lpwstr>
  </property>
  <property fmtid="{D5CDD505-2E9C-101B-9397-08002B2CF9AE}" pid="5" name="Mendeley Recent Style Id 0_1">
    <vt:lpwstr>https://csl.mendeley.com/styles/519785641/ART-vancouver</vt:lpwstr>
  </property>
  <property fmtid="{D5CDD505-2E9C-101B-9397-08002B2CF9AE}" pid="6" name="Mendeley Recent Style Name 0_1">
    <vt:lpwstr>ART-Vancouver</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http://www.zotero.org/styles/clinical-infectious-diseases</vt:lpwstr>
  </property>
  <property fmtid="{D5CDD505-2E9C-101B-9397-08002B2CF9AE}" pid="14" name="Mendeley Recent Style Name 4_1">
    <vt:lpwstr>Clinical Infectious Diseases</vt:lpwstr>
  </property>
  <property fmtid="{D5CDD505-2E9C-101B-9397-08002B2CF9AE}" pid="15" name="Mendeley Recent Style Id 5_1">
    <vt:lpwstr>http://www.zotero.org/styles/journal-of-hospital-infection</vt:lpwstr>
  </property>
  <property fmtid="{D5CDD505-2E9C-101B-9397-08002B2CF9AE}" pid="16" name="Mendeley Recent Style Name 5_1">
    <vt:lpwstr>Journal of Hospital Infection</vt:lpwstr>
  </property>
  <property fmtid="{D5CDD505-2E9C-101B-9397-08002B2CF9AE}" pid="17" name="Mendeley Recent Style Id 6_1">
    <vt:lpwstr>http://csl.mendeley.com/styles/20448741/minimal-grant-proposals</vt:lpwstr>
  </property>
  <property fmtid="{D5CDD505-2E9C-101B-9397-08002B2CF9AE}" pid="18" name="Mendeley Recent Style Name 6_1">
    <vt:lpwstr>Minimal style for grant proposals</vt:lpwstr>
  </property>
  <property fmtid="{D5CDD505-2E9C-101B-9397-08002B2CF9AE}" pid="19" name="Mendeley Recent Style Id 7_1">
    <vt:lpwstr>http://csl.mendeley.com/styles/519785641/minimal-grant-proposals-3</vt:lpwstr>
  </property>
  <property fmtid="{D5CDD505-2E9C-101B-9397-08002B2CF9AE}" pid="20" name="Mendeley Recent Style Name 7_1">
    <vt:lpwstr>Minimal style for grant proposals - Cello Health MedErgy</vt:lpwstr>
  </property>
  <property fmtid="{D5CDD505-2E9C-101B-9397-08002B2CF9AE}" pid="21" name="Mendeley Recent Style Id 8_1">
    <vt:lpwstr>https://csl.mendeley.com/styles/519785641/minimal-grant-proposals-2</vt:lpwstr>
  </property>
  <property fmtid="{D5CDD505-2E9C-101B-9397-08002B2CF9AE}" pid="22" name="Mendeley Recent Style Name 8_1">
    <vt:lpwstr>Minimal style for grant proposals - Cello Health MedErgy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0x01010059DC7EB0FB49464C8EC438F1CE053DBE</vt:lpwstr>
  </property>
</Properties>
</file>