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B64" w:rsidRPr="004003BC" w:rsidRDefault="00CE3B64" w:rsidP="00957F04">
      <w:pPr>
        <w:pStyle w:val="1"/>
        <w:rPr>
          <w:rFonts w:ascii="Times New Roman" w:hAnsi="Times New Roman" w:cs="Times New Roman"/>
          <w:b/>
          <w:color w:val="auto"/>
          <w:sz w:val="36"/>
        </w:rPr>
      </w:pPr>
      <w:r w:rsidRPr="004003BC">
        <w:rPr>
          <w:rFonts w:ascii="Times New Roman" w:hAnsi="Times New Roman" w:cs="Times New Roman"/>
          <w:b/>
          <w:color w:val="auto"/>
          <w:sz w:val="36"/>
        </w:rPr>
        <w:t xml:space="preserve">International </w:t>
      </w:r>
      <w:r w:rsidR="004E7D1C">
        <w:rPr>
          <w:rFonts w:ascii="Times New Roman" w:hAnsi="Times New Roman" w:cs="Times New Roman"/>
          <w:b/>
          <w:color w:val="auto"/>
          <w:sz w:val="36"/>
        </w:rPr>
        <w:t>P</w:t>
      </w:r>
      <w:r w:rsidRPr="004003BC">
        <w:rPr>
          <w:rFonts w:ascii="Times New Roman" w:hAnsi="Times New Roman" w:cs="Times New Roman"/>
          <w:b/>
          <w:color w:val="auto"/>
          <w:sz w:val="36"/>
        </w:rPr>
        <w:t xml:space="preserve">ostgraduate </w:t>
      </w:r>
      <w:r w:rsidR="004E7D1C">
        <w:rPr>
          <w:rFonts w:ascii="Times New Roman" w:hAnsi="Times New Roman" w:cs="Times New Roman"/>
          <w:b/>
          <w:color w:val="auto"/>
          <w:sz w:val="36"/>
        </w:rPr>
        <w:t>S</w:t>
      </w:r>
      <w:r w:rsidRPr="004003BC">
        <w:rPr>
          <w:rFonts w:ascii="Times New Roman" w:hAnsi="Times New Roman" w:cs="Times New Roman"/>
          <w:b/>
          <w:color w:val="auto"/>
          <w:sz w:val="36"/>
        </w:rPr>
        <w:t xml:space="preserve">tudents’ </w:t>
      </w:r>
      <w:r w:rsidR="004E7D1C">
        <w:rPr>
          <w:rFonts w:ascii="Times New Roman" w:hAnsi="Times New Roman" w:cs="Times New Roman"/>
          <w:b/>
          <w:color w:val="auto"/>
          <w:sz w:val="36"/>
        </w:rPr>
        <w:t>L</w:t>
      </w:r>
      <w:r w:rsidRPr="004003BC">
        <w:rPr>
          <w:rFonts w:ascii="Times New Roman" w:hAnsi="Times New Roman" w:cs="Times New Roman"/>
          <w:b/>
          <w:color w:val="auto"/>
          <w:sz w:val="36"/>
        </w:rPr>
        <w:t xml:space="preserve">abour </w:t>
      </w:r>
      <w:r w:rsidR="004E7D1C">
        <w:rPr>
          <w:rFonts w:ascii="Times New Roman" w:hAnsi="Times New Roman" w:cs="Times New Roman"/>
          <w:b/>
          <w:color w:val="auto"/>
          <w:sz w:val="36"/>
        </w:rPr>
        <w:t>M</w:t>
      </w:r>
      <w:r w:rsidRPr="004003BC">
        <w:rPr>
          <w:rFonts w:ascii="Times New Roman" w:hAnsi="Times New Roman" w:cs="Times New Roman"/>
          <w:b/>
          <w:color w:val="auto"/>
          <w:sz w:val="36"/>
        </w:rPr>
        <w:t>obility in the UK: A</w:t>
      </w:r>
      <w:r w:rsidR="00412EA2">
        <w:rPr>
          <w:rFonts w:ascii="Times New Roman" w:hAnsi="Times New Roman" w:cs="Times New Roman"/>
          <w:b/>
          <w:color w:val="auto"/>
          <w:sz w:val="36"/>
        </w:rPr>
        <w:t xml:space="preserve"> </w:t>
      </w:r>
      <w:r w:rsidR="004E7D1C">
        <w:rPr>
          <w:rFonts w:ascii="Times New Roman" w:hAnsi="Times New Roman" w:cs="Times New Roman"/>
          <w:b/>
          <w:color w:val="auto"/>
          <w:sz w:val="36"/>
        </w:rPr>
        <w:t>C</w:t>
      </w:r>
      <w:r w:rsidR="00412EA2">
        <w:rPr>
          <w:rFonts w:ascii="Times New Roman" w:hAnsi="Times New Roman" w:cs="Times New Roman"/>
          <w:b/>
          <w:color w:val="auto"/>
          <w:sz w:val="36"/>
        </w:rPr>
        <w:t>ross-classified</w:t>
      </w:r>
      <w:r w:rsidRPr="004003BC">
        <w:rPr>
          <w:rFonts w:ascii="Times New Roman" w:hAnsi="Times New Roman" w:cs="Times New Roman"/>
          <w:b/>
          <w:color w:val="auto"/>
          <w:sz w:val="36"/>
        </w:rPr>
        <w:t xml:space="preserve"> </w:t>
      </w:r>
      <w:r w:rsidR="004E7D1C">
        <w:rPr>
          <w:rFonts w:ascii="Times New Roman" w:hAnsi="Times New Roman" w:cs="Times New Roman"/>
          <w:b/>
          <w:color w:val="auto"/>
          <w:sz w:val="36"/>
        </w:rPr>
        <w:t>M</w:t>
      </w:r>
      <w:r w:rsidRPr="004003BC">
        <w:rPr>
          <w:rFonts w:ascii="Times New Roman" w:hAnsi="Times New Roman" w:cs="Times New Roman"/>
          <w:b/>
          <w:color w:val="auto"/>
          <w:sz w:val="36"/>
        </w:rPr>
        <w:t xml:space="preserve">ultilevel </w:t>
      </w:r>
      <w:r w:rsidR="004E7D1C">
        <w:rPr>
          <w:rFonts w:ascii="Times New Roman" w:hAnsi="Times New Roman" w:cs="Times New Roman"/>
          <w:b/>
          <w:color w:val="auto"/>
          <w:sz w:val="36"/>
        </w:rPr>
        <w:t>A</w:t>
      </w:r>
      <w:r w:rsidR="00412EA2">
        <w:rPr>
          <w:rFonts w:ascii="Times New Roman" w:hAnsi="Times New Roman" w:cs="Times New Roman"/>
          <w:b/>
          <w:color w:val="auto"/>
          <w:sz w:val="36"/>
        </w:rPr>
        <w:t>nalysis</w:t>
      </w:r>
    </w:p>
    <w:p w:rsidR="00CE3B64" w:rsidRDefault="00CE3B64" w:rsidP="00957F04">
      <w:pPr>
        <w:rPr>
          <w:rFonts w:ascii="Times New Roman" w:hAnsi="Times New Roman" w:cs="Times New Roman"/>
          <w:sz w:val="24"/>
          <w:szCs w:val="24"/>
        </w:rPr>
      </w:pPr>
    </w:p>
    <w:p w:rsidR="002470F4" w:rsidRDefault="002470F4" w:rsidP="00957F04">
      <w:pPr>
        <w:rPr>
          <w:rFonts w:ascii="Times New Roman" w:hAnsi="Times New Roman" w:cs="Times New Roman"/>
          <w:sz w:val="24"/>
          <w:szCs w:val="24"/>
        </w:rPr>
      </w:pPr>
      <w:r w:rsidRPr="002470F4">
        <w:rPr>
          <w:rFonts w:ascii="Times New Roman" w:hAnsi="Times New Roman" w:cs="Times New Roman"/>
          <w:sz w:val="24"/>
          <w:szCs w:val="24"/>
        </w:rPr>
        <w:t>This article models the migration flows of international students who have graduated from masters and doctoral programmes in UK universities. Previously, access to sufficient data from the DLHE dataset on the destinations of HE international students has been difficult, despite the fact that international student numbers have grown substantially. Two one-yea</w:t>
      </w:r>
      <w:r w:rsidR="001223E5">
        <w:rPr>
          <w:rFonts w:ascii="Times New Roman" w:hAnsi="Times New Roman" w:cs="Times New Roman"/>
          <w:sz w:val="24"/>
          <w:szCs w:val="24"/>
        </w:rPr>
        <w:t>r extracts from the Destination</w:t>
      </w:r>
      <w:r w:rsidRPr="002470F4">
        <w:rPr>
          <w:rFonts w:ascii="Times New Roman" w:hAnsi="Times New Roman" w:cs="Times New Roman"/>
          <w:sz w:val="24"/>
          <w:szCs w:val="24"/>
        </w:rPr>
        <w:t xml:space="preserve"> of Leavers from Higher Education (DLHE) dataset were analysed (2013/14, 2014/15) using cross-classified multilevel modelling in order to estimate influences on “stay-rate”: the likelihood of highly-skilled graduates remaining in the UK for work after graduation. The home domicile and the UK HEI attended for study were modelled as random effects that allowed the variance in stay-rate to be partitioned between the student, higher levels of domicile and HEI attended. Variance at the domicile level was estimated to be 1.67 times greater than variance at HEI level indicating that home country is a better predictor of stay-rates than the HEI attended. The cross-classified model was a better fit to data than simpler, two-level hierarchical models (students nested in domicile or students nested in HEI attended). A number of </w:t>
      </w:r>
      <w:proofErr w:type="gramStart"/>
      <w:r w:rsidRPr="002470F4">
        <w:rPr>
          <w:rFonts w:ascii="Times New Roman" w:hAnsi="Times New Roman" w:cs="Times New Roman"/>
          <w:sz w:val="24"/>
          <w:szCs w:val="24"/>
        </w:rPr>
        <w:t>student</w:t>
      </w:r>
      <w:proofErr w:type="gramEnd"/>
      <w:r w:rsidRPr="002470F4">
        <w:rPr>
          <w:rFonts w:ascii="Times New Roman" w:hAnsi="Times New Roman" w:cs="Times New Roman"/>
          <w:sz w:val="24"/>
          <w:szCs w:val="24"/>
        </w:rPr>
        <w:t xml:space="preserve">, domicile and HEI level factors were added to the models. At HEI level, attending a Russell Group university and university location outside London were factors that led to significantly lower likelihood of graduates staying in the UK for work.  At the domicile level, none of </w:t>
      </w:r>
      <w:r w:rsidR="00CC2F37">
        <w:rPr>
          <w:rFonts w:ascii="Times New Roman" w:hAnsi="Times New Roman" w:cs="Times New Roman"/>
          <w:sz w:val="24"/>
          <w:szCs w:val="24"/>
        </w:rPr>
        <w:t>four</w:t>
      </w:r>
      <w:r w:rsidRPr="002470F4">
        <w:rPr>
          <w:rFonts w:ascii="Times New Roman" w:hAnsi="Times New Roman" w:cs="Times New Roman"/>
          <w:sz w:val="24"/>
          <w:szCs w:val="24"/>
        </w:rPr>
        <w:t xml:space="preserve"> factors (GDP, unemployment rates, English language and Commonwealth affiliation) were significant in predicting stay rates.</w:t>
      </w:r>
    </w:p>
    <w:p w:rsidR="00CE3B64" w:rsidRDefault="00CE3B64" w:rsidP="002470F4">
      <w:pPr>
        <w:rPr>
          <w:rFonts w:ascii="Times New Roman" w:eastAsiaTheme="majorEastAsia" w:hAnsi="Times New Roman" w:cs="Times New Roman"/>
          <w:b/>
          <w:sz w:val="32"/>
          <w:szCs w:val="32"/>
        </w:rPr>
      </w:pPr>
      <w:r w:rsidRPr="00932DB2">
        <w:rPr>
          <w:rFonts w:ascii="Times New Roman" w:hAnsi="Times New Roman" w:cs="Times New Roman"/>
          <w:b/>
          <w:sz w:val="24"/>
          <w:szCs w:val="24"/>
        </w:rPr>
        <w:t>Key words:</w:t>
      </w:r>
      <w:r w:rsidRPr="00932DB2">
        <w:rPr>
          <w:rFonts w:ascii="Times New Roman" w:hAnsi="Times New Roman" w:cs="Times New Roman"/>
          <w:sz w:val="24"/>
          <w:szCs w:val="24"/>
        </w:rPr>
        <w:t xml:space="preserve"> international student migration; postgraduate students; labour mobility; stay-rate; the United Kingdom; cross-classified multilevel </w:t>
      </w:r>
      <w:r>
        <w:rPr>
          <w:rFonts w:ascii="Times New Roman" w:hAnsi="Times New Roman" w:cs="Times New Roman"/>
          <w:sz w:val="24"/>
          <w:szCs w:val="24"/>
        </w:rPr>
        <w:t xml:space="preserve">logistic </w:t>
      </w:r>
      <w:r w:rsidRPr="00932DB2">
        <w:rPr>
          <w:rFonts w:ascii="Times New Roman" w:hAnsi="Times New Roman" w:cs="Times New Roman"/>
          <w:sz w:val="24"/>
          <w:szCs w:val="24"/>
        </w:rPr>
        <w:t>modelling</w:t>
      </w:r>
      <w:r>
        <w:br w:type="page"/>
      </w:r>
    </w:p>
    <w:p w:rsidR="00CE3B64" w:rsidRDefault="00CE3B64" w:rsidP="00957F04">
      <w:pPr>
        <w:pStyle w:val="2"/>
        <w:numPr>
          <w:ilvl w:val="0"/>
          <w:numId w:val="4"/>
        </w:numPr>
      </w:pPr>
      <w:r>
        <w:lastRenderedPageBreak/>
        <w:t>Introduction</w:t>
      </w:r>
    </w:p>
    <w:p w:rsidR="00CE3B64" w:rsidRDefault="00CE3B64" w:rsidP="00957F04">
      <w:r>
        <w:rPr>
          <w:rFonts w:ascii="Times New Roman" w:hAnsi="Times New Roman" w:cs="Times New Roman"/>
          <w:sz w:val="24"/>
          <w:szCs w:val="24"/>
        </w:rPr>
        <w:t>T</w:t>
      </w:r>
      <w:r w:rsidRPr="00CD386B">
        <w:rPr>
          <w:rFonts w:ascii="Times New Roman" w:hAnsi="Times New Roman" w:cs="Times New Roman"/>
          <w:sz w:val="24"/>
          <w:szCs w:val="24"/>
        </w:rPr>
        <w:t>he number of international migrants worldwide has reached 272 million by the year 2019, which has grown 57</w:t>
      </w:r>
      <w:r>
        <w:rPr>
          <w:rFonts w:ascii="Times New Roman" w:hAnsi="Times New Roman" w:cs="Times New Roman"/>
          <w:sz w:val="24"/>
          <w:szCs w:val="24"/>
        </w:rPr>
        <w:t>% compared to the number in</w:t>
      </w:r>
      <w:r w:rsidRPr="00CD386B">
        <w:rPr>
          <w:rFonts w:ascii="Times New Roman" w:hAnsi="Times New Roman" w:cs="Times New Roman"/>
          <w:sz w:val="24"/>
          <w:szCs w:val="24"/>
        </w:rPr>
        <w:t xml:space="preserve"> 2000</w:t>
      </w:r>
      <w:r>
        <w:rPr>
          <w:rFonts w:ascii="Times New Roman" w:hAnsi="Times New Roman" w:cs="Times New Roman"/>
          <w:sz w:val="24"/>
          <w:szCs w:val="24"/>
        </w:rPr>
        <w:t xml:space="preserve"> </w:t>
      </w:r>
      <w:r>
        <w:rPr>
          <w:rFonts w:ascii="Times New Roman" w:hAnsi="Times New Roman" w:cs="Times New Roman"/>
          <w:noProof/>
          <w:sz w:val="24"/>
          <w:szCs w:val="24"/>
        </w:rPr>
        <w:t>(DESA, 2019)</w:t>
      </w:r>
      <w:r w:rsidRPr="00CD386B">
        <w:rPr>
          <w:rFonts w:ascii="Times New Roman" w:hAnsi="Times New Roman" w:cs="Times New Roman"/>
          <w:sz w:val="24"/>
          <w:szCs w:val="24"/>
        </w:rPr>
        <w:t>. At the meantime, the number of international postgraduate students (i.</w:t>
      </w:r>
      <w:r>
        <w:rPr>
          <w:rFonts w:ascii="Times New Roman" w:hAnsi="Times New Roman" w:cs="Times New Roman"/>
          <w:sz w:val="24"/>
          <w:szCs w:val="24"/>
        </w:rPr>
        <w:t>e. students who came from outside EEA</w:t>
      </w:r>
      <w:r w:rsidRPr="00CD386B">
        <w:rPr>
          <w:rFonts w:ascii="Times New Roman" w:hAnsi="Times New Roman" w:cs="Times New Roman"/>
          <w:sz w:val="24"/>
          <w:szCs w:val="24"/>
        </w:rPr>
        <w:t xml:space="preserve"> countries) who studied in the UK</w:t>
      </w:r>
      <w:r>
        <w:rPr>
          <w:rFonts w:ascii="Times New Roman" w:hAnsi="Times New Roman" w:cs="Times New Roman"/>
          <w:sz w:val="24"/>
          <w:szCs w:val="24"/>
        </w:rPr>
        <w:t xml:space="preserve"> has nearly tripled in the past two decades, which</w:t>
      </w:r>
      <w:r w:rsidRPr="00CD386B">
        <w:rPr>
          <w:rFonts w:ascii="Times New Roman" w:hAnsi="Times New Roman" w:cs="Times New Roman"/>
          <w:sz w:val="24"/>
          <w:szCs w:val="24"/>
        </w:rPr>
        <w:t xml:space="preserve"> surged from 56</w:t>
      </w:r>
      <w:r>
        <w:rPr>
          <w:rFonts w:ascii="Times New Roman" w:hAnsi="Times New Roman" w:cs="Times New Roman"/>
          <w:sz w:val="24"/>
          <w:szCs w:val="24"/>
        </w:rPr>
        <w:t xml:space="preserve">,900 in 2000 to 160,145 in 2018 </w:t>
      </w:r>
      <w:r>
        <w:rPr>
          <w:rFonts w:ascii="Times New Roman" w:hAnsi="Times New Roman" w:cs="Times New Roman"/>
          <w:noProof/>
          <w:sz w:val="24"/>
          <w:szCs w:val="24"/>
        </w:rPr>
        <w:t>(HESA, 2002; 2019)</w:t>
      </w:r>
      <w:r w:rsidRPr="00CD386B">
        <w:rPr>
          <w:rFonts w:ascii="Times New Roman" w:hAnsi="Times New Roman" w:cs="Times New Roman"/>
          <w:sz w:val="24"/>
          <w:szCs w:val="24"/>
        </w:rPr>
        <w:t>.</w:t>
      </w:r>
      <w:r>
        <w:rPr>
          <w:rFonts w:ascii="Times New Roman" w:hAnsi="Times New Roman" w:cs="Times New Roman"/>
          <w:sz w:val="24"/>
          <w:szCs w:val="24"/>
        </w:rPr>
        <w:t xml:space="preserve"> </w:t>
      </w:r>
      <w:r w:rsidRPr="0033008D">
        <w:rPr>
          <w:rFonts w:ascii="Times New Roman" w:hAnsi="Times New Roman" w:cs="Times New Roman"/>
          <w:sz w:val="24"/>
          <w:szCs w:val="24"/>
        </w:rPr>
        <w:t xml:space="preserve">In the global competition for high-skill workers and talents, the massive inflow of </w:t>
      </w:r>
      <w:r>
        <w:rPr>
          <w:rFonts w:ascii="Times New Roman" w:hAnsi="Times New Roman" w:cs="Times New Roman"/>
          <w:sz w:val="24"/>
          <w:szCs w:val="24"/>
        </w:rPr>
        <w:t>international</w:t>
      </w:r>
      <w:r w:rsidRPr="0033008D">
        <w:rPr>
          <w:rFonts w:ascii="Times New Roman" w:hAnsi="Times New Roman" w:cs="Times New Roman"/>
          <w:sz w:val="24"/>
          <w:szCs w:val="24"/>
        </w:rPr>
        <w:t xml:space="preserve"> students into the UK HE system has drawn much attention from researchers</w:t>
      </w:r>
      <w:r>
        <w:rPr>
          <w:rFonts w:ascii="Times New Roman" w:hAnsi="Times New Roman" w:cs="Times New Roman"/>
          <w:sz w:val="24"/>
          <w:szCs w:val="24"/>
        </w:rPr>
        <w:t xml:space="preserve"> </w:t>
      </w:r>
      <w:r>
        <w:rPr>
          <w:rFonts w:ascii="Times New Roman" w:hAnsi="Times New Roman" w:cs="Times New Roman"/>
          <w:noProof/>
          <w:sz w:val="24"/>
          <w:szCs w:val="24"/>
        </w:rPr>
        <w:t>(Cebolla-Boado</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2018)</w:t>
      </w:r>
      <w:r>
        <w:rPr>
          <w:rFonts w:ascii="Times New Roman" w:hAnsi="Times New Roman" w:cs="Times New Roman"/>
          <w:sz w:val="24"/>
          <w:szCs w:val="24"/>
        </w:rPr>
        <w:t>, and</w:t>
      </w:r>
      <w:r w:rsidRPr="0033008D">
        <w:rPr>
          <w:rFonts w:ascii="Times New Roman" w:hAnsi="Times New Roman" w:cs="Times New Roman"/>
          <w:sz w:val="24"/>
          <w:szCs w:val="24"/>
        </w:rPr>
        <w:t xml:space="preserve"> </w:t>
      </w:r>
      <w:r>
        <w:rPr>
          <w:rFonts w:ascii="Times New Roman" w:hAnsi="Times New Roman" w:cs="Times New Roman"/>
          <w:sz w:val="24"/>
          <w:szCs w:val="24"/>
        </w:rPr>
        <w:t>t</w:t>
      </w:r>
      <w:r w:rsidRPr="0033008D">
        <w:rPr>
          <w:rFonts w:ascii="Times New Roman" w:hAnsi="Times New Roman" w:cs="Times New Roman"/>
          <w:sz w:val="24"/>
          <w:szCs w:val="24"/>
        </w:rPr>
        <w:t xml:space="preserve">here is also an increasing recognition for the need of having more investigation in their post-study labour movements </w:t>
      </w:r>
      <w:r>
        <w:rPr>
          <w:rFonts w:ascii="Times New Roman" w:hAnsi="Times New Roman" w:cs="Times New Roman"/>
          <w:noProof/>
          <w:sz w:val="24"/>
          <w:szCs w:val="24"/>
        </w:rPr>
        <w:t>(Wu &amp; Wilkes, 2017)</w:t>
      </w:r>
      <w:r>
        <w:rPr>
          <w:rFonts w:ascii="Times New Roman" w:hAnsi="Times New Roman" w:cs="Times New Roman"/>
          <w:sz w:val="24"/>
          <w:szCs w:val="24"/>
        </w:rPr>
        <w:t>.</w:t>
      </w:r>
    </w:p>
    <w:p w:rsidR="00CE3B64" w:rsidRDefault="00CE3B64" w:rsidP="00957F04">
      <w:pPr>
        <w:rPr>
          <w:rFonts w:ascii="Times New Roman" w:hAnsi="Times New Roman" w:cs="Times New Roman"/>
          <w:sz w:val="24"/>
          <w:szCs w:val="24"/>
        </w:rPr>
      </w:pPr>
      <w:r w:rsidRPr="005F4625">
        <w:rPr>
          <w:rFonts w:ascii="Times New Roman" w:hAnsi="Times New Roman" w:cs="Times New Roman"/>
          <w:sz w:val="24"/>
          <w:szCs w:val="24"/>
        </w:rPr>
        <w:t xml:space="preserve">Having better understanding of the post-study movements of international </w:t>
      </w:r>
      <w:r>
        <w:rPr>
          <w:rFonts w:ascii="Times New Roman" w:hAnsi="Times New Roman" w:cs="Times New Roman"/>
          <w:sz w:val="24"/>
          <w:szCs w:val="24"/>
        </w:rPr>
        <w:t>graduates</w:t>
      </w:r>
      <w:r w:rsidRPr="005F4625">
        <w:rPr>
          <w:rFonts w:ascii="Times New Roman" w:hAnsi="Times New Roman" w:cs="Times New Roman"/>
          <w:sz w:val="24"/>
          <w:szCs w:val="24"/>
        </w:rPr>
        <w:t xml:space="preserve"> have major implications for </w:t>
      </w:r>
      <w:r>
        <w:rPr>
          <w:rFonts w:ascii="Times New Roman" w:hAnsi="Times New Roman" w:cs="Times New Roman"/>
          <w:sz w:val="24"/>
          <w:szCs w:val="24"/>
        </w:rPr>
        <w:t>policy makers,</w:t>
      </w:r>
      <w:r w:rsidRPr="005F4625">
        <w:rPr>
          <w:rFonts w:ascii="Times New Roman" w:hAnsi="Times New Roman" w:cs="Times New Roman"/>
          <w:sz w:val="24"/>
          <w:szCs w:val="24"/>
        </w:rPr>
        <w:t xml:space="preserve"> Highe</w:t>
      </w:r>
      <w:r>
        <w:rPr>
          <w:rFonts w:ascii="Times New Roman" w:hAnsi="Times New Roman" w:cs="Times New Roman"/>
          <w:sz w:val="24"/>
          <w:szCs w:val="24"/>
        </w:rPr>
        <w:t>r Education Institutions (HEIs), and international graduates. More specifically, governments may be able to design and deliver more effective plans</w:t>
      </w:r>
      <w:r w:rsidRPr="00313C4D">
        <w:rPr>
          <w:rFonts w:ascii="Times New Roman" w:hAnsi="Times New Roman" w:cs="Times New Roman"/>
          <w:sz w:val="24"/>
          <w:szCs w:val="24"/>
        </w:rPr>
        <w:t xml:space="preserve"> in managing</w:t>
      </w:r>
      <w:r>
        <w:rPr>
          <w:rFonts w:ascii="Times New Roman" w:hAnsi="Times New Roman" w:cs="Times New Roman"/>
          <w:sz w:val="24"/>
          <w:szCs w:val="24"/>
        </w:rPr>
        <w:t xml:space="preserve"> </w:t>
      </w:r>
      <w:r w:rsidRPr="00313C4D">
        <w:rPr>
          <w:rFonts w:ascii="Times New Roman" w:hAnsi="Times New Roman" w:cs="Times New Roman"/>
          <w:sz w:val="24"/>
          <w:szCs w:val="24"/>
        </w:rPr>
        <w:t>internat</w:t>
      </w:r>
      <w:r>
        <w:rPr>
          <w:rFonts w:ascii="Times New Roman" w:hAnsi="Times New Roman" w:cs="Times New Roman"/>
          <w:sz w:val="24"/>
          <w:szCs w:val="24"/>
        </w:rPr>
        <w:t xml:space="preserve">ional student migration (ISM) </w:t>
      </w:r>
      <w:r>
        <w:rPr>
          <w:rFonts w:ascii="Times New Roman" w:hAnsi="Times New Roman" w:cs="Times New Roman"/>
          <w:noProof/>
          <w:sz w:val="24"/>
          <w:szCs w:val="24"/>
        </w:rPr>
        <w:t>(Szewczyk, 2014; Teichler, 2012; Wiers-Jenssen, 2013)</w:t>
      </w:r>
      <w:r>
        <w:rPr>
          <w:rFonts w:ascii="Times New Roman" w:hAnsi="Times New Roman" w:cs="Times New Roman"/>
          <w:sz w:val="24"/>
          <w:szCs w:val="24"/>
        </w:rPr>
        <w:t xml:space="preserve">. HEIs may can better prepare their international graduates for employment in a global economy </w:t>
      </w:r>
      <w:r>
        <w:rPr>
          <w:rFonts w:ascii="Times New Roman" w:hAnsi="Times New Roman" w:cs="Times New Roman"/>
          <w:noProof/>
          <w:sz w:val="24"/>
          <w:szCs w:val="24"/>
        </w:rPr>
        <w:t>(de Wit</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2015; Huang &amp; Turner, 2018; Teichler, 2009)</w:t>
      </w:r>
      <w:r>
        <w:rPr>
          <w:rFonts w:ascii="Times New Roman" w:hAnsi="Times New Roman" w:cs="Times New Roman"/>
          <w:sz w:val="24"/>
          <w:szCs w:val="24"/>
        </w:rPr>
        <w:t xml:space="preserve">. As prior international study experience and employment mobility have been argued to have considerable importance in shaping international graduates’ onward migration choices in post-study lives </w:t>
      </w:r>
      <w:r>
        <w:rPr>
          <w:rFonts w:ascii="Times New Roman" w:hAnsi="Times New Roman" w:cs="Times New Roman"/>
          <w:noProof/>
          <w:sz w:val="24"/>
          <w:szCs w:val="24"/>
        </w:rPr>
        <w:t>(Collins</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2017; Czaika &amp; Toma, 2017; Tan &amp; Hugo, 2017)</w:t>
      </w:r>
      <w:r>
        <w:rPr>
          <w:rFonts w:ascii="Times New Roman" w:hAnsi="Times New Roman" w:cs="Times New Roman"/>
          <w:sz w:val="24"/>
          <w:szCs w:val="24"/>
        </w:rPr>
        <w:t>, a better understanding of ISM may assist students to make more knowledgeable choices in deciding where to live and work after graduation.</w:t>
      </w:r>
    </w:p>
    <w:p w:rsidR="00CE3B64" w:rsidRDefault="00CE3B64" w:rsidP="00957F04">
      <w:pPr>
        <w:rPr>
          <w:rFonts w:ascii="Times New Roman" w:hAnsi="Times New Roman" w:cs="Times New Roman"/>
          <w:sz w:val="24"/>
          <w:szCs w:val="24"/>
        </w:rPr>
      </w:pPr>
      <w:r>
        <w:rPr>
          <w:rFonts w:ascii="Times New Roman" w:hAnsi="Times New Roman" w:cs="Times New Roman"/>
          <w:sz w:val="24"/>
          <w:szCs w:val="24"/>
        </w:rPr>
        <w:t xml:space="preserve">So far, the application of several theoretical frameworks have been found in the broader literature on migration as well as in research on ISM, which include human capital theory </w:t>
      </w:r>
      <w:r>
        <w:rPr>
          <w:rFonts w:ascii="Times New Roman" w:hAnsi="Times New Roman" w:cs="Times New Roman"/>
          <w:noProof/>
          <w:sz w:val="24"/>
          <w:szCs w:val="24"/>
        </w:rPr>
        <w:t>(Roh, 2015)</w:t>
      </w:r>
      <w:r>
        <w:rPr>
          <w:rFonts w:ascii="Times New Roman" w:hAnsi="Times New Roman" w:cs="Times New Roman"/>
          <w:sz w:val="24"/>
          <w:szCs w:val="24"/>
        </w:rPr>
        <w:t xml:space="preserve">, migration network theory </w:t>
      </w:r>
      <w:r>
        <w:rPr>
          <w:rFonts w:ascii="Times New Roman" w:hAnsi="Times New Roman" w:cs="Times New Roman"/>
          <w:noProof/>
          <w:sz w:val="24"/>
          <w:szCs w:val="24"/>
        </w:rPr>
        <w:t>(Perkins &amp; Neumayer, 2014)</w:t>
      </w:r>
      <w:r>
        <w:rPr>
          <w:rFonts w:ascii="Times New Roman" w:hAnsi="Times New Roman" w:cs="Times New Roman"/>
          <w:sz w:val="24"/>
          <w:szCs w:val="24"/>
        </w:rPr>
        <w:t xml:space="preserve">, and transnational theory </w:t>
      </w:r>
      <w:r>
        <w:rPr>
          <w:rFonts w:ascii="Times New Roman" w:hAnsi="Times New Roman" w:cs="Times New Roman"/>
          <w:noProof/>
          <w:sz w:val="24"/>
          <w:szCs w:val="24"/>
        </w:rPr>
        <w:t xml:space="preserve">(Gu &amp; </w:t>
      </w:r>
      <w:r>
        <w:rPr>
          <w:rFonts w:ascii="Times New Roman" w:hAnsi="Times New Roman" w:cs="Times New Roman"/>
          <w:noProof/>
          <w:sz w:val="24"/>
          <w:szCs w:val="24"/>
        </w:rPr>
        <w:lastRenderedPageBreak/>
        <w:t>Schweisfurth, 2015)</w:t>
      </w:r>
      <w:r>
        <w:rPr>
          <w:rFonts w:ascii="Times New Roman" w:hAnsi="Times New Roman" w:cs="Times New Roman"/>
          <w:sz w:val="24"/>
          <w:szCs w:val="24"/>
        </w:rPr>
        <w:t xml:space="preserve">. However, </w:t>
      </w:r>
      <w:r>
        <w:rPr>
          <w:rFonts w:ascii="Times New Roman" w:hAnsi="Times New Roman" w:cs="Times New Roman"/>
          <w:noProof/>
          <w:sz w:val="24"/>
          <w:szCs w:val="24"/>
        </w:rPr>
        <w:t>Raghuram (2013)</w:t>
      </w:r>
      <w:r>
        <w:rPr>
          <w:rFonts w:ascii="Times New Roman" w:hAnsi="Times New Roman" w:cs="Times New Roman"/>
          <w:sz w:val="24"/>
          <w:szCs w:val="24"/>
        </w:rPr>
        <w:t xml:space="preserve"> argues that because of the specificity of student migrants when compared to other categories of migrants, there is a compelling need to improve the theorisation of ISM. </w:t>
      </w:r>
      <w:r w:rsidRPr="00BB5FA0">
        <w:rPr>
          <w:rFonts w:ascii="Times New Roman" w:hAnsi="Times New Roman" w:cs="Times New Roman"/>
          <w:sz w:val="24"/>
          <w:szCs w:val="24"/>
        </w:rPr>
        <w:t>In their theoretical research</w:t>
      </w:r>
      <w:r w:rsidRPr="00DB305C">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BB5FA0">
        <w:rPr>
          <w:rFonts w:ascii="Times New Roman" w:hAnsi="Times New Roman" w:cs="Times New Roman"/>
          <w:sz w:val="24"/>
          <w:szCs w:val="24"/>
        </w:rPr>
        <w:t xml:space="preserve">the study-to-work transitions of international students, </w:t>
      </w:r>
      <w:r>
        <w:rPr>
          <w:rFonts w:ascii="Times New Roman" w:hAnsi="Times New Roman" w:cs="Times New Roman"/>
          <w:noProof/>
          <w:sz w:val="24"/>
          <w:szCs w:val="24"/>
        </w:rPr>
        <w:t>Li and Lowe (2016)</w:t>
      </w:r>
      <w:r w:rsidRPr="00BB5FA0">
        <w:rPr>
          <w:rFonts w:ascii="Times New Roman" w:hAnsi="Times New Roman" w:cs="Times New Roman"/>
          <w:sz w:val="24"/>
          <w:szCs w:val="24"/>
        </w:rPr>
        <w:t xml:space="preserve"> </w:t>
      </w:r>
      <w:r>
        <w:rPr>
          <w:rFonts w:ascii="Times New Roman" w:hAnsi="Times New Roman" w:cs="Times New Roman"/>
          <w:sz w:val="24"/>
          <w:szCs w:val="24"/>
        </w:rPr>
        <w:t>suggest that the mapping and controlling of the student migration flows are necessary for the</w:t>
      </w:r>
      <w:r w:rsidRPr="00BB5FA0">
        <w:rPr>
          <w:rFonts w:ascii="Times New Roman" w:hAnsi="Times New Roman" w:cs="Times New Roman"/>
          <w:sz w:val="24"/>
          <w:szCs w:val="24"/>
        </w:rPr>
        <w:t xml:space="preserve"> </w:t>
      </w:r>
      <w:r>
        <w:rPr>
          <w:rFonts w:ascii="Times New Roman" w:hAnsi="Times New Roman" w:cs="Times New Roman"/>
          <w:sz w:val="24"/>
          <w:szCs w:val="24"/>
        </w:rPr>
        <w:t>theorisation of the flows</w:t>
      </w:r>
      <w:r w:rsidRPr="00BB5FA0">
        <w:rPr>
          <w:rFonts w:ascii="Times New Roman" w:hAnsi="Times New Roman" w:cs="Times New Roman"/>
          <w:sz w:val="24"/>
          <w:szCs w:val="24"/>
        </w:rPr>
        <w:t xml:space="preserve">. More specifically, mapping the flows means to have adequate data on student cross-border movements, while controlling the flows refers to using statistical models to investigate what factors could influence the migration patterns of international </w:t>
      </w:r>
      <w:r w:rsidR="004E561F">
        <w:rPr>
          <w:rFonts w:ascii="Times New Roman" w:hAnsi="Times New Roman" w:cs="Times New Roman"/>
          <w:sz w:val="24"/>
          <w:szCs w:val="24"/>
        </w:rPr>
        <w:t>graduates</w:t>
      </w:r>
      <w:r w:rsidRPr="00BB5FA0">
        <w:rPr>
          <w:rFonts w:ascii="Times New Roman" w:hAnsi="Times New Roman" w:cs="Times New Roman"/>
          <w:sz w:val="24"/>
          <w:szCs w:val="24"/>
        </w:rPr>
        <w:t xml:space="preserve">. </w:t>
      </w:r>
      <w:r>
        <w:rPr>
          <w:rFonts w:ascii="Times New Roman" w:hAnsi="Times New Roman" w:cs="Times New Roman"/>
          <w:sz w:val="24"/>
          <w:szCs w:val="24"/>
        </w:rPr>
        <w:t xml:space="preserve">Due to the lack of relevant large-scale quantitative data, </w:t>
      </w:r>
      <w:r w:rsidRPr="00356287">
        <w:rPr>
          <w:rFonts w:ascii="Times New Roman" w:hAnsi="Times New Roman" w:cs="Times New Roman"/>
          <w:sz w:val="24"/>
          <w:szCs w:val="24"/>
        </w:rPr>
        <w:t xml:space="preserve">no previous study has examined the labour movement flows of international </w:t>
      </w:r>
      <w:r>
        <w:rPr>
          <w:rFonts w:ascii="Times New Roman" w:hAnsi="Times New Roman" w:cs="Times New Roman"/>
          <w:sz w:val="24"/>
          <w:szCs w:val="24"/>
        </w:rPr>
        <w:t>graduates</w:t>
      </w:r>
      <w:r w:rsidRPr="00356287">
        <w:rPr>
          <w:rFonts w:ascii="Times New Roman" w:hAnsi="Times New Roman" w:cs="Times New Roman"/>
          <w:sz w:val="24"/>
          <w:szCs w:val="24"/>
        </w:rPr>
        <w:t xml:space="preserve"> in the UK, nor the factors that </w:t>
      </w:r>
      <w:r>
        <w:rPr>
          <w:rFonts w:ascii="Times New Roman" w:hAnsi="Times New Roman" w:cs="Times New Roman"/>
          <w:sz w:val="24"/>
          <w:szCs w:val="24"/>
        </w:rPr>
        <w:t xml:space="preserve">could </w:t>
      </w:r>
      <w:r w:rsidRPr="00356287">
        <w:rPr>
          <w:rFonts w:ascii="Times New Roman" w:hAnsi="Times New Roman" w:cs="Times New Roman"/>
          <w:sz w:val="24"/>
          <w:szCs w:val="24"/>
        </w:rPr>
        <w:t>predict their decision</w:t>
      </w:r>
      <w:r>
        <w:rPr>
          <w:rFonts w:ascii="Times New Roman" w:hAnsi="Times New Roman" w:cs="Times New Roman"/>
          <w:sz w:val="24"/>
          <w:szCs w:val="24"/>
        </w:rPr>
        <w:t>s</w:t>
      </w:r>
      <w:r w:rsidRPr="00356287">
        <w:rPr>
          <w:rFonts w:ascii="Times New Roman" w:hAnsi="Times New Roman" w:cs="Times New Roman"/>
          <w:sz w:val="24"/>
          <w:szCs w:val="24"/>
        </w:rPr>
        <w:t xml:space="preserve"> to remain in the UK </w:t>
      </w:r>
      <w:r>
        <w:rPr>
          <w:rFonts w:ascii="Times New Roman" w:hAnsi="Times New Roman" w:cs="Times New Roman"/>
          <w:sz w:val="24"/>
          <w:szCs w:val="24"/>
        </w:rPr>
        <w:t>for</w:t>
      </w:r>
      <w:r w:rsidRPr="00356287">
        <w:rPr>
          <w:rFonts w:ascii="Times New Roman" w:hAnsi="Times New Roman" w:cs="Times New Roman"/>
          <w:sz w:val="24"/>
          <w:szCs w:val="24"/>
        </w:rPr>
        <w:t xml:space="preserve"> work</w:t>
      </w:r>
      <w:r>
        <w:rPr>
          <w:rFonts w:ascii="Times New Roman" w:hAnsi="Times New Roman" w:cs="Times New Roman"/>
          <w:sz w:val="24"/>
          <w:szCs w:val="24"/>
        </w:rPr>
        <w:t>. Based on the recently available DLHE data</w:t>
      </w:r>
      <w:r w:rsidR="00835573">
        <w:rPr>
          <w:rFonts w:ascii="Times New Roman" w:hAnsi="Times New Roman" w:cs="Times New Roman"/>
          <w:sz w:val="24"/>
          <w:szCs w:val="24"/>
        </w:rPr>
        <w:t xml:space="preserve"> received from HESA</w:t>
      </w:r>
      <w:r>
        <w:rPr>
          <w:rFonts w:ascii="Times New Roman" w:hAnsi="Times New Roman" w:cs="Times New Roman"/>
          <w:sz w:val="24"/>
          <w:szCs w:val="24"/>
        </w:rPr>
        <w:t xml:space="preserve">, this study aims to: 1. </w:t>
      </w:r>
      <w:r w:rsidRPr="008954DD">
        <w:rPr>
          <w:rFonts w:ascii="Times New Roman" w:hAnsi="Times New Roman" w:cs="Times New Roman"/>
          <w:sz w:val="24"/>
          <w:szCs w:val="24"/>
        </w:rPr>
        <w:t>identify what factor</w:t>
      </w:r>
      <w:r>
        <w:rPr>
          <w:rFonts w:ascii="Times New Roman" w:hAnsi="Times New Roman" w:cs="Times New Roman"/>
          <w:sz w:val="24"/>
          <w:szCs w:val="24"/>
        </w:rPr>
        <w:t>s</w:t>
      </w:r>
      <w:r w:rsidRPr="008954DD">
        <w:rPr>
          <w:rFonts w:ascii="Times New Roman" w:hAnsi="Times New Roman" w:cs="Times New Roman"/>
          <w:sz w:val="24"/>
          <w:szCs w:val="24"/>
        </w:rPr>
        <w:t xml:space="preserve"> </w:t>
      </w:r>
      <w:r>
        <w:rPr>
          <w:rFonts w:ascii="Times New Roman" w:hAnsi="Times New Roman" w:cs="Times New Roman"/>
          <w:sz w:val="24"/>
          <w:szCs w:val="24"/>
        </w:rPr>
        <w:t>may</w:t>
      </w:r>
      <w:r w:rsidRPr="008954DD">
        <w:rPr>
          <w:rFonts w:ascii="Times New Roman" w:hAnsi="Times New Roman" w:cs="Times New Roman"/>
          <w:sz w:val="24"/>
          <w:szCs w:val="24"/>
        </w:rPr>
        <w:t xml:space="preserve"> shape </w:t>
      </w:r>
      <w:r>
        <w:rPr>
          <w:rFonts w:ascii="Times New Roman" w:hAnsi="Times New Roman" w:cs="Times New Roman"/>
          <w:sz w:val="24"/>
          <w:szCs w:val="24"/>
        </w:rPr>
        <w:t xml:space="preserve">post-study movements of international graduates in the UK context; 2. </w:t>
      </w:r>
      <w:r w:rsidRPr="008954DD">
        <w:rPr>
          <w:rFonts w:ascii="Times New Roman" w:hAnsi="Times New Roman" w:cs="Times New Roman"/>
          <w:sz w:val="24"/>
          <w:szCs w:val="24"/>
        </w:rPr>
        <w:t xml:space="preserve">test </w:t>
      </w:r>
      <w:r>
        <w:rPr>
          <w:rFonts w:ascii="Times New Roman" w:hAnsi="Times New Roman" w:cs="Times New Roman"/>
          <w:sz w:val="24"/>
          <w:szCs w:val="24"/>
        </w:rPr>
        <w:t xml:space="preserve">the utility of </w:t>
      </w:r>
      <w:r w:rsidRPr="008954DD">
        <w:rPr>
          <w:rFonts w:ascii="Times New Roman" w:hAnsi="Times New Roman" w:cs="Times New Roman"/>
          <w:sz w:val="24"/>
          <w:szCs w:val="24"/>
        </w:rPr>
        <w:t>cross-</w:t>
      </w:r>
      <w:r>
        <w:rPr>
          <w:rFonts w:ascii="Times New Roman" w:hAnsi="Times New Roman" w:cs="Times New Roman"/>
          <w:sz w:val="24"/>
          <w:szCs w:val="24"/>
        </w:rPr>
        <w:t xml:space="preserve">classified multilevel modelling </w:t>
      </w:r>
      <w:r w:rsidRPr="008954DD">
        <w:rPr>
          <w:rFonts w:ascii="Times New Roman" w:hAnsi="Times New Roman" w:cs="Times New Roman"/>
          <w:sz w:val="24"/>
          <w:szCs w:val="24"/>
        </w:rPr>
        <w:t xml:space="preserve">in analysing </w:t>
      </w:r>
      <w:r w:rsidR="00C33447">
        <w:rPr>
          <w:rFonts w:ascii="Times New Roman" w:hAnsi="Times New Roman" w:cs="Times New Roman"/>
          <w:sz w:val="24"/>
          <w:szCs w:val="24"/>
        </w:rPr>
        <w:t>graduate movements</w:t>
      </w:r>
      <w:r>
        <w:rPr>
          <w:rFonts w:ascii="Times New Roman" w:hAnsi="Times New Roman" w:cs="Times New Roman"/>
          <w:sz w:val="24"/>
          <w:szCs w:val="24"/>
        </w:rPr>
        <w:t>.</w:t>
      </w:r>
    </w:p>
    <w:p w:rsidR="00CE3B64" w:rsidRDefault="00CE3B64" w:rsidP="00957F04">
      <w:pPr>
        <w:rPr>
          <w:rFonts w:ascii="Times New Roman" w:hAnsi="Times New Roman" w:cs="Times New Roman"/>
          <w:sz w:val="24"/>
          <w:szCs w:val="24"/>
        </w:rPr>
      </w:pPr>
      <w:r>
        <w:rPr>
          <w:rFonts w:ascii="Times New Roman" w:hAnsi="Times New Roman" w:cs="Times New Roman"/>
          <w:sz w:val="24"/>
          <w:szCs w:val="24"/>
        </w:rPr>
        <w:t>The paper first review the theoretical and empirical literature on the post-study migration of international graduates in the global context. Section 3 introduces the research data, methods, and modelling strategy. Descriptive statistics, regression results of the cross-classified multilevel modelling, and corresponding discussion are presented in section 4. It then concludes with a brief summary and implications for future studies.</w:t>
      </w:r>
    </w:p>
    <w:p w:rsidR="00CE3B64" w:rsidRPr="00CD386B" w:rsidRDefault="00CE3B64" w:rsidP="00957F04">
      <w:pPr>
        <w:rPr>
          <w:rFonts w:ascii="Times New Roman" w:hAnsi="Times New Roman" w:cs="Times New Roman"/>
          <w:sz w:val="24"/>
          <w:szCs w:val="24"/>
        </w:rPr>
      </w:pPr>
    </w:p>
    <w:p w:rsidR="00CE3B64" w:rsidRPr="00130F67" w:rsidRDefault="00CE3B64" w:rsidP="00957F04">
      <w:pPr>
        <w:pStyle w:val="2"/>
        <w:numPr>
          <w:ilvl w:val="0"/>
          <w:numId w:val="4"/>
        </w:numPr>
        <w:rPr>
          <w:b w:val="0"/>
        </w:rPr>
      </w:pPr>
      <w:r>
        <w:t>Previous studies on</w:t>
      </w:r>
      <w:r w:rsidRPr="00130F67">
        <w:t xml:space="preserve"> international student migration </w:t>
      </w:r>
    </w:p>
    <w:p w:rsidR="00CE3B64" w:rsidRPr="00130F67" w:rsidRDefault="00664CBD" w:rsidP="00957F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the UK, i</w:t>
      </w:r>
      <w:r w:rsidR="00CE3B64" w:rsidRPr="00130F67">
        <w:rPr>
          <w:rFonts w:ascii="Times New Roman" w:hAnsi="Times New Roman" w:cs="Times New Roman"/>
          <w:sz w:val="24"/>
          <w:szCs w:val="24"/>
        </w:rPr>
        <w:t>nternational postgraduate student</w:t>
      </w:r>
      <w:r>
        <w:rPr>
          <w:rFonts w:ascii="Times New Roman" w:hAnsi="Times New Roman" w:cs="Times New Roman"/>
          <w:sz w:val="24"/>
          <w:szCs w:val="24"/>
        </w:rPr>
        <w:t>s from non-EEA countries form a unique</w:t>
      </w:r>
      <w:r w:rsidR="00CE3B64" w:rsidRPr="00130F67">
        <w:rPr>
          <w:rFonts w:ascii="Times New Roman" w:hAnsi="Times New Roman" w:cs="Times New Roman"/>
          <w:sz w:val="24"/>
          <w:szCs w:val="24"/>
        </w:rPr>
        <w:t xml:space="preserve"> sub-group of migrants. In addition to their roles as international students, this group of migrants </w:t>
      </w:r>
      <w:r w:rsidR="00CE3B64" w:rsidRPr="00130F67">
        <w:rPr>
          <w:rFonts w:ascii="Times New Roman" w:hAnsi="Times New Roman" w:cs="Times New Roman"/>
          <w:sz w:val="24"/>
          <w:szCs w:val="24"/>
        </w:rPr>
        <w:lastRenderedPageBreak/>
        <w:t>also have family social, cultural, citizen, and present/prospecti</w:t>
      </w:r>
      <w:r>
        <w:rPr>
          <w:rFonts w:ascii="Times New Roman" w:hAnsi="Times New Roman" w:cs="Times New Roman"/>
          <w:sz w:val="24"/>
          <w:szCs w:val="24"/>
        </w:rPr>
        <w:t xml:space="preserve">ve worker roles and identities. </w:t>
      </w:r>
      <w:r w:rsidR="00CE3B64" w:rsidRPr="00130F67">
        <w:rPr>
          <w:rFonts w:ascii="Times New Roman" w:hAnsi="Times New Roman" w:cs="Times New Roman"/>
          <w:sz w:val="24"/>
          <w:szCs w:val="24"/>
        </w:rPr>
        <w:t xml:space="preserve">In order to better understand the labour migration patterns of this sub-group of migrants, </w:t>
      </w:r>
      <w:r w:rsidR="00CE3B64">
        <w:rPr>
          <w:rFonts w:ascii="Times New Roman" w:hAnsi="Times New Roman" w:cs="Times New Roman"/>
          <w:noProof/>
          <w:sz w:val="24"/>
          <w:szCs w:val="24"/>
        </w:rPr>
        <w:t>King and Raghuram (2013)</w:t>
      </w:r>
      <w:r w:rsidR="00CE3B64" w:rsidRPr="00130F67">
        <w:rPr>
          <w:rFonts w:ascii="Times New Roman" w:hAnsi="Times New Roman" w:cs="Times New Roman"/>
          <w:noProof/>
          <w:sz w:val="24"/>
          <w:szCs w:val="24"/>
        </w:rPr>
        <w:t xml:space="preserve"> </w:t>
      </w:r>
      <w:r w:rsidR="00CE3B64" w:rsidRPr="00130F67">
        <w:rPr>
          <w:rFonts w:ascii="Times New Roman" w:hAnsi="Times New Roman" w:cs="Times New Roman"/>
          <w:sz w:val="24"/>
          <w:szCs w:val="24"/>
        </w:rPr>
        <w:t xml:space="preserve">argue that it is necessary to conduct more sophisticated analysis of available quantitative data on student mobility. In the context of the </w:t>
      </w:r>
      <w:r w:rsidR="00CE3B64">
        <w:rPr>
          <w:rFonts w:ascii="Times New Roman" w:hAnsi="Times New Roman" w:cs="Times New Roman"/>
          <w:sz w:val="24"/>
          <w:szCs w:val="24"/>
        </w:rPr>
        <w:t>USA</w:t>
      </w:r>
      <w:r w:rsidR="00CE3B64" w:rsidRPr="00130F67">
        <w:rPr>
          <w:rFonts w:ascii="Times New Roman" w:hAnsi="Times New Roman" w:cs="Times New Roman"/>
          <w:sz w:val="24"/>
          <w:szCs w:val="24"/>
        </w:rPr>
        <w:t xml:space="preserve">, </w:t>
      </w:r>
      <w:r w:rsidR="00CE3B64">
        <w:rPr>
          <w:rFonts w:ascii="Times New Roman" w:hAnsi="Times New Roman" w:cs="Times New Roman"/>
          <w:noProof/>
          <w:sz w:val="24"/>
          <w:szCs w:val="24"/>
        </w:rPr>
        <w:t>Kim</w:t>
      </w:r>
      <w:r w:rsidR="00CE3B64" w:rsidRPr="0095025D">
        <w:rPr>
          <w:rFonts w:ascii="Times New Roman" w:hAnsi="Times New Roman" w:cs="Times New Roman"/>
          <w:i/>
          <w:noProof/>
          <w:sz w:val="24"/>
          <w:szCs w:val="24"/>
        </w:rPr>
        <w:t xml:space="preserve"> et al.</w:t>
      </w:r>
      <w:r w:rsidR="00CE3B64">
        <w:rPr>
          <w:rFonts w:ascii="Times New Roman" w:hAnsi="Times New Roman" w:cs="Times New Roman"/>
          <w:noProof/>
          <w:sz w:val="24"/>
          <w:szCs w:val="24"/>
        </w:rPr>
        <w:t xml:space="preserve"> (2011)</w:t>
      </w:r>
      <w:r w:rsidR="00CE3B64" w:rsidRPr="00130F67">
        <w:rPr>
          <w:rFonts w:ascii="Times New Roman" w:hAnsi="Times New Roman" w:cs="Times New Roman"/>
          <w:sz w:val="24"/>
          <w:szCs w:val="24"/>
        </w:rPr>
        <w:t xml:space="preserve"> and </w:t>
      </w:r>
      <w:r w:rsidR="00CE3B64">
        <w:rPr>
          <w:rFonts w:ascii="Times New Roman" w:hAnsi="Times New Roman" w:cs="Times New Roman"/>
          <w:noProof/>
          <w:sz w:val="24"/>
          <w:szCs w:val="24"/>
        </w:rPr>
        <w:t>Roh (2015)</w:t>
      </w:r>
      <w:r w:rsidR="00CE3B64">
        <w:rPr>
          <w:rFonts w:ascii="Times New Roman" w:hAnsi="Times New Roman" w:cs="Times New Roman"/>
          <w:sz w:val="24"/>
          <w:szCs w:val="24"/>
        </w:rPr>
        <w:t xml:space="preserve"> </w:t>
      </w:r>
      <w:r w:rsidR="00CE3B64" w:rsidRPr="00130F67">
        <w:rPr>
          <w:rFonts w:ascii="Times New Roman" w:hAnsi="Times New Roman" w:cs="Times New Roman"/>
          <w:sz w:val="24"/>
          <w:szCs w:val="24"/>
        </w:rPr>
        <w:t>investigated the factors influencing foreign doctoral graduates’ decisions to stay in the US</w:t>
      </w:r>
      <w:r w:rsidR="00CE3B64">
        <w:rPr>
          <w:rFonts w:ascii="Times New Roman" w:hAnsi="Times New Roman" w:cs="Times New Roman"/>
          <w:sz w:val="24"/>
          <w:szCs w:val="24"/>
        </w:rPr>
        <w:t>A</w:t>
      </w:r>
      <w:r w:rsidR="00CE3B64" w:rsidRPr="00130F67">
        <w:rPr>
          <w:rFonts w:ascii="Times New Roman" w:hAnsi="Times New Roman" w:cs="Times New Roman"/>
          <w:sz w:val="24"/>
          <w:szCs w:val="24"/>
        </w:rPr>
        <w:t xml:space="preserve">. The results indicated that individual-level variables (e.g. age, gender, field of study, marital status, presence of children etc.), </w:t>
      </w:r>
      <w:r w:rsidR="00CE3B64">
        <w:rPr>
          <w:rFonts w:ascii="Times New Roman" w:hAnsi="Times New Roman" w:cs="Times New Roman"/>
          <w:sz w:val="24"/>
          <w:szCs w:val="24"/>
        </w:rPr>
        <w:t>HEI-level</w:t>
      </w:r>
      <w:r w:rsidR="00CE3B64" w:rsidRPr="00130F67">
        <w:rPr>
          <w:rFonts w:ascii="Times New Roman" w:hAnsi="Times New Roman" w:cs="Times New Roman"/>
          <w:sz w:val="24"/>
          <w:szCs w:val="24"/>
        </w:rPr>
        <w:t xml:space="preserve"> variables (i.e. location of HEI), and country</w:t>
      </w:r>
      <w:r w:rsidR="00CE3B64">
        <w:rPr>
          <w:rFonts w:ascii="Times New Roman" w:hAnsi="Times New Roman" w:cs="Times New Roman"/>
          <w:sz w:val="24"/>
          <w:szCs w:val="24"/>
        </w:rPr>
        <w:t>-level</w:t>
      </w:r>
      <w:r w:rsidR="00CE3B64" w:rsidRPr="00130F67">
        <w:rPr>
          <w:rFonts w:ascii="Times New Roman" w:hAnsi="Times New Roman" w:cs="Times New Roman"/>
          <w:sz w:val="24"/>
          <w:szCs w:val="24"/>
        </w:rPr>
        <w:t xml:space="preserve"> variables (i.e. R&amp;D expenditure and unemployment rate) all have </w:t>
      </w:r>
      <w:r w:rsidR="00CE3B64">
        <w:rPr>
          <w:rFonts w:ascii="Times New Roman" w:hAnsi="Times New Roman" w:cs="Times New Roman"/>
          <w:sz w:val="24"/>
          <w:szCs w:val="24"/>
        </w:rPr>
        <w:t xml:space="preserve">statistically </w:t>
      </w:r>
      <w:r w:rsidR="00CE3B64" w:rsidRPr="00130F67">
        <w:rPr>
          <w:rFonts w:ascii="Times New Roman" w:hAnsi="Times New Roman" w:cs="Times New Roman"/>
          <w:sz w:val="24"/>
          <w:szCs w:val="24"/>
        </w:rPr>
        <w:t xml:space="preserve">significant association with </w:t>
      </w:r>
      <w:r w:rsidR="00CE3B64">
        <w:rPr>
          <w:rFonts w:ascii="Times New Roman" w:hAnsi="Times New Roman" w:cs="Times New Roman"/>
          <w:sz w:val="24"/>
          <w:szCs w:val="24"/>
        </w:rPr>
        <w:t>post-study</w:t>
      </w:r>
      <w:r w:rsidR="00CE3B64" w:rsidRPr="00130F67">
        <w:rPr>
          <w:rFonts w:ascii="Times New Roman" w:hAnsi="Times New Roman" w:cs="Times New Roman"/>
          <w:sz w:val="24"/>
          <w:szCs w:val="24"/>
        </w:rPr>
        <w:t xml:space="preserve"> migration decisions</w:t>
      </w:r>
      <w:r w:rsidR="00CE3B64">
        <w:rPr>
          <w:rFonts w:ascii="Times New Roman" w:hAnsi="Times New Roman" w:cs="Times New Roman"/>
          <w:sz w:val="24"/>
          <w:szCs w:val="24"/>
        </w:rPr>
        <w:t xml:space="preserve"> of international doctoral graduates</w:t>
      </w:r>
      <w:r w:rsidR="00CE3B64" w:rsidRPr="00130F67">
        <w:rPr>
          <w:rFonts w:ascii="Times New Roman" w:hAnsi="Times New Roman" w:cs="Times New Roman"/>
          <w:sz w:val="24"/>
          <w:szCs w:val="24"/>
        </w:rPr>
        <w:t xml:space="preserve">. More recently, </w:t>
      </w:r>
      <w:r w:rsidR="00CE3B64">
        <w:rPr>
          <w:rFonts w:ascii="Times New Roman" w:hAnsi="Times New Roman" w:cs="Times New Roman"/>
          <w:noProof/>
          <w:sz w:val="24"/>
          <w:szCs w:val="24"/>
        </w:rPr>
        <w:t>Finn and Pennington (2018)</w:t>
      </w:r>
      <w:r w:rsidR="00CE3B64" w:rsidRPr="00130F67">
        <w:rPr>
          <w:rFonts w:ascii="Times New Roman" w:hAnsi="Times New Roman" w:cs="Times New Roman"/>
          <w:sz w:val="24"/>
          <w:szCs w:val="24"/>
        </w:rPr>
        <w:t xml:space="preserve"> examined the estimates for </w:t>
      </w:r>
      <w:r w:rsidR="00CE3B64">
        <w:rPr>
          <w:rFonts w:ascii="Times New Roman" w:hAnsi="Times New Roman" w:cs="Times New Roman"/>
          <w:sz w:val="24"/>
          <w:szCs w:val="24"/>
        </w:rPr>
        <w:t xml:space="preserve">long-term </w:t>
      </w:r>
      <w:r w:rsidR="00CE3B64" w:rsidRPr="00130F67">
        <w:rPr>
          <w:rFonts w:ascii="Times New Roman" w:hAnsi="Times New Roman" w:cs="Times New Roman"/>
          <w:sz w:val="24"/>
          <w:szCs w:val="24"/>
        </w:rPr>
        <w:t xml:space="preserve">stay rates of foreign doctorate recipients in the </w:t>
      </w:r>
      <w:r w:rsidR="00CE3B64">
        <w:rPr>
          <w:rFonts w:ascii="Times New Roman" w:hAnsi="Times New Roman" w:cs="Times New Roman"/>
          <w:sz w:val="24"/>
          <w:szCs w:val="24"/>
        </w:rPr>
        <w:t>USA</w:t>
      </w:r>
      <w:r w:rsidR="00CE3B64" w:rsidRPr="00130F67">
        <w:rPr>
          <w:rFonts w:ascii="Times New Roman" w:hAnsi="Times New Roman" w:cs="Times New Roman"/>
          <w:sz w:val="24"/>
          <w:szCs w:val="24"/>
        </w:rPr>
        <w:t xml:space="preserve"> </w:t>
      </w:r>
      <w:r w:rsidR="00CE3B64">
        <w:rPr>
          <w:rFonts w:ascii="Times New Roman" w:hAnsi="Times New Roman" w:cs="Times New Roman"/>
          <w:sz w:val="24"/>
          <w:szCs w:val="24"/>
        </w:rPr>
        <w:t>after graduation, and s</w:t>
      </w:r>
      <w:r w:rsidR="00CE3B64" w:rsidRPr="00130F67">
        <w:rPr>
          <w:rFonts w:ascii="Times New Roman" w:hAnsi="Times New Roman" w:cs="Times New Roman"/>
          <w:sz w:val="24"/>
          <w:szCs w:val="24"/>
        </w:rPr>
        <w:t>ubstantial differences were found in stay rates by subject area and country of origin. More specifically, the 10-year stay rate of foreign doctoral graduates who received degrees in social and related sciences fields was approximately 30 per cent lower than those who received degrees in STEM fields</w:t>
      </w:r>
      <w:r w:rsidR="00CE3B64">
        <w:rPr>
          <w:rFonts w:ascii="Times New Roman" w:hAnsi="Times New Roman" w:cs="Times New Roman"/>
          <w:sz w:val="24"/>
          <w:szCs w:val="24"/>
        </w:rPr>
        <w:t xml:space="preserve"> (i.e. </w:t>
      </w:r>
      <w:r w:rsidR="00CE3B64" w:rsidRPr="00130F67">
        <w:rPr>
          <w:rFonts w:ascii="Times New Roman" w:hAnsi="Times New Roman" w:cs="Times New Roman"/>
          <w:sz w:val="24"/>
          <w:szCs w:val="24"/>
        </w:rPr>
        <w:t>science, technology, engineering, and mathematics</w:t>
      </w:r>
      <w:r w:rsidR="00CE3B64">
        <w:rPr>
          <w:rFonts w:ascii="Times New Roman" w:hAnsi="Times New Roman" w:cs="Times New Roman"/>
          <w:sz w:val="24"/>
          <w:szCs w:val="24"/>
        </w:rPr>
        <w:t>)</w:t>
      </w:r>
      <w:r w:rsidR="00CE3B64" w:rsidRPr="00130F67">
        <w:rPr>
          <w:rFonts w:ascii="Times New Roman" w:hAnsi="Times New Roman" w:cs="Times New Roman"/>
          <w:sz w:val="24"/>
          <w:szCs w:val="24"/>
        </w:rPr>
        <w:t xml:space="preserve">. In addition, Chinese and Indian domiciled graduates were found much more likely to stay than graduates from other countries in the long term. In the context of Australia, </w:t>
      </w:r>
      <w:r w:rsidR="00CE3B64">
        <w:rPr>
          <w:rFonts w:ascii="Times New Roman" w:hAnsi="Times New Roman" w:cs="Times New Roman"/>
          <w:noProof/>
          <w:sz w:val="24"/>
          <w:szCs w:val="24"/>
        </w:rPr>
        <w:t>Hawthorne (2014)</w:t>
      </w:r>
      <w:r w:rsidR="00CE3B64">
        <w:rPr>
          <w:rFonts w:ascii="Times New Roman" w:hAnsi="Times New Roman" w:cs="Times New Roman"/>
          <w:sz w:val="24"/>
          <w:szCs w:val="24"/>
        </w:rPr>
        <w:t xml:space="preserve"> and </w:t>
      </w:r>
      <w:r w:rsidR="00CE3B64">
        <w:rPr>
          <w:rFonts w:ascii="Times New Roman" w:hAnsi="Times New Roman" w:cs="Times New Roman"/>
          <w:noProof/>
          <w:sz w:val="24"/>
          <w:szCs w:val="24"/>
        </w:rPr>
        <w:t>Hawthorne and To (2014)</w:t>
      </w:r>
      <w:r w:rsidR="00CE3B64" w:rsidRPr="00130F67">
        <w:rPr>
          <w:rFonts w:ascii="Times New Roman" w:hAnsi="Times New Roman" w:cs="Times New Roman"/>
          <w:sz w:val="24"/>
          <w:szCs w:val="24"/>
        </w:rPr>
        <w:t xml:space="preserve"> </w:t>
      </w:r>
      <w:r w:rsidR="00CE3B64">
        <w:rPr>
          <w:rFonts w:ascii="Times New Roman" w:hAnsi="Times New Roman" w:cs="Times New Roman"/>
          <w:sz w:val="24"/>
          <w:szCs w:val="24"/>
        </w:rPr>
        <w:t>found</w:t>
      </w:r>
      <w:r w:rsidR="00CE3B64" w:rsidRPr="00130F67">
        <w:rPr>
          <w:rFonts w:ascii="Times New Roman" w:hAnsi="Times New Roman" w:cs="Times New Roman"/>
          <w:sz w:val="24"/>
          <w:szCs w:val="24"/>
        </w:rPr>
        <w:t xml:space="preserve"> that </w:t>
      </w:r>
      <w:r w:rsidR="00CE3B64">
        <w:rPr>
          <w:rFonts w:ascii="Times New Roman" w:hAnsi="Times New Roman" w:cs="Times New Roman"/>
          <w:sz w:val="24"/>
          <w:szCs w:val="24"/>
        </w:rPr>
        <w:t xml:space="preserve">the </w:t>
      </w:r>
      <w:r w:rsidR="00CE3B64" w:rsidRPr="00130F67">
        <w:rPr>
          <w:rFonts w:ascii="Times New Roman" w:hAnsi="Times New Roman" w:cs="Times New Roman"/>
          <w:sz w:val="24"/>
          <w:szCs w:val="24"/>
        </w:rPr>
        <w:t>employment</w:t>
      </w:r>
      <w:r w:rsidR="00CE3B64">
        <w:rPr>
          <w:rFonts w:ascii="Times New Roman" w:hAnsi="Times New Roman" w:cs="Times New Roman"/>
          <w:sz w:val="24"/>
          <w:szCs w:val="24"/>
        </w:rPr>
        <w:t xml:space="preserve"> outcome</w:t>
      </w:r>
      <w:r>
        <w:rPr>
          <w:rFonts w:ascii="Times New Roman" w:hAnsi="Times New Roman" w:cs="Times New Roman"/>
          <w:sz w:val="24"/>
          <w:szCs w:val="24"/>
        </w:rPr>
        <w:t>s</w:t>
      </w:r>
      <w:r w:rsidR="00CE3B64" w:rsidRPr="00130F67">
        <w:rPr>
          <w:rFonts w:ascii="Times New Roman" w:hAnsi="Times New Roman" w:cs="Times New Roman"/>
          <w:sz w:val="24"/>
          <w:szCs w:val="24"/>
        </w:rPr>
        <w:t xml:space="preserve"> </w:t>
      </w:r>
      <w:r w:rsidR="00CE3B64">
        <w:rPr>
          <w:rFonts w:ascii="Times New Roman" w:hAnsi="Times New Roman" w:cs="Times New Roman"/>
          <w:sz w:val="24"/>
          <w:szCs w:val="24"/>
        </w:rPr>
        <w:t>of</w:t>
      </w:r>
      <w:r w:rsidR="00CE3B64" w:rsidRPr="00130F67">
        <w:rPr>
          <w:rFonts w:ascii="Times New Roman" w:hAnsi="Times New Roman" w:cs="Times New Roman"/>
          <w:sz w:val="24"/>
          <w:szCs w:val="24"/>
        </w:rPr>
        <w:t xml:space="preserve"> international students</w:t>
      </w:r>
      <w:r w:rsidR="00CE3B64">
        <w:rPr>
          <w:rFonts w:ascii="Times New Roman" w:hAnsi="Times New Roman" w:cs="Times New Roman"/>
          <w:sz w:val="24"/>
          <w:szCs w:val="24"/>
        </w:rPr>
        <w:t xml:space="preserve"> in Australia</w:t>
      </w:r>
      <w:r w:rsidR="00CE3B64" w:rsidRPr="00130F67">
        <w:rPr>
          <w:rFonts w:ascii="Times New Roman" w:hAnsi="Times New Roman" w:cs="Times New Roman"/>
          <w:sz w:val="24"/>
          <w:szCs w:val="24"/>
        </w:rPr>
        <w:t xml:space="preserve"> could be significantly affected by their language background</w:t>
      </w:r>
      <w:r>
        <w:rPr>
          <w:rFonts w:ascii="Times New Roman" w:hAnsi="Times New Roman" w:cs="Times New Roman"/>
          <w:sz w:val="24"/>
          <w:szCs w:val="24"/>
        </w:rPr>
        <w:t>s</w:t>
      </w:r>
      <w:r w:rsidR="00CE3B64" w:rsidRPr="00130F67">
        <w:rPr>
          <w:rFonts w:ascii="Times New Roman" w:hAnsi="Times New Roman" w:cs="Times New Roman"/>
          <w:sz w:val="24"/>
          <w:szCs w:val="24"/>
        </w:rPr>
        <w:t xml:space="preserve">, subject area, and level of qualification. </w:t>
      </w:r>
    </w:p>
    <w:p w:rsidR="00CE3B64" w:rsidRPr="00130F67" w:rsidRDefault="00CE3B64" w:rsidP="00957F04">
      <w:pPr>
        <w:tabs>
          <w:tab w:val="left" w:pos="1657"/>
        </w:tabs>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Existing literature shows that various factors could influence international students’ decision</w:t>
      </w:r>
      <w:r>
        <w:rPr>
          <w:rFonts w:ascii="Times New Roman" w:hAnsi="Times New Roman" w:cs="Times New Roman"/>
          <w:sz w:val="24"/>
          <w:szCs w:val="24"/>
        </w:rPr>
        <w:t>s</w:t>
      </w:r>
      <w:r w:rsidRPr="00130F67">
        <w:rPr>
          <w:rFonts w:ascii="Times New Roman" w:hAnsi="Times New Roman" w:cs="Times New Roman"/>
          <w:sz w:val="24"/>
          <w:szCs w:val="24"/>
        </w:rPr>
        <w:t xml:space="preserve"> </w:t>
      </w:r>
      <w:r>
        <w:rPr>
          <w:rFonts w:ascii="Times New Roman" w:hAnsi="Times New Roman" w:cs="Times New Roman"/>
          <w:sz w:val="24"/>
          <w:szCs w:val="24"/>
        </w:rPr>
        <w:t>to stay</w:t>
      </w:r>
      <w:r w:rsidRPr="00130F67">
        <w:rPr>
          <w:rFonts w:ascii="Times New Roman" w:hAnsi="Times New Roman" w:cs="Times New Roman"/>
          <w:sz w:val="24"/>
          <w:szCs w:val="24"/>
        </w:rPr>
        <w:t xml:space="preserve"> in host countries</w:t>
      </w:r>
      <w:r>
        <w:rPr>
          <w:rFonts w:ascii="Times New Roman" w:hAnsi="Times New Roman" w:cs="Times New Roman"/>
          <w:sz w:val="24"/>
          <w:szCs w:val="24"/>
        </w:rPr>
        <w:t xml:space="preserve"> for employment</w:t>
      </w:r>
      <w:r w:rsidRPr="00130F67">
        <w:rPr>
          <w:rFonts w:ascii="Times New Roman" w:hAnsi="Times New Roman" w:cs="Times New Roman"/>
          <w:sz w:val="24"/>
          <w:szCs w:val="24"/>
        </w:rPr>
        <w:t xml:space="preserve">, which include individual-level factors, HEI-level factors, and country-level factors. In terms of individual-level factors, many studies reveal that gender identity has an important but underestimated role in analysing migration decision of international students </w:t>
      </w:r>
      <w:r>
        <w:rPr>
          <w:rFonts w:ascii="Times New Roman" w:hAnsi="Times New Roman" w:cs="Times New Roman"/>
          <w:noProof/>
          <w:sz w:val="24"/>
          <w:szCs w:val="24"/>
        </w:rPr>
        <w:t>(Alberts &amp; Hazen, 2005; Geddie, 2013),</w:t>
      </w:r>
      <w:r w:rsidRPr="00130F67">
        <w:rPr>
          <w:rFonts w:ascii="Times New Roman" w:hAnsi="Times New Roman" w:cs="Times New Roman"/>
          <w:sz w:val="24"/>
          <w:szCs w:val="24"/>
        </w:rPr>
        <w:t xml:space="preserve"> which suggests that i</w:t>
      </w:r>
      <w:r w:rsidRPr="00130F67">
        <w:rPr>
          <w:rFonts w:ascii="Times New Roman" w:hAnsi="Times New Roman" w:cs="Times New Roman"/>
          <w:noProof/>
          <w:sz w:val="24"/>
          <w:szCs w:val="24"/>
        </w:rPr>
        <w:t>t might</w:t>
      </w:r>
      <w:r w:rsidRPr="00130F67">
        <w:rPr>
          <w:rFonts w:ascii="Times New Roman" w:hAnsi="Times New Roman" w:cs="Times New Roman"/>
          <w:sz w:val="24"/>
          <w:szCs w:val="24"/>
        </w:rPr>
        <w:t xml:space="preserve"> be mistaken to regard highly skilled migration as male dominated. In fact, empirical data in the </w:t>
      </w:r>
      <w:r>
        <w:rPr>
          <w:rFonts w:ascii="Times New Roman" w:hAnsi="Times New Roman" w:cs="Times New Roman"/>
          <w:sz w:val="24"/>
          <w:szCs w:val="24"/>
        </w:rPr>
        <w:lastRenderedPageBreak/>
        <w:t>USA</w:t>
      </w:r>
      <w:r w:rsidRPr="00130F67">
        <w:rPr>
          <w:rFonts w:ascii="Times New Roman" w:hAnsi="Times New Roman" w:cs="Times New Roman"/>
          <w:sz w:val="24"/>
          <w:szCs w:val="24"/>
        </w:rPr>
        <w:t xml:space="preserve"> indicates that female doctoral students are generally more likely to remain to work in the host country than their male counterparts</w:t>
      </w:r>
      <w:r>
        <w:rPr>
          <w:rFonts w:ascii="Times New Roman" w:hAnsi="Times New Roman" w:cs="Times New Roman"/>
          <w:sz w:val="24"/>
          <w:szCs w:val="24"/>
        </w:rPr>
        <w:t xml:space="preserve"> </w:t>
      </w:r>
      <w:r>
        <w:rPr>
          <w:rFonts w:ascii="Times New Roman" w:hAnsi="Times New Roman" w:cs="Times New Roman"/>
          <w:noProof/>
          <w:sz w:val="24"/>
          <w:szCs w:val="24"/>
        </w:rPr>
        <w:t>(Roh, 2015)</w:t>
      </w:r>
      <w:r w:rsidRPr="00130F67">
        <w:rPr>
          <w:rFonts w:ascii="Times New Roman" w:hAnsi="Times New Roman" w:cs="Times New Roman"/>
          <w:noProof/>
          <w:sz w:val="24"/>
          <w:szCs w:val="24"/>
        </w:rPr>
        <w:t>.</w:t>
      </w:r>
    </w:p>
    <w:p w:rsidR="00CE3B64" w:rsidRPr="00130F67" w:rsidRDefault="00CE3B64" w:rsidP="00957F04">
      <w:pPr>
        <w:tabs>
          <w:tab w:val="left" w:pos="1657"/>
        </w:tabs>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 xml:space="preserve">Subject area and level of qualification have also been shown by previous research to influence and shape labour movement of international students. For instance, in the context of Australia, international graduates who received masters or doctoral degrees in high demand fields (e.g. engineering, law, and medicine &amp; dentistry) were found to have higher full-time employment rates than those with qualifications in oversubscribed fields, such as IT and business related subjects </w:t>
      </w:r>
      <w:r>
        <w:rPr>
          <w:rFonts w:ascii="Times New Roman" w:hAnsi="Times New Roman" w:cs="Times New Roman"/>
          <w:noProof/>
          <w:sz w:val="24"/>
          <w:szCs w:val="24"/>
        </w:rPr>
        <w:t>(Hawthorne &amp; To, 2014).</w:t>
      </w:r>
      <w:r w:rsidRPr="00130F67">
        <w:rPr>
          <w:rFonts w:ascii="Times New Roman" w:hAnsi="Times New Roman" w:cs="Times New Roman"/>
          <w:sz w:val="24"/>
          <w:szCs w:val="24"/>
        </w:rPr>
        <w:t xml:space="preserve"> In the US</w:t>
      </w:r>
      <w:r>
        <w:rPr>
          <w:rFonts w:ascii="Times New Roman" w:hAnsi="Times New Roman" w:cs="Times New Roman"/>
          <w:sz w:val="24"/>
          <w:szCs w:val="24"/>
        </w:rPr>
        <w:t>A</w:t>
      </w:r>
      <w:r w:rsidRPr="00130F67">
        <w:rPr>
          <w:rFonts w:ascii="Times New Roman" w:hAnsi="Times New Roman" w:cs="Times New Roman"/>
          <w:sz w:val="24"/>
          <w:szCs w:val="24"/>
        </w:rPr>
        <w:t xml:space="preserve">, many scholars </w:t>
      </w:r>
      <w:r>
        <w:rPr>
          <w:rFonts w:ascii="Times New Roman" w:hAnsi="Times New Roman" w:cs="Times New Roman"/>
          <w:noProof/>
          <w:sz w:val="24"/>
          <w:szCs w:val="24"/>
        </w:rPr>
        <w:t>(Finn &amp; Pennington, 2018; Hoffer</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2007)</w:t>
      </w:r>
      <w:r w:rsidRPr="00130F67">
        <w:rPr>
          <w:rFonts w:ascii="Times New Roman" w:hAnsi="Times New Roman" w:cs="Times New Roman"/>
          <w:sz w:val="24"/>
          <w:szCs w:val="24"/>
        </w:rPr>
        <w:t xml:space="preserve"> found that international doctoral students within the </w:t>
      </w:r>
      <w:r>
        <w:rPr>
          <w:rFonts w:ascii="Times New Roman" w:hAnsi="Times New Roman" w:cs="Times New Roman"/>
          <w:sz w:val="24"/>
          <w:szCs w:val="24"/>
        </w:rPr>
        <w:t>STEM</w:t>
      </w:r>
      <w:r w:rsidRPr="00130F67">
        <w:rPr>
          <w:rFonts w:ascii="Times New Roman" w:hAnsi="Times New Roman" w:cs="Times New Roman"/>
          <w:sz w:val="24"/>
          <w:szCs w:val="24"/>
        </w:rPr>
        <w:t xml:space="preserve"> areas had much higher stay rates than those who received doctoral degrees in social sciences and related areas. </w:t>
      </w:r>
      <w:r>
        <w:rPr>
          <w:rFonts w:ascii="Times New Roman" w:hAnsi="Times New Roman" w:cs="Times New Roman"/>
          <w:noProof/>
          <w:sz w:val="24"/>
          <w:szCs w:val="24"/>
        </w:rPr>
        <w:t>Kim</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(2011)</w:t>
      </w:r>
      <w:r w:rsidRPr="00130F67">
        <w:rPr>
          <w:rFonts w:ascii="Times New Roman" w:hAnsi="Times New Roman" w:cs="Times New Roman"/>
          <w:sz w:val="24"/>
          <w:szCs w:val="24"/>
        </w:rPr>
        <w:t xml:space="preserve"> claims that international doctoral graduates in STEM subjects are more likely to remain in the US</w:t>
      </w:r>
      <w:r>
        <w:rPr>
          <w:rFonts w:ascii="Times New Roman" w:hAnsi="Times New Roman" w:cs="Times New Roman"/>
          <w:sz w:val="24"/>
          <w:szCs w:val="24"/>
        </w:rPr>
        <w:t>A for work</w:t>
      </w:r>
      <w:r w:rsidRPr="00130F67">
        <w:rPr>
          <w:rFonts w:ascii="Times New Roman" w:hAnsi="Times New Roman" w:cs="Times New Roman"/>
          <w:sz w:val="24"/>
          <w:szCs w:val="24"/>
        </w:rPr>
        <w:t xml:space="preserve"> because of the high demand of skilled workers in these disciplines. Although scientific and technological knowledge could spread across nations and regions much easier than before, </w:t>
      </w:r>
      <w:r>
        <w:rPr>
          <w:rFonts w:ascii="Times New Roman" w:hAnsi="Times New Roman" w:cs="Times New Roman"/>
          <w:noProof/>
          <w:sz w:val="24"/>
          <w:szCs w:val="24"/>
        </w:rPr>
        <w:t>Peri</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(2015)</w:t>
      </w:r>
      <w:r w:rsidRPr="00130F67">
        <w:rPr>
          <w:rFonts w:ascii="Times New Roman" w:hAnsi="Times New Roman" w:cs="Times New Roman"/>
          <w:sz w:val="24"/>
          <w:szCs w:val="24"/>
        </w:rPr>
        <w:t xml:space="preserve"> argue that skilled STEM workers are less mobile, </w:t>
      </w:r>
      <w:r>
        <w:rPr>
          <w:rFonts w:ascii="Times New Roman" w:hAnsi="Times New Roman" w:cs="Times New Roman"/>
          <w:sz w:val="24"/>
          <w:szCs w:val="24"/>
        </w:rPr>
        <w:t xml:space="preserve">as </w:t>
      </w:r>
      <w:r w:rsidRPr="00130F67">
        <w:rPr>
          <w:rFonts w:ascii="Times New Roman" w:hAnsi="Times New Roman" w:cs="Times New Roman"/>
          <w:sz w:val="24"/>
          <w:szCs w:val="24"/>
        </w:rPr>
        <w:t xml:space="preserve">innovation- and knowledge-intensive industries require tacit knowledge and face-to-face interactions of skilled </w:t>
      </w:r>
      <w:r>
        <w:rPr>
          <w:rFonts w:ascii="Times New Roman" w:hAnsi="Times New Roman" w:cs="Times New Roman"/>
          <w:sz w:val="24"/>
          <w:szCs w:val="24"/>
        </w:rPr>
        <w:t xml:space="preserve">STEM </w:t>
      </w:r>
      <w:r w:rsidRPr="00130F67">
        <w:rPr>
          <w:rFonts w:ascii="Times New Roman" w:hAnsi="Times New Roman" w:cs="Times New Roman"/>
          <w:sz w:val="24"/>
          <w:szCs w:val="24"/>
        </w:rPr>
        <w:t xml:space="preserve">workers to accelerate the transformation of new ideas into local productivity. In the UK, the Green Paper </w:t>
      </w:r>
      <w:r>
        <w:rPr>
          <w:rFonts w:ascii="Times New Roman" w:hAnsi="Times New Roman" w:cs="Times New Roman"/>
          <w:noProof/>
          <w:sz w:val="24"/>
          <w:szCs w:val="24"/>
        </w:rPr>
        <w:t>(BEIS, 2017, p.16)</w:t>
      </w:r>
      <w:r>
        <w:rPr>
          <w:rFonts w:ascii="Times New Roman" w:hAnsi="Times New Roman" w:cs="Times New Roman"/>
          <w:sz w:val="24"/>
          <w:szCs w:val="24"/>
        </w:rPr>
        <w:t xml:space="preserve"> </w:t>
      </w:r>
      <w:r w:rsidRPr="00130F67">
        <w:rPr>
          <w:rFonts w:ascii="Times New Roman" w:hAnsi="Times New Roman" w:cs="Times New Roman"/>
          <w:sz w:val="24"/>
          <w:szCs w:val="24"/>
        </w:rPr>
        <w:t>illustrates that this country has experienced ‘particular skills shortages in sectors that depend on STEM subjects’. Nearly half of employers in the UK reported having a shortage of skilled workers with relevant STEM skills, and some employers in specific sectors had to recruit skilled STEM workers from overseas to fill vacancies</w:t>
      </w:r>
      <w:r>
        <w:rPr>
          <w:rFonts w:ascii="Times New Roman" w:hAnsi="Times New Roman" w:cs="Times New Roman"/>
          <w:sz w:val="24"/>
          <w:szCs w:val="24"/>
        </w:rPr>
        <w:t xml:space="preserve"> </w:t>
      </w:r>
      <w:r>
        <w:rPr>
          <w:rFonts w:ascii="Times New Roman" w:hAnsi="Times New Roman" w:cs="Times New Roman"/>
          <w:noProof/>
          <w:sz w:val="24"/>
          <w:szCs w:val="24"/>
        </w:rPr>
        <w:t>(CBI, 2016)</w:t>
      </w:r>
      <w:r w:rsidRPr="00130F67">
        <w:rPr>
          <w:rFonts w:ascii="Times New Roman" w:hAnsi="Times New Roman" w:cs="Times New Roman"/>
          <w:sz w:val="24"/>
          <w:szCs w:val="24"/>
        </w:rPr>
        <w:t xml:space="preserve">. Therefore, it is necessary to investigate the influence of subject area on international students’ </w:t>
      </w:r>
      <w:r>
        <w:rPr>
          <w:rFonts w:ascii="Times New Roman" w:hAnsi="Times New Roman" w:cs="Times New Roman"/>
          <w:sz w:val="24"/>
          <w:szCs w:val="24"/>
        </w:rPr>
        <w:t>post-study</w:t>
      </w:r>
      <w:r w:rsidRPr="00130F67">
        <w:rPr>
          <w:rFonts w:ascii="Times New Roman" w:hAnsi="Times New Roman" w:cs="Times New Roman"/>
          <w:sz w:val="24"/>
          <w:szCs w:val="24"/>
        </w:rPr>
        <w:t xml:space="preserve"> migration in the UK.</w:t>
      </w:r>
    </w:p>
    <w:p w:rsidR="00CE3B64" w:rsidRPr="00130F67" w:rsidRDefault="00CE3B64" w:rsidP="00957F04">
      <w:pPr>
        <w:tabs>
          <w:tab w:val="left" w:pos="1657"/>
        </w:tabs>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 xml:space="preserve">In terms of level of qualification, previous literature on the highly skilled migrations indicates that migrants with higher level of education generally have easier and smoother integration into </w:t>
      </w:r>
      <w:r w:rsidRPr="00130F67">
        <w:rPr>
          <w:rFonts w:ascii="Times New Roman" w:hAnsi="Times New Roman" w:cs="Times New Roman"/>
          <w:sz w:val="24"/>
          <w:szCs w:val="24"/>
        </w:rPr>
        <w:lastRenderedPageBreak/>
        <w:t xml:space="preserve">labour market in host countries. For example, </w:t>
      </w:r>
      <w:r w:rsidR="00C33447">
        <w:rPr>
          <w:rFonts w:ascii="Times New Roman" w:hAnsi="Times New Roman" w:cs="Times New Roman"/>
          <w:sz w:val="24"/>
          <w:szCs w:val="24"/>
        </w:rPr>
        <w:t xml:space="preserve">according to the </w:t>
      </w:r>
      <w:r w:rsidR="00C33447" w:rsidRPr="00130F67">
        <w:rPr>
          <w:rFonts w:ascii="Times New Roman" w:hAnsi="Times New Roman" w:cs="Times New Roman"/>
          <w:sz w:val="24"/>
          <w:szCs w:val="24"/>
        </w:rPr>
        <w:t>US advanced degree exemption</w:t>
      </w:r>
      <w:r w:rsidR="00C33447">
        <w:rPr>
          <w:rFonts w:ascii="Times New Roman" w:hAnsi="Times New Roman" w:cs="Times New Roman"/>
          <w:sz w:val="24"/>
          <w:szCs w:val="24"/>
        </w:rPr>
        <w:t xml:space="preserve"> scheme, on top of the regular visa cap</w:t>
      </w:r>
      <w:r w:rsidR="00097E59">
        <w:rPr>
          <w:rFonts w:ascii="Times New Roman" w:hAnsi="Times New Roman" w:cs="Times New Roman"/>
          <w:sz w:val="24"/>
          <w:szCs w:val="24"/>
        </w:rPr>
        <w:t xml:space="preserve"> in each fiscal year, </w:t>
      </w:r>
      <w:r w:rsidR="00761D9C">
        <w:rPr>
          <w:rFonts w:ascii="Times New Roman" w:hAnsi="Times New Roman" w:cs="Times New Roman"/>
          <w:sz w:val="24"/>
          <w:szCs w:val="24"/>
        </w:rPr>
        <w:t>migrant workers with US postgraduate degrees are</w:t>
      </w:r>
      <w:r w:rsidR="00097E59">
        <w:rPr>
          <w:rFonts w:ascii="Times New Roman" w:hAnsi="Times New Roman" w:cs="Times New Roman"/>
          <w:sz w:val="24"/>
          <w:szCs w:val="24"/>
        </w:rPr>
        <w:t xml:space="preserve"> allocated with additional </w:t>
      </w:r>
      <w:r w:rsidR="00097E59" w:rsidRPr="00130F67">
        <w:rPr>
          <w:rFonts w:ascii="Times New Roman" w:hAnsi="Times New Roman" w:cs="Times New Roman"/>
          <w:sz w:val="24"/>
          <w:szCs w:val="24"/>
        </w:rPr>
        <w:t>20,000 H1-B visas</w:t>
      </w:r>
      <w:r w:rsidR="00097E59">
        <w:rPr>
          <w:rFonts w:ascii="Times New Roman" w:hAnsi="Times New Roman" w:cs="Times New Roman"/>
          <w:sz w:val="24"/>
          <w:szCs w:val="24"/>
        </w:rPr>
        <w:t>.</w:t>
      </w:r>
      <w:r w:rsidRPr="00130F67">
        <w:rPr>
          <w:rFonts w:ascii="Times New Roman" w:hAnsi="Times New Roman" w:cs="Times New Roman"/>
          <w:sz w:val="24"/>
          <w:szCs w:val="24"/>
        </w:rPr>
        <w:t xml:space="preserve"> </w:t>
      </w:r>
      <w:r>
        <w:rPr>
          <w:rFonts w:ascii="Times New Roman" w:hAnsi="Times New Roman" w:cs="Times New Roman"/>
          <w:noProof/>
          <w:sz w:val="24"/>
          <w:szCs w:val="24"/>
        </w:rPr>
        <w:t>Hawthorne and To (2014)</w:t>
      </w:r>
      <w:r w:rsidRPr="00130F67">
        <w:rPr>
          <w:rFonts w:ascii="Times New Roman" w:hAnsi="Times New Roman" w:cs="Times New Roman"/>
          <w:sz w:val="24"/>
          <w:szCs w:val="24"/>
        </w:rPr>
        <w:t xml:space="preserve"> illustrate that international graduates with a masters/doctoral degree were three times more likely than graduates </w:t>
      </w:r>
      <w:r>
        <w:rPr>
          <w:rFonts w:ascii="Times New Roman" w:hAnsi="Times New Roman" w:cs="Times New Roman"/>
          <w:sz w:val="24"/>
          <w:szCs w:val="24"/>
        </w:rPr>
        <w:t>with</w:t>
      </w:r>
      <w:r w:rsidRPr="00130F67">
        <w:rPr>
          <w:rFonts w:ascii="Times New Roman" w:hAnsi="Times New Roman" w:cs="Times New Roman"/>
          <w:sz w:val="24"/>
          <w:szCs w:val="24"/>
        </w:rPr>
        <w:t xml:space="preserve"> bachelor degrees to be in full-time employment in Australia. In April 2012, the British coalition government closed the Tier 1 Post-Study-Work visa, which allowed international graduates from UK universities to remain and work in the UK for two years. In the following year, it introduced ‘the Doctorate Extension Scheme’ to facilitate talented international doctoral graduates to remain to work, though only for an additional 12 months in order to seek skilled work, or set up as entrepreneur</w:t>
      </w:r>
      <w:r>
        <w:rPr>
          <w:rFonts w:ascii="Times New Roman" w:hAnsi="Times New Roman" w:cs="Times New Roman"/>
          <w:sz w:val="24"/>
          <w:szCs w:val="24"/>
        </w:rPr>
        <w:t xml:space="preserve"> </w:t>
      </w:r>
      <w:r>
        <w:rPr>
          <w:rFonts w:ascii="Times New Roman" w:hAnsi="Times New Roman" w:cs="Times New Roman"/>
          <w:noProof/>
          <w:sz w:val="24"/>
          <w:szCs w:val="24"/>
        </w:rPr>
        <w:t>(Home Office, 2018, p.41)</w:t>
      </w:r>
      <w:r w:rsidRPr="00130F67">
        <w:rPr>
          <w:rFonts w:ascii="Times New Roman" w:hAnsi="Times New Roman" w:cs="Times New Roman"/>
          <w:sz w:val="24"/>
          <w:szCs w:val="24"/>
        </w:rPr>
        <w:t xml:space="preserve">. International graduates with </w:t>
      </w:r>
      <w:proofErr w:type="gramStart"/>
      <w:r w:rsidRPr="00130F67">
        <w:rPr>
          <w:rFonts w:ascii="Times New Roman" w:hAnsi="Times New Roman" w:cs="Times New Roman"/>
          <w:sz w:val="24"/>
          <w:szCs w:val="24"/>
        </w:rPr>
        <w:t>masters</w:t>
      </w:r>
      <w:proofErr w:type="gramEnd"/>
      <w:r w:rsidRPr="00130F67">
        <w:rPr>
          <w:rFonts w:ascii="Times New Roman" w:hAnsi="Times New Roman" w:cs="Times New Roman"/>
          <w:sz w:val="24"/>
          <w:szCs w:val="24"/>
        </w:rPr>
        <w:t xml:space="preserve"> degrees were confronting more immigration restrictions compared to their doctoral counterparts</w:t>
      </w:r>
      <w:r>
        <w:rPr>
          <w:rFonts w:ascii="Times New Roman" w:hAnsi="Times New Roman" w:cs="Times New Roman"/>
          <w:sz w:val="24"/>
          <w:szCs w:val="24"/>
        </w:rPr>
        <w:t>.</w:t>
      </w:r>
    </w:p>
    <w:p w:rsidR="00CE3B64" w:rsidRPr="00130F67" w:rsidRDefault="00CE3B64" w:rsidP="00957F04">
      <w:pPr>
        <w:tabs>
          <w:tab w:val="left" w:pos="1657"/>
        </w:tabs>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 xml:space="preserve">Existing literature has also emphasised the importance of HEI-level factors in shaping international graduates’ post-study migration patterns. The results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Roh’s</w:t>
      </w:r>
      <w:proofErr w:type="spellEnd"/>
      <w:r>
        <w:rPr>
          <w:rFonts w:ascii="Times New Roman" w:hAnsi="Times New Roman" w:cs="Times New Roman"/>
          <w:sz w:val="24"/>
          <w:szCs w:val="24"/>
        </w:rPr>
        <w:t xml:space="preserve"> (2015) research </w:t>
      </w:r>
      <w:r w:rsidRPr="00130F67">
        <w:rPr>
          <w:rFonts w:ascii="Times New Roman" w:hAnsi="Times New Roman" w:cs="Times New Roman"/>
          <w:sz w:val="24"/>
          <w:szCs w:val="24"/>
        </w:rPr>
        <w:t>suggest that international students who received a degree from prestigious doctoral programmes were less likely to stay in the US</w:t>
      </w:r>
      <w:r>
        <w:rPr>
          <w:rFonts w:ascii="Times New Roman" w:hAnsi="Times New Roman" w:cs="Times New Roman"/>
          <w:sz w:val="24"/>
          <w:szCs w:val="24"/>
        </w:rPr>
        <w:t>A</w:t>
      </w:r>
      <w:r w:rsidRPr="00130F67">
        <w:rPr>
          <w:rFonts w:ascii="Times New Roman" w:hAnsi="Times New Roman" w:cs="Times New Roman"/>
          <w:sz w:val="24"/>
          <w:szCs w:val="24"/>
        </w:rPr>
        <w:t xml:space="preserve"> compared to those graduated from non-prestigious programmes. Previous research has also found the geographic location of university could shape the study-to-work migration patterns of international graduates. In their study, </w:t>
      </w:r>
      <w:r>
        <w:rPr>
          <w:rFonts w:ascii="Times New Roman" w:hAnsi="Times New Roman" w:cs="Times New Roman"/>
          <w:noProof/>
          <w:sz w:val="24"/>
          <w:szCs w:val="24"/>
        </w:rPr>
        <w:t>Kim</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(2011)</w:t>
      </w:r>
      <w:r w:rsidRPr="00130F67">
        <w:rPr>
          <w:rFonts w:ascii="Times New Roman" w:hAnsi="Times New Roman" w:cs="Times New Roman"/>
          <w:sz w:val="24"/>
          <w:szCs w:val="24"/>
        </w:rPr>
        <w:t xml:space="preserve"> found that international doctorate recipients who graduated from HEIs located in the North, South, and Rocky Mountain regions had significantly higher rates of staying in the US</w:t>
      </w:r>
      <w:r>
        <w:rPr>
          <w:rFonts w:ascii="Times New Roman" w:hAnsi="Times New Roman" w:cs="Times New Roman"/>
          <w:sz w:val="24"/>
          <w:szCs w:val="24"/>
        </w:rPr>
        <w:t>A</w:t>
      </w:r>
      <w:r w:rsidRPr="00130F67">
        <w:rPr>
          <w:rFonts w:ascii="Times New Roman" w:hAnsi="Times New Roman" w:cs="Times New Roman"/>
          <w:sz w:val="24"/>
          <w:szCs w:val="24"/>
        </w:rPr>
        <w:t xml:space="preserve"> compared to those who received degrees from universities located in the Far West areas during the period 1991 to 2005.</w:t>
      </w:r>
    </w:p>
    <w:p w:rsidR="00CE3B64" w:rsidRPr="00130F67" w:rsidRDefault="00CE3B64" w:rsidP="00957F04">
      <w:pPr>
        <w:tabs>
          <w:tab w:val="left" w:pos="1657"/>
        </w:tabs>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 xml:space="preserve">Careers and employability service provided by universities/colleges was found to have positive effects in assisting international graduates’ employment in host country. In their empirical </w:t>
      </w:r>
      <w:r w:rsidRPr="00130F67">
        <w:rPr>
          <w:rFonts w:ascii="Times New Roman" w:hAnsi="Times New Roman" w:cs="Times New Roman"/>
          <w:sz w:val="24"/>
          <w:szCs w:val="24"/>
        </w:rPr>
        <w:lastRenderedPageBreak/>
        <w:t xml:space="preserve">research, </w:t>
      </w:r>
      <w:r>
        <w:rPr>
          <w:rFonts w:ascii="Times New Roman" w:hAnsi="Times New Roman" w:cs="Times New Roman"/>
          <w:noProof/>
          <w:sz w:val="24"/>
          <w:szCs w:val="24"/>
        </w:rPr>
        <w:t>Tidwell and Hanassab (2007)</w:t>
      </w:r>
      <w:r w:rsidRPr="00130F67">
        <w:rPr>
          <w:rFonts w:ascii="Times New Roman" w:hAnsi="Times New Roman" w:cs="Times New Roman"/>
          <w:sz w:val="24"/>
          <w:szCs w:val="24"/>
        </w:rPr>
        <w:t xml:space="preserve"> found that along with the need of acquiring academic skills, majority of international students also reported that they had great needs in obtaining knowledge and information about immigration regulations/visa restrictions and career development. As international graduates’ visa status might restrict or reduce their employment opportunities in the host country, this migration subgroup might experience difficulties in matching their career goals and aspirations with the suitable job vacancies in host labour markets. The employment information and careers supports provided by </w:t>
      </w:r>
      <w:r>
        <w:rPr>
          <w:rFonts w:ascii="Times New Roman" w:hAnsi="Times New Roman" w:cs="Times New Roman"/>
          <w:sz w:val="24"/>
          <w:szCs w:val="24"/>
        </w:rPr>
        <w:t>HEIs</w:t>
      </w:r>
      <w:r w:rsidRPr="00130F67">
        <w:rPr>
          <w:rFonts w:ascii="Times New Roman" w:hAnsi="Times New Roman" w:cs="Times New Roman"/>
          <w:sz w:val="24"/>
          <w:szCs w:val="24"/>
        </w:rPr>
        <w:t xml:space="preserve">, however, can help those international postgraduate students to evaluate the feasibility of their career plans against immigration policies and visa regulations </w:t>
      </w:r>
      <w:r>
        <w:rPr>
          <w:rFonts w:ascii="Times New Roman" w:hAnsi="Times New Roman" w:cs="Times New Roman"/>
          <w:noProof/>
          <w:sz w:val="24"/>
          <w:szCs w:val="24"/>
        </w:rPr>
        <w:t>(Crockett &amp; Hays, 2011)</w:t>
      </w:r>
      <w:r w:rsidRPr="00130F67">
        <w:rPr>
          <w:rFonts w:ascii="Times New Roman" w:hAnsi="Times New Roman" w:cs="Times New Roman"/>
          <w:sz w:val="24"/>
          <w:szCs w:val="24"/>
        </w:rPr>
        <w:t>.</w:t>
      </w:r>
    </w:p>
    <w:p w:rsidR="00CE3B64" w:rsidRPr="00130F67" w:rsidRDefault="00CE3B64" w:rsidP="00957F04">
      <w:pPr>
        <w:spacing w:before="100" w:beforeAutospacing="1" w:after="100" w:afterAutospacing="1"/>
        <w:rPr>
          <w:rFonts w:ascii="Times New Roman" w:hAnsi="Times New Roman" w:cs="Times New Roman"/>
          <w:sz w:val="24"/>
          <w:szCs w:val="24"/>
        </w:rPr>
      </w:pPr>
      <w:r w:rsidRPr="00130F67">
        <w:rPr>
          <w:rFonts w:ascii="Times New Roman" w:hAnsi="Times New Roman" w:cs="Times New Roman"/>
          <w:sz w:val="24"/>
          <w:szCs w:val="24"/>
        </w:rPr>
        <w:t xml:space="preserve">A wide variety of country-level factors has been found to influence the labour mobility of international postgraduate students. International students who are native English speakers were found to have higher full-time employment rates in Australia than students from other language backgrounds </w:t>
      </w:r>
      <w:r>
        <w:rPr>
          <w:rFonts w:ascii="Times New Roman" w:hAnsi="Times New Roman" w:cs="Times New Roman"/>
          <w:noProof/>
          <w:sz w:val="24"/>
          <w:szCs w:val="24"/>
        </w:rPr>
        <w:t>(Hawthorne &amp; To, 2014)</w:t>
      </w:r>
      <w:r w:rsidRPr="00130F67">
        <w:rPr>
          <w:rFonts w:ascii="Times New Roman" w:hAnsi="Times New Roman" w:cs="Times New Roman"/>
          <w:sz w:val="24"/>
          <w:szCs w:val="24"/>
        </w:rPr>
        <w:t xml:space="preserve">. </w:t>
      </w:r>
      <w:r>
        <w:rPr>
          <w:rFonts w:ascii="Times New Roman" w:hAnsi="Times New Roman" w:cs="Times New Roman"/>
          <w:noProof/>
          <w:sz w:val="24"/>
          <w:szCs w:val="24"/>
        </w:rPr>
        <w:t>Beine</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(2014)</w:t>
      </w:r>
      <w:r w:rsidRPr="00130F67">
        <w:rPr>
          <w:rFonts w:ascii="Times New Roman" w:hAnsi="Times New Roman" w:cs="Times New Roman"/>
          <w:sz w:val="24"/>
          <w:szCs w:val="24"/>
        </w:rPr>
        <w:t xml:space="preserve"> argue that colonial ties might facilitate the migration of students from former colonies to their ex-colonisers for higher education. Nevertheless, it remains unclear whether colonial ties could also shape the labour movements of postgraduate degree holders. The inequality in wealth and resources between countries are believed have been impelling a great number of people to migrate for better career opportunities, quality of life, and different lifestyles elsewhere</w:t>
      </w:r>
      <w:r>
        <w:rPr>
          <w:rFonts w:ascii="Times New Roman" w:hAnsi="Times New Roman" w:cs="Times New Roman"/>
          <w:sz w:val="24"/>
          <w:szCs w:val="24"/>
        </w:rPr>
        <w:t xml:space="preserve"> </w:t>
      </w:r>
      <w:r>
        <w:rPr>
          <w:rFonts w:ascii="Times New Roman" w:hAnsi="Times New Roman" w:cs="Times New Roman"/>
          <w:noProof/>
          <w:sz w:val="24"/>
          <w:szCs w:val="24"/>
        </w:rPr>
        <w:t>(de Haas, 2010)</w:t>
      </w:r>
      <w:r w:rsidRPr="00130F67">
        <w:rPr>
          <w:rFonts w:ascii="Times New Roman" w:hAnsi="Times New Roman" w:cs="Times New Roman"/>
          <w:sz w:val="24"/>
          <w:szCs w:val="24"/>
        </w:rPr>
        <w:t xml:space="preserve">. </w:t>
      </w:r>
      <w:r>
        <w:rPr>
          <w:rFonts w:ascii="Times New Roman" w:hAnsi="Times New Roman" w:cs="Times New Roman"/>
          <w:noProof/>
          <w:sz w:val="24"/>
          <w:szCs w:val="24"/>
        </w:rPr>
        <w:t>Dumont</w:t>
      </w:r>
      <w:r w:rsidRPr="002F355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(2007)</w:t>
      </w:r>
      <w:r w:rsidRPr="00130F67">
        <w:rPr>
          <w:rFonts w:ascii="Times New Roman" w:hAnsi="Times New Roman" w:cs="Times New Roman"/>
          <w:sz w:val="24"/>
          <w:szCs w:val="24"/>
        </w:rPr>
        <w:t xml:space="preserve"> argue that the workers with tertiary education in low-income countries have a higher general emigration rate when compared to their counterparts in more affluent countries. However, </w:t>
      </w:r>
      <w:r w:rsidRPr="00130F67">
        <w:rPr>
          <w:rFonts w:ascii="Times New Roman" w:hAnsi="Times New Roman" w:cs="Times New Roman"/>
          <w:noProof/>
          <w:sz w:val="24"/>
          <w:szCs w:val="24"/>
        </w:rPr>
        <w:t>Roh (201</w:t>
      </w:r>
      <w:r>
        <w:rPr>
          <w:rFonts w:ascii="Times New Roman" w:hAnsi="Times New Roman" w:cs="Times New Roman"/>
          <w:noProof/>
          <w:sz w:val="24"/>
          <w:szCs w:val="24"/>
        </w:rPr>
        <w:t>5</w:t>
      </w:r>
      <w:r w:rsidRPr="00130F67">
        <w:rPr>
          <w:rFonts w:ascii="Times New Roman" w:hAnsi="Times New Roman" w:cs="Times New Roman"/>
          <w:noProof/>
          <w:sz w:val="24"/>
          <w:szCs w:val="24"/>
        </w:rPr>
        <w:t>)</w:t>
      </w:r>
      <w:r w:rsidRPr="00130F67">
        <w:rPr>
          <w:rFonts w:ascii="Times New Roman" w:hAnsi="Times New Roman" w:cs="Times New Roman"/>
          <w:sz w:val="24"/>
          <w:szCs w:val="24"/>
        </w:rPr>
        <w:t xml:space="preserve"> claims that GDP per capita does not predict the labour mobility of international doctorate recipients after controlling for other country-level fixed-effects. This might be because the inequality in wealth and resources does not only exist between countries, but also could be found within countries, especially in developing economies such as China and India. That is to say, in sourcing countries with high level of heterogeneity, the gap of </w:t>
      </w:r>
      <w:r w:rsidRPr="00130F67">
        <w:rPr>
          <w:rFonts w:ascii="Times New Roman" w:hAnsi="Times New Roman" w:cs="Times New Roman"/>
          <w:sz w:val="24"/>
          <w:szCs w:val="24"/>
        </w:rPr>
        <w:lastRenderedPageBreak/>
        <w:t>socioeconomic development between rich and deprived regions would be neglected i</w:t>
      </w:r>
      <w:r>
        <w:rPr>
          <w:rFonts w:ascii="Times New Roman" w:hAnsi="Times New Roman" w:cs="Times New Roman"/>
          <w:sz w:val="24"/>
          <w:szCs w:val="24"/>
        </w:rPr>
        <w:t>f national level GDP per capita</w:t>
      </w:r>
      <w:r w:rsidRPr="00130F67">
        <w:rPr>
          <w:rFonts w:ascii="Times New Roman" w:hAnsi="Times New Roman" w:cs="Times New Roman"/>
          <w:sz w:val="24"/>
          <w:szCs w:val="24"/>
        </w:rPr>
        <w:t xml:space="preserve"> data were used as the proxy of economic and career opportunities for international students. Therefore, this study will test whether it is still useful to keep GDP per capita as a predictor of international students’ migration flows. </w:t>
      </w:r>
    </w:p>
    <w:p w:rsidR="00CE3B64" w:rsidRDefault="00CE3B64" w:rsidP="00957F04"/>
    <w:p w:rsidR="00CE3B64" w:rsidRPr="00C76162" w:rsidRDefault="00CE3B64" w:rsidP="00957F04">
      <w:pPr>
        <w:pStyle w:val="2"/>
        <w:numPr>
          <w:ilvl w:val="0"/>
          <w:numId w:val="2"/>
        </w:numPr>
      </w:pPr>
      <w:r w:rsidRPr="00C76162">
        <w:t>DATA AND METHOD</w:t>
      </w:r>
    </w:p>
    <w:p w:rsidR="00CE3B64" w:rsidRPr="00C76162" w:rsidRDefault="00CE3B64" w:rsidP="00957F04">
      <w:pPr>
        <w:pStyle w:val="3"/>
      </w:pPr>
      <w:r w:rsidRPr="00C76162">
        <w:t>3.1 Destination of Leavers from Higher Education (DLHE) data</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The Higher Education Statistics Agency</w:t>
      </w:r>
      <w:r>
        <w:rPr>
          <w:rFonts w:ascii="Times New Roman" w:hAnsi="Times New Roman" w:cs="Times New Roman"/>
          <w:sz w:val="24"/>
          <w:szCs w:val="24"/>
        </w:rPr>
        <w:t xml:space="preserve"> </w:t>
      </w:r>
      <w:r>
        <w:rPr>
          <w:rFonts w:ascii="Times New Roman" w:hAnsi="Times New Roman" w:cs="Times New Roman"/>
          <w:noProof/>
          <w:sz w:val="24"/>
          <w:szCs w:val="24"/>
        </w:rPr>
        <w:t>(2018a)</w:t>
      </w:r>
      <w:r w:rsidRPr="00C76162">
        <w:rPr>
          <w:rFonts w:ascii="Times New Roman" w:hAnsi="Times New Roman" w:cs="Times New Roman"/>
          <w:sz w:val="24"/>
          <w:szCs w:val="24"/>
        </w:rPr>
        <w:t xml:space="preserve"> in the UK started collecting the DLHE data from international (non-EU domiciled) students since 2011, and previously data collection was limited to UK and EU domiciled graduates only. This is the very first dataset that provides a national level overview of post-study employment activities of non-EU graduates in the UK HE system. The DLHE survey data has also been linked with ‘Students in Higher Education’ data</w:t>
      </w:r>
      <w:r>
        <w:rPr>
          <w:rFonts w:ascii="Times New Roman" w:hAnsi="Times New Roman" w:cs="Times New Roman"/>
          <w:sz w:val="24"/>
          <w:szCs w:val="24"/>
        </w:rPr>
        <w:t xml:space="preserve"> </w:t>
      </w:r>
      <w:r>
        <w:rPr>
          <w:rFonts w:ascii="Times New Roman" w:hAnsi="Times New Roman" w:cs="Times New Roman"/>
          <w:noProof/>
          <w:sz w:val="24"/>
          <w:szCs w:val="24"/>
        </w:rPr>
        <w:t>(HESA, 2018b)</w:t>
      </w:r>
      <w:r w:rsidRPr="00C76162">
        <w:rPr>
          <w:rFonts w:ascii="Times New Roman" w:hAnsi="Times New Roman" w:cs="Times New Roman"/>
          <w:sz w:val="24"/>
          <w:szCs w:val="24"/>
        </w:rPr>
        <w:t xml:space="preserve">, which provides information about student characteristics such as age, gender, level of qualification obtained, subject of study etc. The DLHE survey is centrally designed and defined by HESA, while the data collection is locally managed by each HEI. The data used by this study came from the DLHE 2013/14 and 2014/15 surveys. DLHE 2011/12 and 2012/13 were not included in modelling, because HESA suggested that the quality of data from those two surveys was not good enough for analysis (i.e. comparatively </w:t>
      </w:r>
      <w:r>
        <w:rPr>
          <w:rFonts w:ascii="Times New Roman" w:hAnsi="Times New Roman" w:cs="Times New Roman"/>
          <w:sz w:val="24"/>
          <w:szCs w:val="24"/>
        </w:rPr>
        <w:t>lower response rates</w:t>
      </w:r>
      <w:r w:rsidRPr="00C76162">
        <w:rPr>
          <w:rFonts w:ascii="Times New Roman" w:hAnsi="Times New Roman" w:cs="Times New Roman"/>
          <w:sz w:val="24"/>
          <w:szCs w:val="24"/>
        </w:rPr>
        <w:t>).</w:t>
      </w:r>
      <w:r w:rsidRPr="00C76162">
        <w:rPr>
          <w:rFonts w:ascii="Times New Roman" w:hAnsi="Times New Roman" w:cs="Times New Roman"/>
        </w:rPr>
        <w:t xml:space="preserve"> </w:t>
      </w:r>
      <w:r w:rsidRPr="00C76162">
        <w:rPr>
          <w:rFonts w:ascii="Times New Roman" w:hAnsi="Times New Roman" w:cs="Times New Roman"/>
          <w:sz w:val="24"/>
          <w:szCs w:val="24"/>
        </w:rPr>
        <w:t>For those who completed their study between 1</w:t>
      </w:r>
      <w:r w:rsidRPr="00C0585D">
        <w:rPr>
          <w:rFonts w:ascii="Times New Roman" w:hAnsi="Times New Roman" w:cs="Times New Roman"/>
          <w:sz w:val="24"/>
          <w:szCs w:val="24"/>
          <w:vertAlign w:val="superscript"/>
        </w:rPr>
        <w:t>st</w:t>
      </w:r>
      <w:r w:rsidR="00C0585D">
        <w:rPr>
          <w:rFonts w:ascii="Times New Roman" w:hAnsi="Times New Roman" w:cs="Times New Roman"/>
          <w:sz w:val="24"/>
          <w:szCs w:val="24"/>
        </w:rPr>
        <w:t xml:space="preserve"> </w:t>
      </w:r>
      <w:r w:rsidRPr="00C76162">
        <w:rPr>
          <w:rFonts w:ascii="Times New Roman" w:hAnsi="Times New Roman" w:cs="Times New Roman"/>
          <w:sz w:val="24"/>
          <w:szCs w:val="24"/>
        </w:rPr>
        <w:t>August 2013 and 31</w:t>
      </w:r>
      <w:r w:rsidRPr="00C0585D">
        <w:rPr>
          <w:rFonts w:ascii="Times New Roman" w:hAnsi="Times New Roman" w:cs="Times New Roman"/>
          <w:sz w:val="24"/>
          <w:szCs w:val="24"/>
          <w:vertAlign w:val="superscript"/>
        </w:rPr>
        <w:t>st</w:t>
      </w:r>
      <w:r w:rsidR="00C0585D">
        <w:rPr>
          <w:rFonts w:ascii="Times New Roman" w:hAnsi="Times New Roman" w:cs="Times New Roman"/>
          <w:sz w:val="24"/>
          <w:szCs w:val="24"/>
        </w:rPr>
        <w:t xml:space="preserve"> </w:t>
      </w:r>
      <w:r w:rsidRPr="00C76162">
        <w:rPr>
          <w:rFonts w:ascii="Times New Roman" w:hAnsi="Times New Roman" w:cs="Times New Roman"/>
          <w:sz w:val="24"/>
          <w:szCs w:val="24"/>
        </w:rPr>
        <w:t>December 2013, the survey was carried out in April 2014. For those who completed between 1</w:t>
      </w:r>
      <w:r w:rsidRPr="00C0585D">
        <w:rPr>
          <w:rFonts w:ascii="Times New Roman" w:hAnsi="Times New Roman" w:cs="Times New Roman"/>
          <w:sz w:val="24"/>
          <w:szCs w:val="24"/>
          <w:vertAlign w:val="superscript"/>
        </w:rPr>
        <w:t>st</w:t>
      </w:r>
      <w:r w:rsidR="00C0585D">
        <w:rPr>
          <w:rFonts w:ascii="Times New Roman" w:hAnsi="Times New Roman" w:cs="Times New Roman"/>
          <w:sz w:val="24"/>
          <w:szCs w:val="24"/>
        </w:rPr>
        <w:t xml:space="preserve"> </w:t>
      </w:r>
      <w:r w:rsidRPr="00C76162">
        <w:rPr>
          <w:rFonts w:ascii="Times New Roman" w:hAnsi="Times New Roman" w:cs="Times New Roman"/>
          <w:sz w:val="24"/>
          <w:szCs w:val="24"/>
        </w:rPr>
        <w:t>January 2014 and 31</w:t>
      </w:r>
      <w:r w:rsidRPr="00C0585D">
        <w:rPr>
          <w:rFonts w:ascii="Times New Roman" w:hAnsi="Times New Roman" w:cs="Times New Roman"/>
          <w:sz w:val="24"/>
          <w:szCs w:val="24"/>
          <w:vertAlign w:val="superscript"/>
        </w:rPr>
        <w:t>st</w:t>
      </w:r>
      <w:r w:rsidR="00C0585D">
        <w:rPr>
          <w:rFonts w:ascii="Times New Roman" w:hAnsi="Times New Roman" w:cs="Times New Roman"/>
          <w:sz w:val="24"/>
          <w:szCs w:val="24"/>
        </w:rPr>
        <w:t xml:space="preserve"> </w:t>
      </w:r>
      <w:r w:rsidRPr="00C76162">
        <w:rPr>
          <w:rFonts w:ascii="Times New Roman" w:hAnsi="Times New Roman" w:cs="Times New Roman"/>
          <w:sz w:val="24"/>
          <w:szCs w:val="24"/>
        </w:rPr>
        <w:t xml:space="preserve">July 2014, the survey was scheduled in January 2015. Similar data collection arrangements were made for DLHE 2014/15 survey. The target sample of this study was international postgraduate students of working age (younger than 60) who obtained masters or </w:t>
      </w:r>
      <w:r w:rsidRPr="00C76162">
        <w:rPr>
          <w:rFonts w:ascii="Times New Roman" w:hAnsi="Times New Roman" w:cs="Times New Roman"/>
          <w:sz w:val="24"/>
          <w:szCs w:val="24"/>
        </w:rPr>
        <w:lastRenderedPageBreak/>
        <w:t>doctoral degree from a UK HEI. In total, there were 38812 students responded their location of employment, which indicates a response rate of 29.1%.</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DLHE data used in this study has a non-hierarchical two-way cross-classified structure. In this type of dataset, lower level units simultaneously belong to two non-nested higher-lever clusters </w:t>
      </w:r>
      <w:r>
        <w:rPr>
          <w:rFonts w:ascii="Times New Roman" w:hAnsi="Times New Roman" w:cs="Times New Roman"/>
          <w:noProof/>
          <w:sz w:val="24"/>
          <w:szCs w:val="24"/>
        </w:rPr>
        <w:t>(Rasbash</w:t>
      </w:r>
      <w:r w:rsidRPr="00BF0681">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C76162">
        <w:rPr>
          <w:rFonts w:ascii="Times New Roman" w:hAnsi="Times New Roman" w:cs="Times New Roman"/>
          <w:noProof/>
          <w:sz w:val="24"/>
          <w:szCs w:val="24"/>
        </w:rPr>
        <w:t>.</w:t>
      </w:r>
      <w:r w:rsidRPr="00C76162">
        <w:rPr>
          <w:rFonts w:ascii="Times New Roman" w:hAnsi="Times New Roman" w:cs="Times New Roman"/>
          <w:sz w:val="24"/>
          <w:szCs w:val="24"/>
        </w:rPr>
        <w:t xml:space="preserve"> In this study, 38812 international postgraduate students were nested within 159 domiciles and were separately nested within 150 HE institutions at the same time. An average of 244.10 graduates per domicile replied their location of employment (minimum = 1; maximum = 9490), and an average of 258.75 graduates per HEI reported their location of employment (minimum = 1; maximum = 3079). A total of 12 (3.88%) of these higher-level units were singletons (i.e. a higher-level unit which only contains one graduate). More specifically, 10 (6.28%) of the 159 domiciles contained only one graduate, and 2 (1.33%) of the 150 HEIs have only one valid respondent. In this two-way cross-classification of domiciles by HEIs, each student belongs to a combinati</w:t>
      </w:r>
      <w:r>
        <w:rPr>
          <w:rFonts w:ascii="Times New Roman" w:hAnsi="Times New Roman" w:cs="Times New Roman"/>
          <w:sz w:val="24"/>
          <w:szCs w:val="24"/>
        </w:rPr>
        <w:t>on of one domicile and one HEI.</w:t>
      </w:r>
    </w:p>
    <w:p w:rsidR="00CE3B64" w:rsidRPr="00BF0681" w:rsidRDefault="00CE3B64" w:rsidP="00957F04"/>
    <w:p w:rsidR="00CE3B64" w:rsidRPr="00C76162" w:rsidRDefault="00CE3B64" w:rsidP="00957F04">
      <w:pPr>
        <w:pStyle w:val="3"/>
      </w:pPr>
      <w:r w:rsidRPr="00C76162">
        <w:t>3.2 Variables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The dependent variable (Location of Employment) in this study was a dichotomous variable which indicated whether an international (non-EEA) postgraduate degree recipient still remained in the UK to work after finishing his/her studies (Work in UK=1, Work in other countries=0). As the DLHE survey data was collected from participants approximately six months after the completion of their studies, the definition of stayers in the study is defined as international postgraduate students whose destination of employment was located within the UK at the time point when the DLHE survey was conducted.</w:t>
      </w:r>
    </w:p>
    <w:p w:rsidR="00CE3B64" w:rsidRPr="00C76162" w:rsidRDefault="00CE3B64" w:rsidP="00957F04">
      <w:pPr>
        <w:pStyle w:val="4"/>
        <w:spacing w:before="100" w:beforeAutospacing="1" w:after="100" w:afterAutospacing="1"/>
        <w:rPr>
          <w:rFonts w:ascii="Times New Roman" w:hAnsi="Times New Roman" w:cs="Times New Roman"/>
          <w:color w:val="auto"/>
          <w:sz w:val="24"/>
          <w:szCs w:val="24"/>
        </w:rPr>
      </w:pPr>
      <w:r w:rsidRPr="00C76162">
        <w:rPr>
          <w:rFonts w:ascii="Times New Roman" w:hAnsi="Times New Roman" w:cs="Times New Roman"/>
          <w:color w:val="auto"/>
          <w:sz w:val="24"/>
          <w:szCs w:val="24"/>
        </w:rPr>
        <w:lastRenderedPageBreak/>
        <w:t>Individual-level variables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The independent variables consisted of individual-level, HEI-level, and domicile-level variables. The individual-level variables included demographic features (i.e. gender and age, age was measured at 31st July of the year in which graduates gained their qualifications), and educational background (subject area, level of qualification, and mode of study). Level of qualification in this study only includes doctoral research qualification, taught doctorate, masters research qualification, and taught masters. Other postgraduate diplomas, certificates and professional qualifications were not included in this study.</w:t>
      </w:r>
    </w:p>
    <w:p w:rsidR="00CE3B64" w:rsidRPr="00C76162" w:rsidRDefault="00CE3B64" w:rsidP="00957F04">
      <w:pPr>
        <w:pStyle w:val="4"/>
        <w:spacing w:before="100" w:beforeAutospacing="1" w:after="100" w:afterAutospacing="1"/>
        <w:rPr>
          <w:rFonts w:ascii="Times New Roman" w:hAnsi="Times New Roman" w:cs="Times New Roman"/>
          <w:color w:val="auto"/>
          <w:sz w:val="24"/>
          <w:szCs w:val="24"/>
        </w:rPr>
      </w:pPr>
      <w:r w:rsidRPr="00C76162">
        <w:rPr>
          <w:rFonts w:ascii="Times New Roman" w:hAnsi="Times New Roman" w:cs="Times New Roman"/>
          <w:color w:val="auto"/>
          <w:sz w:val="24"/>
          <w:szCs w:val="24"/>
        </w:rPr>
        <w:t>HEI-level variables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The HEI-level variables in this study were prestige level of HEIs and their locations. In the UK, the Russell Group members are 24 highly research-intensive universities. The research excellence of those universities has been widely recognised both domestically and internationally, and the Russell Group has been used by many previous studies as the criteria in defining the most prestigious universities in the UK HE system </w:t>
      </w:r>
      <w:r>
        <w:rPr>
          <w:rFonts w:ascii="Times New Roman" w:hAnsi="Times New Roman" w:cs="Times New Roman"/>
          <w:noProof/>
          <w:sz w:val="24"/>
          <w:szCs w:val="24"/>
        </w:rPr>
        <w:t>(Hemsley-Brown, 2015)</w:t>
      </w:r>
      <w:r w:rsidRPr="00C76162">
        <w:rPr>
          <w:rFonts w:ascii="Times New Roman" w:hAnsi="Times New Roman" w:cs="Times New Roman"/>
          <w:sz w:val="24"/>
          <w:szCs w:val="24"/>
        </w:rPr>
        <w:t>. Therefore, the prestige level of HEI was measured by whether an institution is one of the 24 Russell Group universities. The variable, location of HEI, was used to measure whether an institution’s main-site is based within the Greater London boundary.</w:t>
      </w:r>
    </w:p>
    <w:p w:rsidR="00CE3B64" w:rsidRPr="00C76162" w:rsidRDefault="00CE3B64" w:rsidP="00957F04">
      <w:pPr>
        <w:pStyle w:val="4"/>
        <w:spacing w:before="100" w:beforeAutospacing="1" w:after="100" w:afterAutospacing="1"/>
        <w:rPr>
          <w:rFonts w:ascii="Times New Roman" w:hAnsi="Times New Roman" w:cs="Times New Roman"/>
          <w:color w:val="auto"/>
          <w:sz w:val="24"/>
          <w:szCs w:val="24"/>
        </w:rPr>
      </w:pPr>
      <w:r w:rsidRPr="00C76162">
        <w:rPr>
          <w:rFonts w:ascii="Times New Roman" w:hAnsi="Times New Roman" w:cs="Times New Roman"/>
          <w:color w:val="auto"/>
          <w:sz w:val="24"/>
          <w:szCs w:val="24"/>
        </w:rPr>
        <w:t>Domicile-level variables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Domicile-level variables that had been tested in this study included three binary independent variables (i.e. two variables related to language, and one related to previous colonial affiliation) and  three continuous independent variables (i.e. Purchasing Power Parity based GDP per capita, unemployment rate, and youth unemployment rate). Purchasing Power Parity (PPP) is an economic theory that measures prices at different locations, and PPP based GDP is widely </w:t>
      </w:r>
      <w:r w:rsidRPr="00C76162">
        <w:rPr>
          <w:rFonts w:ascii="Times New Roman" w:hAnsi="Times New Roman" w:cs="Times New Roman"/>
          <w:sz w:val="24"/>
          <w:szCs w:val="24"/>
        </w:rPr>
        <w:lastRenderedPageBreak/>
        <w:t>used as an indicator in comparing differences in living standards between countries. Variables related to language were majority native English speaking country marker, and English as official language country marker. Previous colonial affiliation was measured by whether a country is one of the commonwealth members. In terms of continuous domicile-level variables, this study extracted corresponding data from the World Bank online databases. As the DLHE data used in this study covered international postgraduate students who graduated between academic years 2013/14 to 2014/15, this study therefore extracted data of 2014 and 2015 from the World Bank databases. The values in each continuous domicile-level variable were the average numbers of the corresponding values from 2014’s and 2015’s data.</w:t>
      </w:r>
    </w:p>
    <w:p w:rsidR="00CE3B64" w:rsidRPr="00C76162" w:rsidRDefault="00CE3B64" w:rsidP="00957F04">
      <w:pPr>
        <w:spacing w:before="100" w:beforeAutospacing="1" w:after="100" w:afterAutospacing="1"/>
        <w:rPr>
          <w:rFonts w:ascii="Times New Roman" w:hAnsi="Times New Roman" w:cs="Times New Roman"/>
          <w:sz w:val="24"/>
          <w:szCs w:val="24"/>
        </w:rPr>
      </w:pPr>
    </w:p>
    <w:p w:rsidR="00CE3B64" w:rsidRPr="00C76162" w:rsidRDefault="00CE3B64" w:rsidP="00957F04">
      <w:pPr>
        <w:pStyle w:val="3"/>
      </w:pPr>
      <w:r w:rsidRPr="00C76162">
        <w:t>3.3 Modelling strategy</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The cross-classified data structure, dichotomous feature of dependent variable, large higher-level unit sizes, and small proportion of singleton groups suggest that this dataset is suitable for analysis by fitting a cross-classified multilevel logistic model </w:t>
      </w:r>
      <w:r>
        <w:rPr>
          <w:rFonts w:ascii="Times New Roman" w:hAnsi="Times New Roman" w:cs="Times New Roman"/>
          <w:noProof/>
          <w:sz w:val="24"/>
          <w:szCs w:val="24"/>
        </w:rPr>
        <w:t>(Clarke &amp; Wheaton, 2007; Stegmueller, 2013)</w:t>
      </w:r>
      <w:r w:rsidRPr="00C76162">
        <w:rPr>
          <w:rFonts w:ascii="Times New Roman" w:hAnsi="Times New Roman" w:cs="Times New Roman"/>
          <w:sz w:val="24"/>
          <w:szCs w:val="24"/>
        </w:rPr>
        <w:t xml:space="preserve">. </w:t>
      </w: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also some application of the cross-classified multilevel modelling on population movement research which are based on datasets with cross-classified structures </w:t>
      </w:r>
      <w:r>
        <w:rPr>
          <w:rFonts w:ascii="Times New Roman" w:hAnsi="Times New Roman" w:cs="Times New Roman"/>
          <w:noProof/>
          <w:sz w:val="24"/>
          <w:szCs w:val="24"/>
        </w:rPr>
        <w:t>(Shuttleworth &amp; Gould, 2010; Thomas</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2015; Vitali &amp; Arpino, 2015)</w:t>
      </w:r>
      <w:r>
        <w:rPr>
          <w:rFonts w:ascii="Times New Roman" w:hAnsi="Times New Roman" w:cs="Times New Roman"/>
          <w:sz w:val="24"/>
          <w:szCs w:val="24"/>
        </w:rPr>
        <w:t xml:space="preserve">. </w:t>
      </w:r>
      <w:r w:rsidRPr="00C76162">
        <w:rPr>
          <w:rFonts w:ascii="Times New Roman" w:hAnsi="Times New Roman" w:cs="Times New Roman"/>
          <w:sz w:val="24"/>
          <w:szCs w:val="24"/>
        </w:rPr>
        <w:t xml:space="preserve">Through analysing the DLHE data, this study intended to explore how individual-level factors, HEI-level factors, and domicile-level factors could affect international students’ migration flows in the UK context. The research aim of this study also suggests that a </w:t>
      </w:r>
      <w:r>
        <w:rPr>
          <w:rFonts w:ascii="Times New Roman" w:hAnsi="Times New Roman" w:cs="Times New Roman"/>
          <w:sz w:val="24"/>
          <w:szCs w:val="24"/>
        </w:rPr>
        <w:t>model with cross-classified specification</w:t>
      </w:r>
      <w:r w:rsidRPr="00C76162">
        <w:rPr>
          <w:rFonts w:ascii="Times New Roman" w:hAnsi="Times New Roman" w:cs="Times New Roman"/>
          <w:sz w:val="24"/>
          <w:szCs w:val="24"/>
        </w:rPr>
        <w:t xml:space="preserve"> is preferred to single-level fixed-effects model or two-level hierarchical model. Firstly, that is because international students in this sample are not completely independent cases. Students from the same country might share similar cultural symbols and may be affected by the same domicile-level contextual factors. In addition, international students </w:t>
      </w:r>
      <w:r w:rsidRPr="00C76162">
        <w:rPr>
          <w:rFonts w:ascii="Times New Roman" w:hAnsi="Times New Roman" w:cs="Times New Roman"/>
          <w:sz w:val="24"/>
          <w:szCs w:val="24"/>
        </w:rPr>
        <w:lastRenderedPageBreak/>
        <w:t>graduated from the same university were possibly advised and served by the same careers service. That is to say, the assumption of independence of observation is violated, and ignoring HEI-level or domicile-level might result in overestimating the importance of the other level in shaping international postgraduate students’ migration pattern.</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Secondly, multilevel modelling enables researcher to estimate group effects and effects of group-level predictors at the same time </w:t>
      </w:r>
      <w:r>
        <w:rPr>
          <w:rFonts w:ascii="Times New Roman" w:hAnsi="Times New Roman" w:cs="Times New Roman"/>
          <w:noProof/>
          <w:sz w:val="24"/>
          <w:szCs w:val="24"/>
        </w:rPr>
        <w:t>(Goldstein, 2011)</w:t>
      </w:r>
      <w:r w:rsidRPr="00C76162">
        <w:rPr>
          <w:rFonts w:ascii="Times New Roman" w:hAnsi="Times New Roman" w:cs="Times New Roman"/>
          <w:sz w:val="24"/>
          <w:szCs w:val="24"/>
        </w:rPr>
        <w:t>. In single-level fixed effects model that includes dummy variables for groups (e.g. domiciles and HEIs), the effects of group-level variables are confounded wi</w:t>
      </w:r>
      <w:r w:rsidR="0080296B">
        <w:rPr>
          <w:rFonts w:ascii="Times New Roman" w:hAnsi="Times New Roman" w:cs="Times New Roman"/>
          <w:sz w:val="24"/>
          <w:szCs w:val="24"/>
        </w:rPr>
        <w:t xml:space="preserve">th the effects of group dummies, as </w:t>
      </w:r>
      <w:r w:rsidR="0080296B" w:rsidRPr="00C76162">
        <w:rPr>
          <w:rFonts w:ascii="Times New Roman" w:hAnsi="Times New Roman" w:cs="Times New Roman"/>
          <w:sz w:val="24"/>
          <w:szCs w:val="24"/>
        </w:rPr>
        <w:t>any group-level predictor could be expressed as a function of group dummies</w:t>
      </w:r>
      <w:r w:rsidR="0080296B">
        <w:rPr>
          <w:rFonts w:ascii="Times New Roman" w:hAnsi="Times New Roman" w:cs="Times New Roman"/>
          <w:sz w:val="24"/>
          <w:szCs w:val="24"/>
        </w:rPr>
        <w:t>. The simultaneous inclusion of group-level predictors and group dummies might lead to</w:t>
      </w:r>
      <w:r w:rsidR="0080296B" w:rsidRPr="0080296B">
        <w:rPr>
          <w:rFonts w:ascii="Times New Roman" w:hAnsi="Times New Roman" w:cs="Times New Roman"/>
          <w:sz w:val="24"/>
          <w:szCs w:val="24"/>
        </w:rPr>
        <w:t xml:space="preserve"> </w:t>
      </w:r>
      <w:r w:rsidR="0080296B" w:rsidRPr="00C76162">
        <w:rPr>
          <w:rFonts w:ascii="Times New Roman" w:hAnsi="Times New Roman" w:cs="Times New Roman"/>
          <w:sz w:val="24"/>
          <w:szCs w:val="24"/>
        </w:rPr>
        <w:t>multicollinearity problem</w:t>
      </w:r>
      <w:r w:rsidR="00B67F88">
        <w:rPr>
          <w:rFonts w:ascii="Times New Roman" w:hAnsi="Times New Roman" w:cs="Times New Roman"/>
          <w:sz w:val="24"/>
          <w:szCs w:val="24"/>
        </w:rPr>
        <w:t xml:space="preserve">, so it </w:t>
      </w:r>
      <w:r w:rsidRPr="00C76162">
        <w:rPr>
          <w:rFonts w:ascii="Times New Roman" w:hAnsi="Times New Roman" w:cs="Times New Roman"/>
          <w:sz w:val="24"/>
          <w:szCs w:val="24"/>
        </w:rPr>
        <w:t xml:space="preserve">is not possible to estimate </w:t>
      </w:r>
      <w:r w:rsidR="00B67F88">
        <w:rPr>
          <w:rFonts w:ascii="Times New Roman" w:hAnsi="Times New Roman" w:cs="Times New Roman"/>
          <w:sz w:val="24"/>
          <w:szCs w:val="24"/>
        </w:rPr>
        <w:t>both in fixed effects model.</w:t>
      </w:r>
      <w:r w:rsidRPr="00C76162">
        <w:rPr>
          <w:rFonts w:ascii="Times New Roman" w:hAnsi="Times New Roman" w:cs="Times New Roman"/>
          <w:sz w:val="24"/>
          <w:szCs w:val="24"/>
        </w:rPr>
        <w:t xml:space="preserve"> In addition, in the context of this study, it would be also technically unrealistic to include 158 domicile dummies or 149 HEI dummies into the fixed effects model.</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Variance partition coefficient (VPC) measures </w:t>
      </w:r>
      <w:r>
        <w:rPr>
          <w:rFonts w:ascii="Times New Roman" w:hAnsi="Times New Roman" w:cs="Times New Roman"/>
          <w:sz w:val="24"/>
          <w:szCs w:val="24"/>
        </w:rPr>
        <w:t xml:space="preserve">the proportion of total </w:t>
      </w:r>
      <w:r w:rsidRPr="00C90742">
        <w:rPr>
          <w:rFonts w:ascii="Times New Roman" w:hAnsi="Times New Roman" w:cs="Times New Roman"/>
          <w:sz w:val="24"/>
          <w:szCs w:val="24"/>
        </w:rPr>
        <w:t xml:space="preserve">variation </w:t>
      </w:r>
      <w:r w:rsidRPr="00C76162">
        <w:rPr>
          <w:rFonts w:ascii="Times New Roman" w:hAnsi="Times New Roman" w:cs="Times New Roman"/>
          <w:sz w:val="24"/>
          <w:szCs w:val="24"/>
        </w:rPr>
        <w:t xml:space="preserve">explained by higher levels. </w:t>
      </w:r>
      <w:r>
        <w:rPr>
          <w:rFonts w:ascii="Times New Roman" w:hAnsi="Times New Roman" w:cs="Times New Roman"/>
          <w:noProof/>
          <w:sz w:val="24"/>
          <w:szCs w:val="24"/>
        </w:rPr>
        <w:t>Browne</w:t>
      </w:r>
      <w:r w:rsidRPr="00B23138">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(2005, p.603)</w:t>
      </w:r>
      <w:r w:rsidRPr="00C76162">
        <w:rPr>
          <w:rFonts w:ascii="Times New Roman" w:hAnsi="Times New Roman" w:cs="Times New Roman"/>
          <w:sz w:val="24"/>
          <w:szCs w:val="24"/>
        </w:rPr>
        <w:t xml:space="preserve"> suggest that there are three methods that can be used to estimate VPCs in multilevel binomial logistic models, which are ‘Model Linearization’, ‘Simulation’, and ‘Latent Variable Approach’. This study adopted the ‘Latent Variable Approach’, and in this method </w:t>
      </w:r>
      <w:r w:rsidRPr="00C76162">
        <w:rPr>
          <w:rFonts w:ascii="Times New Roman" w:hAnsi="Times New Roman" w:cs="Times New Roman"/>
          <w:bCs/>
          <w:sz w:val="24"/>
          <w:szCs w:val="24"/>
        </w:rPr>
        <w:t xml:space="preserve">level-1 </w:t>
      </w:r>
      <w:r w:rsidR="00957F04">
        <w:rPr>
          <w:rFonts w:ascii="Times New Roman" w:hAnsi="Times New Roman" w:cs="Times New Roman"/>
          <w:sz w:val="24"/>
          <w:szCs w:val="24"/>
        </w:rPr>
        <w:t>residual</w:t>
      </w:r>
      <w:r w:rsidR="00957F04" w:rsidRPr="00C76162">
        <w:rPr>
          <w:rFonts w:ascii="Times New Roman" w:hAnsi="Times New Roman" w:cs="Times New Roman"/>
          <w:bCs/>
          <w:sz w:val="24"/>
          <w:szCs w:val="24"/>
        </w:rPr>
        <w:t xml:space="preserve"> </w:t>
      </w:r>
      <w:r w:rsidR="00957F04" w:rsidRPr="00C76162">
        <w:rPr>
          <w:rFonts w:ascii="Times New Roman" w:hAnsi="Times New Roman" w:cs="Times New Roman"/>
          <w:sz w:val="24"/>
          <w:szCs w:val="24"/>
        </w:rPr>
        <w:t>is</w:t>
      </w:r>
      <w:r w:rsidRPr="00C76162">
        <w:rPr>
          <w:rFonts w:ascii="Times New Roman" w:hAnsi="Times New Roman" w:cs="Times New Roman"/>
          <w:sz w:val="24"/>
          <w:szCs w:val="24"/>
        </w:rPr>
        <w:t xml:space="preserve"> </w:t>
      </w:r>
      <w:r w:rsidR="00957F04">
        <w:rPr>
          <w:rFonts w:ascii="Times New Roman" w:hAnsi="Times New Roman" w:cs="Times New Roman"/>
          <w:sz w:val="24"/>
          <w:szCs w:val="24"/>
        </w:rPr>
        <w:t>assumed to follow a logistic distribution</w:t>
      </w:r>
      <w:r w:rsidR="00FC2188">
        <w:rPr>
          <w:rFonts w:ascii="Times New Roman" w:hAnsi="Times New Roman" w:cs="Times New Roman"/>
          <w:sz w:val="24"/>
          <w:szCs w:val="24"/>
        </w:rPr>
        <w:t>,</w:t>
      </w:r>
      <w:r w:rsidR="00957F04">
        <w:rPr>
          <w:rFonts w:ascii="Times New Roman" w:hAnsi="Times New Roman" w:cs="Times New Roman"/>
          <w:sz w:val="24"/>
          <w:szCs w:val="24"/>
        </w:rPr>
        <w:t xml:space="preserve"> with </w:t>
      </w:r>
      <w:r w:rsidR="00FC2188">
        <w:rPr>
          <w:rFonts w:ascii="Times New Roman" w:hAnsi="Times New Roman" w:cs="Times New Roman"/>
          <w:sz w:val="24"/>
          <w:szCs w:val="24"/>
        </w:rPr>
        <w:t xml:space="preserve">a </w:t>
      </w:r>
      <w:r w:rsidR="00552932">
        <w:rPr>
          <w:rFonts w:ascii="Times New Roman" w:hAnsi="Times New Roman" w:cs="Times New Roman"/>
          <w:sz w:val="24"/>
          <w:szCs w:val="24"/>
        </w:rPr>
        <w:t xml:space="preserve">fixed </w:t>
      </w:r>
      <w:r w:rsidR="00957F04">
        <w:rPr>
          <w:rFonts w:ascii="Times New Roman" w:hAnsi="Times New Roman" w:cs="Times New Roman"/>
          <w:sz w:val="24"/>
          <w:szCs w:val="24"/>
        </w:rPr>
        <w:t xml:space="preserve">variance </w:t>
      </w:r>
      <w:r w:rsidR="00FC2188">
        <w:rPr>
          <w:rFonts w:ascii="Times New Roman" w:hAnsi="Times New Roman" w:cs="Times New Roman"/>
          <w:sz w:val="24"/>
          <w:szCs w:val="24"/>
        </w:rPr>
        <w:t>(</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oMath>
      <w:r w:rsidR="00FC2188">
        <w:rPr>
          <w:rFonts w:ascii="Times New Roman" w:hAnsi="Times New Roman" w:cs="Times New Roman"/>
          <w:bCs/>
          <w:sz w:val="24"/>
          <w:szCs w:val="24"/>
        </w:rPr>
        <w:t>) of</w:t>
      </w:r>
      <w:r w:rsidR="00957F04">
        <w:rPr>
          <w:rFonts w:ascii="Times New Roman" w:hAnsi="Times New Roman" w:cs="Times New Roman"/>
          <w:sz w:val="24"/>
          <w:szCs w:val="24"/>
        </w:rPr>
        <w:t xml:space="preserve"> </w:t>
      </w:r>
      <m:oMath>
        <m:f>
          <m:fPr>
            <m:ctrlPr>
              <w:rPr>
                <w:rFonts w:ascii="Cambria Math" w:hAnsi="Cambria Math" w:cs="Times New Roman"/>
                <w:bCs/>
                <w:i/>
                <w:sz w:val="24"/>
                <w:szCs w:val="24"/>
              </w:rPr>
            </m:ctrlPr>
          </m:fPr>
          <m:num>
            <m:sSup>
              <m:sSupPr>
                <m:ctrlPr>
                  <w:rPr>
                    <w:rFonts w:ascii="Cambria Math" w:hAnsi="Cambria Math" w:cs="Times New Roman"/>
                    <w:bCs/>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r>
              <w:rPr>
                <w:rFonts w:ascii="Cambria Math" w:hAnsi="Cambria Math" w:cs="Times New Roman"/>
                <w:sz w:val="24"/>
                <w:szCs w:val="24"/>
              </w:rPr>
              <m:t>3</m:t>
            </m:r>
          </m:den>
        </m:f>
      </m:oMath>
      <w:r w:rsidRPr="00C76162">
        <w:rPr>
          <w:rFonts w:ascii="Times New Roman" w:hAnsi="Times New Roman" w:cs="Times New Roman"/>
          <w:bCs/>
          <w:sz w:val="24"/>
          <w:szCs w:val="24"/>
        </w:rPr>
        <w:t xml:space="preserve"> (equals to 3.29). </w:t>
      </w:r>
      <w:r w:rsidRPr="00C76162">
        <w:rPr>
          <w:rFonts w:ascii="Times New Roman" w:hAnsi="Times New Roman" w:cs="Times New Roman"/>
          <w:sz w:val="24"/>
          <w:szCs w:val="24"/>
        </w:rPr>
        <w:t xml:space="preserve">Hence, the domicile VPC was calculated as </w:t>
      </w:r>
      <m:oMath>
        <m:sSub>
          <m:sSubPr>
            <m:ctrlPr>
              <w:rPr>
                <w:rFonts w:ascii="Cambria Math" w:hAnsi="Cambria Math" w:cs="Times New Roman"/>
                <w:i/>
                <w:sz w:val="24"/>
                <w:szCs w:val="24"/>
              </w:rPr>
            </m:ctrlPr>
          </m:sSubPr>
          <m:e>
            <m:r>
              <w:rPr>
                <w:rFonts w:ascii="Cambria Math" w:hAnsi="Cambria Math" w:cs="Times New Roman"/>
                <w:sz w:val="24"/>
                <w:szCs w:val="24"/>
              </w:rPr>
              <m:t>VPC</m:t>
            </m:r>
          </m:e>
          <m:sub>
            <m:r>
              <w:rPr>
                <w:rFonts w:ascii="Cambria Math" w:hAnsi="Cambria Math" w:cs="Times New Roman"/>
                <w:sz w:val="24"/>
                <w:szCs w:val="24"/>
              </w:rPr>
              <m:t>domicile</m:t>
            </m:r>
          </m:sub>
        </m:sSub>
        <m: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domicile</m:t>
                </m:r>
              </m:sub>
              <m:sup>
                <m:r>
                  <w:rPr>
                    <w:rFonts w:ascii="Cambria Math" w:hAnsi="Cambria Math" w:cs="Times New Roman"/>
                    <w:sz w:val="24"/>
                    <w:szCs w:val="24"/>
                  </w:rPr>
                  <m:t>2</m:t>
                </m:r>
              </m:sup>
            </m:sSubSup>
            <m:r>
              <m:rPr>
                <m:sty m:val="p"/>
              </m:rPr>
              <w:rPr>
                <w:rFonts w:ascii="Cambria Math" w:hAnsi="Cambria Math" w:cs="Times New Roman"/>
                <w:sz w:val="24"/>
                <w:szCs w:val="24"/>
              </w:rPr>
              <m:t xml:space="preserve"> </m:t>
            </m:r>
          </m:num>
          <m:den>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domicile</m:t>
                </m:r>
              </m:sub>
              <m:sup>
                <m: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HEI</m:t>
                </m:r>
              </m:sub>
              <m:sup>
                <m:r>
                  <w:rPr>
                    <w:rFonts w:ascii="Cambria Math" w:hAnsi="Cambria Math" w:cs="Times New Roman"/>
                    <w:sz w:val="24"/>
                    <w:szCs w:val="24"/>
                  </w:rPr>
                  <m:t>2</m:t>
                </m:r>
              </m:sup>
            </m:sSubSup>
            <m:r>
              <w:rPr>
                <w:rFonts w:ascii="Cambria Math" w:hAnsi="Cambria Math" w:cs="Times New Roman"/>
                <w:sz w:val="24"/>
                <w:szCs w:val="24"/>
              </w:rPr>
              <m:t>+3.29</m:t>
            </m:r>
          </m:den>
        </m:f>
      </m:oMath>
      <w:r w:rsidR="00552932">
        <w:rPr>
          <w:rFonts w:ascii="Times New Roman" w:hAnsi="Times New Roman" w:cs="Times New Roman"/>
          <w:sz w:val="24"/>
          <w:szCs w:val="24"/>
        </w:rPr>
        <w:t xml:space="preserve"> , </w:t>
      </w:r>
      <w:r w:rsidRPr="00C76162">
        <w:rPr>
          <w:rFonts w:ascii="Times New Roman" w:hAnsi="Times New Roman" w:cs="Times New Roman"/>
          <w:sz w:val="24"/>
          <w:szCs w:val="24"/>
        </w:rPr>
        <w:t xml:space="preserve">the HEI VPC as </w:t>
      </w:r>
      <m:oMath>
        <m:sSub>
          <m:sSubPr>
            <m:ctrlPr>
              <w:rPr>
                <w:rFonts w:ascii="Cambria Math" w:hAnsi="Cambria Math" w:cs="Times New Roman"/>
                <w:i/>
                <w:sz w:val="24"/>
                <w:szCs w:val="24"/>
              </w:rPr>
            </m:ctrlPr>
          </m:sSubPr>
          <m:e>
            <m:r>
              <w:rPr>
                <w:rFonts w:ascii="Cambria Math" w:hAnsi="Cambria Math" w:cs="Times New Roman"/>
                <w:sz w:val="24"/>
                <w:szCs w:val="24"/>
              </w:rPr>
              <m:t>VPC</m:t>
            </m:r>
          </m:e>
          <m:sub>
            <m:r>
              <w:rPr>
                <w:rFonts w:ascii="Cambria Math" w:hAnsi="Cambria Math" w:cs="Times New Roman"/>
                <w:sz w:val="24"/>
                <w:szCs w:val="24"/>
              </w:rPr>
              <m:t>HEI</m:t>
            </m:r>
          </m:sub>
        </m:sSub>
        <m: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HEI</m:t>
                </m:r>
              </m:sub>
              <m:sup>
                <m:r>
                  <w:rPr>
                    <w:rFonts w:ascii="Cambria Math" w:hAnsi="Cambria Math" w:cs="Times New Roman"/>
                    <w:sz w:val="24"/>
                    <w:szCs w:val="24"/>
                  </w:rPr>
                  <m:t>2</m:t>
                </m:r>
              </m:sup>
            </m:sSubSup>
            <m:r>
              <m:rPr>
                <m:sty m:val="p"/>
              </m:rPr>
              <w:rPr>
                <w:rFonts w:ascii="Cambria Math" w:hAnsi="Cambria Math" w:cs="Times New Roman"/>
                <w:sz w:val="24"/>
                <w:szCs w:val="24"/>
              </w:rPr>
              <m:t xml:space="preserve"> </m:t>
            </m:r>
          </m:num>
          <m:den>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domicile</m:t>
                </m:r>
              </m:sub>
              <m:sup>
                <m: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HEI</m:t>
                </m:r>
              </m:sub>
              <m:sup>
                <m:r>
                  <w:rPr>
                    <w:rFonts w:ascii="Cambria Math" w:hAnsi="Cambria Math" w:cs="Times New Roman"/>
                    <w:sz w:val="24"/>
                    <w:szCs w:val="24"/>
                  </w:rPr>
                  <m:t>2</m:t>
                </m:r>
              </m:sup>
            </m:sSubSup>
            <m:r>
              <w:rPr>
                <w:rFonts w:ascii="Cambria Math" w:hAnsi="Cambria Math" w:cs="Times New Roman"/>
                <w:sz w:val="24"/>
                <w:szCs w:val="24"/>
              </w:rPr>
              <m:t>+3.29</m:t>
            </m:r>
          </m:den>
        </m:f>
      </m:oMath>
      <w:r w:rsidR="00552932">
        <w:rPr>
          <w:rFonts w:ascii="Times New Roman" w:hAnsi="Times New Roman" w:cs="Times New Roman"/>
          <w:sz w:val="24"/>
          <w:szCs w:val="24"/>
        </w:rPr>
        <w:t xml:space="preserve"> , and individual VPC </w:t>
      </w:r>
      <w:r w:rsidR="00552932" w:rsidRPr="00C76162">
        <w:rPr>
          <w:rFonts w:ascii="Times New Roman" w:hAnsi="Times New Roman" w:cs="Times New Roman"/>
          <w:sz w:val="24"/>
          <w:szCs w:val="24"/>
        </w:rPr>
        <w:t xml:space="preserve">as </w:t>
      </w:r>
      <m:oMath>
        <m:sSub>
          <m:sSubPr>
            <m:ctrlPr>
              <w:rPr>
                <w:rFonts w:ascii="Cambria Math" w:hAnsi="Cambria Math" w:cs="Times New Roman"/>
                <w:i/>
                <w:sz w:val="24"/>
                <w:szCs w:val="24"/>
              </w:rPr>
            </m:ctrlPr>
          </m:sSubPr>
          <m:e>
            <m:r>
              <w:rPr>
                <w:rFonts w:ascii="Cambria Math" w:hAnsi="Cambria Math" w:cs="Times New Roman"/>
                <w:sz w:val="24"/>
                <w:szCs w:val="24"/>
              </w:rPr>
              <m:t>VPC</m:t>
            </m:r>
          </m:e>
          <m:sub>
            <m:r>
              <w:rPr>
                <w:rFonts w:ascii="Cambria Math" w:hAnsi="Cambria Math" w:cs="Times New Roman"/>
                <w:sz w:val="24"/>
                <w:szCs w:val="24"/>
              </w:rPr>
              <m:t>individual</m:t>
            </m:r>
          </m:sub>
        </m:sSub>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3.29 </m:t>
            </m:r>
          </m:num>
          <m:den>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domicile</m:t>
                </m:r>
              </m:sub>
              <m:sup>
                <m: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HEI</m:t>
                </m:r>
              </m:sub>
              <m:sup>
                <m:r>
                  <w:rPr>
                    <w:rFonts w:ascii="Cambria Math" w:hAnsi="Cambria Math" w:cs="Times New Roman"/>
                    <w:sz w:val="24"/>
                    <w:szCs w:val="24"/>
                  </w:rPr>
                  <m:t>2</m:t>
                </m:r>
              </m:sup>
            </m:sSubSup>
            <m:r>
              <w:rPr>
                <w:rFonts w:ascii="Cambria Math" w:hAnsi="Cambria Math" w:cs="Times New Roman"/>
                <w:sz w:val="24"/>
                <w:szCs w:val="24"/>
              </w:rPr>
              <m:t>+3.29</m:t>
            </m:r>
          </m:den>
        </m:f>
      </m:oMath>
      <w:r w:rsidR="00552932">
        <w:rPr>
          <w:rFonts w:ascii="Times New Roman" w:hAnsi="Times New Roman" w:cs="Times New Roman"/>
          <w:sz w:val="24"/>
          <w:szCs w:val="24"/>
        </w:rPr>
        <w:t xml:space="preserve"> . </w:t>
      </w:r>
      <w:r w:rsidRPr="00C76162">
        <w:rPr>
          <w:rFonts w:ascii="Times New Roman" w:hAnsi="Times New Roman" w:cs="Times New Roman"/>
          <w:sz w:val="24"/>
          <w:szCs w:val="24"/>
        </w:rPr>
        <w:t xml:space="preserve">The multilevel logistic models were fitted by Markov chain Monte Carlo (MCMC) methods using MLwiN </w:t>
      </w:r>
      <w:r>
        <w:rPr>
          <w:rFonts w:ascii="Times New Roman" w:hAnsi="Times New Roman" w:cs="Times New Roman"/>
          <w:noProof/>
          <w:sz w:val="24"/>
          <w:szCs w:val="24"/>
        </w:rPr>
        <w:t>(Browne, 2009; Rasbash</w:t>
      </w:r>
      <w:r w:rsidRPr="00B23138">
        <w:rPr>
          <w:rFonts w:ascii="Times New Roman" w:hAnsi="Times New Roman" w:cs="Times New Roman"/>
          <w:i/>
          <w:noProof/>
          <w:sz w:val="24"/>
          <w:szCs w:val="24"/>
        </w:rPr>
        <w:t xml:space="preserve"> </w:t>
      </w:r>
      <w:r w:rsidRPr="00B23138">
        <w:rPr>
          <w:rFonts w:ascii="Times New Roman" w:hAnsi="Times New Roman" w:cs="Times New Roman"/>
          <w:i/>
          <w:noProof/>
          <w:sz w:val="24"/>
          <w:szCs w:val="24"/>
        </w:rPr>
        <w:lastRenderedPageBreak/>
        <w:t>et al.</w:t>
      </w:r>
      <w:r>
        <w:rPr>
          <w:rFonts w:ascii="Times New Roman" w:hAnsi="Times New Roman" w:cs="Times New Roman"/>
          <w:noProof/>
          <w:sz w:val="24"/>
          <w:szCs w:val="24"/>
        </w:rPr>
        <w:t>, 2014)</w:t>
      </w:r>
      <w:r w:rsidRPr="00C76162">
        <w:rPr>
          <w:rFonts w:ascii="Times New Roman" w:hAnsi="Times New Roman" w:cs="Times New Roman"/>
          <w:sz w:val="24"/>
          <w:szCs w:val="24"/>
        </w:rPr>
        <w:t>. The Bayesian Deviance Information Criterion (DIC) was used to measure models’ goodness of fit with model complexity, with a lower DIC value represents a better model fit.</w:t>
      </w:r>
    </w:p>
    <w:p w:rsidR="00CE3B64" w:rsidRPr="00C76162" w:rsidRDefault="00CE3B64" w:rsidP="00957F04">
      <w:pPr>
        <w:spacing w:before="100" w:beforeAutospacing="1" w:after="100" w:afterAutospacing="1"/>
        <w:rPr>
          <w:rFonts w:ascii="Times New Roman" w:hAnsi="Times New Roman" w:cs="Times New Roman"/>
          <w:sz w:val="24"/>
          <w:szCs w:val="24"/>
        </w:rPr>
      </w:pPr>
    </w:p>
    <w:p w:rsidR="00CE3B64" w:rsidRPr="00C76162" w:rsidRDefault="00CE3B64" w:rsidP="00957F04">
      <w:pPr>
        <w:pStyle w:val="2"/>
      </w:pPr>
      <w:r w:rsidRPr="00C76162">
        <w:t>ANALYSIS</w:t>
      </w:r>
    </w:p>
    <w:p w:rsidR="00CE3B64" w:rsidRPr="00C76162" w:rsidRDefault="00CE3B64" w:rsidP="00957F04">
      <w:pPr>
        <w:pStyle w:val="3"/>
      </w:pPr>
      <w:r w:rsidRPr="00C76162">
        <w:t>4.1 Descriptive summary of ISM patterns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Approximately 21.6% of international postgraduate students who responded their location of employment remained in the UK for employment. Table 1 presents the descriptive statistics by graduates’ </w:t>
      </w:r>
      <w:r w:rsidR="0038306A">
        <w:rPr>
          <w:rFonts w:ascii="Times New Roman" w:hAnsi="Times New Roman" w:cs="Times New Roman"/>
          <w:sz w:val="24"/>
          <w:szCs w:val="24"/>
        </w:rPr>
        <w:t>dem</w:t>
      </w:r>
      <w:r w:rsidRPr="00C76162">
        <w:rPr>
          <w:rFonts w:ascii="Times New Roman" w:hAnsi="Times New Roman" w:cs="Times New Roman"/>
          <w:sz w:val="24"/>
          <w:szCs w:val="24"/>
        </w:rPr>
        <w:t xml:space="preserve">ographic and educational backgrounds. Compared to their female counterparts (20.4%), male graduates (22.9%) were more likely to work in the UK at 1% significance level. While only 18% of graduates who received </w:t>
      </w:r>
      <w:proofErr w:type="gramStart"/>
      <w:r w:rsidRPr="00C76162">
        <w:rPr>
          <w:rFonts w:ascii="Times New Roman" w:hAnsi="Times New Roman" w:cs="Times New Roman"/>
          <w:sz w:val="24"/>
          <w:szCs w:val="24"/>
        </w:rPr>
        <w:t>masters</w:t>
      </w:r>
      <w:proofErr w:type="gramEnd"/>
      <w:r w:rsidRPr="00C76162">
        <w:rPr>
          <w:rFonts w:ascii="Times New Roman" w:hAnsi="Times New Roman" w:cs="Times New Roman"/>
          <w:sz w:val="24"/>
          <w:szCs w:val="24"/>
        </w:rPr>
        <w:t xml:space="preserve"> degrees remained to work in the UK, nearly half of doctoral degree recipients reported working in the UK. It is particularly noteworthy that a small number of graduates who were part-time students had significantly higher stay rates (29.9%) compared to full-time degree recipients (21.1%), which might can be explained by visa restrictions. Before 2018, the UK Home Office only issued Tier 4 student visa to international students in full-time studies. This suggests that those part-time degree recipients were holding visas other than Tier 4 student visa (e.g. dependant visa and Tier 2 visa etc.). In other words, those part-time degree recipients might have less visa restrictions in finding jobs in the UK than full-time degree recipients, which in turn resulted in a higher stay rate.</w:t>
      </w:r>
    </w:p>
    <w:p w:rsidR="00CE3B64"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The term job-finding method refers to the method to secure employment as oppose to merely job-searching methods. The most obvious difference between those who remained to work in the UK and those employed in other countries is the usage of personal contacts. Almost one third (30.8%) of graduates who worked in other countries reported personal contacts as their </w:t>
      </w:r>
      <w:r w:rsidRPr="00C76162">
        <w:rPr>
          <w:rFonts w:ascii="Times New Roman" w:hAnsi="Times New Roman" w:cs="Times New Roman"/>
          <w:sz w:val="24"/>
          <w:szCs w:val="24"/>
        </w:rPr>
        <w:lastRenderedPageBreak/>
        <w:t xml:space="preserve">job-finding method, which was in contrast to a smaller proportion of students (18.2%) who used personal contacts to find employment in the UK. </w:t>
      </w:r>
      <w:r>
        <w:rPr>
          <w:rFonts w:ascii="Times New Roman" w:hAnsi="Times New Roman" w:cs="Times New Roman"/>
          <w:sz w:val="24"/>
          <w:szCs w:val="24"/>
        </w:rPr>
        <w:t xml:space="preserve">It is reasonable to assume that the majority of international students has more useful contacts/networks in their home countries than in the UK. These personal contacts could reduce the costs and risks of international graduates in finding jobs and rise the probability of migrating back to their countries of origin </w:t>
      </w:r>
      <w:r>
        <w:rPr>
          <w:rFonts w:ascii="Times New Roman" w:hAnsi="Times New Roman" w:cs="Times New Roman"/>
          <w:noProof/>
          <w:sz w:val="24"/>
          <w:szCs w:val="24"/>
        </w:rPr>
        <w:t>(Guerassimoff, 2003; Massey</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1990)</w:t>
      </w:r>
      <w:r>
        <w:rPr>
          <w:rFonts w:ascii="Times New Roman" w:hAnsi="Times New Roman" w:cs="Times New Roman"/>
          <w:sz w:val="24"/>
          <w:szCs w:val="24"/>
        </w:rPr>
        <w:t xml:space="preserve">. The result of this study seems to provide additional support the importance of personal contacts in obtaining jobs which has been emphasised by previous research </w:t>
      </w:r>
      <w:r>
        <w:rPr>
          <w:rFonts w:ascii="Times New Roman" w:hAnsi="Times New Roman" w:cs="Times New Roman"/>
          <w:noProof/>
          <w:sz w:val="24"/>
          <w:szCs w:val="24"/>
        </w:rPr>
        <w:t>(Goel &amp; Lang, 2019).</w:t>
      </w:r>
    </w:p>
    <w:p w:rsidR="00CE3B64" w:rsidRPr="00C91E6C"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Students worked in the UK seem to be more successful in obtaining a job through HEI sources (e.g. Careers Service, lecturer, university website etc.). Around one fifth (19.8%) of students who remained in the UK secured a job through their universities/colleges, and doctoral graduates (25.3%) seem to </w:t>
      </w:r>
      <w:r>
        <w:rPr>
          <w:rFonts w:ascii="Times New Roman" w:hAnsi="Times New Roman" w:cs="Times New Roman"/>
          <w:sz w:val="24"/>
          <w:szCs w:val="24"/>
        </w:rPr>
        <w:t>have higher probability</w:t>
      </w:r>
      <w:r w:rsidRPr="00C76162">
        <w:rPr>
          <w:rFonts w:ascii="Times New Roman" w:hAnsi="Times New Roman" w:cs="Times New Roman"/>
          <w:sz w:val="24"/>
          <w:szCs w:val="24"/>
        </w:rPr>
        <w:t xml:space="preserve"> in obtaining a job via these sources than masters graduates (18.1</w:t>
      </w:r>
      <w:r w:rsidRPr="00C91E6C">
        <w:rPr>
          <w:rFonts w:ascii="Times New Roman" w:hAnsi="Times New Roman" w:cs="Times New Roman"/>
          <w:sz w:val="24"/>
          <w:szCs w:val="24"/>
        </w:rPr>
        <w:t>%). T</w:t>
      </w:r>
      <w:r>
        <w:rPr>
          <w:rFonts w:ascii="Times New Roman" w:hAnsi="Times New Roman" w:cs="Times New Roman"/>
          <w:sz w:val="24"/>
          <w:szCs w:val="24"/>
        </w:rPr>
        <w:t>his result</w:t>
      </w:r>
      <w:r w:rsidRPr="00C91E6C">
        <w:rPr>
          <w:rFonts w:ascii="Times New Roman" w:hAnsi="Times New Roman" w:cs="Times New Roman"/>
          <w:sz w:val="24"/>
          <w:szCs w:val="24"/>
        </w:rPr>
        <w:t xml:space="preserve"> </w:t>
      </w:r>
      <w:r>
        <w:rPr>
          <w:rFonts w:ascii="Times New Roman" w:hAnsi="Times New Roman" w:cs="Times New Roman"/>
          <w:sz w:val="24"/>
          <w:szCs w:val="24"/>
        </w:rPr>
        <w:t>stresses</w:t>
      </w:r>
      <w:r w:rsidRPr="00C91E6C">
        <w:rPr>
          <w:rFonts w:ascii="Times New Roman" w:hAnsi="Times New Roman" w:cs="Times New Roman"/>
          <w:sz w:val="24"/>
          <w:szCs w:val="24"/>
        </w:rPr>
        <w:t xml:space="preserve"> the importance of </w:t>
      </w:r>
      <w:r>
        <w:rPr>
          <w:rFonts w:ascii="Times New Roman" w:hAnsi="Times New Roman" w:cs="Times New Roman"/>
          <w:sz w:val="24"/>
          <w:szCs w:val="24"/>
        </w:rPr>
        <w:t>HEIs</w:t>
      </w:r>
      <w:r w:rsidRPr="00C91E6C">
        <w:rPr>
          <w:rFonts w:ascii="Times New Roman" w:hAnsi="Times New Roman" w:cs="Times New Roman"/>
          <w:sz w:val="24"/>
          <w:szCs w:val="24"/>
        </w:rPr>
        <w:t xml:space="preserve"> in assisting international students to find employment in the UK. Nevertheless, the university/college careers and employability services are commonly underutilised by international postgraduate students because of linguistic and cultural barriers </w:t>
      </w:r>
      <w:r>
        <w:rPr>
          <w:rFonts w:ascii="Times New Roman" w:hAnsi="Times New Roman" w:cs="Times New Roman"/>
          <w:noProof/>
          <w:sz w:val="24"/>
          <w:szCs w:val="24"/>
        </w:rPr>
        <w:t xml:space="preserve">(Raunic &amp; Xenos, 2008). </w:t>
      </w:r>
      <w:r w:rsidRPr="00C91E6C">
        <w:rPr>
          <w:rFonts w:ascii="Times New Roman" w:hAnsi="Times New Roman" w:cs="Times New Roman"/>
          <w:sz w:val="24"/>
          <w:szCs w:val="24"/>
        </w:rPr>
        <w:t xml:space="preserve">The descriptive statistics show that only 9% of the employment of international </w:t>
      </w:r>
      <w:r>
        <w:rPr>
          <w:rFonts w:ascii="Times New Roman" w:hAnsi="Times New Roman" w:cs="Times New Roman"/>
          <w:sz w:val="24"/>
          <w:szCs w:val="24"/>
        </w:rPr>
        <w:t>graduates</w:t>
      </w:r>
      <w:r w:rsidRPr="00C91E6C">
        <w:rPr>
          <w:rFonts w:ascii="Times New Roman" w:hAnsi="Times New Roman" w:cs="Times New Roman"/>
          <w:sz w:val="24"/>
          <w:szCs w:val="24"/>
        </w:rPr>
        <w:t xml:space="preserve"> was found on the basis of job information provided by HEIs.</w:t>
      </w:r>
      <w:r>
        <w:rPr>
          <w:rFonts w:ascii="Times New Roman" w:hAnsi="Times New Roman" w:cs="Times New Roman"/>
          <w:sz w:val="24"/>
          <w:szCs w:val="24"/>
        </w:rPr>
        <w:t xml:space="preserve"> </w:t>
      </w:r>
      <w:r>
        <w:rPr>
          <w:rFonts w:ascii="Times New Roman" w:hAnsi="Times New Roman" w:cs="Times New Roman"/>
          <w:noProof/>
          <w:sz w:val="24"/>
          <w:szCs w:val="24"/>
        </w:rPr>
        <w:t xml:space="preserve">What is more, HEIs in the UK are less helpful in facilitating international students to find employment outside the UK, as they generally </w:t>
      </w:r>
      <w:r w:rsidRPr="00DC2A90">
        <w:rPr>
          <w:rFonts w:ascii="Times New Roman" w:hAnsi="Times New Roman" w:cs="Times New Roman"/>
          <w:noProof/>
          <w:sz w:val="24"/>
          <w:szCs w:val="24"/>
        </w:rPr>
        <w:t>have not paid enough attention to the employability needs of international students</w:t>
      </w:r>
      <w:r>
        <w:rPr>
          <w:rFonts w:ascii="Times New Roman" w:hAnsi="Times New Roman" w:cs="Times New Roman"/>
          <w:noProof/>
          <w:sz w:val="24"/>
          <w:szCs w:val="24"/>
        </w:rPr>
        <w:t xml:space="preserve"> (Huang &amp; Turner, 2018)</w:t>
      </w:r>
      <w:r>
        <w:rPr>
          <w:rFonts w:ascii="Times New Roman" w:hAnsi="Times New Roman" w:cs="Times New Roman"/>
          <w:sz w:val="24"/>
          <w:szCs w:val="24"/>
        </w:rPr>
        <w:t>.</w:t>
      </w:r>
    </w:p>
    <w:p w:rsidR="00CE3B64" w:rsidRDefault="00CE3B64" w:rsidP="00957F04">
      <w:pPr>
        <w:spacing w:before="100" w:beforeAutospacing="1" w:after="100" w:afterAutospacing="1"/>
        <w:rPr>
          <w:rFonts w:ascii="Times New Roman" w:hAnsi="Times New Roman" w:cs="Times New Roman"/>
          <w:sz w:val="24"/>
          <w:szCs w:val="24"/>
        </w:rPr>
      </w:pPr>
    </w:p>
    <w:p w:rsidR="00CE3B64" w:rsidRPr="00552987" w:rsidRDefault="00CE3B64" w:rsidP="00957F04">
      <w:pPr>
        <w:spacing w:before="100" w:beforeAutospacing="1" w:after="100" w:afterAutospacing="1"/>
        <w:rPr>
          <w:rFonts w:ascii="Times New Roman" w:hAnsi="Times New Roman" w:cs="Times New Roman"/>
          <w:b/>
          <w:sz w:val="24"/>
          <w:szCs w:val="24"/>
        </w:rPr>
      </w:pPr>
      <w:r w:rsidRPr="00552987">
        <w:rPr>
          <w:rFonts w:ascii="Times New Roman" w:hAnsi="Times New Roman" w:cs="Times New Roman"/>
          <w:b/>
          <w:sz w:val="24"/>
          <w:szCs w:val="24"/>
        </w:rPr>
        <w:t>Please insert Table 1 here</w:t>
      </w:r>
    </w:p>
    <w:p w:rsidR="00CE3B64" w:rsidRPr="00C76162" w:rsidRDefault="00CE3B64" w:rsidP="00957F04">
      <w:pPr>
        <w:spacing w:before="100" w:beforeAutospacing="1" w:after="100" w:afterAutospacing="1"/>
        <w:rPr>
          <w:rFonts w:ascii="Times New Roman" w:hAnsi="Times New Roman" w:cs="Times New Roman"/>
          <w:sz w:val="24"/>
          <w:szCs w:val="24"/>
        </w:rPr>
      </w:pPr>
    </w:p>
    <w:p w:rsidR="00CE3B64" w:rsidRDefault="00CE3B64" w:rsidP="00957F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Figure 1</w:t>
      </w:r>
      <w:r w:rsidRPr="00C76162">
        <w:rPr>
          <w:rFonts w:ascii="Times New Roman" w:hAnsi="Times New Roman" w:cs="Times New Roman"/>
          <w:sz w:val="24"/>
          <w:szCs w:val="24"/>
        </w:rPr>
        <w:t xml:space="preserve"> shows the distribution of international postgraduate students who remained to work in the UK by age (22-47). The number of graduates aged from 19 to 21 (i.e. less than 0.2%) and aged from 48 to 60 (i.e. less than 1.3%) was relatively small. Age was found to have a negative linear association with the probability of staying in the UK among doctorate recipients, which confirmed the results in a previous study in the context of the USA (</w:t>
      </w:r>
      <w:proofErr w:type="spellStart"/>
      <w:r w:rsidRPr="00C76162">
        <w:rPr>
          <w:rFonts w:ascii="Times New Roman" w:hAnsi="Times New Roman" w:cs="Times New Roman"/>
          <w:sz w:val="24"/>
          <w:szCs w:val="24"/>
        </w:rPr>
        <w:t>Roh</w:t>
      </w:r>
      <w:proofErr w:type="spellEnd"/>
      <w:r w:rsidRPr="00C76162">
        <w:rPr>
          <w:rFonts w:ascii="Times New Roman" w:hAnsi="Times New Roman" w:cs="Times New Roman"/>
          <w:sz w:val="24"/>
          <w:szCs w:val="24"/>
        </w:rPr>
        <w:t xml:space="preserve">, 2015). However, for </w:t>
      </w:r>
      <w:proofErr w:type="gramStart"/>
      <w:r w:rsidRPr="00C76162">
        <w:rPr>
          <w:rFonts w:ascii="Times New Roman" w:hAnsi="Times New Roman" w:cs="Times New Roman"/>
          <w:sz w:val="24"/>
          <w:szCs w:val="24"/>
        </w:rPr>
        <w:t>masters</w:t>
      </w:r>
      <w:proofErr w:type="gramEnd"/>
      <w:r w:rsidRPr="00C76162">
        <w:rPr>
          <w:rFonts w:ascii="Times New Roman" w:hAnsi="Times New Roman" w:cs="Times New Roman"/>
          <w:sz w:val="24"/>
          <w:szCs w:val="24"/>
        </w:rPr>
        <w:t xml:space="preserve"> graduates, the association between age and the probability of staying was non-linear. This result indicated a differential influence of age on stay rates between doctoral graduates and masters graduates which is worthy of further examinations.</w:t>
      </w:r>
    </w:p>
    <w:p w:rsidR="00CE3B64" w:rsidRDefault="00CE3B64" w:rsidP="00957F04">
      <w:pPr>
        <w:spacing w:before="100" w:beforeAutospacing="1" w:after="100" w:afterAutospacing="1"/>
        <w:rPr>
          <w:rFonts w:ascii="Times New Roman" w:hAnsi="Times New Roman" w:cs="Times New Roman"/>
          <w:sz w:val="24"/>
          <w:szCs w:val="24"/>
        </w:rPr>
      </w:pPr>
    </w:p>
    <w:p w:rsidR="00CE3B64" w:rsidRPr="006921F0" w:rsidRDefault="00CE3B64" w:rsidP="00957F04">
      <w:pPr>
        <w:spacing w:before="100" w:beforeAutospacing="1" w:after="100" w:afterAutospacing="1"/>
        <w:rPr>
          <w:rFonts w:ascii="Times New Roman" w:hAnsi="Times New Roman" w:cs="Times New Roman"/>
          <w:b/>
          <w:sz w:val="24"/>
          <w:szCs w:val="24"/>
        </w:rPr>
      </w:pPr>
      <w:r w:rsidRPr="006921F0">
        <w:rPr>
          <w:rFonts w:ascii="Times New Roman" w:hAnsi="Times New Roman" w:cs="Times New Roman"/>
          <w:b/>
          <w:sz w:val="24"/>
          <w:szCs w:val="24"/>
        </w:rPr>
        <w:t>Please insert Figure 1 here</w:t>
      </w:r>
    </w:p>
    <w:p w:rsidR="00CE3B64" w:rsidRDefault="00CE3B64" w:rsidP="00957F04">
      <w:pPr>
        <w:spacing w:before="100" w:beforeAutospacing="1" w:after="100" w:afterAutospacing="1"/>
        <w:rPr>
          <w:rFonts w:ascii="Times New Roman" w:hAnsi="Times New Roman" w:cs="Times New Roman"/>
          <w:sz w:val="24"/>
          <w:szCs w:val="24"/>
        </w:rPr>
      </w:pPr>
    </w:p>
    <w:p w:rsidR="00CE3B64"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The rates of remaining to work in the UK varied greatly across different countries/regions and HEIs. Figure </w:t>
      </w:r>
      <w:r>
        <w:rPr>
          <w:rFonts w:ascii="Times New Roman" w:hAnsi="Times New Roman" w:cs="Times New Roman"/>
          <w:sz w:val="24"/>
          <w:szCs w:val="24"/>
        </w:rPr>
        <w:t>2</w:t>
      </w:r>
      <w:r w:rsidRPr="00C76162">
        <w:rPr>
          <w:rFonts w:ascii="Times New Roman" w:hAnsi="Times New Roman" w:cs="Times New Roman"/>
          <w:sz w:val="24"/>
          <w:szCs w:val="24"/>
        </w:rPr>
        <w:t xml:space="preserve"> shows that among UK’s top 30 sourcing countries/regions, Iran (68.1%), Bangladesh (42.6%) and Australia (41.6%) had the highest proportions of graduates remained to work in the UK, while Oman (5%), Thailand (6.1%) and Iraq (7.8%) had the lowest proportions. Figure </w:t>
      </w:r>
      <w:r>
        <w:rPr>
          <w:rFonts w:ascii="Times New Roman" w:hAnsi="Times New Roman" w:cs="Times New Roman"/>
          <w:sz w:val="24"/>
          <w:szCs w:val="24"/>
        </w:rPr>
        <w:t>3</w:t>
      </w:r>
      <w:r w:rsidRPr="00C76162">
        <w:rPr>
          <w:rFonts w:ascii="Times New Roman" w:hAnsi="Times New Roman" w:cs="Times New Roman"/>
          <w:sz w:val="24"/>
          <w:szCs w:val="24"/>
        </w:rPr>
        <w:t xml:space="preserve"> shows the stay rates of international postgraduate students who graduated from the top 30 HEIs that received the highest number of international postgraduate students in the UK. With the exception of Bournemouth University, the universities that have stay rates above the average were either Oxbridge universities or those located within London. Students who graduated from Russell Group universities (19.4%) were found less likely to remain in the UK compared to their counterparts who graduated from other universities (24.4%) at 1% significance level. Students who graduated from universities located within London (27.0%) </w:t>
      </w:r>
      <w:r w:rsidRPr="00C76162">
        <w:rPr>
          <w:rFonts w:ascii="Times New Roman" w:hAnsi="Times New Roman" w:cs="Times New Roman"/>
          <w:sz w:val="24"/>
          <w:szCs w:val="24"/>
        </w:rPr>
        <w:lastRenderedPageBreak/>
        <w:t>were found to have higher possibility of remaining to work in the UK than those who graduated from universities outside London (19.0%) at 1% significance level.</w:t>
      </w:r>
    </w:p>
    <w:p w:rsidR="00CE3B64" w:rsidRDefault="00CE3B64" w:rsidP="00957F04">
      <w:pPr>
        <w:spacing w:before="100" w:beforeAutospacing="1" w:after="100" w:afterAutospacing="1"/>
        <w:rPr>
          <w:rFonts w:ascii="Times New Roman" w:hAnsi="Times New Roman" w:cs="Times New Roman"/>
          <w:sz w:val="24"/>
          <w:szCs w:val="24"/>
        </w:rPr>
      </w:pPr>
    </w:p>
    <w:p w:rsidR="00CE3B64" w:rsidRPr="006921F0" w:rsidRDefault="00CE3B64" w:rsidP="00957F04">
      <w:pPr>
        <w:spacing w:before="100" w:beforeAutospacing="1" w:after="100" w:afterAutospacing="1"/>
        <w:rPr>
          <w:rFonts w:ascii="Times New Roman" w:hAnsi="Times New Roman" w:cs="Times New Roman"/>
          <w:b/>
          <w:sz w:val="24"/>
          <w:szCs w:val="24"/>
        </w:rPr>
      </w:pPr>
      <w:r w:rsidRPr="006921F0">
        <w:rPr>
          <w:rFonts w:ascii="Times New Roman" w:hAnsi="Times New Roman" w:cs="Times New Roman"/>
          <w:b/>
          <w:sz w:val="24"/>
          <w:szCs w:val="24"/>
        </w:rPr>
        <w:t>Please insert Figure 2 here</w:t>
      </w:r>
    </w:p>
    <w:p w:rsidR="00CE3B64" w:rsidRPr="006921F0" w:rsidRDefault="00CE3B64" w:rsidP="00957F04">
      <w:pPr>
        <w:spacing w:before="100" w:beforeAutospacing="1" w:after="100" w:afterAutospacing="1"/>
        <w:rPr>
          <w:rFonts w:ascii="Times New Roman" w:hAnsi="Times New Roman" w:cs="Times New Roman"/>
          <w:b/>
          <w:sz w:val="24"/>
          <w:szCs w:val="24"/>
        </w:rPr>
      </w:pPr>
      <w:r w:rsidRPr="006921F0">
        <w:rPr>
          <w:rFonts w:ascii="Times New Roman" w:hAnsi="Times New Roman" w:cs="Times New Roman"/>
          <w:b/>
          <w:sz w:val="24"/>
          <w:szCs w:val="24"/>
        </w:rPr>
        <w:t>Please insert Figure 3 here</w:t>
      </w:r>
    </w:p>
    <w:p w:rsidR="00CE3B64" w:rsidRPr="00C76162" w:rsidRDefault="00CE3B64" w:rsidP="00957F04">
      <w:pPr>
        <w:spacing w:before="100" w:beforeAutospacing="1" w:after="100" w:afterAutospacing="1"/>
        <w:rPr>
          <w:rFonts w:ascii="Times New Roman" w:hAnsi="Times New Roman" w:cs="Times New Roman"/>
          <w:sz w:val="24"/>
          <w:szCs w:val="24"/>
        </w:rPr>
      </w:pPr>
    </w:p>
    <w:p w:rsidR="00CE3B64" w:rsidRPr="00F56F9D" w:rsidRDefault="00CE3B64" w:rsidP="00957F04">
      <w:pPr>
        <w:pStyle w:val="3"/>
      </w:pPr>
      <w:r w:rsidRPr="00B43789">
        <w:t>4.2 Cross-classified multilevel logistic model</w:t>
      </w:r>
      <w:r>
        <w:t xml:space="preserve"> </w:t>
      </w:r>
      <w:r w:rsidRPr="00B43789">
        <w:t>analysis</w:t>
      </w:r>
    </w:p>
    <w:p w:rsidR="00CE3B64" w:rsidRPr="00C76162"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Table 2 shows the results of the null single-level, hierarchical and cross-classified models. The results of two-level hierarchical models (Model B and C) show that domicile-level VPC and HEI-level VPC were 21.1% and 17.2% respectively. Nevertheless, the cross-classified model (Model D) shows that 18% of total </w:t>
      </w:r>
      <w:r w:rsidRPr="00C90742">
        <w:rPr>
          <w:rFonts w:ascii="Times New Roman" w:hAnsi="Times New Roman" w:cs="Times New Roman"/>
          <w:sz w:val="24"/>
          <w:szCs w:val="24"/>
        </w:rPr>
        <w:t>variation</w:t>
      </w:r>
      <w:r w:rsidRPr="00C76162">
        <w:rPr>
          <w:rFonts w:ascii="Times New Roman" w:hAnsi="Times New Roman" w:cs="Times New Roman"/>
          <w:sz w:val="24"/>
          <w:szCs w:val="24"/>
        </w:rPr>
        <w:t xml:space="preserve"> in the model was between domicile groups, while 10.8% of variation was between HEI groups simultaneously. Compared to cross-classified null model, both students-within-domicile null model and students-within-HEI null model overstate level-2 </w:t>
      </w:r>
      <w:r w:rsidRPr="00C90742">
        <w:rPr>
          <w:rFonts w:ascii="Times New Roman" w:hAnsi="Times New Roman" w:cs="Times New Roman"/>
          <w:sz w:val="24"/>
          <w:szCs w:val="24"/>
        </w:rPr>
        <w:t>variation</w:t>
      </w:r>
      <w:r w:rsidRPr="00C76162">
        <w:rPr>
          <w:rFonts w:ascii="Times New Roman" w:hAnsi="Times New Roman" w:cs="Times New Roman"/>
          <w:sz w:val="24"/>
          <w:szCs w:val="24"/>
        </w:rPr>
        <w:t xml:space="preserve">, which might increase the risk of making type-1 errors </w:t>
      </w:r>
      <w:r>
        <w:rPr>
          <w:rFonts w:ascii="Times New Roman" w:hAnsi="Times New Roman" w:cs="Times New Roman"/>
          <w:noProof/>
          <w:sz w:val="24"/>
          <w:szCs w:val="24"/>
        </w:rPr>
        <w:t>(Goldstein, 2011)</w:t>
      </w:r>
      <w:r w:rsidRPr="00C76162">
        <w:rPr>
          <w:rFonts w:ascii="Times New Roman" w:hAnsi="Times New Roman" w:cs="Times New Roman"/>
          <w:sz w:val="24"/>
          <w:szCs w:val="24"/>
        </w:rPr>
        <w:t xml:space="preserve">. In addition, the comparison between the DIC of Model D and </w:t>
      </w:r>
      <w:r>
        <w:rPr>
          <w:rFonts w:ascii="Times New Roman" w:hAnsi="Times New Roman" w:cs="Times New Roman"/>
          <w:sz w:val="24"/>
          <w:szCs w:val="24"/>
        </w:rPr>
        <w:t xml:space="preserve">DICs of </w:t>
      </w:r>
      <w:r w:rsidRPr="00C76162">
        <w:rPr>
          <w:rFonts w:ascii="Times New Roman" w:hAnsi="Times New Roman" w:cs="Times New Roman"/>
          <w:sz w:val="24"/>
          <w:szCs w:val="24"/>
        </w:rPr>
        <w:t xml:space="preserve">other three models shows a considerable improvement in the case of </w:t>
      </w:r>
      <w:r>
        <w:rPr>
          <w:rFonts w:ascii="Times New Roman" w:hAnsi="Times New Roman" w:cs="Times New Roman"/>
          <w:sz w:val="24"/>
          <w:szCs w:val="24"/>
        </w:rPr>
        <w:t>cross-classified</w:t>
      </w:r>
      <w:r w:rsidRPr="00C76162">
        <w:rPr>
          <w:rFonts w:ascii="Times New Roman" w:hAnsi="Times New Roman" w:cs="Times New Roman"/>
          <w:sz w:val="24"/>
          <w:szCs w:val="24"/>
        </w:rPr>
        <w:t xml:space="preserve"> specification. Model D has the DIC</w:t>
      </w:r>
      <w:r>
        <w:rPr>
          <w:rFonts w:ascii="Times New Roman" w:hAnsi="Times New Roman" w:cs="Times New Roman"/>
          <w:sz w:val="24"/>
          <w:szCs w:val="24"/>
        </w:rPr>
        <w:t xml:space="preserve"> (</w:t>
      </w:r>
      <w:r w:rsidRPr="00F579B9">
        <w:rPr>
          <w:rFonts w:ascii="Times New Roman" w:hAnsi="Times New Roman" w:cs="Times New Roman"/>
          <w:sz w:val="24"/>
          <w:szCs w:val="24"/>
        </w:rPr>
        <w:t>36355.228</w:t>
      </w:r>
      <w:r>
        <w:rPr>
          <w:rFonts w:ascii="Times New Roman" w:hAnsi="Times New Roman" w:cs="Times New Roman"/>
          <w:sz w:val="24"/>
          <w:szCs w:val="24"/>
        </w:rPr>
        <w:t>)</w:t>
      </w:r>
      <w:r w:rsidRPr="00C76162">
        <w:rPr>
          <w:rFonts w:ascii="Times New Roman" w:hAnsi="Times New Roman" w:cs="Times New Roman"/>
          <w:sz w:val="24"/>
          <w:szCs w:val="24"/>
        </w:rPr>
        <w:t xml:space="preserve"> lower by much more than ten points, which indicates that </w:t>
      </w:r>
      <w:r>
        <w:rPr>
          <w:rFonts w:ascii="Times New Roman" w:hAnsi="Times New Roman" w:cs="Times New Roman"/>
          <w:sz w:val="24"/>
          <w:szCs w:val="24"/>
        </w:rPr>
        <w:t>cross-classified multilevel logistic models</w:t>
      </w:r>
      <w:r w:rsidRPr="00C76162">
        <w:rPr>
          <w:rFonts w:ascii="Times New Roman" w:hAnsi="Times New Roman" w:cs="Times New Roman"/>
          <w:sz w:val="24"/>
          <w:szCs w:val="24"/>
        </w:rPr>
        <w:t xml:space="preserve"> should receive substantially more statistical support</w:t>
      </w:r>
      <w:r>
        <w:rPr>
          <w:rFonts w:ascii="Times New Roman" w:hAnsi="Times New Roman" w:cs="Times New Roman"/>
          <w:sz w:val="24"/>
          <w:szCs w:val="24"/>
        </w:rPr>
        <w:t xml:space="preserve"> than single-level models and two-level models</w:t>
      </w:r>
      <w:r w:rsidRPr="00C76162">
        <w:rPr>
          <w:rFonts w:ascii="Times New Roman" w:hAnsi="Times New Roman" w:cs="Times New Roman"/>
          <w:sz w:val="24"/>
          <w:szCs w:val="24"/>
        </w:rPr>
        <w:t xml:space="preserve"> </w:t>
      </w:r>
      <w:r>
        <w:rPr>
          <w:rFonts w:ascii="Times New Roman" w:hAnsi="Times New Roman" w:cs="Times New Roman"/>
          <w:noProof/>
          <w:sz w:val="24"/>
          <w:szCs w:val="24"/>
        </w:rPr>
        <w:t>(Spiegelhalter</w:t>
      </w:r>
      <w:r w:rsidRPr="00B23138">
        <w:rPr>
          <w:rFonts w:ascii="Times New Roman" w:hAnsi="Times New Roman" w:cs="Times New Roman"/>
          <w:i/>
          <w:noProof/>
          <w:sz w:val="24"/>
          <w:szCs w:val="24"/>
        </w:rPr>
        <w:t xml:space="preserve"> et al.</w:t>
      </w:r>
      <w:r>
        <w:rPr>
          <w:rFonts w:ascii="Times New Roman" w:hAnsi="Times New Roman" w:cs="Times New Roman"/>
          <w:noProof/>
          <w:sz w:val="24"/>
          <w:szCs w:val="24"/>
        </w:rPr>
        <w:t>, 2002)</w:t>
      </w:r>
      <w:r w:rsidRPr="00C76162">
        <w:rPr>
          <w:rFonts w:ascii="Times New Roman" w:hAnsi="Times New Roman" w:cs="Times New Roman"/>
          <w:sz w:val="24"/>
          <w:szCs w:val="24"/>
        </w:rPr>
        <w:t>.</w:t>
      </w:r>
    </w:p>
    <w:p w:rsidR="00CE3B64" w:rsidRDefault="00CE3B64" w:rsidP="00957F04">
      <w:pPr>
        <w:spacing w:before="100" w:beforeAutospacing="1" w:after="100" w:afterAutospacing="1"/>
        <w:rPr>
          <w:rFonts w:ascii="Times New Roman" w:hAnsi="Times New Roman" w:cs="Times New Roman"/>
          <w:sz w:val="24"/>
          <w:szCs w:val="24"/>
        </w:rPr>
      </w:pPr>
    </w:p>
    <w:p w:rsidR="00CE3B64" w:rsidRPr="00552987" w:rsidRDefault="00CE3B64" w:rsidP="00957F04">
      <w:pPr>
        <w:spacing w:before="100" w:beforeAutospacing="1" w:after="100" w:afterAutospacing="1"/>
        <w:rPr>
          <w:rFonts w:ascii="Times New Roman" w:hAnsi="Times New Roman" w:cs="Times New Roman"/>
          <w:b/>
          <w:sz w:val="24"/>
          <w:szCs w:val="24"/>
        </w:rPr>
      </w:pPr>
      <w:r w:rsidRPr="00552987">
        <w:rPr>
          <w:rFonts w:ascii="Times New Roman" w:hAnsi="Times New Roman" w:cs="Times New Roman"/>
          <w:b/>
          <w:sz w:val="24"/>
          <w:szCs w:val="24"/>
        </w:rPr>
        <w:t>Please insert Table 2 here</w:t>
      </w:r>
    </w:p>
    <w:p w:rsidR="00CE3B64" w:rsidRPr="00C76162" w:rsidRDefault="00CE3B64" w:rsidP="00957F04">
      <w:pPr>
        <w:spacing w:before="100" w:beforeAutospacing="1" w:after="100" w:afterAutospacing="1"/>
        <w:rPr>
          <w:rFonts w:ascii="Times New Roman" w:hAnsi="Times New Roman" w:cs="Times New Roman"/>
          <w:sz w:val="24"/>
          <w:szCs w:val="24"/>
        </w:rPr>
      </w:pPr>
    </w:p>
    <w:p w:rsidR="00CE3B64" w:rsidRPr="00C76162" w:rsidRDefault="00CE3B64" w:rsidP="00957F04">
      <w:pPr>
        <w:spacing w:before="100" w:beforeAutospacing="1" w:after="100" w:afterAutospacing="1"/>
        <w:rPr>
          <w:rFonts w:ascii="Times New Roman" w:hAnsi="Times New Roman" w:cs="Times New Roman"/>
          <w:bCs/>
          <w:sz w:val="24"/>
          <w:szCs w:val="24"/>
        </w:rPr>
      </w:pPr>
      <w:r w:rsidRPr="00C76162">
        <w:rPr>
          <w:rFonts w:ascii="Times New Roman" w:hAnsi="Times New Roman" w:cs="Times New Roman"/>
          <w:sz w:val="24"/>
          <w:szCs w:val="24"/>
        </w:rPr>
        <w:t xml:space="preserve">Table 3 (Model 1-3) presents the results of selected multilevel logistic models. These models were built by adding individual-level and higher-level variables in groups into the baseline model (Model D, </w:t>
      </w:r>
      <w:r w:rsidR="008E7650">
        <w:rPr>
          <w:rFonts w:ascii="Times New Roman" w:hAnsi="Times New Roman" w:cs="Times New Roman"/>
          <w:sz w:val="24"/>
          <w:szCs w:val="24"/>
        </w:rPr>
        <w:t xml:space="preserve">in </w:t>
      </w:r>
      <w:r w:rsidRPr="00C76162">
        <w:rPr>
          <w:rFonts w:ascii="Times New Roman" w:hAnsi="Times New Roman" w:cs="Times New Roman"/>
          <w:sz w:val="24"/>
          <w:szCs w:val="24"/>
        </w:rPr>
        <w:t>Table 2). For each model, Wald tests were performed to examine whether the coefficients of newly added variables were significant at least at the 5% level. Variables that had non-significant coefficients and those which did not improve the model fit were excluded from latter models.</w:t>
      </w:r>
      <w:r w:rsidRPr="00C76162">
        <w:rPr>
          <w:rFonts w:ascii="Times New Roman" w:hAnsi="Times New Roman" w:cs="Times New Roman"/>
          <w:bCs/>
          <w:sz w:val="24"/>
          <w:szCs w:val="24"/>
        </w:rPr>
        <w:t xml:space="preserve"> Model 1 included individual-level variables only. Two sets of interaction terms between educational backgrounds and gender were added in Model 2. Lastly, HEI-level variables were incorporated in Model 3 to examine the impacts of HEIs on employment location of international students.</w:t>
      </w:r>
    </w:p>
    <w:p w:rsidR="00CE3B64" w:rsidRPr="00C76162" w:rsidRDefault="00CE3B64" w:rsidP="00957F04">
      <w:pPr>
        <w:spacing w:before="100" w:beforeAutospacing="1" w:after="100" w:afterAutospacing="1"/>
        <w:rPr>
          <w:rFonts w:ascii="Times New Roman" w:hAnsi="Times New Roman" w:cs="Times New Roman"/>
        </w:rPr>
      </w:pPr>
      <w:r w:rsidRPr="00C76162">
        <w:rPr>
          <w:rFonts w:ascii="Times New Roman" w:hAnsi="Times New Roman" w:cs="Times New Roman"/>
          <w:bCs/>
          <w:sz w:val="24"/>
          <w:szCs w:val="24"/>
        </w:rPr>
        <w:t xml:space="preserve">In Model 1, a series of polynomial functions of age (centred to its grand mean) were tested, and the cubic function was found to have the best model fit compared to other functions of age, which confirmed the non-linear relationship between age and stay-rate that has been identified in Figure </w:t>
      </w:r>
      <w:r w:rsidR="005608A2">
        <w:rPr>
          <w:rFonts w:ascii="Times New Roman" w:hAnsi="Times New Roman" w:cs="Times New Roman"/>
          <w:bCs/>
          <w:sz w:val="24"/>
          <w:szCs w:val="24"/>
        </w:rPr>
        <w:t>1</w:t>
      </w:r>
      <w:r w:rsidRPr="00C76162">
        <w:rPr>
          <w:rFonts w:ascii="Times New Roman" w:hAnsi="Times New Roman" w:cs="Times New Roman"/>
          <w:bCs/>
          <w:sz w:val="24"/>
          <w:szCs w:val="24"/>
        </w:rPr>
        <w:t xml:space="preserve">. Coefficients of educational background variables confirmed the results of descriptive statistics. </w:t>
      </w:r>
      <w:r w:rsidRPr="00C76162">
        <w:rPr>
          <w:rFonts w:ascii="Times New Roman" w:hAnsi="Times New Roman" w:cs="Times New Roman"/>
          <w:noProof/>
          <w:sz w:val="24"/>
          <w:szCs w:val="24"/>
          <w:lang w:eastAsia="en-GB"/>
        </w:rPr>
        <w:t>After controlling for other variables, doctoral degree recipients were 3.8 times more likely to stay (</w:t>
      </w:r>
      <w:r w:rsidRPr="00C76162">
        <w:rPr>
          <w:rFonts w:ascii="Times New Roman" w:hAnsi="Times New Roman" w:cs="Times New Roman"/>
          <w:sz w:val="24"/>
          <w:szCs w:val="24"/>
        </w:rPr>
        <w:t>β=1.336</w:t>
      </w:r>
      <w:r w:rsidR="00B8194D">
        <w:rPr>
          <w:rFonts w:ascii="Times New Roman" w:hAnsi="Times New Roman" w:cs="Times New Roman"/>
          <w:sz w:val="24"/>
          <w:szCs w:val="24"/>
        </w:rPr>
        <w:t>, odds ratio=</w:t>
      </w:r>
      <m:oMath>
        <m:sSup>
          <m:sSupPr>
            <m:ctrlPr>
              <w:rPr>
                <w:rFonts w:ascii="Cambria Math" w:hAnsi="Cambria Math" w:cs="Times New Roman"/>
                <w:i/>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β</m:t>
            </m:r>
          </m:sup>
        </m:sSup>
      </m:oMath>
      <w:r w:rsidR="002A2994">
        <w:rPr>
          <w:rFonts w:ascii="Times New Roman" w:hAnsi="Times New Roman" w:cs="Times New Roman"/>
          <w:sz w:val="24"/>
          <w:szCs w:val="24"/>
        </w:rPr>
        <w:t>=3.8</w:t>
      </w:r>
      <w:r w:rsidRPr="00C76162">
        <w:rPr>
          <w:rFonts w:ascii="Times New Roman" w:hAnsi="Times New Roman" w:cs="Times New Roman"/>
          <w:noProof/>
          <w:sz w:val="24"/>
          <w:szCs w:val="24"/>
          <w:lang w:eastAsia="en-GB"/>
        </w:rPr>
        <w:t>) compared to masters degree recipients. Graduates who attended full-time programmes were 31.1% less likely (</w:t>
      </w:r>
      <w:r w:rsidRPr="00C76162">
        <w:rPr>
          <w:rFonts w:ascii="Times New Roman" w:hAnsi="Times New Roman" w:cs="Times New Roman"/>
          <w:sz w:val="24"/>
          <w:szCs w:val="24"/>
        </w:rPr>
        <w:t>β=</w:t>
      </w:r>
      <w:r w:rsidR="002A2994">
        <w:rPr>
          <w:rFonts w:ascii="Times New Roman" w:hAnsi="Times New Roman" w:cs="Times New Roman"/>
          <w:sz w:val="24"/>
          <w:szCs w:val="24"/>
        </w:rPr>
        <w:t xml:space="preserve"> </w:t>
      </w:r>
      <w:r w:rsidRPr="00C76162">
        <w:rPr>
          <w:rFonts w:ascii="Times New Roman" w:hAnsi="Times New Roman" w:cs="Times New Roman"/>
          <w:sz w:val="24"/>
          <w:szCs w:val="24"/>
        </w:rPr>
        <w:t>-0.372)</w:t>
      </w:r>
      <w:r w:rsidRPr="00C76162">
        <w:rPr>
          <w:rFonts w:ascii="Times New Roman" w:hAnsi="Times New Roman" w:cs="Times New Roman"/>
          <w:noProof/>
          <w:sz w:val="24"/>
          <w:szCs w:val="24"/>
          <w:lang w:eastAsia="en-GB"/>
        </w:rPr>
        <w:t xml:space="preserve"> to work in the UK than their counterparts who took part-time programmes. </w:t>
      </w:r>
      <w:r w:rsidRPr="00C76162">
        <w:rPr>
          <w:rFonts w:ascii="Times New Roman" w:hAnsi="Times New Roman" w:cs="Times New Roman"/>
          <w:sz w:val="24"/>
          <w:szCs w:val="24"/>
        </w:rPr>
        <w:t>In terms of subject area, after controlling, STEM graduates (β=0.468) and BAS graduates (β=0.298) were 59.7% and 34.7% more likely to work in the UK respectively compared to graduates who studied in other non-STEM subjects.</w:t>
      </w:r>
    </w:p>
    <w:p w:rsidR="00CE3B64" w:rsidRPr="001B7453"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STEM graduates and doctoral graduates were found to have higher probability of remaining than graduates with other educational backgrounds, and this could be explained by several potential mechanisms. Firstly, STEM graduates could obtain work permits</w:t>
      </w:r>
      <w:r>
        <w:rPr>
          <w:rFonts w:ascii="Times New Roman" w:hAnsi="Times New Roman" w:cs="Times New Roman"/>
          <w:sz w:val="24"/>
          <w:szCs w:val="24"/>
        </w:rPr>
        <w:t xml:space="preserve"> </w:t>
      </w:r>
      <w:r w:rsidRPr="00C76162">
        <w:rPr>
          <w:rFonts w:ascii="Times New Roman" w:hAnsi="Times New Roman" w:cs="Times New Roman"/>
          <w:sz w:val="24"/>
          <w:szCs w:val="24"/>
        </w:rPr>
        <w:t xml:space="preserve">more easily in the </w:t>
      </w:r>
      <w:r w:rsidRPr="00C76162">
        <w:rPr>
          <w:rFonts w:ascii="Times New Roman" w:hAnsi="Times New Roman" w:cs="Times New Roman"/>
          <w:sz w:val="24"/>
          <w:szCs w:val="24"/>
        </w:rPr>
        <w:lastRenderedPageBreak/>
        <w:t xml:space="preserve">UK. Several government reports have mentioned that there is a considerable high-skill labour shortage in STEM fields in the UK </w:t>
      </w:r>
      <w:r>
        <w:rPr>
          <w:rFonts w:ascii="Times New Roman" w:hAnsi="Times New Roman" w:cs="Times New Roman"/>
          <w:noProof/>
          <w:sz w:val="24"/>
          <w:szCs w:val="24"/>
        </w:rPr>
        <w:t>(BEIS, 2017; Bosworth</w:t>
      </w:r>
      <w:r w:rsidRPr="001711D7">
        <w:rPr>
          <w:rFonts w:ascii="Times New Roman" w:hAnsi="Times New Roman" w:cs="Times New Roman"/>
          <w:i/>
          <w:noProof/>
          <w:sz w:val="24"/>
          <w:szCs w:val="24"/>
        </w:rPr>
        <w:t xml:space="preserve"> et al.</w:t>
      </w:r>
      <w:r>
        <w:rPr>
          <w:rFonts w:ascii="Times New Roman" w:hAnsi="Times New Roman" w:cs="Times New Roman"/>
          <w:noProof/>
          <w:sz w:val="24"/>
          <w:szCs w:val="24"/>
        </w:rPr>
        <w:t>, 2013; Störmer</w:t>
      </w:r>
      <w:r w:rsidRPr="001711D7">
        <w:rPr>
          <w:rFonts w:ascii="Times New Roman" w:hAnsi="Times New Roman" w:cs="Times New Roman"/>
          <w:i/>
          <w:noProof/>
          <w:sz w:val="24"/>
          <w:szCs w:val="24"/>
        </w:rPr>
        <w:t xml:space="preserve"> et al.</w:t>
      </w:r>
      <w:r>
        <w:rPr>
          <w:rFonts w:ascii="Times New Roman" w:hAnsi="Times New Roman" w:cs="Times New Roman"/>
          <w:noProof/>
          <w:sz w:val="24"/>
          <w:szCs w:val="24"/>
        </w:rPr>
        <w:t>, 2014; UKCES, 2015)</w:t>
      </w:r>
      <w:r w:rsidRPr="00C76162">
        <w:rPr>
          <w:rFonts w:ascii="Times New Roman" w:hAnsi="Times New Roman" w:cs="Times New Roman"/>
          <w:sz w:val="24"/>
          <w:szCs w:val="24"/>
        </w:rPr>
        <w:t xml:space="preserve">. According to the UK Home Office </w:t>
      </w:r>
      <w:r w:rsidRPr="00C76162">
        <w:rPr>
          <w:rFonts w:ascii="Times New Roman" w:hAnsi="Times New Roman" w:cs="Times New Roman"/>
          <w:noProof/>
          <w:sz w:val="24"/>
          <w:szCs w:val="24"/>
        </w:rPr>
        <w:t>(2019)</w:t>
      </w:r>
      <w:r w:rsidRPr="00C76162">
        <w:rPr>
          <w:rFonts w:ascii="Times New Roman" w:hAnsi="Times New Roman" w:cs="Times New Roman"/>
          <w:sz w:val="24"/>
          <w:szCs w:val="24"/>
        </w:rPr>
        <w:t xml:space="preserve">, migrants in shortage occupations could be awarded attribute points for the Tier 2 General work visa sponsorship more easily than other migrants. Secondly, different labour market opportunities for doctoral graduates and masters graduates might lead to their different migration processes. Compared to taught masters, PhD holders are </w:t>
      </w:r>
      <w:r>
        <w:rPr>
          <w:rFonts w:ascii="Times New Roman" w:hAnsi="Times New Roman" w:cs="Times New Roman"/>
          <w:sz w:val="24"/>
          <w:szCs w:val="24"/>
        </w:rPr>
        <w:t xml:space="preserve">generally </w:t>
      </w:r>
      <w:r w:rsidRPr="00C76162">
        <w:rPr>
          <w:rFonts w:ascii="Times New Roman" w:hAnsi="Times New Roman" w:cs="Times New Roman"/>
          <w:sz w:val="24"/>
          <w:szCs w:val="24"/>
        </w:rPr>
        <w:t xml:space="preserve">more likely to work in higher education sector and R&amp;D positions in the private sectors </w:t>
      </w:r>
      <w:r>
        <w:rPr>
          <w:rFonts w:ascii="Times New Roman" w:hAnsi="Times New Roman" w:cs="Times New Roman"/>
          <w:noProof/>
          <w:sz w:val="24"/>
          <w:szCs w:val="24"/>
        </w:rPr>
        <w:t>(Garcia-Quevedo</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C76162">
        <w:rPr>
          <w:rFonts w:ascii="Times New Roman" w:hAnsi="Times New Roman" w:cs="Times New Roman"/>
          <w:sz w:val="24"/>
          <w:szCs w:val="24"/>
        </w:rPr>
        <w:t xml:space="preserve">. However, the absorbing capabilities for highly qualified human capital in less advanced countries are lower due to the insufficient R&amp;D expenditure in industry, which might result in doctoral graduates who came from those countries are more intended to remain in host countries (e.g. UK) for employments that match their skill-levels </w:t>
      </w:r>
      <w:r>
        <w:rPr>
          <w:rFonts w:ascii="Times New Roman" w:hAnsi="Times New Roman" w:cs="Times New Roman"/>
          <w:noProof/>
          <w:sz w:val="24"/>
          <w:szCs w:val="24"/>
        </w:rPr>
        <w:t>(Harvey, 2011; Morano-Foadi, 2005)</w:t>
      </w:r>
      <w:r w:rsidRPr="00C76162">
        <w:rPr>
          <w:rFonts w:ascii="Times New Roman" w:hAnsi="Times New Roman" w:cs="Times New Roman"/>
          <w:sz w:val="24"/>
          <w:szCs w:val="24"/>
        </w:rPr>
        <w:t>. The UK’s increasing demand for highly skilled labour in those fields might provide STEM international postgraduates</w:t>
      </w:r>
      <w:r>
        <w:rPr>
          <w:rFonts w:ascii="Times New Roman" w:hAnsi="Times New Roman" w:cs="Times New Roman"/>
          <w:sz w:val="24"/>
          <w:szCs w:val="24"/>
        </w:rPr>
        <w:t xml:space="preserve">, </w:t>
      </w:r>
      <w:r w:rsidRPr="001B7453">
        <w:rPr>
          <w:rFonts w:ascii="Times New Roman" w:hAnsi="Times New Roman" w:cs="Times New Roman"/>
          <w:sz w:val="24"/>
          <w:szCs w:val="24"/>
        </w:rPr>
        <w:t xml:space="preserve">especially at doctoral level, more opportunities to remain in the UK for employment. </w:t>
      </w:r>
    </w:p>
    <w:p w:rsidR="00CE3B64" w:rsidRPr="001B7453" w:rsidRDefault="00CE3B64" w:rsidP="00957F04">
      <w:pPr>
        <w:spacing w:before="100" w:beforeAutospacing="1" w:after="100" w:afterAutospacing="1"/>
        <w:rPr>
          <w:rFonts w:ascii="Times New Roman" w:hAnsi="Times New Roman" w:cs="Times New Roman"/>
          <w:sz w:val="24"/>
          <w:szCs w:val="24"/>
        </w:rPr>
      </w:pPr>
      <w:r w:rsidRPr="001B7453">
        <w:rPr>
          <w:rFonts w:ascii="Times New Roman" w:hAnsi="Times New Roman" w:cs="Times New Roman"/>
          <w:bCs/>
          <w:sz w:val="24"/>
          <w:szCs w:val="24"/>
        </w:rPr>
        <w:t xml:space="preserve">In descriptive results mentioned previously, there was a higher proportion of male graduates than females remained to work in the UK. However, logistic regression analysis found more nuanced gender influence on employment locations of international postgraduates. </w:t>
      </w:r>
      <w:r w:rsidRPr="001B7453">
        <w:rPr>
          <w:rFonts w:ascii="Times New Roman" w:hAnsi="Times New Roman" w:cs="Times New Roman"/>
          <w:sz w:val="24"/>
          <w:szCs w:val="24"/>
        </w:rPr>
        <w:t xml:space="preserve">Model 2 included two groups of interactions: the interaction between level of qualification and gender, and interactions between subject area and gender. </w:t>
      </w:r>
      <w:r w:rsidRPr="001B7453">
        <w:rPr>
          <w:rFonts w:ascii="Times New Roman" w:hAnsi="Times New Roman" w:cs="Times New Roman"/>
          <w:bCs/>
          <w:sz w:val="24"/>
          <w:szCs w:val="24"/>
        </w:rPr>
        <w:t>After controlling, the coefficient of</w:t>
      </w:r>
      <w:r w:rsidRPr="001B7453">
        <w:rPr>
          <w:rFonts w:ascii="Times New Roman" w:hAnsi="Times New Roman" w:cs="Times New Roman"/>
          <w:sz w:val="24"/>
          <w:szCs w:val="24"/>
        </w:rPr>
        <w:t xml:space="preserve"> </w:t>
      </w:r>
      <w:proofErr w:type="spellStart"/>
      <w:r w:rsidRPr="001B7453">
        <w:rPr>
          <w:rFonts w:ascii="Times New Roman" w:hAnsi="Times New Roman" w:cs="Times New Roman"/>
          <w:sz w:val="24"/>
          <w:szCs w:val="24"/>
        </w:rPr>
        <w:t>doctoral</w:t>
      </w:r>
      <w:r w:rsidRPr="001B7453">
        <w:rPr>
          <w:rFonts w:ascii="Times New Roman" w:hAnsi="Times New Roman" w:cs="Times New Roman"/>
          <w:b/>
          <w:sz w:val="24"/>
          <w:szCs w:val="24"/>
        </w:rPr>
        <w:t>×</w:t>
      </w:r>
      <w:r w:rsidRPr="001B7453">
        <w:rPr>
          <w:rFonts w:ascii="Times New Roman" w:hAnsi="Times New Roman" w:cs="Times New Roman"/>
          <w:sz w:val="24"/>
          <w:szCs w:val="24"/>
        </w:rPr>
        <w:t>female</w:t>
      </w:r>
      <w:proofErr w:type="spellEnd"/>
      <w:r w:rsidRPr="001B7453">
        <w:rPr>
          <w:rFonts w:ascii="Times New Roman" w:hAnsi="Times New Roman" w:cs="Times New Roman"/>
          <w:sz w:val="24"/>
          <w:szCs w:val="24"/>
        </w:rPr>
        <w:t xml:space="preserve"> was significant at 1% level, which indicated that the gender effect differs between doctoral graduates and masters graduates. The coefficient of gender (β=0.217) indicated that, </w:t>
      </w:r>
      <w:r>
        <w:rPr>
          <w:rFonts w:ascii="Times New Roman" w:hAnsi="Times New Roman" w:cs="Times New Roman"/>
          <w:sz w:val="24"/>
          <w:szCs w:val="24"/>
        </w:rPr>
        <w:t xml:space="preserve">among </w:t>
      </w:r>
      <w:proofErr w:type="spellStart"/>
      <w:r w:rsidRPr="001B7453">
        <w:rPr>
          <w:rFonts w:ascii="Times New Roman" w:hAnsi="Times New Roman" w:cs="Times New Roman"/>
          <w:sz w:val="24"/>
          <w:szCs w:val="24"/>
        </w:rPr>
        <w:t>masters</w:t>
      </w:r>
      <w:proofErr w:type="spellEnd"/>
      <w:r w:rsidRPr="001B7453">
        <w:rPr>
          <w:rFonts w:ascii="Times New Roman" w:hAnsi="Times New Roman" w:cs="Times New Roman"/>
          <w:sz w:val="24"/>
          <w:szCs w:val="24"/>
        </w:rPr>
        <w:t xml:space="preserve"> degree recipients, females were 24.2% more likely to remain in the UK than males after controlling for other factors. However, </w:t>
      </w:r>
      <w:r>
        <w:rPr>
          <w:rFonts w:ascii="Times New Roman" w:hAnsi="Times New Roman" w:cs="Times New Roman"/>
          <w:sz w:val="24"/>
          <w:szCs w:val="24"/>
        </w:rPr>
        <w:t xml:space="preserve">among </w:t>
      </w:r>
      <w:r w:rsidRPr="001B7453">
        <w:rPr>
          <w:rFonts w:ascii="Times New Roman" w:hAnsi="Times New Roman" w:cs="Times New Roman"/>
          <w:sz w:val="24"/>
          <w:szCs w:val="24"/>
        </w:rPr>
        <w:t xml:space="preserve">doctoral degree recipients, the odds of remaining for females was 2.7% lower than for male graduates </w:t>
      </w:r>
      <w:r w:rsidRPr="001B7453">
        <w:rPr>
          <w:rFonts w:ascii="Times New Roman" w:hAnsi="Times New Roman" w:cs="Times New Roman"/>
          <w:sz w:val="24"/>
          <w:szCs w:val="24"/>
        </w:rPr>
        <w:lastRenderedPageBreak/>
        <w:t xml:space="preserve">(β=coefficient of gender + coefficient of </w:t>
      </w:r>
      <w:proofErr w:type="spellStart"/>
      <w:r w:rsidRPr="001B7453">
        <w:rPr>
          <w:rFonts w:ascii="Times New Roman" w:hAnsi="Times New Roman" w:cs="Times New Roman"/>
          <w:sz w:val="24"/>
          <w:szCs w:val="24"/>
        </w:rPr>
        <w:t>doctoral</w:t>
      </w:r>
      <w:r w:rsidRPr="001B7453">
        <w:rPr>
          <w:rFonts w:ascii="Times New Roman" w:hAnsi="Times New Roman" w:cs="Times New Roman"/>
          <w:b/>
          <w:sz w:val="24"/>
          <w:szCs w:val="24"/>
        </w:rPr>
        <w:t>×</w:t>
      </w:r>
      <w:r w:rsidRPr="001B7453">
        <w:rPr>
          <w:rFonts w:ascii="Times New Roman" w:hAnsi="Times New Roman" w:cs="Times New Roman"/>
          <w:sz w:val="24"/>
          <w:szCs w:val="24"/>
        </w:rPr>
        <w:t>female</w:t>
      </w:r>
      <w:proofErr w:type="spellEnd"/>
      <w:r w:rsidRPr="001B7453">
        <w:rPr>
          <w:rFonts w:ascii="Times New Roman" w:hAnsi="Times New Roman" w:cs="Times New Roman"/>
          <w:sz w:val="24"/>
          <w:szCs w:val="24"/>
        </w:rPr>
        <w:t xml:space="preserve">=0.217 - 0.244). The interactions between subject area and gender were jointly significant at the 1% level. However, only the coefficient of </w:t>
      </w:r>
      <w:proofErr w:type="spellStart"/>
      <w:r w:rsidRPr="001B7453">
        <w:rPr>
          <w:rFonts w:ascii="Times New Roman" w:hAnsi="Times New Roman" w:cs="Times New Roman"/>
          <w:sz w:val="24"/>
          <w:szCs w:val="24"/>
        </w:rPr>
        <w:t>STEM</w:t>
      </w:r>
      <w:r w:rsidRPr="001B7453">
        <w:rPr>
          <w:rFonts w:ascii="Times New Roman" w:hAnsi="Times New Roman" w:cs="Times New Roman"/>
          <w:b/>
          <w:sz w:val="24"/>
          <w:szCs w:val="24"/>
        </w:rPr>
        <w:t>×</w:t>
      </w:r>
      <w:r w:rsidRPr="001B7453">
        <w:rPr>
          <w:rFonts w:ascii="Times New Roman" w:hAnsi="Times New Roman" w:cs="Times New Roman"/>
          <w:sz w:val="24"/>
          <w:szCs w:val="24"/>
        </w:rPr>
        <w:t>female</w:t>
      </w:r>
      <w:proofErr w:type="spellEnd"/>
      <w:r w:rsidRPr="001B7453">
        <w:rPr>
          <w:rFonts w:ascii="Times New Roman" w:hAnsi="Times New Roman" w:cs="Times New Roman"/>
          <w:sz w:val="24"/>
          <w:szCs w:val="24"/>
        </w:rPr>
        <w:t xml:space="preserve"> was significant (p&lt;0.01), while the coefficient of </w:t>
      </w:r>
      <w:proofErr w:type="spellStart"/>
      <w:r w:rsidRPr="001B7453">
        <w:rPr>
          <w:rFonts w:ascii="Times New Roman" w:hAnsi="Times New Roman" w:cs="Times New Roman"/>
          <w:sz w:val="24"/>
          <w:szCs w:val="24"/>
        </w:rPr>
        <w:t>BAS</w:t>
      </w:r>
      <w:r w:rsidRPr="001B7453">
        <w:rPr>
          <w:rFonts w:ascii="Times New Roman" w:hAnsi="Times New Roman" w:cs="Times New Roman"/>
          <w:b/>
          <w:sz w:val="24"/>
          <w:szCs w:val="24"/>
        </w:rPr>
        <w:t>×</w:t>
      </w:r>
      <w:r w:rsidRPr="001B7453">
        <w:rPr>
          <w:rFonts w:ascii="Times New Roman" w:hAnsi="Times New Roman" w:cs="Times New Roman"/>
          <w:sz w:val="24"/>
          <w:szCs w:val="24"/>
        </w:rPr>
        <w:t>female</w:t>
      </w:r>
      <w:proofErr w:type="spellEnd"/>
      <w:r w:rsidRPr="001B7453">
        <w:rPr>
          <w:rFonts w:ascii="Times New Roman" w:hAnsi="Times New Roman" w:cs="Times New Roman"/>
          <w:sz w:val="24"/>
          <w:szCs w:val="24"/>
        </w:rPr>
        <w:t xml:space="preserve"> was not significantly different from zero. This result suggested that female students (β=0.217) who received degrees in other non-STEM subject areas generally have a higher probability of remaining to work in the UK compared to their male counterparts. This gender advantage would be less obvious among STEM graduates (β=0.217 - 0.176) and among BAS graduates (β=0.217 - 0.076, and not significant at the 5% level).</w:t>
      </w:r>
    </w:p>
    <w:p w:rsidR="00CE3B64" w:rsidRPr="001B7453" w:rsidRDefault="00CE3B64" w:rsidP="00957F04">
      <w:pPr>
        <w:tabs>
          <w:tab w:val="left" w:pos="1657"/>
        </w:tabs>
        <w:spacing w:before="100" w:beforeAutospacing="1" w:after="100" w:afterAutospacing="1"/>
        <w:rPr>
          <w:rFonts w:ascii="Times New Roman" w:hAnsi="Times New Roman" w:cs="Times New Roman"/>
          <w:sz w:val="24"/>
          <w:szCs w:val="24"/>
        </w:rPr>
      </w:pPr>
      <w:r w:rsidRPr="001B7453">
        <w:rPr>
          <w:rFonts w:ascii="Times New Roman" w:hAnsi="Times New Roman" w:cs="Times New Roman"/>
          <w:sz w:val="24"/>
          <w:szCs w:val="24"/>
        </w:rPr>
        <w:t xml:space="preserve">The findings of this study suggest that female international students are generally more mobile than males, and the influence of gender on employment destination is depending on students’ level of qualification and subject area. The gender difference on employment destinations was negligible among doctorate recipients, but it was much more obvious among </w:t>
      </w:r>
      <w:proofErr w:type="spellStart"/>
      <w:proofErr w:type="gramStart"/>
      <w:r w:rsidRPr="001B7453">
        <w:rPr>
          <w:rFonts w:ascii="Times New Roman" w:hAnsi="Times New Roman" w:cs="Times New Roman"/>
          <w:sz w:val="24"/>
          <w:szCs w:val="24"/>
        </w:rPr>
        <w:t>masters</w:t>
      </w:r>
      <w:proofErr w:type="spellEnd"/>
      <w:proofErr w:type="gramEnd"/>
      <w:r w:rsidRPr="001B7453">
        <w:rPr>
          <w:rFonts w:ascii="Times New Roman" w:hAnsi="Times New Roman" w:cs="Times New Roman"/>
          <w:sz w:val="24"/>
          <w:szCs w:val="24"/>
        </w:rPr>
        <w:t xml:space="preserve"> degree recipients. There are mixed arguments on the influence of overseas education and living experience on female students. Some argue that transnational family ties </w:t>
      </w:r>
      <w:r>
        <w:rPr>
          <w:rFonts w:ascii="Times New Roman" w:hAnsi="Times New Roman" w:cs="Times New Roman"/>
          <w:noProof/>
          <w:sz w:val="24"/>
          <w:szCs w:val="24"/>
        </w:rPr>
        <w:t>(Geddie, 2013)</w:t>
      </w:r>
      <w:r w:rsidRPr="001B7453">
        <w:rPr>
          <w:rFonts w:ascii="Times New Roman" w:hAnsi="Times New Roman" w:cs="Times New Roman"/>
          <w:sz w:val="24"/>
          <w:szCs w:val="24"/>
        </w:rPr>
        <w:t xml:space="preserve"> and social/cultural-specific gender responsibilities within the family </w:t>
      </w:r>
      <w:r>
        <w:rPr>
          <w:rFonts w:ascii="Times New Roman" w:hAnsi="Times New Roman" w:cs="Times New Roman"/>
          <w:noProof/>
          <w:sz w:val="24"/>
          <w:szCs w:val="24"/>
        </w:rPr>
        <w:t>(Lee &amp; Kim, 2010)</w:t>
      </w:r>
      <w:r w:rsidRPr="001B7453">
        <w:rPr>
          <w:rFonts w:ascii="Times New Roman" w:hAnsi="Times New Roman" w:cs="Times New Roman"/>
          <w:sz w:val="24"/>
          <w:szCs w:val="24"/>
        </w:rPr>
        <w:t xml:space="preserve"> may constrain the migration decisions of female </w:t>
      </w:r>
      <w:r>
        <w:rPr>
          <w:rFonts w:ascii="Times New Roman" w:hAnsi="Times New Roman" w:cs="Times New Roman"/>
          <w:sz w:val="24"/>
          <w:szCs w:val="24"/>
        </w:rPr>
        <w:t>international students</w:t>
      </w:r>
      <w:r w:rsidRPr="001B7453">
        <w:rPr>
          <w:rFonts w:ascii="Times New Roman" w:hAnsi="Times New Roman" w:cs="Times New Roman"/>
          <w:sz w:val="24"/>
          <w:szCs w:val="24"/>
        </w:rPr>
        <w:t xml:space="preserve">. Some others, however, claim that the experience of different social and cultural norms in the host country of study might empower female migrants to revisit or even to question and challenge constructed cultural and gender norms in their home countries, which might result in higher stay rates of female international postgraduates </w:t>
      </w:r>
      <w:r>
        <w:rPr>
          <w:rFonts w:ascii="Times New Roman" w:hAnsi="Times New Roman" w:cs="Times New Roman"/>
          <w:noProof/>
          <w:sz w:val="24"/>
          <w:szCs w:val="24"/>
        </w:rPr>
        <w:t>(Ryan, 2004)</w:t>
      </w:r>
      <w:r w:rsidRPr="001B7453">
        <w:rPr>
          <w:rFonts w:ascii="Times New Roman" w:hAnsi="Times New Roman" w:cs="Times New Roman"/>
          <w:sz w:val="24"/>
          <w:szCs w:val="24"/>
        </w:rPr>
        <w:t xml:space="preserve">. This might because some female students, especially those from more masculinity-based societies, were more inclined to work in more egalitarian host countries after graduation due to better career prospects there compared to their countries of origin </w:t>
      </w:r>
      <w:r>
        <w:rPr>
          <w:rFonts w:ascii="Times New Roman" w:hAnsi="Times New Roman" w:cs="Times New Roman"/>
          <w:noProof/>
          <w:sz w:val="24"/>
          <w:szCs w:val="24"/>
        </w:rPr>
        <w:t>(Cattaneo</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2017; Kim</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2011; Musumba</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2011)</w:t>
      </w:r>
      <w:r w:rsidRPr="001B7453">
        <w:rPr>
          <w:rFonts w:ascii="Times New Roman" w:hAnsi="Times New Roman" w:cs="Times New Roman"/>
          <w:sz w:val="24"/>
          <w:szCs w:val="24"/>
        </w:rPr>
        <w:t xml:space="preserve">. In addition, some female students who want to achieve their career goals or self-realisation may use studying abroad as a step stone for careers in host countries and also as a way of </w:t>
      </w:r>
      <w:r>
        <w:rPr>
          <w:rFonts w:ascii="Times New Roman" w:hAnsi="Times New Roman" w:cs="Times New Roman"/>
          <w:sz w:val="24"/>
          <w:szCs w:val="24"/>
        </w:rPr>
        <w:t>escaping</w:t>
      </w:r>
      <w:r w:rsidRPr="001B7453">
        <w:rPr>
          <w:rFonts w:ascii="Times New Roman" w:hAnsi="Times New Roman" w:cs="Times New Roman"/>
          <w:sz w:val="24"/>
          <w:szCs w:val="24"/>
        </w:rPr>
        <w:t xml:space="preserve"> gender norms </w:t>
      </w:r>
      <w:r w:rsidRPr="001B7453">
        <w:rPr>
          <w:rFonts w:ascii="Times New Roman" w:hAnsi="Times New Roman" w:cs="Times New Roman"/>
          <w:sz w:val="24"/>
          <w:szCs w:val="24"/>
        </w:rPr>
        <w:lastRenderedPageBreak/>
        <w:t xml:space="preserve">from home societies </w:t>
      </w:r>
      <w:r>
        <w:rPr>
          <w:rFonts w:ascii="Times New Roman" w:hAnsi="Times New Roman" w:cs="Times New Roman"/>
          <w:noProof/>
          <w:sz w:val="24"/>
          <w:szCs w:val="24"/>
        </w:rPr>
        <w:t>(Lin &amp; Kingminghae, 2018)</w:t>
      </w:r>
      <w:r w:rsidRPr="001B7453">
        <w:rPr>
          <w:rFonts w:ascii="Times New Roman" w:hAnsi="Times New Roman" w:cs="Times New Roman"/>
          <w:sz w:val="24"/>
          <w:szCs w:val="24"/>
        </w:rPr>
        <w:t>. The regression results in this study suggest that, in the context of the UK, overall, the influence of studying abroad on empowering</w:t>
      </w:r>
      <w:r>
        <w:rPr>
          <w:rFonts w:ascii="Times New Roman" w:hAnsi="Times New Roman" w:cs="Times New Roman"/>
          <w:sz w:val="24"/>
          <w:szCs w:val="24"/>
        </w:rPr>
        <w:t xml:space="preserve"> international</w:t>
      </w:r>
      <w:r w:rsidRPr="001B7453">
        <w:rPr>
          <w:rFonts w:ascii="Times New Roman" w:hAnsi="Times New Roman" w:cs="Times New Roman"/>
          <w:sz w:val="24"/>
          <w:szCs w:val="24"/>
        </w:rPr>
        <w:t xml:space="preserve"> female students is g</w:t>
      </w:r>
      <w:r>
        <w:rPr>
          <w:rFonts w:ascii="Times New Roman" w:hAnsi="Times New Roman" w:cs="Times New Roman"/>
          <w:sz w:val="24"/>
          <w:szCs w:val="24"/>
        </w:rPr>
        <w:t xml:space="preserve">reater than the constraints of social/cultural-specific </w:t>
      </w:r>
      <w:r w:rsidRPr="001B7453">
        <w:rPr>
          <w:rFonts w:ascii="Times New Roman" w:hAnsi="Times New Roman" w:cs="Times New Roman"/>
          <w:sz w:val="24"/>
          <w:szCs w:val="24"/>
        </w:rPr>
        <w:t>gender norms in</w:t>
      </w:r>
      <w:r>
        <w:rPr>
          <w:rFonts w:ascii="Times New Roman" w:hAnsi="Times New Roman" w:cs="Times New Roman"/>
          <w:sz w:val="24"/>
          <w:szCs w:val="24"/>
        </w:rPr>
        <w:t xml:space="preserve"> their</w:t>
      </w:r>
      <w:r w:rsidRPr="001B7453">
        <w:rPr>
          <w:rFonts w:ascii="Times New Roman" w:hAnsi="Times New Roman" w:cs="Times New Roman"/>
          <w:sz w:val="24"/>
          <w:szCs w:val="24"/>
        </w:rPr>
        <w:t xml:space="preserve"> home societies.</w:t>
      </w:r>
    </w:p>
    <w:p w:rsidR="00CE3B64" w:rsidRDefault="00CE3B64" w:rsidP="00957F04">
      <w:pPr>
        <w:spacing w:before="100" w:beforeAutospacing="1" w:after="100" w:afterAutospacing="1"/>
        <w:rPr>
          <w:rFonts w:ascii="Times New Roman" w:hAnsi="Times New Roman" w:cs="Times New Roman"/>
          <w:bCs/>
          <w:sz w:val="24"/>
          <w:szCs w:val="24"/>
        </w:rPr>
      </w:pPr>
    </w:p>
    <w:p w:rsidR="00CE3B64" w:rsidRPr="00336C6A" w:rsidRDefault="00CE3B64" w:rsidP="00957F04">
      <w:pPr>
        <w:spacing w:before="100" w:beforeAutospacing="1" w:after="100" w:afterAutospacing="1"/>
        <w:rPr>
          <w:rFonts w:ascii="Times New Roman" w:hAnsi="Times New Roman" w:cs="Times New Roman"/>
          <w:b/>
          <w:bCs/>
          <w:sz w:val="24"/>
          <w:szCs w:val="24"/>
        </w:rPr>
      </w:pPr>
      <w:r w:rsidRPr="00336C6A">
        <w:rPr>
          <w:rFonts w:ascii="Times New Roman" w:hAnsi="Times New Roman" w:cs="Times New Roman"/>
          <w:b/>
          <w:bCs/>
          <w:sz w:val="24"/>
          <w:szCs w:val="24"/>
        </w:rPr>
        <w:t>Please insert Table 3 here</w:t>
      </w:r>
    </w:p>
    <w:p w:rsidR="00CE3B64" w:rsidRPr="00C76162" w:rsidRDefault="00CE3B64" w:rsidP="00957F04">
      <w:pPr>
        <w:spacing w:before="100" w:beforeAutospacing="1" w:after="100" w:afterAutospacing="1"/>
        <w:rPr>
          <w:rFonts w:ascii="Times New Roman" w:hAnsi="Times New Roman" w:cs="Times New Roman"/>
          <w:bCs/>
          <w:sz w:val="24"/>
          <w:szCs w:val="24"/>
        </w:rPr>
      </w:pPr>
    </w:p>
    <w:p w:rsidR="00CE3B64"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 xml:space="preserve">Model 3 introduced two HEI-level </w:t>
      </w:r>
      <w:r>
        <w:rPr>
          <w:rFonts w:ascii="Times New Roman" w:hAnsi="Times New Roman" w:cs="Times New Roman"/>
          <w:sz w:val="24"/>
          <w:szCs w:val="24"/>
        </w:rPr>
        <w:t>variable</w:t>
      </w:r>
      <w:r w:rsidRPr="00C76162">
        <w:rPr>
          <w:rFonts w:ascii="Times New Roman" w:hAnsi="Times New Roman" w:cs="Times New Roman"/>
          <w:sz w:val="24"/>
          <w:szCs w:val="24"/>
        </w:rPr>
        <w:t xml:space="preserve">s: </w:t>
      </w:r>
      <w:r>
        <w:rPr>
          <w:rFonts w:ascii="Times New Roman" w:hAnsi="Times New Roman" w:cs="Times New Roman"/>
          <w:sz w:val="24"/>
          <w:szCs w:val="24"/>
        </w:rPr>
        <w:t>HEI prestige</w:t>
      </w:r>
      <w:r w:rsidRPr="00C76162">
        <w:rPr>
          <w:rFonts w:ascii="Times New Roman" w:hAnsi="Times New Roman" w:cs="Times New Roman"/>
          <w:sz w:val="24"/>
          <w:szCs w:val="24"/>
        </w:rPr>
        <w:t xml:space="preserve"> and </w:t>
      </w:r>
      <w:r>
        <w:rPr>
          <w:rFonts w:ascii="Times New Roman" w:hAnsi="Times New Roman" w:cs="Times New Roman"/>
          <w:sz w:val="24"/>
          <w:szCs w:val="24"/>
        </w:rPr>
        <w:t>HEI location</w:t>
      </w:r>
      <w:r w:rsidRPr="00C76162">
        <w:rPr>
          <w:rFonts w:ascii="Times New Roman" w:hAnsi="Times New Roman" w:cs="Times New Roman"/>
          <w:sz w:val="24"/>
          <w:szCs w:val="24"/>
        </w:rPr>
        <w:t xml:space="preserve">. </w:t>
      </w:r>
      <w:r>
        <w:rPr>
          <w:rFonts w:ascii="Times New Roman" w:hAnsi="Times New Roman" w:cs="Times New Roman"/>
          <w:sz w:val="24"/>
          <w:szCs w:val="24"/>
        </w:rPr>
        <w:t>T</w:t>
      </w:r>
      <w:r w:rsidRPr="00C76162">
        <w:rPr>
          <w:rFonts w:ascii="Times New Roman" w:hAnsi="Times New Roman" w:cs="Times New Roman"/>
          <w:sz w:val="24"/>
          <w:szCs w:val="24"/>
        </w:rPr>
        <w:t>he HEI-level variance</w:t>
      </w:r>
      <w:r>
        <w:rPr>
          <w:rFonts w:ascii="Times New Roman" w:hAnsi="Times New Roman" w:cs="Times New Roman"/>
          <w:sz w:val="24"/>
          <w:szCs w:val="24"/>
        </w:rPr>
        <w:t xml:space="preserve"> </w:t>
      </w:r>
      <w:r>
        <w:rPr>
          <w:rFonts w:ascii="Times New Roman" w:hAnsi="Times New Roman" w:cs="Times New Roman"/>
          <w:bCs/>
          <w:sz w:val="24"/>
          <w:szCs w:val="24"/>
        </w:rPr>
        <w:t>(</w:t>
      </w:r>
      <m:oMath>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e>
          <m:sub>
            <m:r>
              <w:rPr>
                <w:rFonts w:ascii="Cambria Math" w:hAnsi="Cambria Math" w:cs="Times New Roman"/>
                <w:sz w:val="24"/>
                <w:szCs w:val="24"/>
              </w:rPr>
              <m:t>u(2)</m:t>
            </m:r>
          </m:sub>
          <m:sup>
            <m:r>
              <w:rPr>
                <w:rFonts w:ascii="Cambria Math" w:hAnsi="Cambria Math" w:cs="Times New Roman"/>
                <w:sz w:val="24"/>
                <w:szCs w:val="24"/>
              </w:rPr>
              <m:t>2</m:t>
            </m:r>
          </m:sup>
        </m:sSubSup>
      </m:oMath>
      <w:r>
        <w:rPr>
          <w:rFonts w:ascii="Times New Roman" w:hAnsi="Times New Roman" w:cs="Times New Roman"/>
          <w:bCs/>
          <w:sz w:val="24"/>
          <w:szCs w:val="24"/>
        </w:rPr>
        <w:t>)</w:t>
      </w:r>
      <w:r>
        <w:rPr>
          <w:rFonts w:ascii="Times New Roman" w:hAnsi="Times New Roman" w:cs="Times New Roman"/>
          <w:sz w:val="24"/>
          <w:szCs w:val="24"/>
        </w:rPr>
        <w:t xml:space="preserve"> decreased</w:t>
      </w:r>
      <w:r w:rsidRPr="00C76162">
        <w:rPr>
          <w:rFonts w:ascii="Times New Roman" w:hAnsi="Times New Roman" w:cs="Times New Roman"/>
          <w:sz w:val="24"/>
          <w:szCs w:val="24"/>
        </w:rPr>
        <w:t xml:space="preserve"> significantly </w:t>
      </w:r>
      <w:r>
        <w:rPr>
          <w:rFonts w:ascii="Times New Roman" w:hAnsi="Times New Roman" w:cs="Times New Roman"/>
          <w:sz w:val="24"/>
          <w:szCs w:val="24"/>
        </w:rPr>
        <w:t>from 0.581 in M</w:t>
      </w:r>
      <w:r w:rsidRPr="00C76162">
        <w:rPr>
          <w:rFonts w:ascii="Times New Roman" w:hAnsi="Times New Roman" w:cs="Times New Roman"/>
          <w:sz w:val="24"/>
          <w:szCs w:val="24"/>
        </w:rPr>
        <w:t>odel 2</w:t>
      </w:r>
      <w:r>
        <w:rPr>
          <w:rFonts w:ascii="Times New Roman" w:hAnsi="Times New Roman" w:cs="Times New Roman"/>
          <w:sz w:val="24"/>
          <w:szCs w:val="24"/>
        </w:rPr>
        <w:t xml:space="preserve"> to</w:t>
      </w:r>
      <w:r>
        <w:rPr>
          <w:rFonts w:ascii="Times New Roman" w:hAnsi="Times New Roman" w:cs="Times New Roman"/>
          <w:bCs/>
          <w:sz w:val="24"/>
          <w:szCs w:val="24"/>
        </w:rPr>
        <w:t xml:space="preserve"> 0.430 in Model 3, </w:t>
      </w:r>
      <w:r w:rsidRPr="00C76162">
        <w:rPr>
          <w:rFonts w:ascii="Times New Roman" w:hAnsi="Times New Roman" w:cs="Times New Roman"/>
          <w:sz w:val="24"/>
          <w:szCs w:val="24"/>
        </w:rPr>
        <w:t>indicating that</w:t>
      </w:r>
      <w:r>
        <w:rPr>
          <w:rFonts w:ascii="Times New Roman" w:hAnsi="Times New Roman" w:cs="Times New Roman"/>
          <w:sz w:val="24"/>
          <w:szCs w:val="24"/>
        </w:rPr>
        <w:t xml:space="preserve"> after controlling for other factors,</w:t>
      </w:r>
      <w:r w:rsidRPr="00C76162">
        <w:rPr>
          <w:rFonts w:ascii="Times New Roman" w:hAnsi="Times New Roman" w:cs="Times New Roman"/>
          <w:sz w:val="24"/>
          <w:szCs w:val="24"/>
        </w:rPr>
        <w:t xml:space="preserve"> </w:t>
      </w:r>
      <w:r>
        <w:rPr>
          <w:rFonts w:ascii="Times New Roman" w:hAnsi="Times New Roman" w:cs="Times New Roman"/>
          <w:sz w:val="24"/>
          <w:szCs w:val="24"/>
        </w:rPr>
        <w:t>around 26.0%</w:t>
      </w:r>
      <w:r w:rsidRPr="00C76162">
        <w:rPr>
          <w:rFonts w:ascii="Times New Roman" w:hAnsi="Times New Roman" w:cs="Times New Roman"/>
          <w:sz w:val="24"/>
          <w:szCs w:val="24"/>
        </w:rPr>
        <w:t xml:space="preserve"> of the between-HEI </w:t>
      </w:r>
      <w:r w:rsidRPr="00C90742">
        <w:rPr>
          <w:rFonts w:ascii="Times New Roman" w:hAnsi="Times New Roman" w:cs="Times New Roman"/>
          <w:sz w:val="24"/>
          <w:szCs w:val="24"/>
        </w:rPr>
        <w:t>variation</w:t>
      </w:r>
      <w:r>
        <w:rPr>
          <w:rFonts w:ascii="Times New Roman" w:hAnsi="Times New Roman" w:cs="Times New Roman"/>
          <w:sz w:val="24"/>
          <w:szCs w:val="24"/>
        </w:rPr>
        <w:t xml:space="preserve"> was explained by these two variables</w:t>
      </w:r>
      <w:r w:rsidRPr="00C76162">
        <w:rPr>
          <w:rFonts w:ascii="Times New Roman" w:hAnsi="Times New Roman" w:cs="Times New Roman"/>
          <w:sz w:val="24"/>
          <w:szCs w:val="24"/>
        </w:rPr>
        <w:t>. The coefficients for the variables Russell Group (β=</w:t>
      </w:r>
      <w:r w:rsidR="007B7C96">
        <w:rPr>
          <w:rFonts w:ascii="Times New Roman" w:hAnsi="Times New Roman" w:cs="Times New Roman"/>
          <w:sz w:val="24"/>
          <w:szCs w:val="24"/>
        </w:rPr>
        <w:t xml:space="preserve"> </w:t>
      </w:r>
      <w:r w:rsidRPr="00C76162">
        <w:rPr>
          <w:rFonts w:ascii="Times New Roman" w:hAnsi="Times New Roman" w:cs="Times New Roman"/>
          <w:sz w:val="24"/>
          <w:szCs w:val="24"/>
        </w:rPr>
        <w:t xml:space="preserve">-0.557) and Greater London Area (β=0.571) were both significant </w:t>
      </w:r>
      <w:r>
        <w:rPr>
          <w:rFonts w:ascii="Times New Roman" w:hAnsi="Times New Roman" w:cs="Times New Roman"/>
          <w:sz w:val="24"/>
          <w:szCs w:val="24"/>
        </w:rPr>
        <w:t>at 1% level</w:t>
      </w:r>
      <w:r w:rsidRPr="00C76162">
        <w:rPr>
          <w:rFonts w:ascii="Times New Roman" w:hAnsi="Times New Roman" w:cs="Times New Roman"/>
          <w:sz w:val="24"/>
          <w:szCs w:val="24"/>
        </w:rPr>
        <w:t xml:space="preserve">, </w:t>
      </w:r>
      <w:r>
        <w:rPr>
          <w:rFonts w:ascii="Times New Roman" w:hAnsi="Times New Roman" w:cs="Times New Roman"/>
          <w:sz w:val="24"/>
          <w:szCs w:val="24"/>
        </w:rPr>
        <w:t>highlighting</w:t>
      </w:r>
      <w:r w:rsidRPr="00C76162">
        <w:rPr>
          <w:rFonts w:ascii="Times New Roman" w:hAnsi="Times New Roman" w:cs="Times New Roman"/>
          <w:sz w:val="24"/>
          <w:szCs w:val="24"/>
        </w:rPr>
        <w:t xml:space="preserve"> the importance of prestige and location</w:t>
      </w:r>
      <w:r>
        <w:rPr>
          <w:rFonts w:ascii="Times New Roman" w:hAnsi="Times New Roman" w:cs="Times New Roman"/>
          <w:sz w:val="24"/>
          <w:szCs w:val="24"/>
        </w:rPr>
        <w:t xml:space="preserve"> of HEIs</w:t>
      </w:r>
      <w:r w:rsidRPr="00C76162">
        <w:rPr>
          <w:rFonts w:ascii="Times New Roman" w:hAnsi="Times New Roman" w:cs="Times New Roman"/>
          <w:sz w:val="24"/>
          <w:szCs w:val="24"/>
        </w:rPr>
        <w:t xml:space="preserve"> in explaining</w:t>
      </w:r>
      <w:r>
        <w:rPr>
          <w:rFonts w:ascii="Times New Roman" w:hAnsi="Times New Roman" w:cs="Times New Roman"/>
          <w:sz w:val="24"/>
          <w:szCs w:val="24"/>
        </w:rPr>
        <w:t xml:space="preserve"> the employment</w:t>
      </w:r>
      <w:r w:rsidR="001E6252">
        <w:rPr>
          <w:rFonts w:ascii="Times New Roman" w:hAnsi="Times New Roman" w:cs="Times New Roman"/>
          <w:sz w:val="24"/>
          <w:szCs w:val="24"/>
        </w:rPr>
        <w:t xml:space="preserve"> destination</w:t>
      </w:r>
      <w:r>
        <w:rPr>
          <w:rFonts w:ascii="Times New Roman" w:hAnsi="Times New Roman" w:cs="Times New Roman"/>
          <w:sz w:val="24"/>
          <w:szCs w:val="24"/>
        </w:rPr>
        <w:t xml:space="preserve"> of international graduates</w:t>
      </w:r>
      <w:r w:rsidRPr="00C76162">
        <w:rPr>
          <w:rFonts w:ascii="Times New Roman" w:hAnsi="Times New Roman" w:cs="Times New Roman"/>
          <w:sz w:val="24"/>
          <w:szCs w:val="24"/>
        </w:rPr>
        <w:t>.</w:t>
      </w:r>
    </w:p>
    <w:p w:rsidR="00CE3B64" w:rsidRDefault="00CE3B64" w:rsidP="00957F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In terms of HEI prestige, graduates </w:t>
      </w:r>
      <w:r w:rsidRPr="00C76162">
        <w:rPr>
          <w:rFonts w:ascii="Times New Roman" w:hAnsi="Times New Roman" w:cs="Times New Roman"/>
          <w:sz w:val="24"/>
          <w:szCs w:val="24"/>
        </w:rPr>
        <w:t xml:space="preserve">from Russell Group universities were 42.7% less likely to remain in the UK compared to those graduated from other institutions, </w:t>
      </w:r>
      <w:r>
        <w:rPr>
          <w:rFonts w:ascii="Times New Roman" w:hAnsi="Times New Roman" w:cs="Times New Roman"/>
          <w:sz w:val="24"/>
          <w:szCs w:val="24"/>
        </w:rPr>
        <w:t>and this may be partly explained by graduates’ socioeconomic status (SES) and the social and economic conditions in some of the major sourcing countries.</w:t>
      </w:r>
      <w:r w:rsidRPr="00BA4136">
        <w:rPr>
          <w:rFonts w:ascii="Times New Roman" w:hAnsi="Times New Roman" w:cs="Times New Roman"/>
          <w:sz w:val="24"/>
          <w:szCs w:val="24"/>
        </w:rPr>
        <w:t xml:space="preserve"> </w:t>
      </w:r>
      <w:r>
        <w:rPr>
          <w:rFonts w:ascii="Times New Roman" w:hAnsi="Times New Roman" w:cs="Times New Roman"/>
          <w:sz w:val="24"/>
          <w:szCs w:val="24"/>
        </w:rPr>
        <w:t xml:space="preserve">For example, in China, although the number of mainland Chinese students studying abroad has increased dramatically since the early 2000s, the high cost of overseas education could be afforded by a small number of privileged families. In order to avoid the fierce competition for the limited places at elite domestic universities (e.g. Project 211 and Project 985 universities) as well as improve their competitiveness in Chinese labour market, an increasing number of students chose to study at high-ranking foreign </w:t>
      </w:r>
      <w:r>
        <w:rPr>
          <w:rFonts w:ascii="Times New Roman" w:hAnsi="Times New Roman" w:cs="Times New Roman"/>
          <w:sz w:val="24"/>
          <w:szCs w:val="24"/>
        </w:rPr>
        <w:lastRenderedPageBreak/>
        <w:t xml:space="preserve">universities, such as Russell Group universities in the UK </w:t>
      </w:r>
      <w:r>
        <w:rPr>
          <w:rFonts w:ascii="Times New Roman" w:hAnsi="Times New Roman" w:cs="Times New Roman"/>
          <w:noProof/>
          <w:sz w:val="24"/>
          <w:szCs w:val="24"/>
        </w:rPr>
        <w:t>(Bodycott, 2009; Iannelli &amp; Huang, 2014)</w:t>
      </w:r>
      <w:r>
        <w:rPr>
          <w:rFonts w:ascii="Times New Roman" w:hAnsi="Times New Roman" w:cs="Times New Roman"/>
          <w:sz w:val="24"/>
          <w:szCs w:val="24"/>
        </w:rPr>
        <w:t xml:space="preserve">. According to </w:t>
      </w:r>
      <w:r>
        <w:rPr>
          <w:rFonts w:ascii="Times New Roman" w:hAnsi="Times New Roman" w:cs="Times New Roman"/>
          <w:noProof/>
          <w:sz w:val="24"/>
          <w:szCs w:val="24"/>
        </w:rPr>
        <w:t>Xiang and Shen (2009)</w:t>
      </w:r>
      <w:r>
        <w:rPr>
          <w:rFonts w:ascii="Times New Roman" w:hAnsi="Times New Roman" w:cs="Times New Roman"/>
          <w:sz w:val="24"/>
          <w:szCs w:val="24"/>
        </w:rPr>
        <w:t xml:space="preserve">, elite foreign credentials were regarded by many Chinese new rich as internationally recognised cultural capital, which could be further converted into other forms of capital (e.g. economic capital and political capital) during the period of wealth concentration and class formation in China. Therefore, international graduates from high-prestigious universities are more likely to leave the UK might because some graduates, especially those with more privileged backgrounds, believe that their investment in overseas education would be better rewarded in their countries of origin </w:t>
      </w:r>
      <w:r>
        <w:rPr>
          <w:rFonts w:ascii="Times New Roman" w:hAnsi="Times New Roman" w:cs="Times New Roman"/>
          <w:noProof/>
          <w:sz w:val="24"/>
          <w:szCs w:val="24"/>
        </w:rPr>
        <w:t>(de Haas, 2010)</w:t>
      </w:r>
      <w:r>
        <w:rPr>
          <w:rFonts w:ascii="Times New Roman" w:hAnsi="Times New Roman" w:cs="Times New Roman"/>
          <w:sz w:val="24"/>
          <w:szCs w:val="24"/>
        </w:rPr>
        <w:t xml:space="preserve">. Unfortunately, as the data related to graduates’ SES was not available in the DLHE survey for postgraduates, this study was not able to test the influence of SES on residential and occupational choices of international graduates in the context of UK. </w:t>
      </w:r>
    </w:p>
    <w:p w:rsidR="00CE3B64" w:rsidRPr="00C76162" w:rsidRDefault="00CE3B64" w:rsidP="00957F0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 terms of HEI location, regression results suggest that</w:t>
      </w:r>
      <w:r w:rsidRPr="00C76162">
        <w:rPr>
          <w:rFonts w:ascii="Times New Roman" w:hAnsi="Times New Roman" w:cs="Times New Roman"/>
          <w:sz w:val="24"/>
          <w:szCs w:val="24"/>
        </w:rPr>
        <w:t xml:space="preserve"> graduates </w:t>
      </w:r>
      <w:r>
        <w:rPr>
          <w:rFonts w:ascii="Times New Roman" w:hAnsi="Times New Roman" w:cs="Times New Roman"/>
          <w:sz w:val="24"/>
          <w:szCs w:val="24"/>
        </w:rPr>
        <w:t xml:space="preserve">who </w:t>
      </w:r>
      <w:r w:rsidRPr="00C76162">
        <w:rPr>
          <w:rFonts w:ascii="Times New Roman" w:hAnsi="Times New Roman" w:cs="Times New Roman"/>
          <w:sz w:val="24"/>
          <w:szCs w:val="24"/>
        </w:rPr>
        <w:t xml:space="preserve">attended </w:t>
      </w:r>
      <w:r>
        <w:rPr>
          <w:rFonts w:ascii="Times New Roman" w:hAnsi="Times New Roman" w:cs="Times New Roman"/>
          <w:sz w:val="24"/>
          <w:szCs w:val="24"/>
        </w:rPr>
        <w:t>HEIs</w:t>
      </w:r>
      <w:r w:rsidRPr="00C76162">
        <w:rPr>
          <w:rFonts w:ascii="Times New Roman" w:hAnsi="Times New Roman" w:cs="Times New Roman"/>
          <w:sz w:val="24"/>
          <w:szCs w:val="24"/>
        </w:rPr>
        <w:t xml:space="preserve"> located within the Greater London area were 77.0% more likely to </w:t>
      </w:r>
      <w:r>
        <w:rPr>
          <w:rFonts w:ascii="Times New Roman" w:hAnsi="Times New Roman" w:cs="Times New Roman"/>
          <w:sz w:val="24"/>
          <w:szCs w:val="24"/>
        </w:rPr>
        <w:t xml:space="preserve">stay </w:t>
      </w:r>
      <w:r w:rsidRPr="00C76162">
        <w:rPr>
          <w:rFonts w:ascii="Times New Roman" w:hAnsi="Times New Roman" w:cs="Times New Roman"/>
          <w:sz w:val="24"/>
          <w:szCs w:val="24"/>
        </w:rPr>
        <w:t>in the UK</w:t>
      </w:r>
      <w:r>
        <w:rPr>
          <w:rFonts w:ascii="Times New Roman" w:hAnsi="Times New Roman" w:cs="Times New Roman"/>
          <w:sz w:val="24"/>
          <w:szCs w:val="24"/>
        </w:rPr>
        <w:t xml:space="preserve"> for work, which may be explained by two possible mechanisms. Firstly, </w:t>
      </w:r>
      <w:r w:rsidRPr="00FB047B">
        <w:rPr>
          <w:rFonts w:ascii="Times New Roman" w:hAnsi="Times New Roman" w:cs="Times New Roman"/>
          <w:sz w:val="24"/>
          <w:szCs w:val="24"/>
        </w:rPr>
        <w:t xml:space="preserve">the graduate employment opportunities </w:t>
      </w:r>
      <w:proofErr w:type="gramStart"/>
      <w:r w:rsidRPr="00FB047B">
        <w:rPr>
          <w:rFonts w:ascii="Times New Roman" w:hAnsi="Times New Roman" w:cs="Times New Roman"/>
          <w:sz w:val="24"/>
          <w:szCs w:val="24"/>
        </w:rPr>
        <w:t>is</w:t>
      </w:r>
      <w:proofErr w:type="gramEnd"/>
      <w:r w:rsidRPr="00FB047B">
        <w:rPr>
          <w:rFonts w:ascii="Times New Roman" w:hAnsi="Times New Roman" w:cs="Times New Roman"/>
          <w:sz w:val="24"/>
          <w:szCs w:val="24"/>
        </w:rPr>
        <w:t xml:space="preserve"> not evenly distributed in the UK, and the generation of job-matching opportunities is more aggregated on London and its surrounding regions</w:t>
      </w:r>
      <w:r>
        <w:rPr>
          <w:rFonts w:ascii="Times New Roman" w:hAnsi="Times New Roman" w:cs="Times New Roman"/>
          <w:sz w:val="24"/>
          <w:szCs w:val="24"/>
        </w:rPr>
        <w:t xml:space="preserve"> </w:t>
      </w:r>
      <w:r>
        <w:rPr>
          <w:rFonts w:ascii="Times New Roman" w:hAnsi="Times New Roman" w:cs="Times New Roman"/>
          <w:noProof/>
          <w:sz w:val="24"/>
          <w:szCs w:val="24"/>
        </w:rPr>
        <w:t>(Faggian &amp; McCann, 2009)</w:t>
      </w:r>
      <w:r w:rsidRPr="00FB047B">
        <w:rPr>
          <w:rFonts w:ascii="Times New Roman" w:hAnsi="Times New Roman" w:cs="Times New Roman"/>
          <w:sz w:val="24"/>
          <w:szCs w:val="24"/>
        </w:rPr>
        <w:t>.</w:t>
      </w:r>
      <w:r>
        <w:rPr>
          <w:rFonts w:ascii="Times New Roman" w:hAnsi="Times New Roman" w:cs="Times New Roman"/>
          <w:sz w:val="24"/>
          <w:szCs w:val="24"/>
        </w:rPr>
        <w:t xml:space="preserve"> Graduates from universities in London may have more time and opportunities to establish networks with potential employers or accumulate work experience during the period of study. Secondly, some graduates may be attracted by </w:t>
      </w:r>
      <w:r w:rsidRPr="009A4A65">
        <w:rPr>
          <w:rFonts w:ascii="Times New Roman" w:hAnsi="Times New Roman" w:cs="Times New Roman"/>
          <w:sz w:val="24"/>
          <w:szCs w:val="24"/>
        </w:rPr>
        <w:t xml:space="preserve">the employment opportunities, career prospects and incomes in London which </w:t>
      </w:r>
      <w:r>
        <w:rPr>
          <w:rFonts w:ascii="Times New Roman" w:hAnsi="Times New Roman" w:cs="Times New Roman"/>
          <w:sz w:val="24"/>
          <w:szCs w:val="24"/>
        </w:rPr>
        <w:t>were</w:t>
      </w:r>
      <w:r w:rsidRPr="009A4A65">
        <w:rPr>
          <w:rFonts w:ascii="Times New Roman" w:hAnsi="Times New Roman" w:cs="Times New Roman"/>
          <w:sz w:val="24"/>
          <w:szCs w:val="24"/>
        </w:rPr>
        <w:t xml:space="preserve"> not available in their home countries</w:t>
      </w:r>
      <w:r>
        <w:rPr>
          <w:rFonts w:ascii="Times New Roman" w:hAnsi="Times New Roman" w:cs="Times New Roman"/>
          <w:sz w:val="24"/>
          <w:szCs w:val="24"/>
        </w:rPr>
        <w:t xml:space="preserve">, and they deliberately chose London as their study </w:t>
      </w:r>
      <w:r w:rsidRPr="009A4A65">
        <w:rPr>
          <w:rFonts w:ascii="Times New Roman" w:hAnsi="Times New Roman" w:cs="Times New Roman"/>
          <w:sz w:val="24"/>
          <w:szCs w:val="24"/>
        </w:rPr>
        <w:t>destination and planned to</w:t>
      </w:r>
      <w:r>
        <w:rPr>
          <w:rFonts w:ascii="Times New Roman" w:hAnsi="Times New Roman" w:cs="Times New Roman"/>
          <w:sz w:val="24"/>
          <w:szCs w:val="24"/>
        </w:rPr>
        <w:t xml:space="preserve"> remain in there to work after </w:t>
      </w:r>
      <w:r w:rsidRPr="009A4A65">
        <w:rPr>
          <w:rFonts w:ascii="Times New Roman" w:hAnsi="Times New Roman" w:cs="Times New Roman"/>
          <w:sz w:val="24"/>
          <w:szCs w:val="24"/>
        </w:rPr>
        <w:t>graduation</w:t>
      </w:r>
      <w:r>
        <w:rPr>
          <w:rFonts w:ascii="Times New Roman" w:hAnsi="Times New Roman" w:cs="Times New Roman"/>
          <w:sz w:val="24"/>
          <w:szCs w:val="24"/>
        </w:rPr>
        <w:t xml:space="preserve">. Several studies have found that some students from other EU/EEA countries used </w:t>
      </w:r>
      <w:r w:rsidR="004E1EDE">
        <w:rPr>
          <w:rFonts w:ascii="Times New Roman" w:hAnsi="Times New Roman" w:cs="Times New Roman"/>
          <w:sz w:val="24"/>
          <w:szCs w:val="24"/>
        </w:rPr>
        <w:t>this study-migration pathway as the</w:t>
      </w:r>
      <w:r>
        <w:rPr>
          <w:rFonts w:ascii="Times New Roman" w:hAnsi="Times New Roman" w:cs="Times New Roman"/>
          <w:sz w:val="24"/>
          <w:szCs w:val="24"/>
        </w:rPr>
        <w:t xml:space="preserve"> step</w:t>
      </w:r>
      <w:r w:rsidR="004E1EDE">
        <w:rPr>
          <w:rFonts w:ascii="Times New Roman" w:hAnsi="Times New Roman" w:cs="Times New Roman"/>
          <w:sz w:val="24"/>
          <w:szCs w:val="24"/>
        </w:rPr>
        <w:t>ping-</w:t>
      </w:r>
      <w:r>
        <w:rPr>
          <w:rFonts w:ascii="Times New Roman" w:hAnsi="Times New Roman" w:cs="Times New Roman"/>
          <w:sz w:val="24"/>
          <w:szCs w:val="24"/>
        </w:rPr>
        <w:t xml:space="preserve">stone for future employment in London </w:t>
      </w:r>
      <w:r>
        <w:rPr>
          <w:rFonts w:ascii="Times New Roman" w:hAnsi="Times New Roman" w:cs="Times New Roman"/>
          <w:noProof/>
          <w:sz w:val="24"/>
          <w:szCs w:val="24"/>
        </w:rPr>
        <w:t>(Beaverstock &amp; Hall, 2012; Csedő, 2008; King</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Pr>
          <w:rFonts w:ascii="Times New Roman" w:hAnsi="Times New Roman" w:cs="Times New Roman"/>
          <w:sz w:val="24"/>
          <w:szCs w:val="24"/>
        </w:rPr>
        <w:t xml:space="preserve">. It would be worthwhile for future studies to examine whether </w:t>
      </w:r>
      <w:r>
        <w:rPr>
          <w:rFonts w:ascii="Times New Roman" w:hAnsi="Times New Roman" w:cs="Times New Roman"/>
          <w:sz w:val="24"/>
          <w:szCs w:val="24"/>
        </w:rPr>
        <w:lastRenderedPageBreak/>
        <w:t xml:space="preserve">graduates from non-EEA countries have also adopted </w:t>
      </w:r>
      <w:r w:rsidR="009D56C4">
        <w:rPr>
          <w:rFonts w:ascii="Times New Roman" w:hAnsi="Times New Roman" w:cs="Times New Roman"/>
          <w:sz w:val="24"/>
          <w:szCs w:val="24"/>
        </w:rPr>
        <w:t xml:space="preserve">this </w:t>
      </w:r>
      <w:r>
        <w:rPr>
          <w:rFonts w:ascii="Times New Roman" w:hAnsi="Times New Roman" w:cs="Times New Roman"/>
          <w:sz w:val="24"/>
          <w:szCs w:val="24"/>
        </w:rPr>
        <w:t>study-migration pathway for employment in London.</w:t>
      </w:r>
    </w:p>
    <w:p w:rsidR="00CE3B64" w:rsidRDefault="00CE3B64" w:rsidP="00957F04">
      <w:pPr>
        <w:spacing w:before="100" w:beforeAutospacing="1" w:after="100" w:afterAutospacing="1"/>
        <w:rPr>
          <w:rFonts w:ascii="Times New Roman" w:hAnsi="Times New Roman" w:cs="Times New Roman"/>
          <w:sz w:val="24"/>
          <w:szCs w:val="24"/>
        </w:rPr>
      </w:pPr>
      <w:r w:rsidRPr="00C76162">
        <w:rPr>
          <w:rFonts w:ascii="Times New Roman" w:hAnsi="Times New Roman" w:cs="Times New Roman"/>
          <w:sz w:val="24"/>
          <w:szCs w:val="24"/>
        </w:rPr>
        <w:t>A series of domicile-level variables were added into the multilevel regression models in the final set of model building steps. The Wald tests showed that none of these variables (i.e. GDP per capita, unemployment rates</w:t>
      </w:r>
      <w:r>
        <w:rPr>
          <w:rFonts w:ascii="Times New Roman" w:hAnsi="Times New Roman" w:cs="Times New Roman"/>
          <w:sz w:val="24"/>
          <w:szCs w:val="24"/>
        </w:rPr>
        <w:t>,</w:t>
      </w:r>
      <w:r w:rsidRPr="00C76162">
        <w:rPr>
          <w:rFonts w:ascii="Times New Roman" w:hAnsi="Times New Roman" w:cs="Times New Roman"/>
          <w:sz w:val="24"/>
          <w:szCs w:val="24"/>
        </w:rPr>
        <w:t xml:space="preserve"> English language background, and</w:t>
      </w:r>
      <w:r w:rsidRPr="00F130CA">
        <w:rPr>
          <w:rFonts w:ascii="Times New Roman" w:hAnsi="Times New Roman" w:cs="Times New Roman"/>
          <w:sz w:val="24"/>
          <w:szCs w:val="24"/>
        </w:rPr>
        <w:t xml:space="preserve"> </w:t>
      </w:r>
      <w:r w:rsidRPr="00C76162">
        <w:rPr>
          <w:rFonts w:ascii="Times New Roman" w:hAnsi="Times New Roman" w:cs="Times New Roman"/>
          <w:sz w:val="24"/>
          <w:szCs w:val="24"/>
        </w:rPr>
        <w:t>colonial affiliation) had coefficients</w:t>
      </w:r>
      <w:r>
        <w:rPr>
          <w:rFonts w:ascii="Times New Roman" w:hAnsi="Times New Roman" w:cs="Times New Roman"/>
          <w:sz w:val="24"/>
          <w:szCs w:val="24"/>
        </w:rPr>
        <w:t xml:space="preserve"> that are significantly different from zero</w:t>
      </w:r>
      <w:r w:rsidRPr="00C76162">
        <w:rPr>
          <w:rFonts w:ascii="Times New Roman" w:hAnsi="Times New Roman" w:cs="Times New Roman"/>
          <w:sz w:val="24"/>
          <w:szCs w:val="24"/>
        </w:rPr>
        <w:t xml:space="preserve"> (Table </w:t>
      </w:r>
      <w:r>
        <w:rPr>
          <w:rFonts w:ascii="Times New Roman" w:hAnsi="Times New Roman" w:cs="Times New Roman"/>
          <w:sz w:val="24"/>
          <w:szCs w:val="24"/>
        </w:rPr>
        <w:t>4</w:t>
      </w:r>
      <w:r w:rsidRPr="00C76162">
        <w:rPr>
          <w:rFonts w:ascii="Times New Roman" w:hAnsi="Times New Roman" w:cs="Times New Roman"/>
          <w:sz w:val="24"/>
          <w:szCs w:val="24"/>
        </w:rPr>
        <w:t>), indicating that none of the domicile-level variables tested in this study has significant influence on stay rate</w:t>
      </w:r>
      <w:r>
        <w:rPr>
          <w:rFonts w:ascii="Times New Roman" w:hAnsi="Times New Roman" w:cs="Times New Roman"/>
          <w:sz w:val="24"/>
          <w:szCs w:val="24"/>
        </w:rPr>
        <w:t xml:space="preserve"> of international graduates</w:t>
      </w:r>
      <w:r w:rsidRPr="00C76162">
        <w:rPr>
          <w:rFonts w:ascii="Times New Roman" w:hAnsi="Times New Roman" w:cs="Times New Roman"/>
          <w:sz w:val="24"/>
          <w:szCs w:val="24"/>
        </w:rPr>
        <w:t xml:space="preserve"> in the UK.</w:t>
      </w:r>
      <w:r>
        <w:rPr>
          <w:rFonts w:ascii="Times New Roman" w:hAnsi="Times New Roman" w:cs="Times New Roman"/>
          <w:sz w:val="24"/>
          <w:szCs w:val="24"/>
        </w:rPr>
        <w:t xml:space="preserve"> The result of this study is consistent with the finding of </w:t>
      </w:r>
      <w:r>
        <w:rPr>
          <w:rFonts w:ascii="Times New Roman" w:hAnsi="Times New Roman" w:cs="Times New Roman"/>
          <w:noProof/>
          <w:sz w:val="24"/>
          <w:szCs w:val="24"/>
        </w:rPr>
        <w:t>Roh (2015)</w:t>
      </w:r>
      <w:r>
        <w:rPr>
          <w:rFonts w:ascii="Times New Roman" w:hAnsi="Times New Roman" w:cs="Times New Roman"/>
          <w:sz w:val="24"/>
          <w:szCs w:val="24"/>
        </w:rPr>
        <w:t xml:space="preserve"> that GDP could not predict the stay rate of international graduates. Due to the possible within-country income inequality in many developing countries, the GDP per capita of the whole country may not be an accurate measurement of the living standard in regions where those return graduates chose to live and work. Future studies could examine whether GDP per capita data at province-level or city-level has influences on shaping the migration patterns of international graduates.</w:t>
      </w:r>
    </w:p>
    <w:p w:rsidR="00CE3B64" w:rsidRDefault="00CE3B64" w:rsidP="00957F04">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 xml:space="preserve"> </w:t>
      </w:r>
    </w:p>
    <w:p w:rsidR="00CE3B64" w:rsidRPr="00C76162" w:rsidRDefault="00CE3B64" w:rsidP="00957F04">
      <w:pPr>
        <w:spacing w:before="100" w:beforeAutospacing="1" w:after="100" w:afterAutospacing="1"/>
        <w:rPr>
          <w:rFonts w:ascii="Times New Roman" w:hAnsi="Times New Roman" w:cs="Times New Roman"/>
          <w:b/>
          <w:sz w:val="24"/>
          <w:szCs w:val="24"/>
        </w:rPr>
      </w:pPr>
      <w:r w:rsidRPr="00C76162">
        <w:rPr>
          <w:rFonts w:ascii="Times New Roman" w:hAnsi="Times New Roman" w:cs="Times New Roman"/>
          <w:b/>
          <w:sz w:val="24"/>
          <w:szCs w:val="24"/>
        </w:rPr>
        <w:t xml:space="preserve">Please insert Table </w:t>
      </w:r>
      <w:r>
        <w:rPr>
          <w:rFonts w:ascii="Times New Roman" w:hAnsi="Times New Roman" w:cs="Times New Roman"/>
          <w:b/>
          <w:sz w:val="24"/>
          <w:szCs w:val="24"/>
        </w:rPr>
        <w:t>4</w:t>
      </w:r>
      <w:r w:rsidRPr="00C76162">
        <w:rPr>
          <w:rFonts w:ascii="Times New Roman" w:hAnsi="Times New Roman" w:cs="Times New Roman"/>
          <w:b/>
          <w:sz w:val="24"/>
          <w:szCs w:val="24"/>
        </w:rPr>
        <w:t xml:space="preserve"> here</w:t>
      </w:r>
    </w:p>
    <w:p w:rsidR="00CE3B64" w:rsidRPr="00C76162" w:rsidRDefault="00CE3B64">
      <w:pPr>
        <w:rPr>
          <w:rFonts w:ascii="Times New Roman" w:hAnsi="Times New Roman" w:cs="Times New Roman"/>
        </w:rPr>
      </w:pPr>
    </w:p>
    <w:p w:rsidR="00CE3B64" w:rsidRDefault="00CE3B64" w:rsidP="00957F04">
      <w:pPr>
        <w:pStyle w:val="2"/>
      </w:pPr>
      <w:r>
        <w:t>Conclusions and implications</w:t>
      </w:r>
    </w:p>
    <w:p w:rsidR="00CE3B64" w:rsidRDefault="00CE3B64" w:rsidP="00957F04">
      <w:pPr>
        <w:rPr>
          <w:rFonts w:ascii="Times New Roman" w:hAnsi="Times New Roman" w:cs="Times New Roman"/>
          <w:sz w:val="24"/>
          <w:szCs w:val="24"/>
        </w:rPr>
      </w:pPr>
      <w:r w:rsidRPr="00C90742">
        <w:rPr>
          <w:rFonts w:ascii="Times New Roman" w:hAnsi="Times New Roman" w:cs="Times New Roman"/>
          <w:sz w:val="24"/>
          <w:szCs w:val="24"/>
        </w:rPr>
        <w:t xml:space="preserve">Through fitting the recently available DLHE data with cross-classified multilevel logistic models, this paper has sought to extend existent understanding on international student migration by examining the effects of demographic and contextual features on graduates’ employment destinations in the UK context. The paper contributes to current research on ISM </w:t>
      </w:r>
      <w:r w:rsidRPr="00C90742">
        <w:rPr>
          <w:rFonts w:ascii="Times New Roman" w:hAnsi="Times New Roman" w:cs="Times New Roman"/>
          <w:sz w:val="24"/>
          <w:szCs w:val="24"/>
        </w:rPr>
        <w:lastRenderedPageBreak/>
        <w:t>in several aspects. First</w:t>
      </w:r>
      <w:r>
        <w:rPr>
          <w:rFonts w:ascii="Times New Roman" w:hAnsi="Times New Roman" w:cs="Times New Roman"/>
          <w:sz w:val="24"/>
          <w:szCs w:val="24"/>
        </w:rPr>
        <w:t xml:space="preserve"> of all</w:t>
      </w:r>
      <w:r w:rsidRPr="00C90742">
        <w:rPr>
          <w:rFonts w:ascii="Times New Roman" w:hAnsi="Times New Roman" w:cs="Times New Roman"/>
          <w:sz w:val="24"/>
          <w:szCs w:val="24"/>
        </w:rPr>
        <w:t>, the results show that international graduates’ country of origin and university of study both have prominent roles in predicting their employment</w:t>
      </w:r>
      <w:r>
        <w:rPr>
          <w:rFonts w:ascii="Times New Roman" w:hAnsi="Times New Roman" w:cs="Times New Roman"/>
          <w:sz w:val="24"/>
          <w:szCs w:val="24"/>
        </w:rPr>
        <w:t xml:space="preserve"> destinations</w:t>
      </w:r>
      <w:r w:rsidRPr="00C90742">
        <w:rPr>
          <w:rFonts w:ascii="Times New Roman" w:hAnsi="Times New Roman" w:cs="Times New Roman"/>
          <w:sz w:val="24"/>
          <w:szCs w:val="24"/>
        </w:rPr>
        <w:t xml:space="preserve"> after graduation, with 18.0% of total unexplained variation was attribute to the domicile-level and 10.8% to the HEI-level. Previous research </w:t>
      </w:r>
      <w:r w:rsidRPr="00C90742">
        <w:rPr>
          <w:rFonts w:ascii="Times New Roman" w:hAnsi="Times New Roman" w:cs="Times New Roman"/>
          <w:noProof/>
          <w:sz w:val="24"/>
          <w:szCs w:val="24"/>
        </w:rPr>
        <w:t>(Roh, 2015)</w:t>
      </w:r>
      <w:r>
        <w:rPr>
          <w:rFonts w:ascii="Times New Roman" w:hAnsi="Times New Roman" w:cs="Times New Roman"/>
          <w:sz w:val="24"/>
          <w:szCs w:val="24"/>
        </w:rPr>
        <w:t xml:space="preserve"> </w:t>
      </w:r>
      <w:r w:rsidRPr="00C90742">
        <w:rPr>
          <w:rFonts w:ascii="Times New Roman" w:hAnsi="Times New Roman" w:cs="Times New Roman"/>
          <w:sz w:val="24"/>
          <w:szCs w:val="24"/>
        </w:rPr>
        <w:t xml:space="preserve">has found that the </w:t>
      </w:r>
      <w:r>
        <w:rPr>
          <w:rFonts w:ascii="Times New Roman" w:hAnsi="Times New Roman" w:cs="Times New Roman"/>
          <w:sz w:val="24"/>
          <w:szCs w:val="24"/>
        </w:rPr>
        <w:t>inclusion</w:t>
      </w:r>
      <w:r w:rsidRPr="00C90742">
        <w:rPr>
          <w:rFonts w:ascii="Times New Roman" w:hAnsi="Times New Roman" w:cs="Times New Roman"/>
          <w:sz w:val="24"/>
          <w:szCs w:val="24"/>
        </w:rPr>
        <w:t xml:space="preserve"> of </w:t>
      </w:r>
      <w:r>
        <w:rPr>
          <w:rFonts w:ascii="Times New Roman" w:hAnsi="Times New Roman" w:cs="Times New Roman"/>
          <w:sz w:val="24"/>
          <w:szCs w:val="24"/>
        </w:rPr>
        <w:t>graduate-within-domicile (country of origin) hierarchy</w:t>
      </w:r>
      <w:r w:rsidRPr="00C90742">
        <w:rPr>
          <w:rFonts w:ascii="Times New Roman" w:hAnsi="Times New Roman" w:cs="Times New Roman"/>
          <w:sz w:val="24"/>
          <w:szCs w:val="24"/>
        </w:rPr>
        <w:t xml:space="preserve"> </w:t>
      </w:r>
      <w:r>
        <w:rPr>
          <w:rFonts w:ascii="Times New Roman" w:hAnsi="Times New Roman" w:cs="Times New Roman"/>
          <w:sz w:val="24"/>
          <w:szCs w:val="24"/>
        </w:rPr>
        <w:t xml:space="preserve">improves </w:t>
      </w:r>
      <w:r w:rsidRPr="00C90742">
        <w:rPr>
          <w:rFonts w:ascii="Times New Roman" w:hAnsi="Times New Roman" w:cs="Times New Roman"/>
          <w:sz w:val="24"/>
          <w:szCs w:val="24"/>
        </w:rPr>
        <w:t xml:space="preserve">the accuracy of </w:t>
      </w:r>
      <w:r>
        <w:rPr>
          <w:rFonts w:ascii="Times New Roman" w:hAnsi="Times New Roman" w:cs="Times New Roman"/>
          <w:sz w:val="24"/>
          <w:szCs w:val="24"/>
        </w:rPr>
        <w:t>statistical</w:t>
      </w:r>
      <w:r w:rsidRPr="00C90742">
        <w:rPr>
          <w:rFonts w:ascii="Times New Roman" w:hAnsi="Times New Roman" w:cs="Times New Roman"/>
          <w:sz w:val="24"/>
          <w:szCs w:val="24"/>
        </w:rPr>
        <w:t xml:space="preserve"> estimation on </w:t>
      </w:r>
      <w:r>
        <w:rPr>
          <w:rFonts w:ascii="Times New Roman" w:hAnsi="Times New Roman" w:cs="Times New Roman"/>
          <w:sz w:val="24"/>
          <w:szCs w:val="24"/>
        </w:rPr>
        <w:t>graduate mobility. This paper argues that international graduate migration data has more complex cross-classified structures, and the nesting of graduates within HEIs should not be neglected in model specification. The simultaneous inclusion of individual-level effects and wider domicile and HEI contextual influences are appropriate and necessary for statistical robustness and completeness in understanding ISM.</w:t>
      </w:r>
    </w:p>
    <w:p w:rsidR="00CE3B64" w:rsidRDefault="00CE3B64" w:rsidP="00957F04">
      <w:pPr>
        <w:rPr>
          <w:rFonts w:ascii="Times New Roman" w:hAnsi="Times New Roman" w:cs="Times New Roman"/>
          <w:sz w:val="24"/>
          <w:szCs w:val="24"/>
        </w:rPr>
      </w:pPr>
      <w:r>
        <w:rPr>
          <w:rFonts w:ascii="Times New Roman" w:hAnsi="Times New Roman" w:cs="Times New Roman"/>
          <w:sz w:val="24"/>
          <w:szCs w:val="24"/>
        </w:rPr>
        <w:t xml:space="preserve">Further, at individual-level, results show that the degree level of graduates seems to have the largest impact on probability to work in the UK, and the influence of gender on graduate mobility need to be discussed together with graduates’ educational backgrounds. At HEI-level, this paper finds that university of study explains a significant, although small relative to country of origin, proportion of variation in graduates’ employment destination. After adjusting for other graduate, HEI and domicile characteristics, this paper finds that prestige and location of the HEI attended explain approximately one quarter of the between-HEI variation. At domicile-level, whilst the importance of GDP, unemployment, language backgrounds, and colonial affiliation on cross-border mobility have been stressed by existent migration theories and empirical research </w:t>
      </w:r>
      <w:r>
        <w:rPr>
          <w:rFonts w:ascii="Times New Roman" w:hAnsi="Times New Roman" w:cs="Times New Roman"/>
          <w:noProof/>
          <w:sz w:val="24"/>
          <w:szCs w:val="24"/>
        </w:rPr>
        <w:t>(Castles</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2014; Massey</w:t>
      </w:r>
      <w:r w:rsidRPr="0095025D">
        <w:rPr>
          <w:rFonts w:ascii="Times New Roman" w:hAnsi="Times New Roman" w:cs="Times New Roman"/>
          <w:i/>
          <w:noProof/>
          <w:sz w:val="24"/>
          <w:szCs w:val="24"/>
        </w:rPr>
        <w:t xml:space="preserve"> et al.</w:t>
      </w:r>
      <w:r>
        <w:rPr>
          <w:rFonts w:ascii="Times New Roman" w:hAnsi="Times New Roman" w:cs="Times New Roman"/>
          <w:noProof/>
          <w:sz w:val="24"/>
          <w:szCs w:val="24"/>
        </w:rPr>
        <w:t>, 1993)</w:t>
      </w:r>
      <w:r>
        <w:rPr>
          <w:rFonts w:ascii="Times New Roman" w:hAnsi="Times New Roman" w:cs="Times New Roman"/>
          <w:sz w:val="24"/>
          <w:szCs w:val="24"/>
        </w:rPr>
        <w:t>, the results of this paper show that these country-level contextual factors do not have significant association with the employment mobility of international graduates.</w:t>
      </w:r>
    </w:p>
    <w:p w:rsidR="00CE3B64" w:rsidRDefault="00CE3B64" w:rsidP="00957F04">
      <w:pPr>
        <w:rPr>
          <w:rFonts w:ascii="Times New Roman" w:hAnsi="Times New Roman" w:cs="Times New Roman"/>
          <w:sz w:val="24"/>
          <w:szCs w:val="24"/>
        </w:rPr>
      </w:pPr>
      <w:r>
        <w:rPr>
          <w:rFonts w:ascii="Times New Roman" w:hAnsi="Times New Roman" w:cs="Times New Roman"/>
          <w:sz w:val="24"/>
          <w:szCs w:val="24"/>
        </w:rPr>
        <w:t xml:space="preserve">This paper provides empirical support to the plea of </w:t>
      </w:r>
      <w:r>
        <w:rPr>
          <w:rFonts w:ascii="Times New Roman" w:hAnsi="Times New Roman" w:cs="Times New Roman"/>
          <w:noProof/>
          <w:sz w:val="24"/>
          <w:szCs w:val="24"/>
        </w:rPr>
        <w:t>King and Raghuram (2013)</w:t>
      </w:r>
      <w:r>
        <w:rPr>
          <w:rFonts w:ascii="Times New Roman" w:hAnsi="Times New Roman" w:cs="Times New Roman"/>
          <w:sz w:val="24"/>
          <w:szCs w:val="24"/>
        </w:rPr>
        <w:t xml:space="preserve"> that current theorisation of ISM needs improvement. Although the results show that country of origin and university of study both have substantive impacts on graduate mobility, it remains mostly </w:t>
      </w:r>
      <w:r>
        <w:rPr>
          <w:rFonts w:ascii="Times New Roman" w:hAnsi="Times New Roman" w:cs="Times New Roman"/>
          <w:sz w:val="24"/>
          <w:szCs w:val="24"/>
        </w:rPr>
        <w:lastRenderedPageBreak/>
        <w:t xml:space="preserve">unclear that what contextual factors could influence graduates’ residential and occupational choices and how. We suggest that the analyses of student migration need to be extended beyond the </w:t>
      </w:r>
      <w:proofErr w:type="spellStart"/>
      <w:r>
        <w:rPr>
          <w:rFonts w:ascii="Times New Roman" w:hAnsi="Times New Roman" w:cs="Times New Roman"/>
          <w:sz w:val="24"/>
          <w:szCs w:val="24"/>
        </w:rPr>
        <w:t>spatialities</w:t>
      </w:r>
      <w:proofErr w:type="spellEnd"/>
      <w:r>
        <w:rPr>
          <w:rFonts w:ascii="Times New Roman" w:hAnsi="Times New Roman" w:cs="Times New Roman"/>
          <w:sz w:val="24"/>
          <w:szCs w:val="24"/>
        </w:rPr>
        <w:t xml:space="preserve"> of migration, and focus more on the </w:t>
      </w:r>
      <w:proofErr w:type="spellStart"/>
      <w:r>
        <w:rPr>
          <w:rFonts w:ascii="Times New Roman" w:hAnsi="Times New Roman" w:cs="Times New Roman"/>
          <w:sz w:val="24"/>
          <w:szCs w:val="24"/>
        </w:rPr>
        <w:t>spatialities</w:t>
      </w:r>
      <w:proofErr w:type="spellEnd"/>
      <w:r>
        <w:rPr>
          <w:rFonts w:ascii="Times New Roman" w:hAnsi="Times New Roman" w:cs="Times New Roman"/>
          <w:sz w:val="24"/>
          <w:szCs w:val="24"/>
        </w:rPr>
        <w:t xml:space="preserve"> of knowledge </w:t>
      </w:r>
      <w:r>
        <w:rPr>
          <w:rFonts w:ascii="Times New Roman" w:hAnsi="Times New Roman" w:cs="Times New Roman"/>
          <w:noProof/>
          <w:sz w:val="24"/>
          <w:szCs w:val="24"/>
        </w:rPr>
        <w:t>(Raghuram, 2013)</w:t>
      </w:r>
      <w:r>
        <w:rPr>
          <w:rFonts w:ascii="Times New Roman" w:hAnsi="Times New Roman" w:cs="Times New Roman"/>
          <w:sz w:val="24"/>
          <w:szCs w:val="24"/>
        </w:rPr>
        <w:t xml:space="preserve">, the aspirations for mobility </w:t>
      </w:r>
      <w:r>
        <w:rPr>
          <w:rFonts w:ascii="Times New Roman" w:hAnsi="Times New Roman" w:cs="Times New Roman"/>
          <w:noProof/>
          <w:sz w:val="24"/>
          <w:szCs w:val="24"/>
        </w:rPr>
        <w:t>(Tran, 2015)</w:t>
      </w:r>
      <w:r>
        <w:rPr>
          <w:rFonts w:ascii="Times New Roman" w:hAnsi="Times New Roman" w:cs="Times New Roman"/>
          <w:sz w:val="24"/>
          <w:szCs w:val="24"/>
        </w:rPr>
        <w:t xml:space="preserve">, and the interactions between structures and graduate agency </w:t>
      </w:r>
      <w:r>
        <w:rPr>
          <w:rFonts w:ascii="Times New Roman" w:hAnsi="Times New Roman" w:cs="Times New Roman"/>
          <w:noProof/>
          <w:sz w:val="24"/>
          <w:szCs w:val="24"/>
        </w:rPr>
        <w:t>(Li &amp; Lowe, 2016)</w:t>
      </w:r>
      <w:r>
        <w:rPr>
          <w:rFonts w:ascii="Times New Roman" w:hAnsi="Times New Roman" w:cs="Times New Roman"/>
          <w:sz w:val="24"/>
          <w:szCs w:val="24"/>
        </w:rPr>
        <w:t xml:space="preserve">. Future research that adopts biographical and qualitative approaches is much needed in improving existent understanding on employment decision-making of international graduates as well as their active engagements with the dynamic contextual forces. </w:t>
      </w:r>
    </w:p>
    <w:p w:rsidR="00CE3B64" w:rsidRDefault="00CE3B64" w:rsidP="00957F04">
      <w:pPr>
        <w:rPr>
          <w:rFonts w:ascii="Times New Roman" w:hAnsi="Times New Roman" w:cs="Times New Roman"/>
          <w:sz w:val="24"/>
          <w:szCs w:val="24"/>
        </w:rPr>
      </w:pPr>
    </w:p>
    <w:p w:rsidR="00CE3B64" w:rsidRPr="00C76162" w:rsidRDefault="00CE3B64" w:rsidP="00957F04">
      <w:pPr>
        <w:pStyle w:val="EndNoteBibliography"/>
        <w:spacing w:after="0"/>
        <w:ind w:left="720" w:hanging="720"/>
        <w:rPr>
          <w:rFonts w:ascii="Times New Roman" w:hAnsi="Times New Roman" w:cs="Times New Roman"/>
        </w:rPr>
      </w:pPr>
    </w:p>
    <w:p w:rsidR="00CE3B64" w:rsidRPr="00C76162" w:rsidRDefault="00CE3B64">
      <w:pPr>
        <w:spacing w:line="259" w:lineRule="auto"/>
        <w:jc w:val="left"/>
        <w:rPr>
          <w:rFonts w:ascii="Times New Roman" w:hAnsi="Times New Roman" w:cs="Times New Roman"/>
          <w:noProof/>
        </w:rPr>
      </w:pPr>
      <w:r w:rsidRPr="00C76162">
        <w:rPr>
          <w:rFonts w:ascii="Times New Roman" w:hAnsi="Times New Roman" w:cs="Times New Roman"/>
        </w:rPr>
        <w:br w:type="page"/>
      </w:r>
    </w:p>
    <w:p w:rsidR="00CE3B64" w:rsidRPr="00C76162" w:rsidRDefault="00CE3B64" w:rsidP="00957F04">
      <w:pPr>
        <w:pStyle w:val="2"/>
        <w:numPr>
          <w:ilvl w:val="0"/>
          <w:numId w:val="0"/>
        </w:numPr>
        <w:ind w:left="360" w:hanging="360"/>
      </w:pPr>
      <w:r w:rsidRPr="00C76162">
        <w:lastRenderedPageBreak/>
        <w:t>REFERENCES</w:t>
      </w:r>
    </w:p>
    <w:p w:rsidR="00CE3B64" w:rsidRPr="001711D7" w:rsidRDefault="00CE3B64" w:rsidP="0038306A">
      <w:pPr>
        <w:pStyle w:val="EndNoteBibliography"/>
        <w:spacing w:after="0"/>
        <w:ind w:left="340" w:hanging="340"/>
      </w:pPr>
      <w:r w:rsidRPr="001711D7">
        <w:t xml:space="preserve">Alberts, H. C. &amp; Hazen, H. D. (2005) “There are always two voices…”: International students' intentions to stay in the </w:t>
      </w:r>
      <w:r w:rsidR="00673166">
        <w:t>U</w:t>
      </w:r>
      <w:r w:rsidRPr="001711D7">
        <w:t xml:space="preserve">nited </w:t>
      </w:r>
      <w:r w:rsidR="00673166">
        <w:t>S</w:t>
      </w:r>
      <w:r w:rsidRPr="001711D7">
        <w:t xml:space="preserve">tates or return to their home countries, </w:t>
      </w:r>
      <w:r w:rsidRPr="001711D7">
        <w:rPr>
          <w:i/>
        </w:rPr>
        <w:t>International Migration</w:t>
      </w:r>
      <w:r w:rsidRPr="001711D7">
        <w:t>, 43(3), 131-154.</w:t>
      </w:r>
    </w:p>
    <w:p w:rsidR="00CE3B64" w:rsidRPr="001711D7" w:rsidRDefault="00CE3B64" w:rsidP="0038306A">
      <w:pPr>
        <w:pStyle w:val="EndNoteBibliography"/>
        <w:spacing w:after="0"/>
        <w:ind w:left="340" w:hanging="340"/>
      </w:pPr>
      <w:r w:rsidRPr="001711D7">
        <w:t xml:space="preserve">Beaverstock, J. V. &amp; Hall, S. (2012) Competing for talent: Global mobility, immigration and the city of </w:t>
      </w:r>
      <w:r w:rsidR="00673166">
        <w:t>L</w:t>
      </w:r>
      <w:r w:rsidRPr="001711D7">
        <w:t xml:space="preserve">ondon’s labour market, </w:t>
      </w:r>
      <w:r w:rsidRPr="001711D7">
        <w:rPr>
          <w:i/>
        </w:rPr>
        <w:t>Cambridge Journal of Regions, Economy and Society</w:t>
      </w:r>
      <w:r w:rsidRPr="001711D7">
        <w:t>, 5(2), 271-288.</w:t>
      </w:r>
    </w:p>
    <w:p w:rsidR="00CE3B64" w:rsidRPr="001711D7" w:rsidRDefault="00CE3B64" w:rsidP="0038306A">
      <w:pPr>
        <w:pStyle w:val="EndNoteBibliography"/>
        <w:spacing w:after="0"/>
        <w:ind w:left="340" w:hanging="340"/>
      </w:pPr>
      <w:r w:rsidRPr="001711D7">
        <w:t xml:space="preserve">Beine, M., Noël, R. &amp; Ragot, L. (2014) Determinants of the international mobility of students, </w:t>
      </w:r>
      <w:r w:rsidRPr="001711D7">
        <w:rPr>
          <w:i/>
        </w:rPr>
        <w:t>Economics of Education Review</w:t>
      </w:r>
      <w:r w:rsidRPr="001711D7">
        <w:t>, 41, 40-54.</w:t>
      </w:r>
    </w:p>
    <w:p w:rsidR="00CE3B64" w:rsidRPr="001711D7" w:rsidRDefault="00CE3B64" w:rsidP="0038306A">
      <w:pPr>
        <w:pStyle w:val="EndNoteBibliography"/>
        <w:spacing w:after="0"/>
        <w:ind w:left="340" w:hanging="340"/>
      </w:pPr>
      <w:r w:rsidRPr="001711D7">
        <w:t xml:space="preserve">Bodycott, P. (2009) Choosing a higher education study abroad destination: What mainland </w:t>
      </w:r>
      <w:r w:rsidR="00673166">
        <w:t>C</w:t>
      </w:r>
      <w:r w:rsidRPr="001711D7">
        <w:t xml:space="preserve">hinese parents and students rate as important, </w:t>
      </w:r>
      <w:r w:rsidRPr="001711D7">
        <w:rPr>
          <w:i/>
        </w:rPr>
        <w:t>Journal of Research in International Education</w:t>
      </w:r>
      <w:r w:rsidRPr="001711D7">
        <w:t>, 8(3), 349-373.</w:t>
      </w:r>
    </w:p>
    <w:p w:rsidR="00CE3B64" w:rsidRPr="001711D7" w:rsidRDefault="00CE3B64" w:rsidP="0038306A">
      <w:pPr>
        <w:pStyle w:val="EndNoteBibliography"/>
        <w:spacing w:after="0"/>
        <w:ind w:left="340" w:hanging="340"/>
      </w:pPr>
      <w:r w:rsidRPr="001711D7">
        <w:t>Bosworth, D., Lyonette, C., Wilson, R., Bayliss, M. &amp; Fathers, S. (2013) The supply of and demand for high-level stem skills. Evid</w:t>
      </w:r>
      <w:r w:rsidR="00673166">
        <w:t>ence report 77.  Wath-upon-Dearne:</w:t>
      </w:r>
      <w:r w:rsidRPr="001711D7">
        <w:t xml:space="preserve"> UK Commi</w:t>
      </w:r>
      <w:r w:rsidR="00673166">
        <w:t>ssion for Employment and Skills</w:t>
      </w:r>
      <w:r w:rsidRPr="001711D7">
        <w:t>.</w:t>
      </w:r>
    </w:p>
    <w:p w:rsidR="00CE3B64" w:rsidRPr="001711D7" w:rsidRDefault="00CE3B64" w:rsidP="0038306A">
      <w:pPr>
        <w:pStyle w:val="EndNoteBibliography"/>
        <w:spacing w:after="0"/>
        <w:ind w:left="340" w:hanging="340"/>
      </w:pPr>
      <w:r w:rsidRPr="001711D7">
        <w:t xml:space="preserve">Browne, W. J. (2009) </w:t>
      </w:r>
      <w:r w:rsidR="00673166">
        <w:t>MCMC</w:t>
      </w:r>
      <w:r w:rsidRPr="001711D7">
        <w:t xml:space="preserve"> estimation in </w:t>
      </w:r>
      <w:r w:rsidR="00673166">
        <w:t>ML</w:t>
      </w:r>
      <w:r w:rsidRPr="001711D7">
        <w:t>wi</w:t>
      </w:r>
      <w:r w:rsidR="00673166">
        <w:t>N</w:t>
      </w:r>
      <w:r w:rsidRPr="001711D7">
        <w:t xml:space="preserve">, v3.00, </w:t>
      </w:r>
      <w:r w:rsidRPr="001711D7">
        <w:rPr>
          <w:i/>
        </w:rPr>
        <w:t>Centre for Multilevel Modelling, University of Bristol</w:t>
      </w:r>
      <w:r w:rsidRPr="001711D7">
        <w:t>.</w:t>
      </w:r>
    </w:p>
    <w:p w:rsidR="00CE3B64" w:rsidRPr="001711D7" w:rsidRDefault="00CE3B64" w:rsidP="0038306A">
      <w:pPr>
        <w:pStyle w:val="EndNoteBibliography"/>
        <w:spacing w:after="0"/>
        <w:ind w:left="340" w:hanging="340"/>
      </w:pPr>
      <w:r w:rsidRPr="001711D7">
        <w:t xml:space="preserve">Browne, W. J., Subramanian, S. V., Jones, K. &amp; Goldstein, H. (2005) Variance partitioning in multilevel logistic models that exhibit overdispersion, </w:t>
      </w:r>
      <w:r w:rsidRPr="001711D7">
        <w:rPr>
          <w:i/>
        </w:rPr>
        <w:t>Journal of the Royal Statistical Society: Series A (Statistics in Society)</w:t>
      </w:r>
      <w:r w:rsidRPr="001711D7">
        <w:t>, 168(3), 599-613.</w:t>
      </w:r>
    </w:p>
    <w:p w:rsidR="00CE3B64" w:rsidRPr="001711D7" w:rsidRDefault="00CE3B64" w:rsidP="0038306A">
      <w:pPr>
        <w:pStyle w:val="EndNoteBibliography"/>
        <w:spacing w:after="0"/>
        <w:ind w:left="340" w:hanging="340"/>
      </w:pPr>
      <w:r w:rsidRPr="001711D7">
        <w:t xml:space="preserve">Castles, S., de Haas, H. &amp; Miller, M. J. (2014) </w:t>
      </w:r>
      <w:r w:rsidRPr="001711D7">
        <w:rPr>
          <w:i/>
        </w:rPr>
        <w:t>The age of migration: International population movements in the modern world</w:t>
      </w:r>
      <w:r w:rsidR="00CC0534">
        <w:rPr>
          <w:i/>
        </w:rPr>
        <w:t>.</w:t>
      </w:r>
      <w:r w:rsidR="00CC0534">
        <w:t xml:space="preserve"> Basingstoke: Palgrave Macmillan</w:t>
      </w:r>
      <w:r w:rsidRPr="001711D7">
        <w:t>.</w:t>
      </w:r>
    </w:p>
    <w:p w:rsidR="00CE3B64" w:rsidRPr="001711D7" w:rsidRDefault="00CE3B64" w:rsidP="0038306A">
      <w:pPr>
        <w:pStyle w:val="EndNoteBibliography"/>
        <w:spacing w:after="0"/>
        <w:ind w:left="340" w:hanging="340"/>
      </w:pPr>
      <w:r w:rsidRPr="001711D7">
        <w:t xml:space="preserve">Cattaneo, M., Horta, H., Malighetti, P., Meoli, M. &amp; Paleari, S. (2017) Effects of the financial crisis on university choice by gender, </w:t>
      </w:r>
      <w:r w:rsidRPr="001711D7">
        <w:rPr>
          <w:i/>
        </w:rPr>
        <w:t>Higher Education</w:t>
      </w:r>
      <w:r w:rsidRPr="001711D7">
        <w:t>, 74(5), 775-798.</w:t>
      </w:r>
    </w:p>
    <w:p w:rsidR="00CE3B64" w:rsidRPr="001711D7" w:rsidRDefault="00CE3B64" w:rsidP="0038306A">
      <w:pPr>
        <w:pStyle w:val="EndNoteBibliography"/>
        <w:spacing w:after="0"/>
        <w:ind w:left="340" w:hanging="340"/>
      </w:pPr>
      <w:r w:rsidRPr="001711D7">
        <w:t xml:space="preserve">Cebolla-Boado, H., Hu, Y. &amp; Soysal, Y. N. l. (2018) Why study abroad? Sorting of </w:t>
      </w:r>
      <w:r w:rsidR="00673166">
        <w:t>C</w:t>
      </w:r>
      <w:r w:rsidRPr="001711D7">
        <w:t xml:space="preserve">hinese students across </w:t>
      </w:r>
      <w:r w:rsidR="00673166">
        <w:t>B</w:t>
      </w:r>
      <w:r w:rsidRPr="001711D7">
        <w:t xml:space="preserve">ritish universities, </w:t>
      </w:r>
      <w:r w:rsidRPr="001711D7">
        <w:rPr>
          <w:i/>
        </w:rPr>
        <w:t>British Journal of Sociology of Education</w:t>
      </w:r>
      <w:r w:rsidRPr="001711D7">
        <w:t>, 39(3), 365-380.</w:t>
      </w:r>
    </w:p>
    <w:p w:rsidR="00CE3B64" w:rsidRPr="001711D7" w:rsidRDefault="00CE3B64" w:rsidP="0038306A">
      <w:pPr>
        <w:pStyle w:val="EndNoteBibliography"/>
        <w:spacing w:after="0"/>
        <w:ind w:left="340" w:hanging="340"/>
      </w:pPr>
      <w:r w:rsidRPr="001711D7">
        <w:t xml:space="preserve">Clarke, P. &amp; Wheaton, B. (2007) Addressing data sparseness in contextual population research: Using cluster analysis to create synthetic neighborhoods, </w:t>
      </w:r>
      <w:r w:rsidRPr="001711D7">
        <w:rPr>
          <w:i/>
        </w:rPr>
        <w:t xml:space="preserve">Sociological </w:t>
      </w:r>
      <w:r w:rsidR="00673166">
        <w:rPr>
          <w:i/>
        </w:rPr>
        <w:t>M</w:t>
      </w:r>
      <w:r w:rsidRPr="001711D7">
        <w:rPr>
          <w:i/>
        </w:rPr>
        <w:t xml:space="preserve">ethods &amp; </w:t>
      </w:r>
      <w:r w:rsidR="00673166">
        <w:rPr>
          <w:i/>
        </w:rPr>
        <w:t>R</w:t>
      </w:r>
      <w:r w:rsidRPr="001711D7">
        <w:rPr>
          <w:i/>
        </w:rPr>
        <w:t>esearch</w:t>
      </w:r>
      <w:r w:rsidRPr="001711D7">
        <w:t>, 35(3), 311-351.</w:t>
      </w:r>
    </w:p>
    <w:p w:rsidR="00AD01EA" w:rsidRPr="001711D7" w:rsidRDefault="00AD01EA" w:rsidP="0038306A">
      <w:pPr>
        <w:pStyle w:val="EndNoteBibliography"/>
        <w:spacing w:after="0"/>
        <w:ind w:left="340" w:hanging="340"/>
      </w:pPr>
      <w:r w:rsidRPr="00AD01EA">
        <w:t>Confederation of British Industry</w:t>
      </w:r>
      <w:r w:rsidRPr="001711D7">
        <w:t xml:space="preserve"> (2016) The right combination: </w:t>
      </w:r>
      <w:r w:rsidR="00673166">
        <w:t>CBI</w:t>
      </w:r>
      <w:r w:rsidRPr="001711D7">
        <w:t>/pearson education and skills survey 2016</w:t>
      </w:r>
      <w:r w:rsidR="00CC0534">
        <w:t>.  London: CBI</w:t>
      </w:r>
      <w:r w:rsidRPr="001711D7">
        <w:t>.</w:t>
      </w:r>
    </w:p>
    <w:p w:rsidR="00CE3B64" w:rsidRPr="001711D7" w:rsidRDefault="00CE3B64" w:rsidP="0038306A">
      <w:pPr>
        <w:pStyle w:val="EndNoteBibliography"/>
        <w:spacing w:after="0"/>
        <w:ind w:left="340" w:hanging="340"/>
      </w:pPr>
      <w:r w:rsidRPr="001711D7">
        <w:t xml:space="preserve">Collins, F. L., Ho, K. C., Ishikawa, M. &amp; Ma, A. H. S. (2017) International student mobility and after‐study lives: The portability and prospects of overseas education in </w:t>
      </w:r>
      <w:r w:rsidR="00673166">
        <w:t>A</w:t>
      </w:r>
      <w:r w:rsidRPr="001711D7">
        <w:t xml:space="preserve">sia, </w:t>
      </w:r>
      <w:r w:rsidRPr="001711D7">
        <w:rPr>
          <w:i/>
        </w:rPr>
        <w:t xml:space="preserve">Population, </w:t>
      </w:r>
      <w:r w:rsidR="00673166">
        <w:rPr>
          <w:i/>
        </w:rPr>
        <w:t>S</w:t>
      </w:r>
      <w:r w:rsidRPr="001711D7">
        <w:rPr>
          <w:i/>
        </w:rPr>
        <w:t xml:space="preserve">pace and </w:t>
      </w:r>
      <w:r w:rsidR="00673166">
        <w:rPr>
          <w:i/>
        </w:rPr>
        <w:t>P</w:t>
      </w:r>
      <w:r w:rsidRPr="001711D7">
        <w:rPr>
          <w:i/>
        </w:rPr>
        <w:t>lace</w:t>
      </w:r>
      <w:r w:rsidRPr="001711D7">
        <w:t>, 23(4), e2029.</w:t>
      </w:r>
    </w:p>
    <w:p w:rsidR="00CE3B64" w:rsidRPr="001711D7" w:rsidRDefault="00CE3B64" w:rsidP="0038306A">
      <w:pPr>
        <w:pStyle w:val="EndNoteBibliography"/>
        <w:spacing w:after="0"/>
        <w:ind w:left="340" w:hanging="340"/>
      </w:pPr>
      <w:r w:rsidRPr="001711D7">
        <w:t xml:space="preserve">Crockett, S. A. &amp; Hays, D. G. (2011) Understanding and responding to the career counseling needs of international college students on </w:t>
      </w:r>
      <w:r w:rsidR="00673166">
        <w:t>US</w:t>
      </w:r>
      <w:r w:rsidRPr="001711D7">
        <w:t xml:space="preserve"> campuses, </w:t>
      </w:r>
      <w:r w:rsidRPr="001711D7">
        <w:rPr>
          <w:i/>
        </w:rPr>
        <w:t>Journal of College Counseling</w:t>
      </w:r>
      <w:r w:rsidRPr="001711D7">
        <w:t>, 14(1), 65-79.</w:t>
      </w:r>
    </w:p>
    <w:p w:rsidR="00CE3B64" w:rsidRPr="001711D7" w:rsidRDefault="00CE3B64" w:rsidP="0038306A">
      <w:pPr>
        <w:pStyle w:val="EndNoteBibliography"/>
        <w:spacing w:after="0"/>
        <w:ind w:left="340" w:hanging="340"/>
      </w:pPr>
      <w:r w:rsidRPr="001711D7">
        <w:t xml:space="preserve">Csedő, K. (2008) Negotiating skills in the global city: Hungarian and </w:t>
      </w:r>
      <w:r w:rsidR="00673166">
        <w:t>R</w:t>
      </w:r>
      <w:r w:rsidRPr="001711D7">
        <w:t xml:space="preserve">omanian professionals and graduates in </w:t>
      </w:r>
      <w:r w:rsidR="00673166">
        <w:t>L</w:t>
      </w:r>
      <w:r w:rsidRPr="001711D7">
        <w:t xml:space="preserve">ondon, </w:t>
      </w:r>
      <w:r w:rsidRPr="001711D7">
        <w:rPr>
          <w:i/>
        </w:rPr>
        <w:t>Journal of Ethnic and Migration Studies</w:t>
      </w:r>
      <w:r w:rsidRPr="001711D7">
        <w:t>, 34(5), 803-823.</w:t>
      </w:r>
    </w:p>
    <w:p w:rsidR="00CE3B64" w:rsidRPr="001711D7" w:rsidRDefault="00CE3B64" w:rsidP="0038306A">
      <w:pPr>
        <w:pStyle w:val="EndNoteBibliography"/>
        <w:spacing w:after="0"/>
        <w:ind w:left="340" w:hanging="340"/>
      </w:pPr>
      <w:r w:rsidRPr="001711D7">
        <w:t xml:space="preserve">Czaika, M. &amp; Toma, S. (2017) International academic mobility across space and time: The case of </w:t>
      </w:r>
      <w:r w:rsidR="00673166">
        <w:t>I</w:t>
      </w:r>
      <w:r w:rsidRPr="001711D7">
        <w:t xml:space="preserve">ndian academics, </w:t>
      </w:r>
      <w:r w:rsidRPr="001711D7">
        <w:rPr>
          <w:i/>
        </w:rPr>
        <w:t xml:space="preserve">Population, </w:t>
      </w:r>
      <w:r w:rsidR="00673166">
        <w:rPr>
          <w:i/>
        </w:rPr>
        <w:t>S</w:t>
      </w:r>
      <w:r w:rsidRPr="001711D7">
        <w:rPr>
          <w:i/>
        </w:rPr>
        <w:t xml:space="preserve">pace and </w:t>
      </w:r>
      <w:r w:rsidR="00673166">
        <w:rPr>
          <w:i/>
        </w:rPr>
        <w:t>P</w:t>
      </w:r>
      <w:r w:rsidRPr="001711D7">
        <w:rPr>
          <w:i/>
        </w:rPr>
        <w:t>lace</w:t>
      </w:r>
      <w:r w:rsidRPr="001711D7">
        <w:t>, 23(8), e2069.</w:t>
      </w:r>
    </w:p>
    <w:p w:rsidR="00AD01EA" w:rsidRPr="001711D7" w:rsidRDefault="00AD01EA" w:rsidP="0038306A">
      <w:pPr>
        <w:pStyle w:val="EndNoteBibliography"/>
        <w:spacing w:after="0"/>
        <w:ind w:left="340" w:hanging="340"/>
      </w:pPr>
      <w:r w:rsidRPr="00AD01EA">
        <w:t>Department for Business, Energy &amp; Industrial Strategy</w:t>
      </w:r>
      <w:r w:rsidRPr="001711D7">
        <w:t xml:space="preserve"> (2017) Building our indu</w:t>
      </w:r>
      <w:r w:rsidR="00CC0534">
        <w:t>strial strategy: Green paper.  London: BEIS</w:t>
      </w:r>
      <w:r w:rsidRPr="001711D7">
        <w:t>.</w:t>
      </w:r>
    </w:p>
    <w:p w:rsidR="00CE3B64" w:rsidRPr="001711D7" w:rsidRDefault="00CE3B64" w:rsidP="0038306A">
      <w:pPr>
        <w:pStyle w:val="EndNoteBibliography"/>
        <w:spacing w:after="0"/>
        <w:ind w:left="340" w:hanging="340"/>
      </w:pPr>
      <w:r w:rsidRPr="001711D7">
        <w:t xml:space="preserve">de Haas, H. (2010) Migration and development: A theoretical perspective, </w:t>
      </w:r>
      <w:r w:rsidRPr="001711D7">
        <w:rPr>
          <w:i/>
        </w:rPr>
        <w:t>International Migration Review</w:t>
      </w:r>
      <w:r w:rsidRPr="001711D7">
        <w:t>, 44(1), 227-264.</w:t>
      </w:r>
    </w:p>
    <w:p w:rsidR="00CE3B64" w:rsidRPr="001711D7" w:rsidRDefault="00CE3B64" w:rsidP="0038306A">
      <w:pPr>
        <w:pStyle w:val="EndNoteBibliography"/>
        <w:spacing w:after="0"/>
        <w:ind w:left="340" w:hanging="340"/>
      </w:pPr>
      <w:r w:rsidRPr="001711D7">
        <w:t xml:space="preserve">de Wit, H., Hunter, F., Howard, L. &amp; Egron-Polak, E. (2015) </w:t>
      </w:r>
      <w:r w:rsidRPr="001711D7">
        <w:rPr>
          <w:i/>
        </w:rPr>
        <w:t>Directorate-general for internal policies, policy department b: Structural and cohesion policies: Culture and education. Internationalisation of higher education.</w:t>
      </w:r>
      <w:r w:rsidRPr="001711D7">
        <w:t xml:space="preserve"> Available online at: </w:t>
      </w:r>
      <w:r w:rsidR="00673166" w:rsidRPr="00673166">
        <w:t>http://www.europarl.europa.eu/RegData/etudes</w:t>
      </w:r>
      <w:r w:rsidR="00673166">
        <w:t xml:space="preserve"> </w:t>
      </w:r>
      <w:r w:rsidR="00AD01EA" w:rsidRPr="00AD01EA">
        <w:t>/STUD/2015/540370</w:t>
      </w:r>
      <w:r w:rsidRPr="00CE3B64">
        <w:t>/IPOL_STU(2015)540370_EN.pdf</w:t>
      </w:r>
      <w:r w:rsidRPr="001711D7">
        <w:t xml:space="preserve"> (accessed 03/03/2019).</w:t>
      </w:r>
    </w:p>
    <w:p w:rsidR="00CE3B64" w:rsidRPr="001711D7" w:rsidRDefault="00CE3B64" w:rsidP="0038306A">
      <w:pPr>
        <w:pStyle w:val="EndNoteBibliography"/>
        <w:spacing w:after="0"/>
        <w:ind w:left="340" w:hanging="340"/>
      </w:pPr>
      <w:r w:rsidRPr="001711D7">
        <w:t xml:space="preserve">Dumont, J.-C., Martin, J. P. &amp; Spielvogel, G. (2007) Women on the move: The neglected gender dimension of the brain drain,  </w:t>
      </w:r>
      <w:r w:rsidRPr="001711D7">
        <w:rPr>
          <w:i/>
        </w:rPr>
        <w:t>IZA Discussion Paper No. 2920</w:t>
      </w:r>
      <w:r w:rsidR="00AD01EA">
        <w:rPr>
          <w:i/>
        </w:rPr>
        <w:t>.</w:t>
      </w:r>
      <w:r w:rsidR="00AD01EA">
        <w:t xml:space="preserve"> Bonn:</w:t>
      </w:r>
      <w:r w:rsidRPr="001711D7">
        <w:t xml:space="preserve"> </w:t>
      </w:r>
      <w:r w:rsidR="00AD01EA" w:rsidRPr="00AD01EA">
        <w:t>Institute for the Study of Labor</w:t>
      </w:r>
      <w:r w:rsidRPr="001711D7">
        <w:t>.</w:t>
      </w:r>
    </w:p>
    <w:p w:rsidR="00CE3B64" w:rsidRPr="001711D7" w:rsidRDefault="00CE3B64" w:rsidP="0038306A">
      <w:pPr>
        <w:pStyle w:val="EndNoteBibliography"/>
        <w:spacing w:after="0"/>
        <w:ind w:left="340" w:hanging="340"/>
      </w:pPr>
      <w:r w:rsidRPr="001711D7">
        <w:lastRenderedPageBreak/>
        <w:t xml:space="preserve">Faggian, A. &amp; McCann, P. (2009) Human capital, graduate migration and innovation in </w:t>
      </w:r>
      <w:r w:rsidR="00673166">
        <w:t>B</w:t>
      </w:r>
      <w:r w:rsidRPr="001711D7">
        <w:t xml:space="preserve">ritish regions, </w:t>
      </w:r>
      <w:r w:rsidRPr="001711D7">
        <w:rPr>
          <w:i/>
        </w:rPr>
        <w:t>Cambridge Journal of Economics</w:t>
      </w:r>
      <w:r w:rsidRPr="001711D7">
        <w:t>, 33(2), 317-333.</w:t>
      </w:r>
    </w:p>
    <w:p w:rsidR="00CE3B64" w:rsidRPr="001711D7" w:rsidRDefault="00CE3B64" w:rsidP="0038306A">
      <w:pPr>
        <w:pStyle w:val="EndNoteBibliography"/>
        <w:spacing w:after="0"/>
        <w:ind w:left="340" w:hanging="340"/>
      </w:pPr>
      <w:r w:rsidRPr="001711D7">
        <w:t xml:space="preserve">Finn, M. G. &amp; Pennington, L. A. (2018) </w:t>
      </w:r>
      <w:r w:rsidRPr="001711D7">
        <w:rPr>
          <w:i/>
        </w:rPr>
        <w:t xml:space="preserve">Stay rates of foreign doctorate recipients from </w:t>
      </w:r>
      <w:r w:rsidR="00AD01EA">
        <w:rPr>
          <w:i/>
        </w:rPr>
        <w:t>U</w:t>
      </w:r>
      <w:r w:rsidRPr="001711D7">
        <w:rPr>
          <w:i/>
        </w:rPr>
        <w:t>.S. Universities, 2013</w:t>
      </w:r>
      <w:r w:rsidRPr="001711D7">
        <w:t xml:space="preserve">. Available online at: </w:t>
      </w:r>
      <w:r w:rsidRPr="00CE3B64">
        <w:t>https://orise.orau.gov/stem/reports/stay-rates-foreign-doctorate-recipients-2013.pdf</w:t>
      </w:r>
      <w:r w:rsidRPr="001711D7">
        <w:t xml:space="preserve"> (accessed 13 February 2019).</w:t>
      </w:r>
    </w:p>
    <w:p w:rsidR="00CE3B64" w:rsidRPr="001711D7" w:rsidRDefault="00CE3B64" w:rsidP="0038306A">
      <w:pPr>
        <w:pStyle w:val="EndNoteBibliography"/>
        <w:spacing w:after="0"/>
        <w:ind w:left="340" w:hanging="340"/>
      </w:pPr>
      <w:r w:rsidRPr="001711D7">
        <w:t xml:space="preserve">Garcia-Quevedo, J., Mas-Verdú, F. &amp; Polo-Otero, J. (2012) Which firms want </w:t>
      </w:r>
      <w:r w:rsidR="00673166">
        <w:t>PhD</w:t>
      </w:r>
      <w:r w:rsidRPr="001711D7">
        <w:t xml:space="preserve">s? An analysis of the determinants of the demand, </w:t>
      </w:r>
      <w:r w:rsidRPr="001711D7">
        <w:rPr>
          <w:i/>
        </w:rPr>
        <w:t>Higher Education</w:t>
      </w:r>
      <w:r w:rsidRPr="001711D7">
        <w:t>, 63(5), 607-620.</w:t>
      </w:r>
    </w:p>
    <w:p w:rsidR="00CE3B64" w:rsidRPr="001711D7" w:rsidRDefault="00CE3B64" w:rsidP="0038306A">
      <w:pPr>
        <w:pStyle w:val="EndNoteBibliography"/>
        <w:spacing w:after="0"/>
        <w:ind w:left="340" w:hanging="340"/>
      </w:pPr>
      <w:r w:rsidRPr="001711D7">
        <w:t xml:space="preserve">Geddie, K. (2013) The transnational ties that bind: Relationship considerations for graduating international science and engineering research students, </w:t>
      </w:r>
      <w:r w:rsidRPr="001711D7">
        <w:rPr>
          <w:i/>
        </w:rPr>
        <w:t xml:space="preserve">Population, </w:t>
      </w:r>
      <w:r w:rsidR="00673166">
        <w:rPr>
          <w:i/>
        </w:rPr>
        <w:t>S</w:t>
      </w:r>
      <w:r w:rsidRPr="001711D7">
        <w:rPr>
          <w:i/>
        </w:rPr>
        <w:t xml:space="preserve">pace and </w:t>
      </w:r>
      <w:r w:rsidR="00673166">
        <w:rPr>
          <w:i/>
        </w:rPr>
        <w:t>P</w:t>
      </w:r>
      <w:r w:rsidRPr="001711D7">
        <w:rPr>
          <w:i/>
        </w:rPr>
        <w:t>lace</w:t>
      </w:r>
      <w:r w:rsidRPr="001711D7">
        <w:t>, 19(2), 196-208.</w:t>
      </w:r>
    </w:p>
    <w:p w:rsidR="00CE3B64" w:rsidRPr="001711D7" w:rsidRDefault="00CE3B64" w:rsidP="0038306A">
      <w:pPr>
        <w:pStyle w:val="EndNoteBibliography"/>
        <w:spacing w:after="0"/>
        <w:ind w:left="340" w:hanging="340"/>
      </w:pPr>
      <w:r w:rsidRPr="001711D7">
        <w:t xml:space="preserve">Goel, D. &amp; Lang, K. (2019) Social ties and the job search of recent immigrants, </w:t>
      </w:r>
      <w:r w:rsidRPr="001711D7">
        <w:rPr>
          <w:i/>
        </w:rPr>
        <w:t>ILR Review</w:t>
      </w:r>
      <w:r w:rsidRPr="001711D7">
        <w:t>, 72(2), 355-381.</w:t>
      </w:r>
    </w:p>
    <w:p w:rsidR="00CE3B64" w:rsidRPr="001711D7" w:rsidRDefault="00CE3B64" w:rsidP="0038306A">
      <w:pPr>
        <w:pStyle w:val="EndNoteBibliography"/>
        <w:spacing w:after="0"/>
        <w:ind w:left="340" w:hanging="340"/>
      </w:pPr>
      <w:r w:rsidRPr="001711D7">
        <w:t xml:space="preserve">Goldstein, H. (2011) </w:t>
      </w:r>
      <w:r w:rsidRPr="001711D7">
        <w:rPr>
          <w:i/>
        </w:rPr>
        <w:t>Multilevel statistical models</w:t>
      </w:r>
      <w:r w:rsidR="00AD01EA">
        <w:rPr>
          <w:i/>
        </w:rPr>
        <w:t>.</w:t>
      </w:r>
      <w:r w:rsidR="00AD01EA">
        <w:t xml:space="preserve"> Chichester: Wiley</w:t>
      </w:r>
      <w:r w:rsidRPr="001711D7">
        <w:t>.</w:t>
      </w:r>
    </w:p>
    <w:p w:rsidR="00CE3B64" w:rsidRPr="001711D7" w:rsidRDefault="00CE3B64" w:rsidP="0038306A">
      <w:pPr>
        <w:pStyle w:val="EndNoteBibliography"/>
        <w:spacing w:after="0"/>
        <w:ind w:left="340" w:hanging="340"/>
      </w:pPr>
      <w:r w:rsidRPr="001711D7">
        <w:t xml:space="preserve">Gu, Q. &amp; Schweisfurth, M. (2015) Transnational connections, competences and identities: Experiences of </w:t>
      </w:r>
      <w:r w:rsidR="00673166">
        <w:t>C</w:t>
      </w:r>
      <w:r w:rsidRPr="001711D7">
        <w:t xml:space="preserve">hinese international students after their return ‘home’, </w:t>
      </w:r>
      <w:r w:rsidRPr="001711D7">
        <w:rPr>
          <w:i/>
        </w:rPr>
        <w:t>British Educational Research Journal</w:t>
      </w:r>
      <w:r w:rsidRPr="001711D7">
        <w:t>, 41(6), 947-970.</w:t>
      </w:r>
    </w:p>
    <w:p w:rsidR="00CE3B64" w:rsidRPr="001711D7" w:rsidRDefault="00CE3B64" w:rsidP="0038306A">
      <w:pPr>
        <w:pStyle w:val="EndNoteBibliography"/>
        <w:spacing w:after="0"/>
        <w:ind w:left="340" w:hanging="340"/>
      </w:pPr>
      <w:r w:rsidRPr="001711D7">
        <w:t xml:space="preserve">Guerassimoff, C. (2003) The new </w:t>
      </w:r>
      <w:r w:rsidR="00673166">
        <w:t>C</w:t>
      </w:r>
      <w:r w:rsidRPr="001711D7">
        <w:t xml:space="preserve">hinese migrants in </w:t>
      </w:r>
      <w:r w:rsidR="00673166">
        <w:t>F</w:t>
      </w:r>
      <w:r w:rsidRPr="001711D7">
        <w:t xml:space="preserve">rance, </w:t>
      </w:r>
      <w:r w:rsidRPr="001711D7">
        <w:rPr>
          <w:i/>
        </w:rPr>
        <w:t>International Migration</w:t>
      </w:r>
      <w:r w:rsidRPr="001711D7">
        <w:t>, 41(3), 135-154.</w:t>
      </w:r>
    </w:p>
    <w:p w:rsidR="00CE3B64" w:rsidRPr="001711D7" w:rsidRDefault="00CE3B64" w:rsidP="0038306A">
      <w:pPr>
        <w:pStyle w:val="EndNoteBibliography"/>
        <w:spacing w:after="0"/>
        <w:ind w:left="340" w:hanging="340"/>
      </w:pPr>
      <w:r w:rsidRPr="001711D7">
        <w:t xml:space="preserve">Harvey, W. S. (2011) British and </w:t>
      </w:r>
      <w:r w:rsidR="00673166">
        <w:t>I</w:t>
      </w:r>
      <w:r w:rsidRPr="001711D7">
        <w:t xml:space="preserve">ndian scientists moving to the </w:t>
      </w:r>
      <w:r w:rsidR="00673166">
        <w:t>U</w:t>
      </w:r>
      <w:r w:rsidRPr="001711D7">
        <w:t xml:space="preserve">nited </w:t>
      </w:r>
      <w:r w:rsidR="00673166">
        <w:t>S</w:t>
      </w:r>
      <w:r w:rsidRPr="001711D7">
        <w:t xml:space="preserve">tates, </w:t>
      </w:r>
      <w:r w:rsidRPr="001711D7">
        <w:rPr>
          <w:i/>
        </w:rPr>
        <w:t>Work and Occupations</w:t>
      </w:r>
      <w:r w:rsidRPr="001711D7">
        <w:t>, 38(1), 68-100.</w:t>
      </w:r>
    </w:p>
    <w:p w:rsidR="00CE3B64" w:rsidRPr="001711D7" w:rsidRDefault="00CE3B64" w:rsidP="0038306A">
      <w:pPr>
        <w:pStyle w:val="EndNoteBibliography"/>
        <w:spacing w:after="0"/>
        <w:ind w:left="340" w:hanging="340"/>
      </w:pPr>
      <w:r w:rsidRPr="001711D7">
        <w:t xml:space="preserve">Hawthorne, L. (2014) Indian students and the evolution of the study‐migration pathway in </w:t>
      </w:r>
      <w:r w:rsidR="005B30F9">
        <w:t>A</w:t>
      </w:r>
      <w:r w:rsidRPr="001711D7">
        <w:t xml:space="preserve">ustralia, </w:t>
      </w:r>
      <w:r w:rsidRPr="001711D7">
        <w:rPr>
          <w:i/>
        </w:rPr>
        <w:t>International Migration</w:t>
      </w:r>
      <w:r w:rsidRPr="001711D7">
        <w:t>, 52(2), 3-19.</w:t>
      </w:r>
    </w:p>
    <w:p w:rsidR="00CE3B64" w:rsidRPr="001711D7" w:rsidRDefault="00CE3B64" w:rsidP="0038306A">
      <w:pPr>
        <w:pStyle w:val="EndNoteBibliography"/>
        <w:spacing w:after="0"/>
        <w:ind w:left="340" w:hanging="340"/>
      </w:pPr>
      <w:r w:rsidRPr="001711D7">
        <w:t xml:space="preserve">Hawthorne, L. &amp; To, A. (2014) Australian employer response to the study‐migration pathway: The quantitative evidence 2007‐2011, </w:t>
      </w:r>
      <w:r w:rsidRPr="001711D7">
        <w:rPr>
          <w:i/>
        </w:rPr>
        <w:t>International Migration</w:t>
      </w:r>
      <w:r w:rsidRPr="001711D7">
        <w:t>, 52(3), 99-115.</w:t>
      </w:r>
    </w:p>
    <w:p w:rsidR="00CE3B64" w:rsidRPr="001711D7" w:rsidRDefault="00CE3B64" w:rsidP="0038306A">
      <w:pPr>
        <w:pStyle w:val="EndNoteBibliography"/>
        <w:spacing w:after="0"/>
        <w:ind w:left="340" w:hanging="340"/>
      </w:pPr>
      <w:r w:rsidRPr="001711D7">
        <w:t xml:space="preserve">Hemsley-Brown, J. (2015) Getting into a russell group university: High scores and private schooling, </w:t>
      </w:r>
      <w:r w:rsidRPr="001711D7">
        <w:rPr>
          <w:i/>
        </w:rPr>
        <w:t>British Educational Research Journal</w:t>
      </w:r>
      <w:r w:rsidRPr="001711D7">
        <w:t>, 41(3), 398-422.</w:t>
      </w:r>
    </w:p>
    <w:p w:rsidR="00CE3B64" w:rsidRPr="001711D7" w:rsidRDefault="005B30F9" w:rsidP="0038306A">
      <w:pPr>
        <w:pStyle w:val="EndNoteBibliography"/>
        <w:spacing w:after="0"/>
        <w:ind w:left="340" w:hanging="340"/>
      </w:pPr>
      <w:r w:rsidRPr="005B30F9">
        <w:t>Higher Education Statistics Agency</w:t>
      </w:r>
      <w:r w:rsidR="00CE3B64" w:rsidRPr="001711D7">
        <w:t xml:space="preserve"> (2002) </w:t>
      </w:r>
      <w:r w:rsidR="00CE3B64" w:rsidRPr="001711D7">
        <w:rPr>
          <w:i/>
        </w:rPr>
        <w:t>Table 1 - student enrolments on higher education courses by year of study, level of study (1), mode of study (2) and domicile (3), 1996/97 to 2000/01</w:t>
      </w:r>
      <w:r w:rsidR="00CE3B64" w:rsidRPr="001711D7">
        <w:t xml:space="preserve">. Available online at: </w:t>
      </w:r>
      <w:r w:rsidR="0038306A" w:rsidRPr="0038306A">
        <w:t>https://www.hesa.ac.uk/data-and-analysis/students/overviews?keyword=58</w:t>
      </w:r>
      <w:r w:rsidR="0038306A">
        <w:t xml:space="preserve"> </w:t>
      </w:r>
      <w:r w:rsidR="00CE3B64" w:rsidRPr="00CE3B64">
        <w:t>4&amp;breakdown%5B%5D=608&amp;breakdown%5B%5D=611&amp;year=543</w:t>
      </w:r>
      <w:r w:rsidR="00CE3B64" w:rsidRPr="001711D7">
        <w:t xml:space="preserve"> (accessed 23/09/2016).</w:t>
      </w:r>
    </w:p>
    <w:p w:rsidR="00CE3B64" w:rsidRPr="001711D7" w:rsidRDefault="005B30F9" w:rsidP="0038306A">
      <w:pPr>
        <w:pStyle w:val="EndNoteBibliography"/>
        <w:spacing w:after="0"/>
        <w:ind w:left="340" w:hanging="340"/>
      </w:pPr>
      <w:r w:rsidRPr="005B30F9">
        <w:t>Higher Education Statistics Agency</w:t>
      </w:r>
      <w:r w:rsidR="00CE3B64" w:rsidRPr="001711D7">
        <w:t xml:space="preserve"> (2018a) </w:t>
      </w:r>
      <w:r w:rsidR="00CE3B64" w:rsidRPr="001711D7">
        <w:rPr>
          <w:i/>
        </w:rPr>
        <w:t xml:space="preserve">Destinations of leavers from </w:t>
      </w:r>
      <w:r w:rsidR="00673166">
        <w:rPr>
          <w:i/>
        </w:rPr>
        <w:t>H</w:t>
      </w:r>
      <w:r w:rsidR="00CE3B64" w:rsidRPr="001711D7">
        <w:rPr>
          <w:i/>
        </w:rPr>
        <w:t xml:space="preserve">igher </w:t>
      </w:r>
      <w:r w:rsidR="00673166">
        <w:rPr>
          <w:i/>
        </w:rPr>
        <w:t>E</w:t>
      </w:r>
      <w:r w:rsidR="00CE3B64" w:rsidRPr="001711D7">
        <w:rPr>
          <w:i/>
        </w:rPr>
        <w:t>ducation 2013/14</w:t>
      </w:r>
      <w:r w:rsidR="00CE3B64" w:rsidRPr="001711D7">
        <w:t xml:space="preserve">. Available online at: </w:t>
      </w:r>
      <w:r w:rsidR="00CE3B64" w:rsidRPr="00CE3B64">
        <w:t>https://www.hesa.ac.uk/data-and-analysis/publications/destinations-2013-14</w:t>
      </w:r>
      <w:r w:rsidR="00CE3B64" w:rsidRPr="001711D7">
        <w:t xml:space="preserve"> (accessed 15/12/2018).</w:t>
      </w:r>
    </w:p>
    <w:p w:rsidR="00CE3B64" w:rsidRPr="001711D7" w:rsidRDefault="005B30F9" w:rsidP="0038306A">
      <w:pPr>
        <w:pStyle w:val="EndNoteBibliography"/>
        <w:spacing w:after="0"/>
        <w:ind w:left="340" w:hanging="340"/>
      </w:pPr>
      <w:r w:rsidRPr="005B30F9">
        <w:t>Higher Education Statistics Agency</w:t>
      </w:r>
      <w:r w:rsidR="00CE3B64" w:rsidRPr="001711D7">
        <w:t xml:space="preserve"> (2018b) </w:t>
      </w:r>
      <w:r w:rsidR="00CE3B64" w:rsidRPr="001711D7">
        <w:rPr>
          <w:i/>
        </w:rPr>
        <w:t xml:space="preserve">Students in </w:t>
      </w:r>
      <w:r w:rsidR="0038306A">
        <w:rPr>
          <w:i/>
        </w:rPr>
        <w:t>H</w:t>
      </w:r>
      <w:r w:rsidR="00CE3B64" w:rsidRPr="001711D7">
        <w:rPr>
          <w:i/>
        </w:rPr>
        <w:t xml:space="preserve">igher </w:t>
      </w:r>
      <w:r w:rsidR="0038306A">
        <w:rPr>
          <w:i/>
        </w:rPr>
        <w:t>E</w:t>
      </w:r>
      <w:r w:rsidR="00CE3B64" w:rsidRPr="001711D7">
        <w:rPr>
          <w:i/>
        </w:rPr>
        <w:t>ducation 2013/14</w:t>
      </w:r>
      <w:r w:rsidR="00CE3B64" w:rsidRPr="001711D7">
        <w:t xml:space="preserve">. Available online at: </w:t>
      </w:r>
      <w:r w:rsidR="00CE3B64" w:rsidRPr="00CE3B64">
        <w:t>https://www.hesa.ac.uk/data-and-analysis/publications/students-2013-14</w:t>
      </w:r>
      <w:r w:rsidR="00CE3B64" w:rsidRPr="001711D7">
        <w:t>(accessed 15/12/2018).</w:t>
      </w:r>
    </w:p>
    <w:p w:rsidR="00CE3B64" w:rsidRPr="001711D7" w:rsidRDefault="005B30F9" w:rsidP="0038306A">
      <w:pPr>
        <w:pStyle w:val="EndNoteBibliography"/>
        <w:spacing w:after="0"/>
        <w:ind w:left="340" w:hanging="340"/>
      </w:pPr>
      <w:r w:rsidRPr="005B30F9">
        <w:t>Higher Education Statistics Agency</w:t>
      </w:r>
      <w:r w:rsidR="00CE3B64" w:rsidRPr="001711D7">
        <w:t xml:space="preserve"> (2019) </w:t>
      </w:r>
      <w:r w:rsidR="00CE3B64" w:rsidRPr="001711D7">
        <w:rPr>
          <w:i/>
        </w:rPr>
        <w:t xml:space="preserve">Where do </w:t>
      </w:r>
      <w:r w:rsidR="0038306A">
        <w:rPr>
          <w:i/>
        </w:rPr>
        <w:t>HE</w:t>
      </w:r>
      <w:r w:rsidR="00CE3B64" w:rsidRPr="001711D7">
        <w:rPr>
          <w:i/>
        </w:rPr>
        <w:t xml:space="preserve"> students come from?</w:t>
      </w:r>
      <w:r w:rsidR="00CE3B64" w:rsidRPr="001711D7">
        <w:t xml:space="preserve"> Available online at: </w:t>
      </w:r>
      <w:r w:rsidR="00CE3B64" w:rsidRPr="00CE3B64">
        <w:t>https://www.hesa.ac.uk/data-and-analysis/students/where-from</w:t>
      </w:r>
      <w:r w:rsidR="00CE3B64" w:rsidRPr="001711D7">
        <w:t xml:space="preserve"> (accessed 05/05/2019).</w:t>
      </w:r>
    </w:p>
    <w:p w:rsidR="00CE3B64" w:rsidRPr="001711D7" w:rsidRDefault="00CE3B64" w:rsidP="0038306A">
      <w:pPr>
        <w:pStyle w:val="EndNoteBibliography"/>
        <w:spacing w:after="0"/>
        <w:ind w:left="340" w:hanging="340"/>
      </w:pPr>
      <w:r w:rsidRPr="001711D7">
        <w:t xml:space="preserve">Hoffer, T., Welch Jr, V., Webber, K., Williams, K., Lisek, B., Hess, M., Loew, D. &amp; Guzman-Barron, I. (2007) </w:t>
      </w:r>
      <w:r w:rsidRPr="00C87DE4">
        <w:rPr>
          <w:i/>
        </w:rPr>
        <w:t xml:space="preserve">Doctorate recipients from </w:t>
      </w:r>
      <w:r w:rsidR="00DC360C">
        <w:rPr>
          <w:i/>
        </w:rPr>
        <w:t>U</w:t>
      </w:r>
      <w:r w:rsidRPr="00C87DE4">
        <w:rPr>
          <w:i/>
        </w:rPr>
        <w:t xml:space="preserve">nited </w:t>
      </w:r>
      <w:r w:rsidR="00DC360C">
        <w:rPr>
          <w:i/>
        </w:rPr>
        <w:t>S</w:t>
      </w:r>
      <w:r w:rsidRPr="00C87DE4">
        <w:rPr>
          <w:i/>
        </w:rPr>
        <w:t>tates uni</w:t>
      </w:r>
      <w:r w:rsidR="00C87DE4" w:rsidRPr="00C87DE4">
        <w:rPr>
          <w:i/>
        </w:rPr>
        <w:t>versities: Summary report 2006.</w:t>
      </w:r>
      <w:r w:rsidR="00C87DE4">
        <w:t xml:space="preserve"> Chicago:</w:t>
      </w:r>
      <w:r w:rsidRPr="001711D7">
        <w:t xml:space="preserve"> National Opinion Research Cent</w:t>
      </w:r>
      <w:r w:rsidR="00C87DE4">
        <w:t>er at the University of Chicago</w:t>
      </w:r>
      <w:r w:rsidRPr="001711D7">
        <w:t>.</w:t>
      </w:r>
    </w:p>
    <w:p w:rsidR="00CE3B64" w:rsidRPr="001711D7" w:rsidRDefault="00AD01EA" w:rsidP="0038306A">
      <w:pPr>
        <w:pStyle w:val="EndNoteBibliography"/>
        <w:spacing w:after="0"/>
        <w:ind w:left="340" w:hanging="340"/>
      </w:pPr>
      <w:r>
        <w:t xml:space="preserve">Home </w:t>
      </w:r>
      <w:r w:rsidR="00CE3B64" w:rsidRPr="001711D7">
        <w:t xml:space="preserve">Office (2018) </w:t>
      </w:r>
      <w:r w:rsidR="00CE3B64" w:rsidRPr="001711D7">
        <w:rPr>
          <w:i/>
        </w:rPr>
        <w:t>Tier 4 of the points-based system</w:t>
      </w:r>
      <w:r w:rsidR="00CE3B64" w:rsidRPr="001711D7">
        <w:t xml:space="preserve">. Available online at: </w:t>
      </w:r>
      <w:r w:rsidR="00C87DE4" w:rsidRPr="00C87DE4">
        <w:t>https://assets</w:t>
      </w:r>
      <w:r w:rsidR="00CE3B64" w:rsidRPr="00CE3B64">
        <w:t>.</w:t>
      </w:r>
      <w:r w:rsidR="00C87DE4">
        <w:t xml:space="preserve"> </w:t>
      </w:r>
      <w:r w:rsidR="00CE3B64" w:rsidRPr="00CE3B64">
        <w:t>publishing.service.gov.uk/government/uploads/system/uploads/attachment_data/file/673292/Tier-4-Modernised-Guidance-v41ext.pdf</w:t>
      </w:r>
      <w:r w:rsidR="00CE3B64" w:rsidRPr="001711D7">
        <w:t xml:space="preserve"> (accessed</w:t>
      </w:r>
      <w:r w:rsidR="00673166">
        <w:t xml:space="preserve"> 15/05/</w:t>
      </w:r>
      <w:r w:rsidR="00673166" w:rsidRPr="00673166">
        <w:t>2018</w:t>
      </w:r>
      <w:r w:rsidR="00673166">
        <w:t>)</w:t>
      </w:r>
      <w:r w:rsidR="00CE3B64" w:rsidRPr="001711D7">
        <w:t>.</w:t>
      </w:r>
    </w:p>
    <w:p w:rsidR="00CE3B64" w:rsidRPr="001711D7" w:rsidRDefault="00AD01EA" w:rsidP="0038306A">
      <w:pPr>
        <w:pStyle w:val="EndNoteBibliography"/>
        <w:spacing w:after="0"/>
        <w:ind w:left="340" w:hanging="340"/>
      </w:pPr>
      <w:r>
        <w:t xml:space="preserve">Home </w:t>
      </w:r>
      <w:r w:rsidR="00CE3B64" w:rsidRPr="001711D7">
        <w:t xml:space="preserve">Office (2019) </w:t>
      </w:r>
      <w:r w:rsidR="00CE3B64" w:rsidRPr="001711D7">
        <w:rPr>
          <w:i/>
        </w:rPr>
        <w:t>Points-based system: Tier 2</w:t>
      </w:r>
      <w:r w:rsidR="00CE3B64" w:rsidRPr="001711D7">
        <w:t xml:space="preserve">. Available online at: </w:t>
      </w:r>
      <w:r w:rsidR="00C87DE4" w:rsidRPr="00C87DE4">
        <w:t>https://www.gov.uk/government</w:t>
      </w:r>
      <w:r w:rsidR="00C87DE4">
        <w:t xml:space="preserve"> </w:t>
      </w:r>
      <w:r w:rsidR="00CE3B64" w:rsidRPr="00CE3B64">
        <w:t>/publications/points-based-system-tier-2</w:t>
      </w:r>
      <w:r w:rsidR="00CE3B64" w:rsidRPr="001711D7">
        <w:t xml:space="preserve"> (accessed 28/08/2019).</w:t>
      </w:r>
    </w:p>
    <w:p w:rsidR="00CE3B64" w:rsidRPr="001711D7" w:rsidRDefault="00CE3B64" w:rsidP="0038306A">
      <w:pPr>
        <w:pStyle w:val="EndNoteBibliography"/>
        <w:spacing w:after="0"/>
        <w:ind w:left="340" w:hanging="340"/>
      </w:pPr>
      <w:r w:rsidRPr="001711D7">
        <w:t>Huang, R. &amp; Turner, R. (2018) International experience, universities support and graduate employability</w:t>
      </w:r>
      <w:r w:rsidR="00C87DE4">
        <w:t xml:space="preserve"> </w:t>
      </w:r>
      <w:r w:rsidRPr="001711D7">
        <w:t xml:space="preserve">perceptions of </w:t>
      </w:r>
      <w:r w:rsidR="00C87DE4">
        <w:t>C</w:t>
      </w:r>
      <w:r w:rsidRPr="001711D7">
        <w:t xml:space="preserve">hinese international students studying in </w:t>
      </w:r>
      <w:r w:rsidR="00C87DE4">
        <w:t>UK</w:t>
      </w:r>
      <w:r w:rsidRPr="001711D7">
        <w:t xml:space="preserve"> universities, </w:t>
      </w:r>
      <w:r w:rsidRPr="001711D7">
        <w:rPr>
          <w:i/>
        </w:rPr>
        <w:t>Journal of Education and Work</w:t>
      </w:r>
      <w:r w:rsidRPr="001711D7">
        <w:t>, 31(2), 175-189.</w:t>
      </w:r>
    </w:p>
    <w:p w:rsidR="00CE3B64" w:rsidRPr="001711D7" w:rsidRDefault="00CE3B64" w:rsidP="0038306A">
      <w:pPr>
        <w:pStyle w:val="EndNoteBibliography"/>
        <w:spacing w:after="0"/>
        <w:ind w:left="340" w:hanging="340"/>
      </w:pPr>
      <w:r w:rsidRPr="001711D7">
        <w:t xml:space="preserve">Iannelli, C. &amp; Huang, J. (2014) Trends in participation and attainment of </w:t>
      </w:r>
      <w:r w:rsidR="00DC360C">
        <w:t>C</w:t>
      </w:r>
      <w:r w:rsidRPr="001711D7">
        <w:t xml:space="preserve">hinese students in </w:t>
      </w:r>
      <w:r w:rsidR="00DC360C">
        <w:t>UK</w:t>
      </w:r>
      <w:r w:rsidRPr="001711D7">
        <w:t xml:space="preserve"> higher education, </w:t>
      </w:r>
      <w:r w:rsidRPr="001711D7">
        <w:rPr>
          <w:i/>
        </w:rPr>
        <w:t>Studies in Higher Education</w:t>
      </w:r>
      <w:r w:rsidRPr="001711D7">
        <w:t>, 39(5), 805-822.</w:t>
      </w:r>
    </w:p>
    <w:p w:rsidR="00CE3B64" w:rsidRPr="001711D7" w:rsidRDefault="00CE3B64" w:rsidP="0038306A">
      <w:pPr>
        <w:pStyle w:val="EndNoteBibliography"/>
        <w:spacing w:after="0"/>
        <w:ind w:left="340" w:hanging="340"/>
      </w:pPr>
      <w:r w:rsidRPr="001711D7">
        <w:t xml:space="preserve">Kim, D., Bankart, C. A. &amp; Isdell, L. (2011) International doctorates: Trends analysis on their decision to stay in </w:t>
      </w:r>
      <w:r w:rsidR="00DC360C">
        <w:t>US</w:t>
      </w:r>
      <w:r w:rsidRPr="001711D7">
        <w:t xml:space="preserve">, </w:t>
      </w:r>
      <w:r w:rsidRPr="001711D7">
        <w:rPr>
          <w:i/>
        </w:rPr>
        <w:t>Higher Education</w:t>
      </w:r>
      <w:r w:rsidRPr="001711D7">
        <w:t>, 62(2), 141-161.</w:t>
      </w:r>
    </w:p>
    <w:p w:rsidR="00CE3B64" w:rsidRPr="001711D7" w:rsidRDefault="00CE3B64" w:rsidP="0038306A">
      <w:pPr>
        <w:pStyle w:val="EndNoteBibliography"/>
        <w:spacing w:after="0"/>
        <w:ind w:left="340" w:hanging="340"/>
      </w:pPr>
      <w:r w:rsidRPr="001711D7">
        <w:lastRenderedPageBreak/>
        <w:t xml:space="preserve">King, R., Lulle, A., Conti, F., Mueller, D. &amp; Scotto, G. (2014) </w:t>
      </w:r>
      <w:r w:rsidRPr="001711D7">
        <w:rPr>
          <w:i/>
        </w:rPr>
        <w:t xml:space="preserve">The lure of london: A comparative study of recent graduate migration from </w:t>
      </w:r>
      <w:r w:rsidR="00DC360C">
        <w:rPr>
          <w:i/>
        </w:rPr>
        <w:t>G</w:t>
      </w:r>
      <w:r w:rsidRPr="001711D7">
        <w:rPr>
          <w:i/>
        </w:rPr>
        <w:t xml:space="preserve">ermany, </w:t>
      </w:r>
      <w:r w:rsidR="00DC360C">
        <w:rPr>
          <w:i/>
        </w:rPr>
        <w:t>I</w:t>
      </w:r>
      <w:r w:rsidRPr="001711D7">
        <w:rPr>
          <w:i/>
        </w:rPr>
        <w:t xml:space="preserve">taly and </w:t>
      </w:r>
      <w:r w:rsidR="00DC360C">
        <w:rPr>
          <w:i/>
        </w:rPr>
        <w:t>L</w:t>
      </w:r>
      <w:r w:rsidRPr="001711D7">
        <w:rPr>
          <w:i/>
        </w:rPr>
        <w:t>atvia</w:t>
      </w:r>
      <w:r w:rsidR="005B30F9">
        <w:rPr>
          <w:i/>
        </w:rPr>
        <w:t>.</w:t>
      </w:r>
      <w:r w:rsidR="005B30F9">
        <w:t xml:space="preserve"> Working Paper No. 75. Brighton:</w:t>
      </w:r>
      <w:r w:rsidRPr="001711D7">
        <w:t xml:space="preserve"> University of Sussex.</w:t>
      </w:r>
    </w:p>
    <w:p w:rsidR="00CE3B64" w:rsidRPr="001711D7" w:rsidRDefault="00CE3B64" w:rsidP="0038306A">
      <w:pPr>
        <w:pStyle w:val="EndNoteBibliography"/>
        <w:spacing w:after="0"/>
        <w:ind w:left="340" w:hanging="340"/>
      </w:pPr>
      <w:r w:rsidRPr="001711D7">
        <w:t xml:space="preserve">King, R. &amp; Raghuram, P. (2013) International student migration: Mapping the field and new research agendas, </w:t>
      </w:r>
      <w:r w:rsidRPr="001711D7">
        <w:rPr>
          <w:i/>
        </w:rPr>
        <w:t xml:space="preserve">Population, </w:t>
      </w:r>
      <w:r w:rsidR="00DC360C">
        <w:rPr>
          <w:i/>
        </w:rPr>
        <w:t>S</w:t>
      </w:r>
      <w:r w:rsidRPr="001711D7">
        <w:rPr>
          <w:i/>
        </w:rPr>
        <w:t xml:space="preserve">pace and </w:t>
      </w:r>
      <w:r w:rsidR="00DC360C">
        <w:rPr>
          <w:i/>
        </w:rPr>
        <w:t>P</w:t>
      </w:r>
      <w:r w:rsidRPr="001711D7">
        <w:rPr>
          <w:i/>
        </w:rPr>
        <w:t>lace</w:t>
      </w:r>
      <w:r w:rsidRPr="001711D7">
        <w:t>, 19(2), 127-137.</w:t>
      </w:r>
    </w:p>
    <w:p w:rsidR="00CE3B64" w:rsidRPr="001711D7" w:rsidRDefault="00CE3B64" w:rsidP="0038306A">
      <w:pPr>
        <w:pStyle w:val="EndNoteBibliography"/>
        <w:spacing w:after="0"/>
        <w:ind w:left="340" w:hanging="340"/>
      </w:pPr>
      <w:r w:rsidRPr="001711D7">
        <w:t>Lee, J. J. &amp; Kim, D. (2010) Brain gain or brain circulation? U</w:t>
      </w:r>
      <w:r w:rsidR="00C61903">
        <w:t>S</w:t>
      </w:r>
      <w:r w:rsidRPr="001711D7">
        <w:t xml:space="preserve"> doctoral recipients returning to </w:t>
      </w:r>
      <w:r w:rsidR="00C61903">
        <w:t>S</w:t>
      </w:r>
      <w:r w:rsidRPr="001711D7">
        <w:t xml:space="preserve">outh </w:t>
      </w:r>
      <w:r w:rsidR="00C61903">
        <w:t>K</w:t>
      </w:r>
      <w:r w:rsidRPr="001711D7">
        <w:t xml:space="preserve">orea, </w:t>
      </w:r>
      <w:r w:rsidRPr="001711D7">
        <w:rPr>
          <w:i/>
        </w:rPr>
        <w:t>Higher Education</w:t>
      </w:r>
      <w:r w:rsidRPr="001711D7">
        <w:t>, 59(5), 627-643.</w:t>
      </w:r>
    </w:p>
    <w:p w:rsidR="00CE3B64" w:rsidRPr="001711D7" w:rsidRDefault="00CE3B64" w:rsidP="0038306A">
      <w:pPr>
        <w:pStyle w:val="EndNoteBibliography"/>
        <w:spacing w:after="0"/>
        <w:ind w:left="340" w:hanging="340"/>
      </w:pPr>
      <w:r w:rsidRPr="001711D7">
        <w:t xml:space="preserve">Li, Z. &amp; Lowe, J. (2016) Mobile student to mobile worker: The role of universities in the ‘war for talent’, </w:t>
      </w:r>
      <w:r w:rsidRPr="001711D7">
        <w:rPr>
          <w:i/>
        </w:rPr>
        <w:t>British Journal of Sociology of Education</w:t>
      </w:r>
      <w:r w:rsidRPr="001711D7">
        <w:t>, 37(1), 11-29.</w:t>
      </w:r>
    </w:p>
    <w:p w:rsidR="00CE3B64" w:rsidRPr="001711D7" w:rsidRDefault="00CE3B64" w:rsidP="0038306A">
      <w:pPr>
        <w:pStyle w:val="EndNoteBibliography"/>
        <w:spacing w:after="0"/>
        <w:ind w:left="340" w:hanging="340"/>
      </w:pPr>
      <w:r w:rsidRPr="001711D7">
        <w:t xml:space="preserve">Lin, Y. &amp; Kingminghae, W. (2018) Intimate relationships and mobility intentions of thai international students in </w:t>
      </w:r>
      <w:r w:rsidR="00C61903">
        <w:t>C</w:t>
      </w:r>
      <w:r w:rsidRPr="001711D7">
        <w:t xml:space="preserve">hinese universities: A gendered analysis, </w:t>
      </w:r>
      <w:r w:rsidRPr="001711D7">
        <w:rPr>
          <w:i/>
        </w:rPr>
        <w:t xml:space="preserve">Population, </w:t>
      </w:r>
      <w:r w:rsidR="00DC360C">
        <w:rPr>
          <w:i/>
        </w:rPr>
        <w:t>S</w:t>
      </w:r>
      <w:r w:rsidRPr="001711D7">
        <w:rPr>
          <w:i/>
        </w:rPr>
        <w:t xml:space="preserve">pace and </w:t>
      </w:r>
      <w:r w:rsidR="00DC360C">
        <w:rPr>
          <w:i/>
        </w:rPr>
        <w:t>P</w:t>
      </w:r>
      <w:r w:rsidRPr="001711D7">
        <w:rPr>
          <w:i/>
        </w:rPr>
        <w:t>lace</w:t>
      </w:r>
      <w:r w:rsidRPr="001711D7">
        <w:t>, 24(5), e2120.</w:t>
      </w:r>
    </w:p>
    <w:p w:rsidR="00CE3B64" w:rsidRPr="001711D7" w:rsidRDefault="00CE3B64" w:rsidP="0038306A">
      <w:pPr>
        <w:pStyle w:val="EndNoteBibliography"/>
        <w:spacing w:after="0"/>
        <w:ind w:left="340" w:hanging="340"/>
      </w:pPr>
      <w:r w:rsidRPr="001711D7">
        <w:t xml:space="preserve">Massey, D. S., Alarcón, R., Durand, J. &amp; Gonzalez, H. (1990) </w:t>
      </w:r>
      <w:r w:rsidRPr="001711D7">
        <w:rPr>
          <w:i/>
        </w:rPr>
        <w:t xml:space="preserve">Return to </w:t>
      </w:r>
      <w:r w:rsidR="00DC360C">
        <w:rPr>
          <w:i/>
        </w:rPr>
        <w:t>A</w:t>
      </w:r>
      <w:r w:rsidRPr="001711D7">
        <w:rPr>
          <w:i/>
        </w:rPr>
        <w:t xml:space="preserve">ztlan: The social process of international migration from western </w:t>
      </w:r>
      <w:r w:rsidR="00DC360C">
        <w:rPr>
          <w:i/>
        </w:rPr>
        <w:t>M</w:t>
      </w:r>
      <w:r w:rsidRPr="001711D7">
        <w:rPr>
          <w:i/>
        </w:rPr>
        <w:t>exico</w:t>
      </w:r>
      <w:r w:rsidR="005B30F9">
        <w:rPr>
          <w:i/>
        </w:rPr>
        <w:t>.</w:t>
      </w:r>
      <w:r w:rsidR="005B30F9">
        <w:t xml:space="preserve"> Berkeley: University of California Press</w:t>
      </w:r>
      <w:r w:rsidRPr="001711D7">
        <w:t>.</w:t>
      </w:r>
    </w:p>
    <w:p w:rsidR="00CE3B64" w:rsidRPr="001711D7" w:rsidRDefault="00CE3B64" w:rsidP="0038306A">
      <w:pPr>
        <w:pStyle w:val="EndNoteBibliography"/>
        <w:spacing w:after="0"/>
        <w:ind w:left="340" w:hanging="340"/>
      </w:pPr>
      <w:r w:rsidRPr="001711D7">
        <w:t xml:space="preserve">Massey, D. S., Arango, J., Hugo, G., Kouaouci, A., Pellegrino, A. &amp; Taylor, J. E. (1993) Theories of international migration: A review and appraisal, </w:t>
      </w:r>
      <w:r w:rsidRPr="001711D7">
        <w:rPr>
          <w:i/>
        </w:rPr>
        <w:t>Population and Development Review</w:t>
      </w:r>
      <w:r w:rsidRPr="001711D7">
        <w:t>, 19(3), 431-466.</w:t>
      </w:r>
    </w:p>
    <w:p w:rsidR="00CE3B64" w:rsidRPr="001711D7" w:rsidRDefault="00CE3B64" w:rsidP="0038306A">
      <w:pPr>
        <w:pStyle w:val="EndNoteBibliography"/>
        <w:spacing w:after="0"/>
        <w:ind w:left="340" w:hanging="340"/>
      </w:pPr>
      <w:r w:rsidRPr="001711D7">
        <w:t xml:space="preserve">Morano-Foadi, S. (2005) Scientific mobility, career progression, and excellence in the </w:t>
      </w:r>
      <w:r w:rsidR="00DC360C">
        <w:t>E</w:t>
      </w:r>
      <w:r w:rsidRPr="001711D7">
        <w:t xml:space="preserve">uropean research area, </w:t>
      </w:r>
      <w:r w:rsidRPr="001711D7">
        <w:rPr>
          <w:i/>
        </w:rPr>
        <w:t>International Migration</w:t>
      </w:r>
      <w:r w:rsidRPr="001711D7">
        <w:t>, 43(5), 133-162.</w:t>
      </w:r>
    </w:p>
    <w:p w:rsidR="00CE3B64" w:rsidRPr="001711D7" w:rsidRDefault="00CE3B64" w:rsidP="0038306A">
      <w:pPr>
        <w:pStyle w:val="EndNoteBibliography"/>
        <w:spacing w:after="0"/>
        <w:ind w:left="340" w:hanging="340"/>
      </w:pPr>
      <w:r w:rsidRPr="001711D7">
        <w:t xml:space="preserve">Musumba, M., Jin, Y. H. &amp; Mjelde, J. W. (2011) Factors influencing career location preferences of international graduate students in the </w:t>
      </w:r>
      <w:r w:rsidR="00DC360C">
        <w:t>U</w:t>
      </w:r>
      <w:r w:rsidRPr="001711D7">
        <w:t xml:space="preserve">nited </w:t>
      </w:r>
      <w:r w:rsidR="00DC360C">
        <w:t>S</w:t>
      </w:r>
      <w:r w:rsidRPr="001711D7">
        <w:t xml:space="preserve">tates, </w:t>
      </w:r>
      <w:r w:rsidRPr="001711D7">
        <w:rPr>
          <w:i/>
        </w:rPr>
        <w:t>Education Economics</w:t>
      </w:r>
      <w:r w:rsidRPr="001711D7">
        <w:t>, 19(5), 501-517.</w:t>
      </w:r>
    </w:p>
    <w:p w:rsidR="00CE3B64" w:rsidRPr="001711D7" w:rsidRDefault="00CE3B64" w:rsidP="0038306A">
      <w:pPr>
        <w:pStyle w:val="EndNoteBibliography"/>
        <w:spacing w:after="0"/>
        <w:ind w:left="340" w:hanging="340"/>
      </w:pPr>
      <w:r w:rsidRPr="001711D7">
        <w:t xml:space="preserve">Peri, G., Shih, K. &amp; Sparber, C. (2015) </w:t>
      </w:r>
      <w:r w:rsidR="005B30F9">
        <w:t>STEM</w:t>
      </w:r>
      <w:r w:rsidRPr="001711D7">
        <w:t xml:space="preserve"> workers, </w:t>
      </w:r>
      <w:r w:rsidR="005B30F9">
        <w:t>H</w:t>
      </w:r>
      <w:r w:rsidRPr="001711D7">
        <w:t>-1</w:t>
      </w:r>
      <w:r w:rsidR="005B30F9">
        <w:t>B</w:t>
      </w:r>
      <w:r w:rsidRPr="001711D7">
        <w:t xml:space="preserve"> visas, and productivity in </w:t>
      </w:r>
      <w:r w:rsidR="005B30F9">
        <w:t>US</w:t>
      </w:r>
      <w:r w:rsidRPr="001711D7">
        <w:t xml:space="preserve"> cities, </w:t>
      </w:r>
      <w:r w:rsidRPr="001711D7">
        <w:rPr>
          <w:i/>
        </w:rPr>
        <w:t>Journal of Labor Economics</w:t>
      </w:r>
      <w:r w:rsidRPr="001711D7">
        <w:t>, 33(S1), S225-S255.</w:t>
      </w:r>
    </w:p>
    <w:p w:rsidR="00CE3B64" w:rsidRPr="001711D7" w:rsidRDefault="00CE3B64" w:rsidP="0038306A">
      <w:pPr>
        <w:pStyle w:val="EndNoteBibliography"/>
        <w:spacing w:after="0"/>
        <w:ind w:left="340" w:hanging="340"/>
      </w:pPr>
      <w:r w:rsidRPr="001711D7">
        <w:t xml:space="preserve">Perkins, R. &amp; Neumayer, E. (2014) Geographies of educational mobilities: Exploring the uneven flows of international students, </w:t>
      </w:r>
      <w:r w:rsidRPr="001711D7">
        <w:rPr>
          <w:i/>
        </w:rPr>
        <w:t>The Geographical Journal</w:t>
      </w:r>
      <w:r w:rsidRPr="001711D7">
        <w:t>, 180(3), 246-259.</w:t>
      </w:r>
    </w:p>
    <w:p w:rsidR="00CE3B64" w:rsidRPr="001711D7" w:rsidRDefault="00CE3B64" w:rsidP="0038306A">
      <w:pPr>
        <w:pStyle w:val="EndNoteBibliography"/>
        <w:spacing w:after="0"/>
        <w:ind w:left="340" w:hanging="340"/>
      </w:pPr>
      <w:r w:rsidRPr="001711D7">
        <w:t xml:space="preserve">Raghuram, P. (2013) Theorising the spaces of student migration, </w:t>
      </w:r>
      <w:r w:rsidRPr="001711D7">
        <w:rPr>
          <w:i/>
        </w:rPr>
        <w:t xml:space="preserve">Population, </w:t>
      </w:r>
      <w:r w:rsidR="00DC360C">
        <w:rPr>
          <w:i/>
        </w:rPr>
        <w:t>S</w:t>
      </w:r>
      <w:r w:rsidRPr="001711D7">
        <w:rPr>
          <w:i/>
        </w:rPr>
        <w:t xml:space="preserve">pace and </w:t>
      </w:r>
      <w:r w:rsidR="00DC360C">
        <w:rPr>
          <w:i/>
        </w:rPr>
        <w:t>P</w:t>
      </w:r>
      <w:r w:rsidRPr="001711D7">
        <w:rPr>
          <w:i/>
        </w:rPr>
        <w:t>lace</w:t>
      </w:r>
      <w:r w:rsidRPr="001711D7">
        <w:t>, 19(2), 138-154.</w:t>
      </w:r>
    </w:p>
    <w:p w:rsidR="00CE3B64" w:rsidRPr="001711D7" w:rsidRDefault="00CE3B64" w:rsidP="0038306A">
      <w:pPr>
        <w:pStyle w:val="EndNoteBibliography"/>
        <w:spacing w:after="0"/>
        <w:ind w:left="340" w:hanging="340"/>
      </w:pPr>
      <w:r w:rsidRPr="001711D7">
        <w:t xml:space="preserve">Rasbash, J., Steele, F., Browne, W. J. &amp; Goldstein, H. (2014) </w:t>
      </w:r>
      <w:r w:rsidRPr="001711D7">
        <w:rPr>
          <w:i/>
        </w:rPr>
        <w:t xml:space="preserve">A user's guide to </w:t>
      </w:r>
      <w:r w:rsidR="00C61903">
        <w:rPr>
          <w:i/>
        </w:rPr>
        <w:t>ML</w:t>
      </w:r>
      <w:r w:rsidRPr="001711D7">
        <w:rPr>
          <w:i/>
        </w:rPr>
        <w:t>wi</w:t>
      </w:r>
      <w:r w:rsidR="00C61903">
        <w:rPr>
          <w:i/>
        </w:rPr>
        <w:t>N</w:t>
      </w:r>
      <w:r w:rsidRPr="001711D7">
        <w:rPr>
          <w:i/>
        </w:rPr>
        <w:t>, v2.31</w:t>
      </w:r>
      <w:r w:rsidR="00AE2698">
        <w:rPr>
          <w:i/>
        </w:rPr>
        <w:t>.</w:t>
      </w:r>
      <w:r w:rsidR="00AE2698">
        <w:t xml:space="preserve"> Bristol:</w:t>
      </w:r>
      <w:r w:rsidRPr="001711D7">
        <w:t xml:space="preserve"> Centre for Multilevel M</w:t>
      </w:r>
      <w:r w:rsidR="00AE2698">
        <w:t>odelling, University of Bristol</w:t>
      </w:r>
      <w:r w:rsidRPr="001711D7">
        <w:t>.</w:t>
      </w:r>
    </w:p>
    <w:p w:rsidR="00CE3B64" w:rsidRPr="001711D7" w:rsidRDefault="00CE3B64" w:rsidP="0038306A">
      <w:pPr>
        <w:pStyle w:val="EndNoteBibliography"/>
        <w:spacing w:after="0"/>
        <w:ind w:left="340" w:hanging="340"/>
      </w:pPr>
      <w:r w:rsidRPr="001711D7">
        <w:t xml:space="preserve">Raunic, A. &amp; Xenos, S. (2008) University counselling service utilisation by local and international students and user characteristics: A review, </w:t>
      </w:r>
      <w:r w:rsidRPr="001711D7">
        <w:rPr>
          <w:i/>
        </w:rPr>
        <w:t xml:space="preserve">International Journal for the </w:t>
      </w:r>
      <w:r w:rsidR="00DC360C">
        <w:rPr>
          <w:i/>
        </w:rPr>
        <w:t>A</w:t>
      </w:r>
      <w:r w:rsidRPr="001711D7">
        <w:rPr>
          <w:i/>
        </w:rPr>
        <w:t>dvancement of Counselling</w:t>
      </w:r>
      <w:r w:rsidRPr="001711D7">
        <w:t>, 30(4), 262-267.</w:t>
      </w:r>
    </w:p>
    <w:p w:rsidR="00CE3B64" w:rsidRPr="001711D7" w:rsidRDefault="00CE3B64" w:rsidP="0038306A">
      <w:pPr>
        <w:pStyle w:val="EndNoteBibliography"/>
        <w:spacing w:after="0"/>
        <w:ind w:left="340" w:hanging="340"/>
      </w:pPr>
      <w:r w:rsidRPr="001711D7">
        <w:t xml:space="preserve">Roh, J.-Y. (2015) What predicts whether foreign doctorate recipients from </w:t>
      </w:r>
      <w:r w:rsidR="00C61903">
        <w:t>US</w:t>
      </w:r>
      <w:r w:rsidRPr="001711D7">
        <w:t xml:space="preserve"> institutions stay in the </w:t>
      </w:r>
      <w:r w:rsidR="00C61903">
        <w:t>U</w:t>
      </w:r>
      <w:r w:rsidRPr="001711D7">
        <w:t xml:space="preserve">nited </w:t>
      </w:r>
      <w:r w:rsidR="00C61903">
        <w:t>S</w:t>
      </w:r>
      <w:r w:rsidRPr="001711D7">
        <w:t xml:space="preserve">tates: Foreign doctorate recipients in science and engineering fields from 2000 to 2010, </w:t>
      </w:r>
      <w:r w:rsidRPr="001711D7">
        <w:rPr>
          <w:i/>
        </w:rPr>
        <w:t>Higher Education</w:t>
      </w:r>
      <w:r w:rsidRPr="001711D7">
        <w:t>, 70(1), 105-126.</w:t>
      </w:r>
    </w:p>
    <w:p w:rsidR="00CE3B64" w:rsidRPr="001711D7" w:rsidRDefault="00CE3B64" w:rsidP="0038306A">
      <w:pPr>
        <w:pStyle w:val="EndNoteBibliography"/>
        <w:spacing w:after="0"/>
        <w:ind w:left="340" w:hanging="340"/>
      </w:pPr>
      <w:r w:rsidRPr="001711D7">
        <w:t xml:space="preserve">Ryan, L. (2004) Family matters:(e) migration, familial networks and </w:t>
      </w:r>
      <w:r w:rsidR="00C61903">
        <w:t>I</w:t>
      </w:r>
      <w:r w:rsidRPr="001711D7">
        <w:t xml:space="preserve">rish women in </w:t>
      </w:r>
      <w:r w:rsidR="001446CE">
        <w:t>B</w:t>
      </w:r>
      <w:r w:rsidRPr="001711D7">
        <w:t xml:space="preserve">ritain, </w:t>
      </w:r>
      <w:r w:rsidRPr="001711D7">
        <w:rPr>
          <w:i/>
        </w:rPr>
        <w:t xml:space="preserve">The </w:t>
      </w:r>
      <w:r w:rsidR="00AE2698">
        <w:rPr>
          <w:i/>
        </w:rPr>
        <w:t>S</w:t>
      </w:r>
      <w:r w:rsidRPr="001711D7">
        <w:rPr>
          <w:i/>
        </w:rPr>
        <w:t xml:space="preserve">ociological </w:t>
      </w:r>
      <w:r w:rsidR="00AE2698">
        <w:rPr>
          <w:i/>
        </w:rPr>
        <w:t>R</w:t>
      </w:r>
      <w:r w:rsidRPr="001711D7">
        <w:rPr>
          <w:i/>
        </w:rPr>
        <w:t>eview</w:t>
      </w:r>
      <w:r w:rsidRPr="001711D7">
        <w:t>, 52(3), 351-370.</w:t>
      </w:r>
    </w:p>
    <w:p w:rsidR="00CE3B64" w:rsidRPr="001711D7" w:rsidRDefault="00CE3B64" w:rsidP="0038306A">
      <w:pPr>
        <w:pStyle w:val="EndNoteBibliography"/>
        <w:spacing w:after="0"/>
        <w:ind w:left="340" w:hanging="340"/>
      </w:pPr>
      <w:r w:rsidRPr="001711D7">
        <w:t xml:space="preserve">Shuttleworth, I. &amp; Gould, M. (2010) Distance between home and work: A multilevel analysis of individual workers, neighbourhoods, and employment sites in </w:t>
      </w:r>
      <w:r w:rsidR="001446CE">
        <w:t>N</w:t>
      </w:r>
      <w:r w:rsidRPr="001711D7">
        <w:t xml:space="preserve">orthern </w:t>
      </w:r>
      <w:r w:rsidR="001446CE">
        <w:t>I</w:t>
      </w:r>
      <w:r w:rsidRPr="001711D7">
        <w:t xml:space="preserve">reland, </w:t>
      </w:r>
      <w:r w:rsidRPr="001711D7">
        <w:rPr>
          <w:i/>
        </w:rPr>
        <w:t>Environment and Planning A: Economy and Space</w:t>
      </w:r>
      <w:r w:rsidRPr="001711D7">
        <w:t>, 42(5), 1221-1238.</w:t>
      </w:r>
    </w:p>
    <w:p w:rsidR="00CE3B64" w:rsidRPr="001711D7" w:rsidRDefault="00CE3B64" w:rsidP="0038306A">
      <w:pPr>
        <w:pStyle w:val="EndNoteBibliography"/>
        <w:spacing w:after="0"/>
        <w:ind w:left="340" w:hanging="340"/>
      </w:pPr>
      <w:r w:rsidRPr="001711D7">
        <w:t xml:space="preserve">Spiegelhalter, D. J., Best, N. G., Carlin, B. P. &amp; Van Der Linde, A. (2002) Bayesian measures of model complexity and fit, </w:t>
      </w:r>
      <w:r w:rsidRPr="001711D7">
        <w:rPr>
          <w:i/>
        </w:rPr>
        <w:t xml:space="preserve">Journal of the </w:t>
      </w:r>
      <w:r w:rsidR="001446CE">
        <w:rPr>
          <w:i/>
        </w:rPr>
        <w:t>R</w:t>
      </w:r>
      <w:r w:rsidRPr="001711D7">
        <w:rPr>
          <w:i/>
        </w:rPr>
        <w:t xml:space="preserve">oyal </w:t>
      </w:r>
      <w:r w:rsidR="001446CE">
        <w:rPr>
          <w:i/>
        </w:rPr>
        <w:t>S</w:t>
      </w:r>
      <w:r w:rsidRPr="001711D7">
        <w:rPr>
          <w:i/>
        </w:rPr>
        <w:t xml:space="preserve">tatistical </w:t>
      </w:r>
      <w:r w:rsidR="001446CE">
        <w:rPr>
          <w:i/>
        </w:rPr>
        <w:t>S</w:t>
      </w:r>
      <w:r w:rsidRPr="001711D7">
        <w:rPr>
          <w:i/>
        </w:rPr>
        <w:t>ociety: Series b (statistical methodology)</w:t>
      </w:r>
      <w:r w:rsidRPr="001711D7">
        <w:t>, 64(4), 583-639.</w:t>
      </w:r>
    </w:p>
    <w:p w:rsidR="00CE3B64" w:rsidRPr="001711D7" w:rsidRDefault="00CE3B64" w:rsidP="0038306A">
      <w:pPr>
        <w:pStyle w:val="EndNoteBibliography"/>
        <w:spacing w:after="0"/>
        <w:ind w:left="340" w:hanging="340"/>
      </w:pPr>
      <w:r w:rsidRPr="001711D7">
        <w:t xml:space="preserve">Stegmueller, D. (2013) How many countries for multilevel modeling? A comparison of frequentist and </w:t>
      </w:r>
      <w:r w:rsidR="00C61903">
        <w:t>B</w:t>
      </w:r>
      <w:r w:rsidRPr="001711D7">
        <w:t xml:space="preserve">ayesian approaches, </w:t>
      </w:r>
      <w:r w:rsidRPr="001711D7">
        <w:rPr>
          <w:i/>
        </w:rPr>
        <w:t>American Journal of Political Science</w:t>
      </w:r>
      <w:r w:rsidRPr="001711D7">
        <w:t>, 57(3), 748-761.</w:t>
      </w:r>
    </w:p>
    <w:p w:rsidR="00CE3B64" w:rsidRPr="001711D7" w:rsidRDefault="00CE3B64" w:rsidP="0038306A">
      <w:pPr>
        <w:pStyle w:val="EndNoteBibliography"/>
        <w:spacing w:after="0"/>
        <w:ind w:left="340" w:hanging="340"/>
      </w:pPr>
      <w:r w:rsidRPr="001711D7">
        <w:t>Störmer, E., Patscha, C., Prendergast, J., Daheim, C., Glover, P. &amp; Beck, H. (2014) The future of work: Jobs and skills in 2030. Evidence report 84</w:t>
      </w:r>
      <w:r w:rsidR="00AE2698">
        <w:t>.  Wath-upon-Dearne:</w:t>
      </w:r>
      <w:r w:rsidRPr="001711D7">
        <w:t xml:space="preserve"> UK Commi</w:t>
      </w:r>
      <w:r w:rsidR="00AE2698">
        <w:t>ssion for Employment and Skills</w:t>
      </w:r>
      <w:r w:rsidRPr="001711D7">
        <w:t>.</w:t>
      </w:r>
    </w:p>
    <w:p w:rsidR="00CE3B64" w:rsidRPr="001711D7" w:rsidRDefault="00CE3B64" w:rsidP="0038306A">
      <w:pPr>
        <w:pStyle w:val="EndNoteBibliography"/>
        <w:spacing w:after="0"/>
        <w:ind w:left="340" w:hanging="340"/>
      </w:pPr>
      <w:r w:rsidRPr="001711D7">
        <w:t xml:space="preserve">Szewczyk, A. (2014) Continuation or switching? Career patterns of </w:t>
      </w:r>
      <w:r w:rsidR="00EE60A6">
        <w:t>P</w:t>
      </w:r>
      <w:r w:rsidRPr="001711D7">
        <w:t xml:space="preserve">olish graduate migrants in </w:t>
      </w:r>
      <w:r w:rsidR="00EE60A6">
        <w:t>E</w:t>
      </w:r>
      <w:r w:rsidRPr="001711D7">
        <w:t xml:space="preserve">ngland, </w:t>
      </w:r>
      <w:r w:rsidRPr="001711D7">
        <w:rPr>
          <w:i/>
        </w:rPr>
        <w:t>Journal of Ethnic and Migration Studies</w:t>
      </w:r>
      <w:r w:rsidRPr="001711D7">
        <w:t>, 40(5), 847-864.</w:t>
      </w:r>
    </w:p>
    <w:p w:rsidR="00CE3B64" w:rsidRPr="001711D7" w:rsidRDefault="00CE3B64" w:rsidP="0038306A">
      <w:pPr>
        <w:pStyle w:val="EndNoteBibliography"/>
        <w:spacing w:after="0"/>
        <w:ind w:left="340" w:hanging="340"/>
      </w:pPr>
      <w:r w:rsidRPr="001711D7">
        <w:t xml:space="preserve">Tan, G. &amp; Hugo, G. (2017) The transnational migration strategies of </w:t>
      </w:r>
      <w:r w:rsidR="00EE60A6">
        <w:t>C</w:t>
      </w:r>
      <w:r w:rsidRPr="001711D7">
        <w:t xml:space="preserve">hinese and </w:t>
      </w:r>
      <w:r w:rsidR="00EE60A6">
        <w:t>I</w:t>
      </w:r>
      <w:r w:rsidRPr="001711D7">
        <w:t xml:space="preserve">ndian students in </w:t>
      </w:r>
      <w:r w:rsidR="00EE60A6">
        <w:t>A</w:t>
      </w:r>
      <w:r w:rsidRPr="001711D7">
        <w:t xml:space="preserve">ustralia, </w:t>
      </w:r>
      <w:r w:rsidRPr="001711D7">
        <w:rPr>
          <w:i/>
        </w:rPr>
        <w:t xml:space="preserve">Population, </w:t>
      </w:r>
      <w:r w:rsidR="00EE60A6">
        <w:rPr>
          <w:i/>
        </w:rPr>
        <w:t>S</w:t>
      </w:r>
      <w:r w:rsidRPr="001711D7">
        <w:rPr>
          <w:i/>
        </w:rPr>
        <w:t xml:space="preserve">pace and </w:t>
      </w:r>
      <w:r w:rsidR="00EE60A6">
        <w:rPr>
          <w:i/>
        </w:rPr>
        <w:t>P</w:t>
      </w:r>
      <w:r w:rsidRPr="001711D7">
        <w:rPr>
          <w:i/>
        </w:rPr>
        <w:t>lace</w:t>
      </w:r>
      <w:r w:rsidRPr="001711D7">
        <w:t>, 23(6), e2038.</w:t>
      </w:r>
    </w:p>
    <w:p w:rsidR="00CE3B64" w:rsidRPr="001711D7" w:rsidRDefault="00CE3B64" w:rsidP="0038306A">
      <w:pPr>
        <w:pStyle w:val="EndNoteBibliography"/>
        <w:spacing w:after="0"/>
        <w:ind w:left="340" w:hanging="340"/>
      </w:pPr>
      <w:r w:rsidRPr="001711D7">
        <w:lastRenderedPageBreak/>
        <w:t xml:space="preserve">Teichler, U. (2009) </w:t>
      </w:r>
      <w:r w:rsidRPr="001711D7">
        <w:rPr>
          <w:i/>
        </w:rPr>
        <w:t>Higher education and the world of work: Conceptual frameworks, comparative perspectives, empirical findings</w:t>
      </w:r>
      <w:r w:rsidR="00AE2698">
        <w:rPr>
          <w:i/>
        </w:rPr>
        <w:t>.</w:t>
      </w:r>
      <w:r w:rsidR="00AE2698">
        <w:t xml:space="preserve"> Rotterdam: Sense Publishers</w:t>
      </w:r>
      <w:r w:rsidRPr="001711D7">
        <w:t>.</w:t>
      </w:r>
    </w:p>
    <w:p w:rsidR="00CE3B64" w:rsidRPr="001711D7" w:rsidRDefault="00CE3B64" w:rsidP="0038306A">
      <w:pPr>
        <w:pStyle w:val="EndNoteBibliography"/>
        <w:spacing w:after="0"/>
        <w:ind w:left="340" w:hanging="340"/>
      </w:pPr>
      <w:r w:rsidRPr="001711D7">
        <w:t xml:space="preserve">Teichler, U. (2012) International student mobility and the </w:t>
      </w:r>
      <w:r w:rsidR="00EE60A6">
        <w:t>B</w:t>
      </w:r>
      <w:r w:rsidRPr="001711D7">
        <w:t xml:space="preserve">ologna process, </w:t>
      </w:r>
      <w:r w:rsidRPr="001711D7">
        <w:rPr>
          <w:i/>
        </w:rPr>
        <w:t>Research in Comparative and International Education</w:t>
      </w:r>
      <w:r w:rsidRPr="001711D7">
        <w:t>, 7(1), 34-49.</w:t>
      </w:r>
    </w:p>
    <w:p w:rsidR="00CE3B64" w:rsidRPr="001711D7" w:rsidRDefault="00CE3B64" w:rsidP="0038306A">
      <w:pPr>
        <w:pStyle w:val="EndNoteBibliography"/>
        <w:spacing w:after="0"/>
        <w:ind w:left="340" w:hanging="340"/>
      </w:pPr>
      <w:r w:rsidRPr="001711D7">
        <w:t xml:space="preserve">Thomas, M., Stillwell, J. &amp; Gould, M. (2015) Modelling multilevel variations in distance moved between origins and destinations in </w:t>
      </w:r>
      <w:r w:rsidR="00EE60A6">
        <w:t>E</w:t>
      </w:r>
      <w:r w:rsidRPr="001711D7">
        <w:t xml:space="preserve">ngland and </w:t>
      </w:r>
      <w:r w:rsidR="00EE60A6">
        <w:t>W</w:t>
      </w:r>
      <w:r w:rsidRPr="001711D7">
        <w:t xml:space="preserve">ales, </w:t>
      </w:r>
      <w:r w:rsidRPr="001711D7">
        <w:rPr>
          <w:i/>
        </w:rPr>
        <w:t>Environment and Planning A: Economy and Space</w:t>
      </w:r>
      <w:r w:rsidRPr="001711D7">
        <w:t>, 47(4), 996-1014.</w:t>
      </w:r>
    </w:p>
    <w:p w:rsidR="00CE3B64" w:rsidRPr="001711D7" w:rsidRDefault="00CE3B64" w:rsidP="0038306A">
      <w:pPr>
        <w:pStyle w:val="EndNoteBibliography"/>
        <w:spacing w:after="0"/>
        <w:ind w:left="340" w:hanging="340"/>
      </w:pPr>
      <w:r w:rsidRPr="001711D7">
        <w:t xml:space="preserve">Tidwell, R. &amp; Hanassab, S. (2007) New challenges for professional counsellors: The higher education international student population, </w:t>
      </w:r>
      <w:r w:rsidRPr="001711D7">
        <w:rPr>
          <w:i/>
        </w:rPr>
        <w:t>Counselling Psychology Quarterly</w:t>
      </w:r>
      <w:r w:rsidRPr="001711D7">
        <w:t>, 20(4), 313-324.</w:t>
      </w:r>
    </w:p>
    <w:p w:rsidR="00CE3B64" w:rsidRPr="001711D7" w:rsidRDefault="00CE3B64" w:rsidP="0038306A">
      <w:pPr>
        <w:pStyle w:val="EndNoteBibliography"/>
        <w:spacing w:after="0"/>
        <w:ind w:left="340" w:hanging="340"/>
      </w:pPr>
      <w:r w:rsidRPr="001711D7">
        <w:t xml:space="preserve">Tran, L. T. (2015) Mobility as ‘becoming’: A bourdieuian analysis of the factors shaping international student mobility, </w:t>
      </w:r>
      <w:r w:rsidRPr="001711D7">
        <w:rPr>
          <w:i/>
        </w:rPr>
        <w:t>British Journal of Sociology of Education</w:t>
      </w:r>
      <w:r w:rsidRPr="001711D7">
        <w:t>, 1-22.</w:t>
      </w:r>
    </w:p>
    <w:p w:rsidR="00CE3B64" w:rsidRPr="001711D7" w:rsidRDefault="00CE3B64" w:rsidP="0038306A">
      <w:pPr>
        <w:pStyle w:val="EndNoteBibliography"/>
        <w:spacing w:after="0"/>
        <w:ind w:left="340" w:hanging="340"/>
      </w:pPr>
      <w:r w:rsidRPr="001711D7">
        <w:t xml:space="preserve">UKCES (2015) High level stem skills requirements in the </w:t>
      </w:r>
      <w:r w:rsidR="00EE60A6">
        <w:t>UK</w:t>
      </w:r>
      <w:r w:rsidRPr="001711D7">
        <w:t xml:space="preserve"> la</w:t>
      </w:r>
      <w:r w:rsidR="009C1BEB">
        <w:t xml:space="preserve">bour market. Evidence report 94 . </w:t>
      </w:r>
      <w:r w:rsidR="00C61903">
        <w:t>Wath-upon-Dearne:</w:t>
      </w:r>
      <w:r w:rsidRPr="001711D7">
        <w:t xml:space="preserve"> UK Commi</w:t>
      </w:r>
      <w:r w:rsidR="00C61903">
        <w:t>ssion for Employment and Skills</w:t>
      </w:r>
      <w:r w:rsidRPr="001711D7">
        <w:t>.</w:t>
      </w:r>
    </w:p>
    <w:p w:rsidR="00CE3B64" w:rsidRPr="001711D7" w:rsidRDefault="009C1BEB" w:rsidP="0038306A">
      <w:pPr>
        <w:pStyle w:val="EndNoteBibliography"/>
        <w:spacing w:after="0"/>
        <w:ind w:left="340" w:hanging="340"/>
      </w:pPr>
      <w:r>
        <w:t>UN</w:t>
      </w:r>
      <w:r w:rsidR="00CE3B64" w:rsidRPr="001711D7">
        <w:t xml:space="preserve">, </w:t>
      </w:r>
      <w:r w:rsidRPr="009C1BEB">
        <w:t>Department of Economic and Social Affairs</w:t>
      </w:r>
      <w:r w:rsidR="00CE3B64" w:rsidRPr="001711D7">
        <w:t xml:space="preserve"> (2019) </w:t>
      </w:r>
      <w:r w:rsidR="00CE3B64" w:rsidRPr="001711D7">
        <w:rPr>
          <w:i/>
        </w:rPr>
        <w:t xml:space="preserve">International migration 2019: Wall chart </w:t>
      </w:r>
      <w:r w:rsidR="00CE3B64" w:rsidRPr="001711D7">
        <w:t xml:space="preserve">Available online at: </w:t>
      </w:r>
      <w:r w:rsidR="00EE60A6" w:rsidRPr="00EE60A6">
        <w:t>https://www.un.org/en/development/desa/population/migration/publicatio</w:t>
      </w:r>
      <w:r w:rsidR="00EE60A6">
        <w:t xml:space="preserve"> </w:t>
      </w:r>
      <w:r w:rsidRPr="009C1BEB">
        <w:t>ns/wallchart/</w:t>
      </w:r>
      <w:r w:rsidR="00CE3B64" w:rsidRPr="00CE3B64">
        <w:t>docs/MigrationStock2019_Wallchart.pdf</w:t>
      </w:r>
      <w:r w:rsidR="00CE3B64" w:rsidRPr="001711D7">
        <w:t xml:space="preserve"> (accessed 27/10/2019).</w:t>
      </w:r>
    </w:p>
    <w:p w:rsidR="00CE3B64" w:rsidRPr="001711D7" w:rsidRDefault="00CE3B64" w:rsidP="0038306A">
      <w:pPr>
        <w:pStyle w:val="EndNoteBibliography"/>
        <w:spacing w:after="0"/>
        <w:ind w:left="340" w:hanging="340"/>
      </w:pPr>
      <w:r w:rsidRPr="001711D7">
        <w:t xml:space="preserve">Vitali, A. &amp; Arpino, B. (2015) Living arrangements of second-generation immigrants in </w:t>
      </w:r>
      <w:r w:rsidR="00EE60A6">
        <w:t>S</w:t>
      </w:r>
      <w:r w:rsidRPr="001711D7">
        <w:t xml:space="preserve">pain: A cross-classified multilevel analysis, </w:t>
      </w:r>
      <w:r w:rsidRPr="001711D7">
        <w:rPr>
          <w:i/>
        </w:rPr>
        <w:t>Regional Studies</w:t>
      </w:r>
      <w:r w:rsidRPr="001711D7">
        <w:t>, 49(2), 189-203.</w:t>
      </w:r>
    </w:p>
    <w:p w:rsidR="00CE3B64" w:rsidRPr="001711D7" w:rsidRDefault="00CE3B64" w:rsidP="0038306A">
      <w:pPr>
        <w:pStyle w:val="EndNoteBibliography"/>
        <w:spacing w:after="0"/>
        <w:ind w:left="340" w:hanging="340"/>
      </w:pPr>
      <w:r w:rsidRPr="001711D7">
        <w:t xml:space="preserve">Wiers-Jenssen, J. (2013) Degree mobility from the </w:t>
      </w:r>
      <w:r w:rsidR="00EE60A6">
        <w:t>N</w:t>
      </w:r>
      <w:r w:rsidRPr="001711D7">
        <w:t xml:space="preserve">ordic countries: Background and employability, </w:t>
      </w:r>
      <w:r w:rsidRPr="001711D7">
        <w:rPr>
          <w:i/>
        </w:rPr>
        <w:t>Journal of Studies in International Education</w:t>
      </w:r>
      <w:r w:rsidRPr="001711D7">
        <w:t>, 17(4), 471-491.</w:t>
      </w:r>
    </w:p>
    <w:p w:rsidR="00CE3B64" w:rsidRPr="001711D7" w:rsidRDefault="00CE3B64" w:rsidP="0038306A">
      <w:pPr>
        <w:pStyle w:val="EndNoteBibliography"/>
        <w:spacing w:after="0"/>
        <w:ind w:left="340" w:hanging="340"/>
      </w:pPr>
      <w:r w:rsidRPr="001711D7">
        <w:t xml:space="preserve">Wu, C. &amp; Wilkes, R. (2017) International students’ post-graduation migration plans and the search for home, </w:t>
      </w:r>
      <w:r w:rsidRPr="001711D7">
        <w:rPr>
          <w:i/>
        </w:rPr>
        <w:t>Geoforum</w:t>
      </w:r>
      <w:r w:rsidRPr="001711D7">
        <w:t>, 80, 123-132.</w:t>
      </w:r>
    </w:p>
    <w:p w:rsidR="00CE3B64" w:rsidRPr="001711D7" w:rsidRDefault="00CE3B64" w:rsidP="0038306A">
      <w:pPr>
        <w:pStyle w:val="EndNoteBibliography"/>
        <w:ind w:left="340" w:hanging="340"/>
      </w:pPr>
      <w:r w:rsidRPr="001711D7">
        <w:t xml:space="preserve">Xiang, B. &amp; Shen, W. (2009) International student migration and social stratification in </w:t>
      </w:r>
      <w:r w:rsidR="00EE60A6">
        <w:t>C</w:t>
      </w:r>
      <w:r w:rsidRPr="001711D7">
        <w:t xml:space="preserve">hina, </w:t>
      </w:r>
      <w:r w:rsidRPr="001711D7">
        <w:rPr>
          <w:i/>
        </w:rPr>
        <w:t>International Journal of Educational Development</w:t>
      </w:r>
      <w:r w:rsidRPr="001711D7">
        <w:t>, 29(5), 513-522.</w:t>
      </w:r>
    </w:p>
    <w:p w:rsidR="00CE3B64" w:rsidRDefault="00CE3B64">
      <w:pPr>
        <w:rPr>
          <w:rFonts w:ascii="Times New Roman" w:hAnsi="Times New Roman" w:cs="Times New Roman"/>
        </w:rPr>
      </w:pPr>
    </w:p>
    <w:p w:rsidR="00CE3B64" w:rsidRDefault="00CE3B64">
      <w:pPr>
        <w:spacing w:line="259" w:lineRule="auto"/>
        <w:jc w:val="left"/>
        <w:rPr>
          <w:rFonts w:ascii="Times New Roman" w:hAnsi="Times New Roman" w:cs="Times New Roman"/>
        </w:rPr>
      </w:pPr>
      <w:r>
        <w:rPr>
          <w:rFonts w:ascii="Times New Roman" w:hAnsi="Times New Roman" w:cs="Times New Roman"/>
        </w:rPr>
        <w:br w:type="page"/>
      </w:r>
    </w:p>
    <w:p w:rsidR="00CE3B64" w:rsidRPr="00C76162" w:rsidRDefault="00CE3B64" w:rsidP="00957F04">
      <w:pPr>
        <w:pStyle w:val="a3"/>
        <w:keepNext/>
        <w:rPr>
          <w:rFonts w:ascii="Times New Roman" w:hAnsi="Times New Roman" w:cs="Times New Roman"/>
        </w:rPr>
      </w:pPr>
      <w:r w:rsidRPr="00C76162">
        <w:rPr>
          <w:rFonts w:ascii="Times New Roman" w:hAnsi="Times New Roman" w:cs="Times New Roman"/>
        </w:rPr>
        <w:lastRenderedPageBreak/>
        <w:t xml:space="preserve">Table </w:t>
      </w:r>
      <w:r w:rsidRPr="00C76162">
        <w:rPr>
          <w:rFonts w:ascii="Times New Roman" w:hAnsi="Times New Roman" w:cs="Times New Roman"/>
        </w:rPr>
        <w:fldChar w:fldCharType="begin"/>
      </w:r>
      <w:r w:rsidRPr="00C76162">
        <w:rPr>
          <w:rFonts w:ascii="Times New Roman" w:hAnsi="Times New Roman" w:cs="Times New Roman"/>
        </w:rPr>
        <w:instrText xml:space="preserve"> SEQ Table \* ARABIC </w:instrText>
      </w:r>
      <w:r w:rsidRPr="00C76162">
        <w:rPr>
          <w:rFonts w:ascii="Times New Roman" w:hAnsi="Times New Roman" w:cs="Times New Roman"/>
        </w:rPr>
        <w:fldChar w:fldCharType="separate"/>
      </w:r>
      <w:r>
        <w:rPr>
          <w:rFonts w:ascii="Times New Roman" w:hAnsi="Times New Roman" w:cs="Times New Roman"/>
          <w:noProof/>
        </w:rPr>
        <w:t>1</w:t>
      </w:r>
      <w:r w:rsidRPr="00C76162">
        <w:rPr>
          <w:rFonts w:ascii="Times New Roman" w:hAnsi="Times New Roman" w:cs="Times New Roman"/>
          <w:noProof/>
        </w:rPr>
        <w:fldChar w:fldCharType="end"/>
      </w:r>
      <w:r w:rsidRPr="00C76162">
        <w:rPr>
          <w:rFonts w:ascii="Times New Roman" w:hAnsi="Times New Roman" w:cs="Times New Roman"/>
        </w:rPr>
        <w:t>. Descriptive statistics of employment location of international postgraduate students, in 2013/14-2014/15 (N = 38812)</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64"/>
        <w:gridCol w:w="1134"/>
        <w:gridCol w:w="993"/>
        <w:gridCol w:w="708"/>
        <w:gridCol w:w="1134"/>
        <w:gridCol w:w="1093"/>
      </w:tblGrid>
      <w:tr w:rsidR="00CE3B64" w:rsidRPr="00C76162" w:rsidTr="00F257CD">
        <w:trPr>
          <w:cantSplit/>
          <w:trHeight w:val="20"/>
          <w:tblHeader/>
        </w:trPr>
        <w:tc>
          <w:tcPr>
            <w:tcW w:w="3964"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Categorical variable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Work in other countries (%)</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Work in UK (%)</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Total (%)</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Chi-Square</w:t>
            </w:r>
          </w:p>
        </w:tc>
        <w:tc>
          <w:tcPr>
            <w:tcW w:w="1093"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Cramer’s V</w:t>
            </w:r>
          </w:p>
        </w:tc>
      </w:tr>
      <w:tr w:rsidR="00CE3B64" w:rsidRPr="00C76162" w:rsidTr="00F257CD">
        <w:trPr>
          <w:cantSplit/>
          <w:trHeight w:val="20"/>
          <w:tblHeader/>
        </w:trPr>
        <w:tc>
          <w:tcPr>
            <w:tcW w:w="3964" w:type="dxa"/>
            <w:tcBorders>
              <w:top w:val="single" w:sz="4" w:space="0" w:color="auto"/>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Gender</w:t>
            </w:r>
          </w:p>
        </w:tc>
        <w:tc>
          <w:tcPr>
            <w:tcW w:w="1134" w:type="dxa"/>
            <w:tcBorders>
              <w:top w:val="single" w:sz="4" w:space="0" w:color="auto"/>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single" w:sz="4" w:space="0" w:color="auto"/>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single" w:sz="4" w:space="0" w:color="auto"/>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single" w:sz="4" w:space="0" w:color="auto"/>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single" w:sz="4" w:space="0" w:color="auto"/>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Female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79.6</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20.4</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52.8</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33.672**</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0.029</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Male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77.1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22.9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47.2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Level of Qualification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Masters (both taught and research)</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81.2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89.2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1449.926**</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0.193</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Doctoral (both taught and research)</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55.6</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44.4</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10.8</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Mode of Qualification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Part-time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70.1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29.9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6.1</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102.060**</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0.051</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Full-time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78.9</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21.1</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93.9</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Subject Area</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i/>
                <w:color w:val="000000"/>
                <w:sz w:val="20"/>
                <w:szCs w:val="20"/>
              </w:rPr>
            </w:pPr>
            <w:r w:rsidRPr="00C76162">
              <w:rPr>
                <w:rFonts w:ascii="Times New Roman" w:hAnsi="Times New Roman" w:cs="Times New Roman"/>
                <w:i/>
                <w:color w:val="000000"/>
                <w:sz w:val="20"/>
                <w:szCs w:val="20"/>
              </w:rPr>
              <w:t>STEM</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74.1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25.9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33.0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N/A</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N/A</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Medicine &amp; Dentistry</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73.8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26.2</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Subjects allied to Medicine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71.4</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28.6</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Biological Sciences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73.5</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26.5</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3.5</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Veterinary Science (n = 18)</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66.7</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33.3</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Agriculture &amp; Related Subjects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82.0</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0.6</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Physical Sciences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77.4</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22.6</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Mathematical Sciences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73.9</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26.1</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1.6</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Computer Science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66.0</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34.0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4.6</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Engineering &amp; Technology</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75.2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24.8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10.6</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Architecture, Building &amp; Planning</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80.2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19.8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3.3</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i/>
                <w:color w:val="000000"/>
                <w:sz w:val="20"/>
                <w:szCs w:val="20"/>
              </w:rPr>
            </w:pPr>
            <w:r w:rsidRPr="00C76162">
              <w:rPr>
                <w:rFonts w:ascii="Times New Roman" w:hAnsi="Times New Roman" w:cs="Times New Roman"/>
                <w:i/>
                <w:color w:val="000000"/>
                <w:sz w:val="20"/>
                <w:szCs w:val="20"/>
              </w:rPr>
              <w:t>Business &amp; Administrative Studies (BAS)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80.1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19.9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32.1</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i/>
                <w:color w:val="000000"/>
                <w:sz w:val="20"/>
                <w:szCs w:val="20"/>
              </w:rPr>
            </w:pPr>
            <w:r w:rsidRPr="00C76162">
              <w:rPr>
                <w:rFonts w:ascii="Times New Roman" w:hAnsi="Times New Roman" w:cs="Times New Roman"/>
                <w:i/>
                <w:color w:val="000000"/>
                <w:sz w:val="20"/>
                <w:szCs w:val="20"/>
              </w:rPr>
              <w:t>Other non-STEM</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81.0</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19.0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34.9</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Social Studies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81.6</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18.4</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13.7</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Law</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86.1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13.9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5.0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Mass Communications &amp; Documentation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81.2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Languages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83.3</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16.7</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Historical &amp; Philosophical Studies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75.2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24.8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2.7</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right="6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76162">
              <w:rPr>
                <w:rFonts w:ascii="Times New Roman" w:hAnsi="Times New Roman" w:cs="Times New Roman"/>
                <w:color w:val="000000"/>
                <w:sz w:val="20"/>
                <w:szCs w:val="20"/>
              </w:rPr>
              <w:t>Creative Arts &amp; Design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71.8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28.2</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right="6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76162">
              <w:rPr>
                <w:rFonts w:ascii="Times New Roman" w:hAnsi="Times New Roman" w:cs="Times New Roman"/>
                <w:color w:val="000000"/>
                <w:sz w:val="20"/>
                <w:szCs w:val="20"/>
              </w:rPr>
              <w:t>Education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86.3</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13.7</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76162">
              <w:rPr>
                <w:rFonts w:ascii="Times New Roman" w:hAnsi="Times New Roman" w:cs="Times New Roman"/>
                <w:color w:val="000000"/>
                <w:sz w:val="20"/>
                <w:szCs w:val="20"/>
              </w:rPr>
              <w:t>Combined (n = 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75.0</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25.0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Job-finding methods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Media (e.g. newspaper/magazine ad)</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4.4</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4.3</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N/A</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N/A</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Employer’s website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12.8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15.5</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13.4</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Recruitment agency/website</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11.8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14.0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12.3</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Personal contacts (e.g. family and friends)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30.8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18.2</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28.1</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  Already worked there (e.g.</w:t>
            </w:r>
            <w:r w:rsidRPr="00C76162">
              <w:rPr>
                <w:rFonts w:ascii="Times New Roman" w:hAnsi="Times New Roman" w:cs="Times New Roman"/>
                <w:color w:val="000000"/>
                <w:sz w:val="20"/>
                <w:szCs w:val="20"/>
              </w:rPr>
              <w:t xml:space="preserve"> intern/placement)</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16.8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12.8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15.9</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HEI Careers Service and other HEI sources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6.1</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19.8</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9.0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Social media/professional networking sites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6.2</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5.1</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Speculative application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1.9</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1.6</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Other</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9.3</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8.9</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9.2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Total</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100</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100</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100</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English Language Background 1</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Majority English speaking country</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70.5</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29.5</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15.1</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258.317**</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0.082</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Other countries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79.8</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20.2</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84.9</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English Language Background 2</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English as official language country</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73.5</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26.5</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46.7</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477.124**</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0.111</w:t>
            </w: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Other countries</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82.7</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17.3</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53.3</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b/>
                <w:color w:val="000000"/>
                <w:sz w:val="20"/>
                <w:szCs w:val="20"/>
              </w:rPr>
            </w:pPr>
            <w:r w:rsidRPr="00C76162">
              <w:rPr>
                <w:rFonts w:ascii="Times New Roman" w:hAnsi="Times New Roman" w:cs="Times New Roman"/>
                <w:b/>
                <w:color w:val="000000"/>
                <w:sz w:val="20"/>
                <w:szCs w:val="20"/>
              </w:rPr>
              <w:t>Previous Colonial Affiliation</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F257CD">
        <w:trPr>
          <w:cantSplit/>
          <w:trHeight w:val="20"/>
          <w:tblHeader/>
        </w:trPr>
        <w:tc>
          <w:tcPr>
            <w:tcW w:w="3964" w:type="dxa"/>
            <w:tcBorders>
              <w:top w:val="nil"/>
              <w:left w:val="single" w:sz="4" w:space="0" w:color="auto"/>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Commonwealth country</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72.5</w:t>
            </w:r>
          </w:p>
        </w:tc>
        <w:tc>
          <w:tcPr>
            <w:tcW w:w="993"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27.5</w:t>
            </w:r>
          </w:p>
        </w:tc>
        <w:tc>
          <w:tcPr>
            <w:tcW w:w="708"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32.3</w:t>
            </w:r>
          </w:p>
        </w:tc>
        <w:tc>
          <w:tcPr>
            <w:tcW w:w="1134" w:type="dxa"/>
            <w:tcBorders>
              <w:top w:val="nil"/>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376.843**</w:t>
            </w:r>
          </w:p>
        </w:tc>
        <w:tc>
          <w:tcPr>
            <w:tcW w:w="1093" w:type="dxa"/>
            <w:tcBorders>
              <w:top w:val="nil"/>
              <w:left w:val="nil"/>
              <w:bottom w:val="nil"/>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0.099</w:t>
            </w:r>
          </w:p>
        </w:tc>
      </w:tr>
      <w:tr w:rsidR="00CE3B64" w:rsidRPr="00C76162" w:rsidTr="00F257CD">
        <w:trPr>
          <w:cantSplit/>
          <w:trHeight w:val="20"/>
          <w:tblHeader/>
        </w:trPr>
        <w:tc>
          <w:tcPr>
            <w:tcW w:w="3964" w:type="dxa"/>
            <w:tcBorders>
              <w:top w:val="nil"/>
              <w:left w:val="single" w:sz="4" w:space="0" w:color="auto"/>
              <w:bottom w:val="single" w:sz="4" w:space="0" w:color="auto"/>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Other countries</w:t>
            </w:r>
          </w:p>
        </w:tc>
        <w:tc>
          <w:tcPr>
            <w:tcW w:w="1134" w:type="dxa"/>
            <w:tcBorders>
              <w:top w:val="nil"/>
              <w:left w:val="nil"/>
              <w:bottom w:val="single" w:sz="4" w:space="0" w:color="auto"/>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81.2</w:t>
            </w:r>
          </w:p>
        </w:tc>
        <w:tc>
          <w:tcPr>
            <w:tcW w:w="993" w:type="dxa"/>
            <w:tcBorders>
              <w:top w:val="nil"/>
              <w:left w:val="nil"/>
              <w:bottom w:val="single" w:sz="4" w:space="0" w:color="auto"/>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18.8</w:t>
            </w:r>
          </w:p>
        </w:tc>
        <w:tc>
          <w:tcPr>
            <w:tcW w:w="708" w:type="dxa"/>
            <w:tcBorders>
              <w:top w:val="nil"/>
              <w:left w:val="nil"/>
              <w:bottom w:val="single" w:sz="4" w:space="0" w:color="auto"/>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r w:rsidRPr="00C76162">
              <w:rPr>
                <w:rFonts w:ascii="Times New Roman" w:hAnsi="Times New Roman" w:cs="Times New Roman"/>
                <w:color w:val="000000"/>
                <w:sz w:val="20"/>
                <w:szCs w:val="20"/>
              </w:rPr>
              <w:t>67.7</w:t>
            </w:r>
          </w:p>
        </w:tc>
        <w:tc>
          <w:tcPr>
            <w:tcW w:w="1134" w:type="dxa"/>
            <w:tcBorders>
              <w:top w:val="nil"/>
              <w:left w:val="nil"/>
              <w:bottom w:val="single" w:sz="4" w:space="0" w:color="auto"/>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c>
          <w:tcPr>
            <w:tcW w:w="1093" w:type="dxa"/>
            <w:tcBorders>
              <w:top w:val="nil"/>
              <w:left w:val="nil"/>
              <w:bottom w:val="single" w:sz="4" w:space="0" w:color="auto"/>
              <w:right w:val="single" w:sz="4" w:space="0" w:color="auto"/>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center"/>
              <w:rPr>
                <w:rFonts w:ascii="Times New Roman" w:hAnsi="Times New Roman" w:cs="Times New Roman"/>
                <w:color w:val="000000"/>
                <w:sz w:val="20"/>
                <w:szCs w:val="20"/>
              </w:rPr>
            </w:pPr>
          </w:p>
        </w:tc>
      </w:tr>
      <w:tr w:rsidR="00CE3B64" w:rsidRPr="00C76162" w:rsidTr="00957F04">
        <w:trPr>
          <w:cantSplit/>
          <w:trHeight w:val="20"/>
          <w:tblHeader/>
        </w:trPr>
        <w:tc>
          <w:tcPr>
            <w:tcW w:w="9026" w:type="dxa"/>
            <w:gridSpan w:val="6"/>
            <w:tcBorders>
              <w:top w:val="single" w:sz="4" w:space="0" w:color="auto"/>
              <w:left w:val="nil"/>
              <w:bottom w:val="nil"/>
              <w:right w:val="nil"/>
            </w:tcBorders>
            <w:shd w:val="clear" w:color="auto" w:fill="FFFFFF"/>
            <w:vAlign w:val="center"/>
          </w:tcPr>
          <w:p w:rsidR="00CE3B64" w:rsidRPr="00C76162" w:rsidRDefault="00CE3B64" w:rsidP="00957F04">
            <w:pPr>
              <w:autoSpaceDE w:val="0"/>
              <w:autoSpaceDN w:val="0"/>
              <w:adjustRightInd w:val="0"/>
              <w:spacing w:before="100" w:beforeAutospacing="1" w:after="100" w:afterAutospacing="1" w:line="240" w:lineRule="auto"/>
              <w:ind w:left="60" w:right="60"/>
              <w:jc w:val="left"/>
              <w:rPr>
                <w:rFonts w:ascii="Times New Roman" w:hAnsi="Times New Roman" w:cs="Times New Roman"/>
                <w:color w:val="000000"/>
                <w:sz w:val="20"/>
                <w:szCs w:val="20"/>
              </w:rPr>
            </w:pPr>
            <w:r w:rsidRPr="00C76162">
              <w:rPr>
                <w:rFonts w:ascii="Times New Roman" w:hAnsi="Times New Roman" w:cs="Times New Roman"/>
                <w:color w:val="000000"/>
                <w:sz w:val="20"/>
                <w:szCs w:val="20"/>
              </w:rPr>
              <w:t xml:space="preserve">* </w:t>
            </w:r>
            <w:r w:rsidRPr="00C76162">
              <w:rPr>
                <w:rFonts w:ascii="Times New Roman" w:hAnsi="Times New Roman" w:cs="Times New Roman"/>
                <w:i/>
                <w:color w:val="000000"/>
                <w:sz w:val="20"/>
                <w:szCs w:val="20"/>
              </w:rPr>
              <w:t>p</w:t>
            </w:r>
            <w:r w:rsidRPr="00C76162">
              <w:rPr>
                <w:rFonts w:ascii="Times New Roman" w:hAnsi="Times New Roman" w:cs="Times New Roman"/>
                <w:color w:val="000000"/>
                <w:sz w:val="20"/>
                <w:szCs w:val="20"/>
              </w:rPr>
              <w:t xml:space="preserve"> &lt; 0.05, ** </w:t>
            </w:r>
            <w:r w:rsidRPr="00C76162">
              <w:rPr>
                <w:rFonts w:ascii="Times New Roman" w:hAnsi="Times New Roman" w:cs="Times New Roman"/>
                <w:i/>
                <w:color w:val="000000"/>
                <w:sz w:val="20"/>
                <w:szCs w:val="20"/>
              </w:rPr>
              <w:t>p</w:t>
            </w:r>
            <w:r w:rsidRPr="00C76162">
              <w:rPr>
                <w:rFonts w:ascii="Times New Roman" w:hAnsi="Times New Roman" w:cs="Times New Roman"/>
                <w:color w:val="000000"/>
                <w:sz w:val="20"/>
                <w:szCs w:val="20"/>
              </w:rPr>
              <w:t xml:space="preserve"> &lt; 0.01, N/A refers to Not Applicable</w:t>
            </w:r>
          </w:p>
        </w:tc>
      </w:tr>
    </w:tbl>
    <w:p w:rsidR="00CE3B64" w:rsidRDefault="00CE3B64">
      <w:pPr>
        <w:rPr>
          <w:rFonts w:ascii="Times New Roman" w:hAnsi="Times New Roman" w:cs="Times New Roman"/>
        </w:rPr>
      </w:pPr>
    </w:p>
    <w:p w:rsidR="00CE3B64" w:rsidRPr="00C76162" w:rsidRDefault="00CE3B64" w:rsidP="00957F04">
      <w:pPr>
        <w:pStyle w:val="a3"/>
        <w:keepNext/>
        <w:rPr>
          <w:rFonts w:ascii="Times New Roman" w:hAnsi="Times New Roman" w:cs="Times New Roman"/>
        </w:rPr>
      </w:pPr>
      <w:r w:rsidRPr="00C76162">
        <w:rPr>
          <w:rFonts w:ascii="Times New Roman" w:hAnsi="Times New Roman" w:cs="Times New Roman"/>
        </w:rPr>
        <w:lastRenderedPageBreak/>
        <w:t xml:space="preserve">Table </w:t>
      </w:r>
      <w:r w:rsidRPr="00C76162">
        <w:rPr>
          <w:rFonts w:ascii="Times New Roman" w:hAnsi="Times New Roman" w:cs="Times New Roman"/>
        </w:rPr>
        <w:fldChar w:fldCharType="begin"/>
      </w:r>
      <w:r w:rsidRPr="00C76162">
        <w:rPr>
          <w:rFonts w:ascii="Times New Roman" w:hAnsi="Times New Roman" w:cs="Times New Roman"/>
        </w:rPr>
        <w:instrText xml:space="preserve"> SEQ Table \* ARABIC </w:instrText>
      </w:r>
      <w:r w:rsidRPr="00C76162">
        <w:rPr>
          <w:rFonts w:ascii="Times New Roman" w:hAnsi="Times New Roman" w:cs="Times New Roman"/>
        </w:rPr>
        <w:fldChar w:fldCharType="separate"/>
      </w:r>
      <w:r>
        <w:rPr>
          <w:rFonts w:ascii="Times New Roman" w:hAnsi="Times New Roman" w:cs="Times New Roman"/>
          <w:noProof/>
        </w:rPr>
        <w:t>2</w:t>
      </w:r>
      <w:r w:rsidRPr="00C76162">
        <w:rPr>
          <w:rFonts w:ascii="Times New Roman" w:hAnsi="Times New Roman" w:cs="Times New Roman"/>
          <w:noProof/>
        </w:rPr>
        <w:fldChar w:fldCharType="end"/>
      </w:r>
      <w:r w:rsidRPr="00C76162">
        <w:rPr>
          <w:rFonts w:ascii="Times New Roman" w:hAnsi="Times New Roman" w:cs="Times New Roman"/>
        </w:rPr>
        <w:t>. Comparison between single-level and multilevel null models, DLHE 2012/13-2013/14 (N=38812)</w:t>
      </w:r>
    </w:p>
    <w:tbl>
      <w:tblPr>
        <w:tblStyle w:val="6"/>
        <w:tblW w:w="0" w:type="auto"/>
        <w:tblLook w:val="04A0" w:firstRow="1" w:lastRow="0" w:firstColumn="1" w:lastColumn="0" w:noHBand="0" w:noVBand="1"/>
      </w:tblPr>
      <w:tblGrid>
        <w:gridCol w:w="3114"/>
        <w:gridCol w:w="1417"/>
        <w:gridCol w:w="1560"/>
        <w:gridCol w:w="1417"/>
        <w:gridCol w:w="1508"/>
      </w:tblGrid>
      <w:tr w:rsidR="00CE3B64" w:rsidRPr="00C76162" w:rsidTr="00957F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center"/>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Model A:</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6162">
              <w:rPr>
                <w:rFonts w:ascii="Times New Roman" w:hAnsi="Times New Roman" w:cs="Times New Roman"/>
                <w:b w:val="0"/>
              </w:rPr>
              <w:t>Single-level</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6162">
              <w:rPr>
                <w:rFonts w:ascii="Times New Roman" w:hAnsi="Times New Roman" w:cs="Times New Roman"/>
                <w:b w:val="0"/>
              </w:rPr>
              <w:t>Null</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Model B:</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6162">
              <w:rPr>
                <w:rFonts w:ascii="Times New Roman" w:hAnsi="Times New Roman" w:cs="Times New Roman"/>
                <w:b w:val="0"/>
              </w:rPr>
              <w:t>Domicile only</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b w:val="0"/>
              </w:rPr>
              <w:t>Multilevel Null</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Model C:</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6162">
              <w:rPr>
                <w:rFonts w:ascii="Times New Roman" w:hAnsi="Times New Roman" w:cs="Times New Roman"/>
                <w:b w:val="0"/>
              </w:rPr>
              <w:t>HEI only</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b w:val="0"/>
              </w:rPr>
              <w:t>Multilevel Null</w:t>
            </w: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Model D:</w:t>
            </w:r>
          </w:p>
          <w:p w:rsidR="00CE3B64" w:rsidRPr="00C76162"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6162">
              <w:rPr>
                <w:rFonts w:ascii="Times New Roman" w:hAnsi="Times New Roman" w:cs="Times New Roman"/>
                <w:b w:val="0"/>
              </w:rPr>
              <w:t>Cross-classified Null</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left"/>
              <w:rPr>
                <w:rFonts w:ascii="Times New Roman" w:hAnsi="Times New Roman" w:cs="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Estimate</w:t>
            </w:r>
            <w:r w:rsidRPr="00C76162">
              <w:rPr>
                <w:rFonts w:ascii="Times New Roman" w:hAnsi="Times New Roman" w:cs="Times New Roman"/>
              </w:rPr>
              <w:t>(SE)</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Estimate</w:t>
            </w:r>
            <w:r w:rsidRPr="00C76162">
              <w:rPr>
                <w:rFonts w:ascii="Times New Roman" w:hAnsi="Times New Roman" w:cs="Times New Roman"/>
              </w:rPr>
              <w:t>(SE)</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Estimate</w:t>
            </w:r>
            <w:r w:rsidRPr="00C76162">
              <w:rPr>
                <w:rFonts w:ascii="Times New Roman" w:hAnsi="Times New Roman" w:cs="Times New Roman"/>
              </w:rPr>
              <w:t>(SE)</w:t>
            </w:r>
          </w:p>
        </w:tc>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Estimate</w:t>
            </w:r>
            <w:r w:rsidRPr="00C76162">
              <w:rPr>
                <w:rFonts w:ascii="Times New Roman" w:hAnsi="Times New Roman" w:cs="Times New Roman"/>
              </w:rPr>
              <w:t>(SE)</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u w:val="single"/>
              </w:rPr>
            </w:pPr>
            <w:r w:rsidRPr="00C76162">
              <w:rPr>
                <w:rFonts w:ascii="Times New Roman" w:hAnsi="Times New Roman" w:cs="Times New Roman"/>
                <w:u w:val="single"/>
              </w:rPr>
              <w:t>Fixed effects</w:t>
            </w:r>
          </w:p>
        </w:tc>
        <w:tc>
          <w:tcPr>
            <w:tcW w:w="1417" w:type="dxa"/>
            <w:tcBorders>
              <w:top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tcBorders>
              <w:top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tcBorders>
              <w:top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8" w:type="dxa"/>
            <w:tcBorders>
              <w:top w:val="single" w:sz="4" w:space="0" w:color="auto"/>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b w:val="0"/>
              </w:rPr>
            </w:pPr>
            <w:r w:rsidRPr="00C76162">
              <w:rPr>
                <w:rFonts w:ascii="Times New Roman" w:hAnsi="Times New Roman" w:cs="Times New Roman"/>
                <w:b w:val="0"/>
              </w:rPr>
              <w:t>Intercept</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-1.289 (0.012)**</w:t>
            </w: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-1.370 (0.093)**</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-1.103 (0.087)**</w:t>
            </w: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-1.294 (0.105)**</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b w:val="0"/>
              </w:rPr>
            </w:pP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u w:val="single"/>
              </w:rPr>
            </w:pPr>
            <w:r w:rsidRPr="00C76162">
              <w:rPr>
                <w:rFonts w:ascii="Times New Roman" w:hAnsi="Times New Roman" w:cs="Times New Roman"/>
                <w:u w:val="single"/>
              </w:rPr>
              <w:t>Random effects</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94421F" w:rsidRDefault="00CE3B64" w:rsidP="00957F04">
            <w:pPr>
              <w:spacing w:line="240" w:lineRule="auto"/>
              <w:jc w:val="left"/>
              <w:rPr>
                <w:rFonts w:ascii="Times New Roman" w:hAnsi="Times New Roman" w:cs="Times New Roman"/>
                <w:b w:val="0"/>
              </w:rPr>
            </w:pPr>
            <w:r w:rsidRPr="0094421F">
              <w:rPr>
                <w:rFonts w:ascii="Times New Roman" w:hAnsi="Times New Roman" w:cs="Times New Roman"/>
                <w:b w:val="0"/>
              </w:rPr>
              <w:t>Domicile-level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u(3)</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0.878 (0.141)</w:t>
            </w: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0.831 (0.139)</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94421F" w:rsidRDefault="00CE3B64" w:rsidP="00957F04">
            <w:pPr>
              <w:spacing w:line="240" w:lineRule="auto"/>
              <w:jc w:val="left"/>
              <w:rPr>
                <w:rFonts w:ascii="Times New Roman" w:hAnsi="Times New Roman" w:cs="Times New Roman"/>
                <w:b w:val="0"/>
              </w:rPr>
            </w:pPr>
            <w:r w:rsidRPr="0094421F">
              <w:rPr>
                <w:rFonts w:ascii="Times New Roman" w:hAnsi="Times New Roman" w:cs="Times New Roman"/>
                <w:b w:val="0"/>
              </w:rPr>
              <w:t>HEI-level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u(2)</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0.681 (0.102)</w:t>
            </w: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0.497 (0.077)</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94421F" w:rsidRDefault="00CE3B64" w:rsidP="00957F04">
            <w:pPr>
              <w:spacing w:line="240" w:lineRule="auto"/>
              <w:jc w:val="left"/>
              <w:rPr>
                <w:rFonts w:ascii="Times New Roman" w:eastAsia="DengXian" w:hAnsi="Times New Roman" w:cs="Times New Roman"/>
                <w:b w:val="0"/>
                <w:bCs w:val="0"/>
              </w:rPr>
            </w:pPr>
            <w:r w:rsidRPr="0094421F">
              <w:rPr>
                <w:rFonts w:ascii="Times New Roman" w:hAnsi="Times New Roman" w:cs="Times New Roman"/>
                <w:b w:val="0"/>
              </w:rPr>
              <w:t>Individual-level variance (</w:t>
            </w:r>
            <m:oMath>
              <m:sSubSup>
                <m:sSubSupPr>
                  <m:ctrlPr>
                    <w:rPr>
                      <w:rFonts w:ascii="Cambria Math" w:hAnsi="Cambria Math" w:cs="Times New Roman"/>
                      <w:b w:val="0"/>
                      <w:bCs w:val="0"/>
                      <w:i/>
                    </w:rPr>
                  </m:ctrlPr>
                </m:sSubSupPr>
                <m:e>
                  <m:r>
                    <m:rPr>
                      <m:sty m:val="bi"/>
                    </m:rPr>
                    <w:rPr>
                      <w:rFonts w:ascii="Cambria Math" w:hAnsi="Cambria Math" w:cs="Times New Roman"/>
                    </w:rPr>
                    <m:t>σ</m:t>
                  </m:r>
                </m:e>
                <m:sub>
                  <m:r>
                    <m:rPr>
                      <m:sty m:val="bi"/>
                    </m:rPr>
                    <w:rPr>
                      <w:rFonts w:ascii="Cambria Math" w:hAnsi="Cambria Math" w:cs="Times New Roman"/>
                    </w:rPr>
                    <m:t>e</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417" w:type="dxa"/>
            <w:shd w:val="clear" w:color="auto" w:fill="FFFFFF" w:themeFill="background1"/>
            <w:vAlign w:val="center"/>
          </w:tcPr>
          <w:p w:rsidR="00CE3B64" w:rsidRPr="00C76162" w:rsidRDefault="00957F0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560" w:type="dxa"/>
            <w:shd w:val="clear" w:color="auto" w:fill="FFFFFF" w:themeFill="background1"/>
            <w:vAlign w:val="center"/>
          </w:tcPr>
          <w:p w:rsidR="00CE3B64" w:rsidRPr="00C76162" w:rsidRDefault="00957F0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417" w:type="dxa"/>
            <w:shd w:val="clear" w:color="auto" w:fill="FFFFFF" w:themeFill="background1"/>
            <w:vAlign w:val="center"/>
          </w:tcPr>
          <w:p w:rsidR="00CE3B64" w:rsidRPr="00C76162" w:rsidRDefault="00957F0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508" w:type="dxa"/>
            <w:tcBorders>
              <w:right w:val="single" w:sz="4" w:space="0" w:color="auto"/>
            </w:tcBorders>
            <w:shd w:val="clear" w:color="auto" w:fill="FFFFFF" w:themeFill="background1"/>
            <w:vAlign w:val="center"/>
          </w:tcPr>
          <w:p w:rsidR="00CE3B64" w:rsidRPr="00C76162" w:rsidRDefault="00957F0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eastAsia="宋体" w:hAnsi="Times New Roman" w:cs="Times New Roman"/>
                <w:b w:val="0"/>
                <w:bCs w:val="0"/>
              </w:rPr>
            </w:pP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eastAsia="宋体" w:hAnsi="Times New Roman" w:cs="Times New Roman"/>
                <w:bCs w:val="0"/>
              </w:rPr>
            </w:pPr>
            <w:r w:rsidRPr="00C76162">
              <w:rPr>
                <w:rFonts w:ascii="Times New Roman" w:eastAsia="宋体" w:hAnsi="Times New Roman" w:cs="Times New Roman"/>
                <w:bCs w:val="0"/>
              </w:rPr>
              <w:t>VPC</w:t>
            </w: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eastAsia="宋体" w:hAnsi="Times New Roman" w:cs="Times New Roman"/>
                <w:b w:val="0"/>
                <w:bCs w:val="0"/>
              </w:rPr>
            </w:pPr>
            <w:r w:rsidRPr="00C76162">
              <w:rPr>
                <w:rFonts w:ascii="Times New Roman" w:eastAsia="宋体" w:hAnsi="Times New Roman" w:cs="Times New Roman"/>
                <w:b w:val="0"/>
                <w:bCs w:val="0"/>
              </w:rPr>
              <w:t>Domicile-level</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21.1%</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18.0%</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eastAsia="宋体" w:hAnsi="Times New Roman" w:cs="Times New Roman"/>
                <w:b w:val="0"/>
                <w:bCs w:val="0"/>
              </w:rPr>
            </w:pPr>
            <w:r w:rsidRPr="00C76162">
              <w:rPr>
                <w:rFonts w:ascii="Times New Roman" w:eastAsia="宋体" w:hAnsi="Times New Roman" w:cs="Times New Roman"/>
                <w:b w:val="0"/>
                <w:bCs w:val="0"/>
              </w:rPr>
              <w:t>HEI-level</w:t>
            </w: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17.1%</w:t>
            </w: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10.8%</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tcBorders>
            <w:shd w:val="clear" w:color="auto" w:fill="FFFFFF" w:themeFill="background1"/>
            <w:vAlign w:val="center"/>
          </w:tcPr>
          <w:p w:rsidR="00CE3B64" w:rsidRPr="00C76162" w:rsidRDefault="00CE3B64" w:rsidP="00957F04">
            <w:pPr>
              <w:spacing w:line="240" w:lineRule="auto"/>
              <w:jc w:val="left"/>
              <w:rPr>
                <w:rFonts w:ascii="Times New Roman" w:eastAsia="宋体" w:hAnsi="Times New Roman" w:cs="Times New Roman"/>
                <w:b w:val="0"/>
                <w:bCs w:val="0"/>
              </w:rPr>
            </w:pPr>
            <w:r w:rsidRPr="00C76162">
              <w:rPr>
                <w:rFonts w:ascii="Times New Roman" w:eastAsia="宋体" w:hAnsi="Times New Roman" w:cs="Times New Roman"/>
                <w:b w:val="0"/>
                <w:bCs w:val="0"/>
              </w:rPr>
              <w:t>Individual-level</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100%</w:t>
            </w:r>
          </w:p>
        </w:tc>
        <w:tc>
          <w:tcPr>
            <w:tcW w:w="1560"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78.9%</w:t>
            </w:r>
          </w:p>
        </w:tc>
        <w:tc>
          <w:tcPr>
            <w:tcW w:w="1417" w:type="dxa"/>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82.9%</w:t>
            </w:r>
          </w:p>
        </w:tc>
        <w:tc>
          <w:tcPr>
            <w:tcW w:w="1508" w:type="dxa"/>
            <w:tcBorders>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71.2%</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3114" w:type="dxa"/>
            <w:tcBorders>
              <w:left w:val="single" w:sz="4" w:space="0" w:color="auto"/>
              <w:bottom w:val="nil"/>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b w:val="0"/>
              </w:rPr>
            </w:pPr>
          </w:p>
        </w:tc>
        <w:tc>
          <w:tcPr>
            <w:tcW w:w="1417" w:type="dxa"/>
            <w:tcBorders>
              <w:bottom w:val="nil"/>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60" w:type="dxa"/>
            <w:tcBorders>
              <w:bottom w:val="nil"/>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17" w:type="dxa"/>
            <w:tcBorders>
              <w:bottom w:val="nil"/>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8" w:type="dxa"/>
            <w:tcBorders>
              <w:bottom w:val="nil"/>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Borders>
              <w:top w:val="nil"/>
              <w:left w:val="single" w:sz="4" w:space="0" w:color="auto"/>
              <w:bottom w:val="nil"/>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rPr>
            </w:pPr>
            <w:r w:rsidRPr="00C76162">
              <w:rPr>
                <w:rFonts w:ascii="Times New Roman" w:hAnsi="Times New Roman" w:cs="Times New Roman"/>
              </w:rPr>
              <w:t>Goodness of fit (DIC)</w:t>
            </w:r>
          </w:p>
        </w:tc>
        <w:tc>
          <w:tcPr>
            <w:tcW w:w="1417" w:type="dxa"/>
            <w:tcBorders>
              <w:top w:val="nil"/>
              <w:bottom w:val="nil"/>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40494.807</w:t>
            </w:r>
          </w:p>
        </w:tc>
        <w:tc>
          <w:tcPr>
            <w:tcW w:w="1560" w:type="dxa"/>
            <w:tcBorders>
              <w:top w:val="nil"/>
              <w:bottom w:val="nil"/>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37715.636</w:t>
            </w:r>
          </w:p>
        </w:tc>
        <w:tc>
          <w:tcPr>
            <w:tcW w:w="1417" w:type="dxa"/>
            <w:tcBorders>
              <w:top w:val="nil"/>
              <w:bottom w:val="nil"/>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38382.063</w:t>
            </w:r>
          </w:p>
        </w:tc>
        <w:tc>
          <w:tcPr>
            <w:tcW w:w="1508" w:type="dxa"/>
            <w:tcBorders>
              <w:top w:val="nil"/>
              <w:bottom w:val="nil"/>
              <w:right w:val="single" w:sz="4" w:space="0" w:color="auto"/>
            </w:tcBorders>
            <w:shd w:val="clear" w:color="auto" w:fill="FFFFFF" w:themeFill="background1"/>
            <w:vAlign w:val="center"/>
          </w:tcPr>
          <w:p w:rsidR="00CE3B64" w:rsidRPr="00C76162"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36355.228</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left w:val="nil"/>
              <w:bottom w:val="nil"/>
              <w:right w:val="nil"/>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b w:val="0"/>
              </w:rPr>
            </w:pPr>
            <w:r w:rsidRPr="00C76162">
              <w:rPr>
                <w:rFonts w:ascii="Times New Roman" w:hAnsi="Times New Roman" w:cs="Times New Roman"/>
                <w:b w:val="0"/>
              </w:rPr>
              <w:t xml:space="preserve">* </w:t>
            </w:r>
            <w:r w:rsidRPr="00C76162">
              <w:rPr>
                <w:rFonts w:ascii="Times New Roman" w:hAnsi="Times New Roman" w:cs="Times New Roman"/>
                <w:b w:val="0"/>
                <w:i/>
              </w:rPr>
              <w:t>p</w:t>
            </w:r>
            <w:r w:rsidRPr="00C76162">
              <w:rPr>
                <w:rFonts w:ascii="Times New Roman" w:hAnsi="Times New Roman" w:cs="Times New Roman"/>
                <w:b w:val="0"/>
              </w:rPr>
              <w:t xml:space="preserve"> &lt; 0.05, ** </w:t>
            </w:r>
            <w:r w:rsidRPr="00C76162">
              <w:rPr>
                <w:rFonts w:ascii="Times New Roman" w:hAnsi="Times New Roman" w:cs="Times New Roman"/>
                <w:b w:val="0"/>
                <w:i/>
              </w:rPr>
              <w:t>p</w:t>
            </w:r>
            <w:r w:rsidRPr="00C76162">
              <w:rPr>
                <w:rFonts w:ascii="Times New Roman" w:hAnsi="Times New Roman" w:cs="Times New Roman"/>
                <w:b w:val="0"/>
              </w:rPr>
              <w:t xml:space="preserve"> &lt; 0.01</w:t>
            </w:r>
          </w:p>
        </w:tc>
      </w:tr>
    </w:tbl>
    <w:p w:rsidR="00CE3B64" w:rsidRDefault="00CE3B64">
      <w:pPr>
        <w:spacing w:line="259" w:lineRule="auto"/>
        <w:jc w:val="left"/>
        <w:rPr>
          <w:rFonts w:ascii="Times New Roman" w:hAnsi="Times New Roman" w:cs="Times New Roman"/>
        </w:rPr>
      </w:pPr>
    </w:p>
    <w:p w:rsidR="00CE3B64" w:rsidRDefault="00CE3B64">
      <w:pPr>
        <w:spacing w:line="259" w:lineRule="auto"/>
        <w:jc w:val="left"/>
        <w:rPr>
          <w:rFonts w:ascii="Times New Roman" w:hAnsi="Times New Roman" w:cs="Times New Roman"/>
        </w:rPr>
      </w:pPr>
      <w:r>
        <w:rPr>
          <w:rFonts w:ascii="Times New Roman" w:hAnsi="Times New Roman" w:cs="Times New Roman"/>
        </w:rPr>
        <w:br w:type="page"/>
      </w:r>
    </w:p>
    <w:p w:rsidR="00CE3B64" w:rsidRPr="00C76162" w:rsidRDefault="00CE3B64" w:rsidP="00957F04">
      <w:pPr>
        <w:pStyle w:val="a3"/>
        <w:keepNext/>
        <w:rPr>
          <w:rFonts w:ascii="Times New Roman" w:hAnsi="Times New Roman" w:cs="Times New Roman"/>
        </w:rPr>
      </w:pPr>
      <w:r w:rsidRPr="00C76162">
        <w:rPr>
          <w:rFonts w:ascii="Times New Roman" w:hAnsi="Times New Roman" w:cs="Times New Roman"/>
        </w:rPr>
        <w:lastRenderedPageBreak/>
        <w:t xml:space="preserve">Table </w:t>
      </w:r>
      <w:r w:rsidRPr="00C76162">
        <w:rPr>
          <w:rFonts w:ascii="Times New Roman" w:hAnsi="Times New Roman" w:cs="Times New Roman"/>
        </w:rPr>
        <w:fldChar w:fldCharType="begin"/>
      </w:r>
      <w:r w:rsidRPr="00C76162">
        <w:rPr>
          <w:rFonts w:ascii="Times New Roman" w:hAnsi="Times New Roman" w:cs="Times New Roman"/>
        </w:rPr>
        <w:instrText xml:space="preserve"> SEQ Table \* ARABIC </w:instrText>
      </w:r>
      <w:r w:rsidRPr="00C76162">
        <w:rPr>
          <w:rFonts w:ascii="Times New Roman" w:hAnsi="Times New Roman" w:cs="Times New Roman"/>
        </w:rPr>
        <w:fldChar w:fldCharType="separate"/>
      </w:r>
      <w:r>
        <w:rPr>
          <w:rFonts w:ascii="Times New Roman" w:hAnsi="Times New Roman" w:cs="Times New Roman"/>
          <w:noProof/>
        </w:rPr>
        <w:t>3</w:t>
      </w:r>
      <w:r w:rsidRPr="00C76162">
        <w:rPr>
          <w:rFonts w:ascii="Times New Roman" w:hAnsi="Times New Roman" w:cs="Times New Roman"/>
          <w:noProof/>
        </w:rPr>
        <w:fldChar w:fldCharType="end"/>
      </w:r>
      <w:r w:rsidRPr="00C76162">
        <w:rPr>
          <w:rFonts w:ascii="Times New Roman" w:hAnsi="Times New Roman" w:cs="Times New Roman"/>
        </w:rPr>
        <w:t>. Estimation results of cross-classified multilevel logistic models, DLHE 2012/13-2013/14 (N=38812)</w:t>
      </w:r>
    </w:p>
    <w:tbl>
      <w:tblPr>
        <w:tblStyle w:val="6"/>
        <w:tblW w:w="5000" w:type="pct"/>
        <w:tblLayout w:type="fixed"/>
        <w:tblLook w:val="04A0" w:firstRow="1" w:lastRow="0" w:firstColumn="1" w:lastColumn="0" w:noHBand="0" w:noVBand="1"/>
      </w:tblPr>
      <w:tblGrid>
        <w:gridCol w:w="3539"/>
        <w:gridCol w:w="1843"/>
        <w:gridCol w:w="1890"/>
        <w:gridCol w:w="1744"/>
      </w:tblGrid>
      <w:tr w:rsidR="00CE3B64" w:rsidRPr="00C76162" w:rsidTr="00957F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rPr>
                <w:rFonts w:ascii="Times New Roman" w:hAnsi="Times New Roman" w:cs="Times New Roman"/>
                <w:b w:val="0"/>
              </w:rPr>
            </w:pPr>
          </w:p>
        </w:tc>
        <w:tc>
          <w:tcPr>
            <w:tcW w:w="10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 xml:space="preserve">Model 1: </w:t>
            </w:r>
            <w:proofErr w:type="spellStart"/>
            <w:r w:rsidRPr="003620B2">
              <w:rPr>
                <w:rFonts w:ascii="Times New Roman" w:hAnsi="Times New Roman" w:cs="Times New Roman"/>
                <w:b w:val="0"/>
              </w:rPr>
              <w:t>Null+Individual-level</w:t>
            </w:r>
            <w:proofErr w:type="spellEnd"/>
            <w:r w:rsidRPr="003620B2">
              <w:rPr>
                <w:rFonts w:ascii="Times New Roman" w:hAnsi="Times New Roman" w:cs="Times New Roman"/>
                <w:b w:val="0"/>
              </w:rPr>
              <w:t xml:space="preserve"> variables</w:t>
            </w:r>
          </w:p>
        </w:tc>
        <w:tc>
          <w:tcPr>
            <w:tcW w:w="104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 xml:space="preserve">Model 2: </w:t>
            </w:r>
            <w:r w:rsidRPr="003620B2">
              <w:rPr>
                <w:rFonts w:ascii="Times New Roman" w:hAnsi="Times New Roman" w:cs="Times New Roman"/>
                <w:b w:val="0"/>
              </w:rPr>
              <w:t>M1+Individual-level interactions</w:t>
            </w:r>
          </w:p>
        </w:tc>
        <w:tc>
          <w:tcPr>
            <w:tcW w:w="9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 xml:space="preserve">Model 3:    </w:t>
            </w:r>
            <w:r w:rsidRPr="003620B2">
              <w:rPr>
                <w:rFonts w:ascii="Times New Roman" w:hAnsi="Times New Roman" w:cs="Times New Roman"/>
                <w:b w:val="0"/>
              </w:rPr>
              <w:t>M2+HEI-level variables</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rPr>
                <w:rFonts w:ascii="Times New Roman" w:hAnsi="Times New Roman" w:cs="Times New Roman"/>
                <w:b w:val="0"/>
              </w:rPr>
            </w:pPr>
          </w:p>
        </w:tc>
        <w:tc>
          <w:tcPr>
            <w:tcW w:w="102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Estimate (SE)</w:t>
            </w:r>
          </w:p>
        </w:tc>
        <w:tc>
          <w:tcPr>
            <w:tcW w:w="104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Estimate (SE)</w:t>
            </w:r>
          </w:p>
        </w:tc>
        <w:tc>
          <w:tcPr>
            <w:tcW w:w="9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CE3B64" w:rsidRPr="00C76162" w:rsidRDefault="00CE3B64" w:rsidP="00957F04">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Estimate (SE)</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top w:val="single" w:sz="4" w:space="0" w:color="auto"/>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u w:val="single"/>
              </w:rPr>
            </w:pPr>
            <w:r w:rsidRPr="00C76162">
              <w:rPr>
                <w:rFonts w:ascii="Times New Roman" w:hAnsi="Times New Roman" w:cs="Times New Roman"/>
                <w:u w:val="single"/>
              </w:rPr>
              <w:t>Fixed effects</w:t>
            </w:r>
          </w:p>
        </w:tc>
        <w:tc>
          <w:tcPr>
            <w:tcW w:w="1022" w:type="pct"/>
            <w:tcBorders>
              <w:top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tcBorders>
              <w:top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top w:val="single" w:sz="4" w:space="0" w:color="auto"/>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Intercept</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-1.175 (0.130)**</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-1.258 (0.093)**</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-1.322 (0.139)**</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rPr>
            </w:pPr>
            <w:r w:rsidRPr="00C76162">
              <w:rPr>
                <w:rFonts w:ascii="Times New Roman" w:hAnsi="Times New Roman" w:cs="Times New Roman"/>
              </w:rPr>
              <w:t>Individual-level</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CE3B64" w:rsidP="00957F04">
            <w:pPr>
              <w:spacing w:before="100" w:beforeAutospacing="1" w:after="100" w:afterAutospacing="1" w:line="240" w:lineRule="auto"/>
              <w:jc w:val="left"/>
              <w:rPr>
                <w:rFonts w:ascii="Times New Roman" w:hAnsi="Times New Roman" w:cs="Times New Roman"/>
                <w:b w:val="0"/>
              </w:rPr>
            </w:pPr>
            <w:r w:rsidRPr="0094421F">
              <w:rPr>
                <w:rFonts w:ascii="Times New Roman" w:hAnsi="Times New Roman" w:cs="Times New Roman"/>
                <w:b w:val="0"/>
              </w:rPr>
              <w:t>Age-gm</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0.038 (0.004)**</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0.038 (0.004)**</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0.038 (0.005)**</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955638" w:rsidP="00957F04">
            <w:pPr>
              <w:spacing w:before="100" w:beforeAutospacing="1" w:after="100" w:afterAutospacing="1" w:line="240" w:lineRule="auto"/>
              <w:jc w:val="left"/>
              <w:rPr>
                <w:rFonts w:ascii="Times New Roman" w:hAnsi="Times New Roman" w:cs="Times New Roman"/>
                <w:b w:val="0"/>
              </w:rPr>
            </w:pPr>
            <m:oMathPara>
              <m:oMathParaPr>
                <m:jc m:val="left"/>
              </m:oMathParaPr>
              <m:oMath>
                <m:sSup>
                  <m:sSupPr>
                    <m:ctrlPr>
                      <w:rPr>
                        <w:rFonts w:ascii="Cambria Math" w:hAnsi="Cambria Math" w:cs="Times New Roman"/>
                        <w:b w:val="0"/>
                        <w:bCs w:val="0"/>
                      </w:rPr>
                    </m:ctrlPr>
                  </m:sSupPr>
                  <m:e>
                    <m:r>
                      <m:rPr>
                        <m:sty m:val="b"/>
                      </m:rPr>
                      <w:rPr>
                        <w:rFonts w:ascii="Cambria Math" w:hAnsi="Cambria Math" w:cs="Times New Roman"/>
                      </w:rPr>
                      <m:t>(Age-gm)</m:t>
                    </m:r>
                  </m:e>
                  <m:sup>
                    <m:r>
                      <m:rPr>
                        <m:sty m:val="bi"/>
                      </m:rPr>
                      <w:rPr>
                        <w:rFonts w:ascii="Cambria Math" w:hAnsi="Cambria Math" w:cs="Times New Roman"/>
                      </w:rPr>
                      <m:t>2</m:t>
                    </m:r>
                  </m:sup>
                </m:sSup>
              </m:oMath>
            </m:oMathPara>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-0.009 (0.001)**</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-0.009 (0.001)**</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-0.009 (0.001)**</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955638" w:rsidP="00957F04">
            <w:pPr>
              <w:spacing w:before="100" w:beforeAutospacing="1" w:after="100" w:afterAutospacing="1" w:line="240" w:lineRule="auto"/>
              <w:jc w:val="left"/>
              <w:rPr>
                <w:rFonts w:ascii="Times New Roman" w:hAnsi="Times New Roman" w:cs="Times New Roman"/>
                <w:b w:val="0"/>
              </w:rPr>
            </w:pPr>
            <m:oMathPara>
              <m:oMathParaPr>
                <m:jc m:val="left"/>
              </m:oMathParaPr>
              <m:oMath>
                <m:sSup>
                  <m:sSupPr>
                    <m:ctrlPr>
                      <w:rPr>
                        <w:rFonts w:ascii="Cambria Math" w:hAnsi="Cambria Math" w:cs="Times New Roman"/>
                        <w:b w:val="0"/>
                        <w:bCs w:val="0"/>
                      </w:rPr>
                    </m:ctrlPr>
                  </m:sSupPr>
                  <m:e>
                    <m:r>
                      <m:rPr>
                        <m:sty m:val="b"/>
                      </m:rPr>
                      <w:rPr>
                        <w:rFonts w:ascii="Cambria Math" w:hAnsi="Cambria Math" w:cs="Times New Roman"/>
                      </w:rPr>
                      <m:t>(Age-gm)</m:t>
                    </m:r>
                  </m:e>
                  <m:sup>
                    <m:r>
                      <m:rPr>
                        <m:sty m:val="bi"/>
                      </m:rPr>
                      <w:rPr>
                        <w:rFonts w:ascii="Cambria Math" w:hAnsi="Cambria Math" w:cs="Times New Roman"/>
                      </w:rPr>
                      <m:t>3</m:t>
                    </m:r>
                  </m:sup>
                </m:sSup>
              </m:oMath>
            </m:oMathPara>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2.38×</w:t>
            </w:r>
            <w:r w:rsidRPr="00C76162">
              <w:rPr>
                <w:rFonts w:ascii="Times New Roman" w:hAnsi="Times New Roman" w:cs="Times New Roman"/>
                <w:color w:val="auto"/>
              </w:rPr>
              <w:t>10</w:t>
            </w:r>
            <w:r w:rsidRPr="00C76162">
              <w:rPr>
                <w:rFonts w:ascii="Times New Roman" w:hAnsi="Times New Roman" w:cs="Times New Roman"/>
                <w:vertAlign w:val="superscript"/>
              </w:rPr>
              <w:t>-4</w:t>
            </w:r>
            <w:r w:rsidRPr="00C76162">
              <w:rPr>
                <w:rFonts w:ascii="Times New Roman" w:hAnsi="Times New Roman" w:cs="Times New Roman"/>
              </w:rPr>
              <w:t xml:space="preserve"> (2.86×</w:t>
            </w:r>
            <w:r w:rsidRPr="00C76162">
              <w:rPr>
                <w:rFonts w:ascii="Times New Roman" w:hAnsi="Times New Roman" w:cs="Times New Roman"/>
                <w:color w:val="auto"/>
              </w:rPr>
              <w:t>10</w:t>
            </w:r>
            <w:r w:rsidRPr="00C76162">
              <w:rPr>
                <w:rFonts w:ascii="Times New Roman" w:hAnsi="Times New Roman" w:cs="Times New Roman"/>
                <w:vertAlign w:val="superscript"/>
              </w:rPr>
              <w:t>-5</w:t>
            </w:r>
            <w:r w:rsidRPr="00C76162">
              <w:rPr>
                <w:rFonts w:ascii="Times New Roman" w:hAnsi="Times New Roman" w:cs="Times New Roman"/>
              </w:rPr>
              <w:t>)**</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2.26</w:t>
            </w:r>
            <w:r w:rsidRPr="00C76162">
              <w:rPr>
                <w:rFonts w:ascii="Times New Roman" w:hAnsi="Times New Roman" w:cs="Times New Roman"/>
                <w:color w:val="auto"/>
              </w:rPr>
              <w:t>×10</w:t>
            </w:r>
            <w:r w:rsidRPr="00C76162">
              <w:rPr>
                <w:rFonts w:ascii="Times New Roman" w:hAnsi="Times New Roman" w:cs="Times New Roman"/>
                <w:vertAlign w:val="superscript"/>
              </w:rPr>
              <w:t>-4</w:t>
            </w:r>
            <w:r w:rsidRPr="00C76162">
              <w:rPr>
                <w:rFonts w:ascii="Times New Roman" w:hAnsi="Times New Roman" w:cs="Times New Roman"/>
              </w:rPr>
              <w:t xml:space="preserve"> (2.57</w:t>
            </w:r>
            <w:r w:rsidRPr="00C76162">
              <w:rPr>
                <w:rFonts w:ascii="Times New Roman" w:hAnsi="Times New Roman" w:cs="Times New Roman"/>
                <w:color w:val="auto"/>
              </w:rPr>
              <w:t>×10</w:t>
            </w:r>
            <w:r w:rsidRPr="00C76162">
              <w:rPr>
                <w:rFonts w:ascii="Times New Roman" w:hAnsi="Times New Roman" w:cs="Times New Roman"/>
                <w:vertAlign w:val="superscript"/>
              </w:rPr>
              <w:t>-5</w:t>
            </w:r>
            <w:r w:rsidRPr="00C76162">
              <w:rPr>
                <w:rFonts w:ascii="Times New Roman" w:hAnsi="Times New Roman" w:cs="Times New Roman"/>
              </w:rPr>
              <w:t>)**</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2.27</w:t>
            </w:r>
            <w:r w:rsidRPr="00C76162">
              <w:rPr>
                <w:rFonts w:ascii="Times New Roman" w:hAnsi="Times New Roman" w:cs="Times New Roman"/>
                <w:color w:val="auto"/>
              </w:rPr>
              <w:t>×10</w:t>
            </w:r>
            <w:r w:rsidRPr="00C76162">
              <w:rPr>
                <w:rFonts w:ascii="Times New Roman" w:hAnsi="Times New Roman" w:cs="Times New Roman"/>
                <w:vertAlign w:val="superscript"/>
              </w:rPr>
              <w:t>-4</w:t>
            </w:r>
            <w:r w:rsidRPr="00C76162">
              <w:rPr>
                <w:rFonts w:ascii="Times New Roman" w:hAnsi="Times New Roman" w:cs="Times New Roman"/>
              </w:rPr>
              <w:t xml:space="preserve"> (2.68</w:t>
            </w:r>
            <w:r w:rsidRPr="00C76162">
              <w:rPr>
                <w:rFonts w:ascii="Times New Roman" w:hAnsi="Times New Roman" w:cs="Times New Roman"/>
                <w:color w:val="auto"/>
              </w:rPr>
              <w:t>×10</w:t>
            </w:r>
            <w:r w:rsidRPr="00C76162">
              <w:rPr>
                <w:rFonts w:ascii="Times New Roman" w:hAnsi="Times New Roman" w:cs="Times New Roman"/>
                <w:vertAlign w:val="superscript"/>
              </w:rPr>
              <w:t>-5</w:t>
            </w:r>
            <w:r w:rsidRPr="00C76162">
              <w:rPr>
                <w:rFonts w:ascii="Times New Roman" w:hAnsi="Times New Roman" w:cs="Times New Roman"/>
              </w:rPr>
              <w:t>)**</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eastAsia="DengXian" w:hAnsi="Times New Roman" w:cs="Times New Roman"/>
                <w:b w:val="0"/>
                <w:bCs w:val="0"/>
              </w:rPr>
            </w:pP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Female (ref: male)</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0.088 (0.027)**</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0.217 (0.048)**</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0.217 (0.052)**</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Doctoral (ref: masters)</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1.336 (0.044)**</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1.433 (0.054)**</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1.438 (0.056)**</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Subject Area</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(ref: other non-STEM)</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STEM</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0.468 (0.040)**</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0.568 (0.048)**</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0.573 (0.054)**</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BAS</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0.298 (0.041)**</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0.357 (0.050)**</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0.364 (0.058)**</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r w:rsidRPr="00C76162">
              <w:rPr>
                <w:rFonts w:ascii="Times New Roman" w:hAnsi="Times New Roman" w:cs="Times New Roman"/>
                <w:b w:val="0"/>
              </w:rPr>
              <w:t>Full-time (ref: part-time)</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-0.372 (0.064)**</w:t>
            </w: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-0.370 (0.057)**</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-0.357 (0.059)**</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rPr>
            </w:pPr>
            <w:r w:rsidRPr="00C76162">
              <w:rPr>
                <w:rFonts w:ascii="Times New Roman" w:hAnsi="Times New Roman" w:cs="Times New Roman"/>
              </w:rPr>
              <w:t>Interactions with gender</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proofErr w:type="spellStart"/>
            <w:r w:rsidRPr="00C76162">
              <w:rPr>
                <w:rFonts w:ascii="Times New Roman" w:hAnsi="Times New Roman" w:cs="Times New Roman"/>
                <w:b w:val="0"/>
              </w:rPr>
              <w:t>Doctoral×female</w:t>
            </w:r>
            <w:proofErr w:type="spellEnd"/>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-0.244 (0.082)**</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-0.242 (0.079)**</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proofErr w:type="spellStart"/>
            <w:r w:rsidRPr="00C76162">
              <w:rPr>
                <w:rFonts w:ascii="Times New Roman" w:hAnsi="Times New Roman" w:cs="Times New Roman"/>
                <w:b w:val="0"/>
              </w:rPr>
              <w:t>STEM×female</w:t>
            </w:r>
            <w:proofErr w:type="spellEnd"/>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-0.176 (0.066)**</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-0.179 (0.069)**</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proofErr w:type="spellStart"/>
            <w:r w:rsidRPr="00C76162">
              <w:rPr>
                <w:rFonts w:ascii="Times New Roman" w:hAnsi="Times New Roman" w:cs="Times New Roman"/>
                <w:b w:val="0"/>
              </w:rPr>
              <w:t>BAS×female</w:t>
            </w:r>
            <w:proofErr w:type="spellEnd"/>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-0.076 (0.065)</w:t>
            </w: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-0.079 (0.071)</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rPr>
            </w:pPr>
            <w:r w:rsidRPr="00C76162">
              <w:rPr>
                <w:rFonts w:ascii="Times New Roman" w:hAnsi="Times New Roman" w:cs="Times New Roman"/>
              </w:rPr>
              <w:t>HEI-level</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Russell Group University</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-0.557 (0.150)**</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(ref: other universities)</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Greater London Area HEI</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0.571 (0.140)**</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ind w:firstLine="165"/>
              <w:jc w:val="left"/>
              <w:rPr>
                <w:rFonts w:ascii="Times New Roman" w:hAnsi="Times New Roman" w:cs="Times New Roman"/>
                <w:b w:val="0"/>
              </w:rPr>
            </w:pPr>
            <w:r w:rsidRPr="00C76162">
              <w:rPr>
                <w:rFonts w:ascii="Times New Roman" w:hAnsi="Times New Roman" w:cs="Times New Roman"/>
                <w:b w:val="0"/>
              </w:rPr>
              <w:t>(ref: HEIs in other areas)</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u w:val="single"/>
              </w:rPr>
            </w:pPr>
            <w:r w:rsidRPr="00C76162">
              <w:rPr>
                <w:rFonts w:ascii="Times New Roman" w:hAnsi="Times New Roman" w:cs="Times New Roman"/>
                <w:u w:val="single"/>
              </w:rPr>
              <w:t>Random effects</w:t>
            </w:r>
          </w:p>
        </w:tc>
        <w:tc>
          <w:tcPr>
            <w:tcW w:w="1022"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CE3B64" w:rsidP="00957F04">
            <w:pPr>
              <w:spacing w:before="100" w:beforeAutospacing="1" w:after="100" w:afterAutospacing="1" w:line="240" w:lineRule="auto"/>
              <w:jc w:val="left"/>
              <w:rPr>
                <w:rFonts w:ascii="Times New Roman" w:hAnsi="Times New Roman" w:cs="Times New Roman"/>
                <w:b w:val="0"/>
              </w:rPr>
            </w:pPr>
            <w:r w:rsidRPr="0094421F">
              <w:rPr>
                <w:rFonts w:ascii="Times New Roman" w:hAnsi="Times New Roman" w:cs="Times New Roman"/>
                <w:b w:val="0"/>
              </w:rPr>
              <w:t>Domicile-level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u(3)</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022"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0.787 (0.132)</w:t>
            </w:r>
          </w:p>
        </w:tc>
        <w:tc>
          <w:tcPr>
            <w:tcW w:w="1048"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0.783 (0.131)</w:t>
            </w:r>
          </w:p>
        </w:tc>
        <w:tc>
          <w:tcPr>
            <w:tcW w:w="967" w:type="pct"/>
            <w:tcBorders>
              <w:right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0.789 (0.132)</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CE3B64" w:rsidP="00957F04">
            <w:pPr>
              <w:spacing w:before="100" w:beforeAutospacing="1" w:after="100" w:afterAutospacing="1" w:line="240" w:lineRule="auto"/>
              <w:jc w:val="left"/>
              <w:rPr>
                <w:rFonts w:ascii="Times New Roman" w:hAnsi="Times New Roman" w:cs="Times New Roman"/>
                <w:b w:val="0"/>
              </w:rPr>
            </w:pPr>
            <w:r w:rsidRPr="0094421F">
              <w:rPr>
                <w:rFonts w:ascii="Times New Roman" w:hAnsi="Times New Roman" w:cs="Times New Roman"/>
                <w:b w:val="0"/>
              </w:rPr>
              <w:t>HEI-level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u(2)</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022"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0.582 (0.090)</w:t>
            </w:r>
          </w:p>
        </w:tc>
        <w:tc>
          <w:tcPr>
            <w:tcW w:w="1048"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0.581 (0.089)</w:t>
            </w:r>
          </w:p>
        </w:tc>
        <w:tc>
          <w:tcPr>
            <w:tcW w:w="967" w:type="pct"/>
            <w:tcBorders>
              <w:right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0.430 (0.072)</w:t>
            </w: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94421F" w:rsidRDefault="00CE3B64" w:rsidP="00957F04">
            <w:pPr>
              <w:spacing w:before="100" w:beforeAutospacing="1" w:after="100" w:afterAutospacing="1" w:line="240" w:lineRule="auto"/>
              <w:jc w:val="left"/>
              <w:rPr>
                <w:rFonts w:ascii="Times New Roman" w:eastAsia="DengXian" w:hAnsi="Times New Roman" w:cs="Times New Roman"/>
                <w:b w:val="0"/>
              </w:rPr>
            </w:pPr>
            <w:r w:rsidRPr="0094421F">
              <w:rPr>
                <w:rFonts w:ascii="Times New Roman" w:hAnsi="Times New Roman" w:cs="Times New Roman"/>
                <w:b w:val="0"/>
              </w:rPr>
              <w:t>Individual-level variance (</w:t>
            </w:r>
            <m:oMath>
              <m:sSubSup>
                <m:sSubSupPr>
                  <m:ctrlPr>
                    <w:rPr>
                      <w:rFonts w:ascii="Cambria Math" w:hAnsi="Cambria Math" w:cs="Times New Roman"/>
                      <w:b w:val="0"/>
                      <w:bCs w:val="0"/>
                      <w:i/>
                    </w:rPr>
                  </m:ctrlPr>
                </m:sSubSupPr>
                <m:e>
                  <m:r>
                    <m:rPr>
                      <m:sty m:val="bi"/>
                    </m:rPr>
                    <w:rPr>
                      <w:rFonts w:ascii="Cambria Math" w:hAnsi="Cambria Math" w:cs="Times New Roman"/>
                    </w:rPr>
                    <m:t>σ</m:t>
                  </m:r>
                </m:e>
                <m:sub>
                  <m:r>
                    <m:rPr>
                      <m:sty m:val="bi"/>
                    </m:rPr>
                    <w:rPr>
                      <w:rFonts w:ascii="Cambria Math" w:hAnsi="Cambria Math" w:cs="Times New Roman"/>
                    </w:rPr>
                    <m:t>e</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022" w:type="pct"/>
            <w:shd w:val="clear" w:color="auto" w:fill="FFFFFF" w:themeFill="background1"/>
            <w:vAlign w:val="center"/>
          </w:tcPr>
          <w:p w:rsidR="00CE3B64" w:rsidRPr="00C76162" w:rsidRDefault="00957F0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048" w:type="pct"/>
            <w:shd w:val="clear" w:color="auto" w:fill="FFFFFF" w:themeFill="background1"/>
            <w:vAlign w:val="center"/>
          </w:tcPr>
          <w:p w:rsidR="00CE3B64" w:rsidRPr="00C76162" w:rsidRDefault="00957F0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967" w:type="pct"/>
            <w:tcBorders>
              <w:right w:val="single" w:sz="4" w:space="0" w:color="auto"/>
            </w:tcBorders>
            <w:shd w:val="clear" w:color="auto" w:fill="FFFFFF" w:themeFill="background1"/>
            <w:vAlign w:val="center"/>
          </w:tcPr>
          <w:p w:rsidR="00CE3B64" w:rsidRPr="00C76162" w:rsidRDefault="00957F0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1963" w:type="pct"/>
            <w:tcBorders>
              <w:left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b w:val="0"/>
              </w:rPr>
            </w:pPr>
          </w:p>
        </w:tc>
        <w:tc>
          <w:tcPr>
            <w:tcW w:w="1022"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48" w:type="pct"/>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7" w:type="pct"/>
            <w:tcBorders>
              <w:right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C76162"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63" w:type="pct"/>
            <w:tcBorders>
              <w:top w:val="nil"/>
              <w:left w:val="single" w:sz="4" w:space="0" w:color="auto"/>
              <w:bottom w:val="single" w:sz="4" w:space="0" w:color="auto"/>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rPr>
            </w:pPr>
            <w:r w:rsidRPr="00C76162">
              <w:rPr>
                <w:rFonts w:ascii="Times New Roman" w:hAnsi="Times New Roman" w:cs="Times New Roman"/>
              </w:rPr>
              <w:t>Goodness of Fit (DIC)</w:t>
            </w:r>
          </w:p>
        </w:tc>
        <w:tc>
          <w:tcPr>
            <w:tcW w:w="1022" w:type="pct"/>
            <w:tcBorders>
              <w:top w:val="nil"/>
              <w:bottom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34686.572</w:t>
            </w:r>
          </w:p>
        </w:tc>
        <w:tc>
          <w:tcPr>
            <w:tcW w:w="1048" w:type="pct"/>
            <w:tcBorders>
              <w:top w:val="nil"/>
              <w:bottom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34666.989</w:t>
            </w:r>
          </w:p>
        </w:tc>
        <w:tc>
          <w:tcPr>
            <w:tcW w:w="967" w:type="pct"/>
            <w:tcBorders>
              <w:top w:val="nil"/>
              <w:bottom w:val="single" w:sz="4" w:space="0" w:color="auto"/>
              <w:right w:val="single" w:sz="4" w:space="0" w:color="auto"/>
            </w:tcBorders>
            <w:shd w:val="clear" w:color="auto" w:fill="FFFFFF" w:themeFill="background1"/>
            <w:vAlign w:val="center"/>
          </w:tcPr>
          <w:p w:rsidR="00CE3B64" w:rsidRPr="00C76162" w:rsidRDefault="00CE3B64" w:rsidP="003A65E1">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76162">
              <w:rPr>
                <w:rFonts w:ascii="Times New Roman" w:hAnsi="Times New Roman" w:cs="Times New Roman"/>
              </w:rPr>
              <w:t>34673.734</w:t>
            </w:r>
          </w:p>
        </w:tc>
      </w:tr>
      <w:tr w:rsidR="00CE3B64" w:rsidRPr="00C76162" w:rsidTr="00957F04">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nil"/>
              <w:bottom w:val="nil"/>
              <w:right w:val="nil"/>
            </w:tcBorders>
            <w:shd w:val="clear" w:color="auto" w:fill="FFFFFF" w:themeFill="background1"/>
            <w:vAlign w:val="center"/>
          </w:tcPr>
          <w:p w:rsidR="00CE3B64" w:rsidRPr="00C76162" w:rsidRDefault="00CE3B64" w:rsidP="00957F04">
            <w:pPr>
              <w:spacing w:before="100" w:beforeAutospacing="1" w:after="100" w:afterAutospacing="1" w:line="240" w:lineRule="auto"/>
              <w:jc w:val="left"/>
              <w:rPr>
                <w:rFonts w:ascii="Times New Roman" w:hAnsi="Times New Roman" w:cs="Times New Roman"/>
              </w:rPr>
            </w:pPr>
            <w:r w:rsidRPr="00C76162">
              <w:rPr>
                <w:rFonts w:ascii="Times New Roman" w:hAnsi="Times New Roman" w:cs="Times New Roman"/>
                <w:b w:val="0"/>
              </w:rPr>
              <w:t xml:space="preserve">* </w:t>
            </w:r>
            <w:r w:rsidRPr="00C76162">
              <w:rPr>
                <w:rFonts w:ascii="Times New Roman" w:hAnsi="Times New Roman" w:cs="Times New Roman"/>
                <w:b w:val="0"/>
                <w:i/>
              </w:rPr>
              <w:t>p</w:t>
            </w:r>
            <w:r w:rsidRPr="00C76162">
              <w:rPr>
                <w:rFonts w:ascii="Times New Roman" w:hAnsi="Times New Roman" w:cs="Times New Roman"/>
                <w:b w:val="0"/>
              </w:rPr>
              <w:t xml:space="preserve"> &lt; 0.05, ** </w:t>
            </w:r>
            <w:r w:rsidRPr="00C76162">
              <w:rPr>
                <w:rFonts w:ascii="Times New Roman" w:hAnsi="Times New Roman" w:cs="Times New Roman"/>
                <w:b w:val="0"/>
                <w:i/>
              </w:rPr>
              <w:t>p</w:t>
            </w:r>
            <w:r w:rsidRPr="00C76162">
              <w:rPr>
                <w:rFonts w:ascii="Times New Roman" w:hAnsi="Times New Roman" w:cs="Times New Roman"/>
                <w:b w:val="0"/>
              </w:rPr>
              <w:t xml:space="preserve"> &lt; 0.01</w:t>
            </w:r>
          </w:p>
        </w:tc>
      </w:tr>
    </w:tbl>
    <w:p w:rsidR="00CE3B64" w:rsidRDefault="00CE3B64">
      <w:pPr>
        <w:spacing w:line="259" w:lineRule="auto"/>
        <w:jc w:val="left"/>
        <w:rPr>
          <w:rFonts w:ascii="Times New Roman" w:hAnsi="Times New Roman" w:cs="Times New Roman"/>
        </w:rPr>
      </w:pPr>
    </w:p>
    <w:p w:rsidR="00CE3B64" w:rsidRDefault="00CE3B64">
      <w:pPr>
        <w:spacing w:line="259" w:lineRule="auto"/>
        <w:jc w:val="left"/>
        <w:rPr>
          <w:rFonts w:ascii="Times New Roman" w:hAnsi="Times New Roman" w:cs="Times New Roman"/>
        </w:rPr>
      </w:pPr>
    </w:p>
    <w:p w:rsidR="00CE3B64" w:rsidRDefault="00CE3B64">
      <w:pPr>
        <w:spacing w:line="259" w:lineRule="auto"/>
        <w:jc w:val="left"/>
        <w:rPr>
          <w:rFonts w:ascii="Times New Roman" w:hAnsi="Times New Roman" w:cs="Times New Roman"/>
        </w:rPr>
      </w:pPr>
    </w:p>
    <w:p w:rsidR="00CE3B64" w:rsidRDefault="00CE3B64">
      <w:pPr>
        <w:spacing w:line="259" w:lineRule="auto"/>
        <w:jc w:val="left"/>
        <w:rPr>
          <w:rFonts w:ascii="Times New Roman" w:hAnsi="Times New Roman" w:cs="Times New Roman"/>
        </w:rPr>
      </w:pPr>
    </w:p>
    <w:p w:rsidR="00CE3B64" w:rsidRDefault="00CE3B64">
      <w:pPr>
        <w:spacing w:line="259" w:lineRule="auto"/>
        <w:jc w:val="left"/>
        <w:rPr>
          <w:rFonts w:ascii="Times New Roman" w:hAnsi="Times New Roman" w:cs="Times New Roman"/>
        </w:rPr>
      </w:pPr>
      <w:r>
        <w:rPr>
          <w:rFonts w:ascii="Times New Roman" w:hAnsi="Times New Roman" w:cs="Times New Roman"/>
        </w:rPr>
        <w:br w:type="page"/>
      </w:r>
    </w:p>
    <w:p w:rsidR="00CE3B64" w:rsidRDefault="00CE3B64">
      <w:pPr>
        <w:rPr>
          <w:rFonts w:ascii="Times New Roman" w:hAnsi="Times New Roman" w:cs="Times New Roman"/>
        </w:rPr>
        <w:sectPr w:rsidR="00CE3B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CE3B64" w:rsidRDefault="00CE3B64" w:rsidP="00957F04">
      <w:pPr>
        <w:pStyle w:val="a3"/>
        <w:rPr>
          <w:rFonts w:ascii="Times New Roman" w:hAnsi="Times New Roman" w:cs="Times New Roman"/>
        </w:rPr>
      </w:pPr>
      <w:r>
        <w:lastRenderedPageBreak/>
        <w:t xml:space="preserve">Table </w:t>
      </w:r>
      <w:fldSimple w:instr=" SEQ Table \* ARABIC ">
        <w:r>
          <w:rPr>
            <w:noProof/>
          </w:rPr>
          <w:t>4</w:t>
        </w:r>
      </w:fldSimple>
      <w:r>
        <w:t>. Cross-classified multilevel logistic models describing association between domicile-level predictors and binary location of employment outcome</w:t>
      </w:r>
    </w:p>
    <w:tbl>
      <w:tblPr>
        <w:tblStyle w:val="6"/>
        <w:tblW w:w="0" w:type="auto"/>
        <w:tblLayout w:type="fixed"/>
        <w:tblLook w:val="04A0" w:firstRow="1" w:lastRow="0" w:firstColumn="1" w:lastColumn="0" w:noHBand="0" w:noVBand="1"/>
      </w:tblPr>
      <w:tblGrid>
        <w:gridCol w:w="3969"/>
        <w:gridCol w:w="1560"/>
        <w:gridCol w:w="1701"/>
        <w:gridCol w:w="1701"/>
        <w:gridCol w:w="1701"/>
        <w:gridCol w:w="1701"/>
        <w:gridCol w:w="1625"/>
      </w:tblGrid>
      <w:tr w:rsidR="00CE3B64" w:rsidRPr="002F6EBB" w:rsidTr="002A3EA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nil"/>
              <w:right w:val="nil"/>
            </w:tcBorders>
            <w:shd w:val="clear" w:color="auto" w:fill="E7E6E6" w:themeFill="background2"/>
            <w:vAlign w:val="center"/>
          </w:tcPr>
          <w:p w:rsidR="00CE3B64" w:rsidRPr="002F6EBB" w:rsidRDefault="00CE3B64" w:rsidP="00957F04">
            <w:pPr>
              <w:spacing w:line="240" w:lineRule="auto"/>
              <w:jc w:val="center"/>
              <w:rPr>
                <w:rFonts w:ascii="Times New Roman" w:hAnsi="Times New Roman" w:cs="Times New Roman"/>
                <w:b w:val="0"/>
              </w:rPr>
            </w:pPr>
          </w:p>
        </w:tc>
        <w:tc>
          <w:tcPr>
            <w:tcW w:w="1560" w:type="dxa"/>
            <w:tcBorders>
              <w:top w:val="single" w:sz="4" w:space="0" w:color="auto"/>
              <w:left w:val="nil"/>
              <w:bottom w:val="single" w:sz="4" w:space="0" w:color="auto"/>
              <w:right w:val="nil"/>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M4:M3+GDP per capita</w:t>
            </w:r>
          </w:p>
        </w:tc>
        <w:tc>
          <w:tcPr>
            <w:tcW w:w="1701" w:type="dxa"/>
            <w:tcBorders>
              <w:top w:val="single" w:sz="4" w:space="0" w:color="auto"/>
              <w:left w:val="nil"/>
              <w:bottom w:val="single" w:sz="4" w:space="0" w:color="auto"/>
              <w:right w:val="nil"/>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M5:M3+Unemp-loyment</w:t>
            </w:r>
          </w:p>
        </w:tc>
        <w:tc>
          <w:tcPr>
            <w:tcW w:w="1701" w:type="dxa"/>
            <w:tcBorders>
              <w:top w:val="single" w:sz="4" w:space="0" w:color="auto"/>
              <w:left w:val="nil"/>
              <w:bottom w:val="single" w:sz="4" w:space="0" w:color="auto"/>
              <w:right w:val="nil"/>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M6:M3+Youth unemployment</w:t>
            </w:r>
          </w:p>
        </w:tc>
        <w:tc>
          <w:tcPr>
            <w:tcW w:w="1701" w:type="dxa"/>
            <w:tcBorders>
              <w:top w:val="single" w:sz="4" w:space="0" w:color="auto"/>
              <w:left w:val="nil"/>
              <w:bottom w:val="single" w:sz="4" w:space="0" w:color="auto"/>
              <w:right w:val="nil"/>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M7:M3+English Marker (native)</w:t>
            </w:r>
          </w:p>
        </w:tc>
        <w:tc>
          <w:tcPr>
            <w:tcW w:w="1701" w:type="dxa"/>
            <w:tcBorders>
              <w:top w:val="single" w:sz="4" w:space="0" w:color="auto"/>
              <w:left w:val="nil"/>
              <w:bottom w:val="single" w:sz="4" w:space="0" w:color="auto"/>
              <w:right w:val="nil"/>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M8:M3+English Marker (official)</w:t>
            </w:r>
          </w:p>
        </w:tc>
        <w:tc>
          <w:tcPr>
            <w:tcW w:w="1625" w:type="dxa"/>
            <w:tcBorders>
              <w:top w:val="single" w:sz="4" w:space="0" w:color="auto"/>
              <w:left w:val="nil"/>
              <w:bottom w:val="single" w:sz="4" w:space="0" w:color="auto"/>
            </w:tcBorders>
            <w:shd w:val="clear" w:color="auto" w:fill="E7E6E6" w:themeFill="background2"/>
          </w:tcPr>
          <w:p w:rsidR="00CE3B64" w:rsidRPr="002F6EBB" w:rsidRDefault="00CE3B64" w:rsidP="00957F0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M9:M3+Colonial affiliation</w:t>
            </w: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E7E6E6" w:themeFill="background2"/>
            <w:vAlign w:val="center"/>
          </w:tcPr>
          <w:p w:rsidR="00CE3B64" w:rsidRPr="002F6EBB" w:rsidRDefault="00CE3B64" w:rsidP="00957F04">
            <w:pPr>
              <w:spacing w:line="240" w:lineRule="auto"/>
              <w:jc w:val="center"/>
              <w:rPr>
                <w:rFonts w:ascii="Times New Roman" w:hAnsi="Times New Roman" w:cs="Times New Roman"/>
                <w:b w:val="0"/>
              </w:rPr>
            </w:pPr>
          </w:p>
        </w:tc>
        <w:tc>
          <w:tcPr>
            <w:tcW w:w="1560" w:type="dxa"/>
            <w:tcBorders>
              <w:top w:val="single" w:sz="4" w:space="0" w:color="auto"/>
              <w:left w:val="nil"/>
              <w:bottom w:val="single" w:sz="4" w:space="0" w:color="auto"/>
              <w:right w:val="nil"/>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c>
          <w:tcPr>
            <w:tcW w:w="1701" w:type="dxa"/>
            <w:tcBorders>
              <w:top w:val="single" w:sz="4" w:space="0" w:color="auto"/>
              <w:left w:val="nil"/>
              <w:bottom w:val="single" w:sz="4" w:space="0" w:color="auto"/>
              <w:right w:val="nil"/>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c>
          <w:tcPr>
            <w:tcW w:w="1701" w:type="dxa"/>
            <w:tcBorders>
              <w:top w:val="single" w:sz="4" w:space="0" w:color="auto"/>
              <w:left w:val="nil"/>
              <w:bottom w:val="single" w:sz="4" w:space="0" w:color="auto"/>
              <w:right w:val="nil"/>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c>
          <w:tcPr>
            <w:tcW w:w="1701" w:type="dxa"/>
            <w:tcBorders>
              <w:top w:val="single" w:sz="4" w:space="0" w:color="auto"/>
              <w:left w:val="nil"/>
              <w:bottom w:val="single" w:sz="4" w:space="0" w:color="auto"/>
              <w:right w:val="nil"/>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c>
          <w:tcPr>
            <w:tcW w:w="1701" w:type="dxa"/>
            <w:tcBorders>
              <w:top w:val="single" w:sz="4" w:space="0" w:color="auto"/>
              <w:left w:val="nil"/>
              <w:bottom w:val="single" w:sz="4" w:space="0" w:color="auto"/>
              <w:right w:val="nil"/>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c>
          <w:tcPr>
            <w:tcW w:w="1625" w:type="dxa"/>
            <w:tcBorders>
              <w:top w:val="single" w:sz="4" w:space="0" w:color="auto"/>
              <w:left w:val="nil"/>
              <w:bottom w:val="single" w:sz="4" w:space="0" w:color="auto"/>
            </w:tcBorders>
            <w:shd w:val="clear" w:color="auto" w:fill="E7E6E6" w:themeFill="background2"/>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Estimate (SE)</w:t>
            </w: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rPr>
            </w:pPr>
            <w:r w:rsidRPr="002F6EBB">
              <w:rPr>
                <w:rFonts w:ascii="Times New Roman" w:hAnsi="Times New Roman" w:cs="Times New Roman"/>
              </w:rPr>
              <w:t xml:space="preserve">Domicile-level </w:t>
            </w:r>
          </w:p>
        </w:tc>
        <w:tc>
          <w:tcPr>
            <w:tcW w:w="1560" w:type="dxa"/>
            <w:tcBorders>
              <w:top w:val="single" w:sz="4" w:space="0" w:color="auto"/>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single" w:sz="4" w:space="0" w:color="auto"/>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single" w:sz="4" w:space="0" w:color="auto"/>
              <w:left w:val="nil"/>
              <w:bottom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GDP per capita, PPP</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-0.006 (0.004)</w:t>
            </w: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Unemployment rate</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0.018 (0.014)</w:t>
            </w: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Unemployment rate, Youth</w:t>
            </w:r>
          </w:p>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 of total labour force ages 15-24)</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0.013 (0.007)</w:t>
            </w: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Majority native English speaking country</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0.080 (0.296)</w:t>
            </w: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English as official language country</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-0.202 (0.181)</w:t>
            </w: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rPr>
              <w:t>Commonwealth affiliation</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-0.167 (0.195)</w:t>
            </w: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rPr>
            </w:pP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u w:val="single"/>
              </w:rPr>
            </w:pPr>
            <w:r w:rsidRPr="002F6EBB">
              <w:rPr>
                <w:rFonts w:ascii="Times New Roman" w:hAnsi="Times New Roman" w:cs="Times New Roman"/>
                <w:u w:val="single"/>
              </w:rPr>
              <w:t>Random effects</w:t>
            </w:r>
          </w:p>
        </w:tc>
        <w:tc>
          <w:tcPr>
            <w:tcW w:w="1560"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Pr="002F6EBB" w:rsidRDefault="00CE3B64" w:rsidP="00957F0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94421F" w:rsidRDefault="00CE3B64" w:rsidP="00957F04">
            <w:pPr>
              <w:spacing w:line="240" w:lineRule="auto"/>
              <w:jc w:val="left"/>
              <w:rPr>
                <w:rFonts w:ascii="Times New Roman" w:hAnsi="Times New Roman" w:cs="Times New Roman"/>
                <w:b w:val="0"/>
              </w:rPr>
            </w:pPr>
            <w:r w:rsidRPr="0094421F">
              <w:rPr>
                <w:rFonts w:ascii="Times New Roman" w:hAnsi="Times New Roman" w:cs="Times New Roman"/>
                <w:b w:val="0"/>
              </w:rPr>
              <w:t>Domicile-level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u(3)</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560"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0.722 (0.126)</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0.832 (0.145)</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0.815 (0.142)</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0.793 (0.134)</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0.797 (0.133)</w:t>
            </w:r>
          </w:p>
        </w:tc>
        <w:tc>
          <w:tcPr>
            <w:tcW w:w="1625" w:type="dxa"/>
            <w:tcBorders>
              <w:top w:val="nil"/>
              <w:left w:val="nil"/>
              <w:bottom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0.801 (0.134)</w:t>
            </w: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94421F" w:rsidRDefault="00CE3B64" w:rsidP="00957F04">
            <w:pPr>
              <w:spacing w:line="240" w:lineRule="auto"/>
              <w:jc w:val="left"/>
              <w:rPr>
                <w:rFonts w:ascii="Times New Roman" w:hAnsi="Times New Roman" w:cs="Times New Roman"/>
                <w:b w:val="0"/>
              </w:rPr>
            </w:pPr>
            <w:r w:rsidRPr="0094421F">
              <w:rPr>
                <w:rFonts w:ascii="Times New Roman" w:hAnsi="Times New Roman" w:cs="Times New Roman"/>
                <w:b w:val="0"/>
              </w:rPr>
              <w:t>HEI-level variance (</w:t>
            </w:r>
            <m:oMath>
              <m:sSubSup>
                <m:sSubSupPr>
                  <m:ctrlPr>
                    <w:rPr>
                      <w:rFonts w:ascii="Cambria Math" w:hAnsi="Cambria Math" w:cs="Times New Roman"/>
                      <w:b w:val="0"/>
                      <w:bCs w:val="0"/>
                    </w:rPr>
                  </m:ctrlPr>
                </m:sSubSupPr>
                <m:e>
                  <m:r>
                    <m:rPr>
                      <m:sty m:val="b"/>
                    </m:rPr>
                    <w:rPr>
                      <w:rFonts w:ascii="Cambria Math" w:hAnsi="Cambria Math" w:cs="Times New Roman"/>
                    </w:rPr>
                    <m:t>σ</m:t>
                  </m:r>
                </m:e>
                <m:sub>
                  <m:r>
                    <m:rPr>
                      <m:sty m:val="bi"/>
                    </m:rPr>
                    <w:rPr>
                      <w:rFonts w:ascii="Cambria Math" w:hAnsi="Cambria Math" w:cs="Times New Roman"/>
                    </w:rPr>
                    <m:t>u(2)</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560"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0.440 (0.073)</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0.434 (0.073)</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0.434 (0.072)</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0.431 (0.072)</w:t>
            </w: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0.432 (0.072)</w:t>
            </w:r>
          </w:p>
        </w:tc>
        <w:tc>
          <w:tcPr>
            <w:tcW w:w="1625" w:type="dxa"/>
            <w:tcBorders>
              <w:top w:val="nil"/>
              <w:left w:val="nil"/>
              <w:bottom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0.430 (0.072)</w:t>
            </w: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94421F" w:rsidRDefault="00CE3B64" w:rsidP="00957F04">
            <w:pPr>
              <w:spacing w:line="240" w:lineRule="auto"/>
              <w:jc w:val="left"/>
              <w:rPr>
                <w:rFonts w:ascii="Times New Roman" w:eastAsia="DengXian" w:hAnsi="Times New Roman" w:cs="Times New Roman"/>
                <w:b w:val="0"/>
              </w:rPr>
            </w:pPr>
            <w:r w:rsidRPr="0094421F">
              <w:rPr>
                <w:rFonts w:ascii="Times New Roman" w:hAnsi="Times New Roman" w:cs="Times New Roman"/>
                <w:b w:val="0"/>
              </w:rPr>
              <w:t>Individual-level variance (</w:t>
            </w:r>
            <m:oMath>
              <m:sSubSup>
                <m:sSubSupPr>
                  <m:ctrlPr>
                    <w:rPr>
                      <w:rFonts w:ascii="Cambria Math" w:hAnsi="Cambria Math" w:cs="Times New Roman"/>
                      <w:b w:val="0"/>
                      <w:bCs w:val="0"/>
                      <w:i/>
                    </w:rPr>
                  </m:ctrlPr>
                </m:sSubSupPr>
                <m:e>
                  <m:r>
                    <m:rPr>
                      <m:sty m:val="bi"/>
                    </m:rPr>
                    <w:rPr>
                      <w:rFonts w:ascii="Cambria Math" w:hAnsi="Cambria Math" w:cs="Times New Roman"/>
                    </w:rPr>
                    <m:t>σ</m:t>
                  </m:r>
                </m:e>
                <m:sub>
                  <m:r>
                    <m:rPr>
                      <m:sty m:val="bi"/>
                    </m:rPr>
                    <w:rPr>
                      <w:rFonts w:ascii="Cambria Math" w:hAnsi="Cambria Math" w:cs="Times New Roman"/>
                    </w:rPr>
                    <m:t>e</m:t>
                  </m:r>
                </m:sub>
                <m:sup>
                  <m:r>
                    <m:rPr>
                      <m:sty m:val="bi"/>
                    </m:rPr>
                    <w:rPr>
                      <w:rFonts w:ascii="Cambria Math" w:hAnsi="Cambria Math" w:cs="Times New Roman"/>
                    </w:rPr>
                    <m:t>2</m:t>
                  </m:r>
                </m:sup>
              </m:sSubSup>
            </m:oMath>
            <w:r w:rsidRPr="0094421F">
              <w:rPr>
                <w:rFonts w:ascii="Times New Roman" w:hAnsi="Times New Roman" w:cs="Times New Roman"/>
                <w:b w:val="0"/>
              </w:rPr>
              <w:t>)</w:t>
            </w:r>
          </w:p>
        </w:tc>
        <w:tc>
          <w:tcPr>
            <w:tcW w:w="1560" w:type="dxa"/>
            <w:tcBorders>
              <w:top w:val="nil"/>
              <w:left w:val="nil"/>
              <w:bottom w:val="nil"/>
              <w:right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701" w:type="dxa"/>
            <w:tcBorders>
              <w:top w:val="nil"/>
              <w:left w:val="nil"/>
              <w:bottom w:val="nil"/>
              <w:right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701" w:type="dxa"/>
            <w:tcBorders>
              <w:top w:val="nil"/>
              <w:left w:val="nil"/>
              <w:bottom w:val="nil"/>
              <w:right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701" w:type="dxa"/>
            <w:tcBorders>
              <w:top w:val="nil"/>
              <w:left w:val="nil"/>
              <w:bottom w:val="nil"/>
              <w:right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701" w:type="dxa"/>
            <w:tcBorders>
              <w:top w:val="nil"/>
              <w:left w:val="nil"/>
              <w:bottom w:val="nil"/>
              <w:right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c>
          <w:tcPr>
            <w:tcW w:w="1625" w:type="dxa"/>
            <w:tcBorders>
              <w:top w:val="nil"/>
              <w:left w:val="nil"/>
              <w:bottom w:val="nil"/>
            </w:tcBorders>
            <w:shd w:val="clear" w:color="auto" w:fill="FFFFFF" w:themeFill="background1"/>
            <w:vAlign w:val="center"/>
          </w:tcPr>
          <w:p w:rsidR="00CE3B64" w:rsidRPr="002F6EBB" w:rsidRDefault="003112E7"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w:t>
            </w: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nil"/>
              <w:right w:val="nil"/>
            </w:tcBorders>
            <w:shd w:val="clear" w:color="auto" w:fill="FFFFFF" w:themeFill="background1"/>
            <w:vAlign w:val="center"/>
          </w:tcPr>
          <w:p w:rsidR="00CE3B64" w:rsidRPr="00C76162" w:rsidRDefault="00CE3B64" w:rsidP="00957F04">
            <w:pPr>
              <w:spacing w:line="240" w:lineRule="auto"/>
              <w:jc w:val="left"/>
              <w:rPr>
                <w:rFonts w:ascii="Times New Roman" w:hAnsi="Times New Roman" w:cs="Times New Roman"/>
                <w:b w:val="0"/>
              </w:rPr>
            </w:pPr>
          </w:p>
        </w:tc>
        <w:tc>
          <w:tcPr>
            <w:tcW w:w="1560"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Pr="002F6EBB"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Borders>
              <w:top w:val="nil"/>
              <w:left w:val="nil"/>
              <w:bottom w:val="nil"/>
              <w:right w:val="nil"/>
            </w:tcBorders>
            <w:shd w:val="clear" w:color="auto" w:fill="FFFFFF" w:themeFill="background1"/>
            <w:vAlign w:val="center"/>
          </w:tcPr>
          <w:p w:rsidR="00CE3B64"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25" w:type="dxa"/>
            <w:tcBorders>
              <w:top w:val="nil"/>
              <w:left w:val="nil"/>
              <w:bottom w:val="nil"/>
            </w:tcBorders>
            <w:shd w:val="clear" w:color="auto" w:fill="FFFFFF" w:themeFill="background1"/>
            <w:vAlign w:val="center"/>
          </w:tcPr>
          <w:p w:rsidR="00CE3B64" w:rsidRDefault="00CE3B64" w:rsidP="002F172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E3B64" w:rsidRPr="002F6EBB" w:rsidTr="00957F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Borders>
              <w:top w:val="nil"/>
              <w:bottom w:val="single" w:sz="4" w:space="0" w:color="auto"/>
              <w:right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rPr>
            </w:pPr>
            <w:r w:rsidRPr="002F6EBB">
              <w:rPr>
                <w:rFonts w:ascii="Times New Roman" w:hAnsi="Times New Roman" w:cs="Times New Roman"/>
              </w:rPr>
              <w:t>Goodness of Fit (DIC)</w:t>
            </w:r>
          </w:p>
        </w:tc>
        <w:tc>
          <w:tcPr>
            <w:tcW w:w="1560" w:type="dxa"/>
            <w:tcBorders>
              <w:top w:val="nil"/>
              <w:left w:val="nil"/>
              <w:bottom w:val="single" w:sz="4" w:space="0" w:color="auto"/>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34374.802</w:t>
            </w:r>
          </w:p>
        </w:tc>
        <w:tc>
          <w:tcPr>
            <w:tcW w:w="1701" w:type="dxa"/>
            <w:tcBorders>
              <w:top w:val="nil"/>
              <w:left w:val="nil"/>
              <w:bottom w:val="single" w:sz="4" w:space="0" w:color="auto"/>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34517.732</w:t>
            </w:r>
          </w:p>
        </w:tc>
        <w:tc>
          <w:tcPr>
            <w:tcW w:w="1701" w:type="dxa"/>
            <w:tcBorders>
              <w:top w:val="nil"/>
              <w:left w:val="nil"/>
              <w:bottom w:val="single" w:sz="4" w:space="0" w:color="auto"/>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34574.713</w:t>
            </w:r>
          </w:p>
        </w:tc>
        <w:tc>
          <w:tcPr>
            <w:tcW w:w="1701" w:type="dxa"/>
            <w:tcBorders>
              <w:top w:val="nil"/>
              <w:left w:val="nil"/>
              <w:bottom w:val="single" w:sz="4" w:space="0" w:color="auto"/>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34674.321</w:t>
            </w:r>
          </w:p>
        </w:tc>
        <w:tc>
          <w:tcPr>
            <w:tcW w:w="1701" w:type="dxa"/>
            <w:tcBorders>
              <w:top w:val="nil"/>
              <w:left w:val="nil"/>
              <w:bottom w:val="single" w:sz="4" w:space="0" w:color="auto"/>
              <w:right w:val="nil"/>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34672.234</w:t>
            </w:r>
          </w:p>
        </w:tc>
        <w:tc>
          <w:tcPr>
            <w:tcW w:w="1625" w:type="dxa"/>
            <w:tcBorders>
              <w:top w:val="nil"/>
              <w:left w:val="nil"/>
              <w:bottom w:val="single" w:sz="4" w:space="0" w:color="auto"/>
            </w:tcBorders>
            <w:shd w:val="clear" w:color="auto" w:fill="FFFFFF" w:themeFill="background1"/>
            <w:vAlign w:val="center"/>
          </w:tcPr>
          <w:p w:rsidR="00CE3B64" w:rsidRPr="002F6EBB" w:rsidRDefault="00CE3B64" w:rsidP="002F172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6EBB">
              <w:rPr>
                <w:rFonts w:ascii="Times New Roman" w:hAnsi="Times New Roman" w:cs="Times New Roman"/>
              </w:rPr>
              <w:t>34672.641</w:t>
            </w:r>
          </w:p>
        </w:tc>
      </w:tr>
      <w:tr w:rsidR="00CE3B64" w:rsidRPr="002F6EBB" w:rsidTr="00957F04">
        <w:trPr>
          <w:trHeight w:val="20"/>
        </w:trPr>
        <w:tc>
          <w:tcPr>
            <w:cnfStyle w:val="001000000000" w:firstRow="0" w:lastRow="0" w:firstColumn="1" w:lastColumn="0" w:oddVBand="0" w:evenVBand="0" w:oddHBand="0" w:evenHBand="0" w:firstRowFirstColumn="0" w:firstRowLastColumn="0" w:lastRowFirstColumn="0" w:lastRowLastColumn="0"/>
            <w:tcW w:w="13958" w:type="dxa"/>
            <w:gridSpan w:val="7"/>
            <w:tcBorders>
              <w:top w:val="single" w:sz="4" w:space="0" w:color="auto"/>
              <w:bottom w:val="nil"/>
            </w:tcBorders>
            <w:shd w:val="clear" w:color="auto" w:fill="FFFFFF" w:themeFill="background1"/>
            <w:vAlign w:val="center"/>
          </w:tcPr>
          <w:p w:rsidR="00CE3B64" w:rsidRPr="002F6EBB" w:rsidRDefault="00CE3B64" w:rsidP="00957F04">
            <w:pPr>
              <w:spacing w:line="240" w:lineRule="auto"/>
              <w:jc w:val="left"/>
              <w:rPr>
                <w:rFonts w:ascii="Times New Roman" w:hAnsi="Times New Roman" w:cs="Times New Roman"/>
                <w:b w:val="0"/>
              </w:rPr>
            </w:pPr>
            <w:r w:rsidRPr="002F6EBB">
              <w:rPr>
                <w:rFonts w:ascii="Times New Roman" w:hAnsi="Times New Roman" w:cs="Times New Roman"/>
                <w:b w:val="0"/>
                <w:i/>
              </w:rPr>
              <w:t>* p</w:t>
            </w:r>
            <w:r w:rsidRPr="002F6EBB">
              <w:rPr>
                <w:rFonts w:ascii="Times New Roman" w:hAnsi="Times New Roman" w:cs="Times New Roman"/>
                <w:b w:val="0"/>
              </w:rPr>
              <w:t xml:space="preserve"> &lt; 0.05, ** </w:t>
            </w:r>
            <w:r w:rsidRPr="002F6EBB">
              <w:rPr>
                <w:rFonts w:ascii="Times New Roman" w:hAnsi="Times New Roman" w:cs="Times New Roman"/>
                <w:b w:val="0"/>
                <w:i/>
              </w:rPr>
              <w:t>p</w:t>
            </w:r>
            <w:r w:rsidRPr="002F6EBB">
              <w:rPr>
                <w:rFonts w:ascii="Times New Roman" w:hAnsi="Times New Roman" w:cs="Times New Roman"/>
                <w:b w:val="0"/>
              </w:rPr>
              <w:t xml:space="preserve"> &lt; 0.01</w:t>
            </w:r>
          </w:p>
        </w:tc>
      </w:tr>
    </w:tbl>
    <w:p w:rsidR="00CE3B64" w:rsidRDefault="00CE3B64">
      <w:pPr>
        <w:spacing w:line="259" w:lineRule="auto"/>
        <w:jc w:val="left"/>
        <w:rPr>
          <w:rFonts w:ascii="Times New Roman" w:hAnsi="Times New Roman" w:cs="Times New Roman"/>
        </w:rPr>
      </w:pPr>
      <w:r>
        <w:rPr>
          <w:rFonts w:ascii="Times New Roman" w:hAnsi="Times New Roman" w:cs="Times New Roman"/>
        </w:rPr>
        <w:br w:type="page"/>
      </w:r>
    </w:p>
    <w:p w:rsidR="00CE3B64" w:rsidRDefault="00CE3B64">
      <w:pPr>
        <w:rPr>
          <w:rFonts w:ascii="Times New Roman" w:hAnsi="Times New Roman" w:cs="Times New Roman"/>
        </w:rPr>
        <w:sectPr w:rsidR="00CE3B64" w:rsidSect="00957F04">
          <w:pgSz w:w="16838" w:h="11906" w:orient="landscape"/>
          <w:pgMar w:top="1440" w:right="1440" w:bottom="1440" w:left="1440" w:header="708" w:footer="708" w:gutter="0"/>
          <w:cols w:space="708"/>
          <w:docGrid w:linePitch="360"/>
        </w:sectPr>
      </w:pPr>
    </w:p>
    <w:p w:rsidR="00D7281B" w:rsidRPr="00673A4C" w:rsidRDefault="00D7281B" w:rsidP="00D7281B">
      <w:pPr>
        <w:rPr>
          <w:rFonts w:ascii="Times New Roman" w:hAnsi="Times New Roman" w:cs="Times New Roman"/>
        </w:rPr>
      </w:pPr>
      <w:r w:rsidRPr="00673A4C">
        <w:rPr>
          <w:rFonts w:ascii="Times New Roman" w:hAnsi="Times New Roman" w:cs="Times New Roman"/>
          <w:noProof/>
        </w:rPr>
        <w:lastRenderedPageBreak/>
        <w:drawing>
          <wp:inline distT="0" distB="0" distL="0" distR="0" wp14:anchorId="336A8BF6" wp14:editId="19883E87">
            <wp:extent cx="5731510" cy="3439160"/>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E3B64" w:rsidRDefault="00CE3B64" w:rsidP="00957F04">
      <w:pPr>
        <w:spacing w:line="240" w:lineRule="auto"/>
        <w:rPr>
          <w:rFonts w:ascii="Times New Roman" w:hAnsi="Times New Roman" w:cs="Times New Roman"/>
          <w:b/>
        </w:rPr>
      </w:pPr>
      <w:r w:rsidRPr="00673A4C">
        <w:rPr>
          <w:rFonts w:ascii="Times New Roman" w:hAnsi="Times New Roman" w:cs="Times New Roman"/>
          <w:b/>
        </w:rPr>
        <w:t>Figure 1 Distribution of international postgraduate students who remained to work in the UK by age, 2013/14 - 2014/15 (figure only shows proportion aged from 22 to 47)</w:t>
      </w:r>
    </w:p>
    <w:p w:rsidR="00CE3B64" w:rsidRDefault="00CE3B64" w:rsidP="00957F04">
      <w:pPr>
        <w:spacing w:line="240" w:lineRule="auto"/>
        <w:rPr>
          <w:rFonts w:ascii="Times New Roman" w:hAnsi="Times New Roman" w:cs="Times New Roman"/>
          <w:b/>
        </w:rPr>
      </w:pPr>
    </w:p>
    <w:p w:rsidR="00D7281B" w:rsidRDefault="00D7281B" w:rsidP="00957F04">
      <w:pPr>
        <w:pStyle w:val="a3"/>
        <w:rPr>
          <w:rFonts w:ascii="Times New Roman" w:hAnsi="Times New Roman" w:cs="Times New Roman"/>
          <w:sz w:val="22"/>
        </w:rPr>
      </w:pPr>
    </w:p>
    <w:p w:rsidR="00D7281B" w:rsidRDefault="00D7281B" w:rsidP="00D7281B">
      <w:pPr>
        <w:rPr>
          <w:color w:val="000000" w:themeColor="text1"/>
          <w:szCs w:val="18"/>
        </w:rPr>
      </w:pPr>
      <w:r>
        <w:br w:type="page"/>
      </w:r>
    </w:p>
    <w:p w:rsidR="00D7281B" w:rsidRPr="00D7281B" w:rsidRDefault="00D7281B" w:rsidP="00D7281B">
      <w:pPr>
        <w:pStyle w:val="a3"/>
        <w:rPr>
          <w:rFonts w:ascii="Times New Roman" w:hAnsi="Times New Roman" w:cs="Times New Roman"/>
          <w:sz w:val="22"/>
        </w:rPr>
      </w:pPr>
      <w:r w:rsidRPr="00350B13">
        <w:rPr>
          <w:rFonts w:ascii="Times New Roman" w:hAnsi="Times New Roman" w:cs="Times New Roman"/>
          <w:noProof/>
        </w:rPr>
        <w:lastRenderedPageBreak/>
        <w:drawing>
          <wp:inline distT="0" distB="0" distL="0" distR="0" wp14:anchorId="1C22E625" wp14:editId="01E3CE0C">
            <wp:extent cx="5731510" cy="5384800"/>
            <wp:effectExtent l="0" t="0" r="0" b="0"/>
            <wp:docPr id="6" name="Picture 6"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图表&#10;&#10;描述已自动生成"/>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5384800"/>
                    </a:xfrm>
                    <a:prstGeom prst="rect">
                      <a:avLst/>
                    </a:prstGeom>
                    <a:noFill/>
                  </pic:spPr>
                </pic:pic>
              </a:graphicData>
            </a:graphic>
          </wp:inline>
        </w:drawing>
      </w:r>
    </w:p>
    <w:p w:rsidR="00CE3B64" w:rsidRPr="00350B13" w:rsidRDefault="00D6323C" w:rsidP="00957F04">
      <w:pPr>
        <w:pStyle w:val="a3"/>
        <w:rPr>
          <w:rFonts w:ascii="Times New Roman" w:hAnsi="Times New Roman" w:cs="Times New Roman"/>
          <w:sz w:val="28"/>
          <w:szCs w:val="24"/>
        </w:rPr>
      </w:pPr>
      <w:r>
        <w:rPr>
          <w:rFonts w:ascii="Times New Roman" w:hAnsi="Times New Roman" w:cs="Times New Roman"/>
          <w:sz w:val="22"/>
        </w:rPr>
        <w:t xml:space="preserve">Figure 2 </w:t>
      </w:r>
      <w:r w:rsidRPr="00350B13">
        <w:rPr>
          <w:rFonts w:ascii="Times New Roman" w:hAnsi="Times New Roman" w:cs="Times New Roman"/>
          <w:sz w:val="22"/>
        </w:rPr>
        <w:t xml:space="preserve">Stay rate of </w:t>
      </w:r>
      <w:r>
        <w:rPr>
          <w:rFonts w:ascii="Times New Roman" w:hAnsi="Times New Roman" w:cs="Times New Roman"/>
          <w:sz w:val="22"/>
        </w:rPr>
        <w:t>international students</w:t>
      </w:r>
      <w:r w:rsidRPr="00350B13">
        <w:rPr>
          <w:rFonts w:ascii="Times New Roman" w:hAnsi="Times New Roman" w:cs="Times New Roman"/>
          <w:sz w:val="22"/>
        </w:rPr>
        <w:t xml:space="preserve"> from top 30 sourcing countries/regions in 2013/14-2014/15</w:t>
      </w:r>
    </w:p>
    <w:p w:rsidR="00CE3B64" w:rsidRDefault="00CE3B64" w:rsidP="00957F04">
      <w:pPr>
        <w:spacing w:line="240" w:lineRule="auto"/>
        <w:rPr>
          <w:rFonts w:ascii="Times New Roman" w:hAnsi="Times New Roman" w:cs="Times New Roman"/>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p>
    <w:p w:rsidR="00D7281B" w:rsidRDefault="00D7281B" w:rsidP="00957F04">
      <w:pPr>
        <w:pStyle w:val="a3"/>
        <w:rPr>
          <w:rFonts w:ascii="Times New Roman" w:hAnsi="Times New Roman" w:cs="Times New Roman"/>
          <w:sz w:val="22"/>
        </w:rPr>
      </w:pPr>
      <w:r w:rsidRPr="00C76162">
        <w:rPr>
          <w:rFonts w:ascii="Times New Roman" w:hAnsi="Times New Roman" w:cs="Times New Roman"/>
          <w:noProof/>
        </w:rPr>
        <w:lastRenderedPageBreak/>
        <w:drawing>
          <wp:inline distT="0" distB="0" distL="0" distR="0" wp14:anchorId="7283D6D2" wp14:editId="46D52A81">
            <wp:extent cx="5731510" cy="5378450"/>
            <wp:effectExtent l="0" t="0" r="0" b="6350"/>
            <wp:docPr id="9" name="Picture 9"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图片包含 图表&#10;&#10;描述已自动生成"/>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5378450"/>
                    </a:xfrm>
                    <a:prstGeom prst="rect">
                      <a:avLst/>
                    </a:prstGeom>
                    <a:noFill/>
                  </pic:spPr>
                </pic:pic>
              </a:graphicData>
            </a:graphic>
          </wp:inline>
        </w:drawing>
      </w:r>
    </w:p>
    <w:p w:rsidR="00CE3B64" w:rsidRPr="00A779F5" w:rsidRDefault="00CE3B64" w:rsidP="00957F04">
      <w:pPr>
        <w:pStyle w:val="a3"/>
        <w:rPr>
          <w:rFonts w:ascii="Times New Roman" w:hAnsi="Times New Roman" w:cs="Times New Roman"/>
          <w:sz w:val="28"/>
          <w:szCs w:val="24"/>
        </w:rPr>
      </w:pPr>
      <w:r w:rsidRPr="00A779F5">
        <w:rPr>
          <w:rFonts w:ascii="Times New Roman" w:hAnsi="Times New Roman" w:cs="Times New Roman"/>
          <w:sz w:val="22"/>
        </w:rPr>
        <w:t xml:space="preserve">Figure </w:t>
      </w:r>
      <w:r w:rsidR="00D6323C">
        <w:rPr>
          <w:rFonts w:ascii="Times New Roman" w:hAnsi="Times New Roman" w:cs="Times New Roman"/>
          <w:sz w:val="22"/>
        </w:rPr>
        <w:t>3</w:t>
      </w:r>
      <w:r w:rsidRPr="00A779F5">
        <w:rPr>
          <w:rFonts w:ascii="Times New Roman" w:hAnsi="Times New Roman" w:cs="Times New Roman"/>
          <w:sz w:val="22"/>
        </w:rPr>
        <w:t xml:space="preserve"> Stay rate of </w:t>
      </w:r>
      <w:r>
        <w:rPr>
          <w:rFonts w:ascii="Times New Roman" w:hAnsi="Times New Roman" w:cs="Times New Roman"/>
          <w:sz w:val="22"/>
        </w:rPr>
        <w:t>international student</w:t>
      </w:r>
      <w:r w:rsidRPr="00A779F5">
        <w:rPr>
          <w:rFonts w:ascii="Times New Roman" w:hAnsi="Times New Roman" w:cs="Times New Roman"/>
          <w:sz w:val="22"/>
        </w:rPr>
        <w:t>s who graduated from top 30 HEIs that received the highest number of international postgraduate students in 2013/14-2014/15</w:t>
      </w:r>
    </w:p>
    <w:p w:rsidR="00CE3B64" w:rsidRPr="00C76162" w:rsidRDefault="00CE3B64" w:rsidP="00957F04">
      <w:pPr>
        <w:spacing w:line="240" w:lineRule="auto"/>
        <w:rPr>
          <w:rFonts w:ascii="Times New Roman" w:hAnsi="Times New Roman" w:cs="Times New Roman"/>
        </w:rPr>
      </w:pPr>
    </w:p>
    <w:p w:rsidR="002F2516" w:rsidRDefault="002F2516"/>
    <w:sectPr w:rsidR="002F25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638" w:rsidRDefault="00955638" w:rsidP="00C33447">
      <w:pPr>
        <w:spacing w:after="0" w:line="240" w:lineRule="auto"/>
      </w:pPr>
      <w:r>
        <w:separator/>
      </w:r>
    </w:p>
  </w:endnote>
  <w:endnote w:type="continuationSeparator" w:id="0">
    <w:p w:rsidR="00955638" w:rsidRDefault="00955638" w:rsidP="00C3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AF0" w:rsidRDefault="007A4AF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793125"/>
      <w:docPartObj>
        <w:docPartGallery w:val="Page Numbers (Bottom of Page)"/>
        <w:docPartUnique/>
      </w:docPartObj>
    </w:sdtPr>
    <w:sdtEndPr>
      <w:rPr>
        <w:noProof/>
      </w:rPr>
    </w:sdtEndPr>
    <w:sdtContent>
      <w:p w:rsidR="007A4AF0" w:rsidRDefault="007A4AF0">
        <w:pPr>
          <w:pStyle w:val="af0"/>
          <w:jc w:val="center"/>
        </w:pPr>
        <w:r>
          <w:fldChar w:fldCharType="begin"/>
        </w:r>
        <w:r>
          <w:instrText xml:space="preserve"> PAGE   \* MERGEFORMAT </w:instrText>
        </w:r>
        <w:r>
          <w:fldChar w:fldCharType="separate"/>
        </w:r>
        <w:r w:rsidR="00F650CB">
          <w:rPr>
            <w:noProof/>
          </w:rPr>
          <w:t>25</w:t>
        </w:r>
        <w:r>
          <w:rPr>
            <w:noProof/>
          </w:rPr>
          <w:fldChar w:fldCharType="end"/>
        </w:r>
      </w:p>
    </w:sdtContent>
  </w:sdt>
  <w:p w:rsidR="007A4AF0" w:rsidRDefault="007A4AF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AF0" w:rsidRDefault="007A4A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638" w:rsidRDefault="00955638" w:rsidP="00C33447">
      <w:pPr>
        <w:spacing w:after="0" w:line="240" w:lineRule="auto"/>
      </w:pPr>
      <w:r>
        <w:separator/>
      </w:r>
    </w:p>
  </w:footnote>
  <w:footnote w:type="continuationSeparator" w:id="0">
    <w:p w:rsidR="00955638" w:rsidRDefault="00955638" w:rsidP="00C33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AF0" w:rsidRDefault="007A4AF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AF0" w:rsidRDefault="007A4AF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AF0" w:rsidRDefault="007A4AF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77A9"/>
    <w:multiLevelType w:val="hybridMultilevel"/>
    <w:tmpl w:val="B490A512"/>
    <w:lvl w:ilvl="0" w:tplc="9A72A02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73EBF"/>
    <w:multiLevelType w:val="hybridMultilevel"/>
    <w:tmpl w:val="DEBED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073DF5"/>
    <w:multiLevelType w:val="hybridMultilevel"/>
    <w:tmpl w:val="B06A72AE"/>
    <w:lvl w:ilvl="0" w:tplc="E1CE40AA">
      <w:start w:val="4"/>
      <w:numFmt w:val="decimal"/>
      <w:pStyle w:val="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A57435"/>
    <w:multiLevelType w:val="hybridMultilevel"/>
    <w:tmpl w:val="7292EFB2"/>
    <w:lvl w:ilvl="0" w:tplc="2F540A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242EC"/>
    <w:multiLevelType w:val="hybridMultilevel"/>
    <w:tmpl w:val="8DBE3F10"/>
    <w:lvl w:ilvl="0" w:tplc="2F540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3B64"/>
    <w:rsid w:val="0001668A"/>
    <w:rsid w:val="00097E59"/>
    <w:rsid w:val="000A623E"/>
    <w:rsid w:val="000E4EAF"/>
    <w:rsid w:val="001223E5"/>
    <w:rsid w:val="001446CE"/>
    <w:rsid w:val="00171E7B"/>
    <w:rsid w:val="001E6252"/>
    <w:rsid w:val="002470F4"/>
    <w:rsid w:val="00263B80"/>
    <w:rsid w:val="002A2994"/>
    <w:rsid w:val="002A3EAF"/>
    <w:rsid w:val="002F1721"/>
    <w:rsid w:val="002F2516"/>
    <w:rsid w:val="00301C50"/>
    <w:rsid w:val="003112E7"/>
    <w:rsid w:val="00377857"/>
    <w:rsid w:val="0038306A"/>
    <w:rsid w:val="003A65E1"/>
    <w:rsid w:val="00412EA2"/>
    <w:rsid w:val="00422FAC"/>
    <w:rsid w:val="004E1EDE"/>
    <w:rsid w:val="004E561F"/>
    <w:rsid w:val="004E7D1C"/>
    <w:rsid w:val="00552932"/>
    <w:rsid w:val="005608A2"/>
    <w:rsid w:val="005B30F9"/>
    <w:rsid w:val="005E06B5"/>
    <w:rsid w:val="006132AC"/>
    <w:rsid w:val="00614E61"/>
    <w:rsid w:val="00664CBD"/>
    <w:rsid w:val="00673166"/>
    <w:rsid w:val="006A67A4"/>
    <w:rsid w:val="0070726A"/>
    <w:rsid w:val="00747037"/>
    <w:rsid w:val="00761D9C"/>
    <w:rsid w:val="007A4AF0"/>
    <w:rsid w:val="007A7063"/>
    <w:rsid w:val="007B779C"/>
    <w:rsid w:val="007B7C96"/>
    <w:rsid w:val="007E6824"/>
    <w:rsid w:val="00800860"/>
    <w:rsid w:val="0080296B"/>
    <w:rsid w:val="00835573"/>
    <w:rsid w:val="00896116"/>
    <w:rsid w:val="008E7650"/>
    <w:rsid w:val="0094421F"/>
    <w:rsid w:val="00955638"/>
    <w:rsid w:val="00957F04"/>
    <w:rsid w:val="00975AF0"/>
    <w:rsid w:val="00976E80"/>
    <w:rsid w:val="009C1BEB"/>
    <w:rsid w:val="009D56C4"/>
    <w:rsid w:val="009F61BB"/>
    <w:rsid w:val="00A04C01"/>
    <w:rsid w:val="00A16A8A"/>
    <w:rsid w:val="00A30D62"/>
    <w:rsid w:val="00AD01EA"/>
    <w:rsid w:val="00AE2698"/>
    <w:rsid w:val="00B0731A"/>
    <w:rsid w:val="00B15958"/>
    <w:rsid w:val="00B67F88"/>
    <w:rsid w:val="00B8194D"/>
    <w:rsid w:val="00C0585D"/>
    <w:rsid w:val="00C33447"/>
    <w:rsid w:val="00C61903"/>
    <w:rsid w:val="00C87DE4"/>
    <w:rsid w:val="00CC0534"/>
    <w:rsid w:val="00CC2F37"/>
    <w:rsid w:val="00CE3B64"/>
    <w:rsid w:val="00D6323C"/>
    <w:rsid w:val="00D7281B"/>
    <w:rsid w:val="00DC360C"/>
    <w:rsid w:val="00E2108C"/>
    <w:rsid w:val="00E46E30"/>
    <w:rsid w:val="00EE60A6"/>
    <w:rsid w:val="00F257CD"/>
    <w:rsid w:val="00F650CB"/>
    <w:rsid w:val="00FC2188"/>
    <w:rsid w:val="00FC44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12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B64"/>
    <w:pPr>
      <w:spacing w:line="480" w:lineRule="auto"/>
      <w:jc w:val="both"/>
    </w:pPr>
  </w:style>
  <w:style w:type="paragraph" w:styleId="1">
    <w:name w:val="heading 1"/>
    <w:basedOn w:val="a"/>
    <w:next w:val="a"/>
    <w:link w:val="10"/>
    <w:uiPriority w:val="9"/>
    <w:qFormat/>
    <w:rsid w:val="00CE3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CE3B64"/>
    <w:pPr>
      <w:keepNext/>
      <w:keepLines/>
      <w:numPr>
        <w:numId w:val="1"/>
      </w:numPr>
      <w:spacing w:before="100" w:beforeAutospacing="1" w:after="100" w:afterAutospacing="1"/>
      <w:outlineLvl w:val="1"/>
    </w:pPr>
    <w:rPr>
      <w:rFonts w:ascii="Times New Roman" w:eastAsiaTheme="majorEastAsia" w:hAnsi="Times New Roman" w:cs="Times New Roman"/>
      <w:b/>
      <w:sz w:val="32"/>
      <w:szCs w:val="32"/>
    </w:rPr>
  </w:style>
  <w:style w:type="paragraph" w:styleId="3">
    <w:name w:val="heading 3"/>
    <w:basedOn w:val="a"/>
    <w:next w:val="a"/>
    <w:link w:val="30"/>
    <w:uiPriority w:val="99"/>
    <w:unhideWhenUsed/>
    <w:qFormat/>
    <w:rsid w:val="00CE3B64"/>
    <w:pPr>
      <w:keepNext/>
      <w:keepLines/>
      <w:spacing w:before="100" w:beforeAutospacing="1" w:after="100" w:afterAutospacing="1"/>
      <w:outlineLvl w:val="2"/>
    </w:pPr>
    <w:rPr>
      <w:rFonts w:ascii="Times New Roman" w:eastAsiaTheme="majorEastAsia" w:hAnsi="Times New Roman" w:cs="Times New Roman"/>
      <w:sz w:val="28"/>
      <w:szCs w:val="28"/>
    </w:rPr>
  </w:style>
  <w:style w:type="paragraph" w:styleId="4">
    <w:name w:val="heading 4"/>
    <w:basedOn w:val="a"/>
    <w:next w:val="a"/>
    <w:link w:val="40"/>
    <w:uiPriority w:val="9"/>
    <w:unhideWhenUsed/>
    <w:qFormat/>
    <w:rsid w:val="00CE3B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E3B64"/>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9"/>
    <w:rsid w:val="00CE3B64"/>
    <w:rPr>
      <w:rFonts w:ascii="Times New Roman" w:eastAsiaTheme="majorEastAsia" w:hAnsi="Times New Roman" w:cs="Times New Roman"/>
      <w:b/>
      <w:sz w:val="32"/>
      <w:szCs w:val="32"/>
    </w:rPr>
  </w:style>
  <w:style w:type="character" w:customStyle="1" w:styleId="30">
    <w:name w:val="标题 3 字符"/>
    <w:basedOn w:val="a0"/>
    <w:link w:val="3"/>
    <w:uiPriority w:val="99"/>
    <w:rsid w:val="00CE3B64"/>
    <w:rPr>
      <w:rFonts w:ascii="Times New Roman" w:eastAsiaTheme="majorEastAsia" w:hAnsi="Times New Roman" w:cs="Times New Roman"/>
      <w:sz w:val="28"/>
      <w:szCs w:val="28"/>
    </w:rPr>
  </w:style>
  <w:style w:type="character" w:customStyle="1" w:styleId="40">
    <w:name w:val="标题 4 字符"/>
    <w:basedOn w:val="a0"/>
    <w:link w:val="4"/>
    <w:uiPriority w:val="9"/>
    <w:rsid w:val="00CE3B64"/>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a"/>
    <w:link w:val="EndNoteBibliographyTitleChar"/>
    <w:rsid w:val="00CE3B6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E3B64"/>
    <w:rPr>
      <w:rFonts w:ascii="Calibri" w:hAnsi="Calibri" w:cs="Calibri"/>
      <w:noProof/>
    </w:rPr>
  </w:style>
  <w:style w:type="paragraph" w:customStyle="1" w:styleId="EndNoteBibliography">
    <w:name w:val="EndNote Bibliography"/>
    <w:basedOn w:val="a"/>
    <w:link w:val="EndNoteBibliographyChar"/>
    <w:rsid w:val="00CE3B64"/>
    <w:pPr>
      <w:spacing w:line="240" w:lineRule="auto"/>
    </w:pPr>
    <w:rPr>
      <w:rFonts w:ascii="Calibri" w:hAnsi="Calibri" w:cs="Calibri"/>
      <w:noProof/>
    </w:rPr>
  </w:style>
  <w:style w:type="character" w:customStyle="1" w:styleId="EndNoteBibliographyChar">
    <w:name w:val="EndNote Bibliography Char"/>
    <w:basedOn w:val="a0"/>
    <w:link w:val="EndNoteBibliography"/>
    <w:rsid w:val="00CE3B64"/>
    <w:rPr>
      <w:rFonts w:ascii="Calibri" w:hAnsi="Calibri" w:cs="Calibri"/>
      <w:noProof/>
    </w:rPr>
  </w:style>
  <w:style w:type="paragraph" w:styleId="a3">
    <w:name w:val="caption"/>
    <w:basedOn w:val="a"/>
    <w:next w:val="a"/>
    <w:uiPriority w:val="35"/>
    <w:unhideWhenUsed/>
    <w:qFormat/>
    <w:rsid w:val="00CE3B64"/>
    <w:pPr>
      <w:spacing w:after="200" w:line="240" w:lineRule="auto"/>
    </w:pPr>
    <w:rPr>
      <w:b/>
      <w:iCs/>
      <w:color w:val="000000" w:themeColor="text1"/>
      <w:sz w:val="20"/>
      <w:szCs w:val="18"/>
    </w:rPr>
  </w:style>
  <w:style w:type="character" w:styleId="a4">
    <w:name w:val="annotation reference"/>
    <w:basedOn w:val="a0"/>
    <w:uiPriority w:val="99"/>
    <w:semiHidden/>
    <w:unhideWhenUsed/>
    <w:rsid w:val="00CE3B64"/>
    <w:rPr>
      <w:sz w:val="16"/>
      <w:szCs w:val="16"/>
    </w:rPr>
  </w:style>
  <w:style w:type="paragraph" w:styleId="a5">
    <w:name w:val="annotation text"/>
    <w:basedOn w:val="a"/>
    <w:link w:val="a6"/>
    <w:uiPriority w:val="99"/>
    <w:semiHidden/>
    <w:unhideWhenUsed/>
    <w:rsid w:val="00CE3B64"/>
    <w:pPr>
      <w:spacing w:line="240" w:lineRule="auto"/>
    </w:pPr>
    <w:rPr>
      <w:sz w:val="20"/>
      <w:szCs w:val="20"/>
    </w:rPr>
  </w:style>
  <w:style w:type="character" w:customStyle="1" w:styleId="a6">
    <w:name w:val="批注文字 字符"/>
    <w:basedOn w:val="a0"/>
    <w:link w:val="a5"/>
    <w:uiPriority w:val="99"/>
    <w:semiHidden/>
    <w:rsid w:val="00CE3B64"/>
    <w:rPr>
      <w:sz w:val="20"/>
      <w:szCs w:val="20"/>
    </w:rPr>
  </w:style>
  <w:style w:type="paragraph" w:styleId="a7">
    <w:name w:val="annotation subject"/>
    <w:basedOn w:val="a5"/>
    <w:next w:val="a5"/>
    <w:link w:val="a8"/>
    <w:uiPriority w:val="99"/>
    <w:semiHidden/>
    <w:unhideWhenUsed/>
    <w:rsid w:val="00CE3B64"/>
    <w:rPr>
      <w:b/>
      <w:bCs/>
    </w:rPr>
  </w:style>
  <w:style w:type="character" w:customStyle="1" w:styleId="a8">
    <w:name w:val="批注主题 字符"/>
    <w:basedOn w:val="a6"/>
    <w:link w:val="a7"/>
    <w:uiPriority w:val="99"/>
    <w:semiHidden/>
    <w:rsid w:val="00CE3B64"/>
    <w:rPr>
      <w:b/>
      <w:bCs/>
      <w:sz w:val="20"/>
      <w:szCs w:val="20"/>
    </w:rPr>
  </w:style>
  <w:style w:type="paragraph" w:styleId="a9">
    <w:name w:val="Balloon Text"/>
    <w:basedOn w:val="a"/>
    <w:link w:val="aa"/>
    <w:uiPriority w:val="99"/>
    <w:semiHidden/>
    <w:unhideWhenUsed/>
    <w:rsid w:val="00CE3B64"/>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CE3B64"/>
    <w:rPr>
      <w:rFonts w:ascii="Segoe UI" w:hAnsi="Segoe UI" w:cs="Segoe UI"/>
      <w:sz w:val="18"/>
      <w:szCs w:val="18"/>
    </w:rPr>
  </w:style>
  <w:style w:type="table" w:styleId="6">
    <w:name w:val="List Table 6 Colorful"/>
    <w:basedOn w:val="a1"/>
    <w:uiPriority w:val="51"/>
    <w:rsid w:val="00CE3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Hyperlink"/>
    <w:basedOn w:val="a0"/>
    <w:uiPriority w:val="99"/>
    <w:unhideWhenUsed/>
    <w:rsid w:val="00CE3B64"/>
    <w:rPr>
      <w:color w:val="0563C1" w:themeColor="hyperlink"/>
      <w:u w:val="single"/>
    </w:rPr>
  </w:style>
  <w:style w:type="character" w:styleId="ac">
    <w:name w:val="FollowedHyperlink"/>
    <w:basedOn w:val="a0"/>
    <w:uiPriority w:val="99"/>
    <w:semiHidden/>
    <w:unhideWhenUsed/>
    <w:rsid w:val="00CE3B64"/>
    <w:rPr>
      <w:color w:val="954F72" w:themeColor="followedHyperlink"/>
      <w:u w:val="single"/>
    </w:rPr>
  </w:style>
  <w:style w:type="paragraph" w:styleId="ad">
    <w:name w:val="List Paragraph"/>
    <w:basedOn w:val="a"/>
    <w:uiPriority w:val="34"/>
    <w:qFormat/>
    <w:rsid w:val="00CE3B64"/>
    <w:pPr>
      <w:ind w:left="720"/>
      <w:contextualSpacing/>
    </w:pPr>
  </w:style>
  <w:style w:type="paragraph" w:styleId="ae">
    <w:name w:val="header"/>
    <w:basedOn w:val="a"/>
    <w:link w:val="af"/>
    <w:uiPriority w:val="99"/>
    <w:unhideWhenUsed/>
    <w:rsid w:val="00C33447"/>
    <w:pPr>
      <w:tabs>
        <w:tab w:val="center" w:pos="4513"/>
        <w:tab w:val="right" w:pos="9026"/>
      </w:tabs>
      <w:spacing w:after="0" w:line="240" w:lineRule="auto"/>
    </w:pPr>
  </w:style>
  <w:style w:type="character" w:customStyle="1" w:styleId="af">
    <w:name w:val="页眉 字符"/>
    <w:basedOn w:val="a0"/>
    <w:link w:val="ae"/>
    <w:uiPriority w:val="99"/>
    <w:rsid w:val="00C33447"/>
  </w:style>
  <w:style w:type="paragraph" w:styleId="af0">
    <w:name w:val="footer"/>
    <w:basedOn w:val="a"/>
    <w:link w:val="af1"/>
    <w:uiPriority w:val="99"/>
    <w:unhideWhenUsed/>
    <w:rsid w:val="00C33447"/>
    <w:pPr>
      <w:tabs>
        <w:tab w:val="center" w:pos="4513"/>
        <w:tab w:val="right" w:pos="9026"/>
      </w:tabs>
      <w:spacing w:after="0" w:line="240" w:lineRule="auto"/>
    </w:pPr>
  </w:style>
  <w:style w:type="character" w:customStyle="1" w:styleId="af1">
    <w:name w:val="页脚 字符"/>
    <w:basedOn w:val="a0"/>
    <w:link w:val="af0"/>
    <w:uiPriority w:val="99"/>
    <w:rsid w:val="00C3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mz4g13\mydesktop\new--combined%20graph%20for%20ag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Sheet1!$B$88</c:f>
              <c:strCache>
                <c:ptCount val="1"/>
                <c:pt idx="0">
                  <c:v>All postgraduates</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cat>
            <c:numRef>
              <c:f>Sheet1!$A$89:$A$114</c:f>
              <c:numCache>
                <c:formatCode>General</c:formatCode>
                <c:ptCount val="26"/>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numCache>
            </c:numRef>
          </c:cat>
          <c:val>
            <c:numRef>
              <c:f>Sheet1!$B$89:$B$114</c:f>
              <c:numCache>
                <c:formatCode>General</c:formatCode>
                <c:ptCount val="26"/>
                <c:pt idx="0">
                  <c:v>0.19602900000000001</c:v>
                </c:pt>
                <c:pt idx="1">
                  <c:v>0.162827</c:v>
                </c:pt>
                <c:pt idx="2">
                  <c:v>0.138269</c:v>
                </c:pt>
                <c:pt idx="3">
                  <c:v>0.165351</c:v>
                </c:pt>
                <c:pt idx="4">
                  <c:v>0.20399500000000001</c:v>
                </c:pt>
                <c:pt idx="5">
                  <c:v>0.25772800000000001</c:v>
                </c:pt>
                <c:pt idx="6">
                  <c:v>0.27860299999999999</c:v>
                </c:pt>
                <c:pt idx="7">
                  <c:v>0.29288700000000001</c:v>
                </c:pt>
                <c:pt idx="8">
                  <c:v>0.31890400000000002</c:v>
                </c:pt>
                <c:pt idx="9">
                  <c:v>0.29185899999999998</c:v>
                </c:pt>
                <c:pt idx="10">
                  <c:v>0.30821900000000002</c:v>
                </c:pt>
                <c:pt idx="11">
                  <c:v>0.29106599999999999</c:v>
                </c:pt>
                <c:pt idx="12">
                  <c:v>0.26823799999999998</c:v>
                </c:pt>
                <c:pt idx="13">
                  <c:v>0.28176800000000002</c:v>
                </c:pt>
                <c:pt idx="14">
                  <c:v>0.25310500000000002</c:v>
                </c:pt>
                <c:pt idx="15">
                  <c:v>0.241228</c:v>
                </c:pt>
                <c:pt idx="16">
                  <c:v>0.21534600000000001</c:v>
                </c:pt>
                <c:pt idx="17">
                  <c:v>0.22514600000000001</c:v>
                </c:pt>
                <c:pt idx="18">
                  <c:v>0.21167900000000001</c:v>
                </c:pt>
                <c:pt idx="19">
                  <c:v>0.21008399999999999</c:v>
                </c:pt>
                <c:pt idx="20">
                  <c:v>0.17699100000000001</c:v>
                </c:pt>
                <c:pt idx="21">
                  <c:v>0.19631899999999999</c:v>
                </c:pt>
                <c:pt idx="22">
                  <c:v>0.109489</c:v>
                </c:pt>
                <c:pt idx="23">
                  <c:v>0.21487600000000001</c:v>
                </c:pt>
                <c:pt idx="24">
                  <c:v>0.17829400000000001</c:v>
                </c:pt>
                <c:pt idx="25">
                  <c:v>0.20338899999999999</c:v>
                </c:pt>
              </c:numCache>
            </c:numRef>
          </c:val>
          <c:smooth val="0"/>
          <c:extLst>
            <c:ext xmlns:c16="http://schemas.microsoft.com/office/drawing/2014/chart" uri="{C3380CC4-5D6E-409C-BE32-E72D297353CC}">
              <c16:uniqueId val="{00000000-266D-BA40-A37E-284CBCCDEDAC}"/>
            </c:ext>
          </c:extLst>
        </c:ser>
        <c:ser>
          <c:idx val="1"/>
          <c:order val="1"/>
          <c:tx>
            <c:strRef>
              <c:f>Sheet1!$C$88</c:f>
              <c:strCache>
                <c:ptCount val="1"/>
                <c:pt idx="0">
                  <c:v>Doctoral graduates</c:v>
                </c:pt>
              </c:strCache>
            </c:strRef>
          </c:tx>
          <c:spPr>
            <a:ln w="12700" cap="rnd">
              <a:solidFill>
                <a:schemeClr val="accent2"/>
              </a:solidFill>
              <a:round/>
            </a:ln>
            <a:effectLst/>
          </c:spPr>
          <c:marker>
            <c:symbol val="diamond"/>
            <c:size val="5"/>
            <c:spPr>
              <a:solidFill>
                <a:schemeClr val="accent2"/>
              </a:solidFill>
              <a:ln w="9525">
                <a:solidFill>
                  <a:schemeClr val="accent2"/>
                </a:solidFill>
              </a:ln>
              <a:effectLst/>
            </c:spPr>
          </c:marker>
          <c:cat>
            <c:numRef>
              <c:f>Sheet1!$A$89:$A$114</c:f>
              <c:numCache>
                <c:formatCode>General</c:formatCode>
                <c:ptCount val="26"/>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numCache>
            </c:numRef>
          </c:cat>
          <c:val>
            <c:numRef>
              <c:f>Sheet1!$C$89:$C$114</c:f>
              <c:numCache>
                <c:formatCode>General</c:formatCode>
                <c:ptCount val="26"/>
                <c:pt idx="4">
                  <c:v>0.53846099999999997</c:v>
                </c:pt>
                <c:pt idx="5">
                  <c:v>0.58333299999999999</c:v>
                </c:pt>
                <c:pt idx="6">
                  <c:v>0.57821199999999995</c:v>
                </c:pt>
                <c:pt idx="7">
                  <c:v>0.487981</c:v>
                </c:pt>
                <c:pt idx="8">
                  <c:v>0.56847499999999995</c:v>
                </c:pt>
                <c:pt idx="9">
                  <c:v>0.49390200000000001</c:v>
                </c:pt>
                <c:pt idx="10">
                  <c:v>0.47151900000000002</c:v>
                </c:pt>
                <c:pt idx="11">
                  <c:v>0.44663999999999998</c:v>
                </c:pt>
                <c:pt idx="12">
                  <c:v>0.46341399999999999</c:v>
                </c:pt>
                <c:pt idx="13">
                  <c:v>0.43646400000000002</c:v>
                </c:pt>
                <c:pt idx="14">
                  <c:v>0.41711199999999998</c:v>
                </c:pt>
                <c:pt idx="15">
                  <c:v>0.33333299999999999</c:v>
                </c:pt>
                <c:pt idx="16">
                  <c:v>0.294964</c:v>
                </c:pt>
                <c:pt idx="17">
                  <c:v>0.32478600000000002</c:v>
                </c:pt>
                <c:pt idx="18">
                  <c:v>0.34090900000000002</c:v>
                </c:pt>
                <c:pt idx="19">
                  <c:v>0.253164</c:v>
                </c:pt>
                <c:pt idx="20">
                  <c:v>0.22092999999999999</c:v>
                </c:pt>
                <c:pt idx="21">
                  <c:v>0.265625</c:v>
                </c:pt>
                <c:pt idx="22">
                  <c:v>0.16666700000000001</c:v>
                </c:pt>
                <c:pt idx="23">
                  <c:v>0.189189</c:v>
                </c:pt>
                <c:pt idx="24">
                  <c:v>0.19230700000000001</c:v>
                </c:pt>
                <c:pt idx="25">
                  <c:v>0.183673</c:v>
                </c:pt>
              </c:numCache>
            </c:numRef>
          </c:val>
          <c:smooth val="0"/>
          <c:extLst>
            <c:ext xmlns:c16="http://schemas.microsoft.com/office/drawing/2014/chart" uri="{C3380CC4-5D6E-409C-BE32-E72D297353CC}">
              <c16:uniqueId val="{00000001-266D-BA40-A37E-284CBCCDEDAC}"/>
            </c:ext>
          </c:extLst>
        </c:ser>
        <c:ser>
          <c:idx val="2"/>
          <c:order val="2"/>
          <c:tx>
            <c:strRef>
              <c:f>Sheet1!$D$88</c:f>
              <c:strCache>
                <c:ptCount val="1"/>
                <c:pt idx="0">
                  <c:v>masters graduates</c:v>
                </c:pt>
              </c:strCache>
            </c:strRef>
          </c:tx>
          <c:spPr>
            <a:ln w="12700" cap="rnd">
              <a:solidFill>
                <a:schemeClr val="accent3"/>
              </a:solidFill>
              <a:round/>
            </a:ln>
            <a:effectLst/>
          </c:spPr>
          <c:marker>
            <c:symbol val="triangle"/>
            <c:size val="5"/>
            <c:spPr>
              <a:solidFill>
                <a:schemeClr val="accent3"/>
              </a:solidFill>
              <a:ln w="9525">
                <a:solidFill>
                  <a:schemeClr val="accent3"/>
                </a:solidFill>
              </a:ln>
              <a:effectLst/>
            </c:spPr>
          </c:marker>
          <c:cat>
            <c:numRef>
              <c:f>Sheet1!$A$89:$A$114</c:f>
              <c:numCache>
                <c:formatCode>General</c:formatCode>
                <c:ptCount val="26"/>
                <c:pt idx="0">
                  <c:v>22</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numCache>
            </c:numRef>
          </c:cat>
          <c:val>
            <c:numRef>
              <c:f>Sheet1!$D$89:$D$114</c:f>
              <c:numCache>
                <c:formatCode>General</c:formatCode>
                <c:ptCount val="26"/>
                <c:pt idx="0">
                  <c:v>0.19602900000000001</c:v>
                </c:pt>
                <c:pt idx="1">
                  <c:v>0.16256300000000001</c:v>
                </c:pt>
                <c:pt idx="2">
                  <c:v>0.13791</c:v>
                </c:pt>
                <c:pt idx="3">
                  <c:v>0.16439300000000001</c:v>
                </c:pt>
                <c:pt idx="4">
                  <c:v>0.192161</c:v>
                </c:pt>
                <c:pt idx="5">
                  <c:v>0.21959400000000001</c:v>
                </c:pt>
                <c:pt idx="6">
                  <c:v>0.22831699999999999</c:v>
                </c:pt>
                <c:pt idx="7">
                  <c:v>0.24610899999999999</c:v>
                </c:pt>
                <c:pt idx="8">
                  <c:v>0.25173800000000002</c:v>
                </c:pt>
                <c:pt idx="9">
                  <c:v>0.235841</c:v>
                </c:pt>
                <c:pt idx="10">
                  <c:v>0.25651299999999999</c:v>
                </c:pt>
                <c:pt idx="11">
                  <c:v>0.241116</c:v>
                </c:pt>
                <c:pt idx="12">
                  <c:v>0.193798</c:v>
                </c:pt>
                <c:pt idx="13">
                  <c:v>0.23020199999999999</c:v>
                </c:pt>
                <c:pt idx="14">
                  <c:v>0.18599499999999999</c:v>
                </c:pt>
                <c:pt idx="15">
                  <c:v>0.207207</c:v>
                </c:pt>
                <c:pt idx="16">
                  <c:v>0.17358499999999999</c:v>
                </c:pt>
                <c:pt idx="17">
                  <c:v>0.17333299999999999</c:v>
                </c:pt>
                <c:pt idx="18">
                  <c:v>0.150537</c:v>
                </c:pt>
                <c:pt idx="19">
                  <c:v>0.18867900000000001</c:v>
                </c:pt>
                <c:pt idx="20">
                  <c:v>0.15</c:v>
                </c:pt>
                <c:pt idx="21">
                  <c:v>0.15151500000000001</c:v>
                </c:pt>
                <c:pt idx="22">
                  <c:v>7.2289000000000006E-2</c:v>
                </c:pt>
                <c:pt idx="23">
                  <c:v>0.22619</c:v>
                </c:pt>
                <c:pt idx="24">
                  <c:v>0.16883100000000001</c:v>
                </c:pt>
                <c:pt idx="25">
                  <c:v>0.217391</c:v>
                </c:pt>
              </c:numCache>
            </c:numRef>
          </c:val>
          <c:smooth val="0"/>
          <c:extLst>
            <c:ext xmlns:c16="http://schemas.microsoft.com/office/drawing/2014/chart" uri="{C3380CC4-5D6E-409C-BE32-E72D297353CC}">
              <c16:uniqueId val="{00000002-266D-BA40-A37E-284CBCCDEDAC}"/>
            </c:ext>
          </c:extLst>
        </c:ser>
        <c:dLbls>
          <c:showLegendKey val="0"/>
          <c:showVal val="0"/>
          <c:showCatName val="0"/>
          <c:showSerName val="0"/>
          <c:showPercent val="0"/>
          <c:showBubbleSize val="0"/>
        </c:dLbls>
        <c:marker val="1"/>
        <c:smooth val="0"/>
        <c:axId val="541977096"/>
        <c:axId val="541972832"/>
      </c:lineChart>
      <c:catAx>
        <c:axId val="541977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(22-47)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1972832"/>
        <c:crosses val="autoZero"/>
        <c:auto val="1"/>
        <c:lblAlgn val="ctr"/>
        <c:lblOffset val="100"/>
        <c:noMultiLvlLbl val="0"/>
      </c:catAx>
      <c:valAx>
        <c:axId val="541972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a:t>
                </a:r>
                <a:r>
                  <a:rPr lang="en-GB" baseline="0"/>
                  <a:t> of Staying in the UK</a:t>
                </a:r>
                <a:r>
                  <a:rPr lang="en-GB"/>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1977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9849</Words>
  <Characters>56143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2020-01-07T16:26:00Z</dcterms:created>
  <dcterms:modified xsi:type="dcterms:W3CDTF">2020-10-13T11:23:00Z</dcterms:modified>
</cp:coreProperties>
</file>