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B5489" w14:textId="36A44F0B" w:rsidR="00DB4F00" w:rsidRPr="00684105" w:rsidRDefault="00684105" w:rsidP="00684105">
      <w:pPr>
        <w:jc w:val="center"/>
        <w:rPr>
          <w:rFonts w:ascii="Times New Roman" w:hAnsi="Times New Roman" w:cs="Times New Roman"/>
          <w:b/>
          <w:bCs/>
          <w:color w:val="000000" w:themeColor="text1"/>
        </w:rPr>
      </w:pPr>
      <w:bookmarkStart w:id="0" w:name="_GoBack"/>
      <w:bookmarkEnd w:id="0"/>
      <w:r w:rsidRPr="00684105">
        <w:rPr>
          <w:rFonts w:ascii="Times New Roman" w:hAnsi="Times New Roman" w:cs="Times New Roman"/>
          <w:b/>
          <w:bCs/>
          <w:color w:val="000000" w:themeColor="text1"/>
        </w:rPr>
        <w:t>Supplementary Table 1. Summary of selected studies using UK Biobank CMR data</w:t>
      </w:r>
    </w:p>
    <w:p w14:paraId="7D7A3F97" w14:textId="55E67E4A" w:rsidR="00684105" w:rsidRDefault="00684105"/>
    <w:tbl>
      <w:tblPr>
        <w:tblStyle w:val="TableGridLight"/>
        <w:tblW w:w="15451" w:type="dxa"/>
        <w:jc w:val="center"/>
        <w:tblLook w:val="04A0" w:firstRow="1" w:lastRow="0" w:firstColumn="1" w:lastColumn="0" w:noHBand="0" w:noVBand="1"/>
      </w:tblPr>
      <w:tblGrid>
        <w:gridCol w:w="2617"/>
        <w:gridCol w:w="2718"/>
        <w:gridCol w:w="5438"/>
        <w:gridCol w:w="4678"/>
      </w:tblGrid>
      <w:tr w:rsidR="00833FEE" w:rsidRPr="00833FEE" w14:paraId="75FBD7B4" w14:textId="77777777" w:rsidTr="009C5816">
        <w:trPr>
          <w:jc w:val="center"/>
        </w:trPr>
        <w:tc>
          <w:tcPr>
            <w:tcW w:w="2617" w:type="dxa"/>
            <w:shd w:val="clear" w:color="auto" w:fill="E7E6E6" w:themeFill="background2"/>
          </w:tcPr>
          <w:p w14:paraId="1E5A35D0" w14:textId="77777777" w:rsidR="00684105" w:rsidRPr="00833FEE" w:rsidRDefault="00684105" w:rsidP="00833FEE">
            <w:pPr>
              <w:spacing w:line="480" w:lineRule="auto"/>
              <w:jc w:val="center"/>
              <w:rPr>
                <w:rFonts w:ascii="Times New Roman" w:hAnsi="Times New Roman" w:cs="Times New Roman"/>
                <w:sz w:val="22"/>
                <w:szCs w:val="22"/>
              </w:rPr>
            </w:pPr>
            <w:r w:rsidRPr="00833FEE">
              <w:rPr>
                <w:rFonts w:ascii="Times New Roman" w:hAnsi="Times New Roman" w:cs="Times New Roman"/>
                <w:sz w:val="22"/>
                <w:szCs w:val="22"/>
              </w:rPr>
              <w:t>Author, year of publication</w:t>
            </w:r>
          </w:p>
        </w:tc>
        <w:tc>
          <w:tcPr>
            <w:tcW w:w="2718" w:type="dxa"/>
            <w:shd w:val="clear" w:color="auto" w:fill="E7E6E6" w:themeFill="background2"/>
          </w:tcPr>
          <w:p w14:paraId="05CF3C11" w14:textId="77777777" w:rsidR="00684105" w:rsidRPr="00833FEE" w:rsidRDefault="00684105" w:rsidP="00833FEE">
            <w:pPr>
              <w:spacing w:line="480" w:lineRule="auto"/>
              <w:jc w:val="center"/>
              <w:rPr>
                <w:rFonts w:ascii="Times New Roman" w:hAnsi="Times New Roman" w:cs="Times New Roman"/>
                <w:sz w:val="22"/>
                <w:szCs w:val="22"/>
              </w:rPr>
            </w:pPr>
            <w:r w:rsidRPr="00833FEE">
              <w:rPr>
                <w:rFonts w:ascii="Times New Roman" w:hAnsi="Times New Roman" w:cs="Times New Roman"/>
                <w:sz w:val="22"/>
                <w:szCs w:val="22"/>
              </w:rPr>
              <w:t>Research question/aim</w:t>
            </w:r>
          </w:p>
        </w:tc>
        <w:tc>
          <w:tcPr>
            <w:tcW w:w="5438" w:type="dxa"/>
            <w:shd w:val="clear" w:color="auto" w:fill="E7E6E6" w:themeFill="background2"/>
          </w:tcPr>
          <w:p w14:paraId="7A4000EF" w14:textId="77777777" w:rsidR="00684105" w:rsidRPr="00833FEE" w:rsidRDefault="00684105" w:rsidP="00833FEE">
            <w:pPr>
              <w:spacing w:line="480" w:lineRule="auto"/>
              <w:jc w:val="center"/>
              <w:rPr>
                <w:rFonts w:ascii="Times New Roman" w:hAnsi="Times New Roman" w:cs="Times New Roman"/>
                <w:sz w:val="22"/>
                <w:szCs w:val="22"/>
              </w:rPr>
            </w:pPr>
            <w:r w:rsidRPr="00833FEE">
              <w:rPr>
                <w:rFonts w:ascii="Times New Roman" w:hAnsi="Times New Roman" w:cs="Times New Roman"/>
                <w:sz w:val="22"/>
                <w:szCs w:val="22"/>
              </w:rPr>
              <w:t>Methods</w:t>
            </w:r>
          </w:p>
        </w:tc>
        <w:tc>
          <w:tcPr>
            <w:tcW w:w="4678" w:type="dxa"/>
            <w:shd w:val="clear" w:color="auto" w:fill="E7E6E6" w:themeFill="background2"/>
          </w:tcPr>
          <w:p w14:paraId="0470C9D6" w14:textId="77777777" w:rsidR="00684105" w:rsidRPr="00833FEE" w:rsidRDefault="00684105" w:rsidP="00833FEE">
            <w:pPr>
              <w:spacing w:line="480" w:lineRule="auto"/>
              <w:jc w:val="center"/>
              <w:rPr>
                <w:rFonts w:ascii="Times New Roman" w:hAnsi="Times New Roman" w:cs="Times New Roman"/>
                <w:sz w:val="22"/>
                <w:szCs w:val="22"/>
              </w:rPr>
            </w:pPr>
            <w:r w:rsidRPr="00833FEE">
              <w:rPr>
                <w:rFonts w:ascii="Times New Roman" w:hAnsi="Times New Roman" w:cs="Times New Roman"/>
                <w:sz w:val="22"/>
                <w:szCs w:val="22"/>
              </w:rPr>
              <w:t>Summary of findings</w:t>
            </w:r>
          </w:p>
        </w:tc>
      </w:tr>
      <w:tr w:rsidR="00684105" w:rsidRPr="00833FEE" w14:paraId="1886F67E" w14:textId="77777777" w:rsidTr="009C5816">
        <w:trPr>
          <w:jc w:val="center"/>
        </w:trPr>
        <w:tc>
          <w:tcPr>
            <w:tcW w:w="2617" w:type="dxa"/>
          </w:tcPr>
          <w:p w14:paraId="598F00BC" w14:textId="77777777" w:rsidR="00684105" w:rsidRPr="00833FEE" w:rsidRDefault="00684105" w:rsidP="00833FEE">
            <w:pPr>
              <w:spacing w:line="480" w:lineRule="auto"/>
              <w:rPr>
                <w:rFonts w:ascii="Times New Roman" w:hAnsi="Times New Roman" w:cs="Times New Roman"/>
                <w:sz w:val="22"/>
                <w:szCs w:val="22"/>
              </w:rPr>
            </w:pPr>
            <w:proofErr w:type="spellStart"/>
            <w:r w:rsidRPr="00833FEE">
              <w:rPr>
                <w:rFonts w:ascii="Times New Roman" w:hAnsi="Times New Roman" w:cs="Times New Roman"/>
                <w:sz w:val="22"/>
                <w:szCs w:val="22"/>
              </w:rPr>
              <w:t>Hout</w:t>
            </w:r>
            <w:proofErr w:type="spellEnd"/>
            <w:r w:rsidRPr="00833FEE">
              <w:rPr>
                <w:rFonts w:ascii="Times New Roman" w:hAnsi="Times New Roman" w:cs="Times New Roman"/>
                <w:sz w:val="22"/>
                <w:szCs w:val="22"/>
              </w:rPr>
              <w:t xml:space="preserve"> et al. 2020</w:t>
            </w:r>
          </w:p>
        </w:tc>
        <w:tc>
          <w:tcPr>
            <w:tcW w:w="2718" w:type="dxa"/>
          </w:tcPr>
          <w:p w14:paraId="5E1C1F4F"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is the association of body fat distribution with cardiovascular structure and function?</w:t>
            </w:r>
          </w:p>
        </w:tc>
        <w:tc>
          <w:tcPr>
            <w:tcW w:w="5438" w:type="dxa"/>
          </w:tcPr>
          <w:p w14:paraId="77EA12EE"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 xml:space="preserve"> Multivariate regression models were used to test the association of subcutaneous adiposity, visceral adiposity and body fat percentage with CMR cardiovascular phenotypes in 4,590 UKB participants.</w:t>
            </w:r>
          </w:p>
        </w:tc>
        <w:tc>
          <w:tcPr>
            <w:tcW w:w="4678" w:type="dxa"/>
          </w:tcPr>
          <w:p w14:paraId="69E5309D" w14:textId="0B1C4F59"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Visceral obesity was associated with a smaller LV EDV and subclinical lower LV systolic function in men, suggesting that visceral obesity might play a more important role compared to general obesity in LV remodelling.</w:t>
            </w:r>
          </w:p>
        </w:tc>
      </w:tr>
      <w:tr w:rsidR="00684105" w:rsidRPr="00833FEE" w14:paraId="64570769" w14:textId="77777777" w:rsidTr="009C5816">
        <w:trPr>
          <w:jc w:val="center"/>
        </w:trPr>
        <w:tc>
          <w:tcPr>
            <w:tcW w:w="2617" w:type="dxa"/>
          </w:tcPr>
          <w:p w14:paraId="0CAAF221"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noProof/>
                <w:sz w:val="22"/>
                <w:szCs w:val="22"/>
              </w:rPr>
              <w:t>Biasiolli et al. 2019</w:t>
            </w:r>
          </w:p>
        </w:tc>
        <w:tc>
          <w:tcPr>
            <w:tcW w:w="2718" w:type="dxa"/>
          </w:tcPr>
          <w:p w14:paraId="151791DD" w14:textId="713EA3BC"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To develop and validate a fully automated method to detect and localise the ascending and descending aorta for aortic distensibility measure with a quality control mechanism.</w:t>
            </w:r>
          </w:p>
        </w:tc>
        <w:tc>
          <w:tcPr>
            <w:tcW w:w="5438" w:type="dxa"/>
          </w:tcPr>
          <w:p w14:paraId="444395C4" w14:textId="6294EBC2"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The automated AA and PDA detection-localization algorithm followed these steps: 1) foreground segmentation; 2) detection of candidate ROIs by Circular Hough Transform; 3) spatial, histogram and shape feature extraction for candidate ROIs; 4) AA and PDA detection using Random Forest (RF); 5) quality control based on RF detection probability. The algorithm was tested on 3,900 UKB CMR scans.</w:t>
            </w:r>
          </w:p>
        </w:tc>
        <w:tc>
          <w:tcPr>
            <w:tcW w:w="4678" w:type="dxa"/>
          </w:tcPr>
          <w:p w14:paraId="6FD548CE" w14:textId="03558BCF"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The proposed method for automated AA and PDA localization was extremely accurate and the automatically derived detection probabilities provided a robust mechanism to detect low quality scans for further human review.</w:t>
            </w:r>
          </w:p>
        </w:tc>
      </w:tr>
      <w:tr w:rsidR="00684105" w:rsidRPr="00833FEE" w14:paraId="4473D372" w14:textId="77777777" w:rsidTr="009C5816">
        <w:trPr>
          <w:jc w:val="center"/>
        </w:trPr>
        <w:tc>
          <w:tcPr>
            <w:tcW w:w="2617" w:type="dxa"/>
          </w:tcPr>
          <w:p w14:paraId="79C43BA8"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Attar et al. 2019</w:t>
            </w:r>
          </w:p>
        </w:tc>
        <w:tc>
          <w:tcPr>
            <w:tcW w:w="2718" w:type="dxa"/>
          </w:tcPr>
          <w:p w14:paraId="7831872D" w14:textId="5015EBD4"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To develop and evaluate a fully automated CMR image analysis pipeline</w:t>
            </w:r>
            <w:r w:rsidR="00833FEE" w:rsidRPr="00833FEE">
              <w:rPr>
                <w:rFonts w:ascii="Times New Roman" w:hAnsi="Times New Roman" w:cs="Times New Roman"/>
                <w:sz w:val="22"/>
                <w:szCs w:val="22"/>
              </w:rPr>
              <w:t>.</w:t>
            </w:r>
            <w:r w:rsidRPr="00833FEE">
              <w:rPr>
                <w:rFonts w:ascii="Times New Roman" w:hAnsi="Times New Roman" w:cs="Times New Roman"/>
                <w:sz w:val="22"/>
                <w:szCs w:val="22"/>
              </w:rPr>
              <w:t xml:space="preserve"> </w:t>
            </w:r>
          </w:p>
        </w:tc>
        <w:tc>
          <w:tcPr>
            <w:tcW w:w="5438" w:type="dxa"/>
          </w:tcPr>
          <w:p w14:paraId="1F1BBFF6" w14:textId="6D8BF4A8"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 xml:space="preserve">The authors present and evaluate a fully automatic scalable CMR  image analysis pipeline with inbuilt quality control using 20,000 cases from the UKB for LV/RV quantification. The pipeline is validated on 4,620 manually annotated UKB cases. </w:t>
            </w:r>
          </w:p>
        </w:tc>
        <w:tc>
          <w:tcPr>
            <w:tcW w:w="4678" w:type="dxa"/>
          </w:tcPr>
          <w:p w14:paraId="06A00887" w14:textId="2D35C865"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The presented pipeline performs end-to-end image analytics from multi-view cine CMR to LV/RV quantification without need for manual user interactions, with quality control of image input and outputted segmentations.</w:t>
            </w:r>
          </w:p>
        </w:tc>
      </w:tr>
      <w:tr w:rsidR="00684105" w:rsidRPr="00833FEE" w14:paraId="492882F8" w14:textId="77777777" w:rsidTr="009C5816">
        <w:trPr>
          <w:jc w:val="center"/>
        </w:trPr>
        <w:tc>
          <w:tcPr>
            <w:tcW w:w="2617" w:type="dxa"/>
          </w:tcPr>
          <w:p w14:paraId="2A83A34B"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Jensen et al. 2019</w:t>
            </w:r>
          </w:p>
        </w:tc>
        <w:tc>
          <w:tcPr>
            <w:tcW w:w="2718" w:type="dxa"/>
          </w:tcPr>
          <w:p w14:paraId="171C36C9" w14:textId="192ACC18"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are the early alterations in cardiac structure and function associated with DM?</w:t>
            </w:r>
          </w:p>
        </w:tc>
        <w:tc>
          <w:tcPr>
            <w:tcW w:w="5438" w:type="dxa"/>
          </w:tcPr>
          <w:p w14:paraId="306E7BE3"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 xml:space="preserve">Multivariable regression models were built to ascertain the association of DM status with CMR phenotypes in a subpopulation without pre-existing cardiovascular disease and LVEF </w:t>
            </w:r>
            <m:oMath>
              <m:r>
                <w:rPr>
                  <w:rFonts w:ascii="Cambria Math" w:hAnsi="Cambria Math" w:cs="Times New Roman"/>
                  <w:sz w:val="22"/>
                  <w:szCs w:val="22"/>
                </w:rPr>
                <m:t>≥</m:t>
              </m:r>
            </m:oMath>
            <w:r w:rsidRPr="00833FEE">
              <w:rPr>
                <w:rFonts w:ascii="Times New Roman" w:eastAsiaTheme="minorEastAsia" w:hAnsi="Times New Roman" w:cs="Times New Roman"/>
                <w:sz w:val="22"/>
                <w:szCs w:val="22"/>
              </w:rPr>
              <w:t xml:space="preserve"> 50% (n=3984)</w:t>
            </w:r>
          </w:p>
        </w:tc>
        <w:tc>
          <w:tcPr>
            <w:tcW w:w="4678" w:type="dxa"/>
          </w:tcPr>
          <w:p w14:paraId="19937627" w14:textId="06A05FF1" w:rsidR="00684105" w:rsidRPr="00833FEE" w:rsidRDefault="00684105" w:rsidP="00833FEE">
            <w:pPr>
              <w:spacing w:line="480" w:lineRule="auto"/>
              <w:rPr>
                <w:rFonts w:ascii="Times New Roman" w:hAnsi="Times New Roman" w:cs="Times New Roman"/>
                <w:sz w:val="22"/>
                <w:szCs w:val="22"/>
              </w:rPr>
            </w:pPr>
            <w:r w:rsidRPr="00833FEE">
              <w:rPr>
                <w:rFonts w:ascii="Calibri" w:hAnsi="Calibri" w:cs="Calibri"/>
                <w:sz w:val="22"/>
                <w:szCs w:val="22"/>
              </w:rPr>
              <w:t>I</w:t>
            </w:r>
            <w:r w:rsidRPr="00833FEE">
              <w:rPr>
                <w:rFonts w:ascii="Times New Roman" w:hAnsi="Times New Roman" w:cs="Times New Roman"/>
                <w:sz w:val="22"/>
                <w:szCs w:val="22"/>
              </w:rPr>
              <w:t xml:space="preserve">n a low-risk general population without known cardiovascular disease and with preserved LV ejection fraction, DM </w:t>
            </w:r>
            <w:r w:rsidR="00833FEE">
              <w:rPr>
                <w:rFonts w:ascii="Times New Roman" w:hAnsi="Times New Roman" w:cs="Times New Roman"/>
                <w:sz w:val="22"/>
                <w:szCs w:val="22"/>
              </w:rPr>
              <w:t>was</w:t>
            </w:r>
            <w:r w:rsidRPr="00833FEE">
              <w:rPr>
                <w:rFonts w:ascii="Times New Roman" w:hAnsi="Times New Roman" w:cs="Times New Roman"/>
                <w:sz w:val="22"/>
                <w:szCs w:val="22"/>
              </w:rPr>
              <w:t xml:space="preserve"> associated with early changes in all 4 cardiac chambers. </w:t>
            </w:r>
          </w:p>
        </w:tc>
      </w:tr>
      <w:tr w:rsidR="00684105" w:rsidRPr="00833FEE" w14:paraId="06BA2BF5" w14:textId="77777777" w:rsidTr="009C5816">
        <w:trPr>
          <w:jc w:val="center"/>
        </w:trPr>
        <w:tc>
          <w:tcPr>
            <w:tcW w:w="2617" w:type="dxa"/>
          </w:tcPr>
          <w:p w14:paraId="323544E7"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Hendriks et al. 2019</w:t>
            </w:r>
          </w:p>
        </w:tc>
        <w:tc>
          <w:tcPr>
            <w:tcW w:w="2718" w:type="dxa"/>
          </w:tcPr>
          <w:p w14:paraId="40A11F78" w14:textId="32B0597E"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are the effects of lifelong exposure to high SBP on LV structure and function?</w:t>
            </w:r>
          </w:p>
        </w:tc>
        <w:tc>
          <w:tcPr>
            <w:tcW w:w="5438" w:type="dxa"/>
          </w:tcPr>
          <w:p w14:paraId="5C504C20" w14:textId="74050678"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A genetic risk score to estimate genetically predicted SBP (</w:t>
            </w:r>
            <w:proofErr w:type="spellStart"/>
            <w:r w:rsidRPr="00833FEE">
              <w:rPr>
                <w:rFonts w:ascii="Times New Roman" w:hAnsi="Times New Roman" w:cs="Times New Roman"/>
                <w:sz w:val="22"/>
                <w:szCs w:val="22"/>
              </w:rPr>
              <w:t>gSBP</w:t>
            </w:r>
            <w:proofErr w:type="spellEnd"/>
            <w:r w:rsidRPr="00833FEE">
              <w:rPr>
                <w:rFonts w:ascii="Times New Roman" w:hAnsi="Times New Roman" w:cs="Times New Roman"/>
                <w:sz w:val="22"/>
                <w:szCs w:val="22"/>
              </w:rPr>
              <w:t xml:space="preserve">) was constructed based on 107 previously established genetic variants. Manual CMR image analysis was performed for 300 individuals at the extremes of </w:t>
            </w:r>
            <w:proofErr w:type="spellStart"/>
            <w:r w:rsidRPr="00833FEE">
              <w:rPr>
                <w:rFonts w:ascii="Times New Roman" w:hAnsi="Times New Roman" w:cs="Times New Roman"/>
                <w:sz w:val="22"/>
                <w:szCs w:val="22"/>
              </w:rPr>
              <w:t>gSBP</w:t>
            </w:r>
            <w:proofErr w:type="spellEnd"/>
            <w:r w:rsidRPr="00833FEE">
              <w:rPr>
                <w:rFonts w:ascii="Times New Roman" w:hAnsi="Times New Roman" w:cs="Times New Roman"/>
                <w:sz w:val="22"/>
                <w:szCs w:val="22"/>
              </w:rPr>
              <w:t xml:space="preserve">. Multivariable linear regression analyses of imaging biomarkers were performed using </w:t>
            </w:r>
            <w:proofErr w:type="spellStart"/>
            <w:r w:rsidRPr="00833FEE">
              <w:rPr>
                <w:rFonts w:ascii="Times New Roman" w:hAnsi="Times New Roman" w:cs="Times New Roman"/>
                <w:sz w:val="22"/>
                <w:szCs w:val="22"/>
              </w:rPr>
              <w:t>gSBP</w:t>
            </w:r>
            <w:proofErr w:type="spellEnd"/>
            <w:r w:rsidRPr="00833FEE">
              <w:rPr>
                <w:rFonts w:ascii="Times New Roman" w:hAnsi="Times New Roman" w:cs="Times New Roman"/>
                <w:sz w:val="22"/>
                <w:szCs w:val="22"/>
              </w:rPr>
              <w:t xml:space="preserve"> as continuous independent variable.</w:t>
            </w:r>
          </w:p>
        </w:tc>
        <w:tc>
          <w:tcPr>
            <w:tcW w:w="4678" w:type="dxa"/>
          </w:tcPr>
          <w:p w14:paraId="0F854524" w14:textId="30AD8936"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This study provides a novel line of evidence for a causal relationship between SBP and increased LV mass and with increased LV global radial strain.</w:t>
            </w:r>
          </w:p>
        </w:tc>
      </w:tr>
      <w:tr w:rsidR="00684105" w:rsidRPr="00833FEE" w14:paraId="27851279" w14:textId="77777777" w:rsidTr="009C5816">
        <w:trPr>
          <w:jc w:val="center"/>
        </w:trPr>
        <w:tc>
          <w:tcPr>
            <w:tcW w:w="2617" w:type="dxa"/>
          </w:tcPr>
          <w:p w14:paraId="2F34FA1F"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Aung et al. 2019</w:t>
            </w:r>
          </w:p>
        </w:tc>
        <w:tc>
          <w:tcPr>
            <w:tcW w:w="2718" w:type="dxa"/>
          </w:tcPr>
          <w:p w14:paraId="1E6C3FDF" w14:textId="788F760A" w:rsidR="00684105" w:rsidRPr="00833FEE" w:rsidRDefault="00684105" w:rsidP="00833FEE">
            <w:pPr>
              <w:spacing w:line="480" w:lineRule="auto"/>
              <w:rPr>
                <w:rFonts w:ascii="Times New Roman" w:hAnsi="Times New Roman" w:cs="Times New Roman"/>
                <w:sz w:val="22"/>
                <w:szCs w:val="22"/>
              </w:rPr>
            </w:pPr>
            <w:r w:rsidRPr="00833FEE">
              <w:rPr>
                <w:rFonts w:ascii="Calibri" w:hAnsi="Calibri" w:cs="Calibri"/>
                <w:sz w:val="22"/>
                <w:szCs w:val="22"/>
              </w:rPr>
              <w:t>What is the</w:t>
            </w:r>
            <w:r w:rsidRPr="00833FEE">
              <w:rPr>
                <w:rFonts w:ascii="Times New Roman" w:hAnsi="Times New Roman" w:cs="Times New Roman"/>
                <w:sz w:val="22"/>
                <w:szCs w:val="22"/>
              </w:rPr>
              <w:t xml:space="preserve"> genetic basis of LV image-derived phenotypes?</w:t>
            </w:r>
          </w:p>
        </w:tc>
        <w:tc>
          <w:tcPr>
            <w:tcW w:w="5438" w:type="dxa"/>
          </w:tcPr>
          <w:p w14:paraId="39DB01DD"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Genome wide association study of LVEDV, LVESV, LVEF, and LVM, using 16,923 CMR cases from the UK Biobank and genotyping data at baseline.</w:t>
            </w:r>
          </w:p>
        </w:tc>
        <w:tc>
          <w:tcPr>
            <w:tcW w:w="4678" w:type="dxa"/>
          </w:tcPr>
          <w:p w14:paraId="21E34970"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14 novel genetic loci were identified for LV CMR phenotypes.</w:t>
            </w:r>
          </w:p>
        </w:tc>
      </w:tr>
      <w:tr w:rsidR="00684105" w:rsidRPr="00833FEE" w14:paraId="692B406C" w14:textId="77777777" w:rsidTr="009C5816">
        <w:trPr>
          <w:jc w:val="center"/>
        </w:trPr>
        <w:tc>
          <w:tcPr>
            <w:tcW w:w="2617" w:type="dxa"/>
          </w:tcPr>
          <w:p w14:paraId="37227C0E" w14:textId="77777777" w:rsidR="00684105" w:rsidRPr="00833FEE" w:rsidRDefault="00684105" w:rsidP="00833FEE">
            <w:pPr>
              <w:spacing w:line="480" w:lineRule="auto"/>
              <w:rPr>
                <w:rFonts w:ascii="Times New Roman" w:hAnsi="Times New Roman" w:cs="Times New Roman"/>
                <w:sz w:val="22"/>
                <w:szCs w:val="22"/>
              </w:rPr>
            </w:pPr>
            <w:proofErr w:type="spellStart"/>
            <w:r w:rsidRPr="00833FEE">
              <w:rPr>
                <w:rFonts w:ascii="Times New Roman" w:hAnsi="Times New Roman" w:cs="Times New Roman"/>
                <w:sz w:val="22"/>
                <w:szCs w:val="22"/>
              </w:rPr>
              <w:t>Khanji</w:t>
            </w:r>
            <w:proofErr w:type="spellEnd"/>
            <w:r w:rsidRPr="00833FEE">
              <w:rPr>
                <w:rFonts w:ascii="Times New Roman" w:hAnsi="Times New Roman" w:cs="Times New Roman"/>
                <w:sz w:val="22"/>
                <w:szCs w:val="22"/>
              </w:rPr>
              <w:t xml:space="preserve"> et al. 2019</w:t>
            </w:r>
          </w:p>
        </w:tc>
        <w:tc>
          <w:tcPr>
            <w:tcW w:w="2718" w:type="dxa"/>
          </w:tcPr>
          <w:p w14:paraId="40FE0598"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is the association of cannabis use with cardiovascular structure and function on CMR?</w:t>
            </w:r>
          </w:p>
        </w:tc>
        <w:tc>
          <w:tcPr>
            <w:tcW w:w="5438" w:type="dxa"/>
          </w:tcPr>
          <w:p w14:paraId="6C297042"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Multivariate regression models were used to test effect of regular, never/rare, or previous cannabis use on CMR cardiovascular indices in a sample of 3,407 UKB participants.</w:t>
            </w:r>
          </w:p>
        </w:tc>
        <w:tc>
          <w:tcPr>
            <w:tcW w:w="4678" w:type="dxa"/>
          </w:tcPr>
          <w:p w14:paraId="0CC47E3A" w14:textId="65E7615F"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Regular cannabis use was associated with larger LVEDV, LVESV, and impaired global circumferential strain compared with rare/no cannabis use.</w:t>
            </w:r>
          </w:p>
        </w:tc>
      </w:tr>
      <w:tr w:rsidR="00684105" w:rsidRPr="00833FEE" w14:paraId="795D794B" w14:textId="77777777" w:rsidTr="009C5816">
        <w:trPr>
          <w:jc w:val="center"/>
        </w:trPr>
        <w:tc>
          <w:tcPr>
            <w:tcW w:w="2617" w:type="dxa"/>
          </w:tcPr>
          <w:p w14:paraId="3B5368C5" w14:textId="77777777" w:rsidR="00684105" w:rsidRPr="00833FEE" w:rsidRDefault="00684105" w:rsidP="00833FEE">
            <w:pPr>
              <w:spacing w:line="480" w:lineRule="auto"/>
              <w:rPr>
                <w:rFonts w:ascii="Times New Roman" w:hAnsi="Times New Roman" w:cs="Times New Roman"/>
                <w:sz w:val="22"/>
                <w:szCs w:val="22"/>
              </w:rPr>
            </w:pPr>
            <w:proofErr w:type="spellStart"/>
            <w:r w:rsidRPr="00833FEE">
              <w:rPr>
                <w:rFonts w:ascii="Times New Roman" w:hAnsi="Times New Roman" w:cs="Times New Roman"/>
                <w:sz w:val="22"/>
                <w:szCs w:val="22"/>
              </w:rPr>
              <w:t>Elmahi</w:t>
            </w:r>
            <w:proofErr w:type="spellEnd"/>
            <w:r w:rsidRPr="00833FEE">
              <w:rPr>
                <w:rFonts w:ascii="Times New Roman" w:hAnsi="Times New Roman" w:cs="Times New Roman"/>
                <w:sz w:val="22"/>
                <w:szCs w:val="22"/>
              </w:rPr>
              <w:t xml:space="preserve"> et al. 2019</w:t>
            </w:r>
          </w:p>
        </w:tc>
        <w:tc>
          <w:tcPr>
            <w:tcW w:w="2718" w:type="dxa"/>
          </w:tcPr>
          <w:p w14:paraId="09E718DF"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is the association between history of pregnancy loss and imaging measures of cardiovascular function?</w:t>
            </w:r>
          </w:p>
        </w:tc>
        <w:tc>
          <w:tcPr>
            <w:tcW w:w="5438" w:type="dxa"/>
          </w:tcPr>
          <w:p w14:paraId="01B1EB8C"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Multivariable linear regression models were used to test association between self-reported pregnancy loss and CMR measures of cardiac structure and function and carotid ultrasound measures of arterial health in 2660 women from UKB.</w:t>
            </w:r>
          </w:p>
        </w:tc>
        <w:tc>
          <w:tcPr>
            <w:tcW w:w="4678" w:type="dxa"/>
          </w:tcPr>
          <w:p w14:paraId="21A606BE"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In this analysis, women who self-report pregnancy loss did not have significant differences in cardiac structure, cardiac function, or carotid structure in later life.</w:t>
            </w:r>
          </w:p>
        </w:tc>
      </w:tr>
      <w:tr w:rsidR="00684105" w:rsidRPr="00833FEE" w14:paraId="794E6E55" w14:textId="77777777" w:rsidTr="009C5816">
        <w:trPr>
          <w:jc w:val="center"/>
        </w:trPr>
        <w:tc>
          <w:tcPr>
            <w:tcW w:w="2617" w:type="dxa"/>
          </w:tcPr>
          <w:p w14:paraId="12033406"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Gilbert et al. 2019</w:t>
            </w:r>
          </w:p>
        </w:tc>
        <w:tc>
          <w:tcPr>
            <w:tcW w:w="2718" w:type="dxa"/>
          </w:tcPr>
          <w:p w14:paraId="1FEF94BC"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 xml:space="preserve">What are the associations of cardiac atlas morphometric measures with cardiovascular risk factors </w:t>
            </w:r>
            <w:r w:rsidRPr="00833FEE">
              <w:rPr>
                <w:rFonts w:ascii="Times New Roman" w:hAnsi="Times New Roman" w:cs="Times New Roman"/>
                <w:sz w:val="22"/>
                <w:szCs w:val="22"/>
              </w:rPr>
              <w:lastRenderedPageBreak/>
              <w:t>and do these vary by type of atlas?</w:t>
            </w:r>
          </w:p>
        </w:tc>
        <w:tc>
          <w:tcPr>
            <w:tcW w:w="5438" w:type="dxa"/>
          </w:tcPr>
          <w:p w14:paraId="4529BFDF" w14:textId="12627321"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 xml:space="preserve">Two independent LV atlases were constructed from 4,547 UKB CMR scans. The strength of associations between atlas principal components and cardiovascular risk factors (smoking, DM , high blood pressure, high cholesterol and </w:t>
            </w:r>
            <w:r w:rsidRPr="00833FEE">
              <w:rPr>
                <w:rFonts w:ascii="Times New Roman" w:hAnsi="Times New Roman" w:cs="Times New Roman"/>
                <w:sz w:val="22"/>
                <w:szCs w:val="22"/>
              </w:rPr>
              <w:lastRenderedPageBreak/>
              <w:t>angina) were quantified with logistic regression models. Comparison was made between different atlases.</w:t>
            </w:r>
          </w:p>
        </w:tc>
        <w:tc>
          <w:tcPr>
            <w:tcW w:w="4678" w:type="dxa"/>
          </w:tcPr>
          <w:p w14:paraId="6DB2A41A" w14:textId="23050375"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 xml:space="preserve">Morphometric variations associated with each risk factor could be quantified and visualized and were similar between atlases. UK Biobank LV shape atlases are robust to construction method and </w:t>
            </w:r>
            <w:r w:rsidRPr="00833FEE">
              <w:rPr>
                <w:rFonts w:ascii="Times New Roman" w:hAnsi="Times New Roman" w:cs="Times New Roman"/>
                <w:sz w:val="22"/>
                <w:szCs w:val="22"/>
              </w:rPr>
              <w:lastRenderedPageBreak/>
              <w:t>show stronger relationships with cardiovascular risk factors than mass and volume.</w:t>
            </w:r>
          </w:p>
        </w:tc>
      </w:tr>
      <w:tr w:rsidR="00684105" w:rsidRPr="00833FEE" w14:paraId="702D14C1" w14:textId="77777777" w:rsidTr="009C5816">
        <w:trPr>
          <w:jc w:val="center"/>
        </w:trPr>
        <w:tc>
          <w:tcPr>
            <w:tcW w:w="2617" w:type="dxa"/>
          </w:tcPr>
          <w:p w14:paraId="50EB9A81" w14:textId="77777777" w:rsidR="00684105" w:rsidRPr="00833FEE" w:rsidRDefault="00684105" w:rsidP="00833FEE">
            <w:pPr>
              <w:spacing w:line="480" w:lineRule="auto"/>
              <w:rPr>
                <w:rFonts w:ascii="Times New Roman" w:hAnsi="Times New Roman" w:cs="Times New Roman"/>
                <w:sz w:val="22"/>
                <w:szCs w:val="22"/>
              </w:rPr>
            </w:pPr>
            <w:proofErr w:type="spellStart"/>
            <w:r w:rsidRPr="00833FEE">
              <w:rPr>
                <w:rFonts w:ascii="Times New Roman" w:hAnsi="Times New Roman" w:cs="Times New Roman"/>
                <w:sz w:val="22"/>
                <w:szCs w:val="22"/>
              </w:rPr>
              <w:lastRenderedPageBreak/>
              <w:t>Mauger</w:t>
            </w:r>
            <w:proofErr w:type="spellEnd"/>
            <w:r w:rsidRPr="00833FEE">
              <w:rPr>
                <w:rFonts w:ascii="Times New Roman" w:hAnsi="Times New Roman" w:cs="Times New Roman"/>
                <w:sz w:val="22"/>
                <w:szCs w:val="22"/>
              </w:rPr>
              <w:t xml:space="preserve"> et al. 2019</w:t>
            </w:r>
          </w:p>
        </w:tc>
        <w:tc>
          <w:tcPr>
            <w:tcW w:w="2718" w:type="dxa"/>
          </w:tcPr>
          <w:p w14:paraId="799328CB" w14:textId="635B31AD" w:rsidR="00684105" w:rsidRPr="00833FEE" w:rsidRDefault="00684105" w:rsidP="00833FEE">
            <w:pPr>
              <w:spacing w:line="480" w:lineRule="auto"/>
              <w:rPr>
                <w:rFonts w:ascii="Times New Roman" w:hAnsi="Times New Roman" w:cs="Times New Roman"/>
                <w:sz w:val="22"/>
                <w:szCs w:val="22"/>
              </w:rPr>
            </w:pPr>
            <w:r w:rsidRPr="00833FEE">
              <w:rPr>
                <w:rFonts w:ascii="Calibri" w:hAnsi="Calibri" w:cs="Calibri"/>
                <w:sz w:val="22"/>
                <w:szCs w:val="22"/>
              </w:rPr>
              <w:t>What are the</w:t>
            </w:r>
            <w:r w:rsidRPr="00833FEE">
              <w:rPr>
                <w:rFonts w:ascii="Times New Roman" w:hAnsi="Times New Roman" w:cs="Times New Roman"/>
                <w:sz w:val="22"/>
                <w:szCs w:val="22"/>
              </w:rPr>
              <w:t xml:space="preserve"> associations between cardiovascular disease risk factors and the biventricular cardiac atlas morphometrics?  </w:t>
            </w:r>
          </w:p>
        </w:tc>
        <w:tc>
          <w:tcPr>
            <w:tcW w:w="5438" w:type="dxa"/>
          </w:tcPr>
          <w:p w14:paraId="1D90DD19" w14:textId="3794085B"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A biventricular shape atlas was automatically constructed using contours and landmarks from 4</w:t>
            </w:r>
            <w:r w:rsidR="00833FEE">
              <w:rPr>
                <w:rFonts w:ascii="Times New Roman" w:hAnsi="Times New Roman" w:cs="Times New Roman"/>
                <w:sz w:val="22"/>
                <w:szCs w:val="22"/>
              </w:rPr>
              <w:t>,</w:t>
            </w:r>
            <w:r w:rsidRPr="00833FEE">
              <w:rPr>
                <w:rFonts w:ascii="Times New Roman" w:hAnsi="Times New Roman" w:cs="Times New Roman"/>
                <w:sz w:val="22"/>
                <w:szCs w:val="22"/>
              </w:rPr>
              <w:t>329 UKB CMR studies. A reference sub-cohort was identified consisting of 630 participants with no cardiovascular risk factors. Morphometric scores were computed using linear regression to quantify shape variations associated with high cholesterol, high blood pressure, obesity, smoking, DM, previous myocardial infarction and angina.</w:t>
            </w:r>
          </w:p>
        </w:tc>
        <w:tc>
          <w:tcPr>
            <w:tcW w:w="4678" w:type="dxa"/>
          </w:tcPr>
          <w:p w14:paraId="597ECA8B" w14:textId="3C8DB27C"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Morphometric relationships between biventricular shape and cardiovascular risk factors in a large cohort show complex interactions between RV and LV morphology. These can be quantified by z-scores, which can be used to study the morphological correlates of disease.</w:t>
            </w:r>
          </w:p>
        </w:tc>
      </w:tr>
      <w:tr w:rsidR="00684105" w:rsidRPr="00833FEE" w14:paraId="7264F860" w14:textId="77777777" w:rsidTr="009C5816">
        <w:trPr>
          <w:jc w:val="center"/>
        </w:trPr>
        <w:tc>
          <w:tcPr>
            <w:tcW w:w="2617" w:type="dxa"/>
          </w:tcPr>
          <w:p w14:paraId="0C821D4A"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Bai et al. 2018</w:t>
            </w:r>
          </w:p>
        </w:tc>
        <w:tc>
          <w:tcPr>
            <w:tcW w:w="2718" w:type="dxa"/>
          </w:tcPr>
          <w:p w14:paraId="76AA4605"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To develop automated methods for CMR cardiac chamber segmentation?</w:t>
            </w:r>
          </w:p>
        </w:tc>
        <w:tc>
          <w:tcPr>
            <w:tcW w:w="5438" w:type="dxa"/>
          </w:tcPr>
          <w:p w14:paraId="7D4D191C" w14:textId="10D7B5CE"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A fully convolutional network</w:t>
            </w:r>
            <w:r w:rsidR="00833FEE" w:rsidRPr="00833FEE">
              <w:rPr>
                <w:rFonts w:ascii="Times New Roman" w:hAnsi="Times New Roman" w:cs="Times New Roman"/>
                <w:sz w:val="22"/>
                <w:szCs w:val="22"/>
              </w:rPr>
              <w:t xml:space="preserve"> </w:t>
            </w:r>
            <w:r w:rsidRPr="00833FEE">
              <w:rPr>
                <w:rFonts w:ascii="Times New Roman" w:hAnsi="Times New Roman" w:cs="Times New Roman"/>
                <w:sz w:val="22"/>
                <w:szCs w:val="22"/>
              </w:rPr>
              <w:t>was trained and evaluated on a 4,875 CMR studies from the UK Biobank to develop a fully an automated analysis method for segmentation of LV, RV, LA, and RA.</w:t>
            </w:r>
          </w:p>
        </w:tc>
        <w:tc>
          <w:tcPr>
            <w:tcW w:w="4678" w:type="dxa"/>
          </w:tcPr>
          <w:p w14:paraId="11C94B93" w14:textId="7876C28C"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The presented automated method achieves a performance on par with human experts in analysing CMR images and deriving clinically relevant measures.</w:t>
            </w:r>
          </w:p>
        </w:tc>
      </w:tr>
      <w:tr w:rsidR="00684105" w:rsidRPr="00833FEE" w14:paraId="42E1EC95" w14:textId="77777777" w:rsidTr="009C5816">
        <w:trPr>
          <w:jc w:val="center"/>
        </w:trPr>
        <w:tc>
          <w:tcPr>
            <w:tcW w:w="2617" w:type="dxa"/>
          </w:tcPr>
          <w:p w14:paraId="26998100"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Sanghvi et al. 2018</w:t>
            </w:r>
          </w:p>
        </w:tc>
        <w:tc>
          <w:tcPr>
            <w:tcW w:w="2718" w:type="dxa"/>
          </w:tcPr>
          <w:p w14:paraId="69F695DE"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 xml:space="preserve">What is the effect of menopausal hormonal </w:t>
            </w:r>
            <w:r w:rsidRPr="00833FEE">
              <w:rPr>
                <w:rFonts w:ascii="Times New Roman" w:hAnsi="Times New Roman" w:cs="Times New Roman"/>
                <w:sz w:val="22"/>
                <w:szCs w:val="22"/>
              </w:rPr>
              <w:lastRenderedPageBreak/>
              <w:t>therapy on CMR cardiovascular phenotypes?</w:t>
            </w:r>
          </w:p>
        </w:tc>
        <w:tc>
          <w:tcPr>
            <w:tcW w:w="5438" w:type="dxa"/>
          </w:tcPr>
          <w:p w14:paraId="33E060AF" w14:textId="7F125D4E"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 xml:space="preserve">Multivariable linear regression was performed to examine the relationship between CMR cardiac parameters and </w:t>
            </w:r>
            <w:r w:rsidRPr="00833FEE">
              <w:rPr>
                <w:rFonts w:ascii="Times New Roman" w:hAnsi="Times New Roman" w:cs="Times New Roman"/>
                <w:sz w:val="22"/>
                <w:szCs w:val="22"/>
              </w:rPr>
              <w:lastRenderedPageBreak/>
              <w:t xml:space="preserve">menopausal hormonal therapy use </w:t>
            </w:r>
            <m:oMath>
              <m:r>
                <w:rPr>
                  <w:rFonts w:ascii="Cambria Math" w:hAnsi="Cambria Math" w:cs="Times New Roman"/>
                  <w:sz w:val="22"/>
                  <w:szCs w:val="22"/>
                </w:rPr>
                <m:t>≥</m:t>
              </m:r>
            </m:oMath>
            <w:r w:rsidRPr="00833FEE">
              <w:rPr>
                <w:rFonts w:ascii="Times New Roman" w:eastAsiaTheme="minorEastAsia" w:hAnsi="Times New Roman" w:cs="Times New Roman"/>
                <w:sz w:val="22"/>
                <w:szCs w:val="22"/>
              </w:rPr>
              <w:t xml:space="preserve"> </w:t>
            </w:r>
            <w:r w:rsidRPr="00833FEE">
              <w:rPr>
                <w:rFonts w:ascii="Times New Roman" w:hAnsi="Times New Roman" w:cs="Times New Roman"/>
                <w:sz w:val="22"/>
                <w:szCs w:val="22"/>
              </w:rPr>
              <w:t>3 years in 1,604 postmenopausal women from UKB.</w:t>
            </w:r>
          </w:p>
        </w:tc>
        <w:tc>
          <w:tcPr>
            <w:tcW w:w="4678" w:type="dxa"/>
          </w:tcPr>
          <w:p w14:paraId="41E9D6CA" w14:textId="67B955F2"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Menopausal hormonal therapy use was not associated with adverse, subclinical changes in cardiac structure and function</w:t>
            </w:r>
          </w:p>
        </w:tc>
      </w:tr>
      <w:tr w:rsidR="00684105" w:rsidRPr="00833FEE" w14:paraId="531A0660" w14:textId="77777777" w:rsidTr="009C5816">
        <w:trPr>
          <w:jc w:val="center"/>
        </w:trPr>
        <w:tc>
          <w:tcPr>
            <w:tcW w:w="2617" w:type="dxa"/>
          </w:tcPr>
          <w:p w14:paraId="703DEADD"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Aung et al. 2018</w:t>
            </w:r>
          </w:p>
        </w:tc>
        <w:tc>
          <w:tcPr>
            <w:tcW w:w="2718" w:type="dxa"/>
          </w:tcPr>
          <w:p w14:paraId="12681F38" w14:textId="3E6656FC"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is the effect of exposure to ambient air pollution on CMR cardiovascular phenotypes?</w:t>
            </w:r>
          </w:p>
        </w:tc>
        <w:tc>
          <w:tcPr>
            <w:tcW w:w="5438" w:type="dxa"/>
          </w:tcPr>
          <w:p w14:paraId="3F824F6E"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Multivariable linear models were built to test association of previous exposure to ambient air pollution on CMR indices of cardiac structure and function in 3,920 UKB participants without pre-existing cardiovascular disease.</w:t>
            </w:r>
          </w:p>
        </w:tc>
        <w:tc>
          <w:tcPr>
            <w:tcW w:w="4678" w:type="dxa"/>
          </w:tcPr>
          <w:p w14:paraId="052E0F9F" w14:textId="67BFA36D" w:rsidR="00684105" w:rsidRPr="00833FEE" w:rsidRDefault="00833FEE" w:rsidP="00833FEE">
            <w:pPr>
              <w:spacing w:line="480" w:lineRule="auto"/>
              <w:rPr>
                <w:rFonts w:ascii="Times New Roman" w:hAnsi="Times New Roman" w:cs="Times New Roman"/>
                <w:sz w:val="22"/>
                <w:szCs w:val="22"/>
              </w:rPr>
            </w:pPr>
            <w:r>
              <w:rPr>
                <w:rFonts w:ascii="Times New Roman" w:hAnsi="Times New Roman" w:cs="Times New Roman"/>
                <w:sz w:val="22"/>
                <w:szCs w:val="22"/>
              </w:rPr>
              <w:t>H</w:t>
            </w:r>
            <w:r w:rsidR="00684105" w:rsidRPr="00833FEE">
              <w:rPr>
                <w:rFonts w:ascii="Times New Roman" w:hAnsi="Times New Roman" w:cs="Times New Roman"/>
                <w:sz w:val="22"/>
                <w:szCs w:val="22"/>
              </w:rPr>
              <w:t>igher past exposure to particulate matter with an aerodynamic diameter &lt;2.5 µm and nitrogen dioxide was associated with cardiac ventricular dilatation, a marker of adverse remodelling.</w:t>
            </w:r>
          </w:p>
        </w:tc>
      </w:tr>
      <w:tr w:rsidR="00684105" w:rsidRPr="00833FEE" w14:paraId="421054E0" w14:textId="77777777" w:rsidTr="009C5816">
        <w:trPr>
          <w:jc w:val="center"/>
        </w:trPr>
        <w:tc>
          <w:tcPr>
            <w:tcW w:w="2617" w:type="dxa"/>
          </w:tcPr>
          <w:p w14:paraId="287372E2" w14:textId="77777777" w:rsidR="00684105" w:rsidRPr="00833FEE" w:rsidRDefault="00684105" w:rsidP="00833FEE">
            <w:pPr>
              <w:spacing w:line="480" w:lineRule="auto"/>
              <w:rPr>
                <w:rFonts w:ascii="Times New Roman" w:hAnsi="Times New Roman" w:cs="Times New Roman"/>
                <w:noProof/>
                <w:sz w:val="22"/>
                <w:szCs w:val="22"/>
              </w:rPr>
            </w:pPr>
            <w:r w:rsidRPr="00833FEE">
              <w:rPr>
                <w:rFonts w:ascii="Times New Roman" w:hAnsi="Times New Roman" w:cs="Times New Roman"/>
                <w:sz w:val="22"/>
                <w:szCs w:val="22"/>
              </w:rPr>
              <w:t>Thomson et al. 2018</w:t>
            </w:r>
          </w:p>
        </w:tc>
        <w:tc>
          <w:tcPr>
            <w:tcW w:w="2718" w:type="dxa"/>
          </w:tcPr>
          <w:p w14:paraId="700B120E" w14:textId="77777777"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What is the relationship between lung function and CMR cardiovascular phenotypes in individuals without respiratory disease?</w:t>
            </w:r>
          </w:p>
        </w:tc>
        <w:tc>
          <w:tcPr>
            <w:tcW w:w="5438" w:type="dxa"/>
          </w:tcPr>
          <w:p w14:paraId="73C087A3" w14:textId="77777777"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Multivariable linear models were built to test association of spirometry measures of lung function (obtained at baseline UKB visit) with CMR indices of cardiac structure and function in individuals without respiratory disease (n=1,406)</w:t>
            </w:r>
          </w:p>
        </w:tc>
        <w:tc>
          <w:tcPr>
            <w:tcW w:w="4678" w:type="dxa"/>
          </w:tcPr>
          <w:p w14:paraId="435F8223" w14:textId="7723CF65"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This study shows that reduced FEV1 and FVC are associated with smaller ventricular volumes and reduced ventricular mass. The changes seen per standard deviation change in FEV1 and FVC are comparable to one decade of ageing.</w:t>
            </w:r>
          </w:p>
        </w:tc>
      </w:tr>
      <w:tr w:rsidR="00684105" w:rsidRPr="00833FEE" w14:paraId="441106AA" w14:textId="77777777" w:rsidTr="009C5816">
        <w:trPr>
          <w:jc w:val="center"/>
        </w:trPr>
        <w:tc>
          <w:tcPr>
            <w:tcW w:w="2617" w:type="dxa"/>
          </w:tcPr>
          <w:p w14:paraId="0794FF41" w14:textId="77777777" w:rsidR="00684105" w:rsidRPr="00833FEE" w:rsidRDefault="00684105" w:rsidP="00833FEE">
            <w:pPr>
              <w:spacing w:line="480" w:lineRule="auto"/>
              <w:rPr>
                <w:rFonts w:ascii="Times New Roman" w:hAnsi="Times New Roman" w:cs="Times New Roman"/>
                <w:noProof/>
                <w:sz w:val="22"/>
                <w:szCs w:val="22"/>
              </w:rPr>
            </w:pPr>
            <w:r w:rsidRPr="00833FEE">
              <w:rPr>
                <w:rFonts w:ascii="Times New Roman" w:hAnsi="Times New Roman" w:cs="Times New Roman"/>
                <w:sz w:val="22"/>
                <w:szCs w:val="22"/>
              </w:rPr>
              <w:t>Petersen et al. 2017</w:t>
            </w:r>
          </w:p>
        </w:tc>
        <w:tc>
          <w:tcPr>
            <w:tcW w:w="2718" w:type="dxa"/>
          </w:tcPr>
          <w:p w14:paraId="7A1106F9" w14:textId="77777777"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t>What is the impact of classical cardiovascular risk factors on cardiac CMR phenotypes?</w:t>
            </w:r>
          </w:p>
          <w:p w14:paraId="7A457EA8" w14:textId="77777777" w:rsidR="00684105" w:rsidRPr="00833FEE" w:rsidRDefault="00684105" w:rsidP="00833FEE">
            <w:pPr>
              <w:spacing w:line="480" w:lineRule="auto"/>
              <w:rPr>
                <w:rFonts w:ascii="Calibri" w:hAnsi="Calibri" w:cs="Calibri"/>
                <w:sz w:val="22"/>
                <w:szCs w:val="22"/>
              </w:rPr>
            </w:pPr>
          </w:p>
        </w:tc>
        <w:tc>
          <w:tcPr>
            <w:tcW w:w="5438" w:type="dxa"/>
          </w:tcPr>
          <w:p w14:paraId="5718EB24" w14:textId="25F7A9F4"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Multivariable regression models were built to ascertain the association of risk factors (Age, sex, ethnicity, SBP, DBP, smoking status, exercise, BMI, high cholesterol, DM, alcohol intake) on LV, RV, LA and RA CMR parameters in 4,651 UKB participants.</w:t>
            </w:r>
          </w:p>
        </w:tc>
        <w:tc>
          <w:tcPr>
            <w:tcW w:w="4678" w:type="dxa"/>
          </w:tcPr>
          <w:p w14:paraId="7201A482" w14:textId="44DEEF6D" w:rsidR="00684105" w:rsidRPr="00833FEE" w:rsidRDefault="00684105" w:rsidP="00833FEE">
            <w:pPr>
              <w:spacing w:line="480" w:lineRule="auto"/>
              <w:rPr>
                <w:rFonts w:ascii="Calibri" w:hAnsi="Calibri" w:cs="Calibri"/>
                <w:sz w:val="22"/>
                <w:szCs w:val="22"/>
              </w:rPr>
            </w:pPr>
            <w:r w:rsidRPr="00833FEE">
              <w:rPr>
                <w:rFonts w:ascii="Times New Roman" w:hAnsi="Times New Roman" w:cs="Times New Roman"/>
                <w:sz w:val="22"/>
                <w:szCs w:val="22"/>
              </w:rPr>
              <w:t xml:space="preserve">Modifiable risk factors are associated with subclinical alterations in structure and function in all four cardiac chambers. BMI and SBP </w:t>
            </w:r>
            <w:r w:rsidR="00833FEE">
              <w:rPr>
                <w:rFonts w:ascii="Times New Roman" w:hAnsi="Times New Roman" w:cs="Times New Roman"/>
                <w:sz w:val="22"/>
                <w:szCs w:val="22"/>
              </w:rPr>
              <w:t>wer</w:t>
            </w:r>
            <w:r w:rsidRPr="00833FEE">
              <w:rPr>
                <w:rFonts w:ascii="Times New Roman" w:hAnsi="Times New Roman" w:cs="Times New Roman"/>
                <w:sz w:val="22"/>
                <w:szCs w:val="22"/>
              </w:rPr>
              <w:t>e the most important factors affecting CMR parameters known to be linked to adverse outcomes</w:t>
            </w:r>
            <w:r w:rsidR="00833FEE" w:rsidRPr="00833FEE">
              <w:rPr>
                <w:rFonts w:ascii="Times New Roman" w:hAnsi="Times New Roman" w:cs="Times New Roman"/>
                <w:sz w:val="22"/>
                <w:szCs w:val="22"/>
              </w:rPr>
              <w:t>.</w:t>
            </w:r>
          </w:p>
        </w:tc>
      </w:tr>
    </w:tbl>
    <w:p w14:paraId="2BF50580" w14:textId="77777777" w:rsidR="009C5816" w:rsidRDefault="009C5816" w:rsidP="00833FEE">
      <w:pPr>
        <w:spacing w:line="480" w:lineRule="auto"/>
        <w:rPr>
          <w:rFonts w:ascii="Times New Roman" w:hAnsi="Times New Roman" w:cs="Times New Roman"/>
          <w:sz w:val="22"/>
          <w:szCs w:val="22"/>
        </w:rPr>
      </w:pPr>
    </w:p>
    <w:p w14:paraId="38BA9A4A" w14:textId="46B1BEE4" w:rsidR="00684105" w:rsidRPr="00833FEE" w:rsidRDefault="00684105" w:rsidP="00833FEE">
      <w:pPr>
        <w:spacing w:line="480" w:lineRule="auto"/>
        <w:rPr>
          <w:rFonts w:ascii="Times New Roman" w:hAnsi="Times New Roman" w:cs="Times New Roman"/>
          <w:sz w:val="22"/>
          <w:szCs w:val="22"/>
        </w:rPr>
      </w:pPr>
      <w:r w:rsidRPr="00833FEE">
        <w:rPr>
          <w:rFonts w:ascii="Times New Roman" w:hAnsi="Times New Roman" w:cs="Times New Roman"/>
          <w:sz w:val="22"/>
          <w:szCs w:val="22"/>
        </w:rPr>
        <w:lastRenderedPageBreak/>
        <w:t xml:space="preserve">Supplementary Table 1 caption: </w:t>
      </w:r>
      <w:r w:rsidR="00833FEE" w:rsidRPr="00833FEE">
        <w:rPr>
          <w:rFonts w:ascii="Times New Roman" w:hAnsi="Times New Roman" w:cs="Times New Roman"/>
          <w:sz w:val="22"/>
          <w:szCs w:val="22"/>
        </w:rPr>
        <w:t xml:space="preserve">AA: ascending aorta; </w:t>
      </w:r>
      <w:r w:rsidRPr="00833FEE">
        <w:rPr>
          <w:rFonts w:ascii="Times New Roman" w:hAnsi="Times New Roman" w:cs="Times New Roman"/>
          <w:sz w:val="22"/>
          <w:szCs w:val="22"/>
        </w:rPr>
        <w:t xml:space="preserve">BMI: body mass index; CMR: cardiovascular magnetic resonance; DM: diabetes mellitus; </w:t>
      </w:r>
      <w:r w:rsidR="00833FEE" w:rsidRPr="00833FEE">
        <w:rPr>
          <w:rFonts w:ascii="Times New Roman" w:hAnsi="Times New Roman" w:cs="Times New Roman"/>
          <w:sz w:val="22"/>
          <w:szCs w:val="22"/>
        </w:rPr>
        <w:t xml:space="preserve">EDV: end-diastolic volume; </w:t>
      </w:r>
      <w:r w:rsidRPr="00833FEE">
        <w:rPr>
          <w:rFonts w:ascii="Times New Roman" w:hAnsi="Times New Roman" w:cs="Times New Roman"/>
          <w:sz w:val="22"/>
          <w:szCs w:val="22"/>
        </w:rPr>
        <w:t>FEV1: forced expiratory volume 1; FVC: forced vital capacity; LA: left atrium; LV: left ventricle;</w:t>
      </w:r>
      <w:r w:rsidR="00833FEE" w:rsidRPr="00833FEE">
        <w:rPr>
          <w:rFonts w:ascii="Times New Roman" w:hAnsi="Times New Roman" w:cs="Times New Roman"/>
          <w:sz w:val="22"/>
          <w:szCs w:val="22"/>
        </w:rPr>
        <w:t xml:space="preserve"> LVEF: left ventricular ejection fraction; LVM: left ventricular mass; PDA: proximal descending aorta;</w:t>
      </w:r>
      <w:r w:rsidRPr="00833FEE">
        <w:rPr>
          <w:rFonts w:ascii="Times New Roman" w:hAnsi="Times New Roman" w:cs="Times New Roman"/>
          <w:sz w:val="22"/>
          <w:szCs w:val="22"/>
        </w:rPr>
        <w:t xml:space="preserve"> </w:t>
      </w:r>
      <w:r w:rsidR="00833FEE" w:rsidRPr="00833FEE">
        <w:rPr>
          <w:rFonts w:ascii="Times New Roman" w:hAnsi="Times New Roman" w:cs="Times New Roman"/>
          <w:sz w:val="22"/>
          <w:szCs w:val="22"/>
        </w:rPr>
        <w:t xml:space="preserve">RA: right atrium; ROI: region of interest; </w:t>
      </w:r>
      <w:r w:rsidRPr="00833FEE">
        <w:rPr>
          <w:rFonts w:ascii="Times New Roman" w:hAnsi="Times New Roman" w:cs="Times New Roman"/>
          <w:sz w:val="22"/>
          <w:szCs w:val="22"/>
        </w:rPr>
        <w:t>RV: right ventricle; SBP: systolic blood pressure; UKB: UK Biobank</w:t>
      </w:r>
    </w:p>
    <w:sectPr w:rsidR="00684105" w:rsidRPr="00833FEE" w:rsidSect="00506FF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10"/>
    <w:rsid w:val="000C6BA0"/>
    <w:rsid w:val="000D118F"/>
    <w:rsid w:val="00135D3C"/>
    <w:rsid w:val="001C3A20"/>
    <w:rsid w:val="00307F2A"/>
    <w:rsid w:val="004106B3"/>
    <w:rsid w:val="00415FBF"/>
    <w:rsid w:val="00506FFA"/>
    <w:rsid w:val="00684105"/>
    <w:rsid w:val="006D6F10"/>
    <w:rsid w:val="00833FEE"/>
    <w:rsid w:val="009C5816"/>
    <w:rsid w:val="009E3F80"/>
    <w:rsid w:val="00BC0B09"/>
    <w:rsid w:val="00D96590"/>
    <w:rsid w:val="00DB4F00"/>
    <w:rsid w:val="00E35F0F"/>
    <w:rsid w:val="00EB2D44"/>
    <w:rsid w:val="00F4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03F0"/>
  <w15:chartTrackingRefBased/>
  <w15:docId w15:val="{A599C6EF-E16F-ED4F-8F8D-F045528A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7F2A"/>
    <w:rPr>
      <w:color w:val="808080"/>
    </w:rPr>
  </w:style>
  <w:style w:type="table" w:styleId="TableGridLight">
    <w:name w:val="Grid Table Light"/>
    <w:basedOn w:val="TableNormal"/>
    <w:uiPriority w:val="40"/>
    <w:rsid w:val="006841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15F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5F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Raisi-Estabragh</dc:creator>
  <cp:keywords/>
  <dc:description/>
  <cp:lastModifiedBy>Karen Drake</cp:lastModifiedBy>
  <cp:revision>2</cp:revision>
  <dcterms:created xsi:type="dcterms:W3CDTF">2020-10-09T15:07:00Z</dcterms:created>
  <dcterms:modified xsi:type="dcterms:W3CDTF">2020-10-09T15:07:00Z</dcterms:modified>
</cp:coreProperties>
</file>