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5FB5B" w14:textId="77777777" w:rsidR="004B79A5" w:rsidRPr="006C6F80" w:rsidRDefault="004B79A5" w:rsidP="004B79A5">
      <w:pPr>
        <w:spacing w:line="480" w:lineRule="auto"/>
        <w:jc w:val="center"/>
        <w:rPr>
          <w:b/>
          <w:color w:val="000000" w:themeColor="text1"/>
          <w:sz w:val="28"/>
          <w:szCs w:val="28"/>
          <w:lang w:eastAsia="en-GB"/>
        </w:rPr>
      </w:pPr>
      <w:r w:rsidRPr="006C6F80">
        <w:rPr>
          <w:b/>
          <w:color w:val="000000" w:themeColor="text1"/>
          <w:sz w:val="28"/>
          <w:szCs w:val="28"/>
          <w:lang w:eastAsia="en-GB"/>
        </w:rPr>
        <w:t>Upward or Downward:</w:t>
      </w:r>
    </w:p>
    <w:p w14:paraId="5C18C54C" w14:textId="4210DEED" w:rsidR="004B79A5" w:rsidRPr="006C6F80" w:rsidRDefault="004B79A5" w:rsidP="004B79A5">
      <w:pPr>
        <w:spacing w:line="480" w:lineRule="auto"/>
        <w:ind w:firstLine="357"/>
        <w:jc w:val="center"/>
        <w:rPr>
          <w:b/>
          <w:color w:val="000000" w:themeColor="text1"/>
          <w:sz w:val="28"/>
          <w:szCs w:val="28"/>
          <w:lang w:eastAsia="en-GB"/>
        </w:rPr>
      </w:pPr>
      <w:r w:rsidRPr="006C6F80">
        <w:rPr>
          <w:b/>
          <w:color w:val="000000" w:themeColor="text1"/>
          <w:sz w:val="28"/>
          <w:szCs w:val="28"/>
          <w:lang w:eastAsia="en-GB"/>
        </w:rPr>
        <w:t>Occupational Mobility and Return Migration</w:t>
      </w:r>
      <w:r w:rsidR="00356FEA" w:rsidRPr="00356FEA">
        <w:rPr>
          <w:color w:val="000000" w:themeColor="text1"/>
          <w:vertAlign w:val="superscript"/>
        </w:rPr>
        <w:t>*</w:t>
      </w:r>
    </w:p>
    <w:p w14:paraId="3D55DC89" w14:textId="357A2136" w:rsidR="004B79A5" w:rsidRPr="006C6F80" w:rsidRDefault="004B79A5" w:rsidP="004B79A5">
      <w:pPr>
        <w:spacing w:line="480" w:lineRule="auto"/>
        <w:outlineLvl w:val="0"/>
        <w:rPr>
          <w:b/>
          <w:color w:val="000000" w:themeColor="text1"/>
        </w:rPr>
      </w:pPr>
    </w:p>
    <w:p w14:paraId="1A214F9D" w14:textId="517B429A" w:rsidR="004B79A5" w:rsidRPr="00356FEA" w:rsidRDefault="00356FEA" w:rsidP="00356FEA">
      <w:pPr>
        <w:spacing w:line="480" w:lineRule="auto"/>
        <w:jc w:val="center"/>
        <w:outlineLvl w:val="0"/>
        <w:rPr>
          <w:b/>
          <w:color w:val="000000" w:themeColor="text1"/>
        </w:rPr>
      </w:pPr>
      <w:r w:rsidRPr="00CE54C2">
        <w:rPr>
          <w:b/>
          <w:color w:val="000000" w:themeColor="text1"/>
        </w:rPr>
        <w:t>Nelly El-Mallakh</w:t>
      </w:r>
      <w:r w:rsidRPr="00CE54C2">
        <w:rPr>
          <w:rStyle w:val="FootnoteReference"/>
          <w:b/>
          <w:color w:val="000000" w:themeColor="text1"/>
        </w:rPr>
        <w:footnoteReference w:id="1"/>
      </w:r>
      <w:r w:rsidRPr="00CE54C2">
        <w:rPr>
          <w:b/>
          <w:color w:val="000000" w:themeColor="text1"/>
        </w:rPr>
        <w:t xml:space="preserve"> and Jackline Wahba</w:t>
      </w:r>
      <w:r w:rsidRPr="00CE54C2">
        <w:rPr>
          <w:rStyle w:val="FootnoteReference"/>
          <w:b/>
          <w:color w:val="000000" w:themeColor="text1"/>
        </w:rPr>
        <w:footnoteReference w:id="2"/>
      </w:r>
    </w:p>
    <w:p w14:paraId="0AF801F8" w14:textId="77777777" w:rsidR="004B79A5" w:rsidRPr="006C6F80" w:rsidRDefault="004B79A5" w:rsidP="004B79A5">
      <w:pPr>
        <w:spacing w:line="480" w:lineRule="auto"/>
        <w:jc w:val="center"/>
        <w:outlineLvl w:val="0"/>
        <w:rPr>
          <w:b/>
          <w:color w:val="000000" w:themeColor="text1"/>
        </w:rPr>
      </w:pPr>
    </w:p>
    <w:p w14:paraId="677048F4" w14:textId="77777777" w:rsidR="004B79A5" w:rsidRPr="006C6F80" w:rsidRDefault="004B79A5" w:rsidP="004B79A5">
      <w:pPr>
        <w:spacing w:line="480" w:lineRule="auto"/>
        <w:jc w:val="center"/>
        <w:outlineLvl w:val="0"/>
        <w:rPr>
          <w:b/>
          <w:color w:val="000000" w:themeColor="text1"/>
        </w:rPr>
      </w:pPr>
      <w:r w:rsidRPr="006C6F80">
        <w:rPr>
          <w:b/>
          <w:color w:val="000000" w:themeColor="text1"/>
        </w:rPr>
        <w:t>Abstract</w:t>
      </w:r>
    </w:p>
    <w:p w14:paraId="59ABABE1" w14:textId="77777777" w:rsidR="004B79A5" w:rsidRPr="006C6F80" w:rsidRDefault="004B79A5" w:rsidP="004B79A5">
      <w:pPr>
        <w:spacing w:line="480" w:lineRule="auto"/>
        <w:jc w:val="both"/>
        <w:outlineLvl w:val="0"/>
        <w:rPr>
          <w:color w:val="000000" w:themeColor="text1"/>
          <w:lang w:eastAsia="en-GB"/>
        </w:rPr>
      </w:pPr>
      <w:r w:rsidRPr="006C6F80">
        <w:rPr>
          <w:color w:val="000000" w:themeColor="text1"/>
        </w:rPr>
        <w:t xml:space="preserve">This paper examines whether temporary international migration enables returnees to climb the occupational ladder. Using data from </w:t>
      </w:r>
      <w:r w:rsidRPr="006C6F80">
        <w:rPr>
          <w:color w:val="000000" w:themeColor="text1"/>
          <w:lang w:eastAsia="en-GB"/>
        </w:rPr>
        <w:t>Egypt, we examine the occupational mobility of returnees relative to non-migrants of the same birth cohort. We rely on an instrumental variable approach to control for the endogeneity of the temporary migration decision. We find evidence that return migration increases the probability of upward occupational mobility and leads to larger effects among highly educated returnees. Our results are robust to using a Difference-in-Differences matching technique that controls for unobserved heterogeneity between non-migrants and returnees. Our findings underscore that temporary overseas work experience can alleviate potential brain drain concerns through the human capital enhancement of return migrants.</w:t>
      </w:r>
    </w:p>
    <w:p w14:paraId="29EDBE84" w14:textId="77777777" w:rsidR="004B79A5" w:rsidRPr="006C6F80" w:rsidRDefault="004B79A5" w:rsidP="004B79A5">
      <w:pPr>
        <w:spacing w:line="480" w:lineRule="auto"/>
        <w:outlineLvl w:val="0"/>
        <w:rPr>
          <w:color w:val="000000" w:themeColor="text1"/>
          <w:sz w:val="20"/>
          <w:szCs w:val="20"/>
          <w:lang w:eastAsia="en-GB"/>
        </w:rPr>
      </w:pPr>
    </w:p>
    <w:p w14:paraId="20B29763" w14:textId="77777777" w:rsidR="004B79A5" w:rsidRPr="006C6F80" w:rsidRDefault="004B79A5" w:rsidP="004B79A5">
      <w:pPr>
        <w:spacing w:line="480" w:lineRule="auto"/>
        <w:rPr>
          <w:bCs/>
          <w:color w:val="000000" w:themeColor="text1"/>
        </w:rPr>
      </w:pPr>
      <w:r w:rsidRPr="006C6F80">
        <w:rPr>
          <w:color w:val="000000" w:themeColor="text1"/>
          <w:sz w:val="20"/>
          <w:szCs w:val="20"/>
          <w:lang w:eastAsia="en-GB"/>
        </w:rPr>
        <w:t>Keywords: return migration, occupational mobility, Egypt, Middle East and North Africa.</w:t>
      </w:r>
    </w:p>
    <w:p w14:paraId="7E6664BD" w14:textId="77777777" w:rsidR="004B79A5" w:rsidRPr="006C6F80" w:rsidRDefault="004B79A5" w:rsidP="004B79A5">
      <w:pPr>
        <w:spacing w:line="480" w:lineRule="auto"/>
        <w:rPr>
          <w:bCs/>
          <w:color w:val="000000" w:themeColor="text1"/>
          <w:sz w:val="20"/>
          <w:szCs w:val="20"/>
        </w:rPr>
      </w:pPr>
      <w:r w:rsidRPr="006C6F80">
        <w:rPr>
          <w:bCs/>
          <w:color w:val="000000" w:themeColor="text1"/>
          <w:sz w:val="20"/>
          <w:szCs w:val="20"/>
        </w:rPr>
        <w:t>JEL codes: F22, J62.</w:t>
      </w:r>
    </w:p>
    <w:p w14:paraId="2B9E0E48" w14:textId="77777777" w:rsidR="00E4259E" w:rsidRPr="006C6F80" w:rsidRDefault="00E4259E" w:rsidP="00727F63">
      <w:pPr>
        <w:spacing w:line="480" w:lineRule="auto"/>
        <w:rPr>
          <w:bCs/>
          <w:color w:val="000000" w:themeColor="text1"/>
          <w:sz w:val="20"/>
          <w:szCs w:val="20"/>
        </w:rPr>
      </w:pPr>
    </w:p>
    <w:p w14:paraId="5585AFD3" w14:textId="567C6B18" w:rsidR="00DB69C1" w:rsidRPr="006C6F80" w:rsidRDefault="00824D74" w:rsidP="00824D74">
      <w:pPr>
        <w:spacing w:after="200" w:line="276" w:lineRule="auto"/>
        <w:rPr>
          <w:bCs/>
          <w:color w:val="000000" w:themeColor="text1"/>
          <w:sz w:val="20"/>
          <w:szCs w:val="20"/>
        </w:rPr>
      </w:pPr>
      <w:r w:rsidRPr="006C6F80">
        <w:rPr>
          <w:bCs/>
          <w:color w:val="000000" w:themeColor="text1"/>
          <w:sz w:val="20"/>
          <w:szCs w:val="20"/>
        </w:rPr>
        <w:br w:type="page"/>
      </w:r>
    </w:p>
    <w:p w14:paraId="5B751353" w14:textId="77777777" w:rsidR="00C12F2F" w:rsidRPr="006C6F80" w:rsidRDefault="003D4FE7" w:rsidP="00B132A6">
      <w:pPr>
        <w:pStyle w:val="ListParagraph"/>
        <w:numPr>
          <w:ilvl w:val="0"/>
          <w:numId w:val="10"/>
        </w:numPr>
        <w:spacing w:line="480" w:lineRule="auto"/>
        <w:ind w:left="0" w:firstLine="360"/>
        <w:jc w:val="both"/>
        <w:rPr>
          <w:rFonts w:ascii="Times New Roman" w:hAnsi="Times New Roman" w:cs="Times New Roman"/>
          <w:b/>
          <w:bCs/>
          <w:color w:val="000000" w:themeColor="text1"/>
          <w:sz w:val="24"/>
          <w:szCs w:val="24"/>
          <w:lang w:val="en-US"/>
        </w:rPr>
      </w:pPr>
      <w:r w:rsidRPr="006C6F80">
        <w:rPr>
          <w:rFonts w:ascii="Times New Roman" w:hAnsi="Times New Roman" w:cs="Times New Roman"/>
          <w:b/>
          <w:bCs/>
          <w:color w:val="000000" w:themeColor="text1"/>
          <w:sz w:val="24"/>
          <w:szCs w:val="24"/>
          <w:lang w:val="en-US"/>
        </w:rPr>
        <w:lastRenderedPageBreak/>
        <w:t>Introduction</w:t>
      </w:r>
    </w:p>
    <w:p w14:paraId="3BB53A95" w14:textId="59F88AEF" w:rsidR="001B36DE" w:rsidRPr="006C6F80" w:rsidRDefault="00FA2252" w:rsidP="00B132A6">
      <w:pPr>
        <w:spacing w:after="200" w:line="480" w:lineRule="auto"/>
        <w:jc w:val="both"/>
        <w:rPr>
          <w:rFonts w:eastAsia="Calibri"/>
          <w:color w:val="000000" w:themeColor="text1"/>
        </w:rPr>
      </w:pPr>
      <w:r w:rsidRPr="006C6F80">
        <w:rPr>
          <w:color w:val="000000" w:themeColor="text1"/>
        </w:rPr>
        <w:t xml:space="preserve">For many developing countries, the emigration of </w:t>
      </w:r>
      <w:r w:rsidR="00B60E51" w:rsidRPr="006C6F80">
        <w:rPr>
          <w:color w:val="000000" w:themeColor="text1"/>
        </w:rPr>
        <w:t>high-skilled</w:t>
      </w:r>
      <w:r w:rsidRPr="006C6F80">
        <w:rPr>
          <w:color w:val="000000" w:themeColor="text1"/>
        </w:rPr>
        <w:t xml:space="preserve"> workers is a source of co</w:t>
      </w:r>
      <w:r w:rsidR="00C814D1" w:rsidRPr="006C6F80">
        <w:rPr>
          <w:color w:val="000000" w:themeColor="text1"/>
        </w:rPr>
        <w:t xml:space="preserve">ncern. </w:t>
      </w:r>
      <w:r w:rsidR="00E8020F" w:rsidRPr="006C6F80">
        <w:rPr>
          <w:color w:val="000000" w:themeColor="text1"/>
        </w:rPr>
        <w:t>T</w:t>
      </w:r>
      <w:r w:rsidR="008740CB" w:rsidRPr="006C6F80">
        <w:rPr>
          <w:color w:val="000000" w:themeColor="text1"/>
        </w:rPr>
        <w:t>he los</w:t>
      </w:r>
      <w:r w:rsidR="00C814D1" w:rsidRPr="006C6F80">
        <w:rPr>
          <w:color w:val="000000" w:themeColor="text1"/>
        </w:rPr>
        <w:t>s of highly productive workers</w:t>
      </w:r>
      <w:r w:rsidR="008C721A" w:rsidRPr="006C6F80">
        <w:rPr>
          <w:color w:val="000000" w:themeColor="text1"/>
        </w:rPr>
        <w:t>—</w:t>
      </w:r>
      <w:r w:rsidR="00E8020F" w:rsidRPr="006C6F80">
        <w:rPr>
          <w:color w:val="000000" w:themeColor="text1"/>
        </w:rPr>
        <w:t>brain drain</w:t>
      </w:r>
      <w:r w:rsidR="00C814D1" w:rsidRPr="006C6F80">
        <w:rPr>
          <w:color w:val="000000" w:themeColor="text1"/>
        </w:rPr>
        <w:t>—</w:t>
      </w:r>
      <w:r w:rsidRPr="006C6F80">
        <w:rPr>
          <w:color w:val="000000" w:themeColor="text1"/>
        </w:rPr>
        <w:t>is seen as a negative consequence of international emigration.</w:t>
      </w:r>
      <w:r w:rsidR="008740CB" w:rsidRPr="006C6F80">
        <w:rPr>
          <w:color w:val="000000" w:themeColor="text1"/>
        </w:rPr>
        <w:t xml:space="preserve"> </w:t>
      </w:r>
      <w:r w:rsidRPr="006C6F80">
        <w:rPr>
          <w:color w:val="000000" w:themeColor="text1"/>
        </w:rPr>
        <w:t>However, international migration c</w:t>
      </w:r>
      <w:r w:rsidR="00666DFE" w:rsidRPr="006C6F80">
        <w:rPr>
          <w:color w:val="000000" w:themeColor="text1"/>
        </w:rPr>
        <w:t>ould</w:t>
      </w:r>
      <w:r w:rsidRPr="006C6F80">
        <w:rPr>
          <w:color w:val="000000" w:themeColor="text1"/>
        </w:rPr>
        <w:t xml:space="preserve"> lead to brain gain</w:t>
      </w:r>
      <w:r w:rsidR="00666DFE" w:rsidRPr="006C6F80">
        <w:rPr>
          <w:color w:val="000000" w:themeColor="text1"/>
        </w:rPr>
        <w:t xml:space="preserve"> as well,</w:t>
      </w:r>
      <w:r w:rsidRPr="006C6F80">
        <w:rPr>
          <w:color w:val="000000" w:themeColor="text1"/>
        </w:rPr>
        <w:t xml:space="preserve"> when the possibility of emigration </w:t>
      </w:r>
      <w:r w:rsidR="00FC01C6" w:rsidRPr="006C6F80">
        <w:rPr>
          <w:color w:val="000000" w:themeColor="text1"/>
        </w:rPr>
        <w:t>increases the expected return to human capital</w:t>
      </w:r>
      <w:r w:rsidR="007510C1" w:rsidRPr="006C6F80">
        <w:rPr>
          <w:color w:val="000000" w:themeColor="text1"/>
        </w:rPr>
        <w:t xml:space="preserve"> </w:t>
      </w:r>
      <w:r w:rsidR="00233A3E" w:rsidRPr="006C6F80">
        <w:rPr>
          <w:color w:val="000000" w:themeColor="text1"/>
        </w:rPr>
        <w:t xml:space="preserve">and </w:t>
      </w:r>
      <w:r w:rsidR="00FC01C6" w:rsidRPr="006C6F80">
        <w:rPr>
          <w:color w:val="000000" w:themeColor="text1"/>
        </w:rPr>
        <w:t>lead</w:t>
      </w:r>
      <w:r w:rsidR="00DD33BE" w:rsidRPr="006C6F80">
        <w:rPr>
          <w:color w:val="000000" w:themeColor="text1"/>
        </w:rPr>
        <w:t>s</w:t>
      </w:r>
      <w:r w:rsidR="00FC01C6" w:rsidRPr="006C6F80">
        <w:rPr>
          <w:color w:val="000000" w:themeColor="text1"/>
        </w:rPr>
        <w:t xml:space="preserve"> to more</w:t>
      </w:r>
      <w:r w:rsidRPr="006C6F80">
        <w:rPr>
          <w:color w:val="000000" w:themeColor="text1"/>
        </w:rPr>
        <w:t xml:space="preserve"> </w:t>
      </w:r>
      <w:r w:rsidR="00270137" w:rsidRPr="006C6F80">
        <w:rPr>
          <w:color w:val="000000" w:themeColor="text1"/>
        </w:rPr>
        <w:t>invest</w:t>
      </w:r>
      <w:r w:rsidR="00FC01C6" w:rsidRPr="006C6F80">
        <w:rPr>
          <w:color w:val="000000" w:themeColor="text1"/>
        </w:rPr>
        <w:t>ment</w:t>
      </w:r>
      <w:r w:rsidR="00270137" w:rsidRPr="006C6F80">
        <w:rPr>
          <w:color w:val="000000" w:themeColor="text1"/>
        </w:rPr>
        <w:t xml:space="preserve"> in </w:t>
      </w:r>
      <w:r w:rsidRPr="006C6F80">
        <w:rPr>
          <w:color w:val="000000" w:themeColor="text1"/>
        </w:rPr>
        <w:t xml:space="preserve">education </w:t>
      </w:r>
      <w:r w:rsidR="00FC01C6" w:rsidRPr="006C6F80">
        <w:rPr>
          <w:color w:val="000000" w:themeColor="text1"/>
        </w:rPr>
        <w:t xml:space="preserve">by </w:t>
      </w:r>
      <w:r w:rsidRPr="006C6F80">
        <w:rPr>
          <w:color w:val="000000" w:themeColor="text1"/>
        </w:rPr>
        <w:t xml:space="preserve">both migrants and </w:t>
      </w:r>
      <w:r w:rsidR="00666DFE" w:rsidRPr="006C6F80">
        <w:rPr>
          <w:color w:val="000000" w:themeColor="text1"/>
        </w:rPr>
        <w:t>remaining workers</w:t>
      </w:r>
      <w:r w:rsidR="009D0F68" w:rsidRPr="006C6F80">
        <w:rPr>
          <w:color w:val="000000" w:themeColor="text1"/>
        </w:rPr>
        <w:t xml:space="preserve"> (</w:t>
      </w:r>
      <w:r w:rsidR="009D0F68" w:rsidRPr="006C6F80">
        <w:rPr>
          <w:color w:val="000000" w:themeColor="text1"/>
          <w:shd w:val="clear" w:color="auto" w:fill="FFFFFF"/>
        </w:rPr>
        <w:t>Mayr and Peri, 2009)</w:t>
      </w:r>
      <w:r w:rsidR="00EF1E86" w:rsidRPr="006C6F80">
        <w:rPr>
          <w:color w:val="000000" w:themeColor="text1"/>
        </w:rPr>
        <w:t>.</w:t>
      </w:r>
      <w:r w:rsidR="008740CB" w:rsidRPr="006C6F80">
        <w:rPr>
          <w:color w:val="000000" w:themeColor="text1"/>
        </w:rPr>
        <w:t xml:space="preserve"> </w:t>
      </w:r>
      <w:r w:rsidR="00F716A7" w:rsidRPr="006C6F80">
        <w:rPr>
          <w:color w:val="000000" w:themeColor="text1"/>
        </w:rPr>
        <w:t>F</w:t>
      </w:r>
      <w:r w:rsidR="003B3BAD" w:rsidRPr="006C6F80">
        <w:rPr>
          <w:color w:val="000000" w:themeColor="text1"/>
        </w:rPr>
        <w:t xml:space="preserve">rom </w:t>
      </w:r>
      <w:r w:rsidR="00F716A7" w:rsidRPr="006C6F80">
        <w:rPr>
          <w:color w:val="000000" w:themeColor="text1"/>
        </w:rPr>
        <w:t>a macro perspective</w:t>
      </w:r>
      <w:r w:rsidR="003B3BAD" w:rsidRPr="006C6F80">
        <w:rPr>
          <w:color w:val="000000" w:themeColor="text1"/>
        </w:rPr>
        <w:t xml:space="preserve">, </w:t>
      </w:r>
      <w:r w:rsidRPr="006C6F80">
        <w:rPr>
          <w:color w:val="000000" w:themeColor="text1"/>
        </w:rPr>
        <w:t>Beine</w:t>
      </w:r>
      <w:r w:rsidR="00672198" w:rsidRPr="006C6F80">
        <w:rPr>
          <w:color w:val="000000" w:themeColor="text1"/>
        </w:rPr>
        <w:t>, Docquier and Rap</w:t>
      </w:r>
      <w:r w:rsidR="004615F5" w:rsidRPr="006C6F80">
        <w:rPr>
          <w:color w:val="000000" w:themeColor="text1"/>
        </w:rPr>
        <w:t>o</w:t>
      </w:r>
      <w:r w:rsidR="00672198" w:rsidRPr="006C6F80">
        <w:rPr>
          <w:color w:val="000000" w:themeColor="text1"/>
        </w:rPr>
        <w:t>port</w:t>
      </w:r>
      <w:r w:rsidRPr="006C6F80">
        <w:rPr>
          <w:color w:val="000000" w:themeColor="text1"/>
        </w:rPr>
        <w:t xml:space="preserve"> (20</w:t>
      </w:r>
      <w:r w:rsidR="00672198" w:rsidRPr="006C6F80">
        <w:rPr>
          <w:color w:val="000000" w:themeColor="text1"/>
        </w:rPr>
        <w:t>08</w:t>
      </w:r>
      <w:r w:rsidR="000A6224" w:rsidRPr="006C6F80">
        <w:rPr>
          <w:color w:val="000000" w:themeColor="text1"/>
        </w:rPr>
        <w:t>)</w:t>
      </w:r>
      <w:r w:rsidR="00202648" w:rsidRPr="006C6F80">
        <w:rPr>
          <w:color w:val="000000" w:themeColor="text1"/>
        </w:rPr>
        <w:t xml:space="preserve"> and</w:t>
      </w:r>
      <w:r w:rsidR="00F716A7" w:rsidRPr="006C6F80">
        <w:rPr>
          <w:color w:val="000000" w:themeColor="text1"/>
        </w:rPr>
        <w:t xml:space="preserve"> </w:t>
      </w:r>
      <w:r w:rsidR="00D55B71" w:rsidRPr="006C6F80">
        <w:rPr>
          <w:color w:val="000000" w:themeColor="text1"/>
          <w:shd w:val="clear" w:color="auto" w:fill="FFFFFF"/>
        </w:rPr>
        <w:t xml:space="preserve">Beine, Docquier and Oden-Defoort (2011) </w:t>
      </w:r>
      <w:r w:rsidR="00482FD3" w:rsidRPr="006C6F80">
        <w:rPr>
          <w:color w:val="000000" w:themeColor="text1"/>
        </w:rPr>
        <w:t>find a positive effect of skilled migration prospects on gross human capital formation</w:t>
      </w:r>
      <w:r w:rsidR="00202648" w:rsidRPr="006C6F80">
        <w:rPr>
          <w:color w:val="000000" w:themeColor="text1"/>
        </w:rPr>
        <w:t>, particularly in low-income countries</w:t>
      </w:r>
      <w:r w:rsidR="008740CB" w:rsidRPr="006C6F80">
        <w:rPr>
          <w:color w:val="000000" w:themeColor="text1"/>
        </w:rPr>
        <w:t xml:space="preserve">. </w:t>
      </w:r>
      <w:r w:rsidR="00666DFE" w:rsidRPr="006C6F80">
        <w:rPr>
          <w:color w:val="000000" w:themeColor="text1"/>
        </w:rPr>
        <w:t xml:space="preserve">Moreover, using individual level data, </w:t>
      </w:r>
      <w:r w:rsidR="00FC01C6" w:rsidRPr="006C6F80">
        <w:rPr>
          <w:color w:val="000000" w:themeColor="text1"/>
        </w:rPr>
        <w:t>Batista</w:t>
      </w:r>
      <w:r w:rsidR="00672198" w:rsidRPr="006C6F80">
        <w:rPr>
          <w:color w:val="000000" w:themeColor="text1"/>
        </w:rPr>
        <w:t>, Lacuesta and Vincente</w:t>
      </w:r>
      <w:r w:rsidR="00FC01C6" w:rsidRPr="006C6F80">
        <w:rPr>
          <w:color w:val="000000" w:themeColor="text1"/>
        </w:rPr>
        <w:t xml:space="preserve"> (201</w:t>
      </w:r>
      <w:r w:rsidR="00C01DF8" w:rsidRPr="006C6F80">
        <w:rPr>
          <w:color w:val="000000" w:themeColor="text1"/>
        </w:rPr>
        <w:t>2</w:t>
      </w:r>
      <w:r w:rsidR="00FC01C6" w:rsidRPr="006C6F80">
        <w:rPr>
          <w:color w:val="000000" w:themeColor="text1"/>
        </w:rPr>
        <w:t>)</w:t>
      </w:r>
      <w:r w:rsidR="00666DFE" w:rsidRPr="006C6F80">
        <w:rPr>
          <w:color w:val="000000" w:themeColor="text1"/>
        </w:rPr>
        <w:t xml:space="preserve"> </w:t>
      </w:r>
      <w:r w:rsidR="00D009F4" w:rsidRPr="006C6F80">
        <w:rPr>
          <w:color w:val="000000" w:themeColor="text1"/>
        </w:rPr>
        <w:t xml:space="preserve">find </w:t>
      </w:r>
      <w:r w:rsidR="00672198" w:rsidRPr="006C6F80">
        <w:rPr>
          <w:color w:val="000000" w:themeColor="text1"/>
        </w:rPr>
        <w:t xml:space="preserve">a sizable positive effect of the own future probability of emigration on educational attainment in </w:t>
      </w:r>
      <w:r w:rsidR="00D009F4" w:rsidRPr="006C6F80">
        <w:rPr>
          <w:color w:val="000000" w:themeColor="text1"/>
        </w:rPr>
        <w:t>Cape Verde</w:t>
      </w:r>
      <w:r w:rsidR="00672198" w:rsidRPr="006C6F80">
        <w:rPr>
          <w:color w:val="000000" w:themeColor="text1"/>
        </w:rPr>
        <w:t xml:space="preserve">, a country with </w:t>
      </w:r>
      <w:r w:rsidR="0019458F" w:rsidRPr="006C6F80">
        <w:rPr>
          <w:color w:val="000000" w:themeColor="text1"/>
        </w:rPr>
        <w:t>high</w:t>
      </w:r>
      <w:r w:rsidR="00672198" w:rsidRPr="006C6F80">
        <w:rPr>
          <w:color w:val="000000" w:themeColor="text1"/>
        </w:rPr>
        <w:t xml:space="preserve"> emigration rates</w:t>
      </w:r>
      <w:r w:rsidR="0019458F" w:rsidRPr="006C6F80">
        <w:rPr>
          <w:color w:val="000000" w:themeColor="text1"/>
        </w:rPr>
        <w:t xml:space="preserve"> </w:t>
      </w:r>
      <w:r w:rsidR="00666DFE" w:rsidRPr="006C6F80">
        <w:rPr>
          <w:color w:val="000000" w:themeColor="text1"/>
        </w:rPr>
        <w:t>among</w:t>
      </w:r>
      <w:r w:rsidR="0019458F" w:rsidRPr="006C6F80">
        <w:rPr>
          <w:color w:val="000000" w:themeColor="text1"/>
        </w:rPr>
        <w:t xml:space="preserve"> the most educated</w:t>
      </w:r>
      <w:r w:rsidR="00672198" w:rsidRPr="006C6F80">
        <w:rPr>
          <w:color w:val="000000" w:themeColor="text1"/>
        </w:rPr>
        <w:t xml:space="preserve">. </w:t>
      </w:r>
    </w:p>
    <w:p w14:paraId="320F2252" w14:textId="502F2D08" w:rsidR="001B36DE" w:rsidRPr="006C6F80" w:rsidRDefault="00666DFE" w:rsidP="00B132A6">
      <w:pPr>
        <w:spacing w:after="200" w:line="480" w:lineRule="auto"/>
        <w:jc w:val="both"/>
        <w:rPr>
          <w:rFonts w:eastAsia="Calibri"/>
          <w:color w:val="000000" w:themeColor="text1"/>
        </w:rPr>
      </w:pPr>
      <w:r w:rsidRPr="006C6F80">
        <w:rPr>
          <w:color w:val="000000" w:themeColor="text1"/>
        </w:rPr>
        <w:t>Return migration is a</w:t>
      </w:r>
      <w:r w:rsidR="00C01DF8" w:rsidRPr="006C6F80">
        <w:rPr>
          <w:color w:val="000000" w:themeColor="text1"/>
        </w:rPr>
        <w:t xml:space="preserve">nother channel through which </w:t>
      </w:r>
      <w:r w:rsidR="00B60E51" w:rsidRPr="006C6F80">
        <w:rPr>
          <w:color w:val="000000" w:themeColor="text1"/>
        </w:rPr>
        <w:t>high-skilled</w:t>
      </w:r>
      <w:r w:rsidR="00C01DF8" w:rsidRPr="006C6F80">
        <w:rPr>
          <w:color w:val="000000" w:themeColor="text1"/>
        </w:rPr>
        <w:t xml:space="preserve"> migration can result in a brain gain</w:t>
      </w:r>
      <w:r w:rsidR="00FD0C7F" w:rsidRPr="006C6F80">
        <w:rPr>
          <w:color w:val="000000" w:themeColor="text1"/>
        </w:rPr>
        <w:t>:</w:t>
      </w:r>
      <w:r w:rsidR="00C01DF8" w:rsidRPr="006C6F80">
        <w:rPr>
          <w:color w:val="000000" w:themeColor="text1"/>
        </w:rPr>
        <w:t xml:space="preserve"> </w:t>
      </w:r>
      <w:r w:rsidR="00FD0C7F" w:rsidRPr="006C6F80">
        <w:rPr>
          <w:color w:val="000000" w:themeColor="text1"/>
        </w:rPr>
        <w:t>w</w:t>
      </w:r>
      <w:r w:rsidR="00C01DF8" w:rsidRPr="006C6F80">
        <w:rPr>
          <w:color w:val="000000" w:themeColor="text1"/>
        </w:rPr>
        <w:t xml:space="preserve">hen </w:t>
      </w:r>
      <w:r w:rsidR="00270137" w:rsidRPr="006C6F80">
        <w:rPr>
          <w:color w:val="000000" w:themeColor="text1"/>
        </w:rPr>
        <w:t>migrants return after having accumulated skills overseas</w:t>
      </w:r>
      <w:r w:rsidR="00C01DF8" w:rsidRPr="006C6F80">
        <w:rPr>
          <w:color w:val="000000" w:themeColor="text1"/>
        </w:rPr>
        <w:t>, enhanc</w:t>
      </w:r>
      <w:r w:rsidR="00FD0C7F" w:rsidRPr="006C6F80">
        <w:rPr>
          <w:color w:val="000000" w:themeColor="text1"/>
        </w:rPr>
        <w:t>ing</w:t>
      </w:r>
      <w:r w:rsidR="00C01DF8" w:rsidRPr="006C6F80">
        <w:rPr>
          <w:color w:val="000000" w:themeColor="text1"/>
        </w:rPr>
        <w:t xml:space="preserve"> the average human capital of the origin country</w:t>
      </w:r>
      <w:r w:rsidR="00D731F2" w:rsidRPr="006C6F80">
        <w:rPr>
          <w:color w:val="000000" w:themeColor="text1"/>
        </w:rPr>
        <w:t>.</w:t>
      </w:r>
      <w:r w:rsidR="007C0EA6" w:rsidRPr="006C6F80">
        <w:rPr>
          <w:rStyle w:val="FootnoteReference"/>
          <w:color w:val="000000" w:themeColor="text1"/>
        </w:rPr>
        <w:footnoteReference w:id="3"/>
      </w:r>
      <w:r w:rsidR="00D731F2" w:rsidRPr="006C6F80">
        <w:rPr>
          <w:color w:val="000000" w:themeColor="text1"/>
        </w:rPr>
        <w:t xml:space="preserve"> </w:t>
      </w:r>
      <w:r w:rsidR="00A53539" w:rsidRPr="006C6F80">
        <w:rPr>
          <w:color w:val="000000" w:themeColor="text1"/>
        </w:rPr>
        <w:t>I</w:t>
      </w:r>
      <w:r w:rsidR="00790AB6" w:rsidRPr="006C6F80">
        <w:rPr>
          <w:color w:val="000000" w:themeColor="text1"/>
        </w:rPr>
        <w:t xml:space="preserve">ndividuals might migrate temporarily as part of an optimal strategy to maximize lifetime utility. </w:t>
      </w:r>
      <w:r w:rsidR="00AE2DA0" w:rsidRPr="006C6F80">
        <w:rPr>
          <w:color w:val="000000" w:themeColor="text1"/>
        </w:rPr>
        <w:t>Due to credit constraints, i</w:t>
      </w:r>
      <w:r w:rsidR="00790AB6" w:rsidRPr="006C6F80">
        <w:rPr>
          <w:color w:val="000000" w:themeColor="text1"/>
        </w:rPr>
        <w:t>ndividuals migrate</w:t>
      </w:r>
      <w:r w:rsidR="00E8020F" w:rsidRPr="006C6F80">
        <w:rPr>
          <w:color w:val="000000" w:themeColor="text1"/>
        </w:rPr>
        <w:t>,</w:t>
      </w:r>
      <w:r w:rsidR="00790AB6" w:rsidRPr="006C6F80">
        <w:rPr>
          <w:color w:val="000000" w:themeColor="text1"/>
        </w:rPr>
        <w:t xml:space="preserve"> for a period of time</w:t>
      </w:r>
      <w:r w:rsidR="00E8020F" w:rsidRPr="006C6F80">
        <w:rPr>
          <w:color w:val="000000" w:themeColor="text1"/>
        </w:rPr>
        <w:t>,</w:t>
      </w:r>
      <w:r w:rsidR="00790AB6" w:rsidRPr="006C6F80">
        <w:rPr>
          <w:color w:val="000000" w:themeColor="text1"/>
        </w:rPr>
        <w:t xml:space="preserve"> where wages are higher so that they can accumulate </w:t>
      </w:r>
      <w:r w:rsidR="00B64CE6" w:rsidRPr="006C6F80">
        <w:rPr>
          <w:color w:val="000000" w:themeColor="text1"/>
        </w:rPr>
        <w:t xml:space="preserve">overseas </w:t>
      </w:r>
      <w:r w:rsidR="00790AB6" w:rsidRPr="006C6F80">
        <w:rPr>
          <w:color w:val="000000" w:themeColor="text1"/>
        </w:rPr>
        <w:t xml:space="preserve">savings. Alternatively, </w:t>
      </w:r>
      <w:r w:rsidR="0064054B" w:rsidRPr="006C6F80">
        <w:rPr>
          <w:color w:val="000000" w:themeColor="text1"/>
        </w:rPr>
        <w:t>they</w:t>
      </w:r>
      <w:r w:rsidR="00790AB6" w:rsidRPr="006C6F80">
        <w:rPr>
          <w:color w:val="000000" w:themeColor="text1"/>
        </w:rPr>
        <w:t xml:space="preserve"> migrate temporarily to acquire skills that are highly rewarded in the </w:t>
      </w:r>
      <w:r w:rsidR="00534512" w:rsidRPr="006C6F80">
        <w:rPr>
          <w:color w:val="000000" w:themeColor="text1"/>
        </w:rPr>
        <w:t>origin</w:t>
      </w:r>
      <w:r w:rsidR="00790AB6" w:rsidRPr="006C6F80">
        <w:rPr>
          <w:color w:val="000000" w:themeColor="text1"/>
        </w:rPr>
        <w:t xml:space="preserve"> country </w:t>
      </w:r>
      <w:r w:rsidR="00775923" w:rsidRPr="006C6F80">
        <w:rPr>
          <w:color w:val="000000" w:themeColor="text1"/>
        </w:rPr>
        <w:t>(</w:t>
      </w:r>
      <w:r w:rsidR="002E346E" w:rsidRPr="006C6F80">
        <w:rPr>
          <w:color w:val="000000" w:themeColor="text1"/>
        </w:rPr>
        <w:t>Dustmann, Fadlon and Weis</w:t>
      </w:r>
      <w:r w:rsidR="00775923" w:rsidRPr="006C6F80">
        <w:rPr>
          <w:color w:val="000000" w:themeColor="text1"/>
        </w:rPr>
        <w:t xml:space="preserve">s, </w:t>
      </w:r>
      <w:r w:rsidR="00AE2DA0" w:rsidRPr="006C6F80">
        <w:rPr>
          <w:color w:val="000000" w:themeColor="text1"/>
        </w:rPr>
        <w:t>2011).</w:t>
      </w:r>
      <w:r w:rsidR="00790AB6" w:rsidRPr="006C6F80">
        <w:rPr>
          <w:color w:val="000000" w:themeColor="text1"/>
        </w:rPr>
        <w:t xml:space="preserve"> </w:t>
      </w:r>
      <w:r w:rsidR="0064054B" w:rsidRPr="006C6F80">
        <w:rPr>
          <w:color w:val="000000" w:themeColor="text1"/>
        </w:rPr>
        <w:t xml:space="preserve">Within this framework, </w:t>
      </w:r>
      <w:r w:rsidR="000934DB" w:rsidRPr="006C6F80">
        <w:rPr>
          <w:color w:val="000000" w:themeColor="text1"/>
        </w:rPr>
        <w:t>temporary</w:t>
      </w:r>
      <w:r w:rsidR="00FA2252" w:rsidRPr="006C6F80">
        <w:rPr>
          <w:color w:val="000000" w:themeColor="text1"/>
        </w:rPr>
        <w:t xml:space="preserve"> m</w:t>
      </w:r>
      <w:r w:rsidR="00461DBE" w:rsidRPr="006C6F80">
        <w:rPr>
          <w:color w:val="000000" w:themeColor="text1"/>
        </w:rPr>
        <w:t>igration provide</w:t>
      </w:r>
      <w:r w:rsidR="004E2380" w:rsidRPr="006C6F80">
        <w:rPr>
          <w:color w:val="000000" w:themeColor="text1"/>
        </w:rPr>
        <w:t>s</w:t>
      </w:r>
      <w:r w:rsidR="00461DBE" w:rsidRPr="006C6F80">
        <w:rPr>
          <w:color w:val="000000" w:themeColor="text1"/>
        </w:rPr>
        <w:t xml:space="preserve"> an opportunity for </w:t>
      </w:r>
      <w:r w:rsidR="00A76272" w:rsidRPr="006C6F80">
        <w:rPr>
          <w:color w:val="000000" w:themeColor="text1"/>
        </w:rPr>
        <w:t>workers</w:t>
      </w:r>
      <w:r w:rsidR="00461DBE" w:rsidRPr="006C6F80">
        <w:rPr>
          <w:color w:val="000000" w:themeColor="text1"/>
        </w:rPr>
        <w:t xml:space="preserve"> to acquire physical capital</w:t>
      </w:r>
      <w:r w:rsidR="0064054B" w:rsidRPr="006C6F80">
        <w:rPr>
          <w:color w:val="000000" w:themeColor="text1"/>
        </w:rPr>
        <w:t xml:space="preserve"> (</w:t>
      </w:r>
      <w:r w:rsidR="00461DBE" w:rsidRPr="006C6F80">
        <w:rPr>
          <w:color w:val="000000" w:themeColor="text1"/>
        </w:rPr>
        <w:t>savings</w:t>
      </w:r>
      <w:r w:rsidR="0064054B" w:rsidRPr="006C6F80">
        <w:rPr>
          <w:color w:val="000000" w:themeColor="text1"/>
        </w:rPr>
        <w:t>)</w:t>
      </w:r>
      <w:r w:rsidR="00461DBE" w:rsidRPr="006C6F80">
        <w:rPr>
          <w:color w:val="000000" w:themeColor="text1"/>
        </w:rPr>
        <w:t xml:space="preserve"> and</w:t>
      </w:r>
      <w:r w:rsidR="00A53539" w:rsidRPr="006C6F80">
        <w:rPr>
          <w:color w:val="000000" w:themeColor="text1"/>
        </w:rPr>
        <w:t xml:space="preserve"> human capital (</w:t>
      </w:r>
      <w:r w:rsidR="00461DBE" w:rsidRPr="006C6F80">
        <w:rPr>
          <w:color w:val="000000" w:themeColor="text1"/>
        </w:rPr>
        <w:t>new skills and knowledge</w:t>
      </w:r>
      <w:r w:rsidR="00A53539" w:rsidRPr="006C6F80">
        <w:rPr>
          <w:color w:val="000000" w:themeColor="text1"/>
        </w:rPr>
        <w:t>)</w:t>
      </w:r>
      <w:r w:rsidR="009056F4" w:rsidRPr="006C6F80">
        <w:rPr>
          <w:color w:val="000000" w:themeColor="text1"/>
        </w:rPr>
        <w:t>.</w:t>
      </w:r>
      <w:r w:rsidR="004362E6" w:rsidRPr="006C6F80">
        <w:rPr>
          <w:color w:val="000000" w:themeColor="text1"/>
        </w:rPr>
        <w:t xml:space="preserve"> </w:t>
      </w:r>
      <w:r w:rsidR="008F3AE3" w:rsidRPr="006C6F80">
        <w:rPr>
          <w:color w:val="000000" w:themeColor="text1"/>
        </w:rPr>
        <w:t>R</w:t>
      </w:r>
      <w:r w:rsidR="00D94F50" w:rsidRPr="006C6F80">
        <w:rPr>
          <w:color w:val="000000" w:themeColor="text1"/>
        </w:rPr>
        <w:t xml:space="preserve">eturn of migrants </w:t>
      </w:r>
      <w:r w:rsidR="00AE2DA0" w:rsidRPr="006C6F80">
        <w:rPr>
          <w:color w:val="000000" w:themeColor="text1"/>
        </w:rPr>
        <w:t>with</w:t>
      </w:r>
      <w:r w:rsidR="0064054B" w:rsidRPr="006C6F80">
        <w:rPr>
          <w:color w:val="000000" w:themeColor="text1"/>
        </w:rPr>
        <w:t xml:space="preserve"> their financial and human capital </w:t>
      </w:r>
      <w:r w:rsidR="00AE2DA0" w:rsidRPr="006C6F80">
        <w:rPr>
          <w:color w:val="000000" w:themeColor="text1"/>
        </w:rPr>
        <w:t>investments</w:t>
      </w:r>
      <w:r w:rsidR="0064054B" w:rsidRPr="006C6F80">
        <w:rPr>
          <w:color w:val="000000" w:themeColor="text1"/>
        </w:rPr>
        <w:t xml:space="preserve"> </w:t>
      </w:r>
      <w:r w:rsidR="00D94F50" w:rsidRPr="006C6F80">
        <w:rPr>
          <w:color w:val="000000" w:themeColor="text1"/>
        </w:rPr>
        <w:t>can be a potential source of economic growth</w:t>
      </w:r>
      <w:r w:rsidR="005462D8" w:rsidRPr="006C6F80">
        <w:rPr>
          <w:color w:val="000000" w:themeColor="text1"/>
        </w:rPr>
        <w:t xml:space="preserve"> </w:t>
      </w:r>
      <w:r w:rsidR="00FA2252" w:rsidRPr="006C6F80">
        <w:rPr>
          <w:color w:val="000000" w:themeColor="text1"/>
        </w:rPr>
        <w:t>for the origin country</w:t>
      </w:r>
      <w:r w:rsidR="00534512" w:rsidRPr="006C6F80">
        <w:rPr>
          <w:color w:val="000000" w:themeColor="text1"/>
        </w:rPr>
        <w:t>,</w:t>
      </w:r>
      <w:r w:rsidR="00856B11" w:rsidRPr="006C6F80">
        <w:rPr>
          <w:color w:val="000000" w:themeColor="text1"/>
        </w:rPr>
        <w:t xml:space="preserve"> through increased productivity</w:t>
      </w:r>
      <w:r w:rsidR="00573364" w:rsidRPr="006C6F80">
        <w:rPr>
          <w:color w:val="000000" w:themeColor="text1"/>
        </w:rPr>
        <w:t xml:space="preserve"> </w:t>
      </w:r>
      <w:r w:rsidR="00856B11" w:rsidRPr="006C6F80">
        <w:rPr>
          <w:color w:val="000000" w:themeColor="text1"/>
        </w:rPr>
        <w:t xml:space="preserve">and </w:t>
      </w:r>
      <w:r w:rsidR="00FA2252" w:rsidRPr="006C6F80">
        <w:rPr>
          <w:color w:val="000000" w:themeColor="text1"/>
        </w:rPr>
        <w:t xml:space="preserve">knowledge diffusion </w:t>
      </w:r>
      <w:r w:rsidR="005462D8" w:rsidRPr="006C6F80">
        <w:rPr>
          <w:color w:val="000000" w:themeColor="text1"/>
        </w:rPr>
        <w:lastRenderedPageBreak/>
        <w:t>(</w:t>
      </w:r>
      <w:r w:rsidR="00197D14" w:rsidRPr="006C6F80">
        <w:rPr>
          <w:color w:val="000000" w:themeColor="text1"/>
        </w:rPr>
        <w:t>Choudhury</w:t>
      </w:r>
      <w:r w:rsidR="0084661D" w:rsidRPr="006C6F80">
        <w:rPr>
          <w:color w:val="000000" w:themeColor="text1"/>
          <w:shd w:val="clear" w:color="auto" w:fill="FFFFFF"/>
        </w:rPr>
        <w:t xml:space="preserve">, </w:t>
      </w:r>
      <w:r w:rsidR="008F3AE3" w:rsidRPr="006C6F80">
        <w:rPr>
          <w:color w:val="000000" w:themeColor="text1"/>
          <w:shd w:val="clear" w:color="auto" w:fill="FFFFFF"/>
        </w:rPr>
        <w:t>201</w:t>
      </w:r>
      <w:r w:rsidR="00454E33" w:rsidRPr="006C6F80">
        <w:rPr>
          <w:color w:val="000000" w:themeColor="text1"/>
          <w:shd w:val="clear" w:color="auto" w:fill="FFFFFF"/>
        </w:rPr>
        <w:t>6</w:t>
      </w:r>
      <w:r w:rsidR="008F3AE3" w:rsidRPr="006C6F80">
        <w:rPr>
          <w:color w:val="000000" w:themeColor="text1"/>
          <w:shd w:val="clear" w:color="auto" w:fill="FFFFFF"/>
        </w:rPr>
        <w:t>;</w:t>
      </w:r>
      <w:r w:rsidR="00197D14" w:rsidRPr="006C6F80">
        <w:rPr>
          <w:color w:val="000000" w:themeColor="text1"/>
          <w:shd w:val="clear" w:color="auto" w:fill="FFFFFF"/>
        </w:rPr>
        <w:t xml:space="preserve"> </w:t>
      </w:r>
      <w:r w:rsidR="00EE0981" w:rsidRPr="006C6F80">
        <w:rPr>
          <w:color w:val="000000" w:themeColor="text1"/>
          <w:shd w:val="clear" w:color="auto" w:fill="FFFFFF"/>
        </w:rPr>
        <w:t>Djajić</w:t>
      </w:r>
      <w:r w:rsidR="0084661D" w:rsidRPr="006C6F80">
        <w:rPr>
          <w:color w:val="000000" w:themeColor="text1"/>
        </w:rPr>
        <w:t xml:space="preserve">, </w:t>
      </w:r>
      <w:r w:rsidR="005462D8" w:rsidRPr="006C6F80">
        <w:rPr>
          <w:color w:val="000000" w:themeColor="text1"/>
        </w:rPr>
        <w:t>2014</w:t>
      </w:r>
      <w:r w:rsidR="008F3AE3" w:rsidRPr="006C6F80">
        <w:rPr>
          <w:color w:val="000000" w:themeColor="text1"/>
        </w:rPr>
        <w:t>;</w:t>
      </w:r>
      <w:r w:rsidR="005462D8" w:rsidRPr="006C6F80">
        <w:rPr>
          <w:color w:val="000000" w:themeColor="text1"/>
        </w:rPr>
        <w:t xml:space="preserve"> </w:t>
      </w:r>
      <w:r w:rsidR="00D94F50" w:rsidRPr="006C6F80">
        <w:rPr>
          <w:rFonts w:eastAsia="Calibri"/>
          <w:color w:val="000000" w:themeColor="text1"/>
        </w:rPr>
        <w:t>Dos Santos and Postel-Vinay</w:t>
      </w:r>
      <w:r w:rsidR="0084661D" w:rsidRPr="006C6F80">
        <w:rPr>
          <w:rFonts w:eastAsia="Calibri"/>
          <w:color w:val="000000" w:themeColor="text1"/>
        </w:rPr>
        <w:t xml:space="preserve">, </w:t>
      </w:r>
      <w:r w:rsidR="00D94F50" w:rsidRPr="006C6F80">
        <w:rPr>
          <w:rFonts w:eastAsia="Calibri"/>
          <w:color w:val="000000" w:themeColor="text1"/>
        </w:rPr>
        <w:t>2003</w:t>
      </w:r>
      <w:r w:rsidR="0017018E" w:rsidRPr="006C6F80">
        <w:rPr>
          <w:color w:val="000000" w:themeColor="text1"/>
        </w:rPr>
        <w:t xml:space="preserve"> Dustmann and Gorlach, 2016</w:t>
      </w:r>
      <w:r w:rsidR="00B509EB" w:rsidRPr="006C6F80">
        <w:rPr>
          <w:color w:val="000000" w:themeColor="text1"/>
        </w:rPr>
        <w:t xml:space="preserve">; </w:t>
      </w:r>
      <w:r w:rsidR="0017018E" w:rsidRPr="006C6F80">
        <w:rPr>
          <w:color w:val="000000" w:themeColor="text1"/>
        </w:rPr>
        <w:t>Sun, 2013</w:t>
      </w:r>
      <w:r w:rsidR="005462D8" w:rsidRPr="006C6F80">
        <w:rPr>
          <w:rFonts w:eastAsia="Calibri"/>
          <w:color w:val="000000" w:themeColor="text1"/>
        </w:rPr>
        <w:t>).</w:t>
      </w:r>
      <w:r w:rsidR="00A2258B" w:rsidRPr="006C6F80">
        <w:rPr>
          <w:rStyle w:val="FootnoteReference"/>
          <w:rFonts w:eastAsia="Calibri"/>
          <w:color w:val="000000" w:themeColor="text1"/>
        </w:rPr>
        <w:footnoteReference w:id="4"/>
      </w:r>
      <w:r w:rsidR="005462D8" w:rsidRPr="006C6F80">
        <w:rPr>
          <w:color w:val="000000" w:themeColor="text1"/>
        </w:rPr>
        <w:t xml:space="preserve"> </w:t>
      </w:r>
      <w:r w:rsidR="001B36DE" w:rsidRPr="006C6F80">
        <w:rPr>
          <w:color w:val="000000" w:themeColor="text1"/>
        </w:rPr>
        <w:t xml:space="preserve">Indeed, </w:t>
      </w:r>
      <w:r w:rsidR="001B36DE" w:rsidRPr="006C6F80">
        <w:rPr>
          <w:rFonts w:eastAsia="Calibri"/>
          <w:color w:val="000000" w:themeColor="text1"/>
        </w:rPr>
        <w:t xml:space="preserve">whether migrants acquire human capital while overseas is an important question for the economic development of </w:t>
      </w:r>
      <w:r w:rsidR="00534512" w:rsidRPr="006C6F80">
        <w:rPr>
          <w:rFonts w:eastAsia="Calibri"/>
          <w:color w:val="000000" w:themeColor="text1"/>
        </w:rPr>
        <w:t>sending</w:t>
      </w:r>
      <w:r w:rsidR="001B36DE" w:rsidRPr="006C6F80">
        <w:rPr>
          <w:rFonts w:eastAsia="Calibri"/>
          <w:color w:val="000000" w:themeColor="text1"/>
        </w:rPr>
        <w:t xml:space="preserve"> developing countries</w:t>
      </w:r>
      <w:r w:rsidR="00534512" w:rsidRPr="006C6F80">
        <w:rPr>
          <w:rFonts w:eastAsia="Calibri"/>
          <w:color w:val="000000" w:themeColor="text1"/>
        </w:rPr>
        <w:t>,</w:t>
      </w:r>
      <w:r w:rsidR="001B36DE" w:rsidRPr="006C6F80">
        <w:rPr>
          <w:rFonts w:eastAsia="Calibri"/>
          <w:color w:val="000000" w:themeColor="text1"/>
        </w:rPr>
        <w:t xml:space="preserve"> since the public debate tends to underscore the negative impact of high-skilled emigration, resulting in a brain drain</w:t>
      </w:r>
      <w:r w:rsidR="00534512" w:rsidRPr="006C6F80">
        <w:rPr>
          <w:rFonts w:eastAsia="Calibri"/>
          <w:color w:val="000000" w:themeColor="text1"/>
        </w:rPr>
        <w:t>.</w:t>
      </w:r>
      <w:r w:rsidR="001B36DE" w:rsidRPr="006C6F80">
        <w:rPr>
          <w:rFonts w:eastAsia="Calibri"/>
          <w:color w:val="000000" w:themeColor="text1"/>
        </w:rPr>
        <w:t xml:space="preserve"> </w:t>
      </w:r>
    </w:p>
    <w:p w14:paraId="3412BAF4" w14:textId="0028F393" w:rsidR="00705AD7" w:rsidRPr="006C6F80" w:rsidRDefault="00BE68AF" w:rsidP="00B132A6">
      <w:pPr>
        <w:spacing w:after="200" w:line="480" w:lineRule="auto"/>
        <w:jc w:val="both"/>
        <w:rPr>
          <w:color w:val="000000" w:themeColor="text1"/>
        </w:rPr>
      </w:pPr>
      <w:r w:rsidRPr="006C6F80">
        <w:rPr>
          <w:color w:val="000000" w:themeColor="text1"/>
        </w:rPr>
        <w:t xml:space="preserve">Return </w:t>
      </w:r>
      <w:r w:rsidR="00A53539" w:rsidRPr="006C6F80">
        <w:rPr>
          <w:color w:val="000000" w:themeColor="text1"/>
        </w:rPr>
        <w:t xml:space="preserve">migration is </w:t>
      </w:r>
      <w:r w:rsidRPr="006C6F80">
        <w:rPr>
          <w:color w:val="000000" w:themeColor="text1"/>
        </w:rPr>
        <w:t xml:space="preserve">still </w:t>
      </w:r>
      <w:r w:rsidR="00B64CE6" w:rsidRPr="006C6F80">
        <w:rPr>
          <w:color w:val="000000" w:themeColor="text1"/>
        </w:rPr>
        <w:t xml:space="preserve">a </w:t>
      </w:r>
      <w:r w:rsidRPr="006C6F80">
        <w:rPr>
          <w:color w:val="000000" w:themeColor="text1"/>
        </w:rPr>
        <w:t>relatively</w:t>
      </w:r>
      <w:r w:rsidR="00A53539" w:rsidRPr="006C6F80">
        <w:rPr>
          <w:color w:val="000000" w:themeColor="text1"/>
        </w:rPr>
        <w:t xml:space="preserve"> understudied aspect of international migration</w:t>
      </w:r>
      <w:r w:rsidR="00534512" w:rsidRPr="006C6F80">
        <w:rPr>
          <w:color w:val="000000" w:themeColor="text1"/>
        </w:rPr>
        <w:t>,</w:t>
      </w:r>
      <w:r w:rsidR="00915F52" w:rsidRPr="006C6F80">
        <w:rPr>
          <w:color w:val="000000" w:themeColor="text1"/>
        </w:rPr>
        <w:t xml:space="preserve"> despite its </w:t>
      </w:r>
      <w:r w:rsidR="00534512" w:rsidRPr="006C6F80">
        <w:rPr>
          <w:color w:val="000000" w:themeColor="text1"/>
        </w:rPr>
        <w:t>importance</w:t>
      </w:r>
      <w:r w:rsidR="00A53539" w:rsidRPr="006C6F80">
        <w:rPr>
          <w:color w:val="000000" w:themeColor="text1"/>
        </w:rPr>
        <w:t xml:space="preserve">. </w:t>
      </w:r>
      <w:r w:rsidR="00AD71CF" w:rsidRPr="006C6F80">
        <w:rPr>
          <w:color w:val="000000" w:themeColor="text1"/>
        </w:rPr>
        <w:t>Largely</w:t>
      </w:r>
      <w:r w:rsidR="00AE2DA0" w:rsidRPr="006C6F80">
        <w:rPr>
          <w:color w:val="000000" w:themeColor="text1"/>
        </w:rPr>
        <w:t xml:space="preserve"> the literature on the impact of international migration has focused on </w:t>
      </w:r>
      <w:r w:rsidR="00534512" w:rsidRPr="006C6F80">
        <w:rPr>
          <w:color w:val="000000" w:themeColor="text1"/>
        </w:rPr>
        <w:t xml:space="preserve">the </w:t>
      </w:r>
      <w:r w:rsidR="00AE2DA0" w:rsidRPr="006C6F80">
        <w:rPr>
          <w:color w:val="000000" w:themeColor="text1"/>
        </w:rPr>
        <w:t>remittances and savings of migrants and</w:t>
      </w:r>
      <w:r w:rsidR="00534512" w:rsidRPr="006C6F80">
        <w:rPr>
          <w:color w:val="000000" w:themeColor="text1"/>
        </w:rPr>
        <w:t>,</w:t>
      </w:r>
      <w:r w:rsidR="00AE2DA0" w:rsidRPr="006C6F80">
        <w:rPr>
          <w:color w:val="000000" w:themeColor="text1"/>
        </w:rPr>
        <w:t xml:space="preserve"> to a lesser extent</w:t>
      </w:r>
      <w:r w:rsidR="00534512" w:rsidRPr="006C6F80">
        <w:rPr>
          <w:color w:val="000000" w:themeColor="text1"/>
        </w:rPr>
        <w:t>,</w:t>
      </w:r>
      <w:r w:rsidR="00AE2DA0" w:rsidRPr="006C6F80">
        <w:rPr>
          <w:color w:val="000000" w:themeColor="text1"/>
        </w:rPr>
        <w:t xml:space="preserve"> on</w:t>
      </w:r>
      <w:r w:rsidR="00A53539" w:rsidRPr="006C6F80">
        <w:rPr>
          <w:color w:val="000000" w:themeColor="text1"/>
        </w:rPr>
        <w:t xml:space="preserve"> th</w:t>
      </w:r>
      <w:r w:rsidR="00B60540" w:rsidRPr="006C6F80">
        <w:rPr>
          <w:color w:val="000000" w:themeColor="text1"/>
        </w:rPr>
        <w:t xml:space="preserve">e effect of return migration on </w:t>
      </w:r>
      <w:r w:rsidR="005462D8" w:rsidRPr="006C6F80">
        <w:rPr>
          <w:color w:val="000000" w:themeColor="text1"/>
        </w:rPr>
        <w:t>human capital accumulation</w:t>
      </w:r>
      <w:r w:rsidR="00534512" w:rsidRPr="006C6F80">
        <w:rPr>
          <w:color w:val="000000" w:themeColor="text1"/>
        </w:rPr>
        <w:t>,</w:t>
      </w:r>
      <w:r w:rsidR="00233A3E" w:rsidRPr="006C6F80">
        <w:rPr>
          <w:color w:val="000000" w:themeColor="text1"/>
        </w:rPr>
        <w:t xml:space="preserve"> i.e. on the brain gain channel</w:t>
      </w:r>
      <w:r w:rsidR="00AE2DA0" w:rsidRPr="006C6F80">
        <w:rPr>
          <w:color w:val="000000" w:themeColor="text1"/>
        </w:rPr>
        <w:t>.</w:t>
      </w:r>
      <w:r w:rsidR="00556949" w:rsidRPr="006C6F80">
        <w:rPr>
          <w:color w:val="000000" w:themeColor="text1"/>
        </w:rPr>
        <w:t xml:space="preserve"> </w:t>
      </w:r>
      <w:r w:rsidR="00AE2DA0" w:rsidRPr="006C6F80">
        <w:rPr>
          <w:color w:val="000000" w:themeColor="text1"/>
        </w:rPr>
        <w:t>The la</w:t>
      </w:r>
      <w:r w:rsidR="00117B17" w:rsidRPr="006C6F80">
        <w:rPr>
          <w:color w:val="000000" w:themeColor="text1"/>
        </w:rPr>
        <w:t>t</w:t>
      </w:r>
      <w:r w:rsidR="00AE2DA0" w:rsidRPr="006C6F80">
        <w:rPr>
          <w:color w:val="000000" w:themeColor="text1"/>
        </w:rPr>
        <w:t xml:space="preserve">ter </w:t>
      </w:r>
      <w:r w:rsidR="00A53539" w:rsidRPr="006C6F80">
        <w:rPr>
          <w:color w:val="000000" w:themeColor="text1"/>
        </w:rPr>
        <w:t xml:space="preserve">literature </w:t>
      </w:r>
      <w:r w:rsidR="00AE2DA0" w:rsidRPr="006C6F80">
        <w:rPr>
          <w:color w:val="000000" w:themeColor="text1"/>
        </w:rPr>
        <w:t>ha</w:t>
      </w:r>
      <w:r w:rsidR="00A53539" w:rsidRPr="006C6F80">
        <w:rPr>
          <w:color w:val="000000" w:themeColor="text1"/>
        </w:rPr>
        <w:t>s</w:t>
      </w:r>
      <w:r w:rsidR="00AE2DA0" w:rsidRPr="006C6F80">
        <w:rPr>
          <w:color w:val="000000" w:themeColor="text1"/>
        </w:rPr>
        <w:t xml:space="preserve"> focused</w:t>
      </w:r>
      <w:r w:rsidR="00556949" w:rsidRPr="006C6F80">
        <w:rPr>
          <w:color w:val="000000" w:themeColor="text1"/>
        </w:rPr>
        <w:t xml:space="preserve"> on </w:t>
      </w:r>
      <w:r w:rsidR="005462D8" w:rsidRPr="006C6F80">
        <w:rPr>
          <w:color w:val="000000" w:themeColor="text1"/>
        </w:rPr>
        <w:t xml:space="preserve">the wage premium </w:t>
      </w:r>
      <w:r w:rsidR="00FA2252" w:rsidRPr="006C6F80">
        <w:rPr>
          <w:color w:val="000000" w:themeColor="text1"/>
        </w:rPr>
        <w:t xml:space="preserve">earned by </w:t>
      </w:r>
      <w:r w:rsidR="005462D8" w:rsidRPr="006C6F80">
        <w:rPr>
          <w:color w:val="000000" w:themeColor="text1"/>
        </w:rPr>
        <w:t>return migrants compared to non-migrants</w:t>
      </w:r>
      <w:r w:rsidR="00556949" w:rsidRPr="006C6F80">
        <w:rPr>
          <w:color w:val="000000" w:themeColor="text1"/>
        </w:rPr>
        <w:t>.</w:t>
      </w:r>
      <w:r w:rsidR="000A6224" w:rsidRPr="006C6F80">
        <w:rPr>
          <w:rStyle w:val="FootnoteReference"/>
          <w:color w:val="000000" w:themeColor="text1"/>
        </w:rPr>
        <w:footnoteReference w:id="5"/>
      </w:r>
      <w:r w:rsidR="00556949" w:rsidRPr="006C6F80">
        <w:rPr>
          <w:color w:val="000000" w:themeColor="text1"/>
        </w:rPr>
        <w:t xml:space="preserve"> </w:t>
      </w:r>
      <w:r w:rsidR="00A53539" w:rsidRPr="006C6F80">
        <w:rPr>
          <w:color w:val="000000" w:themeColor="text1"/>
        </w:rPr>
        <w:t>T</w:t>
      </w:r>
      <w:r w:rsidR="00133980" w:rsidRPr="006C6F80">
        <w:rPr>
          <w:color w:val="000000" w:themeColor="text1"/>
        </w:rPr>
        <w:t>he evidence suggest</w:t>
      </w:r>
      <w:r w:rsidR="00FA2252" w:rsidRPr="006C6F80">
        <w:rPr>
          <w:color w:val="000000" w:themeColor="text1"/>
        </w:rPr>
        <w:t>s</w:t>
      </w:r>
      <w:r w:rsidR="00133980" w:rsidRPr="006C6F80">
        <w:rPr>
          <w:color w:val="000000" w:themeColor="text1"/>
        </w:rPr>
        <w:t xml:space="preserve"> </w:t>
      </w:r>
      <w:r w:rsidR="00FA2252" w:rsidRPr="006C6F80">
        <w:rPr>
          <w:color w:val="000000" w:themeColor="text1"/>
        </w:rPr>
        <w:t xml:space="preserve">that there is </w:t>
      </w:r>
      <w:r w:rsidR="00133980" w:rsidRPr="006C6F80">
        <w:rPr>
          <w:color w:val="000000" w:themeColor="text1"/>
        </w:rPr>
        <w:t xml:space="preserve">a positive wage premium associated with overseas </w:t>
      </w:r>
      <w:r w:rsidR="00FA2252" w:rsidRPr="006C6F80">
        <w:rPr>
          <w:color w:val="000000" w:themeColor="text1"/>
        </w:rPr>
        <w:t xml:space="preserve">work </w:t>
      </w:r>
      <w:r w:rsidR="00133980" w:rsidRPr="006C6F80">
        <w:rPr>
          <w:color w:val="000000" w:themeColor="text1"/>
        </w:rPr>
        <w:t>migration for returnees in developing countries</w:t>
      </w:r>
      <w:r w:rsidR="00C94D5E" w:rsidRPr="006C6F80">
        <w:rPr>
          <w:color w:val="000000" w:themeColor="text1"/>
        </w:rPr>
        <w:t xml:space="preserve"> (</w:t>
      </w:r>
      <w:r w:rsidR="00133980" w:rsidRPr="006C6F80">
        <w:rPr>
          <w:color w:val="000000" w:themeColor="text1"/>
        </w:rPr>
        <w:t>Lacuesta</w:t>
      </w:r>
      <w:r w:rsidR="00C94D5E" w:rsidRPr="006C6F80">
        <w:rPr>
          <w:color w:val="000000" w:themeColor="text1"/>
        </w:rPr>
        <w:t xml:space="preserve">, </w:t>
      </w:r>
      <w:r w:rsidR="00133980" w:rsidRPr="006C6F80">
        <w:rPr>
          <w:color w:val="000000" w:themeColor="text1"/>
        </w:rPr>
        <w:t>2010</w:t>
      </w:r>
      <w:r w:rsidR="00C94D5E" w:rsidRPr="006C6F80">
        <w:rPr>
          <w:color w:val="000000" w:themeColor="text1"/>
        </w:rPr>
        <w:t>;</w:t>
      </w:r>
      <w:r w:rsidR="00133980" w:rsidRPr="006C6F80">
        <w:rPr>
          <w:color w:val="000000" w:themeColor="text1"/>
        </w:rPr>
        <w:t xml:space="preserve"> Reinhold and Thom</w:t>
      </w:r>
      <w:r w:rsidR="00C94D5E" w:rsidRPr="006C6F80">
        <w:rPr>
          <w:color w:val="000000" w:themeColor="text1"/>
        </w:rPr>
        <w:t xml:space="preserve">, </w:t>
      </w:r>
      <w:r w:rsidR="00133980" w:rsidRPr="006C6F80">
        <w:rPr>
          <w:color w:val="000000" w:themeColor="text1"/>
        </w:rPr>
        <w:t>2013</w:t>
      </w:r>
      <w:r w:rsidR="00C94D5E" w:rsidRPr="006C6F80">
        <w:rPr>
          <w:color w:val="000000" w:themeColor="text1"/>
        </w:rPr>
        <w:t>;</w:t>
      </w:r>
      <w:r w:rsidR="00133980" w:rsidRPr="006C6F80">
        <w:rPr>
          <w:color w:val="000000" w:themeColor="text1"/>
        </w:rPr>
        <w:t xml:space="preserve"> Wahba</w:t>
      </w:r>
      <w:r w:rsidR="00C94D5E" w:rsidRPr="006C6F80">
        <w:rPr>
          <w:color w:val="000000" w:themeColor="text1"/>
        </w:rPr>
        <w:t xml:space="preserve">, </w:t>
      </w:r>
      <w:r w:rsidR="00133980" w:rsidRPr="006C6F80">
        <w:rPr>
          <w:color w:val="000000" w:themeColor="text1"/>
        </w:rPr>
        <w:t xml:space="preserve">2015). </w:t>
      </w:r>
      <w:r w:rsidR="00601290" w:rsidRPr="006C6F80">
        <w:rPr>
          <w:color w:val="000000" w:themeColor="text1"/>
        </w:rPr>
        <w:t xml:space="preserve">However, </w:t>
      </w:r>
      <w:r w:rsidR="00D10898" w:rsidRPr="006C6F80">
        <w:rPr>
          <w:color w:val="000000" w:themeColor="text1"/>
        </w:rPr>
        <w:t>these studies only observe</w:t>
      </w:r>
      <w:r w:rsidR="00601290" w:rsidRPr="006C6F80">
        <w:rPr>
          <w:color w:val="000000" w:themeColor="text1"/>
        </w:rPr>
        <w:t xml:space="preserve"> wages at one point </w:t>
      </w:r>
      <w:r w:rsidR="00D10898" w:rsidRPr="006C6F80">
        <w:rPr>
          <w:color w:val="000000" w:themeColor="text1"/>
        </w:rPr>
        <w:t>in time and typically speculate</w:t>
      </w:r>
      <w:r w:rsidR="00601290" w:rsidRPr="006C6F80">
        <w:rPr>
          <w:color w:val="000000" w:themeColor="text1"/>
        </w:rPr>
        <w:t xml:space="preserve"> that the wage premium (of returnees compared to non-migrants) is due to overseas human capital accumulation but cannot control for pre-migration wages. </w:t>
      </w:r>
    </w:p>
    <w:p w14:paraId="5E0F9101" w14:textId="386D3D4C" w:rsidR="00051D5A" w:rsidRPr="006C6F80" w:rsidRDefault="00C66615" w:rsidP="00B132A6">
      <w:pPr>
        <w:spacing w:after="200" w:line="480" w:lineRule="auto"/>
        <w:jc w:val="both"/>
        <w:rPr>
          <w:color w:val="000000" w:themeColor="text1"/>
        </w:rPr>
      </w:pPr>
      <w:r w:rsidRPr="006C6F80">
        <w:rPr>
          <w:color w:val="000000" w:themeColor="text1"/>
        </w:rPr>
        <w:t>A</w:t>
      </w:r>
      <w:r w:rsidR="005462D8" w:rsidRPr="006C6F80">
        <w:rPr>
          <w:color w:val="000000" w:themeColor="text1"/>
        </w:rPr>
        <w:t xml:space="preserve">nother </w:t>
      </w:r>
      <w:r w:rsidR="00534512" w:rsidRPr="006C6F80">
        <w:rPr>
          <w:color w:val="000000" w:themeColor="text1"/>
        </w:rPr>
        <w:t xml:space="preserve">unexplored </w:t>
      </w:r>
      <w:r w:rsidR="00133980" w:rsidRPr="006C6F80">
        <w:rPr>
          <w:color w:val="000000" w:themeColor="text1"/>
        </w:rPr>
        <w:t>measure</w:t>
      </w:r>
      <w:r w:rsidR="005462D8" w:rsidRPr="006C6F80">
        <w:rPr>
          <w:rFonts w:eastAsia="Calibri"/>
          <w:color w:val="000000" w:themeColor="text1"/>
        </w:rPr>
        <w:t xml:space="preserve"> of the </w:t>
      </w:r>
      <w:r w:rsidR="00133980" w:rsidRPr="006C6F80">
        <w:rPr>
          <w:rFonts w:eastAsia="Calibri"/>
          <w:color w:val="000000" w:themeColor="text1"/>
        </w:rPr>
        <w:t xml:space="preserve">acquisition of human </w:t>
      </w:r>
      <w:r w:rsidRPr="006C6F80">
        <w:rPr>
          <w:rFonts w:eastAsia="Calibri"/>
          <w:color w:val="000000" w:themeColor="text1"/>
        </w:rPr>
        <w:t xml:space="preserve">capital of </w:t>
      </w:r>
      <w:r w:rsidR="00A6581E" w:rsidRPr="006C6F80">
        <w:rPr>
          <w:rFonts w:eastAsia="Calibri"/>
          <w:color w:val="000000" w:themeColor="text1"/>
        </w:rPr>
        <w:t xml:space="preserve">temporary </w:t>
      </w:r>
      <w:r w:rsidRPr="006C6F80">
        <w:rPr>
          <w:rFonts w:eastAsia="Calibri"/>
          <w:color w:val="000000" w:themeColor="text1"/>
        </w:rPr>
        <w:t>migrants</w:t>
      </w:r>
      <w:r w:rsidR="00534512" w:rsidRPr="006C6F80">
        <w:rPr>
          <w:rFonts w:eastAsia="Calibri"/>
          <w:color w:val="000000" w:themeColor="text1"/>
        </w:rPr>
        <w:t xml:space="preserve"> </w:t>
      </w:r>
      <w:r w:rsidR="00B824C6" w:rsidRPr="006C6F80">
        <w:rPr>
          <w:rFonts w:eastAsia="Calibri"/>
          <w:color w:val="000000" w:themeColor="text1"/>
        </w:rPr>
        <w:t xml:space="preserve">is </w:t>
      </w:r>
      <w:r w:rsidRPr="006C6F80">
        <w:rPr>
          <w:rFonts w:eastAsia="Calibri"/>
          <w:color w:val="000000" w:themeColor="text1"/>
        </w:rPr>
        <w:t xml:space="preserve">their </w:t>
      </w:r>
      <w:r w:rsidR="00133980" w:rsidRPr="006C6F80">
        <w:rPr>
          <w:rFonts w:eastAsia="Calibri"/>
          <w:color w:val="000000" w:themeColor="text1"/>
        </w:rPr>
        <w:t xml:space="preserve">skill </w:t>
      </w:r>
      <w:r w:rsidRPr="006C6F80">
        <w:rPr>
          <w:rFonts w:eastAsia="Calibri"/>
          <w:color w:val="000000" w:themeColor="text1"/>
        </w:rPr>
        <w:t>upgrading</w:t>
      </w:r>
      <w:r w:rsidR="00B824C6" w:rsidRPr="006C6F80">
        <w:rPr>
          <w:rFonts w:eastAsia="Calibri"/>
          <w:color w:val="000000" w:themeColor="text1"/>
        </w:rPr>
        <w:t xml:space="preserve"> or occupational mobility</w:t>
      </w:r>
      <w:r w:rsidRPr="006C6F80">
        <w:rPr>
          <w:rFonts w:eastAsia="Calibri"/>
          <w:color w:val="000000" w:themeColor="text1"/>
        </w:rPr>
        <w:t xml:space="preserve">. </w:t>
      </w:r>
      <w:r w:rsidR="0006147D" w:rsidRPr="006C6F80">
        <w:rPr>
          <w:color w:val="000000" w:themeColor="text1"/>
        </w:rPr>
        <w:t xml:space="preserve">The existing literature on the impact of return on upward mobility </w:t>
      </w:r>
      <w:r w:rsidR="00EF56A4" w:rsidRPr="006C6F80">
        <w:rPr>
          <w:color w:val="000000" w:themeColor="text1"/>
        </w:rPr>
        <w:t>is very sparse.</w:t>
      </w:r>
      <w:r w:rsidR="004607B3" w:rsidRPr="006C6F80">
        <w:rPr>
          <w:rStyle w:val="FootnoteReference"/>
          <w:color w:val="000000" w:themeColor="text1"/>
        </w:rPr>
        <w:footnoteReference w:id="6"/>
      </w:r>
      <w:r w:rsidR="0006147D" w:rsidRPr="006C6F80">
        <w:rPr>
          <w:color w:val="000000" w:themeColor="text1"/>
        </w:rPr>
        <w:t xml:space="preserve"> </w:t>
      </w:r>
      <w:r w:rsidR="00B60540" w:rsidRPr="006C6F80">
        <w:rPr>
          <w:color w:val="000000" w:themeColor="text1"/>
        </w:rPr>
        <w:t xml:space="preserve">Carletto and Kilic (2011) </w:t>
      </w:r>
      <w:r w:rsidR="00006AF0" w:rsidRPr="006C6F80">
        <w:rPr>
          <w:color w:val="000000" w:themeColor="text1"/>
        </w:rPr>
        <w:t>estimate the impact of international migration experience on the occupational mobility of returnees compared to stayers in Albania</w:t>
      </w:r>
      <w:r w:rsidR="007D722E" w:rsidRPr="006C6F80">
        <w:rPr>
          <w:color w:val="000000" w:themeColor="text1"/>
        </w:rPr>
        <w:t xml:space="preserve"> and find that past migration experience increases the probability of upward occupational mobility</w:t>
      </w:r>
      <w:r w:rsidR="00006AF0" w:rsidRPr="006C6F80">
        <w:rPr>
          <w:color w:val="000000" w:themeColor="text1"/>
        </w:rPr>
        <w:t xml:space="preserve">. Relying on an instrumental variable approach to control for the </w:t>
      </w:r>
      <w:r w:rsidR="00A047D1" w:rsidRPr="006C6F80">
        <w:rPr>
          <w:color w:val="000000" w:themeColor="text1"/>
        </w:rPr>
        <w:t>endogen</w:t>
      </w:r>
      <w:r w:rsidR="00613C84" w:rsidRPr="006C6F80">
        <w:rPr>
          <w:color w:val="000000" w:themeColor="text1"/>
        </w:rPr>
        <w:t>e</w:t>
      </w:r>
      <w:r w:rsidR="00A047D1" w:rsidRPr="006C6F80">
        <w:rPr>
          <w:color w:val="000000" w:themeColor="text1"/>
        </w:rPr>
        <w:t>ity</w:t>
      </w:r>
      <w:r w:rsidR="00006AF0" w:rsidRPr="006C6F80">
        <w:rPr>
          <w:color w:val="000000" w:themeColor="text1"/>
        </w:rPr>
        <w:t xml:space="preserve"> of international migration and </w:t>
      </w:r>
      <w:r w:rsidR="00006AF0" w:rsidRPr="006C6F80">
        <w:rPr>
          <w:color w:val="000000" w:themeColor="text1"/>
        </w:rPr>
        <w:lastRenderedPageBreak/>
        <w:t xml:space="preserve">return, </w:t>
      </w:r>
      <w:r w:rsidR="001A0274" w:rsidRPr="006C6F80">
        <w:rPr>
          <w:color w:val="000000" w:themeColor="text1"/>
        </w:rPr>
        <w:t xml:space="preserve">they use </w:t>
      </w:r>
      <w:r w:rsidR="00AC0A83" w:rsidRPr="006C6F80">
        <w:rPr>
          <w:color w:val="000000" w:themeColor="text1"/>
        </w:rPr>
        <w:t xml:space="preserve">foreign </w:t>
      </w:r>
      <w:r w:rsidR="001A0274" w:rsidRPr="006C6F80">
        <w:rPr>
          <w:color w:val="000000" w:themeColor="text1"/>
        </w:rPr>
        <w:t>language</w:t>
      </w:r>
      <w:r w:rsidR="00AC0A83" w:rsidRPr="006C6F80">
        <w:rPr>
          <w:color w:val="000000" w:themeColor="text1"/>
        </w:rPr>
        <w:t xml:space="preserve"> knowledge</w:t>
      </w:r>
      <w:r w:rsidR="001A0274" w:rsidRPr="006C6F80">
        <w:rPr>
          <w:color w:val="000000" w:themeColor="text1"/>
        </w:rPr>
        <w:t xml:space="preserve"> </w:t>
      </w:r>
      <w:r w:rsidR="00AC0A83" w:rsidRPr="006C6F80">
        <w:rPr>
          <w:color w:val="000000" w:themeColor="text1"/>
        </w:rPr>
        <w:t>of</w:t>
      </w:r>
      <w:r w:rsidR="001A0274" w:rsidRPr="006C6F80">
        <w:rPr>
          <w:color w:val="000000" w:themeColor="text1"/>
        </w:rPr>
        <w:t xml:space="preserve"> household member</w:t>
      </w:r>
      <w:r w:rsidR="00AC0A83" w:rsidRPr="006C6F80">
        <w:rPr>
          <w:color w:val="000000" w:themeColor="text1"/>
        </w:rPr>
        <w:t>s</w:t>
      </w:r>
      <w:r w:rsidR="001A0274" w:rsidRPr="006C6F80">
        <w:rPr>
          <w:color w:val="000000" w:themeColor="text1"/>
        </w:rPr>
        <w:t xml:space="preserve"> </w:t>
      </w:r>
      <w:r w:rsidR="00A76272" w:rsidRPr="006C6F80">
        <w:rPr>
          <w:color w:val="000000" w:themeColor="text1"/>
        </w:rPr>
        <w:t xml:space="preserve">before migration </w:t>
      </w:r>
      <w:r w:rsidR="001A0274" w:rsidRPr="006C6F80">
        <w:rPr>
          <w:color w:val="000000" w:themeColor="text1"/>
        </w:rPr>
        <w:t xml:space="preserve">and the number of </w:t>
      </w:r>
      <w:r w:rsidR="00AC0A83" w:rsidRPr="006C6F80">
        <w:rPr>
          <w:color w:val="000000" w:themeColor="text1"/>
        </w:rPr>
        <w:t xml:space="preserve">young </w:t>
      </w:r>
      <w:r w:rsidR="001A0274" w:rsidRPr="006C6F80">
        <w:rPr>
          <w:color w:val="000000" w:themeColor="text1"/>
        </w:rPr>
        <w:t xml:space="preserve">children </w:t>
      </w:r>
      <w:r w:rsidR="001F143A" w:rsidRPr="006C6F80">
        <w:rPr>
          <w:color w:val="000000" w:themeColor="text1"/>
        </w:rPr>
        <w:t>at the time of return, as predictors of past migration and return decisions</w:t>
      </w:r>
      <w:r w:rsidR="00164C6E" w:rsidRPr="006C6F80">
        <w:rPr>
          <w:color w:val="000000" w:themeColor="text1"/>
        </w:rPr>
        <w:t>.</w:t>
      </w:r>
      <w:r w:rsidR="00F34F8F" w:rsidRPr="006C6F80">
        <w:rPr>
          <w:color w:val="000000" w:themeColor="text1"/>
        </w:rPr>
        <w:t xml:space="preserve"> </w:t>
      </w:r>
      <w:r w:rsidR="00164C6E" w:rsidRPr="006C6F80">
        <w:rPr>
          <w:color w:val="000000" w:themeColor="text1"/>
        </w:rPr>
        <w:t>B</w:t>
      </w:r>
      <w:r w:rsidR="00F34F8F" w:rsidRPr="006C6F80">
        <w:rPr>
          <w:color w:val="000000" w:themeColor="text1"/>
        </w:rPr>
        <w:t>oth</w:t>
      </w:r>
      <w:r w:rsidR="00164C6E" w:rsidRPr="006C6F80">
        <w:rPr>
          <w:color w:val="000000" w:themeColor="text1"/>
        </w:rPr>
        <w:t>, however,</w:t>
      </w:r>
      <w:r w:rsidR="00F34F8F" w:rsidRPr="006C6F80">
        <w:rPr>
          <w:color w:val="000000" w:themeColor="text1"/>
        </w:rPr>
        <w:t xml:space="preserve"> are potentially choice variables</w:t>
      </w:r>
      <w:r w:rsidR="00A047D1" w:rsidRPr="006C6F80">
        <w:rPr>
          <w:color w:val="000000" w:themeColor="text1"/>
        </w:rPr>
        <w:t xml:space="preserve"> that might violate the exclusion restriction</w:t>
      </w:r>
      <w:r w:rsidR="00B80940" w:rsidRPr="006C6F80">
        <w:rPr>
          <w:color w:val="000000" w:themeColor="text1"/>
        </w:rPr>
        <w:t xml:space="preserve">. </w:t>
      </w:r>
      <w:r w:rsidR="00AC0A83" w:rsidRPr="006C6F80">
        <w:rPr>
          <w:color w:val="000000" w:themeColor="text1"/>
        </w:rPr>
        <w:t>On the other hand, u</w:t>
      </w:r>
      <w:r w:rsidR="0006147D" w:rsidRPr="006C6F80">
        <w:rPr>
          <w:color w:val="000000" w:themeColor="text1"/>
        </w:rPr>
        <w:t xml:space="preserve">sing the online job search portal of Estonia, </w:t>
      </w:r>
      <w:r w:rsidR="007D722E" w:rsidRPr="006C6F80">
        <w:rPr>
          <w:color w:val="000000" w:themeColor="text1"/>
          <w:shd w:val="clear" w:color="auto" w:fill="FFFFFF"/>
        </w:rPr>
        <w:t xml:space="preserve">Eamets, Jaakson, Masso and Mõtsmees (2014) </w:t>
      </w:r>
      <w:r w:rsidR="0006147D" w:rsidRPr="006C6F80">
        <w:rPr>
          <w:color w:val="000000" w:themeColor="text1"/>
        </w:rPr>
        <w:t>investigate the effect of temporary migration experience on</w:t>
      </w:r>
      <w:r w:rsidR="00E764AA" w:rsidRPr="006C6F80">
        <w:rPr>
          <w:color w:val="000000" w:themeColor="text1"/>
        </w:rPr>
        <w:t xml:space="preserve"> upward occupational mobility, using </w:t>
      </w:r>
      <w:r w:rsidR="0013620D" w:rsidRPr="006C6F80">
        <w:rPr>
          <w:color w:val="000000" w:themeColor="text1"/>
        </w:rPr>
        <w:t xml:space="preserve">data based on resumes submitted to an </w:t>
      </w:r>
      <w:r w:rsidR="00E764AA" w:rsidRPr="006C6F80">
        <w:rPr>
          <w:color w:val="000000" w:themeColor="text1"/>
        </w:rPr>
        <w:t xml:space="preserve">online job search </w:t>
      </w:r>
      <w:r w:rsidR="0013620D" w:rsidRPr="006C6F80">
        <w:rPr>
          <w:color w:val="000000" w:themeColor="text1"/>
        </w:rPr>
        <w:t xml:space="preserve">portal. </w:t>
      </w:r>
      <w:r w:rsidR="00164C6E" w:rsidRPr="006C6F80">
        <w:rPr>
          <w:color w:val="000000" w:themeColor="text1"/>
        </w:rPr>
        <w:t>As instruments, t</w:t>
      </w:r>
      <w:r w:rsidR="00A047D1" w:rsidRPr="006C6F80">
        <w:rPr>
          <w:color w:val="000000" w:themeColor="text1"/>
        </w:rPr>
        <w:t>hey use cohabitation and number of children</w:t>
      </w:r>
      <w:r w:rsidR="007D722E" w:rsidRPr="006C6F80">
        <w:rPr>
          <w:color w:val="000000" w:themeColor="text1"/>
        </w:rPr>
        <w:t>, which are choice variables.</w:t>
      </w:r>
      <w:r w:rsidR="00A047D1" w:rsidRPr="006C6F80">
        <w:rPr>
          <w:color w:val="000000" w:themeColor="text1"/>
        </w:rPr>
        <w:t xml:space="preserve"> </w:t>
      </w:r>
      <w:r w:rsidR="00AC0A83" w:rsidRPr="006C6F80">
        <w:rPr>
          <w:color w:val="000000" w:themeColor="text1"/>
        </w:rPr>
        <w:t>T</w:t>
      </w:r>
      <w:r w:rsidR="00EF56A4" w:rsidRPr="006C6F80">
        <w:rPr>
          <w:color w:val="000000" w:themeColor="text1"/>
        </w:rPr>
        <w:t xml:space="preserve">hey find that </w:t>
      </w:r>
      <w:r w:rsidR="0006147D" w:rsidRPr="006C6F80">
        <w:rPr>
          <w:color w:val="000000" w:themeColor="text1"/>
        </w:rPr>
        <w:t>temporary migration experience does</w:t>
      </w:r>
      <w:r w:rsidR="009550C0" w:rsidRPr="006C6F80">
        <w:rPr>
          <w:color w:val="000000" w:themeColor="text1"/>
        </w:rPr>
        <w:t xml:space="preserve"> </w:t>
      </w:r>
      <w:r w:rsidR="0006147D" w:rsidRPr="006C6F80">
        <w:rPr>
          <w:color w:val="000000" w:themeColor="text1"/>
        </w:rPr>
        <w:t>n</w:t>
      </w:r>
      <w:r w:rsidR="009550C0" w:rsidRPr="006C6F80">
        <w:rPr>
          <w:color w:val="000000" w:themeColor="text1"/>
        </w:rPr>
        <w:t>o</w:t>
      </w:r>
      <w:r w:rsidR="0006147D" w:rsidRPr="006C6F80">
        <w:rPr>
          <w:color w:val="000000" w:themeColor="text1"/>
        </w:rPr>
        <w:t xml:space="preserve">t exhibit any significant effect on upward </w:t>
      </w:r>
      <w:r w:rsidR="009550C0" w:rsidRPr="006C6F80">
        <w:rPr>
          <w:color w:val="000000" w:themeColor="text1"/>
        </w:rPr>
        <w:t xml:space="preserve">occupational </w:t>
      </w:r>
      <w:r w:rsidR="0006147D" w:rsidRPr="006C6F80">
        <w:rPr>
          <w:color w:val="000000" w:themeColor="text1"/>
        </w:rPr>
        <w:t>mo</w:t>
      </w:r>
      <w:r w:rsidR="007D722E" w:rsidRPr="006C6F80">
        <w:rPr>
          <w:color w:val="000000" w:themeColor="text1"/>
        </w:rPr>
        <w:t>bility</w:t>
      </w:r>
      <w:r w:rsidR="00E764AA" w:rsidRPr="006C6F80">
        <w:rPr>
          <w:color w:val="000000" w:themeColor="text1"/>
        </w:rPr>
        <w:t xml:space="preserve">, but this could be due to </w:t>
      </w:r>
      <w:r w:rsidR="00AC0A83" w:rsidRPr="006C6F80">
        <w:rPr>
          <w:color w:val="000000" w:themeColor="text1"/>
        </w:rPr>
        <w:t xml:space="preserve">the very selective nature of </w:t>
      </w:r>
      <w:r w:rsidR="0013620D" w:rsidRPr="006C6F80">
        <w:rPr>
          <w:color w:val="000000" w:themeColor="text1"/>
        </w:rPr>
        <w:t xml:space="preserve">those using </w:t>
      </w:r>
      <w:r w:rsidR="00164C6E" w:rsidRPr="006C6F80">
        <w:rPr>
          <w:color w:val="000000" w:themeColor="text1"/>
        </w:rPr>
        <w:t xml:space="preserve">an </w:t>
      </w:r>
      <w:r w:rsidR="003146D5" w:rsidRPr="006C6F80">
        <w:rPr>
          <w:color w:val="000000" w:themeColor="text1"/>
        </w:rPr>
        <w:t>online</w:t>
      </w:r>
      <w:r w:rsidR="0013620D" w:rsidRPr="006C6F80">
        <w:rPr>
          <w:color w:val="000000" w:themeColor="text1"/>
        </w:rPr>
        <w:t xml:space="preserve"> job search portal</w:t>
      </w:r>
      <w:r w:rsidR="003146D5" w:rsidRPr="006C6F80">
        <w:rPr>
          <w:color w:val="000000" w:themeColor="text1"/>
        </w:rPr>
        <w:t xml:space="preserve"> </w:t>
      </w:r>
      <w:r w:rsidR="00E764AA" w:rsidRPr="006C6F80">
        <w:rPr>
          <w:color w:val="000000" w:themeColor="text1"/>
        </w:rPr>
        <w:t xml:space="preserve">and the </w:t>
      </w:r>
      <w:r w:rsidR="0013620D" w:rsidRPr="006C6F80">
        <w:rPr>
          <w:color w:val="000000" w:themeColor="text1"/>
        </w:rPr>
        <w:t>information they report about their previous occupations online.</w:t>
      </w:r>
      <w:r w:rsidR="00E764AA" w:rsidRPr="006C6F80">
        <w:rPr>
          <w:color w:val="000000" w:themeColor="text1"/>
        </w:rPr>
        <w:t xml:space="preserve"> </w:t>
      </w:r>
    </w:p>
    <w:p w14:paraId="06EE3FE4" w14:textId="7B0431EA" w:rsidR="00402465" w:rsidRPr="006C6F80" w:rsidRDefault="00402465" w:rsidP="00B132A6">
      <w:pPr>
        <w:spacing w:line="480" w:lineRule="auto"/>
        <w:jc w:val="both"/>
        <w:rPr>
          <w:color w:val="000000" w:themeColor="text1"/>
          <w:shd w:val="clear" w:color="auto" w:fill="FFFFFF"/>
        </w:rPr>
      </w:pPr>
      <w:r w:rsidRPr="006C6F80">
        <w:rPr>
          <w:rFonts w:asciiTheme="majorBidi" w:hAnsiTheme="majorBidi" w:cstheme="majorBidi"/>
          <w:color w:val="000000" w:themeColor="text1"/>
          <w:shd w:val="clear" w:color="auto" w:fill="FFFFFF"/>
        </w:rPr>
        <w:t xml:space="preserve">Our paper also contributes to the interdisciplinary development literature on return migration. Olesen (2002) points out the importance of migration as a key parameter for development policies and discusses possibilities of using return migration as a policy instrument to achieve brain gain. </w:t>
      </w:r>
      <w:r w:rsidRPr="006C6F80">
        <w:rPr>
          <w:color w:val="000000" w:themeColor="text1"/>
          <w:shd w:val="clear" w:color="auto" w:fill="FFFFFF"/>
        </w:rPr>
        <w:t xml:space="preserve">Black and King (2004) also highlight the role of migrants from Senegal whose temporary return to origin communities enhances the potential to promote development, as they strengthen the bond between migrants and home communities. </w:t>
      </w:r>
      <w:r w:rsidR="00164C6E" w:rsidRPr="006C6F80">
        <w:rPr>
          <w:color w:val="000000" w:themeColor="text1"/>
          <w:shd w:val="clear" w:color="auto" w:fill="FFFFFF"/>
        </w:rPr>
        <w:t>Meanw</w:t>
      </w:r>
      <w:r w:rsidRPr="006C6F80">
        <w:rPr>
          <w:color w:val="000000" w:themeColor="text1"/>
          <w:shd w:val="clear" w:color="auto" w:fill="FFFFFF"/>
        </w:rPr>
        <w:t>hile</w:t>
      </w:r>
      <w:r w:rsidR="00164C6E" w:rsidRPr="006C6F80">
        <w:rPr>
          <w:color w:val="000000" w:themeColor="text1"/>
          <w:shd w:val="clear" w:color="auto" w:fill="FFFFFF"/>
        </w:rPr>
        <w:t>, Ammassari (2004)</w:t>
      </w:r>
      <w:r w:rsidRPr="006C6F80">
        <w:rPr>
          <w:color w:val="000000" w:themeColor="text1"/>
          <w:shd w:val="clear" w:color="auto" w:fill="FFFFFF"/>
        </w:rPr>
        <w:t xml:space="preserve"> focus</w:t>
      </w:r>
      <w:r w:rsidR="00164C6E" w:rsidRPr="006C6F80">
        <w:rPr>
          <w:color w:val="000000" w:themeColor="text1"/>
          <w:shd w:val="clear" w:color="auto" w:fill="FFFFFF"/>
        </w:rPr>
        <w:t>es</w:t>
      </w:r>
      <w:r w:rsidRPr="006C6F80">
        <w:rPr>
          <w:color w:val="000000" w:themeColor="text1"/>
          <w:shd w:val="clear" w:color="auto" w:fill="FFFFFF"/>
        </w:rPr>
        <w:t xml:space="preserve"> on two other countries in West Africa, Ghana and Côte d’Ivoire, </w:t>
      </w:r>
      <w:r w:rsidR="00164C6E" w:rsidRPr="006C6F80">
        <w:rPr>
          <w:color w:val="000000" w:themeColor="text1"/>
          <w:shd w:val="clear" w:color="auto" w:fill="FFFFFF"/>
        </w:rPr>
        <w:t>and</w:t>
      </w:r>
      <w:r w:rsidRPr="006C6F80">
        <w:rPr>
          <w:color w:val="000000" w:themeColor="text1"/>
          <w:shd w:val="clear" w:color="auto" w:fill="FFFFFF"/>
        </w:rPr>
        <w:t xml:space="preserve"> examines the re-integration of highly educated returnees, highlighting their role as catalyst</w:t>
      </w:r>
      <w:r w:rsidR="00164C6E" w:rsidRPr="006C6F80">
        <w:rPr>
          <w:color w:val="000000" w:themeColor="text1"/>
          <w:shd w:val="clear" w:color="auto" w:fill="FFFFFF"/>
        </w:rPr>
        <w:t>s</w:t>
      </w:r>
      <w:r w:rsidRPr="006C6F80">
        <w:rPr>
          <w:color w:val="000000" w:themeColor="text1"/>
          <w:shd w:val="clear" w:color="auto" w:fill="FFFFFF"/>
        </w:rPr>
        <w:t xml:space="preserve"> for development of the origin countries, through increased productive investment and entrepreneurship. Moreover, Thomas (2008) provides evidence from Uganda, suggesting that skilled return migrants have a greater likelihood of being employed upon return compared to non-migrants.</w:t>
      </w:r>
    </w:p>
    <w:p w14:paraId="7D15B8FC" w14:textId="77777777" w:rsidR="00402465" w:rsidRPr="006C6F80" w:rsidRDefault="00402465" w:rsidP="00B132A6">
      <w:pPr>
        <w:spacing w:line="480" w:lineRule="auto"/>
        <w:jc w:val="both"/>
        <w:rPr>
          <w:color w:val="000000" w:themeColor="text1"/>
          <w:shd w:val="clear" w:color="auto" w:fill="FFFFFF"/>
        </w:rPr>
      </w:pPr>
    </w:p>
    <w:p w14:paraId="07BFCCC9" w14:textId="00CBC3CB" w:rsidR="00402465" w:rsidRPr="006C6F80" w:rsidRDefault="00402465" w:rsidP="00B132A6">
      <w:pPr>
        <w:spacing w:after="200" w:line="480" w:lineRule="auto"/>
        <w:jc w:val="both"/>
        <w:rPr>
          <w:color w:val="000000" w:themeColor="text1"/>
          <w:shd w:val="clear" w:color="auto" w:fill="FFFFFF"/>
        </w:rPr>
      </w:pPr>
      <w:r w:rsidRPr="006C6F80">
        <w:rPr>
          <w:color w:val="000000" w:themeColor="text1"/>
          <w:shd w:val="clear" w:color="auto" w:fill="FFFFFF"/>
        </w:rPr>
        <w:lastRenderedPageBreak/>
        <w:t>Return migration can also have a positive impact on job-creating activities, as suggested by Piracha and Vadean (2010) and Démurger and Xu (2011), who provide evidence on increased engagement in entrepreneurial activities among return migrants in Albania and rural China, respectively</w:t>
      </w:r>
      <w:r w:rsidR="00F57709" w:rsidRPr="006C6F80">
        <w:rPr>
          <w:color w:val="000000" w:themeColor="text1"/>
          <w:shd w:val="clear" w:color="auto" w:fill="FFFFFF"/>
        </w:rPr>
        <w:t xml:space="preserve">. Meanwhile, Marchetta (2012) finds that returnees’ migration experiences significantly improve the chances of survival of entrepreneurial activities. </w:t>
      </w:r>
      <w:r w:rsidRPr="006C6F80">
        <w:rPr>
          <w:color w:val="000000" w:themeColor="text1"/>
          <w:shd w:val="clear" w:color="auto" w:fill="FFFFFF"/>
        </w:rPr>
        <w:t xml:space="preserve">Cassarino (2004, 2008) stresses the role of “return preparedness” in achieving successful re-integration after return, emphasizing the conditions under which some returnees appear as actors of change and have positive effects on the development of their home communities. </w:t>
      </w:r>
      <w:r w:rsidR="00B64CE6" w:rsidRPr="006C6F80">
        <w:rPr>
          <w:color w:val="000000" w:themeColor="text1"/>
          <w:shd w:val="clear" w:color="auto" w:fill="FFFFFF"/>
        </w:rPr>
        <w:t>Cassarino</w:t>
      </w:r>
      <w:r w:rsidRPr="006C6F80">
        <w:rPr>
          <w:color w:val="000000" w:themeColor="text1"/>
          <w:shd w:val="clear" w:color="auto" w:fill="FFFFFF"/>
        </w:rPr>
        <w:t xml:space="preserve"> argues that optimal outcomes hinge upon the capacity of return migrants to acquire social, financial, and human capital while abroad. According to this framework, returnees who were able to gather all the tangible and intangible resources necessary to secure their return are more likely to witness a successful re-insertion at home.</w:t>
      </w:r>
    </w:p>
    <w:p w14:paraId="6E03CE97" w14:textId="51E5A163" w:rsidR="00051D5A" w:rsidRPr="006C6F80" w:rsidRDefault="00402465" w:rsidP="00B132A6">
      <w:pPr>
        <w:autoSpaceDE w:val="0"/>
        <w:autoSpaceDN w:val="0"/>
        <w:adjustRightInd w:val="0"/>
        <w:spacing w:after="200" w:line="480" w:lineRule="auto"/>
        <w:jc w:val="both"/>
        <w:rPr>
          <w:color w:val="000000" w:themeColor="text1"/>
        </w:rPr>
      </w:pPr>
      <w:r w:rsidRPr="006C6F80">
        <w:rPr>
          <w:color w:val="000000" w:themeColor="text1"/>
        </w:rPr>
        <w:t xml:space="preserve">Our </w:t>
      </w:r>
      <w:r w:rsidR="003A77E8" w:rsidRPr="006C6F80">
        <w:rPr>
          <w:color w:val="000000" w:themeColor="text1"/>
        </w:rPr>
        <w:t>paper contributes to the literature on return migration</w:t>
      </w:r>
      <w:r w:rsidR="007A6811" w:rsidRPr="006C6F80">
        <w:rPr>
          <w:color w:val="000000" w:themeColor="text1"/>
        </w:rPr>
        <w:t xml:space="preserve"> in at least three ways</w:t>
      </w:r>
      <w:r w:rsidR="003A77E8" w:rsidRPr="006C6F80">
        <w:rPr>
          <w:color w:val="000000" w:themeColor="text1"/>
        </w:rPr>
        <w:t xml:space="preserve">. </w:t>
      </w:r>
      <w:r w:rsidR="00051D5A" w:rsidRPr="006C6F80">
        <w:rPr>
          <w:color w:val="000000" w:themeColor="text1"/>
        </w:rPr>
        <w:t>First, the impact of overseas migration on occupational mobility after return is ambiguous. On one hand, temporary migrants might acquire additional human capital due to their work experience abroad</w:t>
      </w:r>
      <w:r w:rsidR="00164C6E" w:rsidRPr="006C6F80">
        <w:rPr>
          <w:color w:val="000000" w:themeColor="text1"/>
        </w:rPr>
        <w:t>. T</w:t>
      </w:r>
      <w:r w:rsidR="00051D5A" w:rsidRPr="006C6F80">
        <w:rPr>
          <w:color w:val="000000" w:themeColor="text1"/>
        </w:rPr>
        <w:t xml:space="preserve">he human capital accumulated abroad might </w:t>
      </w:r>
      <w:r w:rsidR="00164C6E" w:rsidRPr="006C6F80">
        <w:rPr>
          <w:color w:val="000000" w:themeColor="text1"/>
        </w:rPr>
        <w:t xml:space="preserve">hence </w:t>
      </w:r>
      <w:r w:rsidR="00051D5A" w:rsidRPr="006C6F80">
        <w:rPr>
          <w:color w:val="000000" w:themeColor="text1"/>
        </w:rPr>
        <w:t xml:space="preserve">help temporary migrants find occupations higher in the skill and remuneration ladder upon return. </w:t>
      </w:r>
      <w:r w:rsidR="005A262C" w:rsidRPr="006C6F80">
        <w:rPr>
          <w:color w:val="000000" w:themeColor="text1"/>
        </w:rPr>
        <w:t>On the other hand</w:t>
      </w:r>
      <w:r w:rsidR="00051D5A" w:rsidRPr="006C6F80">
        <w:rPr>
          <w:color w:val="000000" w:themeColor="text1"/>
        </w:rPr>
        <w:t xml:space="preserve">, it might be the case that temporary migration experience is motivated by the shortage of unskilled labor in destination countries and subsequently the positive effects of temporary migration on human capital and occupational </w:t>
      </w:r>
      <w:r w:rsidR="005A262C" w:rsidRPr="006C6F80">
        <w:rPr>
          <w:color w:val="000000" w:themeColor="text1"/>
        </w:rPr>
        <w:t>upgrading</w:t>
      </w:r>
      <w:r w:rsidR="00051D5A" w:rsidRPr="006C6F80">
        <w:rPr>
          <w:color w:val="000000" w:themeColor="text1"/>
        </w:rPr>
        <w:t xml:space="preserve"> might </w:t>
      </w:r>
      <w:r w:rsidR="005A262C" w:rsidRPr="006C6F80">
        <w:rPr>
          <w:color w:val="000000" w:themeColor="text1"/>
        </w:rPr>
        <w:t>not hold</w:t>
      </w:r>
      <w:r w:rsidR="00051D5A" w:rsidRPr="006C6F80">
        <w:rPr>
          <w:color w:val="000000" w:themeColor="text1"/>
        </w:rPr>
        <w:t>.</w:t>
      </w:r>
      <w:r w:rsidR="00123731" w:rsidRPr="006C6F80">
        <w:rPr>
          <w:rStyle w:val="FootnoteReference"/>
          <w:color w:val="000000" w:themeColor="text1"/>
        </w:rPr>
        <w:footnoteReference w:id="7"/>
      </w:r>
      <w:r w:rsidR="00051D5A" w:rsidRPr="006C6F80">
        <w:rPr>
          <w:color w:val="000000" w:themeColor="text1"/>
        </w:rPr>
        <w:t xml:space="preserve"> Secondly, when comparing the wage premium of returnees, relative to non-migrants, </w:t>
      </w:r>
      <w:r w:rsidR="002C5284" w:rsidRPr="006C6F80">
        <w:rPr>
          <w:color w:val="000000" w:themeColor="text1"/>
        </w:rPr>
        <w:t xml:space="preserve">previous </w:t>
      </w:r>
      <w:r w:rsidR="00051D5A" w:rsidRPr="006C6F80">
        <w:rPr>
          <w:color w:val="000000" w:themeColor="text1"/>
        </w:rPr>
        <w:t xml:space="preserve">studies </w:t>
      </w:r>
      <w:r w:rsidR="002C5284" w:rsidRPr="006C6F80">
        <w:rPr>
          <w:color w:val="000000" w:themeColor="text1"/>
        </w:rPr>
        <w:t xml:space="preserve">do not disentangle the effect of occupational upgrading as they </w:t>
      </w:r>
      <w:r w:rsidR="00051D5A" w:rsidRPr="006C6F80">
        <w:rPr>
          <w:color w:val="000000" w:themeColor="text1"/>
        </w:rPr>
        <w:t xml:space="preserve">tend to control for job characteristics (including occupations). In principle, if returnees experience wage </w:t>
      </w:r>
      <w:r w:rsidR="00051D5A" w:rsidRPr="006C6F80">
        <w:rPr>
          <w:color w:val="000000" w:themeColor="text1"/>
        </w:rPr>
        <w:lastRenderedPageBreak/>
        <w:t xml:space="preserve">premiums upon return, this could be due to two types of mobility: (i) horizontal mobility (same occupation, but different jobs) or (ii) vertical occupational mobility (moving to a higher ranked occupation). In a sense, if return migration allows home countries to upskill and move the working population up the skill ladder, this would allow structural change and economic growth. Indeed, sectorial and occupational mobility is a pillar of economic development. Yet, little is known about the impact of temporary migration on occupational mobility, which is central to the economic development of the country of origin. Finally, whether temporary emigration and overseas work experience enhance human capital accumulation is an important policy question. </w:t>
      </w:r>
      <w:r w:rsidR="0051154E" w:rsidRPr="006C6F80">
        <w:rPr>
          <w:color w:val="000000" w:themeColor="text1"/>
        </w:rPr>
        <w:t>An understudied issue is thus</w:t>
      </w:r>
      <w:r w:rsidR="002C5284" w:rsidRPr="006C6F80">
        <w:rPr>
          <w:color w:val="000000" w:themeColor="text1"/>
        </w:rPr>
        <w:t xml:space="preserve"> w</w:t>
      </w:r>
      <w:r w:rsidR="00051D5A" w:rsidRPr="006C6F80">
        <w:rPr>
          <w:color w:val="000000" w:themeColor="text1"/>
        </w:rPr>
        <w:t xml:space="preserve">hether return migration can promote the economic development of sending countries </w:t>
      </w:r>
      <w:r w:rsidR="0051154E" w:rsidRPr="006C6F80">
        <w:rPr>
          <w:color w:val="000000" w:themeColor="text1"/>
        </w:rPr>
        <w:t>and</w:t>
      </w:r>
      <w:r w:rsidR="00051D5A" w:rsidRPr="006C6F80">
        <w:rPr>
          <w:color w:val="000000" w:themeColor="text1"/>
        </w:rPr>
        <w:t xml:space="preserve"> compensate for the loss of human capital </w:t>
      </w:r>
      <w:r w:rsidR="0051154E" w:rsidRPr="006C6F80">
        <w:rPr>
          <w:color w:val="000000" w:themeColor="text1"/>
        </w:rPr>
        <w:t xml:space="preserve">through occupational mobility. </w:t>
      </w:r>
    </w:p>
    <w:p w14:paraId="5AE7B3BD" w14:textId="266A766A" w:rsidR="003614B0" w:rsidRPr="006C6F80" w:rsidRDefault="0051154E" w:rsidP="00B132A6">
      <w:pPr>
        <w:spacing w:line="480" w:lineRule="auto"/>
        <w:jc w:val="both"/>
        <w:rPr>
          <w:color w:val="000000" w:themeColor="text1"/>
          <w:shd w:val="clear" w:color="auto" w:fill="FFFFFF"/>
        </w:rPr>
      </w:pPr>
      <w:r w:rsidRPr="006C6F80">
        <w:rPr>
          <w:color w:val="000000" w:themeColor="text1"/>
        </w:rPr>
        <w:t>Q</w:t>
      </w:r>
      <w:r w:rsidR="00537239" w:rsidRPr="006C6F80">
        <w:rPr>
          <w:color w:val="000000" w:themeColor="text1"/>
        </w:rPr>
        <w:t xml:space="preserve">ualitative evidence </w:t>
      </w:r>
      <w:r w:rsidR="0073593F" w:rsidRPr="006C6F80">
        <w:rPr>
          <w:color w:val="000000" w:themeColor="text1"/>
        </w:rPr>
        <w:t xml:space="preserve">from a detailed survey on the impact of migration on skill development in Egypt, conducted by the European Training Foundation (ETF) in 2006-2007, </w:t>
      </w:r>
      <w:r w:rsidR="00537239" w:rsidRPr="006C6F80">
        <w:rPr>
          <w:color w:val="000000" w:themeColor="text1"/>
        </w:rPr>
        <w:t>points to the potential impact of overseas work experience on the occupational mobility of returne</w:t>
      </w:r>
      <w:r w:rsidR="0073593F" w:rsidRPr="006C6F80">
        <w:rPr>
          <w:color w:val="000000" w:themeColor="text1"/>
        </w:rPr>
        <w:t>es.</w:t>
      </w:r>
      <w:r w:rsidR="00285DB1" w:rsidRPr="006C6F80">
        <w:rPr>
          <w:color w:val="000000" w:themeColor="text1"/>
        </w:rPr>
        <w:t xml:space="preserve"> The ETF survey interviewed non-migrants as well as return migrants.</w:t>
      </w:r>
      <w:r w:rsidR="00537239" w:rsidRPr="006C6F80">
        <w:rPr>
          <w:rStyle w:val="FootnoteReference"/>
          <w:color w:val="000000" w:themeColor="text1"/>
        </w:rPr>
        <w:footnoteReference w:id="8"/>
      </w:r>
      <w:r w:rsidR="00285DB1" w:rsidRPr="006C6F80">
        <w:rPr>
          <w:color w:val="000000" w:themeColor="text1"/>
        </w:rPr>
        <w:t xml:space="preserve"> A</w:t>
      </w:r>
      <w:r w:rsidR="00537239" w:rsidRPr="006C6F80">
        <w:rPr>
          <w:color w:val="000000" w:themeColor="text1"/>
        </w:rPr>
        <w:t>bout 66% of returnee</w:t>
      </w:r>
      <w:r w:rsidR="0086384B" w:rsidRPr="006C6F80">
        <w:rPr>
          <w:color w:val="000000" w:themeColor="text1"/>
        </w:rPr>
        <w:t xml:space="preserve">s </w:t>
      </w:r>
      <w:r w:rsidR="00285DB1" w:rsidRPr="006C6F80">
        <w:rPr>
          <w:color w:val="000000" w:themeColor="text1"/>
        </w:rPr>
        <w:t>reported</w:t>
      </w:r>
      <w:r w:rsidR="00537239" w:rsidRPr="006C6F80">
        <w:rPr>
          <w:color w:val="000000" w:themeColor="text1"/>
        </w:rPr>
        <w:t xml:space="preserve"> that their experiences abroad helped them find better work since their return</w:t>
      </w:r>
      <w:r w:rsidR="00285DB1" w:rsidRPr="006C6F80">
        <w:rPr>
          <w:color w:val="000000" w:themeColor="text1"/>
        </w:rPr>
        <w:t xml:space="preserve"> to Egypt</w:t>
      </w:r>
      <w:r w:rsidR="00537239" w:rsidRPr="006C6F80">
        <w:rPr>
          <w:color w:val="000000" w:themeColor="text1"/>
        </w:rPr>
        <w:t>. Interestingly, 27%</w:t>
      </w:r>
      <w:r w:rsidR="00285DB1" w:rsidRPr="006C6F80">
        <w:rPr>
          <w:color w:val="000000" w:themeColor="text1"/>
        </w:rPr>
        <w:t xml:space="preserve"> reported that </w:t>
      </w:r>
      <w:r w:rsidR="00537239" w:rsidRPr="006C6F80">
        <w:rPr>
          <w:color w:val="000000" w:themeColor="text1"/>
        </w:rPr>
        <w:t>the skills learned overseas where the most helpful</w:t>
      </w:r>
      <w:r w:rsidR="0060266A" w:rsidRPr="006C6F80">
        <w:rPr>
          <w:color w:val="000000" w:themeColor="text1"/>
        </w:rPr>
        <w:t>,</w:t>
      </w:r>
      <w:r w:rsidR="00537239" w:rsidRPr="006C6F80">
        <w:rPr>
          <w:color w:val="000000" w:themeColor="text1"/>
        </w:rPr>
        <w:t xml:space="preserve"> </w:t>
      </w:r>
      <w:r w:rsidR="00285DB1" w:rsidRPr="006C6F80">
        <w:rPr>
          <w:color w:val="000000" w:themeColor="text1"/>
        </w:rPr>
        <w:t>while</w:t>
      </w:r>
      <w:r w:rsidR="00537239" w:rsidRPr="006C6F80">
        <w:rPr>
          <w:color w:val="000000" w:themeColor="text1"/>
        </w:rPr>
        <w:t xml:space="preserve"> 37% mentioned that the migration experience in general (and exposure to new ways in particular) helped them. Also 83% of returnees believed they were better off than before migration</w:t>
      </w:r>
      <w:r w:rsidR="00285DB1" w:rsidRPr="006C6F80">
        <w:rPr>
          <w:color w:val="000000" w:themeColor="text1"/>
        </w:rPr>
        <w:t xml:space="preserve"> </w:t>
      </w:r>
      <w:r w:rsidR="00537239" w:rsidRPr="006C6F80">
        <w:rPr>
          <w:color w:val="000000" w:themeColor="text1"/>
        </w:rPr>
        <w:t xml:space="preserve">(71% among the less educated and 86% among highly educated returnees). </w:t>
      </w:r>
      <w:r w:rsidR="0086384B" w:rsidRPr="006C6F80">
        <w:rPr>
          <w:color w:val="000000" w:themeColor="text1"/>
        </w:rPr>
        <w:t>T</w:t>
      </w:r>
      <w:r w:rsidR="00537239" w:rsidRPr="006C6F80">
        <w:rPr>
          <w:color w:val="000000" w:themeColor="text1"/>
        </w:rPr>
        <w:t xml:space="preserve">his descriptive evidence </w:t>
      </w:r>
      <w:r w:rsidR="0086384B" w:rsidRPr="006C6F80">
        <w:rPr>
          <w:color w:val="000000" w:themeColor="text1"/>
        </w:rPr>
        <w:t xml:space="preserve">indeed </w:t>
      </w:r>
      <w:r w:rsidR="00537239" w:rsidRPr="006C6F80">
        <w:rPr>
          <w:color w:val="000000" w:themeColor="text1"/>
        </w:rPr>
        <w:t>suggests that returnees can benefit from overseas skills</w:t>
      </w:r>
      <w:r w:rsidR="0086384B" w:rsidRPr="006C6F80">
        <w:rPr>
          <w:color w:val="000000" w:themeColor="text1"/>
        </w:rPr>
        <w:t xml:space="preserve"> and provides additional motivation for our empirical analysis</w:t>
      </w:r>
      <w:r w:rsidR="00537239" w:rsidRPr="006C6F80">
        <w:rPr>
          <w:color w:val="000000" w:themeColor="text1"/>
        </w:rPr>
        <w:t>.</w:t>
      </w:r>
    </w:p>
    <w:p w14:paraId="12843D9B" w14:textId="77777777" w:rsidR="003614B0" w:rsidRPr="006C6F80" w:rsidRDefault="003614B0" w:rsidP="00B132A6">
      <w:pPr>
        <w:spacing w:line="480" w:lineRule="auto"/>
        <w:jc w:val="both"/>
        <w:rPr>
          <w:color w:val="000000" w:themeColor="text1"/>
          <w:shd w:val="clear" w:color="auto" w:fill="FFFFFF"/>
        </w:rPr>
      </w:pPr>
    </w:p>
    <w:p w14:paraId="570E5C68" w14:textId="5BE15B86" w:rsidR="003A77E8" w:rsidRPr="006C6F80" w:rsidRDefault="007A6811" w:rsidP="00B132A6">
      <w:pPr>
        <w:spacing w:after="200" w:line="480" w:lineRule="auto"/>
        <w:jc w:val="both"/>
        <w:rPr>
          <w:color w:val="000000" w:themeColor="text1"/>
        </w:rPr>
      </w:pPr>
      <w:r w:rsidRPr="006C6F80">
        <w:rPr>
          <w:color w:val="000000" w:themeColor="text1"/>
        </w:rPr>
        <w:lastRenderedPageBreak/>
        <w:t xml:space="preserve">This paper provides evidence on the impact of temporary migration experience on </w:t>
      </w:r>
      <w:r w:rsidR="0060266A" w:rsidRPr="006C6F80">
        <w:rPr>
          <w:color w:val="000000" w:themeColor="text1"/>
        </w:rPr>
        <w:t xml:space="preserve">the </w:t>
      </w:r>
      <w:r w:rsidRPr="006C6F80">
        <w:rPr>
          <w:color w:val="000000" w:themeColor="text1"/>
        </w:rPr>
        <w:t xml:space="preserve">human capital accumulation of returnees. </w:t>
      </w:r>
      <w:r w:rsidR="003A77E8" w:rsidRPr="006C6F80">
        <w:rPr>
          <w:color w:val="000000" w:themeColor="text1"/>
        </w:rPr>
        <w:t>It examines the occupational mobility of return migrants vis-à-vis working-age individuals who have never migrated, controlling for the potential endogeneity of temporary migration.</w:t>
      </w:r>
      <w:r w:rsidR="006708DA" w:rsidRPr="006C6F80">
        <w:rPr>
          <w:color w:val="000000" w:themeColor="text1"/>
        </w:rPr>
        <w:t xml:space="preserve"> </w:t>
      </w:r>
      <w:r w:rsidR="006B3286" w:rsidRPr="006C6F80">
        <w:rPr>
          <w:color w:val="000000" w:themeColor="text1"/>
        </w:rPr>
        <w:t xml:space="preserve">We rely on an instrumental variable approach, following Wahba and Zenou (2012) and Bertoli and Marchetta (2015). </w:t>
      </w:r>
      <w:r w:rsidR="00C3630C" w:rsidRPr="006C6F80">
        <w:rPr>
          <w:color w:val="000000" w:themeColor="text1"/>
        </w:rPr>
        <w:t>W</w:t>
      </w:r>
      <w:r w:rsidR="006B3286" w:rsidRPr="006C6F80">
        <w:rPr>
          <w:color w:val="000000" w:themeColor="text1"/>
        </w:rPr>
        <w:t>e use historical inflation-adjusted oil prices</w:t>
      </w:r>
      <w:r w:rsidR="00C3630C" w:rsidRPr="006C6F80">
        <w:rPr>
          <w:color w:val="000000" w:themeColor="text1"/>
        </w:rPr>
        <w:t xml:space="preserve"> </w:t>
      </w:r>
      <w:r w:rsidR="00BE68AF" w:rsidRPr="006C6F80">
        <w:rPr>
          <w:color w:val="000000" w:themeColor="text1"/>
        </w:rPr>
        <w:t>t</w:t>
      </w:r>
      <w:r w:rsidR="00C3630C" w:rsidRPr="006C6F80">
        <w:rPr>
          <w:color w:val="000000" w:themeColor="text1"/>
        </w:rPr>
        <w:t>o obtain an exogenous source of variation in the probability of migration</w:t>
      </w:r>
      <w:r w:rsidR="006B3286" w:rsidRPr="006C6F80">
        <w:rPr>
          <w:color w:val="000000" w:themeColor="text1"/>
        </w:rPr>
        <w:t xml:space="preserve">. </w:t>
      </w:r>
      <w:r w:rsidR="003A77E8" w:rsidRPr="006C6F80">
        <w:rPr>
          <w:color w:val="000000" w:themeColor="text1"/>
        </w:rPr>
        <w:t xml:space="preserve">Unlike </w:t>
      </w:r>
      <w:r w:rsidR="001B36DE" w:rsidRPr="006C6F80">
        <w:rPr>
          <w:color w:val="000000" w:themeColor="text1"/>
        </w:rPr>
        <w:t>previous</w:t>
      </w:r>
      <w:r w:rsidR="003A77E8" w:rsidRPr="006C6F80">
        <w:rPr>
          <w:color w:val="000000" w:themeColor="text1"/>
        </w:rPr>
        <w:t xml:space="preserve"> studies</w:t>
      </w:r>
      <w:r w:rsidR="00A81A4D" w:rsidRPr="006C6F80">
        <w:rPr>
          <w:color w:val="000000" w:themeColor="text1"/>
        </w:rPr>
        <w:t>,</w:t>
      </w:r>
      <w:r w:rsidR="003A77E8" w:rsidRPr="006C6F80">
        <w:rPr>
          <w:color w:val="000000" w:themeColor="text1"/>
        </w:rPr>
        <w:t xml:space="preserve"> where wages</w:t>
      </w:r>
      <w:r w:rsidR="001B36DE" w:rsidRPr="006C6F80">
        <w:rPr>
          <w:color w:val="000000" w:themeColor="text1"/>
        </w:rPr>
        <w:t xml:space="preserve"> or occupations</w:t>
      </w:r>
      <w:r w:rsidR="003A77E8" w:rsidRPr="006C6F80">
        <w:rPr>
          <w:color w:val="000000" w:themeColor="text1"/>
        </w:rPr>
        <w:t xml:space="preserve"> are only observed at the time of survey, we are able to control </w:t>
      </w:r>
      <w:r w:rsidR="001B36DE" w:rsidRPr="006C6F80">
        <w:rPr>
          <w:color w:val="000000" w:themeColor="text1"/>
        </w:rPr>
        <w:t xml:space="preserve">for </w:t>
      </w:r>
      <w:r w:rsidR="003A77E8" w:rsidRPr="006C6F80">
        <w:rPr>
          <w:color w:val="000000" w:themeColor="text1"/>
        </w:rPr>
        <w:t xml:space="preserve">individuals’ first occupations and construct occupational mobility indicators based on the first and current occupations. We also rely on cohort analysis to control for birth cohort effects. Furthermore, we show that our results are robust to using a </w:t>
      </w:r>
      <w:r w:rsidR="003A77E8" w:rsidRPr="006C6F80">
        <w:rPr>
          <w:color w:val="000000" w:themeColor="text1"/>
          <w:lang w:eastAsia="en-GB"/>
        </w:rPr>
        <w:t>Difference-in-Differences matching technique that accounts for unobserved heterogeneity between the treatment and control groups and allows for a within comparison between each pair of matched stayer and returnee with similar first occupations.</w:t>
      </w:r>
    </w:p>
    <w:p w14:paraId="18F0AC39" w14:textId="63B7CD80" w:rsidR="00A8532B" w:rsidRPr="006C6F80" w:rsidRDefault="00F07F11" w:rsidP="00B132A6">
      <w:pPr>
        <w:autoSpaceDE w:val="0"/>
        <w:autoSpaceDN w:val="0"/>
        <w:adjustRightInd w:val="0"/>
        <w:spacing w:after="200" w:line="480" w:lineRule="auto"/>
        <w:jc w:val="both"/>
        <w:rPr>
          <w:color w:val="000000" w:themeColor="text1"/>
        </w:rPr>
      </w:pPr>
      <w:r w:rsidRPr="006C6F80">
        <w:rPr>
          <w:color w:val="000000" w:themeColor="text1"/>
        </w:rPr>
        <w:t xml:space="preserve">We use data from </w:t>
      </w:r>
      <w:r w:rsidR="00164C92" w:rsidRPr="006C6F80">
        <w:rPr>
          <w:color w:val="000000" w:themeColor="text1"/>
        </w:rPr>
        <w:t xml:space="preserve">the 2012 Egypt Labor Market Panel Survey (ELMPS). </w:t>
      </w:r>
      <w:r w:rsidRPr="006C6F80">
        <w:rPr>
          <w:color w:val="000000" w:themeColor="text1"/>
        </w:rPr>
        <w:t>Egypt</w:t>
      </w:r>
      <w:r w:rsidR="00164C92" w:rsidRPr="006C6F80">
        <w:rPr>
          <w:color w:val="000000" w:themeColor="text1"/>
        </w:rPr>
        <w:t xml:space="preserve"> is </w:t>
      </w:r>
      <w:r w:rsidRPr="006C6F80">
        <w:rPr>
          <w:color w:val="000000" w:themeColor="text1"/>
        </w:rPr>
        <w:t>a country with substantial temporary international migration</w:t>
      </w:r>
      <w:r w:rsidR="00164C92" w:rsidRPr="006C6F80">
        <w:rPr>
          <w:color w:val="000000" w:themeColor="text1"/>
        </w:rPr>
        <w:t xml:space="preserve">. </w:t>
      </w:r>
      <w:r w:rsidR="00F72D09" w:rsidRPr="006C6F80">
        <w:rPr>
          <w:color w:val="000000" w:themeColor="text1"/>
        </w:rPr>
        <w:t>According to the ELMPS data, i</w:t>
      </w:r>
      <w:r w:rsidR="00164C92" w:rsidRPr="006C6F80">
        <w:rPr>
          <w:color w:val="000000" w:themeColor="text1"/>
        </w:rPr>
        <w:t>n 2012,</w:t>
      </w:r>
      <w:r w:rsidRPr="006C6F80">
        <w:rPr>
          <w:color w:val="000000" w:themeColor="text1"/>
        </w:rPr>
        <w:t xml:space="preserve"> almost </w:t>
      </w:r>
      <w:r w:rsidR="00BD79A6" w:rsidRPr="006C6F80">
        <w:rPr>
          <w:color w:val="000000" w:themeColor="text1"/>
        </w:rPr>
        <w:t>9</w:t>
      </w:r>
      <w:r w:rsidRPr="006C6F80">
        <w:rPr>
          <w:color w:val="000000" w:themeColor="text1"/>
        </w:rPr>
        <w:t xml:space="preserve"> percent of </w:t>
      </w:r>
      <w:r w:rsidR="00681215" w:rsidRPr="006C6F80">
        <w:rPr>
          <w:color w:val="000000" w:themeColor="text1"/>
        </w:rPr>
        <w:t>men</w:t>
      </w:r>
      <w:r w:rsidR="00164C92" w:rsidRPr="006C6F80">
        <w:rPr>
          <w:color w:val="000000" w:themeColor="text1"/>
        </w:rPr>
        <w:t xml:space="preserve"> aged</w:t>
      </w:r>
      <w:r w:rsidR="00681215" w:rsidRPr="006C6F80">
        <w:rPr>
          <w:color w:val="000000" w:themeColor="text1"/>
        </w:rPr>
        <w:t xml:space="preserve"> 15 </w:t>
      </w:r>
      <w:r w:rsidR="00EC336B" w:rsidRPr="006C6F80">
        <w:rPr>
          <w:color w:val="000000" w:themeColor="text1"/>
        </w:rPr>
        <w:t>to</w:t>
      </w:r>
      <w:r w:rsidR="00681215" w:rsidRPr="006C6F80">
        <w:rPr>
          <w:color w:val="000000" w:themeColor="text1"/>
        </w:rPr>
        <w:t xml:space="preserve"> 59 </w:t>
      </w:r>
      <w:r w:rsidRPr="006C6F80">
        <w:rPr>
          <w:color w:val="000000" w:themeColor="text1"/>
        </w:rPr>
        <w:t xml:space="preserve">were return migrants. </w:t>
      </w:r>
      <w:r w:rsidR="00275822" w:rsidRPr="006C6F80">
        <w:rPr>
          <w:color w:val="000000" w:themeColor="text1"/>
        </w:rPr>
        <w:t xml:space="preserve">We rely on </w:t>
      </w:r>
      <w:r w:rsidR="00164C92" w:rsidRPr="006C6F80">
        <w:rPr>
          <w:color w:val="000000" w:themeColor="text1"/>
        </w:rPr>
        <w:t xml:space="preserve">birth </w:t>
      </w:r>
      <w:r w:rsidR="00275822" w:rsidRPr="006C6F80">
        <w:rPr>
          <w:color w:val="000000" w:themeColor="text1"/>
        </w:rPr>
        <w:t>cohort</w:t>
      </w:r>
      <w:r w:rsidR="001C3650" w:rsidRPr="006C6F80">
        <w:rPr>
          <w:color w:val="000000" w:themeColor="text1"/>
        </w:rPr>
        <w:t xml:space="preserve"> analysis</w:t>
      </w:r>
      <w:r w:rsidR="00275822" w:rsidRPr="006C6F80">
        <w:rPr>
          <w:color w:val="000000" w:themeColor="text1"/>
        </w:rPr>
        <w:t xml:space="preserve"> </w:t>
      </w:r>
      <w:r w:rsidR="007042AF" w:rsidRPr="006C6F80">
        <w:rPr>
          <w:color w:val="000000" w:themeColor="text1"/>
        </w:rPr>
        <w:t xml:space="preserve">and examine </w:t>
      </w:r>
      <w:r w:rsidR="00164C92" w:rsidRPr="006C6F80">
        <w:rPr>
          <w:color w:val="000000" w:themeColor="text1"/>
        </w:rPr>
        <w:t xml:space="preserve">individuals’ </w:t>
      </w:r>
      <w:r w:rsidR="007042AF" w:rsidRPr="006C6F80">
        <w:rPr>
          <w:color w:val="000000" w:themeColor="text1"/>
        </w:rPr>
        <w:t>occupational mobility between the first job and the jo</w:t>
      </w:r>
      <w:r w:rsidR="008C397E" w:rsidRPr="006C6F80">
        <w:rPr>
          <w:color w:val="000000" w:themeColor="text1"/>
        </w:rPr>
        <w:t xml:space="preserve">b in 2010, </w:t>
      </w:r>
      <w:r w:rsidR="00EC336B" w:rsidRPr="006C6F80">
        <w:rPr>
          <w:color w:val="000000" w:themeColor="text1"/>
        </w:rPr>
        <w:t xml:space="preserve">thus </w:t>
      </w:r>
      <w:r w:rsidR="008C397E" w:rsidRPr="006C6F80">
        <w:rPr>
          <w:color w:val="000000" w:themeColor="text1"/>
        </w:rPr>
        <w:t xml:space="preserve">before the </w:t>
      </w:r>
      <w:r w:rsidR="007042AF" w:rsidRPr="006C6F80">
        <w:rPr>
          <w:color w:val="000000" w:themeColor="text1"/>
        </w:rPr>
        <w:t>January 2011</w:t>
      </w:r>
      <w:r w:rsidR="00164C92" w:rsidRPr="006C6F80">
        <w:rPr>
          <w:color w:val="000000" w:themeColor="text1"/>
        </w:rPr>
        <w:t xml:space="preserve"> revolution</w:t>
      </w:r>
      <w:r w:rsidR="007042AF" w:rsidRPr="006C6F80">
        <w:rPr>
          <w:color w:val="000000" w:themeColor="text1"/>
        </w:rPr>
        <w:t>, to ensure that our results can be generalized and are not affected by momentous events in</w:t>
      </w:r>
      <w:r w:rsidR="003B4EF5" w:rsidRPr="006C6F80">
        <w:rPr>
          <w:color w:val="000000" w:themeColor="text1"/>
        </w:rPr>
        <w:t xml:space="preserve"> the aftermath of the</w:t>
      </w:r>
      <w:r w:rsidR="00164C92" w:rsidRPr="006C6F80">
        <w:rPr>
          <w:color w:val="000000" w:themeColor="text1"/>
        </w:rPr>
        <w:t xml:space="preserve"> </w:t>
      </w:r>
      <w:r w:rsidR="00EC336B" w:rsidRPr="006C6F80">
        <w:rPr>
          <w:color w:val="000000" w:themeColor="text1"/>
        </w:rPr>
        <w:t>Arab Spring</w:t>
      </w:r>
      <w:r w:rsidR="003B4EF5" w:rsidRPr="006C6F80">
        <w:rPr>
          <w:color w:val="000000" w:themeColor="text1"/>
        </w:rPr>
        <w:t xml:space="preserve"> u</w:t>
      </w:r>
      <w:r w:rsidR="007042AF" w:rsidRPr="006C6F80">
        <w:rPr>
          <w:color w:val="000000" w:themeColor="text1"/>
        </w:rPr>
        <w:t>prising</w:t>
      </w:r>
      <w:r w:rsidR="003B4EF5" w:rsidRPr="006C6F80">
        <w:rPr>
          <w:color w:val="000000" w:themeColor="text1"/>
        </w:rPr>
        <w:t>s</w:t>
      </w:r>
      <w:r w:rsidR="007042AF" w:rsidRPr="006C6F80">
        <w:rPr>
          <w:color w:val="000000" w:themeColor="text1"/>
        </w:rPr>
        <w:t>.</w:t>
      </w:r>
      <w:r w:rsidR="00CE743F" w:rsidRPr="006C6F80">
        <w:rPr>
          <w:color w:val="000000" w:themeColor="text1"/>
        </w:rPr>
        <w:t xml:space="preserve"> </w:t>
      </w:r>
      <w:r w:rsidR="00BB4E97" w:rsidRPr="006C6F80">
        <w:rPr>
          <w:color w:val="000000" w:themeColor="text1"/>
        </w:rPr>
        <w:t xml:space="preserve">Controlling for the </w:t>
      </w:r>
      <w:r w:rsidR="00131056" w:rsidRPr="006C6F80">
        <w:rPr>
          <w:color w:val="000000" w:themeColor="text1"/>
        </w:rPr>
        <w:t>endogeneity</w:t>
      </w:r>
      <w:r w:rsidR="00732FD7" w:rsidRPr="006C6F80">
        <w:rPr>
          <w:color w:val="000000" w:themeColor="text1"/>
        </w:rPr>
        <w:t xml:space="preserve"> of </w:t>
      </w:r>
      <w:r w:rsidR="003146D5" w:rsidRPr="006C6F80">
        <w:rPr>
          <w:color w:val="000000" w:themeColor="text1"/>
        </w:rPr>
        <w:t>temporary migration</w:t>
      </w:r>
      <w:r w:rsidR="00BB4E97" w:rsidRPr="006C6F80">
        <w:rPr>
          <w:color w:val="000000" w:themeColor="text1"/>
        </w:rPr>
        <w:t>,</w:t>
      </w:r>
      <w:r w:rsidR="003C76EF" w:rsidRPr="006C6F80">
        <w:rPr>
          <w:color w:val="000000" w:themeColor="text1"/>
        </w:rPr>
        <w:t xml:space="preserve"> we find that return migration increases the probability of upward occupational mobility. </w:t>
      </w:r>
      <w:r w:rsidR="00FF1CB4" w:rsidRPr="006C6F80">
        <w:rPr>
          <w:color w:val="000000" w:themeColor="text1"/>
        </w:rPr>
        <w:t>Our results are rob</w:t>
      </w:r>
      <w:r w:rsidR="00B60540" w:rsidRPr="006C6F80">
        <w:rPr>
          <w:color w:val="000000" w:themeColor="text1"/>
        </w:rPr>
        <w:t xml:space="preserve">ust to </w:t>
      </w:r>
      <w:r w:rsidR="00736BE5" w:rsidRPr="006C6F80">
        <w:rPr>
          <w:color w:val="000000" w:themeColor="text1"/>
        </w:rPr>
        <w:t xml:space="preserve">using a </w:t>
      </w:r>
      <w:r w:rsidR="00732FD7" w:rsidRPr="006C6F80">
        <w:rPr>
          <w:color w:val="000000" w:themeColor="text1"/>
        </w:rPr>
        <w:t>Difference-in-Difference</w:t>
      </w:r>
      <w:r w:rsidR="005329CB" w:rsidRPr="006C6F80">
        <w:rPr>
          <w:color w:val="000000" w:themeColor="text1"/>
        </w:rPr>
        <w:t xml:space="preserve">s </w:t>
      </w:r>
      <w:r w:rsidR="00FF1CB4" w:rsidRPr="006C6F80">
        <w:rPr>
          <w:color w:val="000000" w:themeColor="text1"/>
        </w:rPr>
        <w:t>matching technique</w:t>
      </w:r>
      <w:r w:rsidR="004A3DAA" w:rsidRPr="006C6F80">
        <w:rPr>
          <w:color w:val="000000" w:themeColor="text1"/>
        </w:rPr>
        <w:t xml:space="preserve"> and also </w:t>
      </w:r>
      <w:r w:rsidR="00736BE5" w:rsidRPr="006C6F80">
        <w:rPr>
          <w:color w:val="000000" w:themeColor="text1"/>
        </w:rPr>
        <w:t xml:space="preserve">to </w:t>
      </w:r>
      <w:r w:rsidR="004A3DAA" w:rsidRPr="006C6F80">
        <w:rPr>
          <w:color w:val="000000" w:themeColor="text1"/>
        </w:rPr>
        <w:t xml:space="preserve">using different </w:t>
      </w:r>
      <w:r w:rsidR="00736BE5" w:rsidRPr="006C6F80">
        <w:rPr>
          <w:color w:val="000000" w:themeColor="text1"/>
        </w:rPr>
        <w:t xml:space="preserve">birth </w:t>
      </w:r>
      <w:r w:rsidR="004A3DAA" w:rsidRPr="006C6F80">
        <w:rPr>
          <w:color w:val="000000" w:themeColor="text1"/>
        </w:rPr>
        <w:t>cohort</w:t>
      </w:r>
      <w:r w:rsidR="00F17B18" w:rsidRPr="006C6F80">
        <w:rPr>
          <w:color w:val="000000" w:themeColor="text1"/>
        </w:rPr>
        <w:t xml:space="preserve">s. </w:t>
      </w:r>
      <w:r w:rsidR="00736BE5" w:rsidRPr="006C6F80">
        <w:rPr>
          <w:color w:val="000000" w:themeColor="text1"/>
        </w:rPr>
        <w:t>Our</w:t>
      </w:r>
      <w:r w:rsidR="00131056" w:rsidRPr="006C6F80">
        <w:rPr>
          <w:color w:val="000000" w:themeColor="text1"/>
        </w:rPr>
        <w:t xml:space="preserve"> findings</w:t>
      </w:r>
      <w:r w:rsidR="00413499" w:rsidRPr="006C6F80">
        <w:rPr>
          <w:color w:val="000000" w:themeColor="text1"/>
        </w:rPr>
        <w:t xml:space="preserve"> </w:t>
      </w:r>
      <w:r w:rsidR="00736BE5" w:rsidRPr="006C6F80">
        <w:rPr>
          <w:color w:val="000000" w:themeColor="text1"/>
        </w:rPr>
        <w:t xml:space="preserve">suggest that </w:t>
      </w:r>
      <w:r w:rsidR="006D3790" w:rsidRPr="006C6F80">
        <w:rPr>
          <w:color w:val="000000" w:themeColor="text1"/>
        </w:rPr>
        <w:t xml:space="preserve">individuals drawn from the upper end of the educational distribution </w:t>
      </w:r>
      <w:r w:rsidR="00CB327F" w:rsidRPr="006C6F80">
        <w:rPr>
          <w:color w:val="000000" w:themeColor="text1"/>
        </w:rPr>
        <w:t xml:space="preserve">have a greater probability </w:t>
      </w:r>
      <w:r w:rsidR="006D3790" w:rsidRPr="006C6F80">
        <w:rPr>
          <w:color w:val="000000" w:themeColor="text1"/>
        </w:rPr>
        <w:t>to climb the occupational ladder upon return</w:t>
      </w:r>
      <w:r w:rsidR="00CB327F" w:rsidRPr="006C6F80">
        <w:rPr>
          <w:color w:val="000000" w:themeColor="text1"/>
        </w:rPr>
        <w:t>.</w:t>
      </w:r>
      <w:r w:rsidR="00767745" w:rsidRPr="006C6F80">
        <w:rPr>
          <w:color w:val="000000" w:themeColor="text1"/>
        </w:rPr>
        <w:t xml:space="preserve"> </w:t>
      </w:r>
      <w:r w:rsidR="000D2854" w:rsidRPr="006C6F80">
        <w:rPr>
          <w:color w:val="000000" w:themeColor="text1"/>
        </w:rPr>
        <w:t>In line</w:t>
      </w:r>
      <w:r w:rsidR="00E607EB" w:rsidRPr="006C6F80">
        <w:rPr>
          <w:color w:val="000000" w:themeColor="text1"/>
        </w:rPr>
        <w:t xml:space="preserve"> with </w:t>
      </w:r>
      <w:r w:rsidR="00767745" w:rsidRPr="006C6F80">
        <w:rPr>
          <w:color w:val="000000" w:themeColor="text1"/>
        </w:rPr>
        <w:t xml:space="preserve">the </w:t>
      </w:r>
      <w:r w:rsidR="00E607EB" w:rsidRPr="006C6F80">
        <w:rPr>
          <w:color w:val="000000" w:themeColor="text1"/>
        </w:rPr>
        <w:t>human capital accumulation</w:t>
      </w:r>
      <w:r w:rsidR="00767745" w:rsidRPr="006C6F80">
        <w:rPr>
          <w:color w:val="000000" w:themeColor="text1"/>
        </w:rPr>
        <w:t xml:space="preserve"> </w:t>
      </w:r>
      <w:r w:rsidR="000D2854" w:rsidRPr="006C6F80">
        <w:rPr>
          <w:color w:val="000000" w:themeColor="text1"/>
        </w:rPr>
        <w:t>literature</w:t>
      </w:r>
      <w:r w:rsidR="00E607EB" w:rsidRPr="006C6F80">
        <w:rPr>
          <w:color w:val="000000" w:themeColor="text1"/>
        </w:rPr>
        <w:t>, we find that the</w:t>
      </w:r>
      <w:r w:rsidR="006E0FC7" w:rsidRPr="006C6F80">
        <w:rPr>
          <w:color w:val="000000" w:themeColor="text1"/>
        </w:rPr>
        <w:t xml:space="preserve"> positive effect of return </w:t>
      </w:r>
      <w:r w:rsidR="006E0FC7" w:rsidRPr="006C6F80">
        <w:rPr>
          <w:color w:val="000000" w:themeColor="text1"/>
        </w:rPr>
        <w:lastRenderedPageBreak/>
        <w:t>migration on occupational upgrading is larger the</w:t>
      </w:r>
      <w:r w:rsidR="00E607EB" w:rsidRPr="006C6F80">
        <w:rPr>
          <w:color w:val="000000" w:themeColor="text1"/>
        </w:rPr>
        <w:t xml:space="preserve"> longer </w:t>
      </w:r>
      <w:r w:rsidR="00641AAF" w:rsidRPr="006C6F80">
        <w:rPr>
          <w:color w:val="000000" w:themeColor="text1"/>
        </w:rPr>
        <w:t>the duration of the migration experience</w:t>
      </w:r>
      <w:r w:rsidR="00E607EB" w:rsidRPr="006C6F80">
        <w:rPr>
          <w:color w:val="000000" w:themeColor="text1"/>
        </w:rPr>
        <w:t>.</w:t>
      </w:r>
      <w:r w:rsidR="0030217C" w:rsidRPr="006C6F80">
        <w:rPr>
          <w:color w:val="000000" w:themeColor="text1"/>
        </w:rPr>
        <w:t xml:space="preserve"> </w:t>
      </w:r>
      <w:r w:rsidR="00CB327F" w:rsidRPr="006C6F80">
        <w:rPr>
          <w:color w:val="000000" w:themeColor="text1"/>
        </w:rPr>
        <w:t>This</w:t>
      </w:r>
      <w:r w:rsidR="006D3790" w:rsidRPr="006C6F80">
        <w:rPr>
          <w:color w:val="000000" w:themeColor="text1"/>
        </w:rPr>
        <w:t xml:space="preserve"> sugge</w:t>
      </w:r>
      <w:r w:rsidR="00CB327F" w:rsidRPr="006C6F80">
        <w:rPr>
          <w:color w:val="000000" w:themeColor="text1"/>
        </w:rPr>
        <w:t>sts</w:t>
      </w:r>
      <w:r w:rsidR="006D3790" w:rsidRPr="006C6F80">
        <w:rPr>
          <w:color w:val="000000" w:themeColor="text1"/>
        </w:rPr>
        <w:t xml:space="preserve"> that return migration can </w:t>
      </w:r>
      <w:r w:rsidR="00283579" w:rsidRPr="006C6F80">
        <w:rPr>
          <w:color w:val="000000" w:themeColor="text1"/>
        </w:rPr>
        <w:t xml:space="preserve">indeed </w:t>
      </w:r>
      <w:r w:rsidR="006D3790" w:rsidRPr="006C6F80">
        <w:rPr>
          <w:color w:val="000000" w:themeColor="text1"/>
        </w:rPr>
        <w:t xml:space="preserve">lead to a brain gain. </w:t>
      </w:r>
    </w:p>
    <w:p w14:paraId="4A5721CE" w14:textId="203876D8" w:rsidR="00051D5A" w:rsidRPr="006C6F80" w:rsidRDefault="00A72E37" w:rsidP="00287CDE">
      <w:pPr>
        <w:autoSpaceDE w:val="0"/>
        <w:autoSpaceDN w:val="0"/>
        <w:adjustRightInd w:val="0"/>
        <w:spacing w:after="200" w:line="480" w:lineRule="auto"/>
        <w:jc w:val="both"/>
        <w:rPr>
          <w:bCs/>
          <w:color w:val="000000" w:themeColor="text1"/>
        </w:rPr>
      </w:pPr>
      <w:r w:rsidRPr="006C6F80">
        <w:rPr>
          <w:bCs/>
          <w:color w:val="000000" w:themeColor="text1"/>
        </w:rPr>
        <w:t xml:space="preserve">The rest of this paper is organized as follows. Section 2 provides a </w:t>
      </w:r>
      <w:r w:rsidR="00A74FED" w:rsidRPr="006C6F80">
        <w:rPr>
          <w:bCs/>
          <w:color w:val="000000" w:themeColor="text1"/>
        </w:rPr>
        <w:t>brief description of Egyptian migration and the data used in our analysis</w:t>
      </w:r>
      <w:r w:rsidRPr="006C6F80">
        <w:rPr>
          <w:bCs/>
          <w:color w:val="000000" w:themeColor="text1"/>
        </w:rPr>
        <w:t>. Section 3 describes the empirical strategy. Section 4 presents the results</w:t>
      </w:r>
      <w:r w:rsidR="000934DB" w:rsidRPr="006C6F80">
        <w:rPr>
          <w:bCs/>
          <w:color w:val="000000" w:themeColor="text1"/>
        </w:rPr>
        <w:t>. Section 5</w:t>
      </w:r>
      <w:r w:rsidR="003101B6" w:rsidRPr="006C6F80">
        <w:rPr>
          <w:bCs/>
          <w:color w:val="000000" w:themeColor="text1"/>
        </w:rPr>
        <w:t xml:space="preserve"> </w:t>
      </w:r>
      <w:r w:rsidR="008F20D6" w:rsidRPr="006C6F80">
        <w:rPr>
          <w:bCs/>
          <w:color w:val="000000" w:themeColor="text1"/>
        </w:rPr>
        <w:t xml:space="preserve">provides </w:t>
      </w:r>
      <w:r w:rsidR="0066236A" w:rsidRPr="006C6F80">
        <w:rPr>
          <w:bCs/>
          <w:color w:val="000000" w:themeColor="text1"/>
        </w:rPr>
        <w:t>robustness checks</w:t>
      </w:r>
      <w:r w:rsidR="000934DB" w:rsidRPr="006C6F80">
        <w:rPr>
          <w:bCs/>
          <w:color w:val="000000" w:themeColor="text1"/>
        </w:rPr>
        <w:t xml:space="preserve"> </w:t>
      </w:r>
      <w:r w:rsidR="008F20D6" w:rsidRPr="006C6F80">
        <w:rPr>
          <w:bCs/>
          <w:color w:val="000000" w:themeColor="text1"/>
        </w:rPr>
        <w:t>and discusses potential mechanisms</w:t>
      </w:r>
      <w:r w:rsidRPr="006C6F80">
        <w:rPr>
          <w:bCs/>
          <w:color w:val="000000" w:themeColor="text1"/>
        </w:rPr>
        <w:t xml:space="preserve">. Section </w:t>
      </w:r>
      <w:r w:rsidR="008F20D6" w:rsidRPr="006C6F80">
        <w:rPr>
          <w:bCs/>
          <w:color w:val="000000" w:themeColor="text1"/>
        </w:rPr>
        <w:t>6</w:t>
      </w:r>
      <w:r w:rsidR="000934DB" w:rsidRPr="006C6F80">
        <w:rPr>
          <w:bCs/>
          <w:color w:val="000000" w:themeColor="text1"/>
        </w:rPr>
        <w:t xml:space="preserve"> </w:t>
      </w:r>
      <w:r w:rsidRPr="006C6F80">
        <w:rPr>
          <w:bCs/>
          <w:color w:val="000000" w:themeColor="text1"/>
        </w:rPr>
        <w:t>concludes.</w:t>
      </w:r>
    </w:p>
    <w:p w14:paraId="26E499F9" w14:textId="602A19F7" w:rsidR="00DB69C1" w:rsidRPr="006C6F80" w:rsidRDefault="00F07F11" w:rsidP="00B132A6">
      <w:pPr>
        <w:pStyle w:val="ListParagraph"/>
        <w:numPr>
          <w:ilvl w:val="0"/>
          <w:numId w:val="10"/>
        </w:numPr>
        <w:spacing w:line="480" w:lineRule="auto"/>
        <w:rPr>
          <w:rFonts w:ascii="Times New Roman" w:hAnsi="Times New Roman" w:cs="Times New Roman"/>
          <w:b/>
          <w:bCs/>
          <w:color w:val="000000" w:themeColor="text1"/>
          <w:sz w:val="24"/>
          <w:szCs w:val="24"/>
          <w:lang w:val="en-US"/>
        </w:rPr>
      </w:pPr>
      <w:r w:rsidRPr="006C6F80">
        <w:rPr>
          <w:rFonts w:ascii="Times New Roman" w:hAnsi="Times New Roman" w:cs="Times New Roman"/>
          <w:b/>
          <w:bCs/>
          <w:color w:val="000000" w:themeColor="text1"/>
          <w:sz w:val="24"/>
          <w:szCs w:val="24"/>
          <w:lang w:val="en-US"/>
        </w:rPr>
        <w:t>B</w:t>
      </w:r>
      <w:r w:rsidR="00E82EC0" w:rsidRPr="006C6F80">
        <w:rPr>
          <w:rFonts w:ascii="Times New Roman" w:hAnsi="Times New Roman" w:cs="Times New Roman"/>
          <w:b/>
          <w:bCs/>
          <w:color w:val="000000" w:themeColor="text1"/>
          <w:sz w:val="24"/>
          <w:szCs w:val="24"/>
          <w:lang w:val="en-US"/>
        </w:rPr>
        <w:t xml:space="preserve">ackground on Egyptian </w:t>
      </w:r>
      <w:r w:rsidR="00FA2F75" w:rsidRPr="006C6F80">
        <w:rPr>
          <w:rFonts w:ascii="Times New Roman" w:hAnsi="Times New Roman" w:cs="Times New Roman"/>
          <w:b/>
          <w:bCs/>
          <w:color w:val="000000" w:themeColor="text1"/>
          <w:sz w:val="24"/>
          <w:szCs w:val="24"/>
          <w:lang w:val="en-US"/>
        </w:rPr>
        <w:t>m</w:t>
      </w:r>
      <w:r w:rsidR="00E82EC0" w:rsidRPr="006C6F80">
        <w:rPr>
          <w:rFonts w:ascii="Times New Roman" w:hAnsi="Times New Roman" w:cs="Times New Roman"/>
          <w:b/>
          <w:bCs/>
          <w:color w:val="000000" w:themeColor="text1"/>
          <w:sz w:val="24"/>
          <w:szCs w:val="24"/>
          <w:lang w:val="en-US"/>
        </w:rPr>
        <w:t xml:space="preserve">igration and the </w:t>
      </w:r>
      <w:r w:rsidR="00FA2F75" w:rsidRPr="006C6F80">
        <w:rPr>
          <w:rFonts w:ascii="Times New Roman" w:hAnsi="Times New Roman" w:cs="Times New Roman"/>
          <w:b/>
          <w:bCs/>
          <w:color w:val="000000" w:themeColor="text1"/>
          <w:sz w:val="24"/>
          <w:szCs w:val="24"/>
          <w:lang w:val="en-US"/>
        </w:rPr>
        <w:t>d</w:t>
      </w:r>
      <w:r w:rsidR="000418A3" w:rsidRPr="006C6F80">
        <w:rPr>
          <w:rFonts w:ascii="Times New Roman" w:hAnsi="Times New Roman" w:cs="Times New Roman"/>
          <w:b/>
          <w:bCs/>
          <w:color w:val="000000" w:themeColor="text1"/>
          <w:sz w:val="24"/>
          <w:szCs w:val="24"/>
          <w:lang w:val="en-US"/>
        </w:rPr>
        <w:t>ata</w:t>
      </w:r>
    </w:p>
    <w:p w14:paraId="4028AB8A" w14:textId="6FBCEFAF" w:rsidR="00E82EC0" w:rsidRPr="006C6F80" w:rsidRDefault="00E82EC0" w:rsidP="00B132A6">
      <w:pPr>
        <w:pStyle w:val="ListParagraph"/>
        <w:numPr>
          <w:ilvl w:val="1"/>
          <w:numId w:val="10"/>
        </w:numPr>
        <w:spacing w:line="480" w:lineRule="auto"/>
        <w:rPr>
          <w:rFonts w:ascii="Times New Roman" w:hAnsi="Times New Roman" w:cs="Times New Roman"/>
          <w:b/>
          <w:bCs/>
          <w:color w:val="000000" w:themeColor="text1"/>
          <w:sz w:val="24"/>
          <w:szCs w:val="24"/>
          <w:lang w:val="en-US"/>
        </w:rPr>
      </w:pPr>
      <w:r w:rsidRPr="006C6F80">
        <w:rPr>
          <w:rFonts w:ascii="Times New Roman" w:hAnsi="Times New Roman" w:cs="Times New Roman"/>
          <w:b/>
          <w:bCs/>
          <w:color w:val="000000" w:themeColor="text1"/>
          <w:sz w:val="24"/>
          <w:szCs w:val="24"/>
          <w:lang w:val="en-US"/>
        </w:rPr>
        <w:t xml:space="preserve">Egyptian migration </w:t>
      </w:r>
    </w:p>
    <w:p w14:paraId="731BC034" w14:textId="1BD7A020" w:rsidR="00456790" w:rsidRPr="006C6F80" w:rsidRDefault="00456790" w:rsidP="00B132A6">
      <w:pPr>
        <w:spacing w:after="200" w:line="480" w:lineRule="auto"/>
        <w:jc w:val="both"/>
        <w:rPr>
          <w:color w:val="000000" w:themeColor="text1"/>
        </w:rPr>
      </w:pPr>
      <w:r w:rsidRPr="006C6F80">
        <w:rPr>
          <w:color w:val="000000" w:themeColor="text1"/>
        </w:rPr>
        <w:t xml:space="preserve">Egyptian migration </w:t>
      </w:r>
      <w:r w:rsidR="00EC336B" w:rsidRPr="006C6F80">
        <w:rPr>
          <w:color w:val="000000" w:themeColor="text1"/>
        </w:rPr>
        <w:t>underwent</w:t>
      </w:r>
      <w:r w:rsidRPr="006C6F80">
        <w:rPr>
          <w:color w:val="000000" w:themeColor="text1"/>
        </w:rPr>
        <w:t xml:space="preserve"> di</w:t>
      </w:r>
      <w:r w:rsidR="00EC336B" w:rsidRPr="006C6F80">
        <w:rPr>
          <w:color w:val="000000" w:themeColor="text1"/>
        </w:rPr>
        <w:t>stinct</w:t>
      </w:r>
      <w:r w:rsidRPr="006C6F80">
        <w:rPr>
          <w:color w:val="000000" w:themeColor="text1"/>
        </w:rPr>
        <w:t xml:space="preserve"> phases in the last four decades. Until 1971, Egyptian migration was limited</w:t>
      </w:r>
      <w:r w:rsidR="00EC336B" w:rsidRPr="006C6F80">
        <w:rPr>
          <w:color w:val="000000" w:themeColor="text1"/>
        </w:rPr>
        <w:t>, as it was subject</w:t>
      </w:r>
      <w:r w:rsidRPr="006C6F80">
        <w:rPr>
          <w:color w:val="000000" w:themeColor="text1"/>
        </w:rPr>
        <w:t xml:space="preserve"> to legal restrictions. The largest boost to outward migration flows occurred when the government lifted all restrictions on labor migration after the adoption of the 1971 constitution that legalized permanent and temporary emigration.</w:t>
      </w:r>
      <w:r w:rsidR="00167313" w:rsidRPr="006C6F80">
        <w:rPr>
          <w:color w:val="000000" w:themeColor="text1"/>
        </w:rPr>
        <w:t xml:space="preserve"> </w:t>
      </w:r>
      <w:r w:rsidRPr="006C6F80">
        <w:rPr>
          <w:color w:val="000000" w:themeColor="text1"/>
        </w:rPr>
        <w:t xml:space="preserve">One key factor contributing to the boost in outward migration flows was the 1973 </w:t>
      </w:r>
      <w:r w:rsidR="00167313" w:rsidRPr="006C6F80">
        <w:rPr>
          <w:color w:val="000000" w:themeColor="text1"/>
        </w:rPr>
        <w:t>w</w:t>
      </w:r>
      <w:r w:rsidRPr="006C6F80">
        <w:rPr>
          <w:color w:val="000000" w:themeColor="text1"/>
        </w:rPr>
        <w:t xml:space="preserve">ar, </w:t>
      </w:r>
      <w:r w:rsidR="005903C2" w:rsidRPr="006C6F80">
        <w:rPr>
          <w:color w:val="000000" w:themeColor="text1"/>
        </w:rPr>
        <w:t>following which</w:t>
      </w:r>
      <w:r w:rsidRPr="006C6F80">
        <w:rPr>
          <w:color w:val="000000" w:themeColor="text1"/>
        </w:rPr>
        <w:t xml:space="preserve"> oil revenues quadrupled</w:t>
      </w:r>
      <w:r w:rsidR="005903C2" w:rsidRPr="006C6F80">
        <w:rPr>
          <w:color w:val="000000" w:themeColor="text1"/>
        </w:rPr>
        <w:t>.</w:t>
      </w:r>
      <w:r w:rsidRPr="006C6F80">
        <w:rPr>
          <w:color w:val="000000" w:themeColor="text1"/>
        </w:rPr>
        <w:t xml:space="preserve"> Gulf countries </w:t>
      </w:r>
      <w:r w:rsidR="005903C2" w:rsidRPr="006C6F80">
        <w:rPr>
          <w:color w:val="000000" w:themeColor="text1"/>
        </w:rPr>
        <w:t xml:space="preserve">thereafter </w:t>
      </w:r>
      <w:r w:rsidRPr="006C6F80">
        <w:rPr>
          <w:color w:val="000000" w:themeColor="text1"/>
        </w:rPr>
        <w:t>started implementing major development programs.</w:t>
      </w:r>
      <w:r w:rsidR="005903C2" w:rsidRPr="006C6F80">
        <w:rPr>
          <w:color w:val="000000" w:themeColor="text1"/>
        </w:rPr>
        <w:t xml:space="preserve"> Labor</w:t>
      </w:r>
      <w:r w:rsidRPr="006C6F80">
        <w:rPr>
          <w:color w:val="000000" w:themeColor="text1"/>
        </w:rPr>
        <w:t xml:space="preserve"> </w:t>
      </w:r>
      <w:r w:rsidR="005903C2" w:rsidRPr="006C6F80">
        <w:rPr>
          <w:color w:val="000000" w:themeColor="text1"/>
        </w:rPr>
        <w:t>shortages in the Gulf triggered increased demand for foreign labor and, in response, m</w:t>
      </w:r>
      <w:r w:rsidRPr="006C6F80">
        <w:rPr>
          <w:color w:val="000000" w:themeColor="text1"/>
        </w:rPr>
        <w:t xml:space="preserve">assive emigration from Egypt. The majority of Egyptian migrants went to oil exporting Arab countries (the Gulf States, Libya and Iraq). </w:t>
      </w:r>
    </w:p>
    <w:p w14:paraId="0AA97C8F" w14:textId="5A9DFD67" w:rsidR="00456790" w:rsidRPr="006C6F80" w:rsidRDefault="00456790" w:rsidP="00B132A6">
      <w:pPr>
        <w:spacing w:after="200" w:line="480" w:lineRule="auto"/>
        <w:jc w:val="both"/>
        <w:rPr>
          <w:color w:val="000000" w:themeColor="text1"/>
        </w:rPr>
      </w:pPr>
      <w:r w:rsidRPr="006C6F80">
        <w:rPr>
          <w:color w:val="000000" w:themeColor="text1"/>
        </w:rPr>
        <w:t xml:space="preserve">In the 1980s and in the 1990s, Asian workers started to gradually replace Arab workers; however, Egyptian migration to the Gulf countries did not cease but </w:t>
      </w:r>
      <w:r w:rsidR="005903C2" w:rsidRPr="006C6F80">
        <w:rPr>
          <w:color w:val="000000" w:themeColor="text1"/>
        </w:rPr>
        <w:t>continued on</w:t>
      </w:r>
      <w:r w:rsidRPr="006C6F80">
        <w:rPr>
          <w:color w:val="000000" w:themeColor="text1"/>
        </w:rPr>
        <w:t xml:space="preserve"> a lower scale. By the mid 1990s, Saudi Arabia was the main destination </w:t>
      </w:r>
      <w:r w:rsidR="005903C2" w:rsidRPr="006C6F80">
        <w:rPr>
          <w:color w:val="000000" w:themeColor="text1"/>
        </w:rPr>
        <w:t>country for</w:t>
      </w:r>
      <w:r w:rsidRPr="006C6F80">
        <w:rPr>
          <w:color w:val="000000" w:themeColor="text1"/>
        </w:rPr>
        <w:t xml:space="preserve"> Egyptian migrants</w:t>
      </w:r>
      <w:r w:rsidR="005903C2" w:rsidRPr="006C6F80">
        <w:rPr>
          <w:color w:val="000000" w:themeColor="text1"/>
        </w:rPr>
        <w:t>,</w:t>
      </w:r>
      <w:r w:rsidRPr="006C6F80">
        <w:rPr>
          <w:color w:val="000000" w:themeColor="text1"/>
        </w:rPr>
        <w:t xml:space="preserve"> </w:t>
      </w:r>
      <w:r w:rsidR="005903C2" w:rsidRPr="006C6F80">
        <w:rPr>
          <w:color w:val="000000" w:themeColor="text1"/>
        </w:rPr>
        <w:t>who represented the</w:t>
      </w:r>
      <w:r w:rsidRPr="006C6F80">
        <w:rPr>
          <w:color w:val="000000" w:themeColor="text1"/>
        </w:rPr>
        <w:t xml:space="preserve"> second </w:t>
      </w:r>
      <w:r w:rsidR="005903C2" w:rsidRPr="006C6F80">
        <w:rPr>
          <w:color w:val="000000" w:themeColor="text1"/>
        </w:rPr>
        <w:t>largest migrant group</w:t>
      </w:r>
      <w:r w:rsidRPr="006C6F80">
        <w:rPr>
          <w:color w:val="000000" w:themeColor="text1"/>
        </w:rPr>
        <w:t xml:space="preserve">, surpassed </w:t>
      </w:r>
      <w:r w:rsidR="005903C2" w:rsidRPr="006C6F80">
        <w:rPr>
          <w:color w:val="000000" w:themeColor="text1"/>
        </w:rPr>
        <w:t xml:space="preserve">only </w:t>
      </w:r>
      <w:r w:rsidRPr="006C6F80">
        <w:rPr>
          <w:color w:val="000000" w:themeColor="text1"/>
        </w:rPr>
        <w:t xml:space="preserve">by Indian nationals. At the same time, Egyptian workers </w:t>
      </w:r>
      <w:r w:rsidR="005903C2" w:rsidRPr="006C6F80">
        <w:rPr>
          <w:color w:val="000000" w:themeColor="text1"/>
        </w:rPr>
        <w:t xml:space="preserve">also </w:t>
      </w:r>
      <w:r w:rsidRPr="006C6F80">
        <w:rPr>
          <w:color w:val="000000" w:themeColor="text1"/>
        </w:rPr>
        <w:t xml:space="preserve">migrated to non-oil exporting Arab Countries (Jordan and Lebanon) to replace </w:t>
      </w:r>
      <w:r w:rsidRPr="006C6F80">
        <w:rPr>
          <w:color w:val="000000" w:themeColor="text1"/>
        </w:rPr>
        <w:lastRenderedPageBreak/>
        <w:t>nationals of those countries who migrated to the Gulf. In the 2000s, Saudi Arabia remained a major destination country</w:t>
      </w:r>
      <w:r w:rsidR="005903C2" w:rsidRPr="006C6F80">
        <w:rPr>
          <w:color w:val="000000" w:themeColor="text1"/>
        </w:rPr>
        <w:t>,</w:t>
      </w:r>
      <w:r w:rsidRPr="006C6F80">
        <w:rPr>
          <w:color w:val="000000" w:themeColor="text1"/>
        </w:rPr>
        <w:t xml:space="preserve"> while Libya hosted a quarter of Egyptian migrants. Iraq was no longer prominent and was replaced by Kuwait and the United Arab Emirates.</w:t>
      </w:r>
    </w:p>
    <w:p w14:paraId="0E321BCE" w14:textId="5FB5B7B0" w:rsidR="00456790" w:rsidRPr="006C6F80" w:rsidRDefault="00456790" w:rsidP="00B132A6">
      <w:pPr>
        <w:spacing w:after="200" w:line="480" w:lineRule="auto"/>
        <w:jc w:val="both"/>
        <w:rPr>
          <w:color w:val="000000" w:themeColor="text1"/>
        </w:rPr>
      </w:pPr>
      <w:r w:rsidRPr="006C6F80">
        <w:rPr>
          <w:color w:val="000000" w:themeColor="text1"/>
        </w:rPr>
        <w:t>On the whole, Egyptian migration is characterized by its temporary nature, with mean migration duration of around five years</w:t>
      </w:r>
      <w:r w:rsidR="00285809" w:rsidRPr="006C6F80">
        <w:rPr>
          <w:color w:val="000000" w:themeColor="text1"/>
        </w:rPr>
        <w:t xml:space="preserve"> according to the 2012 ELMPS data</w:t>
      </w:r>
      <w:r w:rsidRPr="006C6F80">
        <w:rPr>
          <w:color w:val="000000" w:themeColor="text1"/>
        </w:rPr>
        <w:t xml:space="preserve">. It is also known to be male dominated, </w:t>
      </w:r>
      <w:r w:rsidR="005903C2" w:rsidRPr="006C6F80">
        <w:rPr>
          <w:color w:val="000000" w:themeColor="text1"/>
        </w:rPr>
        <w:t>as</w:t>
      </w:r>
      <w:r w:rsidRPr="006C6F80">
        <w:rPr>
          <w:color w:val="000000" w:themeColor="text1"/>
        </w:rPr>
        <w:t xml:space="preserve"> young men migrate to achieve some financial goals and return to Egypt. Hence, Egypt is a country with a substantial number of returnees with overseas </w:t>
      </w:r>
      <w:r w:rsidR="005903C2" w:rsidRPr="006C6F80">
        <w:rPr>
          <w:color w:val="000000" w:themeColor="text1"/>
        </w:rPr>
        <w:t>work</w:t>
      </w:r>
      <w:r w:rsidRPr="006C6F80">
        <w:rPr>
          <w:color w:val="000000" w:themeColor="text1"/>
        </w:rPr>
        <w:t xml:space="preserve"> experience, which provides us with a good case to study the impact of temporary overseas migration. A few papers have focused on the impact of temporary migration experience and return migration in Egypt, though none has investigated the role of return migration on occupational mobility.</w:t>
      </w:r>
      <w:r w:rsidRPr="006C6F80">
        <w:rPr>
          <w:rStyle w:val="FootnoteReference"/>
          <w:color w:val="000000" w:themeColor="text1"/>
        </w:rPr>
        <w:footnoteReference w:id="9"/>
      </w:r>
      <w:r w:rsidRPr="006C6F80">
        <w:rPr>
          <w:color w:val="000000" w:themeColor="text1"/>
        </w:rPr>
        <w:t xml:space="preserve"> </w:t>
      </w:r>
    </w:p>
    <w:p w14:paraId="209B1F06" w14:textId="44109E2F" w:rsidR="006C6457" w:rsidRDefault="00A047D1" w:rsidP="00F77326">
      <w:pPr>
        <w:spacing w:after="200" w:line="480" w:lineRule="auto"/>
        <w:jc w:val="both"/>
        <w:rPr>
          <w:color w:val="000000" w:themeColor="text1"/>
          <w:lang w:eastAsia="zh-CN"/>
        </w:rPr>
      </w:pPr>
      <w:r w:rsidRPr="006C6F80">
        <w:rPr>
          <w:color w:val="000000" w:themeColor="text1"/>
        </w:rPr>
        <w:t xml:space="preserve">Return migration </w:t>
      </w:r>
      <w:r w:rsidR="00FA2F75" w:rsidRPr="006C6F80">
        <w:rPr>
          <w:color w:val="000000" w:themeColor="text1"/>
        </w:rPr>
        <w:t>represents an important fraction of all migration events</w:t>
      </w:r>
      <w:r w:rsidRPr="006C6F80">
        <w:rPr>
          <w:color w:val="000000" w:themeColor="text1"/>
        </w:rPr>
        <w:t>. Recent estimates suggest that roughly one-quarter of all migration events are returns (</w:t>
      </w:r>
      <w:r w:rsidRPr="006C6F80">
        <w:rPr>
          <w:color w:val="000000" w:themeColor="text1"/>
          <w:lang w:eastAsia="zh-CN"/>
        </w:rPr>
        <w:t>Azose and Raftery, 2019). Indeed, the Gulf States, in particular</w:t>
      </w:r>
      <w:r w:rsidR="00915F52" w:rsidRPr="006C6F80">
        <w:rPr>
          <w:color w:val="000000" w:themeColor="text1"/>
          <w:lang w:eastAsia="zh-CN"/>
        </w:rPr>
        <w:t>,</w:t>
      </w:r>
      <w:r w:rsidRPr="006C6F80">
        <w:rPr>
          <w:color w:val="000000" w:themeColor="text1"/>
          <w:lang w:eastAsia="zh-CN"/>
        </w:rPr>
        <w:t xml:space="preserve"> host a large proportion of working immigrants, </w:t>
      </w:r>
      <w:r w:rsidR="00FA2F75" w:rsidRPr="006C6F80">
        <w:rPr>
          <w:color w:val="000000" w:themeColor="text1"/>
          <w:lang w:eastAsia="zh-CN"/>
        </w:rPr>
        <w:t xml:space="preserve">and </w:t>
      </w:r>
      <w:r w:rsidRPr="006C6F80">
        <w:rPr>
          <w:color w:val="000000" w:themeColor="text1"/>
          <w:lang w:eastAsia="zh-CN"/>
        </w:rPr>
        <w:t xml:space="preserve">almost all are temporary migrants who require sponsorship and do not have citizenship rights. </w:t>
      </w:r>
      <w:r w:rsidR="00595264" w:rsidRPr="006C6F80">
        <w:rPr>
          <w:color w:val="000000" w:themeColor="text1"/>
          <w:lang w:eastAsia="zh-CN"/>
        </w:rPr>
        <w:t>Therefore</w:t>
      </w:r>
      <w:r w:rsidRPr="006C6F80">
        <w:rPr>
          <w:color w:val="000000" w:themeColor="text1"/>
          <w:lang w:eastAsia="zh-CN"/>
        </w:rPr>
        <w:t xml:space="preserve">, </w:t>
      </w:r>
      <w:r w:rsidR="00FA2F75" w:rsidRPr="006C6F80">
        <w:rPr>
          <w:color w:val="000000" w:themeColor="text1"/>
          <w:lang w:eastAsia="zh-CN"/>
        </w:rPr>
        <w:t xml:space="preserve">understanding </w:t>
      </w:r>
      <w:r w:rsidRPr="006C6F80">
        <w:rPr>
          <w:color w:val="000000" w:themeColor="text1"/>
          <w:lang w:eastAsia="zh-CN"/>
        </w:rPr>
        <w:t>the impact of such temporary/return migration is crucial for countries of origin.</w:t>
      </w:r>
    </w:p>
    <w:p w14:paraId="4C913A5B" w14:textId="77777777" w:rsidR="00136AA0" w:rsidRPr="006C6F80" w:rsidRDefault="00136AA0" w:rsidP="00F77326">
      <w:pPr>
        <w:spacing w:after="200" w:line="480" w:lineRule="auto"/>
        <w:jc w:val="both"/>
        <w:rPr>
          <w:color w:val="000000" w:themeColor="text1"/>
          <w:lang w:eastAsia="zh-CN"/>
        </w:rPr>
      </w:pPr>
    </w:p>
    <w:p w14:paraId="553F3AA6" w14:textId="77777777" w:rsidR="0099101F" w:rsidRPr="006C6F80" w:rsidRDefault="001070C8" w:rsidP="00B132A6">
      <w:pPr>
        <w:pStyle w:val="ListParagraph"/>
        <w:numPr>
          <w:ilvl w:val="1"/>
          <w:numId w:val="10"/>
        </w:numPr>
        <w:spacing w:line="480" w:lineRule="auto"/>
        <w:rPr>
          <w:rFonts w:ascii="Times New Roman" w:hAnsi="Times New Roman" w:cs="Times New Roman"/>
          <w:b/>
          <w:bCs/>
          <w:color w:val="000000" w:themeColor="text1"/>
          <w:sz w:val="24"/>
          <w:szCs w:val="24"/>
          <w:lang w:val="en-US"/>
        </w:rPr>
      </w:pPr>
      <w:r w:rsidRPr="006C6F80">
        <w:rPr>
          <w:rFonts w:ascii="Times New Roman" w:hAnsi="Times New Roman" w:cs="Times New Roman"/>
          <w:b/>
          <w:bCs/>
          <w:color w:val="000000" w:themeColor="text1"/>
          <w:sz w:val="24"/>
          <w:szCs w:val="24"/>
          <w:lang w:val="en-US"/>
        </w:rPr>
        <w:t>Data</w:t>
      </w:r>
    </w:p>
    <w:p w14:paraId="1E8EBDDB" w14:textId="180C45A4" w:rsidR="00D51CB5" w:rsidRPr="006C6F80" w:rsidRDefault="000418A3" w:rsidP="00B132A6">
      <w:pPr>
        <w:spacing w:after="200" w:line="480" w:lineRule="auto"/>
        <w:jc w:val="both"/>
        <w:rPr>
          <w:color w:val="000000" w:themeColor="text1"/>
        </w:rPr>
      </w:pPr>
      <w:r w:rsidRPr="006C6F80">
        <w:rPr>
          <w:color w:val="000000" w:themeColor="text1"/>
        </w:rPr>
        <w:t xml:space="preserve">The empirical analysis relies on data from the Egypt Labor Market Panel Survey </w:t>
      </w:r>
      <w:r w:rsidR="007042AF" w:rsidRPr="006C6F80">
        <w:rPr>
          <w:color w:val="000000" w:themeColor="text1"/>
        </w:rPr>
        <w:t xml:space="preserve">2012 </w:t>
      </w:r>
      <w:r w:rsidRPr="006C6F80">
        <w:rPr>
          <w:color w:val="000000" w:themeColor="text1"/>
        </w:rPr>
        <w:t xml:space="preserve">(ELMPS). </w:t>
      </w:r>
      <w:r w:rsidR="00C46B41" w:rsidRPr="006C6F80">
        <w:rPr>
          <w:color w:val="000000" w:themeColor="text1"/>
        </w:rPr>
        <w:t xml:space="preserve">The ELMPS is a nationally representative panel survey carried out by the Economic Research Forum (ERF) in cooperation with Egypt’s Central Agency for Public Mobilization and Statistics </w:t>
      </w:r>
      <w:r w:rsidR="00C46B41" w:rsidRPr="006C6F80">
        <w:rPr>
          <w:color w:val="000000" w:themeColor="text1"/>
        </w:rPr>
        <w:lastRenderedPageBreak/>
        <w:t>(CAPMAS)</w:t>
      </w:r>
      <w:r w:rsidR="00D51CB5" w:rsidRPr="006C6F80">
        <w:rPr>
          <w:color w:val="000000" w:themeColor="text1"/>
        </w:rPr>
        <w:t>.</w:t>
      </w:r>
      <w:r w:rsidR="00FA2F75" w:rsidRPr="006C6F80">
        <w:rPr>
          <w:color w:val="000000" w:themeColor="text1"/>
        </w:rPr>
        <w:t xml:space="preserve"> The ELMPS is a nationally representative household survey with very rich information on labor market characteristics and dynamics.</w:t>
      </w:r>
      <w:r w:rsidR="00FA2F75" w:rsidRPr="006C6F80">
        <w:rPr>
          <w:rStyle w:val="FootnoteReference"/>
          <w:color w:val="000000" w:themeColor="text1"/>
        </w:rPr>
        <w:footnoteReference w:id="10"/>
      </w:r>
      <w:r w:rsidR="00FA2F75" w:rsidRPr="006C6F80">
        <w:rPr>
          <w:color w:val="000000" w:themeColor="text1"/>
        </w:rPr>
        <w:t xml:space="preserve"> </w:t>
      </w:r>
      <w:r w:rsidR="00D51CB5" w:rsidRPr="006C6F80">
        <w:rPr>
          <w:color w:val="000000" w:themeColor="text1"/>
        </w:rPr>
        <w:t xml:space="preserve">It </w:t>
      </w:r>
      <w:r w:rsidR="00FA2F75" w:rsidRPr="006C6F80">
        <w:rPr>
          <w:color w:val="000000" w:themeColor="text1"/>
        </w:rPr>
        <w:t>was</w:t>
      </w:r>
      <w:r w:rsidR="00D51CB5" w:rsidRPr="006C6F80">
        <w:rPr>
          <w:color w:val="000000" w:themeColor="text1"/>
        </w:rPr>
        <w:t xml:space="preserve"> administered to nationally representative samples in 1998, 2006</w:t>
      </w:r>
      <w:r w:rsidR="00FA2F75" w:rsidRPr="006C6F80">
        <w:rPr>
          <w:color w:val="000000" w:themeColor="text1"/>
        </w:rPr>
        <w:t>,</w:t>
      </w:r>
      <w:r w:rsidR="00D51CB5" w:rsidRPr="006C6F80">
        <w:rPr>
          <w:color w:val="000000" w:themeColor="text1"/>
        </w:rPr>
        <w:t xml:space="preserve"> and 2012.</w:t>
      </w:r>
      <w:r w:rsidR="00D51CB5" w:rsidRPr="006C6F80">
        <w:rPr>
          <w:rStyle w:val="FootnoteReference"/>
          <w:color w:val="000000" w:themeColor="text1"/>
        </w:rPr>
        <w:footnoteReference w:id="11"/>
      </w:r>
      <w:r w:rsidR="00D51CB5" w:rsidRPr="006C6F80">
        <w:rPr>
          <w:color w:val="000000" w:themeColor="text1"/>
        </w:rPr>
        <w:t xml:space="preserve"> </w:t>
      </w:r>
      <w:r w:rsidR="00472407" w:rsidRPr="006C6F80">
        <w:rPr>
          <w:color w:val="000000" w:themeColor="text1"/>
        </w:rPr>
        <w:t xml:space="preserve">We focus particularly on the third round, the ELMPS 2012. The total sample size is 12,060 households and 49,186 individuals. </w:t>
      </w:r>
      <w:r w:rsidR="00BF331D" w:rsidRPr="006C6F80">
        <w:rPr>
          <w:color w:val="000000" w:themeColor="text1"/>
        </w:rPr>
        <w:t>We exploit rich information derived from a supplementary module on return migration, surveying individuals aged between 15 and 59 years old</w:t>
      </w:r>
      <w:r w:rsidR="001B1429" w:rsidRPr="006C6F80">
        <w:rPr>
          <w:color w:val="000000" w:themeColor="text1"/>
        </w:rPr>
        <w:t xml:space="preserve"> who have worked abroad for more than six months</w:t>
      </w:r>
      <w:r w:rsidR="00FD1353" w:rsidRPr="006C6F80">
        <w:rPr>
          <w:color w:val="000000" w:themeColor="text1"/>
        </w:rPr>
        <w:t>.</w:t>
      </w:r>
      <w:r w:rsidR="00FD1353" w:rsidRPr="006C6F80">
        <w:rPr>
          <w:rStyle w:val="FootnoteReference"/>
          <w:color w:val="000000" w:themeColor="text1"/>
        </w:rPr>
        <w:footnoteReference w:id="12"/>
      </w:r>
      <w:r w:rsidR="00BF331D" w:rsidRPr="006C6F80">
        <w:rPr>
          <w:color w:val="000000" w:themeColor="text1"/>
        </w:rPr>
        <w:t xml:space="preserve"> This module features return migrants’</w:t>
      </w:r>
      <w:r w:rsidR="00A929B1" w:rsidRPr="006C6F80">
        <w:rPr>
          <w:color w:val="000000" w:themeColor="text1"/>
        </w:rPr>
        <w:t xml:space="preserve"> </w:t>
      </w:r>
      <w:r w:rsidR="00B5514E" w:rsidRPr="006C6F80">
        <w:rPr>
          <w:color w:val="000000" w:themeColor="text1"/>
        </w:rPr>
        <w:t xml:space="preserve">characteristics, </w:t>
      </w:r>
      <w:r w:rsidR="00EE22C5" w:rsidRPr="006C6F80">
        <w:rPr>
          <w:color w:val="000000" w:themeColor="text1"/>
        </w:rPr>
        <w:t>incidence</w:t>
      </w:r>
      <w:r w:rsidR="001B1429" w:rsidRPr="006C6F80">
        <w:rPr>
          <w:color w:val="000000" w:themeColor="text1"/>
        </w:rPr>
        <w:t xml:space="preserve"> of migration</w:t>
      </w:r>
      <w:r w:rsidR="00B5514E" w:rsidRPr="006C6F80">
        <w:rPr>
          <w:color w:val="000000" w:themeColor="text1"/>
        </w:rPr>
        <w:t>, reason</w:t>
      </w:r>
      <w:r w:rsidR="00525B2E" w:rsidRPr="006C6F80">
        <w:rPr>
          <w:color w:val="000000" w:themeColor="text1"/>
        </w:rPr>
        <w:t>s</w:t>
      </w:r>
      <w:r w:rsidR="00B5514E" w:rsidRPr="006C6F80">
        <w:rPr>
          <w:color w:val="000000" w:themeColor="text1"/>
        </w:rPr>
        <w:t xml:space="preserve"> for migration</w:t>
      </w:r>
      <w:r w:rsidR="001B1429" w:rsidRPr="006C6F80">
        <w:rPr>
          <w:color w:val="000000" w:themeColor="text1"/>
        </w:rPr>
        <w:t>, year and country of first migration episode, year of final return, as well as other relevant information.</w:t>
      </w:r>
      <w:r w:rsidR="00B5514E" w:rsidRPr="006C6F80">
        <w:rPr>
          <w:color w:val="000000" w:themeColor="text1"/>
        </w:rPr>
        <w:t xml:space="preserve"> </w:t>
      </w:r>
    </w:p>
    <w:p w14:paraId="511A3BA4" w14:textId="4838DD23" w:rsidR="007348B7" w:rsidRPr="006C6F80" w:rsidRDefault="0095247C" w:rsidP="00B132A6">
      <w:pPr>
        <w:spacing w:after="200" w:line="480" w:lineRule="auto"/>
        <w:jc w:val="both"/>
        <w:rPr>
          <w:color w:val="000000" w:themeColor="text1"/>
        </w:rPr>
      </w:pPr>
      <w:r w:rsidRPr="006C6F80">
        <w:rPr>
          <w:color w:val="000000" w:themeColor="text1"/>
        </w:rPr>
        <w:t>W</w:t>
      </w:r>
      <w:r w:rsidR="00A22FF3" w:rsidRPr="006C6F80">
        <w:rPr>
          <w:color w:val="000000" w:themeColor="text1"/>
        </w:rPr>
        <w:t xml:space="preserve">e focus </w:t>
      </w:r>
      <w:r w:rsidR="00707120" w:rsidRPr="006C6F80">
        <w:rPr>
          <w:color w:val="000000" w:themeColor="text1"/>
        </w:rPr>
        <w:t xml:space="preserve">mainly </w:t>
      </w:r>
      <w:r w:rsidR="00A22FF3" w:rsidRPr="006C6F80">
        <w:rPr>
          <w:color w:val="000000" w:themeColor="text1"/>
        </w:rPr>
        <w:t xml:space="preserve">on </w:t>
      </w:r>
      <w:r w:rsidR="00EE7A54" w:rsidRPr="006C6F80">
        <w:rPr>
          <w:color w:val="000000" w:themeColor="text1"/>
        </w:rPr>
        <w:t>the 19</w:t>
      </w:r>
      <w:r w:rsidR="00D51CB5" w:rsidRPr="006C6F80">
        <w:rPr>
          <w:color w:val="000000" w:themeColor="text1"/>
        </w:rPr>
        <w:t>6</w:t>
      </w:r>
      <w:r w:rsidR="00EE7A54" w:rsidRPr="006C6F80">
        <w:rPr>
          <w:color w:val="000000" w:themeColor="text1"/>
        </w:rPr>
        <w:t xml:space="preserve">0s </w:t>
      </w:r>
      <w:r w:rsidR="00D51CB5" w:rsidRPr="006C6F80">
        <w:rPr>
          <w:color w:val="000000" w:themeColor="text1"/>
        </w:rPr>
        <w:t xml:space="preserve">birth </w:t>
      </w:r>
      <w:r w:rsidR="00EE7A54" w:rsidRPr="006C6F80">
        <w:rPr>
          <w:color w:val="000000" w:themeColor="text1"/>
        </w:rPr>
        <w:t>cohor</w:t>
      </w:r>
      <w:r w:rsidR="00D51CB5" w:rsidRPr="006C6F80">
        <w:rPr>
          <w:color w:val="000000" w:themeColor="text1"/>
        </w:rPr>
        <w:t>t</w:t>
      </w:r>
      <w:r w:rsidR="00707120" w:rsidRPr="006C6F80">
        <w:rPr>
          <w:color w:val="000000" w:themeColor="text1"/>
        </w:rPr>
        <w:t>, but also use different cohorts to check for the robustness of the results</w:t>
      </w:r>
      <w:r w:rsidR="00AF6B28" w:rsidRPr="006C6F80">
        <w:rPr>
          <w:color w:val="000000" w:themeColor="text1"/>
        </w:rPr>
        <w:t>.</w:t>
      </w:r>
      <w:r w:rsidR="00AF6B28" w:rsidRPr="006C6F80">
        <w:rPr>
          <w:rStyle w:val="FootnoteReference"/>
          <w:color w:val="000000" w:themeColor="text1"/>
        </w:rPr>
        <w:footnoteReference w:id="13"/>
      </w:r>
      <w:r w:rsidR="001073EC" w:rsidRPr="006C6F80">
        <w:rPr>
          <w:color w:val="000000" w:themeColor="text1"/>
        </w:rPr>
        <w:t xml:space="preserve"> </w:t>
      </w:r>
      <w:r w:rsidRPr="006C6F80">
        <w:rPr>
          <w:color w:val="000000" w:themeColor="text1"/>
        </w:rPr>
        <w:t>We only focus on men</w:t>
      </w:r>
      <w:r w:rsidR="00FA2F75" w:rsidRPr="006C6F80">
        <w:rPr>
          <w:color w:val="000000" w:themeColor="text1"/>
        </w:rPr>
        <w:t>,</w:t>
      </w:r>
      <w:r w:rsidRPr="006C6F80">
        <w:rPr>
          <w:color w:val="000000" w:themeColor="text1"/>
        </w:rPr>
        <w:t xml:space="preserve"> as we only have 2% of women returnees among those in the 1960s cohort. </w:t>
      </w:r>
      <w:r w:rsidR="00217953" w:rsidRPr="006C6F80">
        <w:rPr>
          <w:color w:val="000000" w:themeColor="text1"/>
        </w:rPr>
        <w:t>Throughout the analysis, we consider the year 2010 for the current occupation, before the</w:t>
      </w:r>
      <w:r w:rsidR="00FA27CD" w:rsidRPr="006C6F80">
        <w:rPr>
          <w:color w:val="000000" w:themeColor="text1"/>
        </w:rPr>
        <w:t xml:space="preserve"> 2011</w:t>
      </w:r>
      <w:r w:rsidR="00217953" w:rsidRPr="006C6F80">
        <w:rPr>
          <w:color w:val="000000" w:themeColor="text1"/>
        </w:rPr>
        <w:t xml:space="preserve"> </w:t>
      </w:r>
      <w:r w:rsidR="00FA2F75" w:rsidRPr="006C6F80">
        <w:rPr>
          <w:color w:val="000000" w:themeColor="text1"/>
        </w:rPr>
        <w:t>Arab Spring protests</w:t>
      </w:r>
      <w:r w:rsidR="00217953" w:rsidRPr="006C6F80">
        <w:rPr>
          <w:color w:val="000000" w:themeColor="text1"/>
        </w:rPr>
        <w:t xml:space="preserve">, </w:t>
      </w:r>
      <w:r w:rsidR="00BA4EBF" w:rsidRPr="006C6F80">
        <w:rPr>
          <w:color w:val="000000" w:themeColor="text1"/>
        </w:rPr>
        <w:t>instead of 2012 (the time of the survey).</w:t>
      </w:r>
      <w:r w:rsidR="00BC4003" w:rsidRPr="006C6F80">
        <w:rPr>
          <w:rStyle w:val="FootnoteReference"/>
          <w:color w:val="000000" w:themeColor="text1"/>
        </w:rPr>
        <w:footnoteReference w:id="14"/>
      </w:r>
      <w:r w:rsidR="00BC0A28" w:rsidRPr="006C6F80">
        <w:rPr>
          <w:color w:val="000000" w:themeColor="text1"/>
          <w:sz w:val="18"/>
          <w:szCs w:val="18"/>
        </w:rPr>
        <w:t xml:space="preserve"> </w:t>
      </w:r>
      <w:r w:rsidR="00707120" w:rsidRPr="006C6F80">
        <w:rPr>
          <w:color w:val="000000" w:themeColor="text1"/>
        </w:rPr>
        <w:t>Our 19</w:t>
      </w:r>
      <w:r w:rsidRPr="006C6F80">
        <w:rPr>
          <w:color w:val="000000" w:themeColor="text1"/>
        </w:rPr>
        <w:t>6</w:t>
      </w:r>
      <w:r w:rsidR="00707120" w:rsidRPr="006C6F80">
        <w:rPr>
          <w:color w:val="000000" w:themeColor="text1"/>
        </w:rPr>
        <w:t xml:space="preserve">0s cohort is comprised of </w:t>
      </w:r>
      <w:r w:rsidR="007348B7" w:rsidRPr="006C6F80">
        <w:rPr>
          <w:color w:val="000000" w:themeColor="text1"/>
        </w:rPr>
        <w:t>1,4</w:t>
      </w:r>
      <w:r w:rsidR="007C7CFC" w:rsidRPr="006C6F80">
        <w:rPr>
          <w:color w:val="000000" w:themeColor="text1"/>
        </w:rPr>
        <w:t>16</w:t>
      </w:r>
      <w:r w:rsidR="00707120" w:rsidRPr="006C6F80">
        <w:rPr>
          <w:color w:val="000000" w:themeColor="text1"/>
        </w:rPr>
        <w:t xml:space="preserve"> </w:t>
      </w:r>
      <w:r w:rsidR="004E11E1" w:rsidRPr="006C6F80">
        <w:rPr>
          <w:color w:val="000000" w:themeColor="text1"/>
        </w:rPr>
        <w:t>stayers</w:t>
      </w:r>
      <w:r w:rsidR="00A047D1" w:rsidRPr="006C6F80">
        <w:rPr>
          <w:color w:val="000000" w:themeColor="text1"/>
        </w:rPr>
        <w:t xml:space="preserve"> </w:t>
      </w:r>
      <w:r w:rsidR="00707120" w:rsidRPr="006C6F80">
        <w:rPr>
          <w:color w:val="000000" w:themeColor="text1"/>
        </w:rPr>
        <w:t>and 3</w:t>
      </w:r>
      <w:r w:rsidR="007348B7" w:rsidRPr="006C6F80">
        <w:rPr>
          <w:color w:val="000000" w:themeColor="text1"/>
        </w:rPr>
        <w:t>28</w:t>
      </w:r>
      <w:r w:rsidR="00707120" w:rsidRPr="006C6F80">
        <w:rPr>
          <w:color w:val="000000" w:themeColor="text1"/>
        </w:rPr>
        <w:t xml:space="preserve"> returnees.</w:t>
      </w:r>
      <w:r w:rsidR="00563ACC" w:rsidRPr="006C6F80">
        <w:rPr>
          <w:rStyle w:val="FootnoteReference"/>
          <w:color w:val="000000" w:themeColor="text1"/>
        </w:rPr>
        <w:footnoteReference w:id="15"/>
      </w:r>
      <w:r w:rsidR="008530C5" w:rsidRPr="006C6F80">
        <w:rPr>
          <w:color w:val="000000" w:themeColor="text1"/>
          <w:sz w:val="18"/>
          <w:szCs w:val="18"/>
        </w:rPr>
        <w:t xml:space="preserve"> </w:t>
      </w:r>
      <w:r w:rsidR="00A76272" w:rsidRPr="006C6F80">
        <w:rPr>
          <w:color w:val="000000" w:themeColor="text1"/>
        </w:rPr>
        <w:t xml:space="preserve">A </w:t>
      </w:r>
      <w:r w:rsidR="0046019F" w:rsidRPr="006C6F80">
        <w:rPr>
          <w:color w:val="000000" w:themeColor="text1"/>
        </w:rPr>
        <w:t>returnee is defined as a</w:t>
      </w:r>
      <w:r w:rsidR="007C77DA" w:rsidRPr="006C6F80">
        <w:rPr>
          <w:color w:val="000000" w:themeColor="text1"/>
        </w:rPr>
        <w:t>n individual</w:t>
      </w:r>
      <w:r w:rsidR="0046019F" w:rsidRPr="006C6F80">
        <w:rPr>
          <w:color w:val="000000" w:themeColor="text1"/>
        </w:rPr>
        <w:t xml:space="preserve"> who worked abroad but returned to Egypt before 2010, whereas a stayer is defined as</w:t>
      </w:r>
      <w:r w:rsidR="007C77DA" w:rsidRPr="006C6F80">
        <w:rPr>
          <w:color w:val="000000" w:themeColor="text1"/>
        </w:rPr>
        <w:t xml:space="preserve"> an individual</w:t>
      </w:r>
      <w:r w:rsidR="00563ACC" w:rsidRPr="006C6F80">
        <w:rPr>
          <w:color w:val="000000" w:themeColor="text1"/>
        </w:rPr>
        <w:t xml:space="preserve"> </w:t>
      </w:r>
      <w:r w:rsidR="0046019F" w:rsidRPr="006C6F80">
        <w:rPr>
          <w:color w:val="000000" w:themeColor="text1"/>
        </w:rPr>
        <w:t>who never had any</w:t>
      </w:r>
      <w:r w:rsidR="008530C5" w:rsidRPr="006C6F80">
        <w:rPr>
          <w:color w:val="000000" w:themeColor="text1"/>
        </w:rPr>
        <w:t xml:space="preserve"> overseas migration experience</w:t>
      </w:r>
      <w:r w:rsidR="0046019F" w:rsidRPr="006C6F80">
        <w:rPr>
          <w:color w:val="000000" w:themeColor="text1"/>
        </w:rPr>
        <w:t>.</w:t>
      </w:r>
      <w:r w:rsidR="00503A47" w:rsidRPr="006C6F80">
        <w:rPr>
          <w:color w:val="000000" w:themeColor="text1"/>
        </w:rPr>
        <w:t xml:space="preserve"> </w:t>
      </w:r>
    </w:p>
    <w:p w14:paraId="4888605B" w14:textId="4E96C6A2" w:rsidR="00430A00" w:rsidRPr="006C6F80" w:rsidRDefault="00430A00" w:rsidP="00430A00">
      <w:pPr>
        <w:spacing w:after="200" w:line="480" w:lineRule="auto"/>
        <w:jc w:val="center"/>
        <w:rPr>
          <w:color w:val="000000" w:themeColor="text1"/>
        </w:rPr>
      </w:pPr>
      <w:r w:rsidRPr="006C6F80">
        <w:rPr>
          <w:color w:val="000000" w:themeColor="text1"/>
        </w:rPr>
        <w:lastRenderedPageBreak/>
        <w:t>[Table 1 here]</w:t>
      </w:r>
    </w:p>
    <w:p w14:paraId="45CF37CC" w14:textId="0A2DFF92" w:rsidR="00FC3A97" w:rsidRPr="006C6F80" w:rsidRDefault="00372C9B" w:rsidP="00F77326">
      <w:pPr>
        <w:spacing w:after="200" w:line="480" w:lineRule="auto"/>
        <w:jc w:val="both"/>
        <w:rPr>
          <w:color w:val="000000" w:themeColor="text1"/>
        </w:rPr>
      </w:pPr>
      <w:r w:rsidRPr="006C6F80">
        <w:rPr>
          <w:color w:val="000000" w:themeColor="text1"/>
        </w:rPr>
        <w:t xml:space="preserve">Descriptive statistics on the sample of </w:t>
      </w:r>
      <w:r w:rsidR="00A047D1" w:rsidRPr="006C6F80">
        <w:rPr>
          <w:color w:val="000000" w:themeColor="text1"/>
        </w:rPr>
        <w:t>stayers</w:t>
      </w:r>
      <w:r w:rsidRPr="006C6F80">
        <w:rPr>
          <w:color w:val="000000" w:themeColor="text1"/>
        </w:rPr>
        <w:t xml:space="preserve"> </w:t>
      </w:r>
      <w:r w:rsidR="003B48C5" w:rsidRPr="006C6F80">
        <w:rPr>
          <w:color w:val="000000" w:themeColor="text1"/>
        </w:rPr>
        <w:t>and</w:t>
      </w:r>
      <w:r w:rsidRPr="006C6F80">
        <w:rPr>
          <w:color w:val="000000" w:themeColor="text1"/>
        </w:rPr>
        <w:t xml:space="preserve"> returnees </w:t>
      </w:r>
      <w:r w:rsidR="009E4613" w:rsidRPr="006C6F80">
        <w:rPr>
          <w:color w:val="000000" w:themeColor="text1"/>
        </w:rPr>
        <w:t>in</w:t>
      </w:r>
      <w:r w:rsidRPr="006C6F80">
        <w:rPr>
          <w:color w:val="000000" w:themeColor="text1"/>
        </w:rPr>
        <w:t xml:space="preserve"> the 19</w:t>
      </w:r>
      <w:r w:rsidR="003B48C5" w:rsidRPr="006C6F80">
        <w:rPr>
          <w:color w:val="000000" w:themeColor="text1"/>
        </w:rPr>
        <w:t>6</w:t>
      </w:r>
      <w:r w:rsidRPr="006C6F80">
        <w:rPr>
          <w:color w:val="000000" w:themeColor="text1"/>
        </w:rPr>
        <w:t xml:space="preserve">0s cohort </w:t>
      </w:r>
      <w:r w:rsidR="002B1314" w:rsidRPr="006C6F80">
        <w:rPr>
          <w:color w:val="000000" w:themeColor="text1"/>
        </w:rPr>
        <w:t>are</w:t>
      </w:r>
      <w:r w:rsidRPr="006C6F80">
        <w:rPr>
          <w:color w:val="000000" w:themeColor="text1"/>
        </w:rPr>
        <w:t xml:space="preserve"> reported in Table 1.</w:t>
      </w:r>
      <w:r w:rsidR="0088771B" w:rsidRPr="006C6F80">
        <w:rPr>
          <w:color w:val="000000" w:themeColor="text1"/>
        </w:rPr>
        <w:t xml:space="preserve"> </w:t>
      </w:r>
      <w:r w:rsidR="00DD2540" w:rsidRPr="006C6F80">
        <w:rPr>
          <w:color w:val="000000" w:themeColor="text1"/>
        </w:rPr>
        <w:t xml:space="preserve">In Panel A, we report descriptive statistics on the </w:t>
      </w:r>
      <w:r w:rsidR="00DD7697" w:rsidRPr="006C6F80">
        <w:rPr>
          <w:color w:val="000000" w:themeColor="text1"/>
        </w:rPr>
        <w:t>control variables that are included in our regressions, while in Panel B we report descriptive statistics on various occupational mobility indicators. Returnees are found to be two years younger compared to non-migrants at first job</w:t>
      </w:r>
      <w:r w:rsidR="001829AF" w:rsidRPr="006C6F80">
        <w:rPr>
          <w:color w:val="000000" w:themeColor="text1"/>
        </w:rPr>
        <w:t xml:space="preserve">. </w:t>
      </w:r>
      <w:r w:rsidR="009B3173" w:rsidRPr="006C6F80">
        <w:rPr>
          <w:color w:val="000000" w:themeColor="text1"/>
        </w:rPr>
        <w:t>In terms of educational attainment, we find that approximately 90</w:t>
      </w:r>
      <w:r w:rsidR="003058AD" w:rsidRPr="006C6F80">
        <w:rPr>
          <w:color w:val="000000" w:themeColor="text1"/>
        </w:rPr>
        <w:t>% of r</w:t>
      </w:r>
      <w:r w:rsidR="001829AF" w:rsidRPr="006C6F80">
        <w:rPr>
          <w:color w:val="000000" w:themeColor="text1"/>
        </w:rPr>
        <w:t>eturn migra</w:t>
      </w:r>
      <w:r w:rsidR="003058AD" w:rsidRPr="006C6F80">
        <w:rPr>
          <w:color w:val="000000" w:themeColor="text1"/>
        </w:rPr>
        <w:t xml:space="preserve">nts </w:t>
      </w:r>
      <w:r w:rsidR="001829AF" w:rsidRPr="006C6F80">
        <w:rPr>
          <w:color w:val="000000" w:themeColor="text1"/>
        </w:rPr>
        <w:t>ha</w:t>
      </w:r>
      <w:r w:rsidR="003D0346" w:rsidRPr="006C6F80">
        <w:rPr>
          <w:color w:val="000000" w:themeColor="text1"/>
        </w:rPr>
        <w:t>d</w:t>
      </w:r>
      <w:r w:rsidR="003058AD" w:rsidRPr="006C6F80">
        <w:rPr>
          <w:color w:val="000000" w:themeColor="text1"/>
        </w:rPr>
        <w:t xml:space="preserve"> </w:t>
      </w:r>
      <w:r w:rsidR="0046019F" w:rsidRPr="006C6F80">
        <w:rPr>
          <w:color w:val="000000" w:themeColor="text1"/>
        </w:rPr>
        <w:t xml:space="preserve">at least </w:t>
      </w:r>
      <w:r w:rsidR="001829AF" w:rsidRPr="006C6F80">
        <w:rPr>
          <w:color w:val="000000" w:themeColor="text1"/>
        </w:rPr>
        <w:t xml:space="preserve">secondary </w:t>
      </w:r>
      <w:r w:rsidR="003058AD" w:rsidRPr="006C6F80">
        <w:rPr>
          <w:color w:val="000000" w:themeColor="text1"/>
        </w:rPr>
        <w:t>education</w:t>
      </w:r>
      <w:r w:rsidR="001C7CE8" w:rsidRPr="006C6F80">
        <w:rPr>
          <w:color w:val="000000" w:themeColor="text1"/>
        </w:rPr>
        <w:t>,</w:t>
      </w:r>
      <w:r w:rsidR="003058AD" w:rsidRPr="006C6F80">
        <w:rPr>
          <w:color w:val="000000" w:themeColor="text1"/>
        </w:rPr>
        <w:t xml:space="preserve"> compared to </w:t>
      </w:r>
      <w:r w:rsidR="009B3173" w:rsidRPr="006C6F80">
        <w:rPr>
          <w:color w:val="000000" w:themeColor="text1"/>
        </w:rPr>
        <w:t>76</w:t>
      </w:r>
      <w:r w:rsidR="003058AD" w:rsidRPr="006C6F80">
        <w:rPr>
          <w:color w:val="000000" w:themeColor="text1"/>
        </w:rPr>
        <w:t>% of stayers</w:t>
      </w:r>
      <w:r w:rsidR="00A60D1F" w:rsidRPr="006C6F80">
        <w:rPr>
          <w:color w:val="000000" w:themeColor="text1"/>
        </w:rPr>
        <w:t>.</w:t>
      </w:r>
      <w:r w:rsidR="006A29D3" w:rsidRPr="006C6F80">
        <w:rPr>
          <w:color w:val="000000" w:themeColor="text1"/>
        </w:rPr>
        <w:t xml:space="preserve"> </w:t>
      </w:r>
      <w:r w:rsidR="009B3173" w:rsidRPr="006C6F80">
        <w:rPr>
          <w:color w:val="000000" w:themeColor="text1"/>
        </w:rPr>
        <w:t xml:space="preserve">We also find a higher incidence of rural residency at birth among return migrants relative to non-migrants. </w:t>
      </w:r>
      <w:r w:rsidR="00C44C4C" w:rsidRPr="006C6F80">
        <w:rPr>
          <w:color w:val="000000" w:themeColor="text1"/>
        </w:rPr>
        <w:t xml:space="preserve">Table 1 also sheds light on individuals’ first </w:t>
      </w:r>
      <w:r w:rsidR="009B3173" w:rsidRPr="006C6F80">
        <w:rPr>
          <w:color w:val="000000" w:themeColor="text1"/>
        </w:rPr>
        <w:t xml:space="preserve">job characteristics. </w:t>
      </w:r>
      <w:r w:rsidR="00C44C4C" w:rsidRPr="006C6F80">
        <w:rPr>
          <w:color w:val="000000" w:themeColor="text1"/>
        </w:rPr>
        <w:t xml:space="preserve">For their first occupation, </w:t>
      </w:r>
      <w:r w:rsidR="009B3173" w:rsidRPr="006C6F80">
        <w:rPr>
          <w:color w:val="000000" w:themeColor="text1"/>
        </w:rPr>
        <w:t>we find that returnees are significantly more likely to be employed in economic activities such as agriculture and construction and less likely to be employed in wholesale and retail trade</w:t>
      </w:r>
      <w:r w:rsidR="001C7CE8" w:rsidRPr="006C6F80">
        <w:rPr>
          <w:color w:val="000000" w:themeColor="text1"/>
        </w:rPr>
        <w:t>,</w:t>
      </w:r>
      <w:r w:rsidR="009B3173" w:rsidRPr="006C6F80">
        <w:rPr>
          <w:color w:val="000000" w:themeColor="text1"/>
        </w:rPr>
        <w:t xml:space="preserve"> relative to non-migrants. Return migrants are also found to be significantly more likely to work in the private sector</w:t>
      </w:r>
      <w:r w:rsidR="001C7CE8" w:rsidRPr="006C6F80">
        <w:rPr>
          <w:color w:val="000000" w:themeColor="text1"/>
        </w:rPr>
        <w:t>,</w:t>
      </w:r>
      <w:r w:rsidR="009B3173" w:rsidRPr="006C6F80">
        <w:rPr>
          <w:color w:val="000000" w:themeColor="text1"/>
        </w:rPr>
        <w:t xml:space="preserve"> as opposed to non-migrants</w:t>
      </w:r>
      <w:r w:rsidR="001C7CE8" w:rsidRPr="006C6F80">
        <w:rPr>
          <w:color w:val="000000" w:themeColor="text1"/>
        </w:rPr>
        <w:t>,</w:t>
      </w:r>
      <w:r w:rsidR="009B3173" w:rsidRPr="006C6F80">
        <w:rPr>
          <w:color w:val="000000" w:themeColor="text1"/>
        </w:rPr>
        <w:t xml:space="preserve"> who are significantly more likely to work in the public sector at first job. </w:t>
      </w:r>
      <w:r w:rsidR="00101EAD" w:rsidRPr="006C6F80">
        <w:rPr>
          <w:color w:val="000000" w:themeColor="text1"/>
        </w:rPr>
        <w:t xml:space="preserve">The incidence of work contract and social security at first job is also significantly lower among return migrants relative to stayers. Return migrants and stayers also exhibit different occupational distribution for their first job. Return migrants are more likely to be employed in agriculture and high-skilled blue-collar occupations, while non-migrants are more likely to be employed in low-skilled blue-collar </w:t>
      </w:r>
      <w:r w:rsidR="003E5DC9" w:rsidRPr="006C6F80">
        <w:rPr>
          <w:color w:val="000000" w:themeColor="text1"/>
        </w:rPr>
        <w:t xml:space="preserve">occupations </w:t>
      </w:r>
      <w:r w:rsidR="00101EAD" w:rsidRPr="006C6F80">
        <w:rPr>
          <w:color w:val="000000" w:themeColor="text1"/>
        </w:rPr>
        <w:t>and white-collar occupations</w:t>
      </w:r>
      <w:r w:rsidR="003E5DC9" w:rsidRPr="006C6F80">
        <w:rPr>
          <w:color w:val="000000" w:themeColor="text1"/>
        </w:rPr>
        <w:t xml:space="preserve">, both low-skilled and high-skilled. </w:t>
      </w:r>
    </w:p>
    <w:p w14:paraId="2C312C2F" w14:textId="53D98ED1" w:rsidR="003D0346" w:rsidRPr="006C6F80" w:rsidRDefault="003D0346" w:rsidP="00B132A6">
      <w:pPr>
        <w:pStyle w:val="ListParagraph"/>
        <w:numPr>
          <w:ilvl w:val="1"/>
          <w:numId w:val="10"/>
        </w:numPr>
        <w:spacing w:line="480" w:lineRule="auto"/>
        <w:jc w:val="both"/>
        <w:rPr>
          <w:rFonts w:ascii="Times New Roman" w:hAnsi="Times New Roman" w:cs="Times New Roman"/>
          <w:b/>
          <w:bCs/>
          <w:color w:val="000000" w:themeColor="text1"/>
          <w:sz w:val="24"/>
          <w:szCs w:val="24"/>
          <w:lang w:val="en-US"/>
        </w:rPr>
      </w:pPr>
      <w:r w:rsidRPr="006C6F80">
        <w:rPr>
          <w:rFonts w:ascii="Times New Roman" w:hAnsi="Times New Roman" w:cs="Times New Roman"/>
          <w:b/>
          <w:bCs/>
          <w:color w:val="000000" w:themeColor="text1"/>
          <w:sz w:val="24"/>
          <w:szCs w:val="24"/>
          <w:lang w:val="en-US"/>
        </w:rPr>
        <w:t xml:space="preserve">Occupational </w:t>
      </w:r>
      <w:r w:rsidR="006434EE" w:rsidRPr="006C6F80">
        <w:rPr>
          <w:rFonts w:ascii="Times New Roman" w:hAnsi="Times New Roman" w:cs="Times New Roman"/>
          <w:b/>
          <w:bCs/>
          <w:color w:val="000000" w:themeColor="text1"/>
          <w:sz w:val="24"/>
          <w:szCs w:val="24"/>
          <w:lang w:val="en-US"/>
        </w:rPr>
        <w:t>mo</w:t>
      </w:r>
      <w:r w:rsidRPr="006C6F80">
        <w:rPr>
          <w:rFonts w:ascii="Times New Roman" w:hAnsi="Times New Roman" w:cs="Times New Roman"/>
          <w:b/>
          <w:bCs/>
          <w:color w:val="000000" w:themeColor="text1"/>
          <w:sz w:val="24"/>
          <w:szCs w:val="24"/>
          <w:lang w:val="en-US"/>
        </w:rPr>
        <w:t>bility</w:t>
      </w:r>
    </w:p>
    <w:p w14:paraId="006E45E5" w14:textId="1BC4A69D" w:rsidR="008225EE" w:rsidRPr="006C6F80" w:rsidRDefault="00E04C98" w:rsidP="00B132A6">
      <w:pPr>
        <w:spacing w:after="200" w:line="480" w:lineRule="auto"/>
        <w:jc w:val="both"/>
        <w:rPr>
          <w:color w:val="000000" w:themeColor="text1"/>
        </w:rPr>
      </w:pPr>
      <w:r w:rsidRPr="006C6F80">
        <w:rPr>
          <w:color w:val="000000" w:themeColor="text1"/>
        </w:rPr>
        <w:t xml:space="preserve">In order to </w:t>
      </w:r>
      <w:r w:rsidR="0055252B" w:rsidRPr="006C6F80">
        <w:rPr>
          <w:color w:val="000000" w:themeColor="text1"/>
        </w:rPr>
        <w:t xml:space="preserve">estimate </w:t>
      </w:r>
      <w:r w:rsidRPr="006C6F80">
        <w:rPr>
          <w:color w:val="000000" w:themeColor="text1"/>
        </w:rPr>
        <w:t xml:space="preserve">occupational mobility, </w:t>
      </w:r>
      <w:r w:rsidR="006372BC" w:rsidRPr="006C6F80">
        <w:rPr>
          <w:color w:val="000000" w:themeColor="text1"/>
        </w:rPr>
        <w:t xml:space="preserve">we compare </w:t>
      </w:r>
      <w:r w:rsidR="001C7CE8" w:rsidRPr="006C6F80">
        <w:rPr>
          <w:color w:val="000000" w:themeColor="text1"/>
        </w:rPr>
        <w:t>each individual’s</w:t>
      </w:r>
      <w:r w:rsidR="006372BC" w:rsidRPr="006C6F80">
        <w:rPr>
          <w:color w:val="000000" w:themeColor="text1"/>
        </w:rPr>
        <w:t xml:space="preserve"> first occupation to his occupation in 2010.</w:t>
      </w:r>
      <w:r w:rsidR="006372BC" w:rsidRPr="006C6F80">
        <w:rPr>
          <w:rStyle w:val="FootnoteReference"/>
          <w:color w:val="000000" w:themeColor="text1"/>
        </w:rPr>
        <w:footnoteReference w:id="16"/>
      </w:r>
      <w:r w:rsidR="006372BC" w:rsidRPr="006C6F80">
        <w:rPr>
          <w:color w:val="000000" w:themeColor="text1"/>
        </w:rPr>
        <w:t xml:space="preserve"> Occupational categories are split into five distinct categories</w:t>
      </w:r>
      <w:r w:rsidR="001C7CE8" w:rsidRPr="006C6F80">
        <w:rPr>
          <w:color w:val="000000" w:themeColor="text1"/>
        </w:rPr>
        <w:t>,</w:t>
      </w:r>
      <w:r w:rsidR="006372BC" w:rsidRPr="006C6F80">
        <w:rPr>
          <w:color w:val="000000" w:themeColor="text1"/>
        </w:rPr>
        <w:t xml:space="preserve"> according to </w:t>
      </w:r>
      <w:r w:rsidR="006372BC" w:rsidRPr="006C6F80">
        <w:rPr>
          <w:color w:val="000000" w:themeColor="text1"/>
        </w:rPr>
        <w:lastRenderedPageBreak/>
        <w:t>the ISCO-88 one digit classification</w:t>
      </w:r>
      <w:r w:rsidR="001C7CE8" w:rsidRPr="006C6F80">
        <w:rPr>
          <w:color w:val="000000" w:themeColor="text1"/>
        </w:rPr>
        <w:t>. They are</w:t>
      </w:r>
      <w:r w:rsidR="006372BC" w:rsidRPr="006C6F80">
        <w:rPr>
          <w:color w:val="000000" w:themeColor="text1"/>
        </w:rPr>
        <w:t xml:space="preserve"> the following: </w:t>
      </w:r>
      <w:r w:rsidR="00322884" w:rsidRPr="006C6F80">
        <w:rPr>
          <w:color w:val="000000" w:themeColor="text1"/>
        </w:rPr>
        <w:t>agriculture, low-</w:t>
      </w:r>
      <w:r w:rsidR="006372BC" w:rsidRPr="006C6F80">
        <w:rPr>
          <w:color w:val="000000" w:themeColor="text1"/>
        </w:rPr>
        <w:t xml:space="preserve">skilled </w:t>
      </w:r>
      <w:r w:rsidR="00B60E51" w:rsidRPr="006C6F80">
        <w:rPr>
          <w:color w:val="000000" w:themeColor="text1"/>
        </w:rPr>
        <w:t>blue-collar</w:t>
      </w:r>
      <w:r w:rsidR="00322884" w:rsidRPr="006C6F80">
        <w:rPr>
          <w:color w:val="000000" w:themeColor="text1"/>
        </w:rPr>
        <w:t xml:space="preserve">, high-skilled </w:t>
      </w:r>
      <w:r w:rsidR="00B60E51" w:rsidRPr="006C6F80">
        <w:rPr>
          <w:color w:val="000000" w:themeColor="text1"/>
        </w:rPr>
        <w:t>blue-collar</w:t>
      </w:r>
      <w:r w:rsidR="00322884" w:rsidRPr="006C6F80">
        <w:rPr>
          <w:color w:val="000000" w:themeColor="text1"/>
        </w:rPr>
        <w:t xml:space="preserve">, low-skilled </w:t>
      </w:r>
      <w:r w:rsidR="00B60E51" w:rsidRPr="006C6F80">
        <w:rPr>
          <w:color w:val="000000" w:themeColor="text1"/>
        </w:rPr>
        <w:t>white-collar</w:t>
      </w:r>
      <w:r w:rsidR="001C7CE8" w:rsidRPr="006C6F80">
        <w:rPr>
          <w:color w:val="000000" w:themeColor="text1"/>
        </w:rPr>
        <w:t>,</w:t>
      </w:r>
      <w:r w:rsidR="00322884" w:rsidRPr="006C6F80">
        <w:rPr>
          <w:color w:val="000000" w:themeColor="text1"/>
        </w:rPr>
        <w:t xml:space="preserve"> and high-</w:t>
      </w:r>
      <w:r w:rsidR="006372BC" w:rsidRPr="006C6F80">
        <w:rPr>
          <w:color w:val="000000" w:themeColor="text1"/>
        </w:rPr>
        <w:t xml:space="preserve">skilled </w:t>
      </w:r>
      <w:r w:rsidR="00B60E51" w:rsidRPr="006C6F80">
        <w:rPr>
          <w:color w:val="000000" w:themeColor="text1"/>
        </w:rPr>
        <w:t>white-collar</w:t>
      </w:r>
      <w:r w:rsidR="00B210AE" w:rsidRPr="006C6F80">
        <w:rPr>
          <w:color w:val="000000" w:themeColor="text1"/>
        </w:rPr>
        <w:t>.</w:t>
      </w:r>
      <w:r w:rsidR="006372BC" w:rsidRPr="006C6F80">
        <w:rPr>
          <w:rStyle w:val="FootnoteReference"/>
          <w:color w:val="000000" w:themeColor="text1"/>
        </w:rPr>
        <w:footnoteReference w:id="17"/>
      </w:r>
      <w:r w:rsidR="00B210AE" w:rsidRPr="006C6F80">
        <w:rPr>
          <w:color w:val="000000" w:themeColor="text1"/>
        </w:rPr>
        <w:t xml:space="preserve"> </w:t>
      </w:r>
      <w:r w:rsidR="004208E1" w:rsidRPr="006C6F80">
        <w:rPr>
          <w:color w:val="000000" w:themeColor="text1"/>
        </w:rPr>
        <w:t>These five occupational categories are ranked one to five, respectively.</w:t>
      </w:r>
      <w:r w:rsidR="0082443C" w:rsidRPr="006C6F80">
        <w:rPr>
          <w:color w:val="000000" w:themeColor="text1"/>
        </w:rPr>
        <w:t xml:space="preserve"> The occupational ranking </w:t>
      </w:r>
      <w:r w:rsidR="00EB7B47" w:rsidRPr="006C6F80">
        <w:rPr>
          <w:color w:val="000000" w:themeColor="text1"/>
        </w:rPr>
        <w:t>reflects the earning progression by occupation</w:t>
      </w:r>
      <w:r w:rsidR="007B046A" w:rsidRPr="006C6F80">
        <w:rPr>
          <w:color w:val="000000" w:themeColor="text1"/>
        </w:rPr>
        <w:t>, as shown in Table A1 in the Online Appendix</w:t>
      </w:r>
      <w:r w:rsidR="001C7CE8" w:rsidRPr="006C6F80">
        <w:rPr>
          <w:color w:val="000000" w:themeColor="text1"/>
        </w:rPr>
        <w:t>,</w:t>
      </w:r>
      <w:r w:rsidR="007B046A" w:rsidRPr="006C6F80">
        <w:rPr>
          <w:color w:val="000000" w:themeColor="text1"/>
        </w:rPr>
        <w:t xml:space="preserve"> which reports the average hourly and monthly wages in Egyptian pounds by occupation.</w:t>
      </w:r>
      <w:r w:rsidR="007B046A" w:rsidRPr="006C6F80">
        <w:rPr>
          <w:rStyle w:val="FootnoteReference"/>
          <w:color w:val="000000" w:themeColor="text1"/>
        </w:rPr>
        <w:footnoteReference w:id="18"/>
      </w:r>
      <w:r w:rsidR="007B046A" w:rsidRPr="006C6F80">
        <w:rPr>
          <w:color w:val="000000" w:themeColor="text1"/>
        </w:rPr>
        <w:t xml:space="preserve"> </w:t>
      </w:r>
      <w:r w:rsidR="00EB7B47" w:rsidRPr="006C6F80">
        <w:rPr>
          <w:color w:val="000000" w:themeColor="text1"/>
        </w:rPr>
        <w:t xml:space="preserve"> </w:t>
      </w:r>
    </w:p>
    <w:p w14:paraId="1B03CE67" w14:textId="6B24724D" w:rsidR="008225EE" w:rsidRPr="006C6F80" w:rsidRDefault="008225EE" w:rsidP="00B132A6">
      <w:pPr>
        <w:spacing w:after="200" w:line="480" w:lineRule="auto"/>
        <w:jc w:val="both"/>
        <w:rPr>
          <w:color w:val="000000" w:themeColor="text1"/>
        </w:rPr>
      </w:pPr>
      <w:r w:rsidRPr="006C6F80">
        <w:rPr>
          <w:color w:val="000000" w:themeColor="text1"/>
        </w:rPr>
        <w:t xml:space="preserve">While returnees </w:t>
      </w:r>
      <w:r w:rsidR="001C7CE8" w:rsidRPr="006C6F80">
        <w:rPr>
          <w:color w:val="000000" w:themeColor="text1"/>
        </w:rPr>
        <w:t xml:space="preserve">on average </w:t>
      </w:r>
      <w:r w:rsidRPr="006C6F80">
        <w:rPr>
          <w:color w:val="000000" w:themeColor="text1"/>
        </w:rPr>
        <w:t xml:space="preserve">seem to hold lower ranked occupations at first job, they are found to be significantly more likely </w:t>
      </w:r>
      <w:r w:rsidR="00591C71" w:rsidRPr="006C6F80">
        <w:rPr>
          <w:color w:val="000000" w:themeColor="text1"/>
        </w:rPr>
        <w:t>to witness upward occupational mobility compared to stayers</w:t>
      </w:r>
      <w:r w:rsidR="00961EC3" w:rsidRPr="006C6F80">
        <w:rPr>
          <w:color w:val="000000" w:themeColor="text1"/>
        </w:rPr>
        <w:t>. I</w:t>
      </w:r>
      <w:r w:rsidR="00373BB8" w:rsidRPr="006C6F80">
        <w:rPr>
          <w:color w:val="000000" w:themeColor="text1"/>
        </w:rPr>
        <w:t xml:space="preserve">n </w:t>
      </w:r>
      <w:r w:rsidR="00591C71" w:rsidRPr="006C6F80">
        <w:rPr>
          <w:color w:val="000000" w:themeColor="text1"/>
        </w:rPr>
        <w:t>Table 1, Panel B</w:t>
      </w:r>
      <w:r w:rsidR="00961EC3" w:rsidRPr="006C6F80">
        <w:rPr>
          <w:color w:val="000000" w:themeColor="text1"/>
        </w:rPr>
        <w:t xml:space="preserve">, we show several occupational mobility indicators. Upward mobility is a dummy variable equal to one if the individual’s occupation in 2010 is ranked higher compared to his first job occupation, while the opposite is true for downward mobility. Immobility is a dummy variable equal to one if the individual stayed within the same occupational category in the two years considered. The degree of mobility ranges between -4 and 4 and is the difference between the 2010 occupational ranking and the first job occupational ranking. </w:t>
      </w:r>
      <w:r w:rsidR="00373BB8" w:rsidRPr="006C6F80">
        <w:rPr>
          <w:color w:val="000000" w:themeColor="text1"/>
        </w:rPr>
        <w:t xml:space="preserve">Indeed, we find that the incidence of occupational upgrading is 13 percentage points higher among return migrants relative to non-migrants. </w:t>
      </w:r>
      <w:r w:rsidR="00312F0B" w:rsidRPr="006C6F80">
        <w:rPr>
          <w:color w:val="000000" w:themeColor="text1"/>
        </w:rPr>
        <w:t>We also find that the likelihood of occupational immobility is significantly lower among return migrants while the degree of mobility is significantly larger</w:t>
      </w:r>
      <w:r w:rsidR="00522074" w:rsidRPr="006C6F80">
        <w:rPr>
          <w:color w:val="000000" w:themeColor="text1"/>
        </w:rPr>
        <w:t xml:space="preserve">. </w:t>
      </w:r>
    </w:p>
    <w:p w14:paraId="7041D7ED" w14:textId="58C96869" w:rsidR="001B4AE1" w:rsidRPr="006C6F80" w:rsidRDefault="001B4AE1" w:rsidP="001B4AE1">
      <w:pPr>
        <w:spacing w:after="200" w:line="480" w:lineRule="auto"/>
        <w:jc w:val="center"/>
        <w:rPr>
          <w:color w:val="000000" w:themeColor="text1"/>
        </w:rPr>
      </w:pPr>
      <w:r w:rsidRPr="006C6F80">
        <w:rPr>
          <w:color w:val="000000" w:themeColor="text1"/>
        </w:rPr>
        <w:t>[Table 2 here]</w:t>
      </w:r>
    </w:p>
    <w:p w14:paraId="722334D8" w14:textId="7A788142" w:rsidR="00F44283" w:rsidRDefault="009E4613" w:rsidP="00F77326">
      <w:pPr>
        <w:spacing w:after="200" w:line="480" w:lineRule="auto"/>
        <w:jc w:val="both"/>
        <w:rPr>
          <w:color w:val="000000" w:themeColor="text1"/>
        </w:rPr>
      </w:pPr>
      <w:r w:rsidRPr="006C6F80">
        <w:rPr>
          <w:color w:val="000000" w:themeColor="text1"/>
        </w:rPr>
        <w:lastRenderedPageBreak/>
        <w:t xml:space="preserve">In </w:t>
      </w:r>
      <w:r w:rsidR="004208E1" w:rsidRPr="006C6F80">
        <w:rPr>
          <w:color w:val="000000" w:themeColor="text1"/>
        </w:rPr>
        <w:t>order to examine the occupational mobility of the 19</w:t>
      </w:r>
      <w:r w:rsidR="0046315D" w:rsidRPr="006C6F80">
        <w:rPr>
          <w:color w:val="000000" w:themeColor="text1"/>
        </w:rPr>
        <w:t>6</w:t>
      </w:r>
      <w:r w:rsidR="004208E1" w:rsidRPr="006C6F80">
        <w:rPr>
          <w:color w:val="000000" w:themeColor="text1"/>
        </w:rPr>
        <w:t xml:space="preserve">0s cohort, in </w:t>
      </w:r>
      <w:r w:rsidRPr="006C6F80">
        <w:rPr>
          <w:color w:val="000000" w:themeColor="text1"/>
        </w:rPr>
        <w:t xml:space="preserve">Table </w:t>
      </w:r>
      <w:r w:rsidR="009F2322" w:rsidRPr="006C6F80">
        <w:rPr>
          <w:color w:val="000000" w:themeColor="text1"/>
        </w:rPr>
        <w:t>2</w:t>
      </w:r>
      <w:r w:rsidRPr="006C6F80">
        <w:rPr>
          <w:color w:val="000000" w:themeColor="text1"/>
        </w:rPr>
        <w:t xml:space="preserve">, we construct employment transition matrices for stayers </w:t>
      </w:r>
      <w:r w:rsidR="008B5109" w:rsidRPr="006C6F80">
        <w:rPr>
          <w:color w:val="000000" w:themeColor="text1"/>
        </w:rPr>
        <w:t xml:space="preserve">(Panel A) </w:t>
      </w:r>
      <w:r w:rsidRPr="006C6F80">
        <w:rPr>
          <w:color w:val="000000" w:themeColor="text1"/>
        </w:rPr>
        <w:t xml:space="preserve">versus returnees </w:t>
      </w:r>
      <w:r w:rsidR="008B5109" w:rsidRPr="006C6F80">
        <w:rPr>
          <w:color w:val="000000" w:themeColor="text1"/>
        </w:rPr>
        <w:t>(Panel B)</w:t>
      </w:r>
      <w:r w:rsidR="00C3216D" w:rsidRPr="006C6F80">
        <w:rPr>
          <w:color w:val="000000" w:themeColor="text1"/>
        </w:rPr>
        <w:t xml:space="preserve"> between the first job and the 2010 job in Egypt</w:t>
      </w:r>
      <w:r w:rsidRPr="006C6F80">
        <w:rPr>
          <w:color w:val="000000" w:themeColor="text1"/>
        </w:rPr>
        <w:t xml:space="preserve">. </w:t>
      </w:r>
      <w:r w:rsidR="00E14B57" w:rsidRPr="006C6F80">
        <w:rPr>
          <w:color w:val="000000" w:themeColor="text1"/>
        </w:rPr>
        <w:t xml:space="preserve">The diagonal cells represent the percentage of individuals who stayed </w:t>
      </w:r>
      <w:r w:rsidR="00C65633" w:rsidRPr="006C6F80">
        <w:rPr>
          <w:color w:val="000000" w:themeColor="text1"/>
        </w:rPr>
        <w:t>with</w:t>
      </w:r>
      <w:r w:rsidR="00E14B57" w:rsidRPr="006C6F80">
        <w:rPr>
          <w:color w:val="000000" w:themeColor="text1"/>
        </w:rPr>
        <w:t>in the same occupational category between the first job and the job in 2010. The cells above the diagonal represent the percentage of individuals who witnessed upward mobility, whereas the cells below the diagonal represent the percentage of individuals who witnessed downward mobility. Thus, the share of individuals witnessing upward mobility is equal to the sum of the cells above the diagonal. Among the sample of returnees in the 19</w:t>
      </w:r>
      <w:r w:rsidR="001C2A16" w:rsidRPr="006C6F80">
        <w:rPr>
          <w:color w:val="000000" w:themeColor="text1"/>
        </w:rPr>
        <w:t>6</w:t>
      </w:r>
      <w:r w:rsidR="00E14B57" w:rsidRPr="006C6F80">
        <w:rPr>
          <w:color w:val="000000" w:themeColor="text1"/>
        </w:rPr>
        <w:t>0s cohort, we find that 4</w:t>
      </w:r>
      <w:r w:rsidR="001C2A16" w:rsidRPr="006C6F80">
        <w:rPr>
          <w:color w:val="000000" w:themeColor="text1"/>
        </w:rPr>
        <w:t>2</w:t>
      </w:r>
      <w:r w:rsidR="00E14B57" w:rsidRPr="006C6F80">
        <w:rPr>
          <w:color w:val="000000" w:themeColor="text1"/>
        </w:rPr>
        <w:t xml:space="preserve">% of return migrants witnessed upward occupational mobility when we compare their first job and their job in 2010. This figure drops to </w:t>
      </w:r>
      <w:r w:rsidR="001C2A16" w:rsidRPr="006C6F80">
        <w:rPr>
          <w:color w:val="000000" w:themeColor="text1"/>
        </w:rPr>
        <w:t>30</w:t>
      </w:r>
      <w:r w:rsidR="00E14B57" w:rsidRPr="006C6F80">
        <w:rPr>
          <w:color w:val="000000" w:themeColor="text1"/>
        </w:rPr>
        <w:t>% when we consider the sample of stayers.</w:t>
      </w:r>
      <w:r w:rsidR="00E14B57" w:rsidRPr="006C6F80">
        <w:rPr>
          <w:rStyle w:val="FootnoteReference"/>
          <w:color w:val="000000" w:themeColor="text1"/>
        </w:rPr>
        <w:footnoteReference w:id="19"/>
      </w:r>
      <w:r w:rsidR="00E14B57" w:rsidRPr="006C6F80">
        <w:rPr>
          <w:color w:val="000000" w:themeColor="text1"/>
        </w:rPr>
        <w:t xml:space="preserve"> Interestingly, we also find that </w:t>
      </w:r>
      <w:r w:rsidR="00F40389" w:rsidRPr="006C6F80">
        <w:rPr>
          <w:color w:val="000000" w:themeColor="text1"/>
        </w:rPr>
        <w:t>40</w:t>
      </w:r>
      <w:r w:rsidR="00E14B57" w:rsidRPr="006C6F80">
        <w:rPr>
          <w:color w:val="000000" w:themeColor="text1"/>
        </w:rPr>
        <w:t xml:space="preserve">% of the returnees who witnessed upward mobility had either high-skilled blue-collar or low-skilled white-collar occupations </w:t>
      </w:r>
      <w:r w:rsidR="009F6F19" w:rsidRPr="006C6F80">
        <w:rPr>
          <w:color w:val="000000" w:themeColor="text1"/>
        </w:rPr>
        <w:t>at first job</w:t>
      </w:r>
      <w:r w:rsidR="00E14B57" w:rsidRPr="006C6F80">
        <w:rPr>
          <w:color w:val="000000" w:themeColor="text1"/>
        </w:rPr>
        <w:t xml:space="preserve"> and they moved up the occupational ladder to hold either white-collar occupations in general for the former category or high-skilled white-collar occupations for the latter. </w:t>
      </w:r>
      <w:r w:rsidR="001C7CE8" w:rsidRPr="006C6F80">
        <w:rPr>
          <w:color w:val="000000" w:themeColor="text1"/>
        </w:rPr>
        <w:t>Meanwhile</w:t>
      </w:r>
      <w:r w:rsidR="00E14B57" w:rsidRPr="006C6F80">
        <w:rPr>
          <w:color w:val="000000" w:themeColor="text1"/>
        </w:rPr>
        <w:t xml:space="preserve">, </w:t>
      </w:r>
      <w:r w:rsidR="00F40389" w:rsidRPr="006C6F80">
        <w:rPr>
          <w:color w:val="000000" w:themeColor="text1"/>
        </w:rPr>
        <w:t>64%</w:t>
      </w:r>
      <w:r w:rsidR="00E14B57" w:rsidRPr="006C6F80">
        <w:rPr>
          <w:color w:val="000000" w:themeColor="text1"/>
        </w:rPr>
        <w:t xml:space="preserve"> of the stayers who witness</w:t>
      </w:r>
      <w:r w:rsidR="005804D2" w:rsidRPr="006C6F80">
        <w:rPr>
          <w:color w:val="000000" w:themeColor="text1"/>
        </w:rPr>
        <w:t>ed upward occupational mobility</w:t>
      </w:r>
      <w:r w:rsidR="00E14B57" w:rsidRPr="006C6F80">
        <w:rPr>
          <w:color w:val="000000" w:themeColor="text1"/>
        </w:rPr>
        <w:t xml:space="preserve"> had less qualified occupations to start, namely agricultural or low-skilled blue-collar occupations. </w:t>
      </w:r>
    </w:p>
    <w:p w14:paraId="7C03B6C3" w14:textId="77777777" w:rsidR="00136AA0" w:rsidRPr="006C6F80" w:rsidRDefault="00136AA0" w:rsidP="00F77326">
      <w:pPr>
        <w:spacing w:after="200" w:line="480" w:lineRule="auto"/>
        <w:jc w:val="both"/>
        <w:rPr>
          <w:color w:val="000000" w:themeColor="text1"/>
        </w:rPr>
      </w:pPr>
    </w:p>
    <w:p w14:paraId="6CA29A0B" w14:textId="2B68575E" w:rsidR="00753978" w:rsidRPr="006C6F80" w:rsidRDefault="00083805" w:rsidP="00B132A6">
      <w:pPr>
        <w:pStyle w:val="ListParagraph"/>
        <w:numPr>
          <w:ilvl w:val="0"/>
          <w:numId w:val="10"/>
        </w:numPr>
        <w:spacing w:line="480" w:lineRule="auto"/>
        <w:jc w:val="both"/>
        <w:rPr>
          <w:rFonts w:ascii="Times New Roman" w:hAnsi="Times New Roman" w:cs="Times New Roman"/>
          <w:b/>
          <w:bCs/>
          <w:color w:val="000000" w:themeColor="text1"/>
          <w:sz w:val="24"/>
          <w:szCs w:val="24"/>
          <w:lang w:val="en-US"/>
        </w:rPr>
      </w:pPr>
      <w:r w:rsidRPr="006C6F80">
        <w:rPr>
          <w:rFonts w:ascii="Times New Roman" w:hAnsi="Times New Roman" w:cs="Times New Roman"/>
          <w:b/>
          <w:bCs/>
          <w:color w:val="000000" w:themeColor="text1"/>
          <w:sz w:val="24"/>
          <w:szCs w:val="24"/>
          <w:lang w:val="en-US"/>
        </w:rPr>
        <w:t>Empir</w:t>
      </w:r>
      <w:r w:rsidR="003D0346" w:rsidRPr="006C6F80">
        <w:rPr>
          <w:rFonts w:ascii="Times New Roman" w:hAnsi="Times New Roman" w:cs="Times New Roman"/>
          <w:b/>
          <w:bCs/>
          <w:color w:val="000000" w:themeColor="text1"/>
          <w:sz w:val="24"/>
          <w:szCs w:val="24"/>
          <w:lang w:val="en-US"/>
        </w:rPr>
        <w:t xml:space="preserve">ical </w:t>
      </w:r>
      <w:r w:rsidR="00DC07E8" w:rsidRPr="006C6F80">
        <w:rPr>
          <w:rFonts w:ascii="Times New Roman" w:hAnsi="Times New Roman" w:cs="Times New Roman"/>
          <w:b/>
          <w:bCs/>
          <w:color w:val="000000" w:themeColor="text1"/>
          <w:sz w:val="24"/>
          <w:szCs w:val="24"/>
          <w:lang w:val="en-US"/>
        </w:rPr>
        <w:t xml:space="preserve">strategy: </w:t>
      </w:r>
      <w:r w:rsidR="00954D35" w:rsidRPr="006C6F80">
        <w:rPr>
          <w:rFonts w:ascii="Times New Roman" w:hAnsi="Times New Roman" w:cs="Times New Roman"/>
          <w:b/>
          <w:bCs/>
          <w:color w:val="000000" w:themeColor="text1"/>
          <w:sz w:val="24"/>
          <w:szCs w:val="24"/>
          <w:lang w:val="en-US"/>
        </w:rPr>
        <w:t>A</w:t>
      </w:r>
      <w:r w:rsidR="00DC07E8" w:rsidRPr="006C6F80">
        <w:rPr>
          <w:rFonts w:ascii="Times New Roman" w:hAnsi="Times New Roman" w:cs="Times New Roman"/>
          <w:b/>
          <w:bCs/>
          <w:color w:val="000000" w:themeColor="text1"/>
          <w:sz w:val="24"/>
          <w:szCs w:val="24"/>
          <w:lang w:val="en-US"/>
        </w:rPr>
        <w:t>n instrumental variable approach</w:t>
      </w:r>
    </w:p>
    <w:p w14:paraId="5600B562" w14:textId="50A900A0" w:rsidR="00753978" w:rsidRPr="006C6F80" w:rsidRDefault="00753978" w:rsidP="00B132A6">
      <w:pPr>
        <w:spacing w:after="200" w:line="480" w:lineRule="auto"/>
        <w:jc w:val="both"/>
        <w:rPr>
          <w:color w:val="000000" w:themeColor="text1"/>
        </w:rPr>
      </w:pPr>
      <w:r w:rsidRPr="006C6F80">
        <w:rPr>
          <w:color w:val="000000" w:themeColor="text1"/>
        </w:rPr>
        <w:lastRenderedPageBreak/>
        <w:t>We estimate the effect of return migration on occupational mobility</w:t>
      </w:r>
      <w:r w:rsidR="00CA7C8F" w:rsidRPr="006C6F80">
        <w:rPr>
          <w:color w:val="000000" w:themeColor="text1"/>
        </w:rPr>
        <w:t xml:space="preserve">, </w:t>
      </w:r>
      <w:r w:rsidRPr="006C6F80">
        <w:rPr>
          <w:color w:val="000000" w:themeColor="text1"/>
        </w:rPr>
        <w:t>focusing</w:t>
      </w:r>
      <w:r w:rsidR="00CC4FEF" w:rsidRPr="006C6F80">
        <w:rPr>
          <w:color w:val="000000" w:themeColor="text1"/>
        </w:rPr>
        <w:t xml:space="preserve"> on the 1960s </w:t>
      </w:r>
      <w:r w:rsidR="00CA7C8F" w:rsidRPr="006C6F80">
        <w:rPr>
          <w:color w:val="000000" w:themeColor="text1"/>
        </w:rPr>
        <w:t xml:space="preserve">birth </w:t>
      </w:r>
      <w:r w:rsidR="00CC4FEF" w:rsidRPr="006C6F80">
        <w:rPr>
          <w:color w:val="000000" w:themeColor="text1"/>
        </w:rPr>
        <w:t>cohort</w:t>
      </w:r>
      <w:r w:rsidRPr="006C6F80">
        <w:rPr>
          <w:color w:val="000000" w:themeColor="text1"/>
        </w:rPr>
        <w:t>. For each individual, we compare his first occupation to his occupation in 2010.</w:t>
      </w:r>
      <w:r w:rsidR="00280684" w:rsidRPr="006C6F80">
        <w:rPr>
          <w:color w:val="000000" w:themeColor="text1"/>
        </w:rPr>
        <w:t xml:space="preserve"> </w:t>
      </w:r>
      <w:r w:rsidR="00CA7C8F" w:rsidRPr="006C6F80">
        <w:rPr>
          <w:color w:val="000000" w:themeColor="text1"/>
        </w:rPr>
        <w:t>Using a linear probability model, we estimate the following specification:</w:t>
      </w:r>
      <w:r w:rsidR="00AF5941" w:rsidRPr="006C6F80">
        <w:rPr>
          <w:color w:val="000000" w:themeColor="text1"/>
        </w:rPr>
        <w:t xml:space="preserve"> </w:t>
      </w:r>
    </w:p>
    <w:p w14:paraId="743B5F0B" w14:textId="02964251" w:rsidR="004A2B4C" w:rsidRPr="006C6F80" w:rsidRDefault="003E2C9A" w:rsidP="00B132A6">
      <w:pPr>
        <w:pStyle w:val="ListParagraph"/>
        <w:spacing w:line="480" w:lineRule="auto"/>
        <w:jc w:val="center"/>
        <w:rPr>
          <w:rFonts w:ascii="Times New Roman" w:hAnsi="Times New Roman" w:cs="Times New Roman"/>
          <w:color w:val="000000" w:themeColor="text1"/>
          <w:sz w:val="24"/>
          <w:szCs w:val="24"/>
          <w:lang w:val="en-US"/>
        </w:rPr>
      </w:pPr>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Y</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α</m:t>
            </m:r>
          </m:e>
          <m:sub>
            <m:r>
              <w:rPr>
                <w:rFonts w:ascii="Cambria Math" w:hAnsi="Cambria Math" w:cs="Times New Roman"/>
                <w:color w:val="000000" w:themeColor="text1"/>
                <w:sz w:val="24"/>
                <w:szCs w:val="24"/>
                <w:lang w:val="en-US"/>
              </w:rPr>
              <m:t>0</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α</m:t>
            </m:r>
          </m:e>
          <m:sub>
            <m:r>
              <w:rPr>
                <w:rFonts w:ascii="Cambria Math" w:hAnsi="Cambria Math" w:cs="Times New Roman"/>
                <w:color w:val="000000" w:themeColor="text1"/>
                <w:sz w:val="24"/>
                <w:szCs w:val="24"/>
                <w:lang w:val="en-US"/>
              </w:rPr>
              <m:t>1</m:t>
            </m:r>
          </m:sub>
        </m:sSub>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Returnee</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α</m:t>
            </m:r>
          </m:e>
          <m:sub>
            <m:r>
              <w:rPr>
                <w:rFonts w:ascii="Cambria Math" w:hAnsi="Cambria Math" w:cs="Times New Roman"/>
                <w:color w:val="000000" w:themeColor="text1"/>
                <w:sz w:val="24"/>
                <w:szCs w:val="24"/>
                <w:lang w:val="en-US"/>
              </w:rPr>
              <m:t>2</m:t>
            </m:r>
          </m:sub>
        </m:sSub>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X</m:t>
            </m:r>
          </m:e>
          <m:sub>
            <m:r>
              <w:rPr>
                <w:rFonts w:ascii="Cambria Math" w:hAnsi="Cambria Math" w:cs="Times New Roman"/>
                <w:color w:val="000000" w:themeColor="text1"/>
                <w:sz w:val="24"/>
                <w:szCs w:val="24"/>
                <w:lang w:val="en-US"/>
              </w:rPr>
              <m:t>i</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 xml:space="preserve"> t</m:t>
                </m:r>
              </m:e>
              <m:sub>
                <m:r>
                  <w:rPr>
                    <w:rFonts w:ascii="Cambria Math" w:hAnsi="Cambria Math" w:cs="Times New Roman"/>
                    <w:color w:val="000000" w:themeColor="text1"/>
                    <w:sz w:val="24"/>
                    <w:szCs w:val="24"/>
                    <w:lang w:val="en-US"/>
                  </w:rPr>
                  <m:t>0</m:t>
                </m:r>
              </m:sub>
            </m:sSub>
          </m:sub>
        </m:sSub>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α</m:t>
            </m:r>
          </m:e>
          <m:sub>
            <m:r>
              <w:rPr>
                <w:rFonts w:ascii="Cambria Math" w:hAnsi="Cambria Math" w:cs="Times New Roman"/>
                <w:color w:val="000000" w:themeColor="text1"/>
                <w:sz w:val="24"/>
                <w:szCs w:val="24"/>
                <w:lang w:val="en-US"/>
              </w:rPr>
              <m:t>3</m:t>
            </m:r>
          </m:sub>
        </m:sSub>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Z</m:t>
            </m:r>
          </m:e>
          <m:sub>
            <m:r>
              <w:rPr>
                <w:rFonts w:ascii="Cambria Math" w:hAnsi="Cambria Math" w:cs="Times New Roman"/>
                <w:color w:val="000000" w:themeColor="text1"/>
                <w:sz w:val="24"/>
                <w:szCs w:val="24"/>
                <w:lang w:val="en-US"/>
              </w:rPr>
              <m:t xml:space="preserve">i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t</m:t>
                </m:r>
              </m:e>
              <m:sub>
                <m:r>
                  <w:rPr>
                    <w:rFonts w:ascii="Cambria Math" w:hAnsi="Cambria Math" w:cs="Times New Roman"/>
                    <w:color w:val="000000" w:themeColor="text1"/>
                    <w:sz w:val="24"/>
                    <w:szCs w:val="24"/>
                    <w:lang w:val="en-US"/>
                  </w:rPr>
                  <m:t>0</m:t>
                </m:r>
              </m:sub>
            </m:sSub>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ε</m:t>
            </m:r>
          </m:e>
          <m:sub>
            <m:r>
              <w:rPr>
                <w:rFonts w:ascii="Cambria Math" w:hAnsi="Cambria Math" w:cs="Times New Roman"/>
                <w:color w:val="000000" w:themeColor="text1"/>
                <w:sz w:val="24"/>
                <w:szCs w:val="24"/>
                <w:lang w:val="en-US"/>
              </w:rPr>
              <m:t>i</m:t>
            </m:r>
          </m:sub>
        </m:sSub>
      </m:oMath>
      <w:r w:rsidR="00707120" w:rsidRPr="006C6F80">
        <w:rPr>
          <w:rFonts w:ascii="Times New Roman" w:hAnsi="Times New Roman" w:cs="Times New Roman"/>
          <w:color w:val="000000" w:themeColor="text1"/>
          <w:sz w:val="24"/>
          <w:szCs w:val="24"/>
          <w:lang w:val="en-US"/>
        </w:rPr>
        <w:t xml:space="preserve">              (1)</w:t>
      </w:r>
    </w:p>
    <w:p w14:paraId="134A2C9B" w14:textId="334D17FF" w:rsidR="00247397" w:rsidRPr="006C6F80" w:rsidRDefault="003E2C9A" w:rsidP="00B132A6">
      <w:pPr>
        <w:spacing w:after="200" w:line="480" w:lineRule="auto"/>
        <w:jc w:val="both"/>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i</m:t>
            </m:r>
          </m:sub>
        </m:sSub>
      </m:oMath>
      <w:r w:rsidR="00AF5941" w:rsidRPr="006C6F80">
        <w:rPr>
          <w:color w:val="000000" w:themeColor="text1"/>
        </w:rPr>
        <w:t xml:space="preserve"> is a dummy variable for upward mobility that takes the value one if the individual’s occupation in 2010 is ranked higher compared to his first job occupation</w:t>
      </w:r>
      <w:r w:rsidR="001C7CE8" w:rsidRPr="006C6F80">
        <w:rPr>
          <w:color w:val="000000" w:themeColor="text1"/>
        </w:rPr>
        <w:t>,</w:t>
      </w:r>
      <w:r w:rsidR="00AF5941" w:rsidRPr="006C6F80">
        <w:rPr>
          <w:color w:val="000000" w:themeColor="text1"/>
        </w:rPr>
        <w:t xml:space="preserve"> and zero otherwise.</w:t>
      </w:r>
      <w:r w:rsidR="00A36E40" w:rsidRPr="006C6F80">
        <w:rPr>
          <w:color w:val="000000" w:themeColor="text1"/>
        </w:rPr>
        <w:t xml:space="preserve"> </w:t>
      </w:r>
      <w:r w:rsidR="0009494F" w:rsidRPr="006C6F80">
        <w:rPr>
          <w:color w:val="000000" w:themeColor="text1"/>
        </w:rPr>
        <w:t xml:space="preserve">Returnee is a dummy variable </w:t>
      </w:r>
      <w:r w:rsidR="00C16034" w:rsidRPr="006C6F80">
        <w:rPr>
          <w:color w:val="000000" w:themeColor="text1"/>
        </w:rPr>
        <w:t xml:space="preserve">equal </w:t>
      </w:r>
      <w:r w:rsidR="00C355DE" w:rsidRPr="006C6F80">
        <w:rPr>
          <w:color w:val="000000" w:themeColor="text1"/>
        </w:rPr>
        <w:t xml:space="preserve">to 1 </w:t>
      </w:r>
      <w:r w:rsidR="00C16034" w:rsidRPr="006C6F80">
        <w:rPr>
          <w:color w:val="000000" w:themeColor="text1"/>
        </w:rPr>
        <w:t>for m</w:t>
      </w:r>
      <w:r w:rsidR="00945AEE" w:rsidRPr="006C6F80">
        <w:rPr>
          <w:color w:val="000000" w:themeColor="text1"/>
        </w:rPr>
        <w:t>en</w:t>
      </w:r>
      <w:r w:rsidR="00C16034" w:rsidRPr="006C6F80">
        <w:rPr>
          <w:color w:val="000000" w:themeColor="text1"/>
        </w:rPr>
        <w:t xml:space="preserve"> who had worked abroad </w:t>
      </w:r>
      <w:r w:rsidR="006C4784" w:rsidRPr="006C6F80">
        <w:rPr>
          <w:color w:val="000000" w:themeColor="text1"/>
        </w:rPr>
        <w:t xml:space="preserve">for more than six months </w:t>
      </w:r>
      <w:r w:rsidR="00042B88" w:rsidRPr="006C6F80">
        <w:rPr>
          <w:color w:val="000000" w:themeColor="text1"/>
        </w:rPr>
        <w:t xml:space="preserve">and returned to Egypt </w:t>
      </w:r>
      <w:r w:rsidR="00C16034" w:rsidRPr="006C6F80">
        <w:rPr>
          <w:color w:val="000000" w:themeColor="text1"/>
        </w:rPr>
        <w:t xml:space="preserve">before 2010 and equal </w:t>
      </w:r>
      <w:r w:rsidR="00042B88" w:rsidRPr="006C6F80">
        <w:rPr>
          <w:color w:val="000000" w:themeColor="text1"/>
        </w:rPr>
        <w:t xml:space="preserve">to </w:t>
      </w:r>
      <w:r w:rsidR="00C16034" w:rsidRPr="006C6F80">
        <w:rPr>
          <w:color w:val="000000" w:themeColor="text1"/>
        </w:rPr>
        <w:t xml:space="preserve">zero for </w:t>
      </w:r>
      <w:r w:rsidR="00945AEE" w:rsidRPr="006C6F80">
        <w:rPr>
          <w:color w:val="000000" w:themeColor="text1"/>
        </w:rPr>
        <w:t>non-migrants</w:t>
      </w:r>
      <w:r w:rsidR="00C16034" w:rsidRPr="006C6F8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 xml:space="preserve">i </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0</m:t>
                </m:r>
              </m:sub>
            </m:sSub>
          </m:sub>
        </m:sSub>
      </m:oMath>
      <w:r w:rsidR="00C16034" w:rsidRPr="006C6F80">
        <w:rPr>
          <w:color w:val="000000" w:themeColor="text1"/>
        </w:rPr>
        <w:t xml:space="preserve"> is a vector of </w:t>
      </w:r>
      <w:r w:rsidR="00945AEE" w:rsidRPr="006C6F80">
        <w:rPr>
          <w:color w:val="000000" w:themeColor="text1"/>
        </w:rPr>
        <w:t xml:space="preserve">pre-determined </w:t>
      </w:r>
      <w:r w:rsidR="00C16034" w:rsidRPr="006C6F80">
        <w:rPr>
          <w:color w:val="000000" w:themeColor="text1"/>
        </w:rPr>
        <w:t>individual</w:t>
      </w:r>
      <w:r w:rsidR="00BB1550" w:rsidRPr="006C6F80">
        <w:rPr>
          <w:color w:val="000000" w:themeColor="text1"/>
        </w:rPr>
        <w:t xml:space="preserve"> characteristic</w:t>
      </w:r>
      <w:r w:rsidR="00945AEE" w:rsidRPr="006C6F80">
        <w:rPr>
          <w:color w:val="000000" w:themeColor="text1"/>
        </w:rPr>
        <w:t>s and it includes</w:t>
      </w:r>
      <w:r w:rsidR="00C16034" w:rsidRPr="006C6F80">
        <w:rPr>
          <w:color w:val="000000" w:themeColor="text1"/>
        </w:rPr>
        <w:t xml:space="preserve">: age </w:t>
      </w:r>
      <w:r w:rsidR="00945AEE" w:rsidRPr="006C6F80">
        <w:rPr>
          <w:color w:val="000000" w:themeColor="text1"/>
        </w:rPr>
        <w:t>at birth</w:t>
      </w:r>
      <w:r w:rsidR="00C16034" w:rsidRPr="006C6F80">
        <w:rPr>
          <w:color w:val="000000" w:themeColor="text1"/>
        </w:rPr>
        <w:t xml:space="preserve">, </w:t>
      </w:r>
      <w:r w:rsidR="004A2D60" w:rsidRPr="006C6F80">
        <w:rPr>
          <w:color w:val="000000" w:themeColor="text1"/>
        </w:rPr>
        <w:t xml:space="preserve">individual </w:t>
      </w:r>
      <w:r w:rsidR="00042B88" w:rsidRPr="006C6F80">
        <w:rPr>
          <w:color w:val="000000" w:themeColor="text1"/>
        </w:rPr>
        <w:t xml:space="preserve">educational </w:t>
      </w:r>
      <w:r w:rsidR="00945AEE" w:rsidRPr="006C6F80">
        <w:rPr>
          <w:color w:val="000000" w:themeColor="text1"/>
        </w:rPr>
        <w:t>levels</w:t>
      </w:r>
      <w:r w:rsidR="004A2D60" w:rsidRPr="006C6F80">
        <w:rPr>
          <w:color w:val="000000" w:themeColor="text1"/>
        </w:rPr>
        <w:t xml:space="preserve">, </w:t>
      </w:r>
      <w:r w:rsidR="00945AEE" w:rsidRPr="006C6F80">
        <w:rPr>
          <w:color w:val="000000" w:themeColor="text1"/>
        </w:rPr>
        <w:t>a dummy variable for rural residence at birth</w:t>
      </w:r>
      <w:r w:rsidR="001C7CE8" w:rsidRPr="006C6F80">
        <w:rPr>
          <w:color w:val="000000" w:themeColor="text1"/>
        </w:rPr>
        <w:t>,</w:t>
      </w:r>
      <w:r w:rsidR="004A2D60" w:rsidRPr="006C6F80">
        <w:rPr>
          <w:color w:val="000000" w:themeColor="text1"/>
        </w:rPr>
        <w:t xml:space="preserve"> and a dummy variable for above intermediate parental education</w:t>
      </w:r>
      <w:r w:rsidR="00945AEE" w:rsidRPr="006C6F8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 xml:space="preserve">i </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0</m:t>
                </m:r>
              </m:sub>
            </m:sSub>
          </m:sub>
        </m:sSub>
      </m:oMath>
      <w:r w:rsidR="00C16034" w:rsidRPr="006C6F80">
        <w:rPr>
          <w:color w:val="000000" w:themeColor="text1"/>
        </w:rPr>
        <w:t xml:space="preserve"> is a vector </w:t>
      </w:r>
      <w:r w:rsidR="00AD71CF" w:rsidRPr="006C6F80">
        <w:rPr>
          <w:color w:val="000000" w:themeColor="text1"/>
        </w:rPr>
        <w:t>of</w:t>
      </w:r>
      <w:r w:rsidR="00945AEE" w:rsidRPr="006C6F80">
        <w:rPr>
          <w:color w:val="000000" w:themeColor="text1"/>
        </w:rPr>
        <w:t xml:space="preserve"> pre-determined </w:t>
      </w:r>
      <w:r w:rsidR="00AD71CF" w:rsidRPr="006C6F80">
        <w:rPr>
          <w:color w:val="000000" w:themeColor="text1"/>
        </w:rPr>
        <w:t>first</w:t>
      </w:r>
      <w:r w:rsidR="00C16034" w:rsidRPr="006C6F80">
        <w:rPr>
          <w:color w:val="000000" w:themeColor="text1"/>
        </w:rPr>
        <w:t xml:space="preserve"> job characteristics and includes: sectors of employment, economic activities</w:t>
      </w:r>
      <w:r w:rsidR="00945AEE" w:rsidRPr="006C6F80">
        <w:rPr>
          <w:color w:val="000000" w:themeColor="text1"/>
        </w:rPr>
        <w:t xml:space="preserve">, </w:t>
      </w:r>
      <w:r w:rsidR="00C16034" w:rsidRPr="006C6F80">
        <w:rPr>
          <w:color w:val="000000" w:themeColor="text1"/>
        </w:rPr>
        <w:t>the incidence of work contract</w:t>
      </w:r>
      <w:r w:rsidR="001C7CE8" w:rsidRPr="006C6F80">
        <w:rPr>
          <w:color w:val="000000" w:themeColor="text1"/>
        </w:rPr>
        <w:t>,</w:t>
      </w:r>
      <w:r w:rsidR="00C16034" w:rsidRPr="006C6F80">
        <w:rPr>
          <w:color w:val="000000" w:themeColor="text1"/>
        </w:rPr>
        <w:t xml:space="preserve"> and social security.</w:t>
      </w:r>
      <w:r w:rsidR="009D10E0" w:rsidRPr="006C6F80">
        <w:rPr>
          <w:color w:val="000000" w:themeColor="text1"/>
        </w:rPr>
        <w:t xml:space="preserve"> </w:t>
      </w:r>
      <w:r w:rsidR="006B201B" w:rsidRPr="006C6F80">
        <w:rPr>
          <w:color w:val="000000" w:themeColor="text1"/>
        </w:rPr>
        <w:t xml:space="preserve">Importantly, </w:t>
      </w:r>
      <w:r w:rsidR="006C4784" w:rsidRPr="006C6F80">
        <w:rPr>
          <w:color w:val="000000" w:themeColor="text1"/>
        </w:rPr>
        <w:t xml:space="preserve">we </w:t>
      </w:r>
      <w:r w:rsidR="006B201B" w:rsidRPr="006C6F80">
        <w:rPr>
          <w:color w:val="000000" w:themeColor="text1"/>
        </w:rPr>
        <w:t>examine the impact of temporary migration experience on occupational upgrading given an individual’s first occupation</w:t>
      </w:r>
      <w:r w:rsidR="006C4784" w:rsidRPr="006C6F80">
        <w:rPr>
          <w:color w:val="000000" w:themeColor="text1"/>
        </w:rPr>
        <w:t>, by controlling for first job occupation dummies</w:t>
      </w:r>
      <w:r w:rsidR="006B201B" w:rsidRPr="006C6F80">
        <w:rPr>
          <w:color w:val="000000" w:themeColor="text1"/>
        </w:rPr>
        <w:t>.</w:t>
      </w:r>
      <w:r w:rsidR="00954D35" w:rsidRPr="006C6F80">
        <w:rPr>
          <w:color w:val="000000" w:themeColor="text1"/>
        </w:rPr>
        <w:t xml:space="preserve"> Moreover, we control for </w:t>
      </w:r>
      <w:r w:rsidR="006C4784" w:rsidRPr="006C6F80">
        <w:rPr>
          <w:color w:val="000000" w:themeColor="text1"/>
        </w:rPr>
        <w:t xml:space="preserve">the </w:t>
      </w:r>
      <w:r w:rsidR="00954D35" w:rsidRPr="006C6F80">
        <w:rPr>
          <w:color w:val="000000" w:themeColor="text1"/>
        </w:rPr>
        <w:t>initial GDP per capita in Egypt (at the time of the first job for stayers and at the time of migration for returnees) to account for the different business cycles hitting Egypt and return migrants’ destination countries.</w:t>
      </w:r>
    </w:p>
    <w:p w14:paraId="0047BE9A" w14:textId="55C547B2" w:rsidR="00F77326" w:rsidRPr="006C6F80" w:rsidRDefault="00C85327" w:rsidP="00F77326">
      <w:pPr>
        <w:spacing w:after="200" w:line="480" w:lineRule="auto"/>
        <w:jc w:val="both"/>
        <w:rPr>
          <w:color w:val="000000" w:themeColor="text1"/>
        </w:rPr>
      </w:pPr>
      <w:r w:rsidRPr="006C6F80">
        <w:rPr>
          <w:color w:val="000000" w:themeColor="text1"/>
        </w:rPr>
        <w:t xml:space="preserve">An empirical challenge we face is that </w:t>
      </w:r>
      <w:r w:rsidR="00A70772" w:rsidRPr="006C6F80">
        <w:rPr>
          <w:color w:val="000000" w:themeColor="text1"/>
        </w:rPr>
        <w:t>unobserved individual characteristics might simultaneously affect the probability</w:t>
      </w:r>
      <w:r w:rsidR="00EC0D0B" w:rsidRPr="006C6F80">
        <w:rPr>
          <w:color w:val="000000" w:themeColor="text1"/>
        </w:rPr>
        <w:t xml:space="preserve"> of temporary migration on </w:t>
      </w:r>
      <w:r w:rsidR="00A70772" w:rsidRPr="006C6F80">
        <w:rPr>
          <w:color w:val="000000" w:themeColor="text1"/>
        </w:rPr>
        <w:t>one hand</w:t>
      </w:r>
      <w:r w:rsidR="00C86001" w:rsidRPr="006C6F80">
        <w:rPr>
          <w:color w:val="000000" w:themeColor="text1"/>
        </w:rPr>
        <w:t>,</w:t>
      </w:r>
      <w:r w:rsidR="00A70772" w:rsidRPr="006C6F80">
        <w:rPr>
          <w:color w:val="000000" w:themeColor="text1"/>
        </w:rPr>
        <w:t xml:space="preserve"> and occupational choices on the other. </w:t>
      </w:r>
      <w:r w:rsidR="00EB005E" w:rsidRPr="006C6F80">
        <w:rPr>
          <w:color w:val="000000" w:themeColor="text1"/>
        </w:rPr>
        <w:t>To address the</w:t>
      </w:r>
      <w:r w:rsidR="00A70772" w:rsidRPr="006C6F80">
        <w:rPr>
          <w:color w:val="000000" w:themeColor="text1"/>
        </w:rPr>
        <w:t xml:space="preserve"> endogeneity problem inherent in this analysis, </w:t>
      </w:r>
      <w:r w:rsidR="00983E82" w:rsidRPr="006C6F80">
        <w:rPr>
          <w:color w:val="000000" w:themeColor="text1"/>
        </w:rPr>
        <w:t>we estimate equation (1)</w:t>
      </w:r>
      <w:r w:rsidR="009229D3" w:rsidRPr="006C6F80">
        <w:rPr>
          <w:color w:val="000000" w:themeColor="text1"/>
        </w:rPr>
        <w:t>,</w:t>
      </w:r>
      <w:r w:rsidR="00983E82" w:rsidRPr="006C6F80">
        <w:rPr>
          <w:color w:val="000000" w:themeColor="text1"/>
        </w:rPr>
        <w:t xml:space="preserve"> </w:t>
      </w:r>
      <w:r w:rsidR="00EB005E" w:rsidRPr="006C6F80">
        <w:rPr>
          <w:color w:val="000000" w:themeColor="text1"/>
        </w:rPr>
        <w:t xml:space="preserve">using </w:t>
      </w:r>
      <w:r w:rsidR="00A70772" w:rsidRPr="006C6F80">
        <w:rPr>
          <w:color w:val="000000" w:themeColor="text1"/>
        </w:rPr>
        <w:t xml:space="preserve">an instrumental variable </w:t>
      </w:r>
      <w:r w:rsidR="00983E82" w:rsidRPr="006C6F80">
        <w:rPr>
          <w:color w:val="000000" w:themeColor="text1"/>
        </w:rPr>
        <w:t xml:space="preserve">approach. </w:t>
      </w:r>
      <w:r w:rsidR="00453320" w:rsidRPr="006C6F80">
        <w:rPr>
          <w:color w:val="000000" w:themeColor="text1"/>
        </w:rPr>
        <w:t>To</w:t>
      </w:r>
      <w:r w:rsidR="006A1087" w:rsidRPr="006C6F80">
        <w:rPr>
          <w:color w:val="000000" w:themeColor="text1"/>
        </w:rPr>
        <w:t xml:space="preserve"> obtain an exogenous source of variation in the probability of </w:t>
      </w:r>
      <w:r w:rsidR="00CE211E" w:rsidRPr="006C6F80">
        <w:rPr>
          <w:color w:val="000000" w:themeColor="text1"/>
        </w:rPr>
        <w:t xml:space="preserve">temporary </w:t>
      </w:r>
      <w:r w:rsidR="006A1087" w:rsidRPr="006C6F80">
        <w:rPr>
          <w:color w:val="000000" w:themeColor="text1"/>
        </w:rPr>
        <w:t>migration,</w:t>
      </w:r>
      <w:r w:rsidR="00AD5F32" w:rsidRPr="006C6F80">
        <w:rPr>
          <w:color w:val="000000" w:themeColor="text1"/>
        </w:rPr>
        <w:t xml:space="preserve"> </w:t>
      </w:r>
      <w:r w:rsidR="006A1087" w:rsidRPr="006C6F80">
        <w:rPr>
          <w:color w:val="000000" w:themeColor="text1"/>
        </w:rPr>
        <w:t xml:space="preserve">we </w:t>
      </w:r>
      <w:r w:rsidR="00031B4A" w:rsidRPr="006C6F80">
        <w:rPr>
          <w:color w:val="000000" w:themeColor="text1"/>
        </w:rPr>
        <w:t xml:space="preserve">use historical </w:t>
      </w:r>
      <w:r w:rsidR="005D2012" w:rsidRPr="006C6F80">
        <w:rPr>
          <w:color w:val="000000" w:themeColor="text1"/>
        </w:rPr>
        <w:t>inflation-adjusted</w:t>
      </w:r>
      <w:r w:rsidR="006A1087" w:rsidRPr="006C6F80">
        <w:rPr>
          <w:color w:val="000000" w:themeColor="text1"/>
        </w:rPr>
        <w:t xml:space="preserve"> oil prices</w:t>
      </w:r>
      <w:r w:rsidR="00EB005E" w:rsidRPr="006C6F80">
        <w:rPr>
          <w:color w:val="000000" w:themeColor="text1"/>
        </w:rPr>
        <w:t xml:space="preserve"> as an instrument, following </w:t>
      </w:r>
      <w:r w:rsidR="00EB005E" w:rsidRPr="006C6F80">
        <w:rPr>
          <w:color w:val="000000" w:themeColor="text1"/>
        </w:rPr>
        <w:lastRenderedPageBreak/>
        <w:t>Wahba and Zenou (2012)</w:t>
      </w:r>
      <w:r w:rsidR="001E00BB" w:rsidRPr="006C6F80">
        <w:rPr>
          <w:color w:val="000000" w:themeColor="text1"/>
        </w:rPr>
        <w:t xml:space="preserve"> and Bertoli and Marchetta (2015)</w:t>
      </w:r>
      <w:r w:rsidR="00EB005E" w:rsidRPr="006C6F80">
        <w:rPr>
          <w:color w:val="000000" w:themeColor="text1"/>
        </w:rPr>
        <w:t xml:space="preserve">. Using a two-stage least squares procedure, oil prices are matched with the year </w:t>
      </w:r>
      <w:r w:rsidR="006A1087" w:rsidRPr="006C6F80">
        <w:rPr>
          <w:color w:val="000000" w:themeColor="text1"/>
        </w:rPr>
        <w:t>when the individual was 26 years old</w:t>
      </w:r>
      <w:r w:rsidR="00185971" w:rsidRPr="006C6F80">
        <w:rPr>
          <w:color w:val="000000" w:themeColor="text1"/>
        </w:rPr>
        <w:t xml:space="preserve">, </w:t>
      </w:r>
      <w:r w:rsidR="00F773C3" w:rsidRPr="006C6F80">
        <w:rPr>
          <w:color w:val="000000" w:themeColor="text1"/>
        </w:rPr>
        <w:t xml:space="preserve">which is </w:t>
      </w:r>
      <w:r w:rsidR="00185971" w:rsidRPr="006C6F80">
        <w:rPr>
          <w:color w:val="000000" w:themeColor="text1"/>
        </w:rPr>
        <w:t>the mean age at migration for our sample of Egyptian men</w:t>
      </w:r>
      <w:r w:rsidR="00C9167B" w:rsidRPr="006C6F80">
        <w:rPr>
          <w:color w:val="000000" w:themeColor="text1"/>
        </w:rPr>
        <w:t xml:space="preserve"> </w:t>
      </w:r>
      <w:r w:rsidR="00EA29CE" w:rsidRPr="006C6F80">
        <w:rPr>
          <w:color w:val="000000" w:themeColor="text1"/>
        </w:rPr>
        <w:t>in</w:t>
      </w:r>
      <w:r w:rsidR="00C9167B" w:rsidRPr="006C6F80">
        <w:rPr>
          <w:color w:val="000000" w:themeColor="text1"/>
        </w:rPr>
        <w:t xml:space="preserve"> the 19</w:t>
      </w:r>
      <w:r w:rsidR="00967C7D" w:rsidRPr="006C6F80">
        <w:rPr>
          <w:color w:val="000000" w:themeColor="text1"/>
        </w:rPr>
        <w:t>6</w:t>
      </w:r>
      <w:r w:rsidR="00C9167B" w:rsidRPr="006C6F80">
        <w:rPr>
          <w:color w:val="000000" w:themeColor="text1"/>
        </w:rPr>
        <w:t>0s cohort</w:t>
      </w:r>
      <w:r w:rsidR="006A1087" w:rsidRPr="006C6F80">
        <w:rPr>
          <w:color w:val="000000" w:themeColor="text1"/>
        </w:rPr>
        <w:t>.</w:t>
      </w:r>
      <w:r w:rsidR="006A1087" w:rsidRPr="006C6F80">
        <w:rPr>
          <w:rStyle w:val="FootnoteReference"/>
          <w:color w:val="000000" w:themeColor="text1"/>
        </w:rPr>
        <w:footnoteReference w:id="20"/>
      </w:r>
      <w:r w:rsidR="00C9167B" w:rsidRPr="006C6F80">
        <w:rPr>
          <w:color w:val="000000" w:themeColor="text1"/>
        </w:rPr>
        <w:t xml:space="preserve"> </w:t>
      </w:r>
    </w:p>
    <w:p w14:paraId="0C5C5ACC" w14:textId="5A7D9E80" w:rsidR="00D478FD" w:rsidRPr="006C6F80" w:rsidRDefault="00D478FD" w:rsidP="00D478FD">
      <w:pPr>
        <w:spacing w:after="200" w:line="480" w:lineRule="auto"/>
        <w:jc w:val="center"/>
        <w:rPr>
          <w:strike/>
          <w:color w:val="000000" w:themeColor="text1"/>
        </w:rPr>
      </w:pPr>
      <w:r w:rsidRPr="006C6F80">
        <w:rPr>
          <w:color w:val="000000" w:themeColor="text1"/>
        </w:rPr>
        <w:t>[Figure 1 here]</w:t>
      </w:r>
    </w:p>
    <w:p w14:paraId="6A45AB75" w14:textId="5228FF0A" w:rsidR="000F7DAB" w:rsidRPr="006C6F80" w:rsidRDefault="005D2012" w:rsidP="00F77326">
      <w:pPr>
        <w:spacing w:after="200" w:line="480" w:lineRule="auto"/>
        <w:jc w:val="both"/>
        <w:rPr>
          <w:color w:val="000000" w:themeColor="text1"/>
        </w:rPr>
      </w:pPr>
      <w:r w:rsidRPr="006C6F80">
        <w:rPr>
          <w:color w:val="000000" w:themeColor="text1"/>
        </w:rPr>
        <w:t>The rationale behind using historic</w:t>
      </w:r>
      <w:r w:rsidR="009229D3" w:rsidRPr="006C6F80">
        <w:rPr>
          <w:color w:val="000000" w:themeColor="text1"/>
        </w:rPr>
        <w:t>al</w:t>
      </w:r>
      <w:r w:rsidRPr="006C6F80">
        <w:rPr>
          <w:color w:val="000000" w:themeColor="text1"/>
        </w:rPr>
        <w:t xml:space="preserve"> oil prices as a predictor of th</w:t>
      </w:r>
      <w:r w:rsidR="005D598F" w:rsidRPr="006C6F80">
        <w:rPr>
          <w:color w:val="000000" w:themeColor="text1"/>
        </w:rPr>
        <w:t>e migration probability, a</w:t>
      </w:r>
      <w:r w:rsidRPr="006C6F80">
        <w:rPr>
          <w:color w:val="000000" w:themeColor="text1"/>
        </w:rPr>
        <w:t>s argued by Wahba and Zenou (2012)</w:t>
      </w:r>
      <w:r w:rsidR="001816F0" w:rsidRPr="006C6F80">
        <w:rPr>
          <w:color w:val="000000" w:themeColor="text1"/>
        </w:rPr>
        <w:t xml:space="preserve">, is that other Arab countries constitute the most important destination for Egyptian </w:t>
      </w:r>
      <w:r w:rsidR="00322884" w:rsidRPr="006C6F80">
        <w:rPr>
          <w:color w:val="000000" w:themeColor="text1"/>
        </w:rPr>
        <w:t>migrants</w:t>
      </w:r>
      <w:r w:rsidR="001816F0" w:rsidRPr="006C6F80">
        <w:rPr>
          <w:color w:val="000000" w:themeColor="text1"/>
        </w:rPr>
        <w:t xml:space="preserve">, </w:t>
      </w:r>
      <w:r w:rsidR="009229D3" w:rsidRPr="006C6F80">
        <w:rPr>
          <w:color w:val="000000" w:themeColor="text1"/>
        </w:rPr>
        <w:t>and</w:t>
      </w:r>
      <w:r w:rsidR="001816F0" w:rsidRPr="006C6F80">
        <w:rPr>
          <w:color w:val="000000" w:themeColor="text1"/>
        </w:rPr>
        <w:t xml:space="preserve"> oil prices play a crucial role in driving the demand for foreign labor both directly in the </w:t>
      </w:r>
      <w:r w:rsidR="009229D3" w:rsidRPr="006C6F80">
        <w:rPr>
          <w:color w:val="000000" w:themeColor="text1"/>
        </w:rPr>
        <w:t>oil producing</w:t>
      </w:r>
      <w:r w:rsidR="001816F0" w:rsidRPr="006C6F80">
        <w:rPr>
          <w:color w:val="000000" w:themeColor="text1"/>
        </w:rPr>
        <w:t xml:space="preserve"> countries or indirectly, </w:t>
      </w:r>
      <w:r w:rsidR="000F7DAB" w:rsidRPr="006C6F80">
        <w:rPr>
          <w:color w:val="000000" w:themeColor="text1"/>
        </w:rPr>
        <w:t>as replacement workers</w:t>
      </w:r>
      <w:r w:rsidR="009229D3" w:rsidRPr="006C6F80">
        <w:rPr>
          <w:color w:val="000000" w:themeColor="text1"/>
        </w:rPr>
        <w:t>,</w:t>
      </w:r>
      <w:r w:rsidR="000F7DAB" w:rsidRPr="006C6F80">
        <w:rPr>
          <w:color w:val="000000" w:themeColor="text1"/>
        </w:rPr>
        <w:t xml:space="preserve"> </w:t>
      </w:r>
      <w:r w:rsidR="001816F0" w:rsidRPr="006C6F80">
        <w:rPr>
          <w:color w:val="000000" w:themeColor="text1"/>
        </w:rPr>
        <w:t>in non-oil Arab countries.</w:t>
      </w:r>
      <w:r w:rsidR="001816F0" w:rsidRPr="006C6F80">
        <w:rPr>
          <w:rStyle w:val="FootnoteReference"/>
          <w:color w:val="000000" w:themeColor="text1"/>
        </w:rPr>
        <w:footnoteReference w:id="21"/>
      </w:r>
      <w:r w:rsidR="001816F0" w:rsidRPr="006C6F80">
        <w:rPr>
          <w:color w:val="000000" w:themeColor="text1"/>
        </w:rPr>
        <w:t xml:space="preserve"> </w:t>
      </w:r>
      <w:r w:rsidR="00A315BF" w:rsidRPr="006C6F80">
        <w:rPr>
          <w:color w:val="000000" w:themeColor="text1"/>
        </w:rPr>
        <w:t xml:space="preserve">In Figure 1, we present the evolution of inflation-adjusted oil prices and migration patterns from the 1960s to 2010. The share of migrants is derived from the ELMPS (2012), using information on both current and return migrants and the year of migration. This figure shows how the share of migrants varies in response to </w:t>
      </w:r>
      <w:r w:rsidR="00AD1DF2" w:rsidRPr="006C6F80">
        <w:rPr>
          <w:color w:val="000000" w:themeColor="text1"/>
        </w:rPr>
        <w:t xml:space="preserve">fluctuations </w:t>
      </w:r>
      <w:r w:rsidR="009229D3" w:rsidRPr="006C6F80">
        <w:rPr>
          <w:color w:val="000000" w:themeColor="text1"/>
        </w:rPr>
        <w:t xml:space="preserve">in oil prices </w:t>
      </w:r>
      <w:r w:rsidR="00AD1DF2" w:rsidRPr="006C6F80">
        <w:rPr>
          <w:color w:val="000000" w:themeColor="text1"/>
        </w:rPr>
        <w:t>and that t</w:t>
      </w:r>
      <w:r w:rsidR="00A315BF" w:rsidRPr="006C6F80">
        <w:rPr>
          <w:color w:val="000000" w:themeColor="text1"/>
        </w:rPr>
        <w:t xml:space="preserve">he two series are closely correlated and follow the same patterns. </w:t>
      </w:r>
    </w:p>
    <w:p w14:paraId="09CD02FF" w14:textId="5CBEC9BA" w:rsidR="008730FB" w:rsidRPr="006C6F80" w:rsidRDefault="008730FB" w:rsidP="008730FB">
      <w:pPr>
        <w:spacing w:after="200" w:line="480" w:lineRule="auto"/>
        <w:jc w:val="center"/>
        <w:rPr>
          <w:strike/>
          <w:color w:val="000000" w:themeColor="text1"/>
        </w:rPr>
      </w:pPr>
      <w:r w:rsidRPr="006C6F80">
        <w:rPr>
          <w:color w:val="000000" w:themeColor="text1"/>
        </w:rPr>
        <w:t>[Figure 2 here]</w:t>
      </w:r>
    </w:p>
    <w:p w14:paraId="702CD075" w14:textId="528A52D8" w:rsidR="00BB42BC" w:rsidRPr="006C6F80" w:rsidRDefault="00706D2F" w:rsidP="00B132A6">
      <w:pPr>
        <w:spacing w:after="200" w:line="480" w:lineRule="auto"/>
        <w:jc w:val="both"/>
        <w:rPr>
          <w:color w:val="000000" w:themeColor="text1"/>
        </w:rPr>
      </w:pPr>
      <w:r w:rsidRPr="006C6F80">
        <w:rPr>
          <w:color w:val="000000" w:themeColor="text1"/>
        </w:rPr>
        <w:t xml:space="preserve">The exclusion restriction is that oil prices affect occupational mobility only through temporary migration decision. The identifying assumption is that </w:t>
      </w:r>
      <w:r w:rsidR="006C4784" w:rsidRPr="006C6F80">
        <w:rPr>
          <w:color w:val="000000" w:themeColor="text1"/>
        </w:rPr>
        <w:t>controlling for individuals’ first occupations</w:t>
      </w:r>
      <w:r w:rsidR="009229D3" w:rsidRPr="006C6F80">
        <w:rPr>
          <w:color w:val="000000" w:themeColor="text1"/>
        </w:rPr>
        <w:t>,</w:t>
      </w:r>
      <w:r w:rsidR="006C4784" w:rsidRPr="006C6F80">
        <w:rPr>
          <w:color w:val="000000" w:themeColor="text1"/>
        </w:rPr>
        <w:t xml:space="preserve"> </w:t>
      </w:r>
      <w:r w:rsidR="009229D3" w:rsidRPr="006C6F80">
        <w:rPr>
          <w:color w:val="000000" w:themeColor="text1"/>
        </w:rPr>
        <w:t>and</w:t>
      </w:r>
      <w:r w:rsidR="006C4784" w:rsidRPr="006C6F80">
        <w:rPr>
          <w:color w:val="000000" w:themeColor="text1"/>
        </w:rPr>
        <w:t xml:space="preserve"> for the different business cycles </w:t>
      </w:r>
      <w:r w:rsidR="00C4496A" w:rsidRPr="006C6F80">
        <w:rPr>
          <w:color w:val="000000" w:themeColor="text1"/>
        </w:rPr>
        <w:t>of</w:t>
      </w:r>
      <w:r w:rsidR="006C4784" w:rsidRPr="006C6F80">
        <w:rPr>
          <w:color w:val="000000" w:themeColor="text1"/>
        </w:rPr>
        <w:t xml:space="preserve"> Egypt and the oil producing countries, </w:t>
      </w:r>
      <w:r w:rsidRPr="006C6F80">
        <w:rPr>
          <w:color w:val="000000" w:themeColor="text1"/>
        </w:rPr>
        <w:t>oil prices when individuals are aged 26 years old are not correlated with occupations in Egypt</w:t>
      </w:r>
      <w:r w:rsidR="00C4496A" w:rsidRPr="006C6F80">
        <w:rPr>
          <w:color w:val="000000" w:themeColor="text1"/>
        </w:rPr>
        <w:t>, a non-oil</w:t>
      </w:r>
      <w:r w:rsidRPr="006C6F80">
        <w:rPr>
          <w:color w:val="000000" w:themeColor="text1"/>
        </w:rPr>
        <w:t xml:space="preserve"> dependent</w:t>
      </w:r>
      <w:r w:rsidR="00C4496A" w:rsidRPr="006C6F80">
        <w:rPr>
          <w:color w:val="000000" w:themeColor="text1"/>
        </w:rPr>
        <w:t xml:space="preserve"> economy</w:t>
      </w:r>
      <w:r w:rsidRPr="006C6F80">
        <w:rPr>
          <w:color w:val="000000" w:themeColor="text1"/>
        </w:rPr>
        <w:t>.</w:t>
      </w:r>
      <w:r w:rsidR="00BB42BC" w:rsidRPr="006C6F80">
        <w:rPr>
          <w:color w:val="000000" w:themeColor="text1"/>
        </w:rPr>
        <w:t xml:space="preserve"> We show evidence in Figure 2</w:t>
      </w:r>
      <w:r w:rsidR="009229D3" w:rsidRPr="006C6F80">
        <w:rPr>
          <w:color w:val="000000" w:themeColor="text1"/>
        </w:rPr>
        <w:t>,</w:t>
      </w:r>
      <w:r w:rsidR="00BB42BC" w:rsidRPr="006C6F80">
        <w:rPr>
          <w:color w:val="000000" w:themeColor="text1"/>
        </w:rPr>
        <w:t xml:space="preserve"> </w:t>
      </w:r>
      <w:r w:rsidR="001E3A59" w:rsidRPr="006C6F80">
        <w:rPr>
          <w:color w:val="000000" w:themeColor="text1"/>
        </w:rPr>
        <w:t xml:space="preserve">which presents the relationship between oil prices and </w:t>
      </w:r>
      <w:r w:rsidR="001E3A59" w:rsidRPr="006C6F80">
        <w:rPr>
          <w:color w:val="000000" w:themeColor="text1"/>
        </w:rPr>
        <w:lastRenderedPageBreak/>
        <w:t>occupations in Egypt</w:t>
      </w:r>
      <w:r w:rsidR="009229D3" w:rsidRPr="006C6F80">
        <w:rPr>
          <w:color w:val="000000" w:themeColor="text1"/>
        </w:rPr>
        <w:t>,</w:t>
      </w:r>
      <w:r w:rsidR="00BB42BC" w:rsidRPr="006C6F80">
        <w:rPr>
          <w:color w:val="000000" w:themeColor="text1"/>
        </w:rPr>
        <w:t xml:space="preserve"> to support our exclusion restriction</w:t>
      </w:r>
      <w:r w:rsidR="001E3A59" w:rsidRPr="006C6F80">
        <w:rPr>
          <w:color w:val="000000" w:themeColor="text1"/>
        </w:rPr>
        <w:t xml:space="preserve">. </w:t>
      </w:r>
      <w:r w:rsidR="00C4496A" w:rsidRPr="006C6F80">
        <w:rPr>
          <w:color w:val="000000" w:themeColor="text1"/>
        </w:rPr>
        <w:t>To this end, we</w:t>
      </w:r>
      <w:r w:rsidR="001E3A59" w:rsidRPr="006C6F80">
        <w:rPr>
          <w:color w:val="000000" w:themeColor="text1"/>
        </w:rPr>
        <w:t xml:space="preserve"> rely on all the</w:t>
      </w:r>
      <w:r w:rsidR="00BB42BC" w:rsidRPr="006C6F80">
        <w:rPr>
          <w:color w:val="000000" w:themeColor="text1"/>
        </w:rPr>
        <w:t xml:space="preserve"> available</w:t>
      </w:r>
      <w:r w:rsidR="001E3A59" w:rsidRPr="006C6F80">
        <w:rPr>
          <w:color w:val="000000" w:themeColor="text1"/>
        </w:rPr>
        <w:t xml:space="preserve"> ELMPS survey rounds and examine the </w:t>
      </w:r>
      <w:r w:rsidR="00F773C3" w:rsidRPr="006C6F80">
        <w:rPr>
          <w:color w:val="000000" w:themeColor="text1"/>
        </w:rPr>
        <w:t>correlation between</w:t>
      </w:r>
      <w:r w:rsidR="001E3A59" w:rsidRPr="006C6F80">
        <w:rPr>
          <w:color w:val="000000" w:themeColor="text1"/>
        </w:rPr>
        <w:t xml:space="preserve"> oil prices</w:t>
      </w:r>
      <w:r w:rsidR="00F773C3" w:rsidRPr="006C6F80">
        <w:rPr>
          <w:color w:val="000000" w:themeColor="text1"/>
        </w:rPr>
        <w:t>,</w:t>
      </w:r>
      <w:r w:rsidR="001E3A59" w:rsidRPr="006C6F80">
        <w:rPr>
          <w:color w:val="000000" w:themeColor="text1"/>
        </w:rPr>
        <w:t xml:space="preserve"> over the course of 30 years between 1988 and 2018</w:t>
      </w:r>
      <w:r w:rsidR="00567693" w:rsidRPr="006C6F80">
        <w:rPr>
          <w:color w:val="000000" w:themeColor="text1"/>
        </w:rPr>
        <w:t>,</w:t>
      </w:r>
      <w:r w:rsidR="001E3A59" w:rsidRPr="006C6F80">
        <w:rPr>
          <w:color w:val="000000" w:themeColor="text1"/>
        </w:rPr>
        <w:t xml:space="preserve"> and the occupational distribution of Egyptian men aged between 15 and 59 years old. Indeed, this figure </w:t>
      </w:r>
      <w:r w:rsidR="00E11040" w:rsidRPr="006C6F80">
        <w:rPr>
          <w:color w:val="000000" w:themeColor="text1"/>
        </w:rPr>
        <w:t xml:space="preserve">shows </w:t>
      </w:r>
      <w:r w:rsidR="001E3A59" w:rsidRPr="006C6F80">
        <w:rPr>
          <w:color w:val="000000" w:themeColor="text1"/>
        </w:rPr>
        <w:t xml:space="preserve">no association between oil prices and the occupational distribution in Egypt, in both stocks and flows. This figure </w:t>
      </w:r>
      <w:r w:rsidR="00E11040" w:rsidRPr="006C6F80">
        <w:rPr>
          <w:color w:val="000000" w:themeColor="text1"/>
        </w:rPr>
        <w:t>displays</w:t>
      </w:r>
      <w:r w:rsidR="001E3A59" w:rsidRPr="006C6F80">
        <w:rPr>
          <w:color w:val="000000" w:themeColor="text1"/>
        </w:rPr>
        <w:t xml:space="preserve"> no discern</w:t>
      </w:r>
      <w:r w:rsidR="00263EB4" w:rsidRPr="006C6F80">
        <w:rPr>
          <w:color w:val="000000" w:themeColor="text1"/>
        </w:rPr>
        <w:t>i</w:t>
      </w:r>
      <w:r w:rsidR="001E3A59" w:rsidRPr="006C6F80">
        <w:rPr>
          <w:color w:val="000000" w:themeColor="text1"/>
        </w:rPr>
        <w:t>ble changes in men’s occupational distribution in relation to oil price fluctuation</w:t>
      </w:r>
      <w:r w:rsidR="00C4496A" w:rsidRPr="006C6F80">
        <w:rPr>
          <w:color w:val="000000" w:themeColor="text1"/>
        </w:rPr>
        <w:t>s</w:t>
      </w:r>
      <w:r w:rsidR="001E3A59" w:rsidRPr="006C6F80">
        <w:rPr>
          <w:color w:val="000000" w:themeColor="text1"/>
        </w:rPr>
        <w:t>.</w:t>
      </w:r>
      <w:r w:rsidR="00A13F5D" w:rsidRPr="006C6F80">
        <w:rPr>
          <w:color w:val="000000" w:themeColor="text1"/>
        </w:rPr>
        <w:t xml:space="preserve"> </w:t>
      </w:r>
      <w:r w:rsidR="00E54A3C" w:rsidRPr="006C6F80">
        <w:rPr>
          <w:color w:val="000000" w:themeColor="text1"/>
        </w:rPr>
        <w:t>Finally, i</w:t>
      </w:r>
      <w:r w:rsidR="00A13F5D" w:rsidRPr="006C6F80">
        <w:rPr>
          <w:color w:val="000000" w:themeColor="text1"/>
        </w:rPr>
        <w:t xml:space="preserve">t </w:t>
      </w:r>
      <w:r w:rsidR="00E54A3C" w:rsidRPr="006C6F80">
        <w:rPr>
          <w:color w:val="000000" w:themeColor="text1"/>
        </w:rPr>
        <w:t>is</w:t>
      </w:r>
      <w:r w:rsidR="00A13F5D" w:rsidRPr="006C6F80">
        <w:rPr>
          <w:color w:val="000000" w:themeColor="text1"/>
        </w:rPr>
        <w:t xml:space="preserve"> important to note that we consider individuals born in the 1960s and that oil prices at the age 26 </w:t>
      </w:r>
      <w:r w:rsidR="00E11040" w:rsidRPr="006C6F80">
        <w:rPr>
          <w:color w:val="000000" w:themeColor="text1"/>
        </w:rPr>
        <w:t xml:space="preserve">are </w:t>
      </w:r>
      <w:r w:rsidR="00A13F5D" w:rsidRPr="006C6F80">
        <w:rPr>
          <w:color w:val="000000" w:themeColor="text1"/>
        </w:rPr>
        <w:t>unlikely to be correlated with occupations in Egypt in 2010, when individuals are aged between 4</w:t>
      </w:r>
      <w:r w:rsidR="004F6F1E" w:rsidRPr="006C6F80">
        <w:rPr>
          <w:color w:val="000000" w:themeColor="text1"/>
        </w:rPr>
        <w:t>0</w:t>
      </w:r>
      <w:r w:rsidR="00A13F5D" w:rsidRPr="006C6F80">
        <w:rPr>
          <w:color w:val="000000" w:themeColor="text1"/>
        </w:rPr>
        <w:t xml:space="preserve"> and 5</w:t>
      </w:r>
      <w:r w:rsidR="004F6F1E" w:rsidRPr="006C6F80">
        <w:rPr>
          <w:color w:val="000000" w:themeColor="text1"/>
        </w:rPr>
        <w:t>0</w:t>
      </w:r>
      <w:r w:rsidR="00A13F5D" w:rsidRPr="006C6F80">
        <w:rPr>
          <w:color w:val="000000" w:themeColor="text1"/>
        </w:rPr>
        <w:t xml:space="preserve"> years old</w:t>
      </w:r>
      <w:r w:rsidR="00954D35" w:rsidRPr="006C6F80">
        <w:rPr>
          <w:color w:val="000000" w:themeColor="text1"/>
        </w:rPr>
        <w:t>.</w:t>
      </w:r>
      <w:r w:rsidR="00954D35" w:rsidRPr="006C6F80">
        <w:rPr>
          <w:rStyle w:val="FootnoteReference"/>
          <w:color w:val="000000" w:themeColor="text1"/>
        </w:rPr>
        <w:footnoteReference w:id="22"/>
      </w:r>
      <w:r w:rsidR="00BB42BC" w:rsidRPr="006C6F80">
        <w:rPr>
          <w:color w:val="000000" w:themeColor="text1"/>
        </w:rPr>
        <w:t xml:space="preserve"> </w:t>
      </w:r>
    </w:p>
    <w:p w14:paraId="2EFC3E04" w14:textId="41B770DE" w:rsidR="00706D2F" w:rsidRPr="006C6F80" w:rsidRDefault="00BB42BC" w:rsidP="00B132A6">
      <w:pPr>
        <w:spacing w:after="200" w:line="480" w:lineRule="auto"/>
        <w:jc w:val="both"/>
        <w:rPr>
          <w:color w:val="000000" w:themeColor="text1"/>
        </w:rPr>
      </w:pPr>
      <w:r w:rsidRPr="006C6F80">
        <w:rPr>
          <w:color w:val="000000" w:themeColor="text1"/>
        </w:rPr>
        <w:t xml:space="preserve">In Figure A1 in the Online Appendix, we </w:t>
      </w:r>
      <w:r w:rsidR="00EE129F" w:rsidRPr="006C6F80">
        <w:rPr>
          <w:color w:val="000000" w:themeColor="text1"/>
        </w:rPr>
        <w:t xml:space="preserve">also </w:t>
      </w:r>
      <w:r w:rsidRPr="006C6F80">
        <w:rPr>
          <w:color w:val="000000" w:themeColor="text1"/>
        </w:rPr>
        <w:t>present oil prices against key aggregate economic indicators in Egypt</w:t>
      </w:r>
      <w:r w:rsidR="009229D3" w:rsidRPr="006C6F80">
        <w:rPr>
          <w:color w:val="000000" w:themeColor="text1"/>
        </w:rPr>
        <w:t>,</w:t>
      </w:r>
      <w:r w:rsidRPr="006C6F80">
        <w:rPr>
          <w:color w:val="000000" w:themeColor="text1"/>
        </w:rPr>
        <w:t xml:space="preserve"> including GDP annual growth rate, male labor force participation rate, male employment in agriculture (% of total male employment), male employment in industry (% of total male employment) and male employment in services (% of total male employment).</w:t>
      </w:r>
      <w:r w:rsidRPr="006C6F80">
        <w:rPr>
          <w:rStyle w:val="FootnoteReference"/>
          <w:color w:val="000000" w:themeColor="text1"/>
        </w:rPr>
        <w:footnoteReference w:id="23"/>
      </w:r>
      <w:r w:rsidRPr="006C6F80">
        <w:rPr>
          <w:color w:val="000000" w:themeColor="text1"/>
        </w:rPr>
        <w:t xml:space="preserve"> This figure shows that key economic labor market indicators in Egypt are irresponsive to oil prices and do not seem to be affected by oil price fluctuations, providing</w:t>
      </w:r>
      <w:r w:rsidR="00EE129F" w:rsidRPr="006C6F80">
        <w:rPr>
          <w:color w:val="000000" w:themeColor="text1"/>
        </w:rPr>
        <w:t xml:space="preserve"> additional</w:t>
      </w:r>
      <w:r w:rsidRPr="006C6F80">
        <w:rPr>
          <w:color w:val="000000" w:themeColor="text1"/>
        </w:rPr>
        <w:t xml:space="preserve"> support </w:t>
      </w:r>
      <w:r w:rsidR="00C4496A" w:rsidRPr="006C6F80">
        <w:rPr>
          <w:color w:val="000000" w:themeColor="text1"/>
        </w:rPr>
        <w:t>for</w:t>
      </w:r>
      <w:r w:rsidRPr="006C6F80">
        <w:rPr>
          <w:color w:val="000000" w:themeColor="text1"/>
        </w:rPr>
        <w:t xml:space="preserve"> our exclusion restriction. </w:t>
      </w:r>
    </w:p>
    <w:p w14:paraId="3571BDA1" w14:textId="43FE44F6" w:rsidR="001B4AE1" w:rsidRPr="006C6F80" w:rsidRDefault="001B4AE1" w:rsidP="001B4AE1">
      <w:pPr>
        <w:spacing w:after="200" w:line="480" w:lineRule="auto"/>
        <w:jc w:val="center"/>
        <w:rPr>
          <w:color w:val="000000" w:themeColor="text1"/>
        </w:rPr>
      </w:pPr>
      <w:r w:rsidRPr="006C6F80">
        <w:rPr>
          <w:color w:val="000000" w:themeColor="text1"/>
        </w:rPr>
        <w:t>[Table 3 here]</w:t>
      </w:r>
    </w:p>
    <w:p w14:paraId="043A4F15" w14:textId="5B67D4EA" w:rsidR="00F44283" w:rsidRPr="006C6F80" w:rsidRDefault="00E05F61" w:rsidP="00F77326">
      <w:pPr>
        <w:spacing w:after="200" w:line="480" w:lineRule="auto"/>
        <w:jc w:val="both"/>
        <w:rPr>
          <w:color w:val="000000" w:themeColor="text1"/>
        </w:rPr>
      </w:pPr>
      <w:r w:rsidRPr="006C6F80">
        <w:rPr>
          <w:color w:val="000000" w:themeColor="text1"/>
        </w:rPr>
        <w:t>In Table 3</w:t>
      </w:r>
      <w:r w:rsidR="00AD1DF2" w:rsidRPr="006C6F80">
        <w:rPr>
          <w:color w:val="000000" w:themeColor="text1"/>
        </w:rPr>
        <w:t>, we report f</w:t>
      </w:r>
      <w:r w:rsidR="00A74999" w:rsidRPr="006C6F80">
        <w:rPr>
          <w:color w:val="000000" w:themeColor="text1"/>
        </w:rPr>
        <w:t>irst stage regressions for the 19</w:t>
      </w:r>
      <w:r w:rsidR="00BA5A18" w:rsidRPr="006C6F80">
        <w:rPr>
          <w:color w:val="000000" w:themeColor="text1"/>
        </w:rPr>
        <w:t>6</w:t>
      </w:r>
      <w:r w:rsidR="00A74999" w:rsidRPr="006C6F80">
        <w:rPr>
          <w:color w:val="000000" w:themeColor="text1"/>
        </w:rPr>
        <w:t xml:space="preserve">0s cohort. </w:t>
      </w:r>
      <w:r w:rsidR="002307D6" w:rsidRPr="006C6F80">
        <w:rPr>
          <w:color w:val="000000" w:themeColor="text1"/>
        </w:rPr>
        <w:t>We</w:t>
      </w:r>
      <w:r w:rsidR="00A74999" w:rsidRPr="006C6F80">
        <w:rPr>
          <w:color w:val="000000" w:themeColor="text1"/>
        </w:rPr>
        <w:t xml:space="preserve"> match the inflation-adjusted oil prices </w:t>
      </w:r>
      <w:r w:rsidR="005E4506" w:rsidRPr="006C6F80">
        <w:rPr>
          <w:color w:val="000000" w:themeColor="text1"/>
        </w:rPr>
        <w:t>with</w:t>
      </w:r>
      <w:r w:rsidR="00A74999" w:rsidRPr="006C6F80">
        <w:rPr>
          <w:color w:val="000000" w:themeColor="text1"/>
        </w:rPr>
        <w:t xml:space="preserve"> </w:t>
      </w:r>
      <w:r w:rsidR="002E1C69" w:rsidRPr="006C6F80">
        <w:rPr>
          <w:color w:val="000000" w:themeColor="text1"/>
        </w:rPr>
        <w:t xml:space="preserve">the mean age at migration </w:t>
      </w:r>
      <w:r w:rsidR="002307D6" w:rsidRPr="006C6F80">
        <w:rPr>
          <w:color w:val="000000" w:themeColor="text1"/>
        </w:rPr>
        <w:t>f</w:t>
      </w:r>
      <w:r w:rsidR="002E1C69" w:rsidRPr="006C6F80">
        <w:rPr>
          <w:color w:val="000000" w:themeColor="text1"/>
        </w:rPr>
        <w:t>or</w:t>
      </w:r>
      <w:r w:rsidR="002307D6" w:rsidRPr="006C6F80">
        <w:rPr>
          <w:color w:val="000000" w:themeColor="text1"/>
        </w:rPr>
        <w:t xml:space="preserve"> our sample</w:t>
      </w:r>
      <w:r w:rsidR="00567693" w:rsidRPr="006C6F80">
        <w:rPr>
          <w:color w:val="000000" w:themeColor="text1"/>
        </w:rPr>
        <w:t xml:space="preserve"> (26 years of age)</w:t>
      </w:r>
      <w:r w:rsidR="002307D6" w:rsidRPr="006C6F80">
        <w:rPr>
          <w:color w:val="000000" w:themeColor="text1"/>
        </w:rPr>
        <w:t xml:space="preserve">, but also use </w:t>
      </w:r>
      <w:r w:rsidR="00A74999" w:rsidRPr="006C6F80">
        <w:rPr>
          <w:color w:val="000000" w:themeColor="text1"/>
        </w:rPr>
        <w:t>one year below and one year above</w:t>
      </w:r>
      <w:r w:rsidR="002307D6" w:rsidRPr="006C6F80">
        <w:rPr>
          <w:color w:val="000000" w:themeColor="text1"/>
        </w:rPr>
        <w:t xml:space="preserve"> the mean age for robustness</w:t>
      </w:r>
      <w:r w:rsidR="00A74999" w:rsidRPr="006C6F80">
        <w:rPr>
          <w:color w:val="000000" w:themeColor="text1"/>
        </w:rPr>
        <w:t>.</w:t>
      </w:r>
      <w:r w:rsidR="000154BC" w:rsidRPr="006C6F80">
        <w:rPr>
          <w:color w:val="000000" w:themeColor="text1"/>
        </w:rPr>
        <w:t xml:space="preserve"> </w:t>
      </w:r>
      <w:r w:rsidR="00A74999" w:rsidRPr="006C6F80">
        <w:rPr>
          <w:color w:val="000000" w:themeColor="text1"/>
        </w:rPr>
        <w:t xml:space="preserve">Our </w:t>
      </w:r>
      <w:r w:rsidR="00EC3A55" w:rsidRPr="006C6F80">
        <w:rPr>
          <w:color w:val="000000" w:themeColor="text1"/>
        </w:rPr>
        <w:t xml:space="preserve">first stage </w:t>
      </w:r>
      <w:r w:rsidR="00A74999" w:rsidRPr="006C6F80">
        <w:rPr>
          <w:color w:val="000000" w:themeColor="text1"/>
        </w:rPr>
        <w:t xml:space="preserve">results </w:t>
      </w:r>
      <w:r w:rsidR="00EC3A55" w:rsidRPr="006C6F80">
        <w:rPr>
          <w:color w:val="000000" w:themeColor="text1"/>
        </w:rPr>
        <w:t>show that</w:t>
      </w:r>
      <w:r w:rsidR="00A74999" w:rsidRPr="006C6F80">
        <w:rPr>
          <w:color w:val="000000" w:themeColor="text1"/>
        </w:rPr>
        <w:t xml:space="preserve"> our </w:t>
      </w:r>
      <w:r w:rsidR="00A74999" w:rsidRPr="006C6F80">
        <w:rPr>
          <w:color w:val="000000" w:themeColor="text1"/>
        </w:rPr>
        <w:lastRenderedPageBreak/>
        <w:t>instrument is well correlated with the endogen</w:t>
      </w:r>
      <w:r w:rsidR="000C51B5" w:rsidRPr="006C6F80">
        <w:rPr>
          <w:color w:val="000000" w:themeColor="text1"/>
        </w:rPr>
        <w:t>ous variable</w:t>
      </w:r>
      <w:r w:rsidR="00A74999" w:rsidRPr="006C6F80">
        <w:rPr>
          <w:color w:val="000000" w:themeColor="text1"/>
        </w:rPr>
        <w:t xml:space="preserve">. </w:t>
      </w:r>
      <w:r w:rsidR="00BD64BC" w:rsidRPr="006C6F80">
        <w:rPr>
          <w:color w:val="000000" w:themeColor="text1"/>
        </w:rPr>
        <w:t>On</w:t>
      </w:r>
      <w:r w:rsidR="006C6931" w:rsidRPr="006C6F80">
        <w:rPr>
          <w:color w:val="000000" w:themeColor="text1"/>
        </w:rPr>
        <w:t xml:space="preserve"> average, we find that </w:t>
      </w:r>
      <w:r w:rsidR="00A8534C" w:rsidRPr="006C6F80">
        <w:rPr>
          <w:color w:val="000000" w:themeColor="text1"/>
        </w:rPr>
        <w:t>one</w:t>
      </w:r>
      <w:r w:rsidR="00527BD5" w:rsidRPr="006C6F80">
        <w:rPr>
          <w:color w:val="000000" w:themeColor="text1"/>
        </w:rPr>
        <w:t xml:space="preserve"> </w:t>
      </w:r>
      <w:r w:rsidR="00A8534C" w:rsidRPr="006C6F80">
        <w:rPr>
          <w:color w:val="000000" w:themeColor="text1"/>
        </w:rPr>
        <w:t>dollar</w:t>
      </w:r>
      <w:r w:rsidR="006C6931" w:rsidRPr="006C6F80">
        <w:rPr>
          <w:color w:val="000000" w:themeColor="text1"/>
        </w:rPr>
        <w:t xml:space="preserve"> </w:t>
      </w:r>
      <w:r w:rsidR="00C4496A" w:rsidRPr="006C6F80">
        <w:rPr>
          <w:color w:val="000000" w:themeColor="text1"/>
        </w:rPr>
        <w:t>rise</w:t>
      </w:r>
      <w:r w:rsidR="006C6931" w:rsidRPr="006C6F80">
        <w:rPr>
          <w:color w:val="000000" w:themeColor="text1"/>
        </w:rPr>
        <w:t xml:space="preserve"> in the price of oil increases the probability of </w:t>
      </w:r>
      <w:r w:rsidR="00A8534C" w:rsidRPr="006C6F80">
        <w:rPr>
          <w:color w:val="000000" w:themeColor="text1"/>
        </w:rPr>
        <w:t>being a returnee</w:t>
      </w:r>
      <w:r w:rsidR="00A047D1" w:rsidRPr="006C6F80">
        <w:rPr>
          <w:color w:val="000000" w:themeColor="text1"/>
        </w:rPr>
        <w:t xml:space="preserve"> </w:t>
      </w:r>
      <w:r w:rsidR="006C6931" w:rsidRPr="006C6F80">
        <w:rPr>
          <w:color w:val="000000" w:themeColor="text1"/>
        </w:rPr>
        <w:t>by</w:t>
      </w:r>
      <w:r w:rsidR="00323780" w:rsidRPr="006C6F80">
        <w:rPr>
          <w:color w:val="000000" w:themeColor="text1"/>
        </w:rPr>
        <w:t xml:space="preserve"> 3</w:t>
      </w:r>
      <w:r w:rsidR="006C6931" w:rsidRPr="006C6F80">
        <w:rPr>
          <w:color w:val="000000" w:themeColor="text1"/>
        </w:rPr>
        <w:t xml:space="preserve"> percentage points.</w:t>
      </w:r>
      <w:r w:rsidR="009122C7" w:rsidRPr="006C6F80">
        <w:rPr>
          <w:color w:val="000000" w:themeColor="text1"/>
        </w:rPr>
        <w:t xml:space="preserve"> </w:t>
      </w:r>
      <w:r w:rsidR="003E39D1" w:rsidRPr="006C6F80">
        <w:rPr>
          <w:color w:val="000000" w:themeColor="text1"/>
        </w:rPr>
        <w:t>W</w:t>
      </w:r>
      <w:r w:rsidR="0081646E" w:rsidRPr="006C6F80">
        <w:rPr>
          <w:color w:val="000000" w:themeColor="text1"/>
        </w:rPr>
        <w:t xml:space="preserve">e </w:t>
      </w:r>
      <w:r w:rsidR="003E39D1" w:rsidRPr="006C6F80">
        <w:rPr>
          <w:color w:val="000000" w:themeColor="text1"/>
        </w:rPr>
        <w:t xml:space="preserve">also </w:t>
      </w:r>
      <w:r w:rsidR="0081646E" w:rsidRPr="006C6F80">
        <w:rPr>
          <w:color w:val="000000" w:themeColor="text1"/>
        </w:rPr>
        <w:t xml:space="preserve">check the robustness of our </w:t>
      </w:r>
      <w:r w:rsidR="003E39D1" w:rsidRPr="006C6F80">
        <w:rPr>
          <w:color w:val="000000" w:themeColor="text1"/>
        </w:rPr>
        <w:t xml:space="preserve">IV (real oil prices) </w:t>
      </w:r>
      <w:r w:rsidR="007510C1" w:rsidRPr="006C6F80">
        <w:rPr>
          <w:color w:val="000000" w:themeColor="text1"/>
        </w:rPr>
        <w:t>when we</w:t>
      </w:r>
      <w:r w:rsidR="00965F55" w:rsidRPr="006C6F80">
        <w:rPr>
          <w:color w:val="000000" w:themeColor="text1"/>
        </w:rPr>
        <w:t xml:space="preserve"> account for within community correlation, by clustering our regressions at the community</w:t>
      </w:r>
      <w:r w:rsidR="00BB1550" w:rsidRPr="006C6F80">
        <w:rPr>
          <w:color w:val="000000" w:themeColor="text1"/>
        </w:rPr>
        <w:t xml:space="preserve"> (</w:t>
      </w:r>
      <w:r w:rsidR="00BB1550" w:rsidRPr="006C6F80">
        <w:rPr>
          <w:i/>
          <w:color w:val="000000" w:themeColor="text1"/>
        </w:rPr>
        <w:t>shyakha</w:t>
      </w:r>
      <w:r w:rsidR="00BB1550" w:rsidRPr="006C6F80">
        <w:rPr>
          <w:color w:val="000000" w:themeColor="text1"/>
        </w:rPr>
        <w:t>)</w:t>
      </w:r>
      <w:r w:rsidR="00965F55" w:rsidRPr="006C6F80">
        <w:rPr>
          <w:color w:val="000000" w:themeColor="text1"/>
        </w:rPr>
        <w:t xml:space="preserve"> level</w:t>
      </w:r>
      <w:r w:rsidR="00E772AD" w:rsidRPr="006C6F80">
        <w:rPr>
          <w:color w:val="000000" w:themeColor="text1"/>
        </w:rPr>
        <w:t>, which corresponds to the smallest administrative unit in Egypt</w:t>
      </w:r>
      <w:r w:rsidR="00965F55" w:rsidRPr="006C6F80">
        <w:rPr>
          <w:color w:val="000000" w:themeColor="text1"/>
        </w:rPr>
        <w:t>.</w:t>
      </w:r>
      <w:r w:rsidR="0023789C" w:rsidRPr="006C6F80">
        <w:rPr>
          <w:rStyle w:val="FootnoteReference"/>
          <w:color w:val="000000" w:themeColor="text1"/>
        </w:rPr>
        <w:footnoteReference w:id="24"/>
      </w:r>
      <w:r w:rsidR="00965F55" w:rsidRPr="006C6F80">
        <w:rPr>
          <w:color w:val="000000" w:themeColor="text1"/>
        </w:rPr>
        <w:t xml:space="preserve"> Additionally, we account for common shocks across individuals with </w:t>
      </w:r>
      <w:r w:rsidR="00415D15" w:rsidRPr="006C6F80">
        <w:rPr>
          <w:color w:val="000000" w:themeColor="text1"/>
        </w:rPr>
        <w:t xml:space="preserve">the </w:t>
      </w:r>
      <w:r w:rsidR="00965F55" w:rsidRPr="006C6F80">
        <w:rPr>
          <w:color w:val="000000" w:themeColor="text1"/>
        </w:rPr>
        <w:t>same year of birth, and hence similar values of oil prices</w:t>
      </w:r>
      <w:r w:rsidR="00C4496A" w:rsidRPr="006C6F80">
        <w:rPr>
          <w:color w:val="000000" w:themeColor="text1"/>
        </w:rPr>
        <w:t>,</w:t>
      </w:r>
      <w:r w:rsidR="00965F55" w:rsidRPr="006C6F80">
        <w:rPr>
          <w:color w:val="000000" w:themeColor="text1"/>
        </w:rPr>
        <w:t xml:space="preserve"> by clustering our regression</w:t>
      </w:r>
      <w:r w:rsidR="00EF6D11" w:rsidRPr="006C6F80">
        <w:rPr>
          <w:color w:val="000000" w:themeColor="text1"/>
        </w:rPr>
        <w:t xml:space="preserve">s by year of birth. </w:t>
      </w:r>
      <w:r w:rsidR="003E39D1" w:rsidRPr="006C6F80">
        <w:rPr>
          <w:color w:val="000000" w:themeColor="text1"/>
        </w:rPr>
        <w:t>Table A2 in the Online Appendix show</w:t>
      </w:r>
      <w:r w:rsidR="007510C1" w:rsidRPr="006C6F80">
        <w:rPr>
          <w:color w:val="000000" w:themeColor="text1"/>
        </w:rPr>
        <w:t>s</w:t>
      </w:r>
      <w:r w:rsidR="003E39D1" w:rsidRPr="006C6F80">
        <w:rPr>
          <w:color w:val="000000" w:themeColor="text1"/>
        </w:rPr>
        <w:t xml:space="preserve"> the first stage regressions using these different clustering</w:t>
      </w:r>
      <w:r w:rsidR="007347A0" w:rsidRPr="006C6F80">
        <w:rPr>
          <w:color w:val="000000" w:themeColor="text1"/>
        </w:rPr>
        <w:t xml:space="preserve"> techniques</w:t>
      </w:r>
      <w:r w:rsidR="007510C1" w:rsidRPr="006C6F80">
        <w:rPr>
          <w:color w:val="000000" w:themeColor="text1"/>
        </w:rPr>
        <w:t xml:space="preserve">. </w:t>
      </w:r>
      <w:r w:rsidR="0098146F" w:rsidRPr="006C6F80">
        <w:rPr>
          <w:color w:val="000000" w:themeColor="text1"/>
        </w:rPr>
        <w:t>These r</w:t>
      </w:r>
      <w:r w:rsidR="00965F55" w:rsidRPr="006C6F80">
        <w:rPr>
          <w:color w:val="000000" w:themeColor="text1"/>
        </w:rPr>
        <w:t>e</w:t>
      </w:r>
      <w:r w:rsidR="000154BC" w:rsidRPr="006C6F80">
        <w:rPr>
          <w:color w:val="000000" w:themeColor="text1"/>
        </w:rPr>
        <w:t xml:space="preserve">sults are </w:t>
      </w:r>
      <w:r w:rsidR="00323780" w:rsidRPr="006C6F80">
        <w:rPr>
          <w:color w:val="000000" w:themeColor="text1"/>
        </w:rPr>
        <w:t xml:space="preserve">robust and </w:t>
      </w:r>
      <w:r w:rsidR="000154BC" w:rsidRPr="006C6F80">
        <w:rPr>
          <w:color w:val="000000" w:themeColor="text1"/>
        </w:rPr>
        <w:t>consistent with</w:t>
      </w:r>
      <w:r w:rsidR="00C4496A" w:rsidRPr="006C6F80">
        <w:rPr>
          <w:color w:val="000000" w:themeColor="text1"/>
        </w:rPr>
        <w:t xml:space="preserve"> the</w:t>
      </w:r>
      <w:r w:rsidR="000154BC" w:rsidRPr="006C6F80">
        <w:rPr>
          <w:color w:val="000000" w:themeColor="text1"/>
        </w:rPr>
        <w:t xml:space="preserve"> first</w:t>
      </w:r>
      <w:r w:rsidR="001108FF" w:rsidRPr="006C6F80">
        <w:rPr>
          <w:color w:val="000000" w:themeColor="text1"/>
        </w:rPr>
        <w:t xml:space="preserve"> </w:t>
      </w:r>
      <w:r w:rsidR="00965F55" w:rsidRPr="006C6F80">
        <w:rPr>
          <w:color w:val="000000" w:themeColor="text1"/>
        </w:rPr>
        <w:t>stage regression</w:t>
      </w:r>
      <w:r w:rsidR="000154BC" w:rsidRPr="006C6F80">
        <w:rPr>
          <w:color w:val="000000" w:themeColor="text1"/>
        </w:rPr>
        <w:t xml:space="preserve">s in Table </w:t>
      </w:r>
      <w:r w:rsidRPr="006C6F80">
        <w:rPr>
          <w:color w:val="000000" w:themeColor="text1"/>
        </w:rPr>
        <w:t>3</w:t>
      </w:r>
      <w:r w:rsidR="00965F55" w:rsidRPr="006C6F80">
        <w:rPr>
          <w:color w:val="000000" w:themeColor="text1"/>
        </w:rPr>
        <w:t xml:space="preserve">. </w:t>
      </w:r>
    </w:p>
    <w:p w14:paraId="4DD5C59D" w14:textId="78D45F42" w:rsidR="0012217A" w:rsidRPr="006C6F80" w:rsidRDefault="00A36E13" w:rsidP="00F77326">
      <w:pPr>
        <w:pStyle w:val="ListParagraph"/>
        <w:numPr>
          <w:ilvl w:val="0"/>
          <w:numId w:val="10"/>
        </w:numPr>
        <w:spacing w:line="480" w:lineRule="auto"/>
        <w:jc w:val="both"/>
        <w:rPr>
          <w:rFonts w:ascii="Times New Roman" w:hAnsi="Times New Roman" w:cs="Times New Roman"/>
          <w:b/>
          <w:bCs/>
          <w:color w:val="000000" w:themeColor="text1"/>
          <w:sz w:val="24"/>
          <w:szCs w:val="24"/>
          <w:lang w:val="en-US"/>
        </w:rPr>
      </w:pPr>
      <w:r w:rsidRPr="006C6F80">
        <w:rPr>
          <w:rFonts w:ascii="Times New Roman" w:hAnsi="Times New Roman" w:cs="Times New Roman"/>
          <w:b/>
          <w:bCs/>
          <w:color w:val="000000" w:themeColor="text1"/>
          <w:sz w:val="24"/>
          <w:szCs w:val="24"/>
          <w:lang w:val="en-US"/>
        </w:rPr>
        <w:t>Empirical Findings</w:t>
      </w:r>
    </w:p>
    <w:p w14:paraId="6E9DC7A1" w14:textId="670FDE50" w:rsidR="00D41D6B" w:rsidRPr="006C6F80" w:rsidRDefault="00834C1B" w:rsidP="00B132A6">
      <w:pPr>
        <w:pStyle w:val="ListParagraph"/>
        <w:numPr>
          <w:ilvl w:val="1"/>
          <w:numId w:val="10"/>
        </w:numPr>
        <w:spacing w:line="480" w:lineRule="auto"/>
        <w:jc w:val="both"/>
        <w:rPr>
          <w:rFonts w:ascii="Times New Roman" w:hAnsi="Times New Roman" w:cs="Times New Roman"/>
          <w:b/>
          <w:bCs/>
          <w:color w:val="000000" w:themeColor="text1"/>
          <w:sz w:val="24"/>
          <w:szCs w:val="24"/>
          <w:lang w:val="en-US"/>
        </w:rPr>
      </w:pPr>
      <w:r w:rsidRPr="006C6F80">
        <w:rPr>
          <w:rFonts w:ascii="Times New Roman" w:hAnsi="Times New Roman" w:cs="Times New Roman"/>
          <w:b/>
          <w:bCs/>
          <w:color w:val="000000" w:themeColor="text1"/>
          <w:sz w:val="24"/>
          <w:szCs w:val="24"/>
          <w:lang w:val="en-US"/>
        </w:rPr>
        <w:t>Does return migration lead to occupational upgrading?</w:t>
      </w:r>
    </w:p>
    <w:p w14:paraId="320EF9FB" w14:textId="74D8BBAB" w:rsidR="001B4AE1" w:rsidRPr="006C6F80" w:rsidRDefault="001B4AE1" w:rsidP="001B4AE1">
      <w:pPr>
        <w:spacing w:after="200" w:line="480" w:lineRule="auto"/>
        <w:jc w:val="center"/>
        <w:rPr>
          <w:color w:val="000000" w:themeColor="text1"/>
        </w:rPr>
      </w:pPr>
      <w:r w:rsidRPr="006C6F80">
        <w:rPr>
          <w:color w:val="000000" w:themeColor="text1"/>
        </w:rPr>
        <w:t>[Table 4 here]</w:t>
      </w:r>
    </w:p>
    <w:p w14:paraId="606D2DC7" w14:textId="0CA85D46" w:rsidR="008567DF" w:rsidRPr="006C6F80" w:rsidRDefault="000A4FBE" w:rsidP="00F77326">
      <w:pPr>
        <w:spacing w:after="200" w:line="480" w:lineRule="auto"/>
        <w:jc w:val="both"/>
        <w:rPr>
          <w:color w:val="000000" w:themeColor="text1"/>
        </w:rPr>
      </w:pPr>
      <w:r w:rsidRPr="006C6F80">
        <w:rPr>
          <w:color w:val="000000" w:themeColor="text1"/>
        </w:rPr>
        <w:t xml:space="preserve">We estimate the effect of return migration on upward occupational mobility relying on the 1960s birth cohort. </w:t>
      </w:r>
      <w:r w:rsidR="00AC2AB1" w:rsidRPr="006C6F80">
        <w:rPr>
          <w:color w:val="000000" w:themeColor="text1"/>
        </w:rPr>
        <w:t xml:space="preserve">In Table </w:t>
      </w:r>
      <w:r w:rsidR="001D2170" w:rsidRPr="006C6F80">
        <w:rPr>
          <w:color w:val="000000" w:themeColor="text1"/>
        </w:rPr>
        <w:t>4</w:t>
      </w:r>
      <w:r w:rsidR="00AC2AB1" w:rsidRPr="006C6F80">
        <w:rPr>
          <w:color w:val="000000" w:themeColor="text1"/>
        </w:rPr>
        <w:t xml:space="preserve">, we estimate Equation 1 using </w:t>
      </w:r>
      <w:r w:rsidR="00261990" w:rsidRPr="006C6F80">
        <w:rPr>
          <w:color w:val="000000" w:themeColor="text1"/>
        </w:rPr>
        <w:t>linear p</w:t>
      </w:r>
      <w:r w:rsidR="00252A22" w:rsidRPr="006C6F80">
        <w:rPr>
          <w:color w:val="000000" w:themeColor="text1"/>
        </w:rPr>
        <w:t xml:space="preserve">robability </w:t>
      </w:r>
      <w:r w:rsidR="00AC2AB1" w:rsidRPr="006C6F80">
        <w:rPr>
          <w:color w:val="000000" w:themeColor="text1"/>
        </w:rPr>
        <w:t>and IV-</w:t>
      </w:r>
      <w:r w:rsidR="00252A22" w:rsidRPr="006C6F80">
        <w:rPr>
          <w:color w:val="000000" w:themeColor="text1"/>
        </w:rPr>
        <w:t>regression</w:t>
      </w:r>
      <w:r w:rsidR="00AC2AB1" w:rsidRPr="006C6F80">
        <w:rPr>
          <w:color w:val="000000" w:themeColor="text1"/>
        </w:rPr>
        <w:t xml:space="preserve"> models</w:t>
      </w:r>
      <w:r w:rsidR="00C4496A" w:rsidRPr="006C6F80">
        <w:rPr>
          <w:color w:val="000000" w:themeColor="text1"/>
        </w:rPr>
        <w:t>.</w:t>
      </w:r>
      <w:r w:rsidR="00AC2AB1" w:rsidRPr="006C6F80">
        <w:rPr>
          <w:color w:val="000000" w:themeColor="text1"/>
        </w:rPr>
        <w:t xml:space="preserve"> </w:t>
      </w:r>
      <w:r w:rsidR="00C4496A" w:rsidRPr="006C6F80">
        <w:rPr>
          <w:color w:val="000000" w:themeColor="text1"/>
        </w:rPr>
        <w:t xml:space="preserve">In columns (1) and (2), </w:t>
      </w:r>
      <w:r w:rsidR="00AC2AB1" w:rsidRPr="006C6F80">
        <w:rPr>
          <w:color w:val="000000" w:themeColor="text1"/>
        </w:rPr>
        <w:t>w</w:t>
      </w:r>
      <w:r w:rsidR="00C4496A" w:rsidRPr="006C6F80">
        <w:rPr>
          <w:color w:val="000000" w:themeColor="text1"/>
        </w:rPr>
        <w:t>e</w:t>
      </w:r>
      <w:r w:rsidR="00AC2AB1" w:rsidRPr="006C6F80">
        <w:rPr>
          <w:color w:val="000000" w:themeColor="text1"/>
        </w:rPr>
        <w:t xml:space="preserve"> condition on</w:t>
      </w:r>
      <w:r w:rsidR="00A832F7" w:rsidRPr="006C6F80">
        <w:rPr>
          <w:color w:val="000000" w:themeColor="text1"/>
        </w:rPr>
        <w:t xml:space="preserve"> the</w:t>
      </w:r>
      <w:r w:rsidR="00AC2AB1" w:rsidRPr="006C6F80">
        <w:rPr>
          <w:color w:val="000000" w:themeColor="text1"/>
        </w:rPr>
        <w:t xml:space="preserve"> individual</w:t>
      </w:r>
      <w:r w:rsidR="00D20554" w:rsidRPr="006C6F80">
        <w:rPr>
          <w:color w:val="000000" w:themeColor="text1"/>
        </w:rPr>
        <w:t xml:space="preserve"> and </w:t>
      </w:r>
      <w:r w:rsidR="00AC2AB1" w:rsidRPr="006C6F80">
        <w:rPr>
          <w:color w:val="000000" w:themeColor="text1"/>
        </w:rPr>
        <w:t>first job characteristics</w:t>
      </w:r>
      <w:r w:rsidRPr="006C6F80">
        <w:rPr>
          <w:color w:val="000000" w:themeColor="text1"/>
        </w:rPr>
        <w:t xml:space="preserve"> presented in Section 3</w:t>
      </w:r>
      <w:r w:rsidR="006F56D9" w:rsidRPr="006C6F80">
        <w:rPr>
          <w:color w:val="000000" w:themeColor="text1"/>
        </w:rPr>
        <w:t xml:space="preserve">, </w:t>
      </w:r>
      <w:r w:rsidR="00C4496A" w:rsidRPr="006C6F80">
        <w:rPr>
          <w:color w:val="000000" w:themeColor="text1"/>
        </w:rPr>
        <w:t xml:space="preserve"> while in columns (3) and (4) we also </w:t>
      </w:r>
      <w:r w:rsidR="006F56D9" w:rsidRPr="006C6F80">
        <w:rPr>
          <w:color w:val="000000" w:themeColor="text1"/>
        </w:rPr>
        <w:t>control for the first occupation</w:t>
      </w:r>
      <w:r w:rsidR="00C4496A" w:rsidRPr="006C6F80">
        <w:rPr>
          <w:color w:val="000000" w:themeColor="text1"/>
        </w:rPr>
        <w:t>.</w:t>
      </w:r>
      <w:r w:rsidR="006F56D9" w:rsidRPr="006C6F80">
        <w:rPr>
          <w:color w:val="000000" w:themeColor="text1"/>
        </w:rPr>
        <w:t xml:space="preserve"> </w:t>
      </w:r>
      <w:r w:rsidR="00AC2AB1" w:rsidRPr="006C6F80">
        <w:rPr>
          <w:color w:val="000000" w:themeColor="text1"/>
        </w:rPr>
        <w:t>We find a positive and s</w:t>
      </w:r>
      <w:r w:rsidR="00CE23FE" w:rsidRPr="006C6F80">
        <w:rPr>
          <w:color w:val="000000" w:themeColor="text1"/>
        </w:rPr>
        <w:t>tatistically significant effect</w:t>
      </w:r>
      <w:r w:rsidR="00AC2AB1" w:rsidRPr="006C6F80">
        <w:rPr>
          <w:color w:val="000000" w:themeColor="text1"/>
        </w:rPr>
        <w:t xml:space="preserve"> of return migration on upward occupational mobility for m</w:t>
      </w:r>
      <w:r w:rsidR="00D20554" w:rsidRPr="006C6F80">
        <w:rPr>
          <w:color w:val="000000" w:themeColor="text1"/>
        </w:rPr>
        <w:t xml:space="preserve">en </w:t>
      </w:r>
      <w:r w:rsidRPr="006C6F80">
        <w:rPr>
          <w:color w:val="000000" w:themeColor="text1"/>
        </w:rPr>
        <w:t>who belong to</w:t>
      </w:r>
      <w:r w:rsidR="00D20554" w:rsidRPr="006C6F80">
        <w:rPr>
          <w:color w:val="000000" w:themeColor="text1"/>
        </w:rPr>
        <w:t xml:space="preserve"> the same birth cohort</w:t>
      </w:r>
      <w:r w:rsidR="00A832F7" w:rsidRPr="006C6F80">
        <w:rPr>
          <w:color w:val="000000" w:themeColor="text1"/>
        </w:rPr>
        <w:t>.</w:t>
      </w:r>
      <w:r w:rsidR="00D20554" w:rsidRPr="006C6F80">
        <w:rPr>
          <w:color w:val="000000" w:themeColor="text1"/>
        </w:rPr>
        <w:t xml:space="preserve"> </w:t>
      </w:r>
      <w:r w:rsidR="00A832F7" w:rsidRPr="006C6F80">
        <w:rPr>
          <w:color w:val="000000" w:themeColor="text1"/>
        </w:rPr>
        <w:t>The finding</w:t>
      </w:r>
      <w:r w:rsidR="00D20554" w:rsidRPr="006C6F80">
        <w:rPr>
          <w:color w:val="000000" w:themeColor="text1"/>
        </w:rPr>
        <w:t xml:space="preserve"> is </w:t>
      </w:r>
      <w:r w:rsidR="00252A22" w:rsidRPr="006C6F80">
        <w:rPr>
          <w:color w:val="000000" w:themeColor="text1"/>
        </w:rPr>
        <w:t>robust across</w:t>
      </w:r>
      <w:r w:rsidR="0080227C" w:rsidRPr="006C6F80">
        <w:rPr>
          <w:color w:val="000000" w:themeColor="text1"/>
        </w:rPr>
        <w:t xml:space="preserve"> all specificat</w:t>
      </w:r>
      <w:r w:rsidR="00252A22" w:rsidRPr="006C6F80">
        <w:rPr>
          <w:color w:val="000000" w:themeColor="text1"/>
        </w:rPr>
        <w:t>ions</w:t>
      </w:r>
      <w:r w:rsidR="00CE23FE" w:rsidRPr="006C6F80">
        <w:rPr>
          <w:color w:val="000000" w:themeColor="text1"/>
        </w:rPr>
        <w:t xml:space="preserve">. </w:t>
      </w:r>
      <w:r w:rsidR="00A832F7" w:rsidRPr="006C6F80">
        <w:rPr>
          <w:color w:val="000000" w:themeColor="text1"/>
        </w:rPr>
        <w:t>More specifically, c</w:t>
      </w:r>
      <w:r w:rsidR="007C5063" w:rsidRPr="006C6F80">
        <w:rPr>
          <w:color w:val="000000" w:themeColor="text1"/>
        </w:rPr>
        <w:t>ontrolling for the first occupation and correcting for the endogeneity of the migration decision, we find that b</w:t>
      </w:r>
      <w:r w:rsidR="00CE23FE" w:rsidRPr="006C6F80">
        <w:rPr>
          <w:color w:val="000000" w:themeColor="text1"/>
        </w:rPr>
        <w:t xml:space="preserve">eing a return migrant increases the probability of upward occupational mobility by </w:t>
      </w:r>
      <w:r w:rsidR="008C35A1" w:rsidRPr="006C6F80">
        <w:rPr>
          <w:color w:val="000000" w:themeColor="text1"/>
        </w:rPr>
        <w:t>1</w:t>
      </w:r>
      <w:r w:rsidR="00D20554" w:rsidRPr="006C6F80">
        <w:rPr>
          <w:color w:val="000000" w:themeColor="text1"/>
        </w:rPr>
        <w:t>6</w:t>
      </w:r>
      <w:r w:rsidR="007B685B" w:rsidRPr="006C6F80">
        <w:rPr>
          <w:color w:val="000000" w:themeColor="text1"/>
        </w:rPr>
        <w:t xml:space="preserve"> </w:t>
      </w:r>
      <w:r w:rsidR="00CE23FE" w:rsidRPr="006C6F80">
        <w:rPr>
          <w:color w:val="000000" w:themeColor="text1"/>
        </w:rPr>
        <w:t>percentage points.</w:t>
      </w:r>
      <w:r w:rsidR="00816744" w:rsidRPr="006C6F80">
        <w:rPr>
          <w:color w:val="000000" w:themeColor="text1"/>
        </w:rPr>
        <w:t xml:space="preserve"> </w:t>
      </w:r>
      <w:r w:rsidR="00011F9B" w:rsidRPr="006C6F80">
        <w:rPr>
          <w:color w:val="000000" w:themeColor="text1"/>
        </w:rPr>
        <w:t>N</w:t>
      </w:r>
      <w:r w:rsidR="00512C97" w:rsidRPr="006C6F80">
        <w:rPr>
          <w:color w:val="000000" w:themeColor="text1"/>
        </w:rPr>
        <w:t xml:space="preserve">ot controlling for the first occupation </w:t>
      </w:r>
      <w:r w:rsidR="00136E9B" w:rsidRPr="006C6F80">
        <w:rPr>
          <w:color w:val="000000" w:themeColor="text1"/>
        </w:rPr>
        <w:t xml:space="preserve">would </w:t>
      </w:r>
      <w:r w:rsidR="00512C97" w:rsidRPr="006C6F80">
        <w:rPr>
          <w:color w:val="000000" w:themeColor="text1"/>
        </w:rPr>
        <w:t xml:space="preserve">lead us to </w:t>
      </w:r>
      <w:r w:rsidR="00512C97" w:rsidRPr="006C6F80">
        <w:rPr>
          <w:color w:val="000000" w:themeColor="text1"/>
        </w:rPr>
        <w:lastRenderedPageBreak/>
        <w:t>overestimate the effect</w:t>
      </w:r>
      <w:r w:rsidRPr="006C6F80">
        <w:rPr>
          <w:color w:val="000000" w:themeColor="text1"/>
        </w:rPr>
        <w:t xml:space="preserve"> of return migration on occupational upgrading</w:t>
      </w:r>
      <w:r w:rsidR="00512C97" w:rsidRPr="006C6F80">
        <w:rPr>
          <w:color w:val="000000" w:themeColor="text1"/>
        </w:rPr>
        <w:t>. This is likely due to the fact that stayers seem to have on average higher ranked occupations at first job</w:t>
      </w:r>
      <w:r w:rsidR="00A832F7" w:rsidRPr="006C6F80">
        <w:rPr>
          <w:color w:val="000000" w:themeColor="text1"/>
        </w:rPr>
        <w:t>,</w:t>
      </w:r>
      <w:r w:rsidR="00512C97" w:rsidRPr="006C6F80">
        <w:rPr>
          <w:color w:val="000000" w:themeColor="text1"/>
        </w:rPr>
        <w:t xml:space="preserve"> while returnees ha</w:t>
      </w:r>
      <w:r w:rsidR="00567693" w:rsidRPr="006C6F80">
        <w:rPr>
          <w:color w:val="000000" w:themeColor="text1"/>
        </w:rPr>
        <w:t>ve</w:t>
      </w:r>
      <w:r w:rsidR="00512C97" w:rsidRPr="006C6F80">
        <w:rPr>
          <w:color w:val="000000" w:themeColor="text1"/>
        </w:rPr>
        <w:t xml:space="preserve"> on average lower ranked first occupations. Therefore, not accounting for the first occupations would lead to </w:t>
      </w:r>
      <w:r w:rsidR="00803956" w:rsidRPr="006C6F80">
        <w:rPr>
          <w:color w:val="000000" w:themeColor="text1"/>
        </w:rPr>
        <w:t>an upward bias in our estimates of</w:t>
      </w:r>
      <w:r w:rsidR="00512C97" w:rsidRPr="006C6F80">
        <w:rPr>
          <w:color w:val="000000" w:themeColor="text1"/>
        </w:rPr>
        <w:t xml:space="preserve"> </w:t>
      </w:r>
      <w:r w:rsidR="00803956" w:rsidRPr="006C6F80">
        <w:rPr>
          <w:color w:val="000000" w:themeColor="text1"/>
        </w:rPr>
        <w:t xml:space="preserve">returnees’ </w:t>
      </w:r>
      <w:r w:rsidR="00512C97" w:rsidRPr="006C6F80">
        <w:rPr>
          <w:color w:val="000000" w:themeColor="text1"/>
        </w:rPr>
        <w:t xml:space="preserve">occupational upgrading vis-à-vis non-migrants. </w:t>
      </w:r>
      <w:r w:rsidR="00A047D1" w:rsidRPr="006C6F80">
        <w:rPr>
          <w:color w:val="000000" w:themeColor="text1"/>
        </w:rPr>
        <w:t xml:space="preserve"> </w:t>
      </w:r>
    </w:p>
    <w:p w14:paraId="386A05F0" w14:textId="3D75BCC2" w:rsidR="00834C1B" w:rsidRPr="006C6F80" w:rsidRDefault="00834C1B" w:rsidP="00B132A6">
      <w:pPr>
        <w:pStyle w:val="ListParagraph"/>
        <w:numPr>
          <w:ilvl w:val="1"/>
          <w:numId w:val="10"/>
        </w:numPr>
        <w:spacing w:line="480" w:lineRule="auto"/>
        <w:jc w:val="both"/>
        <w:rPr>
          <w:rFonts w:ascii="Times New Roman" w:hAnsi="Times New Roman" w:cs="Times New Roman"/>
          <w:b/>
          <w:bCs/>
          <w:color w:val="000000" w:themeColor="text1"/>
          <w:sz w:val="24"/>
          <w:szCs w:val="24"/>
        </w:rPr>
      </w:pPr>
      <w:r w:rsidRPr="006C6F80">
        <w:rPr>
          <w:rFonts w:ascii="Times New Roman" w:hAnsi="Times New Roman" w:cs="Times New Roman"/>
          <w:b/>
          <w:bCs/>
          <w:color w:val="000000" w:themeColor="text1"/>
          <w:sz w:val="24"/>
          <w:szCs w:val="24"/>
        </w:rPr>
        <w:t>Heterogeneous effects: Who climbs the occupational ladder?</w:t>
      </w:r>
    </w:p>
    <w:p w14:paraId="086356C0" w14:textId="31AE102A" w:rsidR="00FD2A67" w:rsidRPr="006C6F80" w:rsidRDefault="00FD2A67" w:rsidP="00FD2A67">
      <w:pPr>
        <w:spacing w:after="200" w:line="480" w:lineRule="auto"/>
        <w:jc w:val="center"/>
        <w:rPr>
          <w:color w:val="000000" w:themeColor="text1"/>
          <w:lang w:val="en-GB"/>
        </w:rPr>
      </w:pPr>
      <w:r w:rsidRPr="006C6F80">
        <w:rPr>
          <w:color w:val="000000" w:themeColor="text1"/>
          <w:lang w:val="en-GB"/>
        </w:rPr>
        <w:t>[Table 5 here]</w:t>
      </w:r>
    </w:p>
    <w:p w14:paraId="1F978324" w14:textId="7DAEDD44" w:rsidR="00CC1E0F" w:rsidRPr="006C6F80" w:rsidRDefault="00907183" w:rsidP="00B132A6">
      <w:pPr>
        <w:spacing w:after="200" w:line="480" w:lineRule="auto"/>
        <w:jc w:val="both"/>
        <w:rPr>
          <w:color w:val="000000" w:themeColor="text1"/>
        </w:rPr>
      </w:pPr>
      <w:r w:rsidRPr="006C6F80">
        <w:rPr>
          <w:color w:val="000000" w:themeColor="text1"/>
          <w:lang w:val="en-GB"/>
        </w:rPr>
        <w:t>W</w:t>
      </w:r>
      <w:r w:rsidR="00CC1E0F" w:rsidRPr="006C6F80">
        <w:rPr>
          <w:color w:val="000000" w:themeColor="text1"/>
        </w:rPr>
        <w:t>e explore the heterogeneity of the effect</w:t>
      </w:r>
      <w:r w:rsidR="004E2485" w:rsidRPr="006C6F80">
        <w:rPr>
          <w:color w:val="000000" w:themeColor="text1"/>
        </w:rPr>
        <w:t xml:space="preserve"> of return migration </w:t>
      </w:r>
      <w:r w:rsidR="00C72199" w:rsidRPr="006C6F80">
        <w:rPr>
          <w:color w:val="000000" w:themeColor="text1"/>
        </w:rPr>
        <w:t xml:space="preserve">on </w:t>
      </w:r>
      <w:r w:rsidR="004E2485" w:rsidRPr="006C6F80">
        <w:rPr>
          <w:color w:val="000000" w:themeColor="text1"/>
        </w:rPr>
        <w:t xml:space="preserve">occupational </w:t>
      </w:r>
      <w:r w:rsidR="00C72199" w:rsidRPr="006C6F80">
        <w:rPr>
          <w:color w:val="000000" w:themeColor="text1"/>
        </w:rPr>
        <w:t>upgrading</w:t>
      </w:r>
      <w:r w:rsidR="00CC1E0F" w:rsidRPr="006C6F80">
        <w:rPr>
          <w:color w:val="000000" w:themeColor="text1"/>
        </w:rPr>
        <w:t xml:space="preserve"> with respect to </w:t>
      </w:r>
      <w:r w:rsidR="00CC7D40" w:rsidRPr="006C6F80">
        <w:rPr>
          <w:color w:val="000000" w:themeColor="text1"/>
        </w:rPr>
        <w:t>individual</w:t>
      </w:r>
      <w:r w:rsidR="0079009F" w:rsidRPr="006C6F80">
        <w:rPr>
          <w:color w:val="000000" w:themeColor="text1"/>
        </w:rPr>
        <w:t>’s</w:t>
      </w:r>
      <w:r w:rsidR="00CC7D40" w:rsidRPr="006C6F80">
        <w:rPr>
          <w:color w:val="000000" w:themeColor="text1"/>
        </w:rPr>
        <w:t xml:space="preserve"> </w:t>
      </w:r>
      <w:r w:rsidR="00CC1E0F" w:rsidRPr="006C6F80">
        <w:rPr>
          <w:color w:val="000000" w:themeColor="text1"/>
        </w:rPr>
        <w:t>education</w:t>
      </w:r>
      <w:r w:rsidR="00CC7D40" w:rsidRPr="006C6F80">
        <w:rPr>
          <w:color w:val="000000" w:themeColor="text1"/>
        </w:rPr>
        <w:t xml:space="preserve"> </w:t>
      </w:r>
      <w:r w:rsidR="00CC1E0F" w:rsidRPr="006C6F80">
        <w:rPr>
          <w:color w:val="000000" w:themeColor="text1"/>
        </w:rPr>
        <w:t>and migration duration.</w:t>
      </w:r>
      <w:r w:rsidR="00CC7D40" w:rsidRPr="006C6F80">
        <w:rPr>
          <w:color w:val="000000" w:themeColor="text1"/>
        </w:rPr>
        <w:t xml:space="preserve"> </w:t>
      </w:r>
      <w:r w:rsidR="005A0B41" w:rsidRPr="006C6F80">
        <w:rPr>
          <w:color w:val="000000" w:themeColor="text1"/>
        </w:rPr>
        <w:t>We sp</w:t>
      </w:r>
      <w:r w:rsidR="002E48B9" w:rsidRPr="006C6F80">
        <w:rPr>
          <w:color w:val="000000" w:themeColor="text1"/>
        </w:rPr>
        <w:t>l</w:t>
      </w:r>
      <w:r w:rsidR="005A0B41" w:rsidRPr="006C6F80">
        <w:rPr>
          <w:color w:val="000000" w:themeColor="text1"/>
        </w:rPr>
        <w:t>it our 1960s cohort into two groups: the less educated (those with less than secondary education) and the more educated (those with secondary education and above). We report results for these two groups using IV regressions along with linear probability model estimates in Table 5</w:t>
      </w:r>
      <w:r w:rsidR="00160BB3" w:rsidRPr="006C6F80">
        <w:rPr>
          <w:color w:val="000000" w:themeColor="text1"/>
        </w:rPr>
        <w:t xml:space="preserve"> and controlling for the same set of covariates presented earlier</w:t>
      </w:r>
      <w:r w:rsidR="005A0B41" w:rsidRPr="006C6F80">
        <w:rPr>
          <w:color w:val="000000" w:themeColor="text1"/>
        </w:rPr>
        <w:t xml:space="preserve">. Our results show that return migration is associated with occupational upgrading </w:t>
      </w:r>
      <w:r w:rsidR="002E48B9" w:rsidRPr="006C6F80">
        <w:rPr>
          <w:color w:val="000000" w:themeColor="text1"/>
        </w:rPr>
        <w:t>among both groups</w:t>
      </w:r>
      <w:r w:rsidR="00160BB3" w:rsidRPr="006C6F80">
        <w:rPr>
          <w:color w:val="000000" w:themeColor="text1"/>
        </w:rPr>
        <w:t xml:space="preserve">, given </w:t>
      </w:r>
      <w:r w:rsidR="00A832F7" w:rsidRPr="006C6F80">
        <w:rPr>
          <w:color w:val="000000" w:themeColor="text1"/>
        </w:rPr>
        <w:t xml:space="preserve">an </w:t>
      </w:r>
      <w:r w:rsidR="00160BB3" w:rsidRPr="006C6F80">
        <w:rPr>
          <w:color w:val="000000" w:themeColor="text1"/>
        </w:rPr>
        <w:t>individual</w:t>
      </w:r>
      <w:r w:rsidR="00A832F7" w:rsidRPr="006C6F80">
        <w:rPr>
          <w:color w:val="000000" w:themeColor="text1"/>
        </w:rPr>
        <w:t>’</w:t>
      </w:r>
      <w:r w:rsidR="00160BB3" w:rsidRPr="006C6F80">
        <w:rPr>
          <w:color w:val="000000" w:themeColor="text1"/>
        </w:rPr>
        <w:t>s first occupation</w:t>
      </w:r>
      <w:r w:rsidR="002E48B9" w:rsidRPr="006C6F80">
        <w:rPr>
          <w:color w:val="000000" w:themeColor="text1"/>
        </w:rPr>
        <w:t xml:space="preserve">. However, we estimate a greater likelihood of occupational upgrading among the most educated individuals. Relying on our IV regressions, we find that return migration leads to an increase in the probability of upward occupational mobility by 16 percentage points among the most educated, while it leads to an increase in the probability of occupational upgrading by 13 percentage points among the least educated. </w:t>
      </w:r>
      <w:r w:rsidR="00CC1E0F" w:rsidRPr="006C6F80">
        <w:rPr>
          <w:color w:val="000000" w:themeColor="text1"/>
        </w:rPr>
        <w:t>Our results</w:t>
      </w:r>
      <w:r w:rsidR="00DF5366" w:rsidRPr="006C6F80">
        <w:rPr>
          <w:color w:val="000000" w:themeColor="text1"/>
        </w:rPr>
        <w:t xml:space="preserve"> therefore showcase that</w:t>
      </w:r>
      <w:r w:rsidR="00CC1E0F" w:rsidRPr="006C6F80">
        <w:rPr>
          <w:color w:val="000000" w:themeColor="text1"/>
        </w:rPr>
        <w:t xml:space="preserve"> m</w:t>
      </w:r>
      <w:r w:rsidR="00DF5366" w:rsidRPr="006C6F80">
        <w:rPr>
          <w:color w:val="000000" w:themeColor="text1"/>
        </w:rPr>
        <w:t>en</w:t>
      </w:r>
      <w:r w:rsidR="00CC1E0F" w:rsidRPr="006C6F80">
        <w:rPr>
          <w:color w:val="000000" w:themeColor="text1"/>
        </w:rPr>
        <w:t xml:space="preserve"> who belong to the upper end of the educational distribution are </w:t>
      </w:r>
      <w:r w:rsidR="00DF5366" w:rsidRPr="006C6F80">
        <w:rPr>
          <w:color w:val="000000" w:themeColor="text1"/>
        </w:rPr>
        <w:t xml:space="preserve">more </w:t>
      </w:r>
      <w:r w:rsidR="00CC1E0F" w:rsidRPr="006C6F80">
        <w:rPr>
          <w:color w:val="000000" w:themeColor="text1"/>
        </w:rPr>
        <w:t>likely to witness upward occupational mobility.</w:t>
      </w:r>
    </w:p>
    <w:p w14:paraId="386B7AE1" w14:textId="6878E176" w:rsidR="00FD2A67" w:rsidRPr="006C6F80" w:rsidRDefault="00FD2A67" w:rsidP="00FD2A67">
      <w:pPr>
        <w:spacing w:after="200" w:line="480" w:lineRule="auto"/>
        <w:jc w:val="center"/>
        <w:rPr>
          <w:color w:val="000000" w:themeColor="text1"/>
        </w:rPr>
      </w:pPr>
      <w:r w:rsidRPr="006C6F80">
        <w:rPr>
          <w:color w:val="000000" w:themeColor="text1"/>
        </w:rPr>
        <w:t>[Table 6 here]</w:t>
      </w:r>
    </w:p>
    <w:p w14:paraId="60253D58" w14:textId="68765F5D" w:rsidR="00527BD5" w:rsidRDefault="00CC1E0F" w:rsidP="00F77326">
      <w:pPr>
        <w:spacing w:after="200" w:line="480" w:lineRule="auto"/>
        <w:jc w:val="both"/>
        <w:rPr>
          <w:color w:val="000000" w:themeColor="text1"/>
        </w:rPr>
      </w:pPr>
      <w:r w:rsidRPr="006C6F80">
        <w:rPr>
          <w:color w:val="000000" w:themeColor="text1"/>
        </w:rPr>
        <w:lastRenderedPageBreak/>
        <w:t>Furthermore, we investigate the heterogeneity of the effect o</w:t>
      </w:r>
      <w:r w:rsidR="00BB2090" w:rsidRPr="006C6F80">
        <w:rPr>
          <w:color w:val="000000" w:themeColor="text1"/>
        </w:rPr>
        <w:t>f</w:t>
      </w:r>
      <w:r w:rsidR="00C4794A" w:rsidRPr="006C6F80">
        <w:rPr>
          <w:color w:val="000000" w:themeColor="text1"/>
        </w:rPr>
        <w:t xml:space="preserve"> return migration on</w:t>
      </w:r>
      <w:r w:rsidRPr="006C6F80">
        <w:rPr>
          <w:color w:val="000000" w:themeColor="text1"/>
        </w:rPr>
        <w:t xml:space="preserve"> occupational upgrading by migration duration. On average returnees in our sample spent 4.5 years overseas, and the median migration duration is equal to </w:t>
      </w:r>
      <w:r w:rsidR="007B67A3" w:rsidRPr="006C6F80">
        <w:rPr>
          <w:color w:val="000000" w:themeColor="text1"/>
        </w:rPr>
        <w:t>2.5</w:t>
      </w:r>
      <w:r w:rsidRPr="006C6F80">
        <w:rPr>
          <w:color w:val="000000" w:themeColor="text1"/>
        </w:rPr>
        <w:t xml:space="preserve"> years. </w:t>
      </w:r>
      <w:r w:rsidR="000B727C" w:rsidRPr="006C6F80">
        <w:rPr>
          <w:color w:val="000000" w:themeColor="text1"/>
        </w:rPr>
        <w:t xml:space="preserve">In Table 6, </w:t>
      </w:r>
      <w:r w:rsidRPr="006C6F80">
        <w:rPr>
          <w:color w:val="000000" w:themeColor="text1"/>
        </w:rPr>
        <w:t>we provid</w:t>
      </w:r>
      <w:r w:rsidR="000B727C" w:rsidRPr="006C6F80">
        <w:rPr>
          <w:color w:val="000000" w:themeColor="text1"/>
        </w:rPr>
        <w:t>e</w:t>
      </w:r>
      <w:r w:rsidRPr="006C6F80">
        <w:rPr>
          <w:color w:val="000000" w:themeColor="text1"/>
        </w:rPr>
        <w:t xml:space="preserve"> predicted probabilities</w:t>
      </w:r>
      <w:r w:rsidR="000B727C" w:rsidRPr="006C6F80">
        <w:rPr>
          <w:color w:val="000000" w:themeColor="text1"/>
        </w:rPr>
        <w:t xml:space="preserve"> of upward mobility</w:t>
      </w:r>
      <w:r w:rsidR="005317CF" w:rsidRPr="006C6F80">
        <w:rPr>
          <w:color w:val="000000" w:themeColor="text1"/>
        </w:rPr>
        <w:t xml:space="preserve"> and the standard errors</w:t>
      </w:r>
      <w:r w:rsidRPr="006C6F80">
        <w:rPr>
          <w:color w:val="000000" w:themeColor="text1"/>
        </w:rPr>
        <w:t xml:space="preserve"> </w:t>
      </w:r>
      <w:r w:rsidR="005317CF" w:rsidRPr="006C6F80">
        <w:rPr>
          <w:color w:val="000000" w:themeColor="text1"/>
        </w:rPr>
        <w:t>relying on</w:t>
      </w:r>
      <w:r w:rsidRPr="006C6F80">
        <w:rPr>
          <w:color w:val="000000" w:themeColor="text1"/>
        </w:rPr>
        <w:t xml:space="preserve"> </w:t>
      </w:r>
      <w:r w:rsidR="000B727C" w:rsidRPr="006C6F80">
        <w:rPr>
          <w:color w:val="000000" w:themeColor="text1"/>
        </w:rPr>
        <w:t>our benchmark</w:t>
      </w:r>
      <w:r w:rsidRPr="006C6F80">
        <w:rPr>
          <w:color w:val="000000" w:themeColor="text1"/>
        </w:rPr>
        <w:t xml:space="preserve"> model</w:t>
      </w:r>
      <w:r w:rsidR="005317CF" w:rsidRPr="006C6F80">
        <w:rPr>
          <w:color w:val="000000" w:themeColor="text1"/>
        </w:rPr>
        <w:t>,</w:t>
      </w:r>
      <w:r w:rsidR="000B727C" w:rsidRPr="006C6F80">
        <w:rPr>
          <w:color w:val="000000" w:themeColor="text1"/>
        </w:rPr>
        <w:t xml:space="preserve"> for the full </w:t>
      </w:r>
      <w:r w:rsidR="005317CF" w:rsidRPr="006C6F80">
        <w:rPr>
          <w:color w:val="000000" w:themeColor="text1"/>
        </w:rPr>
        <w:t>sample of stayers in the 1960s cohort, for the full sample of returnees, and for returnees by migration duration</w:t>
      </w:r>
      <w:r w:rsidRPr="006C6F80">
        <w:rPr>
          <w:color w:val="000000" w:themeColor="text1"/>
        </w:rPr>
        <w:t>. In</w:t>
      </w:r>
      <w:r w:rsidR="005317CF" w:rsidRPr="006C6F80">
        <w:rPr>
          <w:color w:val="000000" w:themeColor="text1"/>
        </w:rPr>
        <w:t xml:space="preserve"> line with previous results</w:t>
      </w:r>
      <w:r w:rsidRPr="006C6F80">
        <w:rPr>
          <w:color w:val="000000" w:themeColor="text1"/>
        </w:rPr>
        <w:t xml:space="preserve">, </w:t>
      </w:r>
      <w:r w:rsidR="005317CF" w:rsidRPr="006C6F80">
        <w:rPr>
          <w:color w:val="000000" w:themeColor="text1"/>
        </w:rPr>
        <w:t xml:space="preserve">we find that returnees have a higher predicted probability of witnessing upward mobility compared to non-migrants. Moreover, </w:t>
      </w:r>
      <w:r w:rsidRPr="006C6F80">
        <w:rPr>
          <w:color w:val="000000" w:themeColor="text1"/>
        </w:rPr>
        <w:t xml:space="preserve">we find </w:t>
      </w:r>
      <w:r w:rsidR="005317CF" w:rsidRPr="006C6F80">
        <w:rPr>
          <w:color w:val="000000" w:themeColor="text1"/>
        </w:rPr>
        <w:t xml:space="preserve">that </w:t>
      </w:r>
      <w:r w:rsidR="00B87B81" w:rsidRPr="006C6F80">
        <w:rPr>
          <w:color w:val="000000" w:themeColor="text1"/>
        </w:rPr>
        <w:t>the positive effect of return migration on occupational upgrading is larger the longer the duration of the migration experience. Indeed, individuals with 7 years of migration experience or more witness a higher probability of occupational upgrading relative to individuals with one year o</w:t>
      </w:r>
      <w:r w:rsidR="00BD20C4" w:rsidRPr="006C6F80">
        <w:rPr>
          <w:color w:val="000000" w:themeColor="text1"/>
        </w:rPr>
        <w:t>f</w:t>
      </w:r>
      <w:r w:rsidR="00B87B81" w:rsidRPr="006C6F80">
        <w:rPr>
          <w:color w:val="000000" w:themeColor="text1"/>
        </w:rPr>
        <w:t xml:space="preserve"> migration experience or less but also relative to individuals who belong to the middle of the migration duration distribution. These findings suggest that our results seem to be driven by human capital enhancement of returnees</w:t>
      </w:r>
      <w:r w:rsidR="000D35D4" w:rsidRPr="006C6F80">
        <w:rPr>
          <w:color w:val="000000" w:themeColor="text1"/>
        </w:rPr>
        <w:t>,</w:t>
      </w:r>
      <w:r w:rsidR="00B87B81" w:rsidRPr="006C6F80">
        <w:rPr>
          <w:color w:val="000000" w:themeColor="text1"/>
        </w:rPr>
        <w:t xml:space="preserve"> </w:t>
      </w:r>
      <w:r w:rsidR="000D35D4" w:rsidRPr="006C6F80">
        <w:rPr>
          <w:color w:val="000000" w:themeColor="text1"/>
        </w:rPr>
        <w:t xml:space="preserve">in particular for the highly educated, </w:t>
      </w:r>
      <w:r w:rsidR="00B87B81" w:rsidRPr="006C6F80">
        <w:rPr>
          <w:color w:val="000000" w:themeColor="text1"/>
        </w:rPr>
        <w:t>resulting in upward occupational mobility upon return to their home country.</w:t>
      </w:r>
    </w:p>
    <w:p w14:paraId="20356487" w14:textId="3B5E5E8B" w:rsidR="009D3310" w:rsidRDefault="009D3310" w:rsidP="00F77326">
      <w:pPr>
        <w:spacing w:after="200" w:line="480" w:lineRule="auto"/>
        <w:jc w:val="both"/>
        <w:rPr>
          <w:color w:val="000000" w:themeColor="text1"/>
        </w:rPr>
      </w:pPr>
    </w:p>
    <w:p w14:paraId="2E5DC99F" w14:textId="77777777" w:rsidR="009D3310" w:rsidRPr="006C6F80" w:rsidRDefault="009D3310" w:rsidP="00F77326">
      <w:pPr>
        <w:spacing w:after="200" w:line="480" w:lineRule="auto"/>
        <w:jc w:val="both"/>
        <w:rPr>
          <w:color w:val="000000" w:themeColor="text1"/>
        </w:rPr>
      </w:pPr>
    </w:p>
    <w:p w14:paraId="148040FB" w14:textId="2C73B4BD" w:rsidR="0019481A" w:rsidRPr="006C6F80" w:rsidRDefault="002B00B3" w:rsidP="00F77326">
      <w:pPr>
        <w:pStyle w:val="ListParagraph"/>
        <w:numPr>
          <w:ilvl w:val="0"/>
          <w:numId w:val="10"/>
        </w:numPr>
        <w:spacing w:line="480" w:lineRule="auto"/>
        <w:jc w:val="both"/>
        <w:rPr>
          <w:rFonts w:ascii="Times New Roman" w:hAnsi="Times New Roman" w:cs="Times New Roman"/>
          <w:b/>
          <w:bCs/>
          <w:color w:val="000000" w:themeColor="text1"/>
          <w:sz w:val="24"/>
          <w:szCs w:val="24"/>
        </w:rPr>
      </w:pPr>
      <w:r w:rsidRPr="006C6F80">
        <w:rPr>
          <w:rFonts w:ascii="Times New Roman" w:hAnsi="Times New Roman" w:cs="Times New Roman"/>
          <w:b/>
          <w:bCs/>
          <w:color w:val="000000" w:themeColor="text1"/>
          <w:sz w:val="24"/>
          <w:szCs w:val="24"/>
        </w:rPr>
        <w:t>Robustness checks</w:t>
      </w:r>
    </w:p>
    <w:p w14:paraId="063B96CF" w14:textId="77777777" w:rsidR="0019481A" w:rsidRPr="006C6F80" w:rsidRDefault="0019481A" w:rsidP="00B132A6">
      <w:pPr>
        <w:pStyle w:val="ListParagraph"/>
        <w:numPr>
          <w:ilvl w:val="1"/>
          <w:numId w:val="10"/>
        </w:numPr>
        <w:spacing w:line="480" w:lineRule="auto"/>
        <w:jc w:val="both"/>
        <w:rPr>
          <w:rFonts w:ascii="Times New Roman" w:hAnsi="Times New Roman" w:cs="Times New Roman"/>
          <w:b/>
          <w:bCs/>
          <w:color w:val="000000" w:themeColor="text1"/>
          <w:sz w:val="24"/>
          <w:szCs w:val="24"/>
        </w:rPr>
      </w:pPr>
      <w:r w:rsidRPr="006C6F80">
        <w:rPr>
          <w:rFonts w:ascii="Times New Roman" w:hAnsi="Times New Roman" w:cs="Times New Roman"/>
          <w:b/>
          <w:bCs/>
          <w:color w:val="000000" w:themeColor="text1"/>
          <w:sz w:val="24"/>
          <w:szCs w:val="24"/>
        </w:rPr>
        <w:t>Robustness checks using alternative estimation techniques</w:t>
      </w:r>
    </w:p>
    <w:p w14:paraId="4372216F" w14:textId="6DE9767F" w:rsidR="0019481A" w:rsidRPr="006C6F80" w:rsidRDefault="0019481A" w:rsidP="00F77326">
      <w:pPr>
        <w:spacing w:line="480" w:lineRule="auto"/>
        <w:jc w:val="both"/>
        <w:rPr>
          <w:color w:val="000000" w:themeColor="text1"/>
        </w:rPr>
      </w:pPr>
      <w:r w:rsidRPr="006C6F80">
        <w:rPr>
          <w:color w:val="000000" w:themeColor="text1"/>
        </w:rPr>
        <w:t>Our benchmark model relies on an instrumental variable approach to estimate the effect of return migration on occupational upgrading, while accounting for the endogeneity of temporary migration decision. In this section, we also show that our results are robust to using alternative estimation techniques</w:t>
      </w:r>
      <w:r w:rsidR="00AD5F9C" w:rsidRPr="006C6F80">
        <w:rPr>
          <w:color w:val="000000" w:themeColor="text1"/>
        </w:rPr>
        <w:t>,</w:t>
      </w:r>
      <w:r w:rsidRPr="006C6F80">
        <w:rPr>
          <w:color w:val="000000" w:themeColor="text1"/>
        </w:rPr>
        <w:t xml:space="preserve"> such as an IV ordered probit model </w:t>
      </w:r>
      <w:r w:rsidR="00AD5F9C" w:rsidRPr="006C6F80">
        <w:rPr>
          <w:color w:val="000000" w:themeColor="text1"/>
        </w:rPr>
        <w:t>or</w:t>
      </w:r>
      <w:r w:rsidRPr="006C6F80">
        <w:rPr>
          <w:color w:val="000000" w:themeColor="text1"/>
        </w:rPr>
        <w:t xml:space="preserve"> a Difference-in-Differences matching technique.</w:t>
      </w:r>
      <w:r w:rsidRPr="006C6F80">
        <w:rPr>
          <w:rFonts w:eastAsiaTheme="minorEastAsia"/>
          <w:b/>
          <w:bCs/>
          <w:color w:val="000000" w:themeColor="text1"/>
          <w:lang w:val="en-GB" w:eastAsia="fr-FR"/>
        </w:rPr>
        <w:t xml:space="preserve"> </w:t>
      </w:r>
    </w:p>
    <w:p w14:paraId="2443A219" w14:textId="601307E5" w:rsidR="00FD2A67" w:rsidRPr="006C6F80" w:rsidRDefault="00FD2A67" w:rsidP="00FD2A67">
      <w:pPr>
        <w:spacing w:after="200" w:line="480" w:lineRule="auto"/>
        <w:jc w:val="center"/>
        <w:rPr>
          <w:color w:val="000000" w:themeColor="text1"/>
        </w:rPr>
      </w:pPr>
      <w:r w:rsidRPr="006C6F80">
        <w:rPr>
          <w:color w:val="000000" w:themeColor="text1"/>
        </w:rPr>
        <w:lastRenderedPageBreak/>
        <w:t>[Table 7 here]</w:t>
      </w:r>
    </w:p>
    <w:p w14:paraId="0C797BDD" w14:textId="006E5871" w:rsidR="0019481A" w:rsidRPr="006C6F80" w:rsidRDefault="0019481A" w:rsidP="00B132A6">
      <w:pPr>
        <w:spacing w:after="200" w:line="480" w:lineRule="auto"/>
        <w:jc w:val="both"/>
        <w:rPr>
          <w:color w:val="000000" w:themeColor="text1"/>
        </w:rPr>
      </w:pPr>
      <w:r w:rsidRPr="006C6F80">
        <w:rPr>
          <w:b/>
          <w:bCs/>
          <w:color w:val="000000" w:themeColor="text1"/>
        </w:rPr>
        <w:t xml:space="preserve">An IV ordered probit model: </w:t>
      </w:r>
      <w:r w:rsidRPr="006C6F80">
        <w:rPr>
          <w:color w:val="000000" w:themeColor="text1"/>
          <w:lang w:val="en-GB"/>
        </w:rPr>
        <w:t>In our benchmark model, our independent variable is a dummy variable indicator for upward occupational upgrading. In this section, w</w:t>
      </w:r>
      <w:r w:rsidRPr="006C6F80">
        <w:rPr>
          <w:color w:val="000000" w:themeColor="text1"/>
        </w:rPr>
        <w:t>e estimate an ordered probit model</w:t>
      </w:r>
      <w:r w:rsidR="00AD5F9C" w:rsidRPr="006C6F80">
        <w:rPr>
          <w:color w:val="000000" w:themeColor="text1"/>
        </w:rPr>
        <w:t>. O</w:t>
      </w:r>
      <w:r w:rsidRPr="006C6F80">
        <w:rPr>
          <w:color w:val="000000" w:themeColor="text1"/>
        </w:rPr>
        <w:t xml:space="preserve">ur independent variable </w:t>
      </w: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i</m:t>
            </m:r>
          </m:sub>
        </m:sSub>
      </m:oMath>
      <w:r w:rsidRPr="006C6F80">
        <w:rPr>
          <w:color w:val="000000" w:themeColor="text1"/>
        </w:rPr>
        <w:t xml:space="preserve"> is a categorical variable equal to 0 if the individual stayed within the same occupational category </w:t>
      </w:r>
      <w:r w:rsidR="00AD5F9C" w:rsidRPr="006C6F80">
        <w:rPr>
          <w:color w:val="000000" w:themeColor="text1"/>
        </w:rPr>
        <w:t xml:space="preserve">or downgraded </w:t>
      </w:r>
      <w:r w:rsidRPr="006C6F80">
        <w:rPr>
          <w:color w:val="000000" w:themeColor="text1"/>
        </w:rPr>
        <w:t>between the first job and the 2010 occupation</w:t>
      </w:r>
      <w:r w:rsidR="00AD5F9C" w:rsidRPr="006C6F80">
        <w:rPr>
          <w:color w:val="000000" w:themeColor="text1"/>
        </w:rPr>
        <w:t>;</w:t>
      </w:r>
      <w:r w:rsidRPr="006C6F80">
        <w:rPr>
          <w:color w:val="000000" w:themeColor="text1"/>
        </w:rPr>
        <w:t xml:space="preserve"> equal to 1 if the individual moved up the occupational ladder one step</w:t>
      </w:r>
      <w:r w:rsidR="00AD5F9C" w:rsidRPr="006C6F80">
        <w:rPr>
          <w:color w:val="000000" w:themeColor="text1"/>
        </w:rPr>
        <w:t>;</w:t>
      </w:r>
      <w:r w:rsidRPr="006C6F80">
        <w:rPr>
          <w:color w:val="000000" w:themeColor="text1"/>
        </w:rPr>
        <w:t xml:space="preserve"> equal to 2 if the individual moved up the occupational ladder two steps</w:t>
      </w:r>
      <w:r w:rsidR="00AD5F9C" w:rsidRPr="006C6F80">
        <w:rPr>
          <w:color w:val="000000" w:themeColor="text1"/>
        </w:rPr>
        <w:t>;</w:t>
      </w:r>
      <w:r w:rsidRPr="006C6F80">
        <w:rPr>
          <w:color w:val="000000" w:themeColor="text1"/>
        </w:rPr>
        <w:t xml:space="preserve"> and equal to 3 if the individual climbed up the occupational ladder three or four steps. We control for the same set of covariates presented in Section 3 and report the results in Table </w:t>
      </w:r>
      <w:r w:rsidR="00765848" w:rsidRPr="006C6F80">
        <w:rPr>
          <w:color w:val="000000" w:themeColor="text1"/>
        </w:rPr>
        <w:t>7</w:t>
      </w:r>
      <w:r w:rsidRPr="006C6F80">
        <w:rPr>
          <w:color w:val="000000" w:themeColor="text1"/>
        </w:rPr>
        <w:t xml:space="preserve">. In Panel A, we rely on an ordered probit model. In Panel B, we show results using an IV ordered probit model, while in Panel C, we additionally bootstrap the standard errors. </w:t>
      </w:r>
    </w:p>
    <w:p w14:paraId="2B918D47" w14:textId="140D8C28" w:rsidR="0019481A" w:rsidRPr="006C6F80" w:rsidRDefault="0019481A" w:rsidP="00B132A6">
      <w:pPr>
        <w:spacing w:after="200" w:line="480" w:lineRule="auto"/>
        <w:jc w:val="both"/>
        <w:rPr>
          <w:color w:val="000000" w:themeColor="text1"/>
        </w:rPr>
      </w:pPr>
      <w:r w:rsidRPr="006C6F80">
        <w:rPr>
          <w:color w:val="000000" w:themeColor="text1"/>
        </w:rPr>
        <w:t xml:space="preserve">Relying on the IV-ordered probit model in Panel B, we find that return migration decreases the probability of </w:t>
      </w:r>
      <w:r w:rsidR="00055725" w:rsidRPr="006C6F80">
        <w:rPr>
          <w:color w:val="000000" w:themeColor="text1"/>
        </w:rPr>
        <w:t xml:space="preserve">occupational </w:t>
      </w:r>
      <w:r w:rsidRPr="006C6F80">
        <w:rPr>
          <w:color w:val="000000" w:themeColor="text1"/>
        </w:rPr>
        <w:t xml:space="preserve">downgrading or immobility by 13 percentage points. We also find that return migrants have a consistently higher probability of leaping across occupational categories, by moving up the occupational ladder either one step, two steps, </w:t>
      </w:r>
      <w:r w:rsidR="00055725" w:rsidRPr="006C6F80">
        <w:rPr>
          <w:color w:val="000000" w:themeColor="text1"/>
        </w:rPr>
        <w:t xml:space="preserve">or even </w:t>
      </w:r>
      <w:r w:rsidRPr="006C6F80">
        <w:rPr>
          <w:color w:val="000000" w:themeColor="text1"/>
        </w:rPr>
        <w:t xml:space="preserve">three or four steps. </w:t>
      </w:r>
      <w:r w:rsidR="00055725" w:rsidRPr="006C6F80">
        <w:rPr>
          <w:color w:val="000000" w:themeColor="text1"/>
        </w:rPr>
        <w:t>I</w:t>
      </w:r>
      <w:r w:rsidRPr="006C6F80">
        <w:rPr>
          <w:color w:val="000000" w:themeColor="text1"/>
        </w:rPr>
        <w:t xml:space="preserve">nterestingly, returnees </w:t>
      </w:r>
      <w:r w:rsidR="00055725" w:rsidRPr="006C6F80">
        <w:rPr>
          <w:color w:val="000000" w:themeColor="text1"/>
        </w:rPr>
        <w:t xml:space="preserve">also </w:t>
      </w:r>
      <w:r w:rsidRPr="006C6F80">
        <w:rPr>
          <w:color w:val="000000" w:themeColor="text1"/>
        </w:rPr>
        <w:t>have a higher probability of making bigger leaps across the occupational ladder compared to stayers</w:t>
      </w:r>
      <w:r w:rsidR="00055725" w:rsidRPr="006C6F80">
        <w:rPr>
          <w:color w:val="000000" w:themeColor="text1"/>
        </w:rPr>
        <w:t>:</w:t>
      </w:r>
      <w:r w:rsidRPr="006C6F80">
        <w:rPr>
          <w:color w:val="000000" w:themeColor="text1"/>
        </w:rPr>
        <w:t xml:space="preserve"> 7 percentage points for moving up the occupational ladder 3 or 4 steps</w:t>
      </w:r>
      <w:r w:rsidR="00055725" w:rsidRPr="006C6F80">
        <w:rPr>
          <w:color w:val="000000" w:themeColor="text1"/>
        </w:rPr>
        <w:t>,</w:t>
      </w:r>
      <w:r w:rsidRPr="006C6F80">
        <w:rPr>
          <w:color w:val="000000" w:themeColor="text1"/>
        </w:rPr>
        <w:t xml:space="preserve"> compared to 4 percentage points for moving up two steps</w:t>
      </w:r>
      <w:r w:rsidR="00055725" w:rsidRPr="006C6F80">
        <w:rPr>
          <w:color w:val="000000" w:themeColor="text1"/>
        </w:rPr>
        <w:t>,</w:t>
      </w:r>
      <w:r w:rsidRPr="006C6F80">
        <w:rPr>
          <w:color w:val="000000" w:themeColor="text1"/>
        </w:rPr>
        <w:t xml:space="preserve"> and 3 percentage points for moving up 1 step. These results are consistent with those reported in Panel C, when using an IV-ordered probit model with bootstrapped standard errors. </w:t>
      </w:r>
    </w:p>
    <w:p w14:paraId="478EB0B8" w14:textId="2B56C800" w:rsidR="0019481A" w:rsidRPr="006C6F80" w:rsidRDefault="0019481A" w:rsidP="00B132A6">
      <w:pPr>
        <w:spacing w:line="480" w:lineRule="auto"/>
        <w:jc w:val="both"/>
        <w:rPr>
          <w:color w:val="000000" w:themeColor="text1"/>
        </w:rPr>
      </w:pPr>
      <w:r w:rsidRPr="006C6F80">
        <w:rPr>
          <w:b/>
          <w:bCs/>
          <w:color w:val="000000" w:themeColor="text1"/>
        </w:rPr>
        <w:t xml:space="preserve">A Difference-in-Differences matching technique: </w:t>
      </w:r>
      <w:r w:rsidRPr="006C6F80">
        <w:rPr>
          <w:color w:val="000000" w:themeColor="text1"/>
        </w:rPr>
        <w:t xml:space="preserve">We also estimate a Difference-in-Differences matching technique that allows for a within comparison between stayers and returnees, while </w:t>
      </w:r>
      <w:r w:rsidRPr="006C6F80">
        <w:rPr>
          <w:color w:val="000000" w:themeColor="text1"/>
        </w:rPr>
        <w:lastRenderedPageBreak/>
        <w:t>controlling for unobserved time-invariant heterogeneity between the two groups. First, we estimate the propensity score or the individual’s probability of receiving the treatment based on the same set of covariates presented in Section 3, as illustrated in equation (2). The treatment corresponds to return migration. Therefore, the treatment group refers to return migrants in the 1960s cohort, while the control group corresponds to stayers</w:t>
      </w:r>
      <w:r w:rsidR="00055725" w:rsidRPr="006C6F80">
        <w:rPr>
          <w:color w:val="000000" w:themeColor="text1"/>
        </w:rPr>
        <w:t xml:space="preserve"> of the same cohort</w:t>
      </w:r>
      <w:r w:rsidRPr="006C6F80">
        <w:rPr>
          <w:color w:val="000000" w:themeColor="text1"/>
        </w:rPr>
        <w:t xml:space="preserve">. We estimate the propensity score with and without controlling for the first job occupations and report both sets of results. The propensity score matching enables us to pair return migrants with stayers who have similar values of the propensity score. Therefore, </w:t>
      </w:r>
      <w:r w:rsidR="00055725" w:rsidRPr="006C6F80">
        <w:rPr>
          <w:color w:val="000000" w:themeColor="text1"/>
        </w:rPr>
        <w:t xml:space="preserve">aside from the treatment, </w:t>
      </w:r>
      <w:r w:rsidRPr="006C6F80">
        <w:rPr>
          <w:color w:val="000000" w:themeColor="text1"/>
        </w:rPr>
        <w:t xml:space="preserve">the two groups </w:t>
      </w:r>
      <w:r w:rsidR="00055725" w:rsidRPr="006C6F80">
        <w:rPr>
          <w:color w:val="000000" w:themeColor="text1"/>
        </w:rPr>
        <w:t xml:space="preserve">after the matching </w:t>
      </w:r>
      <w:r w:rsidRPr="006C6F80">
        <w:rPr>
          <w:color w:val="000000" w:themeColor="text1"/>
        </w:rPr>
        <w:t xml:space="preserve">are similar in terms of observable characteristics. To estimate the propensity score, we rely on </w:t>
      </w:r>
      <w:r w:rsidR="00055725" w:rsidRPr="006C6F80">
        <w:rPr>
          <w:color w:val="000000" w:themeColor="text1"/>
        </w:rPr>
        <w:t>a</w:t>
      </w:r>
      <w:r w:rsidRPr="006C6F80">
        <w:rPr>
          <w:color w:val="000000" w:themeColor="text1"/>
        </w:rPr>
        <w:t xml:space="preserve"> standard nearest neighbor matching technique, following </w:t>
      </w:r>
      <w:r w:rsidRPr="006C6F80">
        <w:rPr>
          <w:color w:val="000000" w:themeColor="text1"/>
          <w:shd w:val="clear" w:color="auto" w:fill="FFFFFF"/>
        </w:rPr>
        <w:t xml:space="preserve">Abadie and Imbens (2006). </w:t>
      </w:r>
      <w:r w:rsidRPr="006C6F80">
        <w:rPr>
          <w:color w:val="000000" w:themeColor="text1"/>
        </w:rPr>
        <w:t>Our matching technique is without replacement, which means that an untreated unit can only be used once as a match</w:t>
      </w:r>
      <w:r w:rsidR="00055725" w:rsidRPr="006C6F80">
        <w:rPr>
          <w:color w:val="000000" w:themeColor="text1"/>
        </w:rPr>
        <w:t xml:space="preserve">. This </w:t>
      </w:r>
      <w:r w:rsidRPr="006C6F80">
        <w:rPr>
          <w:color w:val="000000" w:themeColor="text1"/>
        </w:rPr>
        <w:t>is a well-adapted technique since we have a large number of untreated units relative to treated units (</w:t>
      </w:r>
      <w:r w:rsidRPr="006C6F80">
        <w:rPr>
          <w:color w:val="000000" w:themeColor="text1"/>
          <w:shd w:val="clear" w:color="auto" w:fill="FFFFFF"/>
        </w:rPr>
        <w:t>Caliendo and Kopeinig, 2008).</w:t>
      </w:r>
      <w:r w:rsidRPr="006C6F80">
        <w:rPr>
          <w:rFonts w:ascii="Arial" w:hAnsi="Arial" w:cs="Arial"/>
          <w:color w:val="000000" w:themeColor="text1"/>
          <w:sz w:val="20"/>
          <w:szCs w:val="20"/>
          <w:shd w:val="clear" w:color="auto" w:fill="FFFFFF"/>
        </w:rPr>
        <w:t xml:space="preserve"> </w:t>
      </w:r>
      <w:r w:rsidRPr="006C6F80">
        <w:rPr>
          <w:color w:val="000000" w:themeColor="text1"/>
        </w:rPr>
        <w:t xml:space="preserve">The key assumption for propensity score matching, illustrated in Equations (2a) and (2b), is that the outcome is orthogonal to treatment assignment (denoted by </w:t>
      </w:r>
      <m:oMath>
        <m:r>
          <w:rPr>
            <w:rFonts w:ascii="Cambria Math" w:hAnsi="Cambria Math"/>
            <w:color w:val="000000" w:themeColor="text1"/>
          </w:rPr>
          <m:t>R</m:t>
        </m:r>
      </m:oMath>
      <w:r w:rsidRPr="006C6F80">
        <w:rPr>
          <w:color w:val="000000" w:themeColor="text1"/>
        </w:rPr>
        <w:t xml:space="preserve">) conditional on </w:t>
      </w:r>
      <m:oMath>
        <m:r>
          <w:rPr>
            <w:rFonts w:ascii="Cambria Math" w:hAnsi="Cambria Math"/>
            <w:color w:val="000000" w:themeColor="text1"/>
          </w:rPr>
          <m:t>X</m:t>
        </m:r>
      </m:oMath>
      <w:r w:rsidRPr="006C6F80">
        <w:rPr>
          <w:color w:val="000000" w:themeColor="text1"/>
        </w:rPr>
        <w:t xml:space="preserve">. </w:t>
      </w:r>
    </w:p>
    <w:p w14:paraId="481E6945" w14:textId="77777777" w:rsidR="0019481A" w:rsidRPr="006C6F80" w:rsidRDefault="0019481A" w:rsidP="00B132A6">
      <w:pPr>
        <w:pStyle w:val="ListParagraph"/>
        <w:spacing w:line="480" w:lineRule="auto"/>
        <w:jc w:val="center"/>
        <w:rPr>
          <w:rFonts w:ascii="Times New Roman" w:hAnsi="Times New Roman" w:cs="Times New Roman"/>
          <w:color w:val="000000" w:themeColor="text1"/>
          <w:sz w:val="24"/>
          <w:szCs w:val="24"/>
          <w:lang w:val="en-US"/>
        </w:rPr>
      </w:pPr>
      <m:oMath>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Returnee</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γ</m:t>
            </m:r>
          </m:e>
          <m:sub>
            <m:r>
              <w:rPr>
                <w:rFonts w:ascii="Cambria Math" w:hAnsi="Cambria Math" w:cs="Times New Roman"/>
                <w:color w:val="000000" w:themeColor="text1"/>
                <w:sz w:val="24"/>
                <w:szCs w:val="24"/>
                <w:lang w:val="en-US"/>
              </w:rPr>
              <m:t>0</m:t>
            </m:r>
          </m:sub>
        </m:sSub>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γ</m:t>
            </m:r>
          </m:e>
          <m:sub>
            <m:r>
              <w:rPr>
                <w:rFonts w:ascii="Cambria Math" w:hAnsi="Cambria Math" w:cs="Times New Roman"/>
                <w:color w:val="000000" w:themeColor="text1"/>
                <w:sz w:val="24"/>
                <w:szCs w:val="24"/>
                <w:lang w:val="en-US"/>
              </w:rPr>
              <m:t>1</m:t>
            </m:r>
          </m:sub>
        </m:sSub>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X</m:t>
            </m:r>
          </m:e>
          <m:sub>
            <m:r>
              <w:rPr>
                <w:rFonts w:ascii="Cambria Math" w:hAnsi="Cambria Math" w:cs="Times New Roman"/>
                <w:color w:val="000000" w:themeColor="text1"/>
                <w:sz w:val="24"/>
                <w:szCs w:val="24"/>
                <w:lang w:val="en-US"/>
              </w:rPr>
              <m:t>i</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 xml:space="preserve"> t</m:t>
                </m:r>
              </m:e>
              <m:sub>
                <m:r>
                  <w:rPr>
                    <w:rFonts w:ascii="Cambria Math" w:hAnsi="Cambria Math" w:cs="Times New Roman"/>
                    <w:color w:val="000000" w:themeColor="text1"/>
                    <w:sz w:val="24"/>
                    <w:szCs w:val="24"/>
                    <w:lang w:val="en-US"/>
                  </w:rPr>
                  <m:t>0</m:t>
                </m:r>
              </m:sub>
            </m:sSub>
          </m:sub>
        </m:sSub>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γ</m:t>
            </m:r>
          </m:e>
          <m:sub>
            <m:r>
              <w:rPr>
                <w:rFonts w:ascii="Cambria Math" w:hAnsi="Cambria Math" w:cs="Times New Roman"/>
                <w:color w:val="000000" w:themeColor="text1"/>
                <w:sz w:val="24"/>
                <w:szCs w:val="24"/>
                <w:lang w:val="en-US"/>
              </w:rPr>
              <m:t>2</m:t>
            </m:r>
          </m:sub>
        </m:sSub>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Z</m:t>
            </m:r>
          </m:e>
          <m:sub>
            <m:r>
              <w:rPr>
                <w:rFonts w:ascii="Cambria Math" w:hAnsi="Cambria Math" w:cs="Times New Roman"/>
                <w:color w:val="000000" w:themeColor="text1"/>
                <w:sz w:val="24"/>
                <w:szCs w:val="24"/>
                <w:lang w:val="en-US"/>
              </w:rPr>
              <m:t xml:space="preserve">i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t</m:t>
                </m:r>
              </m:e>
              <m:sub>
                <m:r>
                  <w:rPr>
                    <w:rFonts w:ascii="Cambria Math" w:hAnsi="Cambria Math" w:cs="Times New Roman"/>
                    <w:color w:val="000000" w:themeColor="text1"/>
                    <w:sz w:val="24"/>
                    <w:szCs w:val="24"/>
                    <w:lang w:val="en-US"/>
                  </w:rPr>
                  <m:t>0</m:t>
                </m:r>
              </m:sub>
            </m:sSub>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ε</m:t>
            </m:r>
          </m:e>
          <m:sub>
            <m:r>
              <w:rPr>
                <w:rFonts w:ascii="Cambria Math" w:hAnsi="Cambria Math" w:cs="Times New Roman"/>
                <w:color w:val="000000" w:themeColor="text1"/>
                <w:sz w:val="24"/>
                <w:szCs w:val="24"/>
                <w:lang w:val="en-US"/>
              </w:rPr>
              <m:t>i</m:t>
            </m:r>
          </m:sub>
        </m:sSub>
      </m:oMath>
      <w:r w:rsidRPr="006C6F80">
        <w:rPr>
          <w:rFonts w:ascii="Times New Roman" w:hAnsi="Times New Roman" w:cs="Times New Roman"/>
          <w:color w:val="000000" w:themeColor="text1"/>
          <w:sz w:val="24"/>
          <w:szCs w:val="24"/>
          <w:lang w:val="en-US"/>
        </w:rPr>
        <w:t xml:space="preserve">                                        (2)</w:t>
      </w:r>
    </w:p>
    <w:p w14:paraId="51B96185" w14:textId="77777777" w:rsidR="0019481A" w:rsidRPr="006C6F80" w:rsidRDefault="0019481A" w:rsidP="00B132A6">
      <w:pPr>
        <w:spacing w:after="200" w:line="480" w:lineRule="auto"/>
        <w:jc w:val="center"/>
        <w:rPr>
          <w:color w:val="000000" w:themeColor="text1"/>
        </w:rPr>
      </w:pPr>
      <w:r w:rsidRPr="006C6F80">
        <w:rPr>
          <w:color w:val="000000" w:themeColor="text1"/>
          <w:sz w:val="20"/>
          <w:szCs w:val="20"/>
        </w:rPr>
        <w:t xml:space="preserve">                       </w:t>
      </w:r>
      <m:oMath>
        <m:r>
          <w:rPr>
            <w:rFonts w:ascii="Cambria Math" w:hAnsi="Cambria Math"/>
            <w:color w:val="000000" w:themeColor="text1"/>
            <w:sz w:val="20"/>
            <w:szCs w:val="20"/>
          </w:rPr>
          <m:t>E</m:t>
        </m:r>
        <m:d>
          <m:dPr>
            <m:ctrlPr>
              <w:rPr>
                <w:rFonts w:ascii="Cambria Math" w:hAnsi="Cambria Math"/>
                <w:i/>
                <w:color w:val="000000" w:themeColor="text1"/>
                <w:sz w:val="20"/>
                <w:szCs w:val="20"/>
              </w:rPr>
            </m:ctrlPr>
          </m:dPr>
          <m:e>
            <m:sSup>
              <m:sSupPr>
                <m:ctrlPr>
                  <w:rPr>
                    <w:rFonts w:ascii="Cambria Math" w:hAnsi="Cambria Math"/>
                    <w:i/>
                    <w:color w:val="000000" w:themeColor="text1"/>
                    <w:sz w:val="20"/>
                    <w:szCs w:val="20"/>
                  </w:rPr>
                </m:ctrlPr>
              </m:sSupPr>
              <m:e>
                <m:acc>
                  <m:accPr>
                    <m:chr m:val="̅"/>
                    <m:ctrlPr>
                      <w:rPr>
                        <w:rFonts w:ascii="Cambria Math" w:hAnsi="Cambria Math"/>
                        <w:i/>
                        <w:color w:val="000000" w:themeColor="text1"/>
                        <w:sz w:val="20"/>
                        <w:szCs w:val="20"/>
                      </w:rPr>
                    </m:ctrlPr>
                  </m:accPr>
                  <m:e>
                    <m:r>
                      <w:rPr>
                        <w:rFonts w:ascii="Cambria Math" w:hAnsi="Cambria Math"/>
                        <w:color w:val="000000" w:themeColor="text1"/>
                        <w:sz w:val="20"/>
                        <w:szCs w:val="20"/>
                      </w:rPr>
                      <m:t>Y</m:t>
                    </m:r>
                  </m:e>
                </m:acc>
              </m:e>
              <m:sup>
                <m:r>
                  <w:rPr>
                    <w:rFonts w:ascii="Cambria Math" w:hAnsi="Cambria Math"/>
                    <w:color w:val="000000" w:themeColor="text1"/>
                    <w:sz w:val="20"/>
                    <w:szCs w:val="20"/>
                  </w:rPr>
                  <m:t>returnees,t=1</m:t>
                </m:r>
              </m:sup>
            </m:sSup>
            <m:r>
              <w:rPr>
                <w:rFonts w:ascii="Cambria Math" w:hAnsi="Cambria Math"/>
                <w:color w:val="000000" w:themeColor="text1"/>
                <w:sz w:val="20"/>
                <w:szCs w:val="20"/>
              </w:rPr>
              <m:t xml:space="preserve">- </m:t>
            </m:r>
            <m:sSup>
              <m:sSupPr>
                <m:ctrlPr>
                  <w:rPr>
                    <w:rFonts w:ascii="Cambria Math" w:hAnsi="Cambria Math"/>
                    <w:i/>
                    <w:color w:val="000000" w:themeColor="text1"/>
                    <w:sz w:val="20"/>
                    <w:szCs w:val="20"/>
                  </w:rPr>
                </m:ctrlPr>
              </m:sSupPr>
              <m:e>
                <m:acc>
                  <m:accPr>
                    <m:chr m:val="̅"/>
                    <m:ctrlPr>
                      <w:rPr>
                        <w:rFonts w:ascii="Cambria Math" w:hAnsi="Cambria Math"/>
                        <w:i/>
                        <w:color w:val="000000" w:themeColor="text1"/>
                        <w:sz w:val="20"/>
                        <w:szCs w:val="20"/>
                      </w:rPr>
                    </m:ctrlPr>
                  </m:accPr>
                  <m:e>
                    <m:r>
                      <w:rPr>
                        <w:rFonts w:ascii="Cambria Math" w:hAnsi="Cambria Math"/>
                        <w:color w:val="000000" w:themeColor="text1"/>
                        <w:sz w:val="20"/>
                        <w:szCs w:val="20"/>
                      </w:rPr>
                      <m:t>Y</m:t>
                    </m:r>
                  </m:e>
                </m:acc>
              </m:e>
              <m:sup>
                <m:r>
                  <w:rPr>
                    <w:rFonts w:ascii="Cambria Math" w:hAnsi="Cambria Math"/>
                    <w:color w:val="000000" w:themeColor="text1"/>
                    <w:sz w:val="20"/>
                    <w:szCs w:val="20"/>
                  </w:rPr>
                  <m:t>returnees, t=0</m:t>
                </m:r>
              </m:sup>
            </m:sSup>
            <m:r>
              <w:rPr>
                <w:rFonts w:ascii="Cambria Math" w:hAnsi="Cambria Math"/>
                <w:color w:val="000000" w:themeColor="text1"/>
                <w:sz w:val="20"/>
                <w:szCs w:val="20"/>
              </w:rPr>
              <m:t>|X, R=1</m:t>
            </m:r>
          </m:e>
        </m:d>
        <m:r>
          <w:rPr>
            <w:rFonts w:ascii="Cambria Math" w:hAnsi="Cambria Math"/>
            <w:color w:val="000000" w:themeColor="text1"/>
            <w:sz w:val="20"/>
            <w:szCs w:val="20"/>
          </w:rPr>
          <m:t>=E</m:t>
        </m:r>
        <m:d>
          <m:dPr>
            <m:ctrlPr>
              <w:rPr>
                <w:rFonts w:ascii="Cambria Math" w:hAnsi="Cambria Math"/>
                <w:i/>
                <w:color w:val="000000" w:themeColor="text1"/>
                <w:sz w:val="20"/>
                <w:szCs w:val="20"/>
              </w:rPr>
            </m:ctrlPr>
          </m:dPr>
          <m:e>
            <m:sSup>
              <m:sSupPr>
                <m:ctrlPr>
                  <w:rPr>
                    <w:rFonts w:ascii="Cambria Math" w:hAnsi="Cambria Math"/>
                    <w:i/>
                    <w:color w:val="000000" w:themeColor="text1"/>
                    <w:sz w:val="20"/>
                    <w:szCs w:val="20"/>
                  </w:rPr>
                </m:ctrlPr>
              </m:sSupPr>
              <m:e>
                <m:acc>
                  <m:accPr>
                    <m:chr m:val="̅"/>
                    <m:ctrlPr>
                      <w:rPr>
                        <w:rFonts w:ascii="Cambria Math" w:hAnsi="Cambria Math"/>
                        <w:i/>
                        <w:color w:val="000000" w:themeColor="text1"/>
                        <w:sz w:val="20"/>
                        <w:szCs w:val="20"/>
                      </w:rPr>
                    </m:ctrlPr>
                  </m:accPr>
                  <m:e>
                    <m:r>
                      <w:rPr>
                        <w:rFonts w:ascii="Cambria Math" w:hAnsi="Cambria Math"/>
                        <w:color w:val="000000" w:themeColor="text1"/>
                        <w:sz w:val="20"/>
                        <w:szCs w:val="20"/>
                      </w:rPr>
                      <m:t>Y</m:t>
                    </m:r>
                  </m:e>
                </m:acc>
              </m:e>
              <m:sup>
                <m:r>
                  <w:rPr>
                    <w:rFonts w:ascii="Cambria Math" w:hAnsi="Cambria Math"/>
                    <w:color w:val="000000" w:themeColor="text1"/>
                    <w:sz w:val="20"/>
                    <w:szCs w:val="20"/>
                  </w:rPr>
                  <m:t>stayers, t=1</m:t>
                </m:r>
              </m:sup>
            </m:sSup>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acc>
                  <m:accPr>
                    <m:chr m:val="̅"/>
                    <m:ctrlPr>
                      <w:rPr>
                        <w:rFonts w:ascii="Cambria Math" w:hAnsi="Cambria Math"/>
                        <w:i/>
                        <w:color w:val="000000" w:themeColor="text1"/>
                        <w:sz w:val="20"/>
                        <w:szCs w:val="20"/>
                      </w:rPr>
                    </m:ctrlPr>
                  </m:accPr>
                  <m:e>
                    <m:r>
                      <w:rPr>
                        <w:rFonts w:ascii="Cambria Math" w:hAnsi="Cambria Math"/>
                        <w:color w:val="000000" w:themeColor="text1"/>
                        <w:sz w:val="20"/>
                        <w:szCs w:val="20"/>
                      </w:rPr>
                      <m:t>Y</m:t>
                    </m:r>
                  </m:e>
                </m:acc>
              </m:e>
              <m:sup>
                <m:r>
                  <w:rPr>
                    <w:rFonts w:ascii="Cambria Math" w:hAnsi="Cambria Math"/>
                    <w:color w:val="000000" w:themeColor="text1"/>
                    <w:sz w:val="20"/>
                    <w:szCs w:val="20"/>
                  </w:rPr>
                  <m:t>stayers, t=0</m:t>
                </m:r>
              </m:sup>
            </m:sSup>
            <m:r>
              <w:rPr>
                <w:rFonts w:ascii="Cambria Math" w:hAnsi="Cambria Math"/>
                <w:color w:val="000000" w:themeColor="text1"/>
                <w:sz w:val="20"/>
                <w:szCs w:val="20"/>
              </w:rPr>
              <m:t>|X, R=0</m:t>
            </m:r>
          </m:e>
        </m:d>
      </m:oMath>
      <w:r w:rsidRPr="006C6F80">
        <w:rPr>
          <w:color w:val="000000" w:themeColor="text1"/>
          <w:sz w:val="20"/>
          <w:szCs w:val="20"/>
        </w:rPr>
        <w:t xml:space="preserve">               </w:t>
      </w:r>
      <w:r w:rsidRPr="006C6F80">
        <w:rPr>
          <w:color w:val="000000" w:themeColor="text1"/>
        </w:rPr>
        <w:t>(2a)</w:t>
      </w:r>
    </w:p>
    <w:p w14:paraId="4FDF02E8" w14:textId="77777777" w:rsidR="0019481A" w:rsidRPr="006C6F80" w:rsidRDefault="0019481A" w:rsidP="00B132A6">
      <w:pPr>
        <w:spacing w:after="200" w:line="480" w:lineRule="auto"/>
        <w:jc w:val="center"/>
        <w:rPr>
          <w:color w:val="000000" w:themeColor="text1"/>
          <w:sz w:val="20"/>
          <w:szCs w:val="20"/>
        </w:rPr>
      </w:pPr>
      <w:r w:rsidRPr="006C6F80">
        <w:rPr>
          <w:color w:val="000000" w:themeColor="text1"/>
          <w:sz w:val="20"/>
          <w:szCs w:val="20"/>
        </w:rPr>
        <w:t xml:space="preserve">                                                                          </w:t>
      </w:r>
      <m:oMath>
        <m:r>
          <w:rPr>
            <w:rFonts w:ascii="Cambria Math" w:hAnsi="Cambria Math"/>
            <w:color w:val="000000" w:themeColor="text1"/>
            <w:sz w:val="20"/>
            <w:szCs w:val="20"/>
          </w:rPr>
          <m:t>0&lt;P</m:t>
        </m:r>
        <m:d>
          <m:dPr>
            <m:ctrlPr>
              <w:rPr>
                <w:rFonts w:ascii="Cambria Math" w:hAnsi="Cambria Math"/>
                <w:i/>
                <w:color w:val="000000" w:themeColor="text1"/>
                <w:sz w:val="20"/>
                <w:szCs w:val="20"/>
              </w:rPr>
            </m:ctrlPr>
          </m:dPr>
          <m:e>
            <m:r>
              <w:rPr>
                <w:rFonts w:ascii="Cambria Math" w:hAnsi="Cambria Math"/>
                <w:color w:val="000000" w:themeColor="text1"/>
                <w:sz w:val="20"/>
                <w:szCs w:val="20"/>
              </w:rPr>
              <m:t>R=1</m:t>
            </m:r>
          </m:e>
          <m:e>
            <m:r>
              <w:rPr>
                <w:rFonts w:ascii="Cambria Math" w:hAnsi="Cambria Math"/>
                <w:color w:val="000000" w:themeColor="text1"/>
                <w:sz w:val="20"/>
                <w:szCs w:val="20"/>
              </w:rPr>
              <m:t>X</m:t>
            </m:r>
          </m:e>
        </m:d>
        <m:r>
          <w:rPr>
            <w:rFonts w:ascii="Cambria Math" w:hAnsi="Cambria Math"/>
            <w:color w:val="000000" w:themeColor="text1"/>
            <w:sz w:val="20"/>
            <w:szCs w:val="20"/>
          </w:rPr>
          <m:t xml:space="preserve">&lt;1  </m:t>
        </m:r>
      </m:oMath>
      <w:r w:rsidRPr="006C6F80">
        <w:rPr>
          <w:color w:val="000000" w:themeColor="text1"/>
          <w:sz w:val="20"/>
          <w:szCs w:val="20"/>
        </w:rPr>
        <w:t xml:space="preserve">                                                                    </w:t>
      </w:r>
      <w:r w:rsidRPr="006C6F80">
        <w:rPr>
          <w:color w:val="000000" w:themeColor="text1"/>
        </w:rPr>
        <w:t>(2b)</w:t>
      </w:r>
    </w:p>
    <w:p w14:paraId="6755B88F" w14:textId="3B43837D" w:rsidR="0019481A" w:rsidRPr="006C6F80" w:rsidRDefault="0019481A" w:rsidP="00B132A6">
      <w:pPr>
        <w:spacing w:line="480" w:lineRule="auto"/>
        <w:jc w:val="both"/>
        <w:rPr>
          <w:color w:val="000000" w:themeColor="text1"/>
        </w:rPr>
      </w:pPr>
      <w:r w:rsidRPr="006C6F80">
        <w:rPr>
          <w:color w:val="000000" w:themeColor="text1"/>
        </w:rPr>
        <w:t xml:space="preserve">Second, we combine the propensity score matching with a standard Difference-in-Differences specification, based on the matched sample of returnees and stayers relying on equation (3). </w:t>
      </w: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it</m:t>
            </m:r>
          </m:sub>
        </m:sSub>
      </m:oMath>
      <w:r w:rsidRPr="006C6F80">
        <w:rPr>
          <w:color w:val="000000" w:themeColor="text1"/>
        </w:rPr>
        <w:t xml:space="preserve"> is the individual’s occupation at time </w:t>
      </w:r>
      <w:r w:rsidRPr="006C6F80">
        <w:rPr>
          <w:i/>
          <w:iCs/>
          <w:color w:val="000000" w:themeColor="text1"/>
        </w:rPr>
        <w:t>t,</w:t>
      </w:r>
      <w:r w:rsidRPr="006C6F80">
        <w:rPr>
          <w:color w:val="000000" w:themeColor="text1"/>
        </w:rPr>
        <w:t xml:space="preserve"> split into five distinct occupational categories</w:t>
      </w:r>
      <w:r w:rsidR="00B975F1" w:rsidRPr="006C6F80">
        <w:rPr>
          <w:color w:val="000000" w:themeColor="text1"/>
        </w:rPr>
        <w:t>,</w:t>
      </w:r>
      <w:r w:rsidRPr="006C6F80">
        <w:rPr>
          <w:color w:val="000000" w:themeColor="text1"/>
        </w:rPr>
        <w:t xml:space="preserve"> according to the one digit ISCO-88 classification: agriculture, low-skilled blue-collar, high-skilled blue-collar, </w:t>
      </w:r>
      <w:r w:rsidRPr="006C6F80">
        <w:rPr>
          <w:color w:val="000000" w:themeColor="text1"/>
        </w:rPr>
        <w:lastRenderedPageBreak/>
        <w:t>low-skilled white-collar</w:t>
      </w:r>
      <w:r w:rsidR="00B975F1" w:rsidRPr="006C6F80">
        <w:rPr>
          <w:color w:val="000000" w:themeColor="text1"/>
        </w:rPr>
        <w:t>,</w:t>
      </w:r>
      <w:r w:rsidRPr="006C6F80">
        <w:rPr>
          <w:color w:val="000000" w:themeColor="text1"/>
        </w:rPr>
        <w:t xml:space="preserve"> and high-skilled white-collar.</w:t>
      </w:r>
      <m:oMath>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Returnee</m:t>
            </m:r>
          </m:e>
          <m:sub>
            <m:r>
              <w:rPr>
                <w:rFonts w:ascii="Cambria Math" w:hAnsi="Cambria Math"/>
                <w:color w:val="000000" w:themeColor="text1"/>
              </w:rPr>
              <m:t>i</m:t>
            </m:r>
          </m:sub>
        </m:sSub>
      </m:oMath>
      <w:r w:rsidRPr="006C6F80">
        <w:rPr>
          <w:color w:val="000000" w:themeColor="text1"/>
        </w:rPr>
        <w:t xml:space="preserve"> is a dummy variable equal to one for the sample of returnees and to zero for the sample of stayers in the 1960s cohort. </w:t>
      </w:r>
      <m:oMath>
        <m:sSub>
          <m:sSubPr>
            <m:ctrlPr>
              <w:rPr>
                <w:rFonts w:ascii="Cambria Math" w:hAnsi="Cambria Math"/>
                <w:i/>
                <w:color w:val="000000" w:themeColor="text1"/>
              </w:rPr>
            </m:ctrlPr>
          </m:sSubPr>
          <m:e>
            <m:r>
              <w:rPr>
                <w:rFonts w:ascii="Cambria Math" w:hAnsi="Cambria Math"/>
                <w:color w:val="000000" w:themeColor="text1"/>
              </w:rPr>
              <m:t>2010</m:t>
            </m:r>
          </m:e>
          <m:sub>
            <m:r>
              <w:rPr>
                <w:rFonts w:ascii="Cambria Math" w:hAnsi="Cambria Math"/>
                <w:color w:val="000000" w:themeColor="text1"/>
              </w:rPr>
              <m:t>t</m:t>
            </m:r>
          </m:sub>
        </m:sSub>
      </m:oMath>
      <w:r w:rsidRPr="006C6F80">
        <w:rPr>
          <w:color w:val="000000" w:themeColor="text1"/>
        </w:rPr>
        <w:t xml:space="preserve"> is a dummy variable equal to one in 2010 and equal to zero for the first job. The time dummy captures aggregate factors that could cause changes in the individual occupations even in the absence of the treatment. Equation (3) also includes a dummy variable for each pair of matched stayer and returnee, </w:t>
      </w:r>
      <m:oMath>
        <m:sSub>
          <m:sSubPr>
            <m:ctrlPr>
              <w:rPr>
                <w:rFonts w:ascii="Cambria Math" w:hAnsi="Cambria Math"/>
                <w:i/>
                <w:color w:val="000000" w:themeColor="text1"/>
              </w:rPr>
            </m:ctrlPr>
          </m:sSubPr>
          <m:e>
            <m:r>
              <w:rPr>
                <w:rFonts w:ascii="Cambria Math" w:hAnsi="Cambria Math"/>
                <w:color w:val="000000" w:themeColor="text1"/>
              </w:rPr>
              <m:t>Matched</m:t>
            </m:r>
          </m:e>
          <m:sub>
            <m:r>
              <w:rPr>
                <w:rFonts w:ascii="Cambria Math" w:hAnsi="Cambria Math"/>
                <w:color w:val="000000" w:themeColor="text1"/>
              </w:rPr>
              <m:t>i</m:t>
            </m:r>
          </m:sub>
        </m:sSub>
      </m:oMath>
      <w:r w:rsidRPr="006C6F80">
        <w:rPr>
          <w:color w:val="000000" w:themeColor="text1"/>
        </w:rPr>
        <w:t xml:space="preserve">, to allow for a within comparison between stayers and returnees with similar propensity score values. The coefficient of interest is </w:t>
      </w:r>
      <m:oMath>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3</m:t>
            </m:r>
          </m:sub>
        </m:sSub>
      </m:oMath>
      <w:r w:rsidR="00B975F1" w:rsidRPr="006C6F80">
        <w:rPr>
          <w:color w:val="000000" w:themeColor="text1"/>
        </w:rPr>
        <w:t>: i</w:t>
      </w:r>
      <w:r w:rsidRPr="006C6F80">
        <w:rPr>
          <w:color w:val="000000" w:themeColor="text1"/>
        </w:rPr>
        <w:t xml:space="preserve">t multiplies the interaction term between the treatment variable and the time period dummy. The Difference-in-Differences estimator in Equation (3a) is the difference in the average occupational ranking among the returnees between the follow-up and the baseline periods, minus the difference in the average occupational ranking among the stayers for the same periods. It differences out all unobserved time-invariant differences between the treatment and control groups.     </w:t>
      </w:r>
    </w:p>
    <w:p w14:paraId="5E962F4C" w14:textId="77777777" w:rsidR="0019481A" w:rsidRPr="006C6F80" w:rsidRDefault="0019481A" w:rsidP="00B132A6">
      <w:pPr>
        <w:spacing w:after="200" w:line="480" w:lineRule="auto"/>
        <w:jc w:val="both"/>
        <w:rPr>
          <w:color w:val="000000" w:themeColor="text1"/>
        </w:rPr>
      </w:pPr>
      <w:r w:rsidRPr="006C6F8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it</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Returnee</m:t>
                </m:r>
              </m:e>
              <m:sub>
                <m:r>
                  <w:rPr>
                    <w:rFonts w:ascii="Cambria Math" w:hAnsi="Cambria Math"/>
                    <w:color w:val="000000" w:themeColor="text1"/>
                  </w:rPr>
                  <m:t xml:space="preserve">i  </m:t>
                </m:r>
              </m:sub>
            </m:sSub>
            <m:r>
              <w:rPr>
                <w:rFonts w:ascii="Cambria Math" w:hAnsi="Cambria Math"/>
                <w:color w:val="000000" w:themeColor="text1"/>
              </w:rPr>
              <m:t>+β</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2010</m:t>
            </m:r>
          </m:e>
          <m:sub>
            <m:r>
              <w:rPr>
                <w:rFonts w:ascii="Cambria Math" w:hAnsi="Cambria Math"/>
                <w:color w:val="000000" w:themeColor="text1"/>
              </w:rPr>
              <m:t>t</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Returnee</m:t>
            </m:r>
          </m:e>
          <m:sub>
            <m:r>
              <w:rPr>
                <w:rFonts w:ascii="Cambria Math" w:hAnsi="Cambria Math"/>
                <w:color w:val="000000" w:themeColor="text1"/>
              </w:rPr>
              <m:t xml:space="preserve">i  </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2010</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Matched</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it</m:t>
            </m:r>
          </m:sub>
        </m:sSub>
      </m:oMath>
      <w:r w:rsidRPr="006C6F80">
        <w:rPr>
          <w:color w:val="000000" w:themeColor="text1"/>
        </w:rPr>
        <w:t xml:space="preserve">         (3)  </w:t>
      </w:r>
    </w:p>
    <w:p w14:paraId="43D143D8" w14:textId="281823EF" w:rsidR="0019481A" w:rsidRPr="006C6F80" w:rsidRDefault="0019481A" w:rsidP="00B132A6">
      <w:pPr>
        <w:spacing w:after="200" w:line="480" w:lineRule="auto"/>
        <w:jc w:val="center"/>
        <w:rPr>
          <w:color w:val="000000" w:themeColor="text1"/>
        </w:rPr>
      </w:pPr>
      <w:r w:rsidRPr="006C6F80">
        <w:rPr>
          <w:color w:val="000000" w:themeColor="text1"/>
        </w:rPr>
        <w:t xml:space="preserve">                    </w:t>
      </w:r>
      <m:oMath>
        <m:sSub>
          <m:sSubPr>
            <m:ctrlPr>
              <w:rPr>
                <w:rFonts w:ascii="Cambria Math" w:hAnsi="Cambria Math"/>
                <w:i/>
                <w:color w:val="000000" w:themeColor="text1"/>
              </w:rPr>
            </m:ctrlPr>
          </m:sSubPr>
          <m:e>
            <m:acc>
              <m:accPr>
                <m:ctrlPr>
                  <w:rPr>
                    <w:rFonts w:ascii="Cambria Math" w:hAnsi="Cambria Math"/>
                    <w:i/>
                    <w:color w:val="000000" w:themeColor="text1"/>
                  </w:rPr>
                </m:ctrlPr>
              </m:accPr>
              <m:e>
                <m:r>
                  <w:rPr>
                    <w:rFonts w:ascii="Cambria Math" w:hAnsi="Cambria Math"/>
                    <w:color w:val="000000" w:themeColor="text1"/>
                  </w:rPr>
                  <m:t>β</m:t>
                </m:r>
              </m:e>
            </m:acc>
          </m:e>
          <m:sub>
            <m:r>
              <w:rPr>
                <w:rFonts w:ascii="Cambria Math" w:hAnsi="Cambria Math"/>
                <w:color w:val="000000" w:themeColor="text1"/>
              </w:rPr>
              <m:t>3</m:t>
            </m:r>
          </m:sub>
        </m:sSub>
        <m:r>
          <w:rPr>
            <w:rFonts w:ascii="Cambria Math" w:hAnsi="Cambria Math"/>
            <w:color w:val="000000" w:themeColor="text1"/>
          </w:rPr>
          <m:t>=</m:t>
        </m:r>
        <m:d>
          <m:dPr>
            <m:ctrlPr>
              <w:rPr>
                <w:rFonts w:ascii="Cambria Math" w:hAnsi="Cambria Math"/>
                <w:i/>
                <w:color w:val="000000" w:themeColor="text1"/>
              </w:rPr>
            </m:ctrlPr>
          </m:dPr>
          <m:e>
            <m:sSup>
              <m:sSupPr>
                <m:ctrlPr>
                  <w:rPr>
                    <w:rFonts w:ascii="Cambria Math" w:hAnsi="Cambria Math"/>
                    <w:i/>
                    <w:color w:val="000000" w:themeColor="text1"/>
                  </w:rPr>
                </m:ctrlPr>
              </m:sSupPr>
              <m:e>
                <m:acc>
                  <m:accPr>
                    <m:chr m:val="̅"/>
                    <m:ctrlPr>
                      <w:rPr>
                        <w:rFonts w:ascii="Cambria Math" w:hAnsi="Cambria Math"/>
                        <w:i/>
                        <w:color w:val="000000" w:themeColor="text1"/>
                      </w:rPr>
                    </m:ctrlPr>
                  </m:accPr>
                  <m:e>
                    <m:r>
                      <w:rPr>
                        <w:rFonts w:ascii="Cambria Math" w:hAnsi="Cambria Math"/>
                        <w:color w:val="000000" w:themeColor="text1"/>
                      </w:rPr>
                      <m:t>Y</m:t>
                    </m:r>
                  </m:e>
                </m:acc>
              </m:e>
              <m:sup>
                <m:r>
                  <w:rPr>
                    <w:rFonts w:ascii="Cambria Math" w:hAnsi="Cambria Math"/>
                    <w:color w:val="000000" w:themeColor="text1"/>
                  </w:rPr>
                  <m:t>returnees,t=1</m:t>
                </m:r>
              </m:sup>
            </m:sSup>
            <m:r>
              <w:rPr>
                <w:rFonts w:ascii="Cambria Math" w:hAnsi="Cambria Math"/>
                <w:color w:val="000000" w:themeColor="text1"/>
              </w:rPr>
              <m:t xml:space="preserve">- </m:t>
            </m:r>
            <m:sSup>
              <m:sSupPr>
                <m:ctrlPr>
                  <w:rPr>
                    <w:rFonts w:ascii="Cambria Math" w:hAnsi="Cambria Math"/>
                    <w:i/>
                    <w:color w:val="000000" w:themeColor="text1"/>
                  </w:rPr>
                </m:ctrlPr>
              </m:sSupPr>
              <m:e>
                <m:acc>
                  <m:accPr>
                    <m:chr m:val="̅"/>
                    <m:ctrlPr>
                      <w:rPr>
                        <w:rFonts w:ascii="Cambria Math" w:hAnsi="Cambria Math"/>
                        <w:i/>
                        <w:color w:val="000000" w:themeColor="text1"/>
                      </w:rPr>
                    </m:ctrlPr>
                  </m:accPr>
                  <m:e>
                    <m:r>
                      <w:rPr>
                        <w:rFonts w:ascii="Cambria Math" w:hAnsi="Cambria Math"/>
                        <w:color w:val="000000" w:themeColor="text1"/>
                      </w:rPr>
                      <m:t>Y</m:t>
                    </m:r>
                  </m:e>
                </m:acc>
              </m:e>
              <m:sup>
                <m:r>
                  <w:rPr>
                    <w:rFonts w:ascii="Cambria Math" w:hAnsi="Cambria Math"/>
                    <w:color w:val="000000" w:themeColor="text1"/>
                  </w:rPr>
                  <m:t>returnees, t=0</m:t>
                </m:r>
              </m:sup>
            </m:sSup>
          </m:e>
        </m:d>
        <m:r>
          <w:rPr>
            <w:rFonts w:ascii="Cambria Math" w:hAnsi="Cambria Math"/>
            <w:color w:val="000000" w:themeColor="text1"/>
          </w:rPr>
          <m:t>-</m:t>
        </m:r>
        <m:d>
          <m:dPr>
            <m:ctrlPr>
              <w:rPr>
                <w:rFonts w:ascii="Cambria Math" w:hAnsi="Cambria Math"/>
                <w:i/>
                <w:color w:val="000000" w:themeColor="text1"/>
              </w:rPr>
            </m:ctrlPr>
          </m:dPr>
          <m:e>
            <m:sSup>
              <m:sSupPr>
                <m:ctrlPr>
                  <w:rPr>
                    <w:rFonts w:ascii="Cambria Math" w:hAnsi="Cambria Math"/>
                    <w:i/>
                    <w:color w:val="000000" w:themeColor="text1"/>
                  </w:rPr>
                </m:ctrlPr>
              </m:sSupPr>
              <m:e>
                <m:acc>
                  <m:accPr>
                    <m:chr m:val="̅"/>
                    <m:ctrlPr>
                      <w:rPr>
                        <w:rFonts w:ascii="Cambria Math" w:hAnsi="Cambria Math"/>
                        <w:i/>
                        <w:color w:val="000000" w:themeColor="text1"/>
                      </w:rPr>
                    </m:ctrlPr>
                  </m:accPr>
                  <m:e>
                    <m:r>
                      <w:rPr>
                        <w:rFonts w:ascii="Cambria Math" w:hAnsi="Cambria Math"/>
                        <w:color w:val="000000" w:themeColor="text1"/>
                      </w:rPr>
                      <m:t>Y</m:t>
                    </m:r>
                  </m:e>
                </m:acc>
              </m:e>
              <m:sup>
                <m:r>
                  <w:rPr>
                    <w:rFonts w:ascii="Cambria Math" w:hAnsi="Cambria Math"/>
                    <w:color w:val="000000" w:themeColor="text1"/>
                  </w:rPr>
                  <m:t>stayers, t=1</m:t>
                </m:r>
              </m:sup>
            </m:sSup>
            <m:r>
              <w:rPr>
                <w:rFonts w:ascii="Cambria Math" w:hAnsi="Cambria Math"/>
                <w:color w:val="000000" w:themeColor="text1"/>
              </w:rPr>
              <m:t>-</m:t>
            </m:r>
            <m:sSup>
              <m:sSupPr>
                <m:ctrlPr>
                  <w:rPr>
                    <w:rFonts w:ascii="Cambria Math" w:hAnsi="Cambria Math"/>
                    <w:i/>
                    <w:color w:val="000000" w:themeColor="text1"/>
                  </w:rPr>
                </m:ctrlPr>
              </m:sSupPr>
              <m:e>
                <m:acc>
                  <m:accPr>
                    <m:chr m:val="̅"/>
                    <m:ctrlPr>
                      <w:rPr>
                        <w:rFonts w:ascii="Cambria Math" w:hAnsi="Cambria Math"/>
                        <w:i/>
                        <w:color w:val="000000" w:themeColor="text1"/>
                      </w:rPr>
                    </m:ctrlPr>
                  </m:accPr>
                  <m:e>
                    <m:r>
                      <w:rPr>
                        <w:rFonts w:ascii="Cambria Math" w:hAnsi="Cambria Math"/>
                        <w:color w:val="000000" w:themeColor="text1"/>
                      </w:rPr>
                      <m:t>Y</m:t>
                    </m:r>
                  </m:e>
                </m:acc>
              </m:e>
              <m:sup>
                <m:r>
                  <w:rPr>
                    <w:rFonts w:ascii="Cambria Math" w:hAnsi="Cambria Math"/>
                    <w:color w:val="000000" w:themeColor="text1"/>
                  </w:rPr>
                  <m:t>stayers, t=0</m:t>
                </m:r>
              </m:sup>
            </m:sSup>
          </m:e>
        </m:d>
      </m:oMath>
      <w:r w:rsidRPr="006C6F80">
        <w:rPr>
          <w:color w:val="000000" w:themeColor="text1"/>
        </w:rPr>
        <w:t xml:space="preserve">                (3a)   </w:t>
      </w:r>
    </w:p>
    <w:p w14:paraId="4E248484" w14:textId="1526AE5F" w:rsidR="0019481A" w:rsidRPr="006C6F80" w:rsidRDefault="0019481A" w:rsidP="00B132A6">
      <w:pPr>
        <w:pStyle w:val="NormalWeb"/>
        <w:spacing w:line="480" w:lineRule="auto"/>
        <w:jc w:val="both"/>
        <w:rPr>
          <w:color w:val="000000" w:themeColor="text1"/>
          <w:lang w:val="en-US"/>
        </w:rPr>
      </w:pPr>
      <w:r w:rsidRPr="006C6F80">
        <w:rPr>
          <w:color w:val="000000" w:themeColor="text1"/>
        </w:rPr>
        <w:t xml:space="preserve">In Figure A2 in the Online Appendix, we </w:t>
      </w:r>
      <w:r w:rsidRPr="006C6F80">
        <w:rPr>
          <w:rFonts w:eastAsia="Times New Roman"/>
          <w:color w:val="000000" w:themeColor="text1"/>
          <w:lang w:val="en-US" w:eastAsia="en-US"/>
        </w:rPr>
        <w:t>produce a kernel density plot of the propensity score to check</w:t>
      </w:r>
      <w:r w:rsidRPr="006C6F80">
        <w:rPr>
          <w:color w:val="000000" w:themeColor="text1"/>
        </w:rPr>
        <w:t xml:space="preserve"> the balancing property of the matching. Wh</w:t>
      </w:r>
      <w:r w:rsidR="00B975F1" w:rsidRPr="006C6F80">
        <w:rPr>
          <w:color w:val="000000" w:themeColor="text1"/>
        </w:rPr>
        <w:t>ereas</w:t>
      </w:r>
      <w:r w:rsidRPr="006C6F80">
        <w:rPr>
          <w:color w:val="000000" w:themeColor="text1"/>
        </w:rPr>
        <w:t xml:space="preserve"> the density plots in the raw data show significant differences between treated and untreated units, the matching led to significant reduction in the gap between the two groups. Indeed, for the most part of the distribution, t</w:t>
      </w:r>
      <w:r w:rsidRPr="006C6F80">
        <w:rPr>
          <w:color w:val="000000" w:themeColor="text1"/>
          <w:lang w:val="en-US"/>
        </w:rPr>
        <w:t>he density plots for the matched sample are nearly indistinguishable, implying that matching on the estimated propensity score balanced the covariates. In Table A</w:t>
      </w:r>
      <w:r w:rsidR="00B975F1" w:rsidRPr="006C6F80">
        <w:rPr>
          <w:color w:val="000000" w:themeColor="text1"/>
          <w:lang w:val="en-US"/>
        </w:rPr>
        <w:t>3</w:t>
      </w:r>
      <w:r w:rsidRPr="006C6F80">
        <w:rPr>
          <w:color w:val="000000" w:themeColor="text1"/>
          <w:lang w:val="en-US"/>
        </w:rPr>
        <w:t xml:space="preserve"> in the Online Appendix, we also check the covariate balance for treated and untreated units, before and after the matching. The raw data shows significant differences between the two groups in terms of individual but also in terms of first job characteristics. After the matching, the two groups, stayers and returnees, are very </w:t>
      </w:r>
      <w:r w:rsidRPr="006C6F80">
        <w:rPr>
          <w:color w:val="000000" w:themeColor="text1"/>
          <w:lang w:val="en-US"/>
        </w:rPr>
        <w:lastRenderedPageBreak/>
        <w:t xml:space="preserve">comparable across all characteristics. This suggests that the matching technique successfully achieved covariate balance between the two groups. </w:t>
      </w:r>
    </w:p>
    <w:p w14:paraId="07FC30DB" w14:textId="5A3E9B82" w:rsidR="00271A74" w:rsidRPr="006C6F80" w:rsidRDefault="00271A74" w:rsidP="00271A74">
      <w:pPr>
        <w:pStyle w:val="NormalWeb"/>
        <w:spacing w:line="480" w:lineRule="auto"/>
        <w:jc w:val="center"/>
        <w:rPr>
          <w:color w:val="000000" w:themeColor="text1"/>
          <w:lang w:val="en-US"/>
        </w:rPr>
      </w:pPr>
      <w:r w:rsidRPr="006C6F80">
        <w:rPr>
          <w:color w:val="000000" w:themeColor="text1"/>
          <w:lang w:val="en-US"/>
        </w:rPr>
        <w:t>[Table 8 here]</w:t>
      </w:r>
    </w:p>
    <w:p w14:paraId="495DFAA8" w14:textId="41275347" w:rsidR="000F75F1" w:rsidRPr="006C6F80" w:rsidRDefault="0019481A" w:rsidP="00B132A6">
      <w:pPr>
        <w:pStyle w:val="NormalWeb"/>
        <w:spacing w:line="480" w:lineRule="auto"/>
        <w:jc w:val="both"/>
        <w:rPr>
          <w:color w:val="000000" w:themeColor="text1"/>
          <w:lang w:val="en-US"/>
        </w:rPr>
      </w:pPr>
      <w:r w:rsidRPr="006C6F80">
        <w:rPr>
          <w:color w:val="000000" w:themeColor="text1"/>
          <w:lang w:val="en-US"/>
        </w:rPr>
        <w:t xml:space="preserve">The results from the Difference-in-Differences matching technique are reported in Table </w:t>
      </w:r>
      <w:r w:rsidR="00765848" w:rsidRPr="006C6F80">
        <w:rPr>
          <w:color w:val="000000" w:themeColor="text1"/>
          <w:lang w:val="en-US"/>
        </w:rPr>
        <w:t>8</w:t>
      </w:r>
      <w:r w:rsidRPr="006C6F80">
        <w:rPr>
          <w:color w:val="000000" w:themeColor="text1"/>
          <w:lang w:val="en-US"/>
        </w:rPr>
        <w:t>. In Panel A, we compute the propensity score based on the full set of controls presented in Section 3, without controlling for first job occupations dummies, while in Panel B</w:t>
      </w:r>
      <w:r w:rsidR="008E19E4" w:rsidRPr="006C6F80">
        <w:rPr>
          <w:color w:val="000000" w:themeColor="text1"/>
          <w:lang w:val="en-US"/>
        </w:rPr>
        <w:t xml:space="preserve"> </w:t>
      </w:r>
      <w:r w:rsidRPr="006C6F80">
        <w:rPr>
          <w:color w:val="000000" w:themeColor="text1"/>
          <w:lang w:val="en-US"/>
        </w:rPr>
        <w:t xml:space="preserve">we additionally control for the first occupations when computing the propensity score. </w:t>
      </w:r>
      <w:r w:rsidRPr="006C6F80">
        <w:rPr>
          <w:color w:val="000000" w:themeColor="text1"/>
        </w:rPr>
        <w:t>Using a matching Difference-in-Differences specification, we find that return migration leads to a significant increase in occupational upgrading. Both specifications with and without controlling for first occupations lead to consistent estimates in line with our benchmark model results presented in Section 4.1.</w:t>
      </w:r>
      <w:r w:rsidRPr="006C6F80">
        <w:rPr>
          <w:rStyle w:val="FootnoteReference"/>
          <w:color w:val="000000" w:themeColor="text1"/>
        </w:rPr>
        <w:footnoteReference w:id="25"/>
      </w:r>
      <w:r w:rsidRPr="006C6F80">
        <w:rPr>
          <w:color w:val="000000" w:themeColor="text1"/>
        </w:rPr>
        <w:t xml:space="preserve"> </w:t>
      </w:r>
    </w:p>
    <w:p w14:paraId="12E7FC42" w14:textId="11ADB5F5" w:rsidR="00E336B6" w:rsidRPr="006C6F80" w:rsidRDefault="00E336B6" w:rsidP="00B132A6">
      <w:pPr>
        <w:pStyle w:val="ListParagraph"/>
        <w:numPr>
          <w:ilvl w:val="1"/>
          <w:numId w:val="10"/>
        </w:numPr>
        <w:spacing w:line="480" w:lineRule="auto"/>
        <w:jc w:val="both"/>
        <w:rPr>
          <w:rFonts w:ascii="Times New Roman" w:hAnsi="Times New Roman" w:cs="Times New Roman"/>
          <w:b/>
          <w:bCs/>
          <w:color w:val="000000" w:themeColor="text1"/>
          <w:sz w:val="24"/>
          <w:szCs w:val="24"/>
        </w:rPr>
      </w:pPr>
      <w:r w:rsidRPr="006C6F80">
        <w:rPr>
          <w:rFonts w:ascii="Times New Roman" w:hAnsi="Times New Roman" w:cs="Times New Roman"/>
          <w:b/>
          <w:bCs/>
          <w:color w:val="000000" w:themeColor="text1"/>
          <w:sz w:val="24"/>
          <w:szCs w:val="24"/>
        </w:rPr>
        <w:t xml:space="preserve">Robustness checks related </w:t>
      </w:r>
      <w:r w:rsidR="000F75F1" w:rsidRPr="006C6F80">
        <w:rPr>
          <w:rFonts w:ascii="Times New Roman" w:hAnsi="Times New Roman" w:cs="Times New Roman"/>
          <w:b/>
          <w:bCs/>
          <w:color w:val="000000" w:themeColor="text1"/>
          <w:sz w:val="24"/>
          <w:szCs w:val="24"/>
        </w:rPr>
        <w:t xml:space="preserve">to the benchmark </w:t>
      </w:r>
      <w:r w:rsidR="005F4ADB" w:rsidRPr="006C6F80">
        <w:rPr>
          <w:rFonts w:ascii="Times New Roman" w:hAnsi="Times New Roman" w:cs="Times New Roman"/>
          <w:b/>
          <w:bCs/>
          <w:color w:val="000000" w:themeColor="text1"/>
          <w:sz w:val="24"/>
          <w:szCs w:val="24"/>
        </w:rPr>
        <w:t xml:space="preserve">IV-regression </w:t>
      </w:r>
      <w:r w:rsidR="000F75F1" w:rsidRPr="006C6F80">
        <w:rPr>
          <w:rFonts w:ascii="Times New Roman" w:hAnsi="Times New Roman" w:cs="Times New Roman"/>
          <w:b/>
          <w:bCs/>
          <w:color w:val="000000" w:themeColor="text1"/>
          <w:sz w:val="24"/>
          <w:szCs w:val="24"/>
        </w:rPr>
        <w:t>model</w:t>
      </w:r>
    </w:p>
    <w:p w14:paraId="7ACF342C" w14:textId="4479FE18" w:rsidR="00271A74" w:rsidRPr="006C6F80" w:rsidRDefault="00271A74" w:rsidP="00271A74">
      <w:pPr>
        <w:pStyle w:val="NormalWeb"/>
        <w:spacing w:line="480" w:lineRule="auto"/>
        <w:jc w:val="center"/>
        <w:rPr>
          <w:color w:val="000000" w:themeColor="text1"/>
        </w:rPr>
      </w:pPr>
      <w:r w:rsidRPr="006C6F80">
        <w:rPr>
          <w:color w:val="000000" w:themeColor="text1"/>
        </w:rPr>
        <w:t>[Table 9 here]</w:t>
      </w:r>
    </w:p>
    <w:p w14:paraId="0FBF6B08" w14:textId="2EE0A2B8" w:rsidR="00EF670A" w:rsidRPr="006C6F80" w:rsidRDefault="000F75F1" w:rsidP="00B132A6">
      <w:pPr>
        <w:pStyle w:val="NormalWeb"/>
        <w:spacing w:line="480" w:lineRule="auto"/>
        <w:jc w:val="both"/>
        <w:rPr>
          <w:color w:val="000000" w:themeColor="text1"/>
        </w:rPr>
      </w:pPr>
      <w:r w:rsidRPr="006C6F80">
        <w:rPr>
          <w:color w:val="000000" w:themeColor="text1"/>
        </w:rPr>
        <w:t xml:space="preserve">In this section, we perform various robustness checks related to our benchmark model. First, </w:t>
      </w:r>
      <w:r w:rsidR="00452DFD" w:rsidRPr="006C6F80">
        <w:rPr>
          <w:color w:val="000000" w:themeColor="text1"/>
        </w:rPr>
        <w:t xml:space="preserve">we check the robustness of our results with respect to the IV regression model’s specification. In our benchmark model, we control for pre-determined individual and first job characteristics including the first occupations. In Table </w:t>
      </w:r>
      <w:r w:rsidR="00765848" w:rsidRPr="006C6F80">
        <w:rPr>
          <w:color w:val="000000" w:themeColor="text1"/>
        </w:rPr>
        <w:t>9</w:t>
      </w:r>
      <w:r w:rsidR="00452DFD" w:rsidRPr="006C6F80">
        <w:rPr>
          <w:color w:val="000000" w:themeColor="text1"/>
        </w:rPr>
        <w:t>, in column (1), we also report results excluding the vector of first job characteristics</w:t>
      </w:r>
      <w:r w:rsidR="008E19E4" w:rsidRPr="006C6F80">
        <w:rPr>
          <w:color w:val="000000" w:themeColor="text1"/>
        </w:rPr>
        <w:t>,</w:t>
      </w:r>
      <w:r w:rsidR="00452DFD" w:rsidRPr="006C6F80">
        <w:rPr>
          <w:color w:val="000000" w:themeColor="text1"/>
        </w:rPr>
        <w:t xml:space="preserve"> while </w:t>
      </w:r>
      <w:r w:rsidR="008E19E4" w:rsidRPr="006C6F80">
        <w:rPr>
          <w:color w:val="000000" w:themeColor="text1"/>
        </w:rPr>
        <w:t>also controlling</w:t>
      </w:r>
      <w:r w:rsidR="00452DFD" w:rsidRPr="006C6F80">
        <w:rPr>
          <w:color w:val="000000" w:themeColor="text1"/>
        </w:rPr>
        <w:t xml:space="preserve"> for pre-determined individual</w:t>
      </w:r>
      <w:r w:rsidR="00FF4B70" w:rsidRPr="006C6F80">
        <w:rPr>
          <w:color w:val="000000" w:themeColor="text1"/>
        </w:rPr>
        <w:t xml:space="preserve"> </w:t>
      </w:r>
      <w:r w:rsidR="00452DFD" w:rsidRPr="006C6F80">
        <w:rPr>
          <w:color w:val="000000" w:themeColor="text1"/>
        </w:rPr>
        <w:t xml:space="preserve">characteristics. </w:t>
      </w:r>
      <w:r w:rsidR="00DC2578" w:rsidRPr="006C6F80">
        <w:rPr>
          <w:color w:val="000000" w:themeColor="text1"/>
        </w:rPr>
        <w:t xml:space="preserve">In Table </w:t>
      </w:r>
      <w:r w:rsidR="00765848" w:rsidRPr="006C6F80">
        <w:rPr>
          <w:color w:val="000000" w:themeColor="text1"/>
        </w:rPr>
        <w:t>9</w:t>
      </w:r>
      <w:r w:rsidR="00DC2578" w:rsidRPr="006C6F80">
        <w:rPr>
          <w:color w:val="000000" w:themeColor="text1"/>
        </w:rPr>
        <w:t>, in column (2), we control for years of entry in the labor market fixed effects for the 1960s cohort</w:t>
      </w:r>
      <w:r w:rsidR="008E19E4" w:rsidRPr="006C6F80">
        <w:rPr>
          <w:color w:val="000000" w:themeColor="text1"/>
        </w:rPr>
        <w:t>,</w:t>
      </w:r>
      <w:r w:rsidR="00DC2578" w:rsidRPr="006C6F80">
        <w:rPr>
          <w:color w:val="000000" w:themeColor="text1"/>
        </w:rPr>
        <w:t xml:space="preserve"> in addition to controlling for individual</w:t>
      </w:r>
      <w:r w:rsidR="008E19E4" w:rsidRPr="006C6F80">
        <w:rPr>
          <w:color w:val="000000" w:themeColor="text1"/>
        </w:rPr>
        <w:t xml:space="preserve"> and</w:t>
      </w:r>
      <w:r w:rsidR="00DC2578" w:rsidRPr="006C6F80">
        <w:rPr>
          <w:color w:val="000000" w:themeColor="text1"/>
        </w:rPr>
        <w:t xml:space="preserve"> first job characteristics</w:t>
      </w:r>
      <w:r w:rsidR="008E19E4" w:rsidRPr="006C6F80">
        <w:rPr>
          <w:color w:val="000000" w:themeColor="text1"/>
        </w:rPr>
        <w:t>,</w:t>
      </w:r>
      <w:r w:rsidR="00DC2578" w:rsidRPr="006C6F80">
        <w:rPr>
          <w:color w:val="000000" w:themeColor="text1"/>
        </w:rPr>
        <w:t xml:space="preserve"> </w:t>
      </w:r>
      <w:r w:rsidR="008E19E4" w:rsidRPr="006C6F80">
        <w:rPr>
          <w:color w:val="000000" w:themeColor="text1"/>
        </w:rPr>
        <w:t>as well as</w:t>
      </w:r>
      <w:r w:rsidR="00DC2578" w:rsidRPr="006C6F80">
        <w:rPr>
          <w:color w:val="000000" w:themeColor="text1"/>
        </w:rPr>
        <w:t xml:space="preserve"> first occupations. </w:t>
      </w:r>
      <w:r w:rsidR="00DC2578" w:rsidRPr="006C6F80">
        <w:rPr>
          <w:color w:val="000000" w:themeColor="text1"/>
        </w:rPr>
        <w:lastRenderedPageBreak/>
        <w:t>Th</w:t>
      </w:r>
      <w:r w:rsidR="00BD20C4" w:rsidRPr="006C6F80">
        <w:rPr>
          <w:color w:val="000000" w:themeColor="text1"/>
        </w:rPr>
        <w:t>e latter</w:t>
      </w:r>
      <w:r w:rsidR="00DC2578" w:rsidRPr="006C6F80">
        <w:rPr>
          <w:color w:val="000000" w:themeColor="text1"/>
        </w:rPr>
        <w:t xml:space="preserve"> robustness check allows us </w:t>
      </w:r>
      <w:r w:rsidR="005D69D3" w:rsidRPr="006C6F80">
        <w:rPr>
          <w:color w:val="000000" w:themeColor="text1"/>
        </w:rPr>
        <w:t xml:space="preserve">to control for the initial labor market conditions. Our results are robust to these two checks. </w:t>
      </w:r>
    </w:p>
    <w:p w14:paraId="05CF38AC" w14:textId="0ACC1F81" w:rsidR="00EF670A" w:rsidRPr="006C6F80" w:rsidRDefault="004A4F59" w:rsidP="00B132A6">
      <w:pPr>
        <w:pStyle w:val="NormalWeb"/>
        <w:spacing w:line="480" w:lineRule="auto"/>
        <w:jc w:val="both"/>
        <w:rPr>
          <w:color w:val="000000" w:themeColor="text1"/>
        </w:rPr>
      </w:pPr>
      <w:r w:rsidRPr="006C6F80">
        <w:rPr>
          <w:color w:val="000000" w:themeColor="text1"/>
        </w:rPr>
        <w:t xml:space="preserve">Second, </w:t>
      </w:r>
      <w:r w:rsidR="00DC2578" w:rsidRPr="006C6F80">
        <w:rPr>
          <w:color w:val="000000" w:themeColor="text1"/>
        </w:rPr>
        <w:t>we provide robustness checks related to the exclusion of oil prices</w:t>
      </w:r>
      <w:r w:rsidRPr="006C6F80">
        <w:rPr>
          <w:color w:val="000000" w:themeColor="text1"/>
        </w:rPr>
        <w:t xml:space="preserve"> in </w:t>
      </w:r>
      <w:r w:rsidR="00A47FCB" w:rsidRPr="006C6F80">
        <w:rPr>
          <w:color w:val="000000" w:themeColor="text1"/>
        </w:rPr>
        <w:t xml:space="preserve">Table </w:t>
      </w:r>
      <w:r w:rsidR="00765848" w:rsidRPr="006C6F80">
        <w:rPr>
          <w:color w:val="000000" w:themeColor="text1"/>
        </w:rPr>
        <w:t>9</w:t>
      </w:r>
      <w:r w:rsidR="008E19E4" w:rsidRPr="006C6F80">
        <w:rPr>
          <w:color w:val="000000" w:themeColor="text1"/>
        </w:rPr>
        <w:t>,</w:t>
      </w:r>
      <w:r w:rsidR="00A47FCB" w:rsidRPr="006C6F80">
        <w:rPr>
          <w:color w:val="000000" w:themeColor="text1"/>
        </w:rPr>
        <w:t xml:space="preserve"> in </w:t>
      </w:r>
      <w:r w:rsidRPr="006C6F80">
        <w:rPr>
          <w:color w:val="000000" w:themeColor="text1"/>
        </w:rPr>
        <w:t>columns (3) and (4)</w:t>
      </w:r>
      <w:r w:rsidR="00DC2578" w:rsidRPr="006C6F80">
        <w:rPr>
          <w:color w:val="000000" w:themeColor="text1"/>
        </w:rPr>
        <w:t xml:space="preserve">. </w:t>
      </w:r>
      <w:r w:rsidR="005D69D3" w:rsidRPr="006C6F80">
        <w:rPr>
          <w:color w:val="000000" w:themeColor="text1"/>
        </w:rPr>
        <w:t>W</w:t>
      </w:r>
      <w:r w:rsidR="00DC2578" w:rsidRPr="006C6F80">
        <w:rPr>
          <w:color w:val="000000" w:themeColor="text1"/>
        </w:rPr>
        <w:t>e us</w:t>
      </w:r>
      <w:r w:rsidR="005D69D3" w:rsidRPr="006C6F80">
        <w:rPr>
          <w:color w:val="000000" w:themeColor="text1"/>
        </w:rPr>
        <w:t>e</w:t>
      </w:r>
      <w:r w:rsidR="00DC2578" w:rsidRPr="006C6F80">
        <w:rPr>
          <w:color w:val="000000" w:themeColor="text1"/>
        </w:rPr>
        <w:t xml:space="preserve"> two different clustering techniques:</w:t>
      </w:r>
      <w:r w:rsidR="00063A99" w:rsidRPr="006C6F80">
        <w:rPr>
          <w:color w:val="000000" w:themeColor="text1"/>
        </w:rPr>
        <w:t xml:space="preserve"> </w:t>
      </w:r>
      <w:r w:rsidR="00DC2578" w:rsidRPr="006C6F80">
        <w:rPr>
          <w:color w:val="000000" w:themeColor="text1"/>
        </w:rPr>
        <w:t xml:space="preserve">community level clustering (the smallest administrative unit in Egypt) or year of birth clustering (since individuals with the same year of birth </w:t>
      </w:r>
      <w:r w:rsidR="008E19E4" w:rsidRPr="006C6F80">
        <w:rPr>
          <w:color w:val="000000" w:themeColor="text1"/>
        </w:rPr>
        <w:t>are matched with the</w:t>
      </w:r>
      <w:r w:rsidR="00DC2578" w:rsidRPr="006C6F80">
        <w:rPr>
          <w:color w:val="000000" w:themeColor="text1"/>
        </w:rPr>
        <w:t xml:space="preserve"> same value of oil prices). Clustering our regressions at the year of birth allows us to account for </w:t>
      </w:r>
      <w:r w:rsidR="005F4B6C" w:rsidRPr="006C6F80">
        <w:rPr>
          <w:color w:val="000000" w:themeColor="text1"/>
        </w:rPr>
        <w:t xml:space="preserve">common </w:t>
      </w:r>
      <w:r w:rsidR="00DC2578" w:rsidRPr="006C6F80">
        <w:rPr>
          <w:color w:val="000000" w:themeColor="text1"/>
        </w:rPr>
        <w:t>shocks across individuals with the same year of birth. Our results are consistently robust to using both clustering techniques</w:t>
      </w:r>
      <w:r w:rsidR="00063A99" w:rsidRPr="006C6F80">
        <w:rPr>
          <w:color w:val="000000" w:themeColor="text1"/>
        </w:rPr>
        <w:t xml:space="preserve"> and are very stable in terms of magnitude</w:t>
      </w:r>
      <w:r w:rsidR="00DC2578" w:rsidRPr="006C6F80">
        <w:rPr>
          <w:color w:val="000000" w:themeColor="text1"/>
        </w:rPr>
        <w:t>.</w:t>
      </w:r>
      <w:r w:rsidR="005D69D3" w:rsidRPr="006C6F80">
        <w:rPr>
          <w:color w:val="000000" w:themeColor="text1"/>
        </w:rPr>
        <w:t xml:space="preserve"> </w:t>
      </w:r>
    </w:p>
    <w:p w14:paraId="54582BCE" w14:textId="4990DED8" w:rsidR="00236665" w:rsidRDefault="00BB084E" w:rsidP="00F04ED0">
      <w:pPr>
        <w:spacing w:after="200" w:line="480" w:lineRule="auto"/>
        <w:ind w:right="50"/>
        <w:jc w:val="both"/>
        <w:rPr>
          <w:color w:val="000000" w:themeColor="text1"/>
        </w:rPr>
      </w:pPr>
      <w:r w:rsidRPr="006C6F80">
        <w:rPr>
          <w:color w:val="000000" w:themeColor="text1"/>
        </w:rPr>
        <w:t xml:space="preserve">Third, we check the robustness of our results with respect to aggregating and disaggregating the occupational categories. In </w:t>
      </w:r>
      <w:r w:rsidR="00A47FCB" w:rsidRPr="006C6F80">
        <w:rPr>
          <w:color w:val="000000" w:themeColor="text1"/>
        </w:rPr>
        <w:t xml:space="preserve">Table </w:t>
      </w:r>
      <w:r w:rsidR="00765848" w:rsidRPr="006C6F80">
        <w:rPr>
          <w:color w:val="000000" w:themeColor="text1"/>
        </w:rPr>
        <w:t>9</w:t>
      </w:r>
      <w:r w:rsidR="00A47FCB" w:rsidRPr="006C6F80">
        <w:rPr>
          <w:color w:val="000000" w:themeColor="text1"/>
        </w:rPr>
        <w:t xml:space="preserve"> in </w:t>
      </w:r>
      <w:r w:rsidRPr="006C6F80">
        <w:rPr>
          <w:color w:val="000000" w:themeColor="text1"/>
        </w:rPr>
        <w:t>column (5), we us</w:t>
      </w:r>
      <w:r w:rsidR="00E65479" w:rsidRPr="006C6F80">
        <w:rPr>
          <w:color w:val="000000" w:themeColor="text1"/>
        </w:rPr>
        <w:t>e</w:t>
      </w:r>
      <w:r w:rsidRPr="006C6F80">
        <w:rPr>
          <w:color w:val="000000" w:themeColor="text1"/>
        </w:rPr>
        <w:t xml:space="preserve"> a more aggregated definition, where occupations are split into 3 occupational categories: agriculture, blue-collar occupations</w:t>
      </w:r>
      <w:r w:rsidR="00964044" w:rsidRPr="006C6F80">
        <w:rPr>
          <w:color w:val="000000" w:themeColor="text1"/>
        </w:rPr>
        <w:t>,</w:t>
      </w:r>
      <w:r w:rsidRPr="006C6F80">
        <w:rPr>
          <w:color w:val="000000" w:themeColor="text1"/>
        </w:rPr>
        <w:t xml:space="preserve"> and white-collar occupations (ranked 1 to 3, respectively)</w:t>
      </w:r>
      <w:r w:rsidR="00964044" w:rsidRPr="006C6F80">
        <w:rPr>
          <w:color w:val="000000" w:themeColor="text1"/>
        </w:rPr>
        <w:t>.</w:t>
      </w:r>
      <w:r w:rsidRPr="006C6F80">
        <w:rPr>
          <w:color w:val="000000" w:themeColor="text1"/>
        </w:rPr>
        <w:t xml:space="preserve"> </w:t>
      </w:r>
      <w:r w:rsidR="00964044" w:rsidRPr="006C6F80">
        <w:rPr>
          <w:color w:val="000000" w:themeColor="text1"/>
        </w:rPr>
        <w:t>I</w:t>
      </w:r>
      <w:r w:rsidR="00E65479" w:rsidRPr="006C6F80">
        <w:rPr>
          <w:color w:val="000000" w:themeColor="text1"/>
        </w:rPr>
        <w:t>n column (6), we</w:t>
      </w:r>
      <w:r w:rsidRPr="006C6F80">
        <w:rPr>
          <w:color w:val="000000" w:themeColor="text1"/>
        </w:rPr>
        <w:t xml:space="preserve"> </w:t>
      </w:r>
      <w:r w:rsidR="00964044" w:rsidRPr="006C6F80">
        <w:rPr>
          <w:color w:val="000000" w:themeColor="text1"/>
        </w:rPr>
        <w:t xml:space="preserve">instead </w:t>
      </w:r>
      <w:r w:rsidRPr="006C6F80">
        <w:rPr>
          <w:color w:val="000000" w:themeColor="text1"/>
        </w:rPr>
        <w:t>us</w:t>
      </w:r>
      <w:r w:rsidR="00E65479" w:rsidRPr="006C6F80">
        <w:rPr>
          <w:color w:val="000000" w:themeColor="text1"/>
        </w:rPr>
        <w:t>e</w:t>
      </w:r>
      <w:r w:rsidRPr="006C6F80">
        <w:rPr>
          <w:color w:val="000000" w:themeColor="text1"/>
        </w:rPr>
        <w:t xml:space="preserve"> a more disaggregated definition, where occupations are split into </w:t>
      </w:r>
      <w:r w:rsidR="00E65479" w:rsidRPr="006C6F80">
        <w:rPr>
          <w:color w:val="000000" w:themeColor="text1"/>
        </w:rPr>
        <w:t>6</w:t>
      </w:r>
      <w:r w:rsidRPr="006C6F80">
        <w:rPr>
          <w:color w:val="000000" w:themeColor="text1"/>
        </w:rPr>
        <w:t xml:space="preserve"> occupational categories: </w:t>
      </w:r>
      <w:r w:rsidR="00852B22" w:rsidRPr="006C6F80">
        <w:rPr>
          <w:color w:val="000000" w:themeColor="text1"/>
        </w:rPr>
        <w:t xml:space="preserve">agriculture, blue-collar, </w:t>
      </w:r>
      <w:r w:rsidR="003F0179" w:rsidRPr="006C6F80">
        <w:rPr>
          <w:color w:val="000000" w:themeColor="text1"/>
        </w:rPr>
        <w:t>low-skilled white</w:t>
      </w:r>
      <w:r w:rsidR="00BD20C4" w:rsidRPr="006C6F80">
        <w:rPr>
          <w:color w:val="000000" w:themeColor="text1"/>
        </w:rPr>
        <w:t>-</w:t>
      </w:r>
      <w:r w:rsidR="003F0179" w:rsidRPr="006C6F80">
        <w:rPr>
          <w:color w:val="000000" w:themeColor="text1"/>
        </w:rPr>
        <w:t>collar</w:t>
      </w:r>
      <w:r w:rsidR="00852B22" w:rsidRPr="006C6F80">
        <w:rPr>
          <w:color w:val="000000" w:themeColor="text1"/>
        </w:rPr>
        <w:t xml:space="preserve">, technicians and associate professionals, legislators and managers, and professionals </w:t>
      </w:r>
      <w:r w:rsidRPr="006C6F80">
        <w:rPr>
          <w:color w:val="000000" w:themeColor="text1"/>
        </w:rPr>
        <w:t xml:space="preserve">(ranked 1 to </w:t>
      </w:r>
      <w:r w:rsidR="00E65479" w:rsidRPr="006C6F80">
        <w:rPr>
          <w:color w:val="000000" w:themeColor="text1"/>
        </w:rPr>
        <w:t>6</w:t>
      </w:r>
      <w:r w:rsidRPr="006C6F80">
        <w:rPr>
          <w:color w:val="000000" w:themeColor="text1"/>
        </w:rPr>
        <w:t xml:space="preserve"> respectively).</w:t>
      </w:r>
      <w:r w:rsidR="003F0179" w:rsidRPr="006C6F80">
        <w:rPr>
          <w:rStyle w:val="FootnoteReference"/>
          <w:color w:val="000000" w:themeColor="text1"/>
        </w:rPr>
        <w:footnoteReference w:id="26"/>
      </w:r>
      <w:r w:rsidRPr="006C6F80">
        <w:rPr>
          <w:color w:val="000000" w:themeColor="text1"/>
        </w:rPr>
        <w:t xml:space="preserve"> Our results are robust to </w:t>
      </w:r>
      <w:r w:rsidR="00861400" w:rsidRPr="006C6F80">
        <w:rPr>
          <w:color w:val="000000" w:themeColor="text1"/>
        </w:rPr>
        <w:t xml:space="preserve">using </w:t>
      </w:r>
      <w:r w:rsidRPr="006C6F80">
        <w:rPr>
          <w:color w:val="000000" w:themeColor="text1"/>
        </w:rPr>
        <w:t>the two levels of aggregation.</w:t>
      </w:r>
      <w:r w:rsidR="006B0DF7" w:rsidRPr="006C6F80">
        <w:rPr>
          <w:color w:val="000000" w:themeColor="text1"/>
        </w:rPr>
        <w:t xml:space="preserve"> Related to the occupation definition, </w:t>
      </w:r>
      <w:r w:rsidR="00A47FCB" w:rsidRPr="006C6F80">
        <w:rPr>
          <w:color w:val="000000" w:themeColor="text1"/>
        </w:rPr>
        <w:t xml:space="preserve">in Table </w:t>
      </w:r>
      <w:r w:rsidR="00765848" w:rsidRPr="006C6F80">
        <w:rPr>
          <w:color w:val="000000" w:themeColor="text1"/>
        </w:rPr>
        <w:t>9</w:t>
      </w:r>
      <w:r w:rsidR="00A47FCB" w:rsidRPr="006C6F80">
        <w:rPr>
          <w:color w:val="000000" w:themeColor="text1"/>
        </w:rPr>
        <w:t xml:space="preserve"> </w:t>
      </w:r>
      <w:r w:rsidR="006B0DF7" w:rsidRPr="006C6F80">
        <w:rPr>
          <w:color w:val="000000" w:themeColor="text1"/>
        </w:rPr>
        <w:t>in column (7), we exclude all individuals who had high-skilled white-collar occupations at first job, since by definition they cannot move up the occupational ladder between the first occupation and the</w:t>
      </w:r>
      <w:r w:rsidR="00C001C6" w:rsidRPr="006C6F80">
        <w:rPr>
          <w:color w:val="000000" w:themeColor="text1"/>
        </w:rPr>
        <w:t xml:space="preserve"> 2010 </w:t>
      </w:r>
      <w:r w:rsidR="006B0DF7" w:rsidRPr="006C6F80">
        <w:rPr>
          <w:color w:val="000000" w:themeColor="text1"/>
        </w:rPr>
        <w:t xml:space="preserve">occupation. </w:t>
      </w:r>
      <w:r w:rsidR="006B0DF7" w:rsidRPr="006C6F80">
        <w:rPr>
          <w:color w:val="000000" w:themeColor="text1"/>
        </w:rPr>
        <w:lastRenderedPageBreak/>
        <w:t xml:space="preserve">Our results are </w:t>
      </w:r>
      <w:r w:rsidR="00C001C6" w:rsidRPr="006C6F80">
        <w:rPr>
          <w:color w:val="000000" w:themeColor="text1"/>
        </w:rPr>
        <w:t xml:space="preserve">also </w:t>
      </w:r>
      <w:r w:rsidR="006B0DF7" w:rsidRPr="006C6F80">
        <w:rPr>
          <w:color w:val="000000" w:themeColor="text1"/>
        </w:rPr>
        <w:t xml:space="preserve">robust </w:t>
      </w:r>
      <w:r w:rsidR="00C001C6" w:rsidRPr="006C6F80">
        <w:rPr>
          <w:color w:val="000000" w:themeColor="text1"/>
        </w:rPr>
        <w:t>to</w:t>
      </w:r>
      <w:r w:rsidR="006B0DF7" w:rsidRPr="006C6F80">
        <w:rPr>
          <w:color w:val="000000" w:themeColor="text1"/>
        </w:rPr>
        <w:t xml:space="preserve"> eliminating men who started their career with high-skilled white-collar occupations</w:t>
      </w:r>
      <w:r w:rsidR="005A6539" w:rsidRPr="006C6F80">
        <w:rPr>
          <w:color w:val="000000" w:themeColor="text1"/>
        </w:rPr>
        <w:t xml:space="preserve"> and </w:t>
      </w:r>
      <w:r w:rsidR="00C05B49" w:rsidRPr="006C6F80">
        <w:rPr>
          <w:color w:val="000000" w:themeColor="text1"/>
        </w:rPr>
        <w:t>actually become</w:t>
      </w:r>
      <w:r w:rsidR="005A6539" w:rsidRPr="006C6F80">
        <w:rPr>
          <w:color w:val="000000" w:themeColor="text1"/>
        </w:rPr>
        <w:t xml:space="preserve"> even larger in magnitude</w:t>
      </w:r>
      <w:r w:rsidR="006B0DF7" w:rsidRPr="006C6F80">
        <w:rPr>
          <w:color w:val="000000" w:themeColor="text1"/>
        </w:rPr>
        <w:t xml:space="preserve">. </w:t>
      </w:r>
    </w:p>
    <w:p w14:paraId="55C1EA98" w14:textId="77777777" w:rsidR="00F04ED0" w:rsidRPr="006C6F80" w:rsidRDefault="00F04ED0" w:rsidP="00F04ED0">
      <w:pPr>
        <w:spacing w:after="200" w:line="480" w:lineRule="auto"/>
        <w:ind w:right="50"/>
        <w:jc w:val="both"/>
        <w:rPr>
          <w:color w:val="000000" w:themeColor="text1"/>
        </w:rPr>
      </w:pPr>
    </w:p>
    <w:p w14:paraId="7D9854A6" w14:textId="0471B969" w:rsidR="007E3C7A" w:rsidRPr="006C6F80" w:rsidRDefault="005A662F" w:rsidP="00B132A6">
      <w:pPr>
        <w:pStyle w:val="ListParagraph"/>
        <w:numPr>
          <w:ilvl w:val="1"/>
          <w:numId w:val="10"/>
        </w:numPr>
        <w:spacing w:line="480" w:lineRule="auto"/>
        <w:jc w:val="both"/>
        <w:rPr>
          <w:rFonts w:ascii="Times New Roman" w:hAnsi="Times New Roman" w:cs="Times New Roman"/>
          <w:b/>
          <w:bCs/>
          <w:color w:val="000000" w:themeColor="text1"/>
          <w:sz w:val="24"/>
          <w:szCs w:val="24"/>
        </w:rPr>
      </w:pPr>
      <w:r w:rsidRPr="006C6F80">
        <w:rPr>
          <w:rFonts w:ascii="Times New Roman" w:hAnsi="Times New Roman" w:cs="Times New Roman"/>
          <w:b/>
          <w:bCs/>
          <w:color w:val="000000" w:themeColor="text1"/>
          <w:sz w:val="24"/>
          <w:szCs w:val="24"/>
        </w:rPr>
        <w:t>Robustness checks related to the underlying mechanism</w:t>
      </w:r>
    </w:p>
    <w:p w14:paraId="227146F1" w14:textId="72384D0B" w:rsidR="00D75A07" w:rsidRPr="006C6F80" w:rsidRDefault="005A662F" w:rsidP="00B132A6">
      <w:pPr>
        <w:spacing w:after="200" w:line="480" w:lineRule="auto"/>
        <w:ind w:right="50"/>
        <w:jc w:val="both"/>
        <w:rPr>
          <w:color w:val="000000" w:themeColor="text1"/>
        </w:rPr>
      </w:pPr>
      <w:r w:rsidRPr="006C6F80">
        <w:rPr>
          <w:color w:val="000000" w:themeColor="text1"/>
        </w:rPr>
        <w:t xml:space="preserve">Our results </w:t>
      </w:r>
      <w:r w:rsidR="00563159" w:rsidRPr="006C6F80">
        <w:rPr>
          <w:color w:val="000000" w:themeColor="text1"/>
        </w:rPr>
        <w:t>provide</w:t>
      </w:r>
      <w:r w:rsidRPr="006C6F80">
        <w:rPr>
          <w:color w:val="000000" w:themeColor="text1"/>
        </w:rPr>
        <w:t xml:space="preserve"> empirical evidence suggesting that returnees accumulate human capital during their migration experience abroad.</w:t>
      </w:r>
      <w:r w:rsidR="00D75A07" w:rsidRPr="006C6F80">
        <w:rPr>
          <w:color w:val="000000" w:themeColor="text1"/>
        </w:rPr>
        <w:t xml:space="preserve"> In this section, we discuss other potential channels through which return migration could lead to upward occupational mobility.</w:t>
      </w:r>
    </w:p>
    <w:p w14:paraId="4A0EC8C2" w14:textId="7E8CC1F6" w:rsidR="00D75A07" w:rsidRPr="006C6F80" w:rsidRDefault="00D75A07" w:rsidP="00B132A6">
      <w:pPr>
        <w:spacing w:after="200" w:line="480" w:lineRule="auto"/>
        <w:ind w:right="50"/>
        <w:jc w:val="both"/>
        <w:rPr>
          <w:color w:val="000000" w:themeColor="text1"/>
        </w:rPr>
      </w:pPr>
      <w:r w:rsidRPr="006C6F80">
        <w:rPr>
          <w:color w:val="000000" w:themeColor="text1"/>
        </w:rPr>
        <w:t xml:space="preserve">First, </w:t>
      </w:r>
      <w:r w:rsidR="00D263FA" w:rsidRPr="006C6F80">
        <w:rPr>
          <w:color w:val="000000" w:themeColor="text1"/>
        </w:rPr>
        <w:t xml:space="preserve">we </w:t>
      </w:r>
      <w:r w:rsidRPr="006C6F80">
        <w:rPr>
          <w:color w:val="000000" w:themeColor="text1"/>
        </w:rPr>
        <w:t xml:space="preserve">investigate whether physical capital accumulation could be driving the occupational upgrading. Since returnees accumulate savings while overseas, we restrict our sample to wage workers only to check that occupational mobility is indeed driven by human capital accumulation rather than by setting-up business or entrepreneurial activities in Egypt. In Table </w:t>
      </w:r>
      <w:r w:rsidR="00765848" w:rsidRPr="006C6F80">
        <w:rPr>
          <w:color w:val="000000" w:themeColor="text1"/>
        </w:rPr>
        <w:t>9</w:t>
      </w:r>
      <w:r w:rsidRPr="006C6F80">
        <w:rPr>
          <w:color w:val="000000" w:themeColor="text1"/>
        </w:rPr>
        <w:t xml:space="preserve"> in column (8), we restrict our analysis to wage workers in 2010</w:t>
      </w:r>
      <w:r w:rsidR="00C05B49" w:rsidRPr="006C6F80">
        <w:rPr>
          <w:color w:val="000000" w:themeColor="text1"/>
        </w:rPr>
        <w:t>,</w:t>
      </w:r>
      <w:r w:rsidRPr="006C6F80">
        <w:rPr>
          <w:color w:val="000000" w:themeColor="text1"/>
        </w:rPr>
        <w:t xml:space="preserve"> while in column (9) we focus on wage workers </w:t>
      </w:r>
      <w:r w:rsidR="00C05B49" w:rsidRPr="006C6F80">
        <w:rPr>
          <w:color w:val="000000" w:themeColor="text1"/>
        </w:rPr>
        <w:t xml:space="preserve">during both </w:t>
      </w:r>
      <w:r w:rsidRPr="006C6F80">
        <w:rPr>
          <w:color w:val="000000" w:themeColor="text1"/>
        </w:rPr>
        <w:t>the first and the 2010 occupation. Our results are robust to restricting our analysis to wage workers. These results rule out the possibility that our results might be driven by physical capital accumulation</w:t>
      </w:r>
      <w:r w:rsidR="00C05B49" w:rsidRPr="006C6F80">
        <w:rPr>
          <w:color w:val="000000" w:themeColor="text1"/>
        </w:rPr>
        <w:t>,</w:t>
      </w:r>
      <w:r w:rsidRPr="006C6F80">
        <w:rPr>
          <w:color w:val="000000" w:themeColor="text1"/>
        </w:rPr>
        <w:t xml:space="preserve"> since we are only focusing on wage workers and thus eliminating entrepreneurs, </w:t>
      </w:r>
      <w:r w:rsidR="005A6AAE" w:rsidRPr="006C6F80">
        <w:rPr>
          <w:color w:val="000000" w:themeColor="text1"/>
        </w:rPr>
        <w:t>whether</w:t>
      </w:r>
      <w:r w:rsidRPr="006C6F80">
        <w:rPr>
          <w:color w:val="000000" w:themeColor="text1"/>
        </w:rPr>
        <w:t xml:space="preserve"> </w:t>
      </w:r>
      <w:r w:rsidR="005A6AAE" w:rsidRPr="006C6F80">
        <w:rPr>
          <w:color w:val="000000" w:themeColor="text1"/>
        </w:rPr>
        <w:t xml:space="preserve">they are </w:t>
      </w:r>
      <w:r w:rsidRPr="006C6F80">
        <w:rPr>
          <w:color w:val="000000" w:themeColor="text1"/>
        </w:rPr>
        <w:t>employers or self-employed.</w:t>
      </w:r>
      <w:r w:rsidRPr="006C6F80">
        <w:rPr>
          <w:rStyle w:val="FootnoteReference"/>
          <w:color w:val="000000" w:themeColor="text1"/>
        </w:rPr>
        <w:footnoteReference w:id="27"/>
      </w:r>
    </w:p>
    <w:p w14:paraId="0D77E0A3" w14:textId="2391D1D6" w:rsidR="001D3A1C" w:rsidRPr="006C6F80" w:rsidRDefault="00D75A07" w:rsidP="00B132A6">
      <w:pPr>
        <w:pStyle w:val="NormalWeb"/>
        <w:spacing w:line="480" w:lineRule="auto"/>
        <w:jc w:val="both"/>
        <w:rPr>
          <w:color w:val="000000" w:themeColor="text1"/>
        </w:rPr>
      </w:pPr>
      <w:r w:rsidRPr="006C6F80">
        <w:rPr>
          <w:color w:val="000000" w:themeColor="text1"/>
        </w:rPr>
        <w:lastRenderedPageBreak/>
        <w:t>Second</w:t>
      </w:r>
      <w:r w:rsidR="00703447" w:rsidRPr="006C6F80">
        <w:rPr>
          <w:color w:val="000000" w:themeColor="text1"/>
        </w:rPr>
        <w:t xml:space="preserve">, we explore whether internal migration in Egypt and returnees’ locational choices </w:t>
      </w:r>
      <w:r w:rsidR="00CE2A1C" w:rsidRPr="006C6F80">
        <w:rPr>
          <w:color w:val="000000" w:themeColor="text1"/>
        </w:rPr>
        <w:t xml:space="preserve">upon return </w:t>
      </w:r>
      <w:r w:rsidR="00703447" w:rsidRPr="006C6F80">
        <w:rPr>
          <w:color w:val="000000" w:themeColor="text1"/>
        </w:rPr>
        <w:t xml:space="preserve">could explain our results. </w:t>
      </w:r>
      <w:r w:rsidR="007E3C7A" w:rsidRPr="006C6F80">
        <w:rPr>
          <w:color w:val="000000" w:themeColor="text1"/>
        </w:rPr>
        <w:t>In Table A</w:t>
      </w:r>
      <w:r w:rsidR="00B975F1" w:rsidRPr="006C6F80">
        <w:rPr>
          <w:color w:val="000000" w:themeColor="text1"/>
        </w:rPr>
        <w:t>5</w:t>
      </w:r>
      <w:r w:rsidR="007E3C7A" w:rsidRPr="006C6F80">
        <w:rPr>
          <w:color w:val="000000" w:themeColor="text1"/>
        </w:rPr>
        <w:t xml:space="preserve"> in the </w:t>
      </w:r>
      <w:r w:rsidR="007146EC" w:rsidRPr="006C6F80">
        <w:rPr>
          <w:color w:val="000000" w:themeColor="text1"/>
        </w:rPr>
        <w:t xml:space="preserve">Online </w:t>
      </w:r>
      <w:r w:rsidR="007E3C7A" w:rsidRPr="006C6F80">
        <w:rPr>
          <w:color w:val="000000" w:themeColor="text1"/>
        </w:rPr>
        <w:t xml:space="preserve">Appendix, we present internal mobility matrices. We look at the geographical mobility of stayers </w:t>
      </w:r>
      <w:r w:rsidR="0063134E" w:rsidRPr="006C6F80">
        <w:rPr>
          <w:color w:val="000000" w:themeColor="text1"/>
        </w:rPr>
        <w:t xml:space="preserve">and </w:t>
      </w:r>
      <w:r w:rsidR="007E3C7A" w:rsidRPr="006C6F80">
        <w:rPr>
          <w:color w:val="000000" w:themeColor="text1"/>
        </w:rPr>
        <w:t>returnees</w:t>
      </w:r>
      <w:r w:rsidR="008102AB" w:rsidRPr="006C6F80">
        <w:rPr>
          <w:color w:val="000000" w:themeColor="text1"/>
        </w:rPr>
        <w:t>,</w:t>
      </w:r>
      <w:r w:rsidR="007E3C7A" w:rsidRPr="006C6F80">
        <w:rPr>
          <w:color w:val="000000" w:themeColor="text1"/>
        </w:rPr>
        <w:t xml:space="preserve"> </w:t>
      </w:r>
      <w:r w:rsidR="004903AA" w:rsidRPr="006C6F80">
        <w:rPr>
          <w:color w:val="000000" w:themeColor="text1"/>
        </w:rPr>
        <w:t xml:space="preserve">born </w:t>
      </w:r>
      <w:r w:rsidR="007E3C7A" w:rsidRPr="006C6F80">
        <w:rPr>
          <w:color w:val="000000" w:themeColor="text1"/>
        </w:rPr>
        <w:t xml:space="preserve">in the </w:t>
      </w:r>
      <w:r w:rsidR="004903AA" w:rsidRPr="006C6F80">
        <w:rPr>
          <w:color w:val="000000" w:themeColor="text1"/>
        </w:rPr>
        <w:t>1960s</w:t>
      </w:r>
      <w:r w:rsidR="008102AB" w:rsidRPr="006C6F80">
        <w:rPr>
          <w:color w:val="000000" w:themeColor="text1"/>
        </w:rPr>
        <w:t>,</w:t>
      </w:r>
      <w:r w:rsidR="007E3C7A" w:rsidRPr="006C6F80">
        <w:rPr>
          <w:color w:val="000000" w:themeColor="text1"/>
        </w:rPr>
        <w:t xml:space="preserve"> between the</w:t>
      </w:r>
      <w:r w:rsidR="008102AB" w:rsidRPr="006C6F80">
        <w:rPr>
          <w:color w:val="000000" w:themeColor="text1"/>
        </w:rPr>
        <w:t>ir</w:t>
      </w:r>
      <w:r w:rsidR="007E3C7A" w:rsidRPr="006C6F80">
        <w:rPr>
          <w:color w:val="000000" w:themeColor="text1"/>
        </w:rPr>
        <w:t xml:space="preserve"> geographical region </w:t>
      </w:r>
      <w:r w:rsidR="005A6AAE" w:rsidRPr="006C6F80">
        <w:rPr>
          <w:color w:val="000000" w:themeColor="text1"/>
        </w:rPr>
        <w:t>of</w:t>
      </w:r>
      <w:r w:rsidR="004903AA" w:rsidRPr="006C6F80">
        <w:rPr>
          <w:color w:val="000000" w:themeColor="text1"/>
        </w:rPr>
        <w:t xml:space="preserve"> birth</w:t>
      </w:r>
      <w:r w:rsidR="007E3C7A" w:rsidRPr="006C6F80">
        <w:rPr>
          <w:color w:val="000000" w:themeColor="text1"/>
        </w:rPr>
        <w:t xml:space="preserve"> and the</w:t>
      </w:r>
      <w:r w:rsidR="004903AA" w:rsidRPr="006C6F80">
        <w:rPr>
          <w:color w:val="000000" w:themeColor="text1"/>
        </w:rPr>
        <w:t>ir</w:t>
      </w:r>
      <w:r w:rsidR="007E3C7A" w:rsidRPr="006C6F80">
        <w:rPr>
          <w:color w:val="000000" w:themeColor="text1"/>
        </w:rPr>
        <w:t xml:space="preserve"> current geographical region. We do so to ensure that the positive occupational mobility witnessed by the returnees is not driven by their locational choice</w:t>
      </w:r>
      <w:r w:rsidR="004903AA" w:rsidRPr="006C6F80">
        <w:rPr>
          <w:color w:val="000000" w:themeColor="text1"/>
        </w:rPr>
        <w:t>s</w:t>
      </w:r>
      <w:r w:rsidR="007E3C7A" w:rsidRPr="006C6F80">
        <w:rPr>
          <w:color w:val="000000" w:themeColor="text1"/>
        </w:rPr>
        <w:t xml:space="preserve"> in Egypt</w:t>
      </w:r>
      <w:r w:rsidR="007C1364" w:rsidRPr="006C6F80">
        <w:rPr>
          <w:color w:val="000000" w:themeColor="text1"/>
        </w:rPr>
        <w:t>,</w:t>
      </w:r>
      <w:r w:rsidR="007E3C7A" w:rsidRPr="006C6F80">
        <w:rPr>
          <w:color w:val="000000" w:themeColor="text1"/>
        </w:rPr>
        <w:t xml:space="preserve"> upon return. </w:t>
      </w:r>
      <w:r w:rsidR="008102AB" w:rsidRPr="006C6F80">
        <w:rPr>
          <w:color w:val="000000" w:themeColor="text1"/>
        </w:rPr>
        <w:t xml:space="preserve">First, </w:t>
      </w:r>
      <w:r w:rsidR="00AA3C84" w:rsidRPr="006C6F80">
        <w:rPr>
          <w:color w:val="000000" w:themeColor="text1"/>
        </w:rPr>
        <w:t>w</w:t>
      </w:r>
      <w:r w:rsidR="007E3C7A" w:rsidRPr="006C6F80">
        <w:rPr>
          <w:color w:val="000000" w:themeColor="text1"/>
        </w:rPr>
        <w:t xml:space="preserve">e find that both stayers and returnees were equally mobile, with </w:t>
      </w:r>
      <w:r w:rsidR="008102AB" w:rsidRPr="006C6F80">
        <w:rPr>
          <w:color w:val="000000" w:themeColor="text1"/>
        </w:rPr>
        <w:t xml:space="preserve">only </w:t>
      </w:r>
      <w:r w:rsidR="007E3C7A" w:rsidRPr="006C6F80">
        <w:rPr>
          <w:color w:val="000000" w:themeColor="text1"/>
        </w:rPr>
        <w:t xml:space="preserve">around </w:t>
      </w:r>
      <w:r w:rsidR="00AA3C84" w:rsidRPr="006C6F80">
        <w:rPr>
          <w:color w:val="000000" w:themeColor="text1"/>
        </w:rPr>
        <w:t>7</w:t>
      </w:r>
      <w:r w:rsidR="007E3C7A" w:rsidRPr="006C6F80">
        <w:rPr>
          <w:color w:val="000000" w:themeColor="text1"/>
        </w:rPr>
        <w:t xml:space="preserve">% of the stayers and </w:t>
      </w:r>
      <w:r w:rsidR="00AA3C84" w:rsidRPr="006C6F80">
        <w:rPr>
          <w:color w:val="000000" w:themeColor="text1"/>
        </w:rPr>
        <w:t>6</w:t>
      </w:r>
      <w:r w:rsidR="007E3C7A" w:rsidRPr="006C6F80">
        <w:rPr>
          <w:color w:val="000000" w:themeColor="text1"/>
        </w:rPr>
        <w:t>% of the returnees relocating in a different geographical region compared to th</w:t>
      </w:r>
      <w:r w:rsidR="008102AB" w:rsidRPr="006C6F80">
        <w:rPr>
          <w:color w:val="000000" w:themeColor="text1"/>
        </w:rPr>
        <w:t>eir geographical region</w:t>
      </w:r>
      <w:r w:rsidR="00AA3C84" w:rsidRPr="006C6F80">
        <w:rPr>
          <w:color w:val="000000" w:themeColor="text1"/>
        </w:rPr>
        <w:t xml:space="preserve"> </w:t>
      </w:r>
      <w:r w:rsidR="005A6AAE" w:rsidRPr="006C6F80">
        <w:rPr>
          <w:color w:val="000000" w:themeColor="text1"/>
        </w:rPr>
        <w:t>of</w:t>
      </w:r>
      <w:r w:rsidR="00AA3C84" w:rsidRPr="006C6F80">
        <w:rPr>
          <w:color w:val="000000" w:themeColor="text1"/>
        </w:rPr>
        <w:t xml:space="preserve"> birth</w:t>
      </w:r>
      <w:r w:rsidR="007E3C7A" w:rsidRPr="006C6F80">
        <w:rPr>
          <w:color w:val="000000" w:themeColor="text1"/>
        </w:rPr>
        <w:t>.</w:t>
      </w:r>
      <w:r w:rsidR="00AA3C84" w:rsidRPr="006C6F80">
        <w:rPr>
          <w:rStyle w:val="FootnoteReference"/>
          <w:color w:val="000000" w:themeColor="text1"/>
        </w:rPr>
        <w:footnoteReference w:id="28"/>
      </w:r>
      <w:r w:rsidR="007E3C7A" w:rsidRPr="006C6F80">
        <w:rPr>
          <w:color w:val="000000" w:themeColor="text1"/>
        </w:rPr>
        <w:t xml:space="preserve"> We also find that </w:t>
      </w:r>
      <w:r w:rsidR="003C247D" w:rsidRPr="006C6F80">
        <w:rPr>
          <w:color w:val="000000" w:themeColor="text1"/>
        </w:rPr>
        <w:t xml:space="preserve">in their current geographical region, </w:t>
      </w:r>
      <w:r w:rsidR="007E3C7A" w:rsidRPr="006C6F80">
        <w:rPr>
          <w:color w:val="000000" w:themeColor="text1"/>
        </w:rPr>
        <w:t>stayers are more likely to be located in bigger cities like Cairo, Alexandria</w:t>
      </w:r>
      <w:r w:rsidR="005A6AAE" w:rsidRPr="006C6F80">
        <w:rPr>
          <w:color w:val="000000" w:themeColor="text1"/>
        </w:rPr>
        <w:t>,</w:t>
      </w:r>
      <w:r w:rsidR="007E3C7A" w:rsidRPr="006C6F80">
        <w:rPr>
          <w:color w:val="000000" w:themeColor="text1"/>
        </w:rPr>
        <w:t xml:space="preserve"> and Canal Cities, with greater work opportunities compared to </w:t>
      </w:r>
      <w:r w:rsidR="00B91298" w:rsidRPr="006C6F80">
        <w:rPr>
          <w:color w:val="000000" w:themeColor="text1"/>
        </w:rPr>
        <w:t>returnees</w:t>
      </w:r>
      <w:r w:rsidR="007E3C7A" w:rsidRPr="006C6F80">
        <w:rPr>
          <w:color w:val="000000" w:themeColor="text1"/>
        </w:rPr>
        <w:t xml:space="preserve"> (22% of stayers compared to </w:t>
      </w:r>
      <w:r w:rsidR="003C247D" w:rsidRPr="006C6F80">
        <w:rPr>
          <w:color w:val="000000" w:themeColor="text1"/>
        </w:rPr>
        <w:t>11</w:t>
      </w:r>
      <w:r w:rsidR="007E3C7A" w:rsidRPr="006C6F80">
        <w:rPr>
          <w:color w:val="000000" w:themeColor="text1"/>
        </w:rPr>
        <w:t>% of return</w:t>
      </w:r>
      <w:r w:rsidR="008C0DA4" w:rsidRPr="006C6F80">
        <w:rPr>
          <w:color w:val="000000" w:themeColor="text1"/>
        </w:rPr>
        <w:t>ees).</w:t>
      </w:r>
      <w:r w:rsidR="003C247D" w:rsidRPr="006C6F80">
        <w:rPr>
          <w:color w:val="000000" w:themeColor="text1"/>
        </w:rPr>
        <w:t xml:space="preserve"> We also find the same patterns at birth</w:t>
      </w:r>
      <w:r w:rsidR="005A6AAE" w:rsidRPr="006C6F80">
        <w:rPr>
          <w:color w:val="000000" w:themeColor="text1"/>
        </w:rPr>
        <w:t>,</w:t>
      </w:r>
      <w:r w:rsidR="003C247D" w:rsidRPr="006C6F80">
        <w:rPr>
          <w:color w:val="000000" w:themeColor="text1"/>
        </w:rPr>
        <w:t xml:space="preserve"> with 20% of stayers and 10% of returnees located in Cairo, Alexandria</w:t>
      </w:r>
      <w:r w:rsidR="005A6AAE" w:rsidRPr="006C6F80">
        <w:rPr>
          <w:color w:val="000000" w:themeColor="text1"/>
        </w:rPr>
        <w:t>,</w:t>
      </w:r>
      <w:r w:rsidR="003C247D" w:rsidRPr="006C6F80">
        <w:rPr>
          <w:color w:val="000000" w:themeColor="text1"/>
        </w:rPr>
        <w:t xml:space="preserve"> and Canal cities. </w:t>
      </w:r>
      <w:r w:rsidR="008C0DA4" w:rsidRPr="006C6F80">
        <w:rPr>
          <w:color w:val="000000" w:themeColor="text1"/>
        </w:rPr>
        <w:t>This</w:t>
      </w:r>
      <w:r w:rsidR="007E3C7A" w:rsidRPr="006C6F80">
        <w:rPr>
          <w:color w:val="000000" w:themeColor="text1"/>
        </w:rPr>
        <w:t xml:space="preserve"> confirms that the returnees’ </w:t>
      </w:r>
      <w:r w:rsidR="00B91298" w:rsidRPr="006C6F80">
        <w:rPr>
          <w:color w:val="000000" w:themeColor="text1"/>
        </w:rPr>
        <w:t xml:space="preserve">higher incidence of </w:t>
      </w:r>
      <w:r w:rsidR="007E3C7A" w:rsidRPr="006C6F80">
        <w:rPr>
          <w:color w:val="000000" w:themeColor="text1"/>
        </w:rPr>
        <w:t xml:space="preserve">occupational </w:t>
      </w:r>
      <w:r w:rsidR="00B91298" w:rsidRPr="006C6F80">
        <w:rPr>
          <w:color w:val="000000" w:themeColor="text1"/>
        </w:rPr>
        <w:t>upgrading</w:t>
      </w:r>
      <w:r w:rsidR="007E3C7A" w:rsidRPr="006C6F80">
        <w:rPr>
          <w:color w:val="000000" w:themeColor="text1"/>
        </w:rPr>
        <w:t xml:space="preserve"> </w:t>
      </w:r>
      <w:r w:rsidR="00B91298" w:rsidRPr="006C6F80">
        <w:rPr>
          <w:color w:val="000000" w:themeColor="text1"/>
        </w:rPr>
        <w:t>relative to</w:t>
      </w:r>
      <w:r w:rsidR="007E3C7A" w:rsidRPr="006C6F80">
        <w:rPr>
          <w:color w:val="000000" w:themeColor="text1"/>
        </w:rPr>
        <w:t xml:space="preserve"> stayers is not driven by their locational choices upon return for two reasons: first, both stayers and returnees were found to be equally mobile within Egypt</w:t>
      </w:r>
      <w:r w:rsidR="005A6AAE" w:rsidRPr="006C6F80">
        <w:rPr>
          <w:color w:val="000000" w:themeColor="text1"/>
        </w:rPr>
        <w:t>;</w:t>
      </w:r>
      <w:r w:rsidR="007E3C7A" w:rsidRPr="006C6F80">
        <w:rPr>
          <w:color w:val="000000" w:themeColor="text1"/>
        </w:rPr>
        <w:t xml:space="preserve"> second, stayers were found to </w:t>
      </w:r>
      <w:r w:rsidR="005A6AAE" w:rsidRPr="006C6F80">
        <w:rPr>
          <w:color w:val="000000" w:themeColor="text1"/>
        </w:rPr>
        <w:t>re</w:t>
      </w:r>
      <w:r w:rsidR="007E3C7A" w:rsidRPr="006C6F80">
        <w:rPr>
          <w:color w:val="000000" w:themeColor="text1"/>
        </w:rPr>
        <w:t xml:space="preserve">locate </w:t>
      </w:r>
      <w:r w:rsidR="005A6AAE" w:rsidRPr="006C6F80">
        <w:rPr>
          <w:color w:val="000000" w:themeColor="text1"/>
        </w:rPr>
        <w:t>to</w:t>
      </w:r>
      <w:r w:rsidR="007E3C7A" w:rsidRPr="006C6F80">
        <w:rPr>
          <w:color w:val="000000" w:themeColor="text1"/>
        </w:rPr>
        <w:t xml:space="preserve"> the capital and bigger cities compared to returnees</w:t>
      </w:r>
      <w:r w:rsidR="005A6AAE" w:rsidRPr="006C6F80">
        <w:rPr>
          <w:color w:val="000000" w:themeColor="text1"/>
        </w:rPr>
        <w:t>,</w:t>
      </w:r>
      <w:r w:rsidR="007E3C7A" w:rsidRPr="006C6F80">
        <w:rPr>
          <w:color w:val="000000" w:themeColor="text1"/>
        </w:rPr>
        <w:t xml:space="preserve"> who </w:t>
      </w:r>
      <w:r w:rsidR="00B91298" w:rsidRPr="006C6F80">
        <w:rPr>
          <w:color w:val="000000" w:themeColor="text1"/>
        </w:rPr>
        <w:t>we</w:t>
      </w:r>
      <w:r w:rsidR="007E3C7A" w:rsidRPr="006C6F80">
        <w:rPr>
          <w:color w:val="000000" w:themeColor="text1"/>
        </w:rPr>
        <w:t xml:space="preserve">re found to be more likely to </w:t>
      </w:r>
      <w:r w:rsidR="005A6AAE" w:rsidRPr="006C6F80">
        <w:rPr>
          <w:color w:val="000000" w:themeColor="text1"/>
        </w:rPr>
        <w:t>re</w:t>
      </w:r>
      <w:r w:rsidR="007E3C7A" w:rsidRPr="006C6F80">
        <w:rPr>
          <w:color w:val="000000" w:themeColor="text1"/>
        </w:rPr>
        <w:t xml:space="preserve">locate </w:t>
      </w:r>
      <w:r w:rsidR="005A6AAE" w:rsidRPr="006C6F80">
        <w:rPr>
          <w:color w:val="000000" w:themeColor="text1"/>
        </w:rPr>
        <w:t>to</w:t>
      </w:r>
      <w:r w:rsidR="007E3C7A" w:rsidRPr="006C6F80">
        <w:rPr>
          <w:color w:val="000000" w:themeColor="text1"/>
        </w:rPr>
        <w:t xml:space="preserve"> rural regions in Lower and Upper Egypt. </w:t>
      </w:r>
    </w:p>
    <w:p w14:paraId="66F6CDC0" w14:textId="29BFAFD6" w:rsidR="00365AD2" w:rsidRPr="006C6F80" w:rsidRDefault="003C247D" w:rsidP="00F77326">
      <w:pPr>
        <w:pStyle w:val="NormalWeb"/>
        <w:spacing w:line="480" w:lineRule="auto"/>
        <w:jc w:val="both"/>
        <w:rPr>
          <w:color w:val="000000" w:themeColor="text1"/>
        </w:rPr>
      </w:pPr>
      <w:r w:rsidRPr="006C6F80">
        <w:rPr>
          <w:color w:val="000000" w:themeColor="text1"/>
        </w:rPr>
        <w:t>Finally, we investigate the issue of repeated migration, as individuals might be taking, on a repeated basis, the decision to migrate o</w:t>
      </w:r>
      <w:r w:rsidR="00412E11" w:rsidRPr="006C6F80">
        <w:rPr>
          <w:color w:val="000000" w:themeColor="text1"/>
        </w:rPr>
        <w:t>r not</w:t>
      </w:r>
      <w:r w:rsidRPr="006C6F80">
        <w:rPr>
          <w:color w:val="000000" w:themeColor="text1"/>
        </w:rPr>
        <w:t xml:space="preserve">. </w:t>
      </w:r>
      <w:r w:rsidR="00DF11A1" w:rsidRPr="006C6F80">
        <w:rPr>
          <w:color w:val="000000" w:themeColor="text1"/>
        </w:rPr>
        <w:t>This decision might be motivated by their occupational draw after they return to Egypt. Fr</w:t>
      </w:r>
      <w:r w:rsidR="00EA7F77" w:rsidRPr="006C6F80">
        <w:rPr>
          <w:color w:val="000000" w:themeColor="text1"/>
        </w:rPr>
        <w:t>o</w:t>
      </w:r>
      <w:r w:rsidR="00DF11A1" w:rsidRPr="006C6F80">
        <w:rPr>
          <w:color w:val="000000" w:themeColor="text1"/>
        </w:rPr>
        <w:t>m a conceptual point of view, repeated migration could be an issue if those with a single migration episode are also those who had better occupational draw upon return to Egypt</w:t>
      </w:r>
      <w:r w:rsidR="005A6AAE" w:rsidRPr="006C6F80">
        <w:rPr>
          <w:color w:val="000000" w:themeColor="text1"/>
        </w:rPr>
        <w:t>,</w:t>
      </w:r>
      <w:r w:rsidR="00DF11A1" w:rsidRPr="006C6F80">
        <w:rPr>
          <w:color w:val="000000" w:themeColor="text1"/>
        </w:rPr>
        <w:t xml:space="preserve"> while those who embarked on repeated migration experiences are those who had </w:t>
      </w:r>
      <w:r w:rsidR="00DF11A1" w:rsidRPr="006C6F80">
        <w:rPr>
          <w:color w:val="000000" w:themeColor="text1"/>
        </w:rPr>
        <w:lastRenderedPageBreak/>
        <w:t xml:space="preserve">poorer occupations upon return. </w:t>
      </w:r>
      <w:r w:rsidRPr="006C6F80">
        <w:rPr>
          <w:color w:val="000000" w:themeColor="text1"/>
        </w:rPr>
        <w:t xml:space="preserve">To investigate whether repeated migration could be driving our results, we use a recent ELMPS survey round conducted in Egypt in 2018. This allows us to observe attrition between 2012 and 2018 and particularly to examine whether </w:t>
      </w:r>
      <w:r w:rsidR="00480181" w:rsidRPr="006C6F80">
        <w:rPr>
          <w:color w:val="000000" w:themeColor="text1"/>
        </w:rPr>
        <w:t>return migrants in the 1960s cohort decided to migrate again. We report in Table A</w:t>
      </w:r>
      <w:r w:rsidR="00B975F1" w:rsidRPr="006C6F80">
        <w:rPr>
          <w:color w:val="000000" w:themeColor="text1"/>
        </w:rPr>
        <w:t>6</w:t>
      </w:r>
      <w:r w:rsidR="00480181" w:rsidRPr="006C6F80">
        <w:rPr>
          <w:color w:val="000000" w:themeColor="text1"/>
        </w:rPr>
        <w:t xml:space="preserve"> the </w:t>
      </w:r>
      <w:r w:rsidR="00412E11" w:rsidRPr="006C6F80">
        <w:rPr>
          <w:color w:val="000000" w:themeColor="text1"/>
        </w:rPr>
        <w:t xml:space="preserve">attrition rates (Panel A) and </w:t>
      </w:r>
      <w:r w:rsidR="00081635" w:rsidRPr="006C6F80">
        <w:rPr>
          <w:color w:val="000000" w:themeColor="text1"/>
        </w:rPr>
        <w:t xml:space="preserve">individual </w:t>
      </w:r>
      <w:r w:rsidR="00412E11" w:rsidRPr="006C6F80">
        <w:rPr>
          <w:color w:val="000000" w:themeColor="text1"/>
        </w:rPr>
        <w:t>attrition results (Panel B) for the entire 2012 sample and for</w:t>
      </w:r>
      <w:r w:rsidR="005926BF" w:rsidRPr="006C6F80">
        <w:rPr>
          <w:color w:val="000000" w:themeColor="text1"/>
        </w:rPr>
        <w:t xml:space="preserve"> returnees in</w:t>
      </w:r>
      <w:r w:rsidR="00412E11" w:rsidRPr="006C6F80">
        <w:rPr>
          <w:color w:val="000000" w:themeColor="text1"/>
        </w:rPr>
        <w:t xml:space="preserve"> the 1960s cohort. </w:t>
      </w:r>
      <w:r w:rsidR="005926BF" w:rsidRPr="006C6F80">
        <w:rPr>
          <w:color w:val="000000" w:themeColor="text1"/>
        </w:rPr>
        <w:t xml:space="preserve">For the full 2012 sample, we find an attrition rate of 20% between 2012 and 2018, while </w:t>
      </w:r>
      <w:r w:rsidR="00CC75DD" w:rsidRPr="006C6F80">
        <w:rPr>
          <w:color w:val="000000" w:themeColor="text1"/>
        </w:rPr>
        <w:t xml:space="preserve">the </w:t>
      </w:r>
      <w:r w:rsidR="005926BF" w:rsidRPr="006C6F80">
        <w:rPr>
          <w:color w:val="000000" w:themeColor="text1"/>
        </w:rPr>
        <w:t xml:space="preserve">attrition </w:t>
      </w:r>
      <w:r w:rsidR="00CC75DD" w:rsidRPr="006C6F80">
        <w:rPr>
          <w:color w:val="000000" w:themeColor="text1"/>
        </w:rPr>
        <w:t xml:space="preserve">rate among returnees in the 1960s cohort is only 13%. The individual attrition results are reported </w:t>
      </w:r>
      <w:r w:rsidR="00E35E2D" w:rsidRPr="006C6F80">
        <w:rPr>
          <w:color w:val="000000" w:themeColor="text1"/>
        </w:rPr>
        <w:t xml:space="preserve">in Panel B. </w:t>
      </w:r>
      <w:r w:rsidR="00081635" w:rsidRPr="006C6F80">
        <w:rPr>
          <w:color w:val="000000" w:themeColor="text1"/>
        </w:rPr>
        <w:t xml:space="preserve">This panel </w:t>
      </w:r>
      <w:r w:rsidR="00E35E2D" w:rsidRPr="006C6F80">
        <w:rPr>
          <w:color w:val="000000" w:themeColor="text1"/>
        </w:rPr>
        <w:t>provides information on whether the individual was retrieved in the original household or in split households. It also provides information on whether: the individual split to form a new household that was not found, died, emigrated, moved to group housing, belong</w:t>
      </w:r>
      <w:r w:rsidR="007C1364" w:rsidRPr="006C6F80">
        <w:rPr>
          <w:color w:val="000000" w:themeColor="text1"/>
        </w:rPr>
        <w:t>s</w:t>
      </w:r>
      <w:r w:rsidR="00E35E2D" w:rsidRPr="006C6F80">
        <w:rPr>
          <w:color w:val="000000" w:themeColor="text1"/>
        </w:rPr>
        <w:t xml:space="preserve"> to a household that either refused to answer the questionnaire, did not complete the questionnaire or was not located.</w:t>
      </w:r>
      <w:r w:rsidR="00081635" w:rsidRPr="006C6F80">
        <w:rPr>
          <w:color w:val="000000" w:themeColor="text1"/>
        </w:rPr>
        <w:t xml:space="preserve"> Indeed, we find that the incidence of emigration between 2012 and 2018 is too low (2% for the full sample and 1% for returnees in the 1960s cohort). Moreover, we find that the incidence of </w:t>
      </w:r>
      <w:r w:rsidR="00D97960" w:rsidRPr="006C6F80">
        <w:rPr>
          <w:color w:val="000000" w:themeColor="text1"/>
        </w:rPr>
        <w:t xml:space="preserve">a </w:t>
      </w:r>
      <w:r w:rsidR="00081635" w:rsidRPr="006C6F80">
        <w:rPr>
          <w:color w:val="000000" w:themeColor="text1"/>
        </w:rPr>
        <w:t>household not</w:t>
      </w:r>
      <w:r w:rsidR="00D97960" w:rsidRPr="006C6F80">
        <w:rPr>
          <w:color w:val="000000" w:themeColor="text1"/>
        </w:rPr>
        <w:t xml:space="preserve"> being</w:t>
      </w:r>
      <w:r w:rsidR="00081635" w:rsidRPr="006C6F80">
        <w:rPr>
          <w:color w:val="000000" w:themeColor="text1"/>
        </w:rPr>
        <w:t xml:space="preserve"> located among the 1960s cohort, which might be due to many reasons but does not rule out the possibility of emigration, is equal to 5% for returnees in the 1960s cohort (less than the corresponding rate for the full 2012 survey sample</w:t>
      </w:r>
      <w:r w:rsidR="00D97960" w:rsidRPr="006C6F80">
        <w:rPr>
          <w:color w:val="000000" w:themeColor="text1"/>
        </w:rPr>
        <w:t>,</w:t>
      </w:r>
      <w:r w:rsidR="00081635" w:rsidRPr="006C6F80">
        <w:rPr>
          <w:color w:val="000000" w:themeColor="text1"/>
        </w:rPr>
        <w:t xml:space="preserve"> which is equal to 9%).</w:t>
      </w:r>
      <w:r w:rsidR="008A0283" w:rsidRPr="006C6F80">
        <w:rPr>
          <w:color w:val="000000" w:themeColor="text1"/>
        </w:rPr>
        <w:t xml:space="preserve"> </w:t>
      </w:r>
      <w:r w:rsidR="00081635" w:rsidRPr="006C6F80">
        <w:rPr>
          <w:color w:val="000000" w:themeColor="text1"/>
        </w:rPr>
        <w:t>These results therefore suggest that repeated migration episodes are actually quite limited</w:t>
      </w:r>
      <w:r w:rsidR="005E3CC1" w:rsidRPr="006C6F80">
        <w:rPr>
          <w:color w:val="000000" w:themeColor="text1"/>
        </w:rPr>
        <w:t>.</w:t>
      </w:r>
      <w:r w:rsidR="005E3CC1" w:rsidRPr="006C6F80">
        <w:rPr>
          <w:rStyle w:val="FootnoteReference"/>
          <w:color w:val="000000" w:themeColor="text1"/>
        </w:rPr>
        <w:footnoteReference w:id="29"/>
      </w:r>
      <w:r w:rsidR="00450C01" w:rsidRPr="006C6F80">
        <w:rPr>
          <w:color w:val="000000" w:themeColor="text1"/>
        </w:rPr>
        <w:t xml:space="preserve"> Furthermore, in Table A7 in the Online Appendix, we examine the 2010 occupational distribution of returnees in the 1960s cohort depending on whether they were successfully interviewed</w:t>
      </w:r>
      <w:r w:rsidR="00F90127" w:rsidRPr="006C6F80">
        <w:rPr>
          <w:color w:val="000000" w:themeColor="text1"/>
        </w:rPr>
        <w:t xml:space="preserve"> or not</w:t>
      </w:r>
      <w:r w:rsidR="00450C01" w:rsidRPr="006C6F80">
        <w:rPr>
          <w:color w:val="000000" w:themeColor="text1"/>
        </w:rPr>
        <w:t xml:space="preserve"> </w:t>
      </w:r>
      <w:r w:rsidR="00BE3A5B" w:rsidRPr="006C6F80">
        <w:rPr>
          <w:color w:val="000000" w:themeColor="text1"/>
        </w:rPr>
        <w:t>in 2018</w:t>
      </w:r>
      <w:r w:rsidR="00450C01" w:rsidRPr="006C6F80">
        <w:rPr>
          <w:color w:val="000000" w:themeColor="text1"/>
        </w:rPr>
        <w:t>. We also report in column (5) the difference in mean</w:t>
      </w:r>
      <w:r w:rsidR="007B7281" w:rsidRPr="006C6F80">
        <w:rPr>
          <w:color w:val="000000" w:themeColor="text1"/>
        </w:rPr>
        <w:t>s</w:t>
      </w:r>
      <w:r w:rsidR="00450C01" w:rsidRPr="006C6F80">
        <w:rPr>
          <w:color w:val="000000" w:themeColor="text1"/>
        </w:rPr>
        <w:t xml:space="preserve"> between the two groups</w:t>
      </w:r>
      <w:r w:rsidR="007B7281" w:rsidRPr="006C6F80">
        <w:rPr>
          <w:color w:val="000000" w:themeColor="text1"/>
        </w:rPr>
        <w:t>,</w:t>
      </w:r>
      <w:r w:rsidR="00450C01" w:rsidRPr="006C6F80">
        <w:rPr>
          <w:color w:val="000000" w:themeColor="text1"/>
        </w:rPr>
        <w:t xml:space="preserve"> as well as a t-test for whether the difference </w:t>
      </w:r>
      <w:r w:rsidR="00FA5B8E" w:rsidRPr="006C6F80">
        <w:rPr>
          <w:color w:val="000000" w:themeColor="text1"/>
        </w:rPr>
        <w:t>in means</w:t>
      </w:r>
      <w:r w:rsidR="00450C01" w:rsidRPr="006C6F80">
        <w:rPr>
          <w:color w:val="000000" w:themeColor="text1"/>
        </w:rPr>
        <w:t xml:space="preserve"> </w:t>
      </w:r>
      <w:r w:rsidR="00FA5B8E" w:rsidRPr="006C6F80">
        <w:rPr>
          <w:color w:val="000000" w:themeColor="text1"/>
        </w:rPr>
        <w:t>between</w:t>
      </w:r>
      <w:r w:rsidR="00450C01" w:rsidRPr="006C6F80">
        <w:rPr>
          <w:color w:val="000000" w:themeColor="text1"/>
        </w:rPr>
        <w:t xml:space="preserve"> columns (1) and (3) </w:t>
      </w:r>
      <w:r w:rsidR="007B7281" w:rsidRPr="006C6F80">
        <w:rPr>
          <w:color w:val="000000" w:themeColor="text1"/>
        </w:rPr>
        <w:t>is</w:t>
      </w:r>
      <w:r w:rsidR="00450C01" w:rsidRPr="006C6F80">
        <w:rPr>
          <w:color w:val="000000" w:themeColor="text1"/>
        </w:rPr>
        <w:t xml:space="preserve"> statistically significant. </w:t>
      </w:r>
      <w:r w:rsidR="00450C01" w:rsidRPr="006C6F80">
        <w:rPr>
          <w:color w:val="000000" w:themeColor="text1"/>
        </w:rPr>
        <w:lastRenderedPageBreak/>
        <w:t xml:space="preserve">Indeed, we find that returnees who were not successfully interviewed in 2018 hold on average better ranked occupations in 2010 compared to returnees who were successfully interviewed in 2018. For instance, the incidence of agricultural occupations is lower among returnees who were not successfully </w:t>
      </w:r>
      <w:r w:rsidR="007E4F93">
        <w:rPr>
          <w:color w:val="000000" w:themeColor="text1"/>
        </w:rPr>
        <w:t>tracked</w:t>
      </w:r>
      <w:r w:rsidR="00450C01" w:rsidRPr="006C6F80">
        <w:rPr>
          <w:color w:val="000000" w:themeColor="text1"/>
        </w:rPr>
        <w:t xml:space="preserve"> in 2018, while the incidence of high-skilled white collar occupations is higher. However, the difference between the two groups is not statistically significant. Overall, these findings suggest that returnees who were not successfully interviewed in 2018 have comparable occupations relative to those who were interviewed in 2018.</w:t>
      </w:r>
      <w:r w:rsidR="00081635" w:rsidRPr="006C6F80">
        <w:rPr>
          <w:color w:val="000000" w:themeColor="text1"/>
        </w:rPr>
        <w:t xml:space="preserve"> </w:t>
      </w:r>
      <w:r w:rsidR="00450C01" w:rsidRPr="006C6F80">
        <w:rPr>
          <w:color w:val="000000" w:themeColor="text1"/>
        </w:rPr>
        <w:t xml:space="preserve">These findings </w:t>
      </w:r>
      <w:r w:rsidR="00081635" w:rsidRPr="006C6F80">
        <w:rPr>
          <w:color w:val="000000" w:themeColor="text1"/>
        </w:rPr>
        <w:t>therefore</w:t>
      </w:r>
      <w:r w:rsidR="00450C01" w:rsidRPr="006C6F80">
        <w:rPr>
          <w:color w:val="000000" w:themeColor="text1"/>
        </w:rPr>
        <w:t xml:space="preserve"> </w:t>
      </w:r>
      <w:r w:rsidR="007E4F93">
        <w:rPr>
          <w:color w:val="000000" w:themeColor="text1"/>
        </w:rPr>
        <w:t>confirm</w:t>
      </w:r>
      <w:r w:rsidR="00B545A7" w:rsidRPr="006C6F80">
        <w:rPr>
          <w:color w:val="000000" w:themeColor="text1"/>
        </w:rPr>
        <w:t xml:space="preserve"> that our results are </w:t>
      </w:r>
      <w:r w:rsidR="007E4F93">
        <w:rPr>
          <w:color w:val="000000" w:themeColor="text1"/>
        </w:rPr>
        <w:t xml:space="preserve">not </w:t>
      </w:r>
      <w:r w:rsidR="00B545A7" w:rsidRPr="006C6F80">
        <w:rPr>
          <w:color w:val="000000" w:themeColor="text1"/>
        </w:rPr>
        <w:t>driven by repeated migration episodes whereby returnees with poor</w:t>
      </w:r>
      <w:r w:rsidR="007B7281" w:rsidRPr="006C6F80">
        <w:rPr>
          <w:color w:val="000000" w:themeColor="text1"/>
        </w:rPr>
        <w:t>er</w:t>
      </w:r>
      <w:r w:rsidR="00B545A7" w:rsidRPr="006C6F80">
        <w:rPr>
          <w:color w:val="000000" w:themeColor="text1"/>
        </w:rPr>
        <w:t xml:space="preserve"> occupational draws upon return decide to migrate again, driving up the occupational upgrading</w:t>
      </w:r>
      <w:r w:rsidR="00081635" w:rsidRPr="006C6F80">
        <w:rPr>
          <w:color w:val="000000" w:themeColor="text1"/>
        </w:rPr>
        <w:t>.</w:t>
      </w:r>
      <w:r w:rsidR="00B545A7" w:rsidRPr="006C6F80">
        <w:rPr>
          <w:color w:val="000000" w:themeColor="text1"/>
        </w:rPr>
        <w:t xml:space="preserve"> If anything, </w:t>
      </w:r>
      <w:r w:rsidR="005E3CC1" w:rsidRPr="006C6F80">
        <w:rPr>
          <w:color w:val="000000" w:themeColor="text1"/>
        </w:rPr>
        <w:t>the results suggest that returnees who were not successfully interviewed in 2018 have on average better ranked occupations upon return</w:t>
      </w:r>
      <w:r w:rsidR="00B545A7" w:rsidRPr="006C6F80">
        <w:rPr>
          <w:color w:val="000000" w:themeColor="text1"/>
        </w:rPr>
        <w:t>.</w:t>
      </w:r>
    </w:p>
    <w:p w14:paraId="4B802A40" w14:textId="57820282" w:rsidR="00340B28" w:rsidRPr="006C6F80" w:rsidRDefault="00970567" w:rsidP="00B132A6">
      <w:pPr>
        <w:pStyle w:val="ListParagraph"/>
        <w:numPr>
          <w:ilvl w:val="1"/>
          <w:numId w:val="10"/>
        </w:numPr>
        <w:spacing w:line="480" w:lineRule="auto"/>
        <w:jc w:val="both"/>
        <w:rPr>
          <w:rFonts w:ascii="Times New Roman" w:hAnsi="Times New Roman" w:cs="Times New Roman"/>
          <w:b/>
          <w:bCs/>
          <w:color w:val="000000" w:themeColor="text1"/>
          <w:sz w:val="24"/>
          <w:szCs w:val="24"/>
          <w:lang w:val="en-US"/>
        </w:rPr>
      </w:pPr>
      <w:r w:rsidRPr="006C6F80">
        <w:rPr>
          <w:rFonts w:ascii="Times New Roman" w:hAnsi="Times New Roman" w:cs="Times New Roman"/>
          <w:b/>
          <w:bCs/>
          <w:color w:val="000000" w:themeColor="text1"/>
          <w:sz w:val="24"/>
          <w:szCs w:val="24"/>
          <w:lang w:val="en-US"/>
        </w:rPr>
        <w:t>Robustness check</w:t>
      </w:r>
      <w:r w:rsidR="008567DF" w:rsidRPr="006C6F80">
        <w:rPr>
          <w:rFonts w:ascii="Times New Roman" w:hAnsi="Times New Roman" w:cs="Times New Roman"/>
          <w:b/>
          <w:bCs/>
          <w:color w:val="000000" w:themeColor="text1"/>
          <w:sz w:val="24"/>
          <w:szCs w:val="24"/>
          <w:lang w:val="en-US"/>
        </w:rPr>
        <w:t>s</w:t>
      </w:r>
      <w:r w:rsidRPr="006C6F80">
        <w:rPr>
          <w:rFonts w:ascii="Times New Roman" w:hAnsi="Times New Roman" w:cs="Times New Roman"/>
          <w:b/>
          <w:bCs/>
          <w:color w:val="000000" w:themeColor="text1"/>
          <w:sz w:val="24"/>
          <w:szCs w:val="24"/>
          <w:lang w:val="en-US"/>
        </w:rPr>
        <w:t xml:space="preserve"> using a d</w:t>
      </w:r>
      <w:r w:rsidR="00340B28" w:rsidRPr="006C6F80">
        <w:rPr>
          <w:rFonts w:ascii="Times New Roman" w:hAnsi="Times New Roman" w:cs="Times New Roman"/>
          <w:b/>
          <w:bCs/>
          <w:color w:val="000000" w:themeColor="text1"/>
          <w:sz w:val="24"/>
          <w:szCs w:val="24"/>
          <w:lang w:val="en-US"/>
        </w:rPr>
        <w:t xml:space="preserve">ifferent </w:t>
      </w:r>
      <w:r w:rsidRPr="006C6F80">
        <w:rPr>
          <w:rFonts w:ascii="Times New Roman" w:hAnsi="Times New Roman" w:cs="Times New Roman"/>
          <w:b/>
          <w:bCs/>
          <w:color w:val="000000" w:themeColor="text1"/>
          <w:sz w:val="24"/>
          <w:szCs w:val="24"/>
          <w:lang w:val="en-US"/>
        </w:rPr>
        <w:t>c</w:t>
      </w:r>
      <w:r w:rsidR="00340B28" w:rsidRPr="006C6F80">
        <w:rPr>
          <w:rFonts w:ascii="Times New Roman" w:hAnsi="Times New Roman" w:cs="Times New Roman"/>
          <w:b/>
          <w:bCs/>
          <w:color w:val="000000" w:themeColor="text1"/>
          <w:sz w:val="24"/>
          <w:szCs w:val="24"/>
          <w:lang w:val="en-US"/>
        </w:rPr>
        <w:t xml:space="preserve">ohort </w:t>
      </w:r>
    </w:p>
    <w:p w14:paraId="42962543" w14:textId="68FBF00E" w:rsidR="004A1C27" w:rsidRPr="006C6F80" w:rsidRDefault="00D23C62" w:rsidP="007D7189">
      <w:pPr>
        <w:spacing w:after="200" w:line="480" w:lineRule="auto"/>
        <w:jc w:val="both"/>
        <w:rPr>
          <w:color w:val="000000" w:themeColor="text1"/>
        </w:rPr>
      </w:pPr>
      <w:r w:rsidRPr="006C6F80">
        <w:rPr>
          <w:color w:val="000000" w:themeColor="text1"/>
        </w:rPr>
        <w:t xml:space="preserve">In this section, we also </w:t>
      </w:r>
      <w:r w:rsidR="004E5CDF" w:rsidRPr="006C6F80">
        <w:rPr>
          <w:color w:val="000000" w:themeColor="text1"/>
        </w:rPr>
        <w:t>rely</w:t>
      </w:r>
      <w:r w:rsidR="00636390" w:rsidRPr="006C6F80">
        <w:rPr>
          <w:color w:val="000000" w:themeColor="text1"/>
        </w:rPr>
        <w:t xml:space="preserve"> on</w:t>
      </w:r>
      <w:r w:rsidR="00DB73D4" w:rsidRPr="006C6F80">
        <w:rPr>
          <w:color w:val="000000" w:themeColor="text1"/>
        </w:rPr>
        <w:t xml:space="preserve"> the 19</w:t>
      </w:r>
      <w:r w:rsidR="004E5CDF" w:rsidRPr="006C6F80">
        <w:rPr>
          <w:color w:val="000000" w:themeColor="text1"/>
        </w:rPr>
        <w:t>5</w:t>
      </w:r>
      <w:r w:rsidR="00DB73D4" w:rsidRPr="006C6F80">
        <w:rPr>
          <w:color w:val="000000" w:themeColor="text1"/>
        </w:rPr>
        <w:t>0s</w:t>
      </w:r>
      <w:r w:rsidR="004E5CDF" w:rsidRPr="006C6F80">
        <w:rPr>
          <w:color w:val="000000" w:themeColor="text1"/>
        </w:rPr>
        <w:t xml:space="preserve"> birth</w:t>
      </w:r>
      <w:r w:rsidR="00DB73D4" w:rsidRPr="006C6F80">
        <w:rPr>
          <w:color w:val="000000" w:themeColor="text1"/>
        </w:rPr>
        <w:t xml:space="preserve"> cohort</w:t>
      </w:r>
      <w:r w:rsidR="004E5CDF" w:rsidRPr="006C6F80">
        <w:rPr>
          <w:color w:val="000000" w:themeColor="text1"/>
        </w:rPr>
        <w:t xml:space="preserve"> to provide some robustness checks with respect to the choice of the birth cohort under study.</w:t>
      </w:r>
      <w:r w:rsidR="004E5CDF" w:rsidRPr="006C6F80">
        <w:rPr>
          <w:rStyle w:val="FootnoteReference"/>
          <w:color w:val="000000" w:themeColor="text1"/>
        </w:rPr>
        <w:footnoteReference w:id="30"/>
      </w:r>
      <w:r w:rsidR="004E5CDF" w:rsidRPr="006C6F80">
        <w:rPr>
          <w:color w:val="000000" w:themeColor="text1"/>
        </w:rPr>
        <w:t xml:space="preserve"> </w:t>
      </w:r>
      <w:r w:rsidR="00DB73D4" w:rsidRPr="006C6F80">
        <w:rPr>
          <w:color w:val="000000" w:themeColor="text1"/>
        </w:rPr>
        <w:t>We</w:t>
      </w:r>
      <w:r w:rsidR="00340B28" w:rsidRPr="006C6F80">
        <w:rPr>
          <w:color w:val="000000" w:themeColor="text1"/>
        </w:rPr>
        <w:t xml:space="preserve"> focus on </w:t>
      </w:r>
      <w:r w:rsidR="004E5CDF" w:rsidRPr="006C6F80">
        <w:rPr>
          <w:color w:val="000000" w:themeColor="text1"/>
        </w:rPr>
        <w:t>men</w:t>
      </w:r>
      <w:r w:rsidR="00340B28" w:rsidRPr="006C6F80">
        <w:rPr>
          <w:color w:val="000000" w:themeColor="text1"/>
        </w:rPr>
        <w:t xml:space="preserve"> who </w:t>
      </w:r>
      <w:r w:rsidR="004E5CDF" w:rsidRPr="006C6F80">
        <w:rPr>
          <w:color w:val="000000" w:themeColor="text1"/>
        </w:rPr>
        <w:t>were born in the 1950s and were working in Egypt in 2010.</w:t>
      </w:r>
      <w:r w:rsidR="004E5CDF" w:rsidRPr="006C6F80">
        <w:rPr>
          <w:rStyle w:val="FootnoteReference"/>
          <w:color w:val="000000" w:themeColor="text1"/>
        </w:rPr>
        <w:footnoteReference w:id="31"/>
      </w:r>
      <w:r w:rsidR="004E5CDF" w:rsidRPr="006C6F80">
        <w:rPr>
          <w:color w:val="000000" w:themeColor="text1"/>
        </w:rPr>
        <w:t xml:space="preserve"> </w:t>
      </w:r>
      <w:r w:rsidR="00340B28" w:rsidRPr="006C6F80">
        <w:rPr>
          <w:color w:val="000000" w:themeColor="text1"/>
        </w:rPr>
        <w:t xml:space="preserve">In </w:t>
      </w:r>
      <w:r w:rsidR="00CA383E" w:rsidRPr="006C6F80">
        <w:rPr>
          <w:color w:val="000000" w:themeColor="text1"/>
        </w:rPr>
        <w:t xml:space="preserve">the Online Appendix </w:t>
      </w:r>
      <w:r w:rsidR="00340B28" w:rsidRPr="006C6F80">
        <w:rPr>
          <w:color w:val="000000" w:themeColor="text1"/>
        </w:rPr>
        <w:t xml:space="preserve">Table </w:t>
      </w:r>
      <w:r w:rsidR="00CA383E" w:rsidRPr="006C6F80">
        <w:rPr>
          <w:color w:val="000000" w:themeColor="text1"/>
        </w:rPr>
        <w:t>A</w:t>
      </w:r>
      <w:r w:rsidR="008D2AEF" w:rsidRPr="006C6F80">
        <w:rPr>
          <w:color w:val="000000" w:themeColor="text1"/>
        </w:rPr>
        <w:t>8</w:t>
      </w:r>
      <w:r w:rsidR="00DB73D4" w:rsidRPr="006C6F80">
        <w:rPr>
          <w:color w:val="000000" w:themeColor="text1"/>
        </w:rPr>
        <w:t xml:space="preserve">, we </w:t>
      </w:r>
      <w:r w:rsidR="00340B28" w:rsidRPr="006C6F80">
        <w:rPr>
          <w:color w:val="000000" w:themeColor="text1"/>
        </w:rPr>
        <w:t>estimate the effect of return migration on occupational mobility for the 19</w:t>
      </w:r>
      <w:r w:rsidR="00CB3508" w:rsidRPr="006C6F80">
        <w:rPr>
          <w:color w:val="000000" w:themeColor="text1"/>
        </w:rPr>
        <w:t>5</w:t>
      </w:r>
      <w:r w:rsidR="00340B28" w:rsidRPr="006C6F80">
        <w:rPr>
          <w:color w:val="000000" w:themeColor="text1"/>
        </w:rPr>
        <w:t xml:space="preserve">0s cohort. We </w:t>
      </w:r>
      <w:r w:rsidRPr="006C6F80">
        <w:rPr>
          <w:color w:val="000000" w:themeColor="text1"/>
        </w:rPr>
        <w:t>rely on</w:t>
      </w:r>
      <w:r w:rsidR="00340B28" w:rsidRPr="006C6F80">
        <w:rPr>
          <w:color w:val="000000" w:themeColor="text1"/>
        </w:rPr>
        <w:t xml:space="preserve"> </w:t>
      </w:r>
      <w:r w:rsidR="00971DB4" w:rsidRPr="006C6F80">
        <w:rPr>
          <w:color w:val="000000" w:themeColor="text1"/>
        </w:rPr>
        <w:t xml:space="preserve">linear probability </w:t>
      </w:r>
      <w:r w:rsidR="00340B28" w:rsidRPr="006C6F80">
        <w:rPr>
          <w:color w:val="000000" w:themeColor="text1"/>
        </w:rPr>
        <w:t>and IV-regression</w:t>
      </w:r>
      <w:r w:rsidR="00971DB4" w:rsidRPr="006C6F80">
        <w:rPr>
          <w:color w:val="000000" w:themeColor="text1"/>
        </w:rPr>
        <w:t>s</w:t>
      </w:r>
      <w:r w:rsidR="00340B28" w:rsidRPr="006C6F80">
        <w:rPr>
          <w:color w:val="000000" w:themeColor="text1"/>
        </w:rPr>
        <w:t xml:space="preserve"> using historical </w:t>
      </w:r>
      <w:r w:rsidR="00971DB4" w:rsidRPr="006C6F80">
        <w:rPr>
          <w:color w:val="000000" w:themeColor="text1"/>
        </w:rPr>
        <w:t xml:space="preserve">inflation-adjusted </w:t>
      </w:r>
      <w:r w:rsidR="00340B28" w:rsidRPr="006C6F80">
        <w:rPr>
          <w:color w:val="000000" w:themeColor="text1"/>
        </w:rPr>
        <w:t xml:space="preserve">oil prices. </w:t>
      </w:r>
      <w:r w:rsidR="00CB3508" w:rsidRPr="006C6F80">
        <w:rPr>
          <w:color w:val="000000" w:themeColor="text1"/>
        </w:rPr>
        <w:t>Controlling for the first occupations and</w:t>
      </w:r>
      <w:r w:rsidR="00D97960" w:rsidRPr="006C6F80">
        <w:rPr>
          <w:color w:val="000000" w:themeColor="text1"/>
        </w:rPr>
        <w:t xml:space="preserve"> using</w:t>
      </w:r>
      <w:r w:rsidR="00CB3508" w:rsidRPr="006C6F80">
        <w:rPr>
          <w:color w:val="000000" w:themeColor="text1"/>
        </w:rPr>
        <w:t xml:space="preserve"> an IV-regression model, </w:t>
      </w:r>
      <w:r w:rsidR="00340B28" w:rsidRPr="006C6F80">
        <w:rPr>
          <w:color w:val="000000" w:themeColor="text1"/>
        </w:rPr>
        <w:t xml:space="preserve">we find that return migration </w:t>
      </w:r>
      <w:r w:rsidR="00CB3508" w:rsidRPr="006C6F80">
        <w:rPr>
          <w:color w:val="000000" w:themeColor="text1"/>
        </w:rPr>
        <w:t xml:space="preserve">leads to an </w:t>
      </w:r>
      <w:r w:rsidR="00340B28" w:rsidRPr="006C6F80">
        <w:rPr>
          <w:color w:val="000000" w:themeColor="text1"/>
        </w:rPr>
        <w:t xml:space="preserve">increase </w:t>
      </w:r>
      <w:r w:rsidR="00CB3508" w:rsidRPr="006C6F80">
        <w:rPr>
          <w:color w:val="000000" w:themeColor="text1"/>
        </w:rPr>
        <w:t xml:space="preserve">in </w:t>
      </w:r>
      <w:r w:rsidR="00340B28" w:rsidRPr="006C6F80">
        <w:rPr>
          <w:color w:val="000000" w:themeColor="text1"/>
        </w:rPr>
        <w:t>the</w:t>
      </w:r>
      <w:r w:rsidR="00CB3508" w:rsidRPr="006C6F80">
        <w:rPr>
          <w:color w:val="000000" w:themeColor="text1"/>
        </w:rPr>
        <w:t xml:space="preserve"> </w:t>
      </w:r>
      <w:r w:rsidR="00340B28" w:rsidRPr="006C6F80">
        <w:rPr>
          <w:color w:val="000000" w:themeColor="text1"/>
        </w:rPr>
        <w:t>probability of upward occupational mobility by 1</w:t>
      </w:r>
      <w:r w:rsidR="00CB3508" w:rsidRPr="006C6F80">
        <w:rPr>
          <w:color w:val="000000" w:themeColor="text1"/>
        </w:rPr>
        <w:t>1</w:t>
      </w:r>
      <w:r w:rsidR="00340B28" w:rsidRPr="006C6F80">
        <w:rPr>
          <w:color w:val="000000" w:themeColor="text1"/>
        </w:rPr>
        <w:t xml:space="preserve"> percentage points. </w:t>
      </w:r>
      <w:r w:rsidR="001F44C1" w:rsidRPr="006C6F80">
        <w:rPr>
          <w:color w:val="000000" w:themeColor="text1"/>
        </w:rPr>
        <w:t xml:space="preserve">In </w:t>
      </w:r>
      <w:r w:rsidR="008D2AEF" w:rsidRPr="006C6F80">
        <w:rPr>
          <w:color w:val="000000" w:themeColor="text1"/>
        </w:rPr>
        <w:t xml:space="preserve">the Online Appendix </w:t>
      </w:r>
      <w:r w:rsidR="001F44C1" w:rsidRPr="006C6F80">
        <w:rPr>
          <w:color w:val="000000" w:themeColor="text1"/>
        </w:rPr>
        <w:t>Table A</w:t>
      </w:r>
      <w:r w:rsidR="008D2AEF" w:rsidRPr="006C6F80">
        <w:rPr>
          <w:color w:val="000000" w:themeColor="text1"/>
        </w:rPr>
        <w:t>9</w:t>
      </w:r>
      <w:r w:rsidR="001F44C1" w:rsidRPr="006C6F80">
        <w:rPr>
          <w:color w:val="000000" w:themeColor="text1"/>
        </w:rPr>
        <w:t xml:space="preserve">, we also report results using </w:t>
      </w:r>
      <w:r w:rsidR="00D97960" w:rsidRPr="006C6F80">
        <w:rPr>
          <w:color w:val="000000" w:themeColor="text1"/>
        </w:rPr>
        <w:t>a</w:t>
      </w:r>
      <w:r w:rsidR="001F44C1" w:rsidRPr="006C6F80">
        <w:rPr>
          <w:color w:val="000000" w:themeColor="text1"/>
        </w:rPr>
        <w:t xml:space="preserve"> Difference-in-Differences matching technique using the same set of covariates presented in Section 3 to predict the propensity score. Controlling for </w:t>
      </w:r>
      <w:r w:rsidR="001F44C1" w:rsidRPr="006C6F80">
        <w:rPr>
          <w:color w:val="000000" w:themeColor="text1"/>
        </w:rPr>
        <w:lastRenderedPageBreak/>
        <w:t>matched pairs’ fixed effects that allow for a within comparison between each pair of matched stayer and returnee, we consistently find that return migration experience leads to upward occupational upgrading for the 1950s birth cohort. Our findings can therefore be viewed as robust to using alternative birth cohorts.</w:t>
      </w:r>
      <w:r w:rsidR="00030C01" w:rsidRPr="006C6F80">
        <w:rPr>
          <w:rStyle w:val="FootnoteReference"/>
          <w:color w:val="000000" w:themeColor="text1"/>
        </w:rPr>
        <w:footnoteReference w:id="32"/>
      </w:r>
    </w:p>
    <w:p w14:paraId="7715F5A4" w14:textId="66C247A4" w:rsidR="00C01528" w:rsidRPr="006C6F80" w:rsidRDefault="00FC20FD" w:rsidP="00B132A6">
      <w:pPr>
        <w:pStyle w:val="ListParagraph"/>
        <w:numPr>
          <w:ilvl w:val="0"/>
          <w:numId w:val="10"/>
        </w:numPr>
        <w:spacing w:line="480" w:lineRule="auto"/>
        <w:jc w:val="both"/>
        <w:rPr>
          <w:rFonts w:ascii="Times New Roman" w:hAnsi="Times New Roman" w:cs="Times New Roman"/>
          <w:b/>
          <w:bCs/>
          <w:color w:val="000000" w:themeColor="text1"/>
          <w:sz w:val="24"/>
          <w:szCs w:val="24"/>
        </w:rPr>
      </w:pPr>
      <w:r w:rsidRPr="006C6F80">
        <w:rPr>
          <w:rFonts w:ascii="Times New Roman" w:hAnsi="Times New Roman" w:cs="Times New Roman"/>
          <w:b/>
          <w:bCs/>
          <w:color w:val="000000" w:themeColor="text1"/>
          <w:sz w:val="24"/>
          <w:szCs w:val="24"/>
        </w:rPr>
        <w:t>Conclusion</w:t>
      </w:r>
    </w:p>
    <w:p w14:paraId="0577DCD1" w14:textId="10F7B4F0" w:rsidR="0055432A" w:rsidRPr="006C6F80" w:rsidRDefault="001A2485" w:rsidP="00B132A6">
      <w:pPr>
        <w:spacing w:after="200" w:line="480" w:lineRule="auto"/>
        <w:jc w:val="both"/>
        <w:outlineLvl w:val="0"/>
        <w:rPr>
          <w:color w:val="000000" w:themeColor="text1"/>
          <w:lang w:eastAsia="en-GB"/>
        </w:rPr>
      </w:pPr>
      <w:r w:rsidRPr="006C6F80">
        <w:rPr>
          <w:color w:val="000000" w:themeColor="text1"/>
        </w:rPr>
        <w:t>W</w:t>
      </w:r>
      <w:r w:rsidR="00BF0082" w:rsidRPr="006C6F80">
        <w:rPr>
          <w:color w:val="000000" w:themeColor="text1"/>
        </w:rPr>
        <w:t xml:space="preserve">e </w:t>
      </w:r>
      <w:r w:rsidRPr="006C6F80">
        <w:rPr>
          <w:color w:val="000000" w:themeColor="text1"/>
        </w:rPr>
        <w:t>study</w:t>
      </w:r>
      <w:r w:rsidR="00BF0082" w:rsidRPr="006C6F80">
        <w:rPr>
          <w:color w:val="000000" w:themeColor="text1"/>
        </w:rPr>
        <w:t xml:space="preserve"> the human capital accumulation of </w:t>
      </w:r>
      <w:r w:rsidRPr="006C6F80">
        <w:rPr>
          <w:color w:val="000000" w:themeColor="text1"/>
        </w:rPr>
        <w:t>return</w:t>
      </w:r>
      <w:r w:rsidR="00BF0082" w:rsidRPr="006C6F80">
        <w:rPr>
          <w:color w:val="000000" w:themeColor="text1"/>
        </w:rPr>
        <w:t xml:space="preserve"> migrants</w:t>
      </w:r>
      <w:r w:rsidRPr="006C6F80">
        <w:rPr>
          <w:color w:val="000000" w:themeColor="text1"/>
        </w:rPr>
        <w:t xml:space="preserve"> in Egypt and </w:t>
      </w:r>
      <w:r w:rsidR="00465399" w:rsidRPr="006C6F80">
        <w:rPr>
          <w:color w:val="000000" w:themeColor="text1"/>
        </w:rPr>
        <w:t>the extent to which</w:t>
      </w:r>
      <w:r w:rsidRPr="006C6F80">
        <w:rPr>
          <w:color w:val="000000" w:themeColor="text1"/>
        </w:rPr>
        <w:t xml:space="preserve"> their</w:t>
      </w:r>
      <w:r w:rsidR="00BF0082" w:rsidRPr="006C6F80">
        <w:rPr>
          <w:color w:val="000000" w:themeColor="text1"/>
        </w:rPr>
        <w:t xml:space="preserve"> overseas migration experience enables them to climb up the occupational ladder upon return. </w:t>
      </w:r>
      <w:r w:rsidR="00057A30" w:rsidRPr="006C6F80">
        <w:rPr>
          <w:color w:val="000000" w:themeColor="text1"/>
        </w:rPr>
        <w:t>Relying on</w:t>
      </w:r>
      <w:r w:rsidR="0026199C" w:rsidRPr="006C6F80">
        <w:rPr>
          <w:color w:val="000000" w:themeColor="text1"/>
        </w:rPr>
        <w:t xml:space="preserve"> </w:t>
      </w:r>
      <w:r w:rsidR="005D5DC5" w:rsidRPr="006C6F80">
        <w:rPr>
          <w:color w:val="000000" w:themeColor="text1"/>
        </w:rPr>
        <w:t xml:space="preserve">birth </w:t>
      </w:r>
      <w:r w:rsidR="0026199C" w:rsidRPr="006C6F80">
        <w:rPr>
          <w:color w:val="000000" w:themeColor="text1"/>
        </w:rPr>
        <w:t>cohort analysis</w:t>
      </w:r>
      <w:r w:rsidR="00FB2AF1" w:rsidRPr="006C6F80">
        <w:rPr>
          <w:color w:val="000000" w:themeColor="text1"/>
        </w:rPr>
        <w:t xml:space="preserve">, </w:t>
      </w:r>
      <w:r w:rsidR="0026199C" w:rsidRPr="006C6F80">
        <w:rPr>
          <w:color w:val="000000" w:themeColor="text1"/>
        </w:rPr>
        <w:t xml:space="preserve">we </w:t>
      </w:r>
      <w:r w:rsidR="00057A30" w:rsidRPr="006C6F80">
        <w:rPr>
          <w:color w:val="000000" w:themeColor="text1"/>
        </w:rPr>
        <w:t>compare an individual’s</w:t>
      </w:r>
      <w:r w:rsidR="0026199C" w:rsidRPr="006C6F80">
        <w:rPr>
          <w:color w:val="000000" w:themeColor="text1"/>
        </w:rPr>
        <w:t xml:space="preserve"> first occupation with </w:t>
      </w:r>
      <w:r w:rsidR="00465399" w:rsidRPr="006C6F80">
        <w:rPr>
          <w:color w:val="000000" w:themeColor="text1"/>
        </w:rPr>
        <w:t>his</w:t>
      </w:r>
      <w:r w:rsidR="004B7DBF" w:rsidRPr="006C6F80">
        <w:rPr>
          <w:color w:val="000000" w:themeColor="text1"/>
        </w:rPr>
        <w:t xml:space="preserve"> </w:t>
      </w:r>
      <w:r w:rsidR="0026199C" w:rsidRPr="006C6F80">
        <w:rPr>
          <w:color w:val="000000" w:themeColor="text1"/>
        </w:rPr>
        <w:t>occupation</w:t>
      </w:r>
      <w:r w:rsidR="00790F42" w:rsidRPr="006C6F80">
        <w:rPr>
          <w:color w:val="000000" w:themeColor="text1"/>
        </w:rPr>
        <w:t xml:space="preserve"> in 2010,</w:t>
      </w:r>
      <w:r w:rsidR="0026199C" w:rsidRPr="006C6F80">
        <w:rPr>
          <w:color w:val="000000" w:themeColor="text1"/>
        </w:rPr>
        <w:t xml:space="preserve"> and study the effect of </w:t>
      </w:r>
      <w:r w:rsidR="00465399" w:rsidRPr="006C6F80">
        <w:rPr>
          <w:color w:val="000000" w:themeColor="text1"/>
        </w:rPr>
        <w:t>overseas work</w:t>
      </w:r>
      <w:r w:rsidR="0026199C" w:rsidRPr="006C6F80">
        <w:rPr>
          <w:color w:val="000000" w:themeColor="text1"/>
        </w:rPr>
        <w:t xml:space="preserve"> experience on the occupational </w:t>
      </w:r>
      <w:r w:rsidR="00057A30" w:rsidRPr="006C6F80">
        <w:rPr>
          <w:color w:val="000000" w:themeColor="text1"/>
        </w:rPr>
        <w:t xml:space="preserve">trajectories </w:t>
      </w:r>
      <w:r w:rsidR="0026199C" w:rsidRPr="006C6F80">
        <w:rPr>
          <w:color w:val="000000" w:themeColor="text1"/>
        </w:rPr>
        <w:t>of return migrants relative to stayers.</w:t>
      </w:r>
      <w:r w:rsidR="00533BE9" w:rsidRPr="006C6F80">
        <w:rPr>
          <w:color w:val="000000" w:themeColor="text1"/>
        </w:rPr>
        <w:t xml:space="preserve"> </w:t>
      </w:r>
      <w:r w:rsidR="00465399" w:rsidRPr="006C6F80">
        <w:rPr>
          <w:color w:val="000000" w:themeColor="text1"/>
        </w:rPr>
        <w:t>We use</w:t>
      </w:r>
      <w:r w:rsidR="00790F42" w:rsidRPr="006C6F80">
        <w:rPr>
          <w:color w:val="000000" w:themeColor="text1"/>
        </w:rPr>
        <w:t xml:space="preserve"> an instrumental variable approach to deal with the endogeneity of the temporary migration decision</w:t>
      </w:r>
      <w:r w:rsidR="00533BE9" w:rsidRPr="006C6F80">
        <w:rPr>
          <w:color w:val="000000" w:themeColor="text1"/>
        </w:rPr>
        <w:t xml:space="preserve">, </w:t>
      </w:r>
      <w:r w:rsidR="00F8320A" w:rsidRPr="006C6F80">
        <w:rPr>
          <w:color w:val="000000" w:themeColor="text1"/>
        </w:rPr>
        <w:t>and</w:t>
      </w:r>
      <w:r w:rsidR="00533BE9" w:rsidRPr="006C6F80">
        <w:rPr>
          <w:color w:val="000000" w:themeColor="text1"/>
        </w:rPr>
        <w:t xml:space="preserve"> find that</w:t>
      </w:r>
      <w:r w:rsidR="00023578" w:rsidRPr="006C6F80">
        <w:rPr>
          <w:color w:val="000000" w:themeColor="text1"/>
          <w:lang w:eastAsia="en-GB"/>
        </w:rPr>
        <w:t xml:space="preserve"> </w:t>
      </w:r>
      <w:r w:rsidR="0006779B" w:rsidRPr="006C6F80">
        <w:rPr>
          <w:color w:val="000000" w:themeColor="text1"/>
          <w:lang w:eastAsia="en-GB"/>
        </w:rPr>
        <w:t>return migration increases the probability o</w:t>
      </w:r>
      <w:r w:rsidR="00487F60" w:rsidRPr="006C6F80">
        <w:rPr>
          <w:color w:val="000000" w:themeColor="text1"/>
          <w:lang w:eastAsia="en-GB"/>
        </w:rPr>
        <w:t>f upward occupational mobility</w:t>
      </w:r>
      <w:r w:rsidR="00533BE9" w:rsidRPr="006C6F80">
        <w:rPr>
          <w:color w:val="000000" w:themeColor="text1"/>
          <w:lang w:eastAsia="en-GB"/>
        </w:rPr>
        <w:t xml:space="preserve">. </w:t>
      </w:r>
      <w:r w:rsidR="00533BE9" w:rsidRPr="006C6F80">
        <w:rPr>
          <w:rFonts w:asciiTheme="majorBidi" w:hAnsiTheme="majorBidi" w:cstheme="majorBidi"/>
          <w:color w:val="000000" w:themeColor="text1"/>
          <w:shd w:val="clear" w:color="auto" w:fill="FFFFFF"/>
        </w:rPr>
        <w:t xml:space="preserve">Our results also indicate </w:t>
      </w:r>
      <w:r w:rsidR="00A742CF" w:rsidRPr="006C6F80">
        <w:rPr>
          <w:rFonts w:asciiTheme="majorBidi" w:hAnsiTheme="majorBidi" w:cstheme="majorBidi"/>
          <w:color w:val="000000" w:themeColor="text1"/>
          <w:shd w:val="clear" w:color="auto" w:fill="FFFFFF"/>
        </w:rPr>
        <w:t>greater</w:t>
      </w:r>
      <w:r w:rsidR="00533BE9" w:rsidRPr="006C6F80">
        <w:rPr>
          <w:rFonts w:asciiTheme="majorBidi" w:hAnsiTheme="majorBidi" w:cstheme="majorBidi"/>
          <w:color w:val="000000" w:themeColor="text1"/>
          <w:shd w:val="clear" w:color="auto" w:fill="FFFFFF"/>
        </w:rPr>
        <w:t xml:space="preserve"> occupational upgrading among highly educated return migrants.</w:t>
      </w:r>
      <w:r w:rsidR="00487F60" w:rsidRPr="006C6F80">
        <w:rPr>
          <w:color w:val="000000" w:themeColor="text1"/>
          <w:lang w:eastAsia="en-GB"/>
        </w:rPr>
        <w:t xml:space="preserve"> </w:t>
      </w:r>
    </w:p>
    <w:p w14:paraId="1E173988" w14:textId="75D461E4" w:rsidR="00FB2AF1" w:rsidRPr="006C6F80" w:rsidRDefault="0055432A" w:rsidP="00B132A6">
      <w:pPr>
        <w:spacing w:line="480" w:lineRule="auto"/>
        <w:jc w:val="both"/>
        <w:rPr>
          <w:rFonts w:asciiTheme="majorBidi" w:hAnsiTheme="majorBidi" w:cstheme="majorBidi"/>
          <w:color w:val="000000" w:themeColor="text1"/>
          <w:shd w:val="clear" w:color="auto" w:fill="FFFFFF"/>
        </w:rPr>
      </w:pPr>
      <w:r w:rsidRPr="006C6F80">
        <w:rPr>
          <w:rFonts w:asciiTheme="majorBidi" w:hAnsiTheme="majorBidi" w:cstheme="majorBidi"/>
          <w:color w:val="000000" w:themeColor="text1"/>
          <w:shd w:val="clear" w:color="auto" w:fill="FFFFFF"/>
        </w:rPr>
        <w:t xml:space="preserve">Egypt is an especially interesting case, due to the high incidence of return migration. </w:t>
      </w:r>
      <w:r w:rsidR="00533BE9" w:rsidRPr="006C6F80">
        <w:rPr>
          <w:rFonts w:asciiTheme="majorBidi" w:hAnsiTheme="majorBidi" w:cstheme="majorBidi"/>
          <w:color w:val="000000" w:themeColor="text1"/>
          <w:shd w:val="clear" w:color="auto" w:fill="FFFFFF"/>
        </w:rPr>
        <w:t>We</w:t>
      </w:r>
      <w:r w:rsidRPr="006C6F80">
        <w:rPr>
          <w:rFonts w:asciiTheme="majorBidi" w:hAnsiTheme="majorBidi" w:cstheme="majorBidi"/>
          <w:color w:val="000000" w:themeColor="text1"/>
          <w:shd w:val="clear" w:color="auto" w:fill="FFFFFF"/>
        </w:rPr>
        <w:t xml:space="preserve"> show that return migration </w:t>
      </w:r>
      <w:r w:rsidR="00A742CF" w:rsidRPr="006C6F80">
        <w:rPr>
          <w:rFonts w:asciiTheme="majorBidi" w:hAnsiTheme="majorBidi" w:cstheme="majorBidi"/>
          <w:color w:val="000000" w:themeColor="text1"/>
          <w:shd w:val="clear" w:color="auto" w:fill="FFFFFF"/>
        </w:rPr>
        <w:t xml:space="preserve">in Egypt </w:t>
      </w:r>
      <w:r w:rsidRPr="006C6F80">
        <w:rPr>
          <w:rFonts w:asciiTheme="majorBidi" w:hAnsiTheme="majorBidi" w:cstheme="majorBidi"/>
          <w:color w:val="000000" w:themeColor="text1"/>
          <w:shd w:val="clear" w:color="auto" w:fill="FFFFFF"/>
        </w:rPr>
        <w:t xml:space="preserve">can be beneficial since it can allow the return migrants’ population to upskill and hold better occupations upon return. </w:t>
      </w:r>
      <w:r w:rsidR="00533BE9" w:rsidRPr="006C6F80">
        <w:rPr>
          <w:color w:val="000000" w:themeColor="text1"/>
          <w:lang w:eastAsia="en-GB"/>
        </w:rPr>
        <w:t xml:space="preserve">Our findings also support the qualitative evidence from </w:t>
      </w:r>
      <w:r w:rsidR="00533BE9" w:rsidRPr="006C6F80">
        <w:rPr>
          <w:color w:val="000000" w:themeColor="text1"/>
        </w:rPr>
        <w:t>the European Training Foundation (ETF) survey</w:t>
      </w:r>
      <w:r w:rsidR="00A742CF" w:rsidRPr="006C6F80">
        <w:rPr>
          <w:color w:val="000000" w:themeColor="text1"/>
        </w:rPr>
        <w:t>,</w:t>
      </w:r>
      <w:r w:rsidR="00533BE9" w:rsidRPr="006C6F80">
        <w:rPr>
          <w:color w:val="000000" w:themeColor="text1"/>
        </w:rPr>
        <w:t xml:space="preserve"> </w:t>
      </w:r>
      <w:r w:rsidR="00A742CF" w:rsidRPr="006C6F80">
        <w:rPr>
          <w:color w:val="000000" w:themeColor="text1"/>
        </w:rPr>
        <w:t>which</w:t>
      </w:r>
      <w:r w:rsidR="00533BE9" w:rsidRPr="006C6F80">
        <w:rPr>
          <w:color w:val="000000" w:themeColor="text1"/>
        </w:rPr>
        <w:t xml:space="preserve"> suggests that overseas experiences helped migrants acquire skills and find better work since returning. </w:t>
      </w:r>
    </w:p>
    <w:p w14:paraId="19F1342B" w14:textId="7C06C84E" w:rsidR="00FB2AF1" w:rsidRPr="006C6F80" w:rsidRDefault="00FB2AF1" w:rsidP="00B132A6">
      <w:pPr>
        <w:spacing w:line="480" w:lineRule="auto"/>
        <w:jc w:val="both"/>
        <w:rPr>
          <w:rFonts w:asciiTheme="majorBidi" w:hAnsiTheme="majorBidi" w:cstheme="majorBidi"/>
          <w:color w:val="000000" w:themeColor="text1"/>
          <w:shd w:val="clear" w:color="auto" w:fill="FFFFFF"/>
        </w:rPr>
      </w:pPr>
    </w:p>
    <w:p w14:paraId="01DCA6B6" w14:textId="1769440D" w:rsidR="0055432A" w:rsidRPr="006C6F80" w:rsidRDefault="0055432A" w:rsidP="00F77326">
      <w:pPr>
        <w:spacing w:line="480" w:lineRule="auto"/>
        <w:jc w:val="both"/>
        <w:rPr>
          <w:color w:val="000000" w:themeColor="text1"/>
          <w:shd w:val="clear" w:color="auto" w:fill="FFFFFF"/>
        </w:rPr>
      </w:pPr>
      <w:r w:rsidRPr="006C6F80">
        <w:rPr>
          <w:color w:val="000000" w:themeColor="text1"/>
          <w:shd w:val="clear" w:color="auto" w:fill="FFFFFF"/>
        </w:rPr>
        <w:t xml:space="preserve">Our analysis </w:t>
      </w:r>
      <w:r w:rsidR="0047737E" w:rsidRPr="006C6F80">
        <w:rPr>
          <w:color w:val="000000" w:themeColor="text1"/>
          <w:shd w:val="clear" w:color="auto" w:fill="FFFFFF"/>
        </w:rPr>
        <w:t xml:space="preserve">further </w:t>
      </w:r>
      <w:r w:rsidRPr="006C6F80">
        <w:rPr>
          <w:color w:val="000000" w:themeColor="text1"/>
          <w:shd w:val="clear" w:color="auto" w:fill="FFFFFF"/>
        </w:rPr>
        <w:t>allows us to draw some nuanced conclusions</w:t>
      </w:r>
      <w:r w:rsidR="0047737E" w:rsidRPr="006C6F80">
        <w:rPr>
          <w:color w:val="000000" w:themeColor="text1"/>
          <w:shd w:val="clear" w:color="auto" w:fill="FFFFFF"/>
        </w:rPr>
        <w:t xml:space="preserve"> as to when and how our results might be generalized to other developing countries</w:t>
      </w:r>
      <w:r w:rsidRPr="006C6F80">
        <w:rPr>
          <w:color w:val="000000" w:themeColor="text1"/>
          <w:shd w:val="clear" w:color="auto" w:fill="FFFFFF"/>
        </w:rPr>
        <w:t xml:space="preserve">. Indeed, returnees can constitute a highly </w:t>
      </w:r>
      <w:r w:rsidRPr="006C6F80">
        <w:rPr>
          <w:color w:val="000000" w:themeColor="text1"/>
          <w:shd w:val="clear" w:color="auto" w:fill="FFFFFF"/>
        </w:rPr>
        <w:lastRenderedPageBreak/>
        <w:t xml:space="preserve">diverse group, as they can display different characteristics and motives. Migrants can be skilled or unskilled, highly educated or less educated, and they </w:t>
      </w:r>
      <w:r w:rsidR="00957CEF" w:rsidRPr="006C6F80">
        <w:rPr>
          <w:color w:val="000000" w:themeColor="text1"/>
          <w:shd w:val="clear" w:color="auto" w:fill="FFFFFF"/>
        </w:rPr>
        <w:t xml:space="preserve">may </w:t>
      </w:r>
      <w:r w:rsidRPr="006C6F80">
        <w:rPr>
          <w:color w:val="000000" w:themeColor="text1"/>
          <w:shd w:val="clear" w:color="auto" w:fill="FFFFFF"/>
        </w:rPr>
        <w:t>choose to migrate for economic, cultural or political reasons. Our paper provides evidence on economic migrants who eventually returned to their origin country</w:t>
      </w:r>
      <w:r w:rsidR="00957CEF" w:rsidRPr="006C6F80">
        <w:rPr>
          <w:color w:val="000000" w:themeColor="text1"/>
          <w:shd w:val="clear" w:color="auto" w:fill="FFFFFF"/>
        </w:rPr>
        <w:t xml:space="preserve">. </w:t>
      </w:r>
      <w:r w:rsidR="00957CEF" w:rsidRPr="006C6F80">
        <w:rPr>
          <w:rFonts w:asciiTheme="majorBidi" w:hAnsiTheme="majorBidi" w:cstheme="majorBidi"/>
          <w:color w:val="000000" w:themeColor="text1"/>
          <w:shd w:val="clear" w:color="auto" w:fill="FFFFFF"/>
        </w:rPr>
        <w:t>As migrants acquire human capital and skills during their migration experiences abroad,</w:t>
      </w:r>
      <w:r w:rsidR="00957CEF" w:rsidRPr="006C6F80">
        <w:rPr>
          <w:color w:val="000000" w:themeColor="text1"/>
          <w:shd w:val="clear" w:color="auto" w:fill="FFFFFF"/>
        </w:rPr>
        <w:t xml:space="preserve"> </w:t>
      </w:r>
      <w:r w:rsidRPr="006C6F80">
        <w:rPr>
          <w:color w:val="000000" w:themeColor="text1"/>
          <w:shd w:val="clear" w:color="auto" w:fill="FFFFFF"/>
        </w:rPr>
        <w:t>our findings could help inform research on similar settings of economic migration</w:t>
      </w:r>
      <w:r w:rsidR="00E92B59" w:rsidRPr="006C6F80">
        <w:rPr>
          <w:rFonts w:asciiTheme="majorBidi" w:hAnsiTheme="majorBidi" w:cstheme="majorBidi"/>
          <w:color w:val="000000" w:themeColor="text1"/>
          <w:shd w:val="clear" w:color="auto" w:fill="FFFFFF"/>
        </w:rPr>
        <w:t xml:space="preserve"> in other developing and transition economies</w:t>
      </w:r>
      <w:r w:rsidR="00957CEF" w:rsidRPr="006C6F80">
        <w:rPr>
          <w:rFonts w:asciiTheme="majorBidi" w:hAnsiTheme="majorBidi" w:cstheme="majorBidi"/>
          <w:color w:val="000000" w:themeColor="text1"/>
          <w:shd w:val="clear" w:color="auto" w:fill="FFFFFF"/>
        </w:rPr>
        <w:t>, particularly those</w:t>
      </w:r>
      <w:r w:rsidR="00E92B59" w:rsidRPr="006C6F80">
        <w:rPr>
          <w:rFonts w:asciiTheme="majorBidi" w:hAnsiTheme="majorBidi" w:cstheme="majorBidi"/>
          <w:color w:val="000000" w:themeColor="text1"/>
          <w:shd w:val="clear" w:color="auto" w:fill="FFFFFF"/>
        </w:rPr>
        <w:t xml:space="preserve"> with high return migration rates.</w:t>
      </w:r>
      <w:r w:rsidR="00957CEF" w:rsidRPr="006C6F80">
        <w:rPr>
          <w:rFonts w:asciiTheme="majorBidi" w:hAnsiTheme="majorBidi" w:cstheme="majorBidi"/>
          <w:color w:val="000000" w:themeColor="text1"/>
          <w:shd w:val="clear" w:color="auto" w:fill="FFFFFF"/>
        </w:rPr>
        <w:t xml:space="preserve"> </w:t>
      </w:r>
      <w:r w:rsidRPr="006C6F80">
        <w:rPr>
          <w:color w:val="000000" w:themeColor="text1"/>
          <w:shd w:val="clear" w:color="auto" w:fill="FFFFFF"/>
        </w:rPr>
        <w:t xml:space="preserve">Refugee return migrants, on the other hand, may not experience equally beneficial outcomes. As Fransen, Ruiz and Vargas-Silva (2017) point out, in the case of Burundi, refugee return migration is associated with a deterioration in returnees’ economic outcomes, due to the legal restrictions on economic activities </w:t>
      </w:r>
      <w:r w:rsidR="0047737E" w:rsidRPr="006C6F80">
        <w:rPr>
          <w:color w:val="000000" w:themeColor="text1"/>
          <w:shd w:val="clear" w:color="auto" w:fill="FFFFFF"/>
        </w:rPr>
        <w:t xml:space="preserve">they </w:t>
      </w:r>
      <w:r w:rsidRPr="006C6F80">
        <w:rPr>
          <w:color w:val="000000" w:themeColor="text1"/>
          <w:shd w:val="clear" w:color="auto" w:fill="FFFFFF"/>
        </w:rPr>
        <w:t>experienced while in displacement, which may lead to the loss or deterioration of their skills. Whether all types of returnees witness occupational upgrading upon return also hinges upon the labor market conditions of the origin developing countries. In our study, we find evidence that returnees climb up the occupational ladder upon return since they acquired skills abroad that were highly rewarded in the Egyptian labor market. However, if origin labor markets or certain sectors of employment are underdeveloped or not equipped to make use of return migrants’ skills, or if the human capital accumulated abroad is not transferable, we might expect different results. This was indeed highlighted in Black and King (2004) a</w:t>
      </w:r>
      <w:r w:rsidRPr="006C6F80">
        <w:rPr>
          <w:color w:val="000000" w:themeColor="text1"/>
        </w:rPr>
        <w:t>nd Coniglio and Brzozowski (2018).</w:t>
      </w:r>
    </w:p>
    <w:p w14:paraId="182692B8" w14:textId="3C645B2C" w:rsidR="00EB6B64" w:rsidRPr="006C6F80" w:rsidRDefault="00A51DEF" w:rsidP="00F77326">
      <w:pPr>
        <w:spacing w:after="200" w:line="480" w:lineRule="auto"/>
        <w:jc w:val="both"/>
        <w:outlineLvl w:val="0"/>
        <w:rPr>
          <w:color w:val="000000" w:themeColor="text1"/>
        </w:rPr>
      </w:pPr>
      <w:r w:rsidRPr="006C6F80">
        <w:rPr>
          <w:color w:val="000000" w:themeColor="text1"/>
          <w:lang w:eastAsia="en-GB"/>
        </w:rPr>
        <w:t xml:space="preserve">Focusing on an understudied mechanism through which return migration can lead to a brain gain, this paper shows evidence that </w:t>
      </w:r>
      <w:r w:rsidR="00790F42" w:rsidRPr="006C6F80">
        <w:rPr>
          <w:color w:val="000000" w:themeColor="text1"/>
        </w:rPr>
        <w:t xml:space="preserve">return migration allows home countries to upskill, </w:t>
      </w:r>
      <w:r w:rsidRPr="006C6F80">
        <w:rPr>
          <w:color w:val="000000" w:themeColor="text1"/>
        </w:rPr>
        <w:t>and</w:t>
      </w:r>
      <w:r w:rsidR="00790F42" w:rsidRPr="006C6F80">
        <w:rPr>
          <w:color w:val="000000" w:themeColor="text1"/>
        </w:rPr>
        <w:t xml:space="preserve"> can drive economic development. </w:t>
      </w:r>
      <w:r w:rsidRPr="006C6F80">
        <w:rPr>
          <w:color w:val="000000" w:themeColor="text1"/>
        </w:rPr>
        <w:t>A</w:t>
      </w:r>
      <w:r w:rsidR="005F2BBB" w:rsidRPr="006C6F80">
        <w:rPr>
          <w:color w:val="000000" w:themeColor="text1"/>
        </w:rPr>
        <w:t>n important implication</w:t>
      </w:r>
      <w:r w:rsidR="00AE1AD0" w:rsidRPr="006C6F80">
        <w:rPr>
          <w:color w:val="000000" w:themeColor="text1"/>
        </w:rPr>
        <w:t xml:space="preserve"> of our findings is that concerns about </w:t>
      </w:r>
      <w:r w:rsidR="00104517" w:rsidRPr="006C6F80">
        <w:rPr>
          <w:color w:val="000000" w:themeColor="text1"/>
        </w:rPr>
        <w:t>brain drain</w:t>
      </w:r>
      <w:r w:rsidR="00AE1AD0" w:rsidRPr="006C6F80">
        <w:rPr>
          <w:color w:val="000000" w:themeColor="text1"/>
        </w:rPr>
        <w:t xml:space="preserve"> might be exaggerated</w:t>
      </w:r>
      <w:r w:rsidR="0047737E" w:rsidRPr="006C6F80">
        <w:rPr>
          <w:color w:val="000000" w:themeColor="text1"/>
        </w:rPr>
        <w:t>,</w:t>
      </w:r>
      <w:r w:rsidR="00AE1AD0" w:rsidRPr="006C6F80">
        <w:rPr>
          <w:color w:val="000000" w:themeColor="text1"/>
        </w:rPr>
        <w:t xml:space="preserve"> as the evidence clearly shows the significance of return migration</w:t>
      </w:r>
      <w:r w:rsidR="0047737E" w:rsidRPr="006C6F80">
        <w:rPr>
          <w:color w:val="000000" w:themeColor="text1"/>
        </w:rPr>
        <w:t>,</w:t>
      </w:r>
      <w:r w:rsidR="00AE1AD0" w:rsidRPr="006C6F80">
        <w:rPr>
          <w:color w:val="000000" w:themeColor="text1"/>
        </w:rPr>
        <w:t xml:space="preserve"> as well as the potential of overseas human capital accumulation. This suggests that</w:t>
      </w:r>
      <w:r w:rsidR="005F2BBB" w:rsidRPr="006C6F80">
        <w:rPr>
          <w:color w:val="000000" w:themeColor="text1"/>
        </w:rPr>
        <w:t xml:space="preserve"> temporary migration </w:t>
      </w:r>
      <w:r w:rsidR="008365BA" w:rsidRPr="006C6F80">
        <w:rPr>
          <w:color w:val="000000" w:themeColor="text1"/>
        </w:rPr>
        <w:t>c</w:t>
      </w:r>
      <w:r w:rsidR="005F2BBB" w:rsidRPr="006C6F80">
        <w:rPr>
          <w:color w:val="000000" w:themeColor="text1"/>
        </w:rPr>
        <w:t xml:space="preserve">ould </w:t>
      </w:r>
      <w:r w:rsidR="0047737E" w:rsidRPr="006C6F80">
        <w:rPr>
          <w:color w:val="000000" w:themeColor="text1"/>
        </w:rPr>
        <w:t xml:space="preserve">indeed </w:t>
      </w:r>
      <w:r w:rsidR="005F2BBB" w:rsidRPr="006C6F80">
        <w:rPr>
          <w:color w:val="000000" w:themeColor="text1"/>
        </w:rPr>
        <w:t>enhance human capital and economic development in origin developing countries.</w:t>
      </w:r>
    </w:p>
    <w:p w14:paraId="2F4D2C2C" w14:textId="3D58F11C" w:rsidR="002F4F7D" w:rsidRPr="006C6F80" w:rsidRDefault="002F4F7D" w:rsidP="00B132A6">
      <w:pPr>
        <w:spacing w:after="200" w:line="480" w:lineRule="auto"/>
        <w:jc w:val="both"/>
        <w:rPr>
          <w:b/>
          <w:bCs/>
          <w:color w:val="000000" w:themeColor="text1"/>
        </w:rPr>
      </w:pPr>
      <w:r w:rsidRPr="006C6F80">
        <w:rPr>
          <w:b/>
          <w:bCs/>
          <w:color w:val="000000" w:themeColor="text1"/>
        </w:rPr>
        <w:lastRenderedPageBreak/>
        <w:t>References</w:t>
      </w:r>
    </w:p>
    <w:p w14:paraId="2A38C488" w14:textId="5D69273A" w:rsidR="002C668F" w:rsidRPr="006C6F80" w:rsidRDefault="002C668F" w:rsidP="00B132A6">
      <w:pPr>
        <w:spacing w:after="200" w:line="480" w:lineRule="auto"/>
        <w:jc w:val="both"/>
        <w:rPr>
          <w:color w:val="000000" w:themeColor="text1"/>
        </w:rPr>
      </w:pPr>
      <w:r w:rsidRPr="006C6F80">
        <w:rPr>
          <w:color w:val="000000" w:themeColor="text1"/>
          <w:shd w:val="clear" w:color="auto" w:fill="FFFFFF"/>
        </w:rPr>
        <w:t>Abadie, A., &amp; Imbens, G. W. (2006). Large sample properties of matching estimators for average treatment effects. </w:t>
      </w:r>
      <w:r w:rsidR="002B1151" w:rsidRPr="006C6F80">
        <w:rPr>
          <w:i/>
          <w:iCs/>
          <w:color w:val="000000" w:themeColor="text1"/>
        </w:rPr>
        <w:t>E</w:t>
      </w:r>
      <w:r w:rsidRPr="006C6F80">
        <w:rPr>
          <w:i/>
          <w:iCs/>
          <w:color w:val="000000" w:themeColor="text1"/>
        </w:rPr>
        <w:t>conometrica</w:t>
      </w:r>
      <w:r w:rsidRPr="006C6F80">
        <w:rPr>
          <w:color w:val="000000" w:themeColor="text1"/>
          <w:shd w:val="clear" w:color="auto" w:fill="FFFFFF"/>
        </w:rPr>
        <w:t>, </w:t>
      </w:r>
      <w:r w:rsidRPr="006C6F80">
        <w:rPr>
          <w:i/>
          <w:iCs/>
          <w:color w:val="000000" w:themeColor="text1"/>
        </w:rPr>
        <w:t>74</w:t>
      </w:r>
      <w:r w:rsidRPr="006C6F80">
        <w:rPr>
          <w:color w:val="000000" w:themeColor="text1"/>
          <w:shd w:val="clear" w:color="auto" w:fill="FFFFFF"/>
        </w:rPr>
        <w:t>(1), 235-267.</w:t>
      </w:r>
    </w:p>
    <w:p w14:paraId="6D061E2A" w14:textId="2612D096" w:rsidR="00ED6621" w:rsidRPr="006C6F80" w:rsidRDefault="002C668F" w:rsidP="00B132A6">
      <w:pPr>
        <w:spacing w:after="200" w:line="480" w:lineRule="auto"/>
        <w:jc w:val="both"/>
        <w:rPr>
          <w:color w:val="000000" w:themeColor="text1"/>
        </w:rPr>
      </w:pPr>
      <w:r w:rsidRPr="006C6F80">
        <w:rPr>
          <w:color w:val="000000" w:themeColor="text1"/>
          <w:shd w:val="clear" w:color="auto" w:fill="FFFFFF"/>
        </w:rPr>
        <w:t>Ammassari, S. (2004). From nation‐building to entrepreneurship: the impact of élite return migrants in Côte d'Ivoire and Ghana. </w:t>
      </w:r>
      <w:r w:rsidRPr="006C6F80">
        <w:rPr>
          <w:i/>
          <w:iCs/>
          <w:color w:val="000000" w:themeColor="text1"/>
        </w:rPr>
        <w:t>Population, Space and Place</w:t>
      </w:r>
      <w:r w:rsidRPr="006C6F80">
        <w:rPr>
          <w:color w:val="000000" w:themeColor="text1"/>
          <w:shd w:val="clear" w:color="auto" w:fill="FFFFFF"/>
        </w:rPr>
        <w:t>, </w:t>
      </w:r>
      <w:r w:rsidRPr="006C6F80">
        <w:rPr>
          <w:i/>
          <w:iCs/>
          <w:color w:val="000000" w:themeColor="text1"/>
        </w:rPr>
        <w:t>10</w:t>
      </w:r>
      <w:r w:rsidRPr="006C6F80">
        <w:rPr>
          <w:color w:val="000000" w:themeColor="text1"/>
          <w:shd w:val="clear" w:color="auto" w:fill="FFFFFF"/>
        </w:rPr>
        <w:t>(2), 133-154.</w:t>
      </w:r>
    </w:p>
    <w:p w14:paraId="34CF4D89" w14:textId="3AD8CF47" w:rsidR="002C668F" w:rsidRPr="006C6F80" w:rsidRDefault="002C668F" w:rsidP="00B132A6">
      <w:pPr>
        <w:spacing w:after="200" w:line="480" w:lineRule="auto"/>
        <w:jc w:val="both"/>
        <w:rPr>
          <w:color w:val="000000" w:themeColor="text1"/>
        </w:rPr>
      </w:pPr>
      <w:r w:rsidRPr="006C6F80">
        <w:rPr>
          <w:color w:val="000000" w:themeColor="text1"/>
          <w:shd w:val="clear" w:color="auto" w:fill="FFFFFF"/>
        </w:rPr>
        <w:t>Assaad, R., &amp; Krafft, C. (2013). The Egypt labor market panel survey: introducing the 2012 round. </w:t>
      </w:r>
      <w:r w:rsidRPr="006C6F80">
        <w:rPr>
          <w:i/>
          <w:iCs/>
          <w:color w:val="000000" w:themeColor="text1"/>
        </w:rPr>
        <w:t>IZA Journal of Labor &amp; Development</w:t>
      </w:r>
      <w:r w:rsidRPr="006C6F80">
        <w:rPr>
          <w:color w:val="000000" w:themeColor="text1"/>
          <w:shd w:val="clear" w:color="auto" w:fill="FFFFFF"/>
        </w:rPr>
        <w:t>, </w:t>
      </w:r>
      <w:r w:rsidRPr="006C6F80">
        <w:rPr>
          <w:i/>
          <w:iCs/>
          <w:color w:val="000000" w:themeColor="text1"/>
        </w:rPr>
        <w:t>2</w:t>
      </w:r>
      <w:r w:rsidRPr="006C6F80">
        <w:rPr>
          <w:color w:val="000000" w:themeColor="text1"/>
          <w:shd w:val="clear" w:color="auto" w:fill="FFFFFF"/>
        </w:rPr>
        <w:t>(1), 8.</w:t>
      </w:r>
    </w:p>
    <w:p w14:paraId="53D9A28D" w14:textId="2A94A6E5" w:rsidR="002C668F" w:rsidRPr="006C6F80" w:rsidRDefault="002C668F" w:rsidP="00B132A6">
      <w:pPr>
        <w:spacing w:after="200" w:line="480" w:lineRule="auto"/>
        <w:jc w:val="both"/>
        <w:rPr>
          <w:color w:val="000000" w:themeColor="text1"/>
        </w:rPr>
      </w:pPr>
      <w:r w:rsidRPr="006C6F80">
        <w:rPr>
          <w:color w:val="000000" w:themeColor="text1"/>
          <w:shd w:val="clear" w:color="auto" w:fill="FFFFFF"/>
        </w:rPr>
        <w:t>Azose, J. J., &amp; Raftery, A. E. (2019). Estimation of emigration, return migration, and transit migration between all pairs of countries. </w:t>
      </w:r>
      <w:r w:rsidRPr="006C6F80">
        <w:rPr>
          <w:i/>
          <w:iCs/>
          <w:color w:val="000000" w:themeColor="text1"/>
        </w:rPr>
        <w:t>Proceedings of the National Academy of Sciences</w:t>
      </w:r>
      <w:r w:rsidRPr="006C6F80">
        <w:rPr>
          <w:color w:val="000000" w:themeColor="text1"/>
          <w:shd w:val="clear" w:color="auto" w:fill="FFFFFF"/>
        </w:rPr>
        <w:t>, </w:t>
      </w:r>
      <w:r w:rsidRPr="006C6F80">
        <w:rPr>
          <w:i/>
          <w:iCs/>
          <w:color w:val="000000" w:themeColor="text1"/>
        </w:rPr>
        <w:t>116</w:t>
      </w:r>
      <w:r w:rsidRPr="006C6F80">
        <w:rPr>
          <w:color w:val="000000" w:themeColor="text1"/>
          <w:shd w:val="clear" w:color="auto" w:fill="FFFFFF"/>
        </w:rPr>
        <w:t>(1), 116-122.</w:t>
      </w:r>
    </w:p>
    <w:p w14:paraId="63880872" w14:textId="23D35956" w:rsidR="002C668F" w:rsidRPr="006C6F80" w:rsidRDefault="002C668F" w:rsidP="00B132A6">
      <w:pPr>
        <w:spacing w:after="200" w:line="480" w:lineRule="auto"/>
        <w:jc w:val="both"/>
        <w:rPr>
          <w:color w:val="000000" w:themeColor="text1"/>
        </w:rPr>
      </w:pPr>
      <w:r w:rsidRPr="007E4F93">
        <w:rPr>
          <w:color w:val="000000" w:themeColor="text1"/>
          <w:shd w:val="clear" w:color="auto" w:fill="FFFFFF"/>
        </w:rPr>
        <w:t xml:space="preserve">Batista, C., Lacuesta, A., &amp; Vicente, P. C. (2012). </w:t>
      </w:r>
      <w:r w:rsidRPr="006C6F80">
        <w:rPr>
          <w:color w:val="000000" w:themeColor="text1"/>
          <w:shd w:val="clear" w:color="auto" w:fill="FFFFFF"/>
        </w:rPr>
        <w:t>Testing the ‘brain gain’hypothesis: Micro evidence from Cape Verde. </w:t>
      </w:r>
      <w:r w:rsidRPr="006C6F80">
        <w:rPr>
          <w:i/>
          <w:iCs/>
          <w:color w:val="000000" w:themeColor="text1"/>
        </w:rPr>
        <w:t>Journal of Development Economics</w:t>
      </w:r>
      <w:r w:rsidRPr="006C6F80">
        <w:rPr>
          <w:color w:val="000000" w:themeColor="text1"/>
          <w:shd w:val="clear" w:color="auto" w:fill="FFFFFF"/>
        </w:rPr>
        <w:t>, </w:t>
      </w:r>
      <w:r w:rsidRPr="006C6F80">
        <w:rPr>
          <w:i/>
          <w:iCs/>
          <w:color w:val="000000" w:themeColor="text1"/>
        </w:rPr>
        <w:t>97</w:t>
      </w:r>
      <w:r w:rsidRPr="006C6F80">
        <w:rPr>
          <w:color w:val="000000" w:themeColor="text1"/>
          <w:shd w:val="clear" w:color="auto" w:fill="FFFFFF"/>
        </w:rPr>
        <w:t>(1), 32-45.</w:t>
      </w:r>
    </w:p>
    <w:p w14:paraId="4246BB0D" w14:textId="7E171048" w:rsidR="002C668F" w:rsidRPr="006C6F80" w:rsidRDefault="002C668F" w:rsidP="00B132A6">
      <w:pPr>
        <w:spacing w:after="200" w:line="480" w:lineRule="auto"/>
        <w:jc w:val="both"/>
        <w:rPr>
          <w:color w:val="000000" w:themeColor="text1"/>
        </w:rPr>
      </w:pPr>
      <w:r w:rsidRPr="007E4F93">
        <w:rPr>
          <w:color w:val="000000" w:themeColor="text1"/>
          <w:shd w:val="clear" w:color="auto" w:fill="FFFFFF"/>
        </w:rPr>
        <w:t xml:space="preserve">Beine, M., Docquier, F., &amp; Rapoport, H. (2008). </w:t>
      </w:r>
      <w:r w:rsidRPr="006C6F80">
        <w:rPr>
          <w:color w:val="000000" w:themeColor="text1"/>
          <w:shd w:val="clear" w:color="auto" w:fill="FFFFFF"/>
        </w:rPr>
        <w:t>Brain drain and human capital formation in developing countries: winners and losers. </w:t>
      </w:r>
      <w:r w:rsidRPr="006C6F80">
        <w:rPr>
          <w:i/>
          <w:iCs/>
          <w:color w:val="000000" w:themeColor="text1"/>
        </w:rPr>
        <w:t>The Economic Journal</w:t>
      </w:r>
      <w:r w:rsidRPr="006C6F80">
        <w:rPr>
          <w:color w:val="000000" w:themeColor="text1"/>
          <w:shd w:val="clear" w:color="auto" w:fill="FFFFFF"/>
        </w:rPr>
        <w:t>, </w:t>
      </w:r>
      <w:r w:rsidRPr="006C6F80">
        <w:rPr>
          <w:i/>
          <w:iCs/>
          <w:color w:val="000000" w:themeColor="text1"/>
        </w:rPr>
        <w:t>118</w:t>
      </w:r>
      <w:r w:rsidRPr="006C6F80">
        <w:rPr>
          <w:color w:val="000000" w:themeColor="text1"/>
          <w:shd w:val="clear" w:color="auto" w:fill="FFFFFF"/>
        </w:rPr>
        <w:t>(528), 631-652.</w:t>
      </w:r>
    </w:p>
    <w:p w14:paraId="2CD09068" w14:textId="55D88467" w:rsidR="002C668F" w:rsidRPr="006C6F80" w:rsidRDefault="002C668F" w:rsidP="00B132A6">
      <w:pPr>
        <w:spacing w:after="200" w:line="480" w:lineRule="auto"/>
        <w:jc w:val="both"/>
        <w:rPr>
          <w:color w:val="000000" w:themeColor="text1"/>
        </w:rPr>
      </w:pPr>
      <w:r w:rsidRPr="006C6F80">
        <w:rPr>
          <w:color w:val="000000" w:themeColor="text1"/>
          <w:shd w:val="clear" w:color="auto" w:fill="FFFFFF"/>
        </w:rPr>
        <w:t>Beine, M., Docquier, F., &amp; Oden-Defoort, C. (2011). A panel data analysis of the brain gain. </w:t>
      </w:r>
      <w:r w:rsidRPr="006C6F80">
        <w:rPr>
          <w:i/>
          <w:iCs/>
          <w:color w:val="000000" w:themeColor="text1"/>
        </w:rPr>
        <w:t>World Development</w:t>
      </w:r>
      <w:r w:rsidRPr="006C6F80">
        <w:rPr>
          <w:color w:val="000000" w:themeColor="text1"/>
          <w:shd w:val="clear" w:color="auto" w:fill="FFFFFF"/>
        </w:rPr>
        <w:t>, </w:t>
      </w:r>
      <w:r w:rsidRPr="006C6F80">
        <w:rPr>
          <w:i/>
          <w:iCs/>
          <w:color w:val="000000" w:themeColor="text1"/>
        </w:rPr>
        <w:t>39</w:t>
      </w:r>
      <w:r w:rsidRPr="006C6F80">
        <w:rPr>
          <w:color w:val="000000" w:themeColor="text1"/>
          <w:shd w:val="clear" w:color="auto" w:fill="FFFFFF"/>
        </w:rPr>
        <w:t>(4), 523-532.</w:t>
      </w:r>
    </w:p>
    <w:p w14:paraId="5ABA85D9" w14:textId="6E5C5322" w:rsidR="002C668F" w:rsidRPr="006C6F80" w:rsidRDefault="002C668F" w:rsidP="00B132A6">
      <w:pPr>
        <w:spacing w:after="200" w:line="480" w:lineRule="auto"/>
        <w:jc w:val="both"/>
        <w:rPr>
          <w:color w:val="000000" w:themeColor="text1"/>
        </w:rPr>
      </w:pPr>
      <w:r w:rsidRPr="006C6F80">
        <w:rPr>
          <w:color w:val="000000" w:themeColor="text1"/>
          <w:shd w:val="clear" w:color="auto" w:fill="FFFFFF"/>
        </w:rPr>
        <w:t>Bertoli, S., &amp; Marchetta, F. (2015). Bringing it all back home–return migration and fertility choices. </w:t>
      </w:r>
      <w:r w:rsidRPr="006C6F80">
        <w:rPr>
          <w:i/>
          <w:iCs/>
          <w:color w:val="000000" w:themeColor="text1"/>
        </w:rPr>
        <w:t>World Development</w:t>
      </w:r>
      <w:r w:rsidRPr="006C6F80">
        <w:rPr>
          <w:color w:val="000000" w:themeColor="text1"/>
          <w:shd w:val="clear" w:color="auto" w:fill="FFFFFF"/>
        </w:rPr>
        <w:t>, </w:t>
      </w:r>
      <w:r w:rsidRPr="006C6F80">
        <w:rPr>
          <w:i/>
          <w:iCs/>
          <w:color w:val="000000" w:themeColor="text1"/>
        </w:rPr>
        <w:t>65</w:t>
      </w:r>
      <w:r w:rsidRPr="006C6F80">
        <w:rPr>
          <w:color w:val="000000" w:themeColor="text1"/>
          <w:shd w:val="clear" w:color="auto" w:fill="FFFFFF"/>
        </w:rPr>
        <w:t>, 27-40.</w:t>
      </w:r>
    </w:p>
    <w:p w14:paraId="0AFD57F8" w14:textId="66EE38E2" w:rsidR="002C668F" w:rsidRPr="006C6F80" w:rsidRDefault="002C668F" w:rsidP="00B132A6">
      <w:pPr>
        <w:spacing w:after="200" w:line="480" w:lineRule="auto"/>
        <w:jc w:val="both"/>
        <w:rPr>
          <w:color w:val="000000" w:themeColor="text1"/>
        </w:rPr>
      </w:pPr>
      <w:r w:rsidRPr="006C6F80">
        <w:rPr>
          <w:color w:val="000000" w:themeColor="text1"/>
          <w:shd w:val="clear" w:color="auto" w:fill="FFFFFF"/>
        </w:rPr>
        <w:t>Binzel, C., &amp; Assaad, R. (2011). Egyptian men working abroad: Labour supply responses by the women left behind. </w:t>
      </w:r>
      <w:r w:rsidRPr="006C6F80">
        <w:rPr>
          <w:i/>
          <w:iCs/>
          <w:color w:val="000000" w:themeColor="text1"/>
        </w:rPr>
        <w:t>Labour Economics</w:t>
      </w:r>
      <w:r w:rsidRPr="006C6F80">
        <w:rPr>
          <w:color w:val="000000" w:themeColor="text1"/>
          <w:shd w:val="clear" w:color="auto" w:fill="FFFFFF"/>
        </w:rPr>
        <w:t>, </w:t>
      </w:r>
      <w:r w:rsidRPr="006C6F80">
        <w:rPr>
          <w:i/>
          <w:iCs/>
          <w:color w:val="000000" w:themeColor="text1"/>
        </w:rPr>
        <w:t>18</w:t>
      </w:r>
      <w:r w:rsidRPr="006C6F80">
        <w:rPr>
          <w:color w:val="000000" w:themeColor="text1"/>
          <w:shd w:val="clear" w:color="auto" w:fill="FFFFFF"/>
        </w:rPr>
        <w:t>, S98-S114.</w:t>
      </w:r>
    </w:p>
    <w:p w14:paraId="07567E8D" w14:textId="5C0927EB" w:rsidR="00ED6621" w:rsidRPr="006C6F80" w:rsidRDefault="002C668F" w:rsidP="00B132A6">
      <w:pPr>
        <w:spacing w:after="200" w:line="480" w:lineRule="auto"/>
        <w:jc w:val="both"/>
        <w:rPr>
          <w:color w:val="000000" w:themeColor="text1"/>
        </w:rPr>
      </w:pPr>
      <w:r w:rsidRPr="006C6F80">
        <w:rPr>
          <w:color w:val="000000" w:themeColor="text1"/>
          <w:shd w:val="clear" w:color="auto" w:fill="FFFFFF"/>
        </w:rPr>
        <w:lastRenderedPageBreak/>
        <w:t>Black, R., &amp; King, R. (2004). Editorial introduction: Migration, return and development in West Africa. </w:t>
      </w:r>
      <w:r w:rsidRPr="006C6F80">
        <w:rPr>
          <w:i/>
          <w:iCs/>
          <w:color w:val="000000" w:themeColor="text1"/>
        </w:rPr>
        <w:t>Population, Space and Place</w:t>
      </w:r>
      <w:r w:rsidRPr="006C6F80">
        <w:rPr>
          <w:color w:val="000000" w:themeColor="text1"/>
          <w:shd w:val="clear" w:color="auto" w:fill="FFFFFF"/>
        </w:rPr>
        <w:t>, </w:t>
      </w:r>
      <w:r w:rsidRPr="006C6F80">
        <w:rPr>
          <w:i/>
          <w:iCs/>
          <w:color w:val="000000" w:themeColor="text1"/>
        </w:rPr>
        <w:t>10</w:t>
      </w:r>
      <w:r w:rsidRPr="006C6F80">
        <w:rPr>
          <w:color w:val="000000" w:themeColor="text1"/>
          <w:shd w:val="clear" w:color="auto" w:fill="FFFFFF"/>
        </w:rPr>
        <w:t>(2), 75-83.</w:t>
      </w:r>
    </w:p>
    <w:p w14:paraId="5D80B43B" w14:textId="68655BA6" w:rsidR="002F4F7D" w:rsidRPr="006C6F80" w:rsidRDefault="00A6005B" w:rsidP="00B132A6">
      <w:pPr>
        <w:spacing w:after="200" w:line="480" w:lineRule="auto"/>
        <w:jc w:val="both"/>
        <w:rPr>
          <w:color w:val="000000" w:themeColor="text1"/>
        </w:rPr>
      </w:pPr>
      <w:r w:rsidRPr="006C6F80">
        <w:rPr>
          <w:color w:val="000000" w:themeColor="text1"/>
          <w:shd w:val="clear" w:color="auto" w:fill="FFFFFF"/>
        </w:rPr>
        <w:t>Bound, J., Khanna, G.</w:t>
      </w:r>
      <w:r w:rsidR="002C668F" w:rsidRPr="006C6F80">
        <w:rPr>
          <w:color w:val="000000" w:themeColor="text1"/>
          <w:shd w:val="clear" w:color="auto" w:fill="FFFFFF"/>
        </w:rPr>
        <w:t>,</w:t>
      </w:r>
      <w:r w:rsidRPr="006C6F80">
        <w:rPr>
          <w:color w:val="000000" w:themeColor="text1"/>
          <w:shd w:val="clear" w:color="auto" w:fill="FFFFFF"/>
        </w:rPr>
        <w:t xml:space="preserve"> </w:t>
      </w:r>
      <w:r w:rsidR="002C668F" w:rsidRPr="006C6F80">
        <w:rPr>
          <w:color w:val="000000" w:themeColor="text1"/>
          <w:shd w:val="clear" w:color="auto" w:fill="FFFFFF"/>
        </w:rPr>
        <w:t>&amp;</w:t>
      </w:r>
      <w:r w:rsidRPr="006C6F80">
        <w:rPr>
          <w:color w:val="000000" w:themeColor="text1"/>
          <w:shd w:val="clear" w:color="auto" w:fill="FFFFFF"/>
        </w:rPr>
        <w:t xml:space="preserve"> Morales, N.</w:t>
      </w:r>
      <w:r w:rsidR="002C668F" w:rsidRPr="006C6F80">
        <w:rPr>
          <w:color w:val="000000" w:themeColor="text1"/>
          <w:shd w:val="clear" w:color="auto" w:fill="FFFFFF"/>
        </w:rPr>
        <w:t xml:space="preserve"> (</w:t>
      </w:r>
      <w:r w:rsidRPr="006C6F80">
        <w:rPr>
          <w:color w:val="000000" w:themeColor="text1"/>
          <w:shd w:val="clear" w:color="auto" w:fill="FFFFFF"/>
        </w:rPr>
        <w:t>2017</w:t>
      </w:r>
      <w:r w:rsidR="002C668F" w:rsidRPr="006C6F80">
        <w:rPr>
          <w:color w:val="000000" w:themeColor="text1"/>
          <w:shd w:val="clear" w:color="auto" w:fill="FFFFFF"/>
        </w:rPr>
        <w:t>)</w:t>
      </w:r>
      <w:r w:rsidRPr="006C6F80">
        <w:rPr>
          <w:color w:val="000000" w:themeColor="text1"/>
          <w:shd w:val="clear" w:color="auto" w:fill="FFFFFF"/>
        </w:rPr>
        <w:t>. Reservoir of foreign talent. </w:t>
      </w:r>
      <w:r w:rsidRPr="006C6F80">
        <w:rPr>
          <w:i/>
          <w:iCs/>
          <w:color w:val="000000" w:themeColor="text1"/>
        </w:rPr>
        <w:t>Science</w:t>
      </w:r>
      <w:r w:rsidRPr="006C6F80">
        <w:rPr>
          <w:color w:val="000000" w:themeColor="text1"/>
          <w:shd w:val="clear" w:color="auto" w:fill="FFFFFF"/>
        </w:rPr>
        <w:t>, </w:t>
      </w:r>
      <w:r w:rsidRPr="006C6F80">
        <w:rPr>
          <w:i/>
          <w:iCs/>
          <w:color w:val="000000" w:themeColor="text1"/>
        </w:rPr>
        <w:t>356</w:t>
      </w:r>
      <w:r w:rsidRPr="006C6F80">
        <w:rPr>
          <w:color w:val="000000" w:themeColor="text1"/>
          <w:shd w:val="clear" w:color="auto" w:fill="FFFFFF"/>
        </w:rPr>
        <w:t>(6339), 697-697.</w:t>
      </w:r>
    </w:p>
    <w:p w14:paraId="1155BC83" w14:textId="664D38D6" w:rsidR="00641FAD" w:rsidRPr="006C6F80" w:rsidRDefault="00641FAD" w:rsidP="00B132A6">
      <w:pPr>
        <w:spacing w:after="200" w:line="480" w:lineRule="auto"/>
        <w:jc w:val="both"/>
        <w:rPr>
          <w:color w:val="000000" w:themeColor="text1"/>
          <w:shd w:val="clear" w:color="auto" w:fill="FFFFFF"/>
        </w:rPr>
      </w:pPr>
      <w:r w:rsidRPr="006C6F80">
        <w:rPr>
          <w:color w:val="000000" w:themeColor="text1"/>
          <w:shd w:val="clear" w:color="auto" w:fill="FFFFFF"/>
        </w:rPr>
        <w:t>Caliendo, M., &amp; Kopeinig, S. (2008). Some practical guidance for the implementation of propensity score matching. </w:t>
      </w:r>
      <w:r w:rsidRPr="006C6F80">
        <w:rPr>
          <w:i/>
          <w:iCs/>
          <w:color w:val="000000" w:themeColor="text1"/>
        </w:rPr>
        <w:t>Journal of economic surveys</w:t>
      </w:r>
      <w:r w:rsidRPr="006C6F80">
        <w:rPr>
          <w:color w:val="000000" w:themeColor="text1"/>
          <w:shd w:val="clear" w:color="auto" w:fill="FFFFFF"/>
        </w:rPr>
        <w:t>, </w:t>
      </w:r>
      <w:r w:rsidRPr="006C6F80">
        <w:rPr>
          <w:i/>
          <w:iCs/>
          <w:color w:val="000000" w:themeColor="text1"/>
        </w:rPr>
        <w:t>22</w:t>
      </w:r>
      <w:r w:rsidRPr="006C6F80">
        <w:rPr>
          <w:color w:val="000000" w:themeColor="text1"/>
          <w:shd w:val="clear" w:color="auto" w:fill="FFFFFF"/>
        </w:rPr>
        <w:t>(1), 31-72.</w:t>
      </w:r>
    </w:p>
    <w:p w14:paraId="6A283C99" w14:textId="3B8A5B1C" w:rsidR="00641FAD" w:rsidRPr="006C6F80" w:rsidRDefault="00641FAD" w:rsidP="00B132A6">
      <w:pPr>
        <w:spacing w:after="200" w:line="480" w:lineRule="auto"/>
        <w:jc w:val="both"/>
        <w:rPr>
          <w:color w:val="000000" w:themeColor="text1"/>
          <w:shd w:val="clear" w:color="auto" w:fill="FFFFFF"/>
        </w:rPr>
      </w:pPr>
      <w:r w:rsidRPr="006C6F80">
        <w:rPr>
          <w:color w:val="000000" w:themeColor="text1"/>
          <w:shd w:val="clear" w:color="auto" w:fill="FFFFFF"/>
        </w:rPr>
        <w:t>Carletto, C., &amp; Kilic, T. (2011). Moving up the ladder? The impact of migration experience on occupational mobility in Albania. </w:t>
      </w:r>
      <w:r w:rsidRPr="006C6F80">
        <w:rPr>
          <w:i/>
          <w:iCs/>
          <w:color w:val="000000" w:themeColor="text1"/>
        </w:rPr>
        <w:t>Journal of Development Studies</w:t>
      </w:r>
      <w:r w:rsidRPr="006C6F80">
        <w:rPr>
          <w:color w:val="000000" w:themeColor="text1"/>
          <w:shd w:val="clear" w:color="auto" w:fill="FFFFFF"/>
        </w:rPr>
        <w:t>, </w:t>
      </w:r>
      <w:r w:rsidRPr="006C6F80">
        <w:rPr>
          <w:i/>
          <w:iCs/>
          <w:color w:val="000000" w:themeColor="text1"/>
        </w:rPr>
        <w:t>47</w:t>
      </w:r>
      <w:r w:rsidRPr="006C6F80">
        <w:rPr>
          <w:color w:val="000000" w:themeColor="text1"/>
          <w:shd w:val="clear" w:color="auto" w:fill="FFFFFF"/>
        </w:rPr>
        <w:t>(6), 846-869.</w:t>
      </w:r>
    </w:p>
    <w:p w14:paraId="3D5EAC86" w14:textId="45D61431" w:rsidR="00ED6621" w:rsidRPr="006C6F80" w:rsidRDefault="00641FAD" w:rsidP="00B132A6">
      <w:pPr>
        <w:spacing w:after="200" w:line="480" w:lineRule="auto"/>
        <w:jc w:val="both"/>
        <w:rPr>
          <w:color w:val="000000" w:themeColor="text1"/>
        </w:rPr>
      </w:pPr>
      <w:r w:rsidRPr="006C6F80">
        <w:rPr>
          <w:color w:val="000000" w:themeColor="text1"/>
          <w:shd w:val="clear" w:color="auto" w:fill="FFFFFF"/>
        </w:rPr>
        <w:t>Cassarino, J. P. (2004). Theorising return migration: The conceptual approach to return migrants revisited. </w:t>
      </w:r>
      <w:r w:rsidRPr="006C6F80">
        <w:rPr>
          <w:i/>
          <w:iCs/>
          <w:color w:val="000000" w:themeColor="text1"/>
        </w:rPr>
        <w:t>International Journal on Multicultural Societies (IJMS)</w:t>
      </w:r>
      <w:r w:rsidRPr="006C6F80">
        <w:rPr>
          <w:color w:val="000000" w:themeColor="text1"/>
          <w:shd w:val="clear" w:color="auto" w:fill="FFFFFF"/>
        </w:rPr>
        <w:t>, </w:t>
      </w:r>
      <w:r w:rsidRPr="006C6F80">
        <w:rPr>
          <w:i/>
          <w:iCs/>
          <w:color w:val="000000" w:themeColor="text1"/>
        </w:rPr>
        <w:t>6</w:t>
      </w:r>
      <w:r w:rsidRPr="006C6F80">
        <w:rPr>
          <w:color w:val="000000" w:themeColor="text1"/>
          <w:shd w:val="clear" w:color="auto" w:fill="FFFFFF"/>
        </w:rPr>
        <w:t>(2), 253-279.</w:t>
      </w:r>
    </w:p>
    <w:p w14:paraId="078DC5E8" w14:textId="77777777" w:rsidR="00641FAD" w:rsidRPr="006C6F80" w:rsidRDefault="00641FAD" w:rsidP="00B132A6">
      <w:pPr>
        <w:spacing w:after="200" w:line="480" w:lineRule="auto"/>
        <w:jc w:val="both"/>
        <w:rPr>
          <w:color w:val="000000" w:themeColor="text1"/>
        </w:rPr>
      </w:pPr>
      <w:r w:rsidRPr="006C6F80">
        <w:rPr>
          <w:color w:val="000000" w:themeColor="text1"/>
          <w:shd w:val="clear" w:color="auto" w:fill="FFFFFF"/>
        </w:rPr>
        <w:t>Cassarino, J. P. (2008). Conditions of modern return migrants–Editorial introduction. </w:t>
      </w:r>
      <w:r w:rsidRPr="006C6F80">
        <w:rPr>
          <w:i/>
          <w:iCs/>
          <w:color w:val="000000" w:themeColor="text1"/>
        </w:rPr>
        <w:t>International Journal on Multicultural Societies</w:t>
      </w:r>
      <w:r w:rsidRPr="006C6F80">
        <w:rPr>
          <w:color w:val="000000" w:themeColor="text1"/>
          <w:shd w:val="clear" w:color="auto" w:fill="FFFFFF"/>
        </w:rPr>
        <w:t>, </w:t>
      </w:r>
      <w:r w:rsidRPr="006C6F80">
        <w:rPr>
          <w:i/>
          <w:iCs/>
          <w:color w:val="000000" w:themeColor="text1"/>
        </w:rPr>
        <w:t>10</w:t>
      </w:r>
      <w:r w:rsidRPr="006C6F80">
        <w:rPr>
          <w:color w:val="000000" w:themeColor="text1"/>
          <w:shd w:val="clear" w:color="auto" w:fill="FFFFFF"/>
        </w:rPr>
        <w:t>(2), 95-105.</w:t>
      </w:r>
    </w:p>
    <w:p w14:paraId="33CE9835" w14:textId="77777777" w:rsidR="00622D55" w:rsidRPr="006C6F80" w:rsidRDefault="00641FAD" w:rsidP="00B132A6">
      <w:pPr>
        <w:spacing w:after="200" w:line="480" w:lineRule="auto"/>
        <w:jc w:val="both"/>
        <w:rPr>
          <w:color w:val="000000" w:themeColor="text1"/>
        </w:rPr>
      </w:pPr>
      <w:r w:rsidRPr="006C6F80">
        <w:rPr>
          <w:color w:val="000000" w:themeColor="text1"/>
          <w:shd w:val="clear" w:color="auto" w:fill="FFFFFF"/>
        </w:rPr>
        <w:t>Choudhury, P. (2016). Return migration and geography of innovation in MNEs: a natural experiment of knowledge production by local workers reporting to return migrants. </w:t>
      </w:r>
      <w:r w:rsidRPr="006C6F80">
        <w:rPr>
          <w:i/>
          <w:iCs/>
          <w:color w:val="000000" w:themeColor="text1"/>
        </w:rPr>
        <w:t>Journal of Economic Geography</w:t>
      </w:r>
      <w:r w:rsidRPr="006C6F80">
        <w:rPr>
          <w:color w:val="000000" w:themeColor="text1"/>
          <w:shd w:val="clear" w:color="auto" w:fill="FFFFFF"/>
        </w:rPr>
        <w:t>, </w:t>
      </w:r>
      <w:r w:rsidRPr="006C6F80">
        <w:rPr>
          <w:i/>
          <w:iCs/>
          <w:color w:val="000000" w:themeColor="text1"/>
        </w:rPr>
        <w:t>16</w:t>
      </w:r>
      <w:r w:rsidRPr="006C6F80">
        <w:rPr>
          <w:color w:val="000000" w:themeColor="text1"/>
          <w:shd w:val="clear" w:color="auto" w:fill="FFFFFF"/>
        </w:rPr>
        <w:t>(3), 585-610.</w:t>
      </w:r>
    </w:p>
    <w:p w14:paraId="1FDCCD7C" w14:textId="77777777" w:rsidR="00622D55" w:rsidRPr="006C6F80" w:rsidRDefault="002F72D6" w:rsidP="00B132A6">
      <w:pPr>
        <w:spacing w:after="200" w:line="480" w:lineRule="auto"/>
        <w:jc w:val="both"/>
        <w:rPr>
          <w:color w:val="000000" w:themeColor="text1"/>
        </w:rPr>
      </w:pPr>
      <w:r w:rsidRPr="006C6F80">
        <w:rPr>
          <w:color w:val="000000" w:themeColor="text1"/>
          <w:shd w:val="clear" w:color="auto" w:fill="FFFFFF"/>
        </w:rPr>
        <w:t>Cobo, S. D., Giorguli, S. E., &amp; Alba, F. (2010). Occupational mobility among returned migrants in Latin America: A comparative analysis. </w:t>
      </w:r>
      <w:r w:rsidRPr="006C6F80">
        <w:rPr>
          <w:i/>
          <w:iCs/>
          <w:color w:val="000000" w:themeColor="text1"/>
        </w:rPr>
        <w:t>The Annals of the American Academy of Political and Social Science</w:t>
      </w:r>
      <w:r w:rsidRPr="006C6F80">
        <w:rPr>
          <w:color w:val="000000" w:themeColor="text1"/>
          <w:shd w:val="clear" w:color="auto" w:fill="FFFFFF"/>
        </w:rPr>
        <w:t>, </w:t>
      </w:r>
      <w:r w:rsidRPr="006C6F80">
        <w:rPr>
          <w:i/>
          <w:iCs/>
          <w:color w:val="000000" w:themeColor="text1"/>
        </w:rPr>
        <w:t>630</w:t>
      </w:r>
      <w:r w:rsidRPr="006C6F80">
        <w:rPr>
          <w:color w:val="000000" w:themeColor="text1"/>
          <w:shd w:val="clear" w:color="auto" w:fill="FFFFFF"/>
        </w:rPr>
        <w:t>(1), 245-268.</w:t>
      </w:r>
    </w:p>
    <w:p w14:paraId="3EF29DE1" w14:textId="77777777" w:rsidR="00622D55" w:rsidRPr="006C6F80" w:rsidRDefault="002F72D6" w:rsidP="00B132A6">
      <w:pPr>
        <w:spacing w:after="200" w:line="480" w:lineRule="auto"/>
        <w:jc w:val="both"/>
        <w:rPr>
          <w:color w:val="000000" w:themeColor="text1"/>
        </w:rPr>
      </w:pPr>
      <w:r w:rsidRPr="006C6F80">
        <w:rPr>
          <w:color w:val="000000" w:themeColor="text1"/>
          <w:shd w:val="clear" w:color="auto" w:fill="FFFFFF"/>
        </w:rPr>
        <w:t>Coniglio, N. D., &amp; Brzozowski, J. (2018). Migration and development at home: Bitter or sweet return? Evidence from Poland. </w:t>
      </w:r>
      <w:r w:rsidRPr="006C6F80">
        <w:rPr>
          <w:i/>
          <w:iCs/>
          <w:color w:val="000000" w:themeColor="text1"/>
        </w:rPr>
        <w:t>European Urban and Regional Studies</w:t>
      </w:r>
      <w:r w:rsidRPr="006C6F80">
        <w:rPr>
          <w:color w:val="000000" w:themeColor="text1"/>
          <w:shd w:val="clear" w:color="auto" w:fill="FFFFFF"/>
        </w:rPr>
        <w:t>, </w:t>
      </w:r>
      <w:r w:rsidRPr="006C6F80">
        <w:rPr>
          <w:i/>
          <w:iCs/>
          <w:color w:val="000000" w:themeColor="text1"/>
        </w:rPr>
        <w:t>25</w:t>
      </w:r>
      <w:r w:rsidRPr="006C6F80">
        <w:rPr>
          <w:color w:val="000000" w:themeColor="text1"/>
          <w:shd w:val="clear" w:color="auto" w:fill="FFFFFF"/>
        </w:rPr>
        <w:t>(1), 85-105.</w:t>
      </w:r>
    </w:p>
    <w:p w14:paraId="089694DB" w14:textId="188199B6" w:rsidR="002F72D6" w:rsidRPr="006C6F80" w:rsidRDefault="002F72D6" w:rsidP="00B132A6">
      <w:pPr>
        <w:spacing w:after="200" w:line="480" w:lineRule="auto"/>
        <w:jc w:val="both"/>
        <w:rPr>
          <w:color w:val="000000" w:themeColor="text1"/>
        </w:rPr>
      </w:pPr>
      <w:r w:rsidRPr="006C6F80">
        <w:rPr>
          <w:color w:val="000000" w:themeColor="text1"/>
          <w:shd w:val="clear" w:color="auto" w:fill="FFFFFF"/>
        </w:rPr>
        <w:lastRenderedPageBreak/>
        <w:t>Démurger, S., &amp; Xu, H. (2011). Return migrants: The rise of new entrepreneurs in rural China. </w:t>
      </w:r>
      <w:r w:rsidRPr="006C6F80">
        <w:rPr>
          <w:i/>
          <w:iCs/>
          <w:color w:val="000000" w:themeColor="text1"/>
        </w:rPr>
        <w:t>World Development</w:t>
      </w:r>
      <w:r w:rsidRPr="006C6F80">
        <w:rPr>
          <w:color w:val="000000" w:themeColor="text1"/>
          <w:shd w:val="clear" w:color="auto" w:fill="FFFFFF"/>
        </w:rPr>
        <w:t>, </w:t>
      </w:r>
      <w:r w:rsidRPr="006C6F80">
        <w:rPr>
          <w:i/>
          <w:iCs/>
          <w:color w:val="000000" w:themeColor="text1"/>
        </w:rPr>
        <w:t>39</w:t>
      </w:r>
      <w:r w:rsidRPr="006C6F80">
        <w:rPr>
          <w:color w:val="000000" w:themeColor="text1"/>
          <w:shd w:val="clear" w:color="auto" w:fill="FFFFFF"/>
        </w:rPr>
        <w:t>(10), 1847-1861.</w:t>
      </w:r>
    </w:p>
    <w:p w14:paraId="4A9E4028" w14:textId="77777777" w:rsidR="002F72D6" w:rsidRPr="006C6F80" w:rsidRDefault="002F72D6" w:rsidP="00B132A6">
      <w:pPr>
        <w:spacing w:after="200" w:line="480" w:lineRule="auto"/>
        <w:jc w:val="both"/>
        <w:rPr>
          <w:color w:val="000000" w:themeColor="text1"/>
        </w:rPr>
      </w:pPr>
      <w:r w:rsidRPr="007E4F93">
        <w:rPr>
          <w:color w:val="000000" w:themeColor="text1"/>
          <w:shd w:val="clear" w:color="auto" w:fill="FFFFFF"/>
        </w:rPr>
        <w:t xml:space="preserve">Dos Santos, M. D., &amp; Postel-Vinay, F. (2003). </w:t>
      </w:r>
      <w:r w:rsidRPr="006C6F80">
        <w:rPr>
          <w:color w:val="000000" w:themeColor="text1"/>
          <w:shd w:val="clear" w:color="auto" w:fill="FFFFFF"/>
        </w:rPr>
        <w:t>Migration as a source of growth: the perspective of a developing country. </w:t>
      </w:r>
      <w:r w:rsidRPr="006C6F80">
        <w:rPr>
          <w:i/>
          <w:iCs/>
          <w:color w:val="000000" w:themeColor="text1"/>
        </w:rPr>
        <w:t>Journal of Population Economics</w:t>
      </w:r>
      <w:r w:rsidRPr="006C6F80">
        <w:rPr>
          <w:color w:val="000000" w:themeColor="text1"/>
          <w:shd w:val="clear" w:color="auto" w:fill="FFFFFF"/>
        </w:rPr>
        <w:t>, </w:t>
      </w:r>
      <w:r w:rsidRPr="006C6F80">
        <w:rPr>
          <w:i/>
          <w:iCs/>
          <w:color w:val="000000" w:themeColor="text1"/>
        </w:rPr>
        <w:t>16</w:t>
      </w:r>
      <w:r w:rsidRPr="006C6F80">
        <w:rPr>
          <w:color w:val="000000" w:themeColor="text1"/>
          <w:shd w:val="clear" w:color="auto" w:fill="FFFFFF"/>
        </w:rPr>
        <w:t>(1), 161-175.</w:t>
      </w:r>
    </w:p>
    <w:p w14:paraId="0CC43C07" w14:textId="779EDB6D" w:rsidR="002F72D6" w:rsidRPr="006C6F80" w:rsidRDefault="002F72D6" w:rsidP="00B132A6">
      <w:pPr>
        <w:spacing w:after="200" w:line="480" w:lineRule="auto"/>
        <w:jc w:val="both"/>
        <w:rPr>
          <w:color w:val="000000" w:themeColor="text1"/>
        </w:rPr>
      </w:pPr>
      <w:r w:rsidRPr="006C6F80">
        <w:rPr>
          <w:color w:val="000000" w:themeColor="text1"/>
          <w:shd w:val="clear" w:color="auto" w:fill="FFFFFF"/>
        </w:rPr>
        <w:t>Djajić, S. (2014). Temporary Emigration and Welfare: The Case of Low‐Skilled Labor. </w:t>
      </w:r>
      <w:r w:rsidRPr="006C6F80">
        <w:rPr>
          <w:i/>
          <w:iCs/>
          <w:color w:val="000000" w:themeColor="text1"/>
        </w:rPr>
        <w:t>International Economic Review</w:t>
      </w:r>
      <w:r w:rsidRPr="006C6F80">
        <w:rPr>
          <w:color w:val="000000" w:themeColor="text1"/>
          <w:shd w:val="clear" w:color="auto" w:fill="FFFFFF"/>
        </w:rPr>
        <w:t>, </w:t>
      </w:r>
      <w:r w:rsidRPr="006C6F80">
        <w:rPr>
          <w:i/>
          <w:iCs/>
          <w:color w:val="000000" w:themeColor="text1"/>
        </w:rPr>
        <w:t>55</w:t>
      </w:r>
      <w:r w:rsidRPr="006C6F80">
        <w:rPr>
          <w:color w:val="000000" w:themeColor="text1"/>
          <w:shd w:val="clear" w:color="auto" w:fill="FFFFFF"/>
        </w:rPr>
        <w:t>(2), 551-574.</w:t>
      </w:r>
    </w:p>
    <w:p w14:paraId="48125988" w14:textId="77777777" w:rsidR="00796044" w:rsidRPr="006C6F80" w:rsidRDefault="00796044" w:rsidP="00B132A6">
      <w:pPr>
        <w:spacing w:after="200" w:line="480" w:lineRule="auto"/>
        <w:jc w:val="both"/>
        <w:rPr>
          <w:color w:val="000000" w:themeColor="text1"/>
        </w:rPr>
      </w:pPr>
      <w:r w:rsidRPr="006C6F80">
        <w:rPr>
          <w:color w:val="000000" w:themeColor="text1"/>
          <w:shd w:val="clear" w:color="auto" w:fill="FFFFFF"/>
        </w:rPr>
        <w:t>Docquier, F., &amp; Rapoport, H. (2012). Globalization, brain drain, and development. </w:t>
      </w:r>
      <w:r w:rsidRPr="006C6F80">
        <w:rPr>
          <w:i/>
          <w:iCs/>
          <w:color w:val="000000" w:themeColor="text1"/>
        </w:rPr>
        <w:t>Journal of Economic Literature</w:t>
      </w:r>
      <w:r w:rsidRPr="006C6F80">
        <w:rPr>
          <w:color w:val="000000" w:themeColor="text1"/>
          <w:shd w:val="clear" w:color="auto" w:fill="FFFFFF"/>
        </w:rPr>
        <w:t>, </w:t>
      </w:r>
      <w:r w:rsidRPr="006C6F80">
        <w:rPr>
          <w:i/>
          <w:iCs/>
          <w:color w:val="000000" w:themeColor="text1"/>
        </w:rPr>
        <w:t>50</w:t>
      </w:r>
      <w:r w:rsidRPr="006C6F80">
        <w:rPr>
          <w:color w:val="000000" w:themeColor="text1"/>
          <w:shd w:val="clear" w:color="auto" w:fill="FFFFFF"/>
        </w:rPr>
        <w:t>(3), 681-730.</w:t>
      </w:r>
    </w:p>
    <w:p w14:paraId="019A469E" w14:textId="77777777" w:rsidR="00796044" w:rsidRPr="006C6F80" w:rsidRDefault="00796044" w:rsidP="00B132A6">
      <w:pPr>
        <w:spacing w:after="200" w:line="480" w:lineRule="auto"/>
        <w:jc w:val="both"/>
        <w:rPr>
          <w:color w:val="000000" w:themeColor="text1"/>
        </w:rPr>
      </w:pPr>
      <w:r w:rsidRPr="006C6F80">
        <w:rPr>
          <w:color w:val="000000" w:themeColor="text1"/>
          <w:shd w:val="clear" w:color="auto" w:fill="FFFFFF"/>
        </w:rPr>
        <w:t>Dustmann, C., &amp; Görlach, J. S. (2016). The economics of temporary migrations. </w:t>
      </w:r>
      <w:r w:rsidRPr="006C6F80">
        <w:rPr>
          <w:i/>
          <w:iCs/>
          <w:color w:val="000000" w:themeColor="text1"/>
        </w:rPr>
        <w:t>Journal of Economic Literature</w:t>
      </w:r>
      <w:r w:rsidRPr="006C6F80">
        <w:rPr>
          <w:color w:val="000000" w:themeColor="text1"/>
          <w:shd w:val="clear" w:color="auto" w:fill="FFFFFF"/>
        </w:rPr>
        <w:t>, </w:t>
      </w:r>
      <w:r w:rsidRPr="006C6F80">
        <w:rPr>
          <w:i/>
          <w:iCs/>
          <w:color w:val="000000" w:themeColor="text1"/>
        </w:rPr>
        <w:t>54</w:t>
      </w:r>
      <w:r w:rsidRPr="006C6F80">
        <w:rPr>
          <w:color w:val="000000" w:themeColor="text1"/>
          <w:shd w:val="clear" w:color="auto" w:fill="FFFFFF"/>
        </w:rPr>
        <w:t>(1), 98-136.</w:t>
      </w:r>
    </w:p>
    <w:p w14:paraId="32067294" w14:textId="77777777" w:rsidR="00796044" w:rsidRPr="006C6F80" w:rsidRDefault="00796044" w:rsidP="00B132A6">
      <w:pPr>
        <w:spacing w:after="200" w:line="480" w:lineRule="auto"/>
        <w:jc w:val="both"/>
        <w:rPr>
          <w:color w:val="000000" w:themeColor="text1"/>
        </w:rPr>
      </w:pPr>
      <w:r w:rsidRPr="006C6F80">
        <w:rPr>
          <w:color w:val="000000" w:themeColor="text1"/>
          <w:shd w:val="clear" w:color="auto" w:fill="FFFFFF"/>
        </w:rPr>
        <w:t>Dustmann, C., Fadlon, I., &amp; Weiss, Y. (2011). Return migration, human capital accumulation and the brain drain. </w:t>
      </w:r>
      <w:r w:rsidRPr="006C6F80">
        <w:rPr>
          <w:i/>
          <w:iCs/>
          <w:color w:val="000000" w:themeColor="text1"/>
        </w:rPr>
        <w:t>Journal of Development Economics</w:t>
      </w:r>
      <w:r w:rsidRPr="006C6F80">
        <w:rPr>
          <w:color w:val="000000" w:themeColor="text1"/>
          <w:shd w:val="clear" w:color="auto" w:fill="FFFFFF"/>
        </w:rPr>
        <w:t>, </w:t>
      </w:r>
      <w:r w:rsidRPr="006C6F80">
        <w:rPr>
          <w:i/>
          <w:iCs/>
          <w:color w:val="000000" w:themeColor="text1"/>
        </w:rPr>
        <w:t>95</w:t>
      </w:r>
      <w:r w:rsidRPr="006C6F80">
        <w:rPr>
          <w:color w:val="000000" w:themeColor="text1"/>
          <w:shd w:val="clear" w:color="auto" w:fill="FFFFFF"/>
        </w:rPr>
        <w:t>(1), 58-67.</w:t>
      </w:r>
    </w:p>
    <w:p w14:paraId="715C61F6" w14:textId="1804A9FB" w:rsidR="00796044" w:rsidRPr="006C6F80" w:rsidRDefault="00796044" w:rsidP="00B132A6">
      <w:pPr>
        <w:spacing w:after="200" w:line="480" w:lineRule="auto"/>
        <w:jc w:val="both"/>
        <w:rPr>
          <w:color w:val="000000" w:themeColor="text1"/>
        </w:rPr>
      </w:pPr>
      <w:r w:rsidRPr="006C6F80">
        <w:rPr>
          <w:color w:val="000000" w:themeColor="text1"/>
          <w:shd w:val="clear" w:color="auto" w:fill="FFFFFF"/>
        </w:rPr>
        <w:t>Lacuesta, A. (2010). A revision of the self-selection of migrants using returning migrant's earnings. </w:t>
      </w:r>
      <w:r w:rsidRPr="006C6F80">
        <w:rPr>
          <w:i/>
          <w:iCs/>
          <w:color w:val="000000" w:themeColor="text1"/>
        </w:rPr>
        <w:t>Annals of Economics and Statistics</w:t>
      </w:r>
      <w:r w:rsidRPr="006C6F80">
        <w:rPr>
          <w:color w:val="000000" w:themeColor="text1"/>
          <w:shd w:val="clear" w:color="auto" w:fill="FFFFFF"/>
        </w:rPr>
        <w:t>, 235-259.</w:t>
      </w:r>
    </w:p>
    <w:p w14:paraId="35B49EE8" w14:textId="2D2EACA1" w:rsidR="002F4F7D" w:rsidRPr="006C6F80" w:rsidRDefault="00796044" w:rsidP="00B132A6">
      <w:pPr>
        <w:spacing w:after="200" w:line="480" w:lineRule="auto"/>
        <w:jc w:val="both"/>
        <w:rPr>
          <w:color w:val="000000" w:themeColor="text1"/>
        </w:rPr>
      </w:pPr>
      <w:r w:rsidRPr="006C6F80">
        <w:rPr>
          <w:color w:val="000000" w:themeColor="text1"/>
          <w:shd w:val="clear" w:color="auto" w:fill="FFFFFF"/>
        </w:rPr>
        <w:t>Eamets, R., Jaakson, K., Masso, J., &amp; Mõtsmees, P. (2014). Temporary migrants and occupational mobility: evidence from the case of Estonia. </w:t>
      </w:r>
      <w:r w:rsidRPr="006C6F80">
        <w:rPr>
          <w:i/>
          <w:iCs/>
          <w:color w:val="000000" w:themeColor="text1"/>
        </w:rPr>
        <w:t>International Journal of Manpower</w:t>
      </w:r>
      <w:r w:rsidR="002F4F7D" w:rsidRPr="006C6F80">
        <w:rPr>
          <w:color w:val="000000" w:themeColor="text1"/>
        </w:rPr>
        <w:t xml:space="preserve">, </w:t>
      </w:r>
      <w:r w:rsidR="002F4F7D" w:rsidRPr="006C6F80">
        <w:rPr>
          <w:i/>
          <w:iCs/>
          <w:color w:val="000000" w:themeColor="text1"/>
        </w:rPr>
        <w:t>35</w:t>
      </w:r>
      <w:r w:rsidR="002F4F7D" w:rsidRPr="006C6F80">
        <w:rPr>
          <w:color w:val="000000" w:themeColor="text1"/>
        </w:rPr>
        <w:t>(6): 753-775.</w:t>
      </w:r>
    </w:p>
    <w:p w14:paraId="101C4F71" w14:textId="77777777" w:rsidR="005069A7" w:rsidRPr="006C6F80" w:rsidRDefault="005069A7" w:rsidP="00B132A6">
      <w:pPr>
        <w:spacing w:after="200" w:line="480" w:lineRule="auto"/>
        <w:jc w:val="both"/>
        <w:rPr>
          <w:color w:val="000000" w:themeColor="text1"/>
        </w:rPr>
      </w:pPr>
      <w:r w:rsidRPr="006C6F80">
        <w:rPr>
          <w:color w:val="000000" w:themeColor="text1"/>
          <w:shd w:val="clear" w:color="auto" w:fill="FFFFFF"/>
        </w:rPr>
        <w:t>Fransen, S., Ruiz, I., &amp; Vargas-Silva, C. (2017). Return migration and economic outcomes in the conflict context. </w:t>
      </w:r>
      <w:r w:rsidRPr="006C6F80">
        <w:rPr>
          <w:i/>
          <w:iCs/>
          <w:color w:val="000000" w:themeColor="text1"/>
        </w:rPr>
        <w:t>World Development</w:t>
      </w:r>
      <w:r w:rsidRPr="006C6F80">
        <w:rPr>
          <w:color w:val="000000" w:themeColor="text1"/>
          <w:shd w:val="clear" w:color="auto" w:fill="FFFFFF"/>
        </w:rPr>
        <w:t>, </w:t>
      </w:r>
      <w:r w:rsidRPr="006C6F80">
        <w:rPr>
          <w:i/>
          <w:iCs/>
          <w:color w:val="000000" w:themeColor="text1"/>
        </w:rPr>
        <w:t>95</w:t>
      </w:r>
      <w:r w:rsidRPr="006C6F80">
        <w:rPr>
          <w:color w:val="000000" w:themeColor="text1"/>
          <w:shd w:val="clear" w:color="auto" w:fill="FFFFFF"/>
        </w:rPr>
        <w:t>, 196-210.</w:t>
      </w:r>
    </w:p>
    <w:p w14:paraId="0F4469B0" w14:textId="77777777" w:rsidR="005069A7" w:rsidRPr="006C6F80" w:rsidRDefault="005069A7" w:rsidP="00B132A6">
      <w:pPr>
        <w:spacing w:after="200" w:line="480" w:lineRule="auto"/>
        <w:jc w:val="both"/>
        <w:rPr>
          <w:color w:val="000000" w:themeColor="text1"/>
        </w:rPr>
      </w:pPr>
      <w:r w:rsidRPr="006C6F80">
        <w:rPr>
          <w:color w:val="000000" w:themeColor="text1"/>
          <w:shd w:val="clear" w:color="auto" w:fill="FFFFFF"/>
        </w:rPr>
        <w:t>Marchetta, F. (2012). Return migration and the survival of entrepreneurial activities in Egypt. </w:t>
      </w:r>
      <w:r w:rsidRPr="006C6F80">
        <w:rPr>
          <w:i/>
          <w:iCs/>
          <w:color w:val="000000" w:themeColor="text1"/>
        </w:rPr>
        <w:t>World Development</w:t>
      </w:r>
      <w:r w:rsidRPr="006C6F80">
        <w:rPr>
          <w:color w:val="000000" w:themeColor="text1"/>
          <w:shd w:val="clear" w:color="auto" w:fill="FFFFFF"/>
        </w:rPr>
        <w:t>, </w:t>
      </w:r>
      <w:r w:rsidRPr="006C6F80">
        <w:rPr>
          <w:i/>
          <w:iCs/>
          <w:color w:val="000000" w:themeColor="text1"/>
        </w:rPr>
        <w:t>40</w:t>
      </w:r>
      <w:r w:rsidRPr="006C6F80">
        <w:rPr>
          <w:color w:val="000000" w:themeColor="text1"/>
          <w:shd w:val="clear" w:color="auto" w:fill="FFFFFF"/>
        </w:rPr>
        <w:t>(10), 1999-2013.</w:t>
      </w:r>
    </w:p>
    <w:p w14:paraId="1D24AEC4" w14:textId="77777777" w:rsidR="005069A7" w:rsidRPr="006C6F80" w:rsidRDefault="005069A7" w:rsidP="00B132A6">
      <w:pPr>
        <w:spacing w:after="200" w:line="480" w:lineRule="auto"/>
        <w:jc w:val="both"/>
        <w:rPr>
          <w:color w:val="000000" w:themeColor="text1"/>
        </w:rPr>
      </w:pPr>
      <w:r w:rsidRPr="006C6F80">
        <w:rPr>
          <w:color w:val="000000" w:themeColor="text1"/>
          <w:shd w:val="clear" w:color="auto" w:fill="FFFFFF"/>
        </w:rPr>
        <w:lastRenderedPageBreak/>
        <w:t>Mayr, K., &amp; Peri, G. (2009). Brain drain and brain return: theory and application to Eastern-Western Europe. </w:t>
      </w:r>
      <w:r w:rsidRPr="006C6F80">
        <w:rPr>
          <w:i/>
          <w:iCs/>
          <w:color w:val="000000" w:themeColor="text1"/>
        </w:rPr>
        <w:t>The BE Journal of Economic Analysis &amp; Policy</w:t>
      </w:r>
      <w:r w:rsidRPr="006C6F80">
        <w:rPr>
          <w:color w:val="000000" w:themeColor="text1"/>
          <w:shd w:val="clear" w:color="auto" w:fill="FFFFFF"/>
        </w:rPr>
        <w:t>, </w:t>
      </w:r>
      <w:r w:rsidRPr="006C6F80">
        <w:rPr>
          <w:i/>
          <w:iCs/>
          <w:color w:val="000000" w:themeColor="text1"/>
        </w:rPr>
        <w:t>9</w:t>
      </w:r>
      <w:r w:rsidRPr="006C6F80">
        <w:rPr>
          <w:color w:val="000000" w:themeColor="text1"/>
          <w:shd w:val="clear" w:color="auto" w:fill="FFFFFF"/>
        </w:rPr>
        <w:t>(1).</w:t>
      </w:r>
    </w:p>
    <w:p w14:paraId="036870E3" w14:textId="77777777" w:rsidR="005069A7" w:rsidRPr="006C6F80" w:rsidRDefault="005069A7" w:rsidP="00B132A6">
      <w:pPr>
        <w:spacing w:after="200" w:line="480" w:lineRule="auto"/>
        <w:jc w:val="both"/>
        <w:rPr>
          <w:color w:val="000000" w:themeColor="text1"/>
        </w:rPr>
      </w:pPr>
      <w:r w:rsidRPr="006C6F80">
        <w:rPr>
          <w:color w:val="000000" w:themeColor="text1"/>
          <w:shd w:val="clear" w:color="auto" w:fill="FFFFFF"/>
        </w:rPr>
        <w:t>Olesen, H. (2002). Migration, return, and development: An institutional perspective. </w:t>
      </w:r>
      <w:r w:rsidRPr="006C6F80">
        <w:rPr>
          <w:i/>
          <w:iCs/>
          <w:color w:val="000000" w:themeColor="text1"/>
        </w:rPr>
        <w:t>International migration</w:t>
      </w:r>
      <w:r w:rsidRPr="006C6F80">
        <w:rPr>
          <w:color w:val="000000" w:themeColor="text1"/>
          <w:shd w:val="clear" w:color="auto" w:fill="FFFFFF"/>
        </w:rPr>
        <w:t>, </w:t>
      </w:r>
      <w:r w:rsidRPr="006C6F80">
        <w:rPr>
          <w:i/>
          <w:iCs/>
          <w:color w:val="000000" w:themeColor="text1"/>
        </w:rPr>
        <w:t>40</w:t>
      </w:r>
      <w:r w:rsidRPr="006C6F80">
        <w:rPr>
          <w:color w:val="000000" w:themeColor="text1"/>
          <w:shd w:val="clear" w:color="auto" w:fill="FFFFFF"/>
        </w:rPr>
        <w:t>(5), 125-150.</w:t>
      </w:r>
    </w:p>
    <w:p w14:paraId="124C3103" w14:textId="77777777" w:rsidR="005069A7" w:rsidRPr="006C6F80" w:rsidRDefault="005069A7" w:rsidP="00B132A6">
      <w:pPr>
        <w:spacing w:after="200" w:line="480" w:lineRule="auto"/>
        <w:jc w:val="both"/>
        <w:rPr>
          <w:color w:val="000000" w:themeColor="text1"/>
        </w:rPr>
      </w:pPr>
      <w:r w:rsidRPr="006C6F80">
        <w:rPr>
          <w:color w:val="000000" w:themeColor="text1"/>
          <w:shd w:val="clear" w:color="auto" w:fill="FFFFFF"/>
        </w:rPr>
        <w:t>Piracha, M., &amp; Vadean, F. (2010). Return migration and occupational choice: Evidence from Albania. </w:t>
      </w:r>
      <w:r w:rsidRPr="006C6F80">
        <w:rPr>
          <w:i/>
          <w:iCs/>
          <w:color w:val="000000" w:themeColor="text1"/>
        </w:rPr>
        <w:t>World Development</w:t>
      </w:r>
      <w:r w:rsidRPr="006C6F80">
        <w:rPr>
          <w:color w:val="000000" w:themeColor="text1"/>
          <w:shd w:val="clear" w:color="auto" w:fill="FFFFFF"/>
        </w:rPr>
        <w:t>, </w:t>
      </w:r>
      <w:r w:rsidRPr="006C6F80">
        <w:rPr>
          <w:i/>
          <w:iCs/>
          <w:color w:val="000000" w:themeColor="text1"/>
        </w:rPr>
        <w:t>38</w:t>
      </w:r>
      <w:r w:rsidRPr="006C6F80">
        <w:rPr>
          <w:color w:val="000000" w:themeColor="text1"/>
          <w:shd w:val="clear" w:color="auto" w:fill="FFFFFF"/>
        </w:rPr>
        <w:t>(8), 1141-1155.</w:t>
      </w:r>
    </w:p>
    <w:p w14:paraId="15D6E4C4" w14:textId="1B15D138" w:rsidR="005069A7" w:rsidRPr="006C6F80" w:rsidRDefault="005069A7" w:rsidP="00B132A6">
      <w:pPr>
        <w:spacing w:after="200" w:line="480" w:lineRule="auto"/>
        <w:jc w:val="both"/>
        <w:rPr>
          <w:color w:val="000000" w:themeColor="text1"/>
          <w:shd w:val="clear" w:color="auto" w:fill="FFFFFF"/>
        </w:rPr>
      </w:pPr>
      <w:r w:rsidRPr="006C6F80">
        <w:rPr>
          <w:color w:val="000000" w:themeColor="text1"/>
          <w:shd w:val="clear" w:color="auto" w:fill="FFFFFF"/>
        </w:rPr>
        <w:t>Reinhold, S., &amp; Thom, K. (2013). Migration experience and earnings in the Mexican labor market. </w:t>
      </w:r>
      <w:r w:rsidRPr="006C6F80">
        <w:rPr>
          <w:i/>
          <w:iCs/>
          <w:color w:val="000000" w:themeColor="text1"/>
        </w:rPr>
        <w:t>Journal of Human Resources</w:t>
      </w:r>
      <w:r w:rsidRPr="006C6F80">
        <w:rPr>
          <w:color w:val="000000" w:themeColor="text1"/>
          <w:shd w:val="clear" w:color="auto" w:fill="FFFFFF"/>
        </w:rPr>
        <w:t>, </w:t>
      </w:r>
      <w:r w:rsidRPr="006C6F80">
        <w:rPr>
          <w:i/>
          <w:iCs/>
          <w:color w:val="000000" w:themeColor="text1"/>
        </w:rPr>
        <w:t>48</w:t>
      </w:r>
      <w:r w:rsidRPr="006C6F80">
        <w:rPr>
          <w:color w:val="000000" w:themeColor="text1"/>
          <w:shd w:val="clear" w:color="auto" w:fill="FFFFFF"/>
        </w:rPr>
        <w:t>(3), 768-820.</w:t>
      </w:r>
    </w:p>
    <w:p w14:paraId="3457CE70" w14:textId="77777777" w:rsidR="005069A7" w:rsidRPr="006C6F80" w:rsidRDefault="005069A7" w:rsidP="00B132A6">
      <w:pPr>
        <w:spacing w:after="200" w:line="480" w:lineRule="auto"/>
        <w:jc w:val="both"/>
        <w:rPr>
          <w:color w:val="000000" w:themeColor="text1"/>
        </w:rPr>
      </w:pPr>
      <w:r w:rsidRPr="006C6F80">
        <w:rPr>
          <w:color w:val="000000" w:themeColor="text1"/>
          <w:shd w:val="clear" w:color="auto" w:fill="FFFFFF"/>
        </w:rPr>
        <w:t>Sabadie, J. A., Avato, J., Bardak, U., Panzica, F., &amp; Popova, N. (2010). </w:t>
      </w:r>
      <w:r w:rsidRPr="006C6F80">
        <w:rPr>
          <w:i/>
          <w:iCs/>
          <w:color w:val="000000" w:themeColor="text1"/>
        </w:rPr>
        <w:t>Migration and skills: the experience of migrant workers from Albania, Egypt, Moldova, and Tunisia</w:t>
      </w:r>
      <w:r w:rsidRPr="006C6F80">
        <w:rPr>
          <w:color w:val="000000" w:themeColor="text1"/>
          <w:shd w:val="clear" w:color="auto" w:fill="FFFFFF"/>
        </w:rPr>
        <w:t>. The World Bank.</w:t>
      </w:r>
    </w:p>
    <w:p w14:paraId="505E4CDE" w14:textId="77777777" w:rsidR="005069A7" w:rsidRPr="006C6F80" w:rsidRDefault="005069A7" w:rsidP="00B132A6">
      <w:pPr>
        <w:spacing w:after="200" w:line="480" w:lineRule="auto"/>
        <w:jc w:val="both"/>
        <w:rPr>
          <w:color w:val="000000" w:themeColor="text1"/>
        </w:rPr>
      </w:pPr>
      <w:r w:rsidRPr="006C6F80">
        <w:rPr>
          <w:color w:val="000000" w:themeColor="text1"/>
          <w:shd w:val="clear" w:color="auto" w:fill="FFFFFF"/>
        </w:rPr>
        <w:t>Sicherman, N., &amp; Galor, O. (1990). A theory of career mobility. </w:t>
      </w:r>
      <w:r w:rsidRPr="006C6F80">
        <w:rPr>
          <w:i/>
          <w:iCs/>
          <w:color w:val="000000" w:themeColor="text1"/>
        </w:rPr>
        <w:t>Journal of political economy</w:t>
      </w:r>
      <w:r w:rsidRPr="006C6F80">
        <w:rPr>
          <w:color w:val="000000" w:themeColor="text1"/>
          <w:shd w:val="clear" w:color="auto" w:fill="FFFFFF"/>
        </w:rPr>
        <w:t>, </w:t>
      </w:r>
      <w:r w:rsidRPr="006C6F80">
        <w:rPr>
          <w:i/>
          <w:iCs/>
          <w:color w:val="000000" w:themeColor="text1"/>
        </w:rPr>
        <w:t>98</w:t>
      </w:r>
      <w:r w:rsidRPr="006C6F80">
        <w:rPr>
          <w:color w:val="000000" w:themeColor="text1"/>
          <w:shd w:val="clear" w:color="auto" w:fill="FFFFFF"/>
        </w:rPr>
        <w:t>(1), 169-192.</w:t>
      </w:r>
    </w:p>
    <w:p w14:paraId="345EAFE8" w14:textId="77777777" w:rsidR="005069A7" w:rsidRPr="006C6F80" w:rsidRDefault="005069A7" w:rsidP="00B132A6">
      <w:pPr>
        <w:spacing w:after="200" w:line="480" w:lineRule="auto"/>
        <w:jc w:val="both"/>
        <w:rPr>
          <w:color w:val="000000" w:themeColor="text1"/>
        </w:rPr>
      </w:pPr>
      <w:r w:rsidRPr="006C6F80">
        <w:rPr>
          <w:color w:val="000000" w:themeColor="text1"/>
          <w:shd w:val="clear" w:color="auto" w:fill="FFFFFF"/>
        </w:rPr>
        <w:t>Sun, W. (2013). The productivity of return migrants: the case of China’s “Sea Turtles”. </w:t>
      </w:r>
      <w:r w:rsidRPr="006C6F80">
        <w:rPr>
          <w:i/>
          <w:iCs/>
          <w:color w:val="000000" w:themeColor="text1"/>
        </w:rPr>
        <w:t>IZA Journal of Migration</w:t>
      </w:r>
      <w:r w:rsidRPr="006C6F80">
        <w:rPr>
          <w:color w:val="000000" w:themeColor="text1"/>
          <w:shd w:val="clear" w:color="auto" w:fill="FFFFFF"/>
        </w:rPr>
        <w:t>, </w:t>
      </w:r>
      <w:r w:rsidRPr="006C6F80">
        <w:rPr>
          <w:i/>
          <w:iCs/>
          <w:color w:val="000000" w:themeColor="text1"/>
        </w:rPr>
        <w:t>2</w:t>
      </w:r>
      <w:r w:rsidRPr="006C6F80">
        <w:rPr>
          <w:color w:val="000000" w:themeColor="text1"/>
          <w:shd w:val="clear" w:color="auto" w:fill="FFFFFF"/>
        </w:rPr>
        <w:t>(1), 5.</w:t>
      </w:r>
    </w:p>
    <w:p w14:paraId="68A967AE" w14:textId="77777777" w:rsidR="005069A7" w:rsidRPr="006C6F80" w:rsidRDefault="005069A7" w:rsidP="00B132A6">
      <w:pPr>
        <w:spacing w:after="200" w:line="480" w:lineRule="auto"/>
        <w:jc w:val="both"/>
        <w:rPr>
          <w:color w:val="000000" w:themeColor="text1"/>
        </w:rPr>
      </w:pPr>
      <w:r w:rsidRPr="006C6F80">
        <w:rPr>
          <w:color w:val="000000" w:themeColor="text1"/>
          <w:shd w:val="clear" w:color="auto" w:fill="FFFFFF"/>
        </w:rPr>
        <w:t>Thomas, K. J. (2008). Return migration in Africa and the relationship between educational attainment and labor market success: Evidence from Uganda. </w:t>
      </w:r>
      <w:r w:rsidRPr="006C6F80">
        <w:rPr>
          <w:i/>
          <w:iCs/>
          <w:color w:val="000000" w:themeColor="text1"/>
        </w:rPr>
        <w:t>International Migration Review</w:t>
      </w:r>
      <w:r w:rsidRPr="006C6F80">
        <w:rPr>
          <w:color w:val="000000" w:themeColor="text1"/>
          <w:shd w:val="clear" w:color="auto" w:fill="FFFFFF"/>
        </w:rPr>
        <w:t>, </w:t>
      </w:r>
      <w:r w:rsidRPr="006C6F80">
        <w:rPr>
          <w:i/>
          <w:iCs/>
          <w:color w:val="000000" w:themeColor="text1"/>
        </w:rPr>
        <w:t>42</w:t>
      </w:r>
      <w:r w:rsidRPr="006C6F80">
        <w:rPr>
          <w:color w:val="000000" w:themeColor="text1"/>
          <w:shd w:val="clear" w:color="auto" w:fill="FFFFFF"/>
        </w:rPr>
        <w:t>(3), 652-674.</w:t>
      </w:r>
    </w:p>
    <w:p w14:paraId="46B500E0" w14:textId="77777777" w:rsidR="005069A7" w:rsidRPr="006C6F80" w:rsidRDefault="005069A7" w:rsidP="00B132A6">
      <w:pPr>
        <w:spacing w:after="200" w:line="480" w:lineRule="auto"/>
        <w:jc w:val="both"/>
        <w:rPr>
          <w:color w:val="000000" w:themeColor="text1"/>
        </w:rPr>
      </w:pPr>
      <w:r w:rsidRPr="006C6F80">
        <w:rPr>
          <w:color w:val="000000" w:themeColor="text1"/>
          <w:shd w:val="clear" w:color="auto" w:fill="FFFFFF"/>
        </w:rPr>
        <w:t>Wahba, J. (2015). Selection, selection, selection: the impact of return migration. </w:t>
      </w:r>
      <w:r w:rsidRPr="006C6F80">
        <w:rPr>
          <w:i/>
          <w:iCs/>
          <w:color w:val="000000" w:themeColor="text1"/>
        </w:rPr>
        <w:t>Journal of Population Economics</w:t>
      </w:r>
      <w:r w:rsidRPr="006C6F80">
        <w:rPr>
          <w:color w:val="000000" w:themeColor="text1"/>
          <w:shd w:val="clear" w:color="auto" w:fill="FFFFFF"/>
        </w:rPr>
        <w:t>, </w:t>
      </w:r>
      <w:r w:rsidRPr="006C6F80">
        <w:rPr>
          <w:i/>
          <w:iCs/>
          <w:color w:val="000000" w:themeColor="text1"/>
        </w:rPr>
        <w:t>28</w:t>
      </w:r>
      <w:r w:rsidRPr="006C6F80">
        <w:rPr>
          <w:color w:val="000000" w:themeColor="text1"/>
          <w:shd w:val="clear" w:color="auto" w:fill="FFFFFF"/>
        </w:rPr>
        <w:t>(3), 535-563.</w:t>
      </w:r>
    </w:p>
    <w:p w14:paraId="0AB75E03" w14:textId="77777777" w:rsidR="005069A7" w:rsidRPr="006C6F80" w:rsidRDefault="005069A7" w:rsidP="00B132A6">
      <w:pPr>
        <w:spacing w:after="200" w:line="480" w:lineRule="auto"/>
        <w:jc w:val="both"/>
        <w:rPr>
          <w:color w:val="000000" w:themeColor="text1"/>
        </w:rPr>
      </w:pPr>
      <w:r w:rsidRPr="006C6F80">
        <w:rPr>
          <w:color w:val="000000" w:themeColor="text1"/>
          <w:shd w:val="clear" w:color="auto" w:fill="FFFFFF"/>
        </w:rPr>
        <w:lastRenderedPageBreak/>
        <w:t>Wahba, J. (2014). Return migration and economic development. In </w:t>
      </w:r>
      <w:r w:rsidRPr="006C6F80">
        <w:rPr>
          <w:i/>
          <w:iCs/>
          <w:color w:val="000000" w:themeColor="text1"/>
        </w:rPr>
        <w:t>International handbook on migration and economic development</w:t>
      </w:r>
      <w:r w:rsidRPr="006C6F80">
        <w:rPr>
          <w:color w:val="000000" w:themeColor="text1"/>
          <w:shd w:val="clear" w:color="auto" w:fill="FFFFFF"/>
        </w:rPr>
        <w:t>. Edward Elgar Publishing.</w:t>
      </w:r>
    </w:p>
    <w:p w14:paraId="49D5F4F9" w14:textId="77777777" w:rsidR="005069A7" w:rsidRPr="006C6F80" w:rsidRDefault="005069A7" w:rsidP="00B132A6">
      <w:pPr>
        <w:spacing w:after="200" w:line="480" w:lineRule="auto"/>
        <w:jc w:val="both"/>
        <w:rPr>
          <w:color w:val="000000" w:themeColor="text1"/>
        </w:rPr>
      </w:pPr>
      <w:r w:rsidRPr="006C6F80">
        <w:rPr>
          <w:color w:val="000000" w:themeColor="text1"/>
          <w:shd w:val="clear" w:color="auto" w:fill="FFFFFF"/>
        </w:rPr>
        <w:t>Wahba, J., &amp; Zenou, Y. (2012). Out of sight, out of mind: Migration, entrepreneurship and social capital. </w:t>
      </w:r>
      <w:r w:rsidRPr="006C6F80">
        <w:rPr>
          <w:i/>
          <w:iCs/>
          <w:color w:val="000000" w:themeColor="text1"/>
        </w:rPr>
        <w:t>Regional Science and Urban Economics</w:t>
      </w:r>
      <w:r w:rsidRPr="006C6F80">
        <w:rPr>
          <w:color w:val="000000" w:themeColor="text1"/>
          <w:shd w:val="clear" w:color="auto" w:fill="FFFFFF"/>
        </w:rPr>
        <w:t>, </w:t>
      </w:r>
      <w:r w:rsidRPr="006C6F80">
        <w:rPr>
          <w:i/>
          <w:iCs/>
          <w:color w:val="000000" w:themeColor="text1"/>
        </w:rPr>
        <w:t>42</w:t>
      </w:r>
      <w:r w:rsidRPr="006C6F80">
        <w:rPr>
          <w:color w:val="000000" w:themeColor="text1"/>
          <w:shd w:val="clear" w:color="auto" w:fill="FFFFFF"/>
        </w:rPr>
        <w:t>(5), 890-903.</w:t>
      </w:r>
    </w:p>
    <w:p w14:paraId="281D2620" w14:textId="77777777" w:rsidR="005069A7" w:rsidRPr="006C6F80" w:rsidRDefault="005069A7" w:rsidP="00B132A6">
      <w:pPr>
        <w:spacing w:after="200" w:line="480" w:lineRule="auto"/>
        <w:jc w:val="both"/>
        <w:rPr>
          <w:color w:val="000000" w:themeColor="text1"/>
        </w:rPr>
      </w:pPr>
      <w:r w:rsidRPr="006C6F80">
        <w:rPr>
          <w:color w:val="000000" w:themeColor="text1"/>
          <w:shd w:val="clear" w:color="auto" w:fill="FFFFFF"/>
        </w:rPr>
        <w:t>Williams, A. M., &amp; Baláž, V. (2005). What Human Capital, Which Migrants? Returned Skilled Migration to Slovakia From the UK 1. </w:t>
      </w:r>
      <w:r w:rsidRPr="006C6F80">
        <w:rPr>
          <w:i/>
          <w:iCs/>
          <w:color w:val="000000" w:themeColor="text1"/>
        </w:rPr>
        <w:t>International migration review</w:t>
      </w:r>
      <w:r w:rsidRPr="006C6F80">
        <w:rPr>
          <w:color w:val="000000" w:themeColor="text1"/>
          <w:shd w:val="clear" w:color="auto" w:fill="FFFFFF"/>
        </w:rPr>
        <w:t>, </w:t>
      </w:r>
      <w:r w:rsidRPr="006C6F80">
        <w:rPr>
          <w:i/>
          <w:iCs/>
          <w:color w:val="000000" w:themeColor="text1"/>
        </w:rPr>
        <w:t>39</w:t>
      </w:r>
      <w:r w:rsidRPr="006C6F80">
        <w:rPr>
          <w:color w:val="000000" w:themeColor="text1"/>
          <w:shd w:val="clear" w:color="auto" w:fill="FFFFFF"/>
        </w:rPr>
        <w:t>(2), 439-468.</w:t>
      </w:r>
    </w:p>
    <w:p w14:paraId="04152E15" w14:textId="0DE81975" w:rsidR="00DD334B" w:rsidRPr="006C6F80" w:rsidRDefault="004208E1" w:rsidP="00E71618">
      <w:pPr>
        <w:jc w:val="both"/>
        <w:outlineLvl w:val="0"/>
        <w:rPr>
          <w:rFonts w:asciiTheme="majorBidi" w:hAnsiTheme="majorBidi" w:cstheme="majorBidi"/>
          <w:b/>
          <w:bCs/>
          <w:color w:val="000000" w:themeColor="text1"/>
          <w:sz w:val="20"/>
          <w:szCs w:val="20"/>
        </w:rPr>
      </w:pPr>
      <w:r w:rsidRPr="006C6F80">
        <w:rPr>
          <w:rFonts w:asciiTheme="majorBidi" w:hAnsiTheme="majorBidi" w:cstheme="majorBidi"/>
          <w:color w:val="000000" w:themeColor="text1"/>
          <w:lang w:eastAsia="en-GB"/>
        </w:rPr>
        <w:br w:type="page"/>
      </w:r>
    </w:p>
    <w:p w14:paraId="60470BD8" w14:textId="52ED0B52" w:rsidR="009D799D" w:rsidRPr="006C6F80" w:rsidRDefault="009D799D" w:rsidP="00117CDA">
      <w:pPr>
        <w:pStyle w:val="Footnotes"/>
        <w:jc w:val="center"/>
        <w:rPr>
          <w:b/>
          <w:color w:val="000000" w:themeColor="text1"/>
          <w:lang w:val="en-US"/>
        </w:rPr>
      </w:pPr>
      <w:r w:rsidRPr="006C6F80">
        <w:rPr>
          <w:noProof/>
          <w:color w:val="000000" w:themeColor="text1"/>
        </w:rPr>
        <w:lastRenderedPageBreak/>
        <w:drawing>
          <wp:inline distT="0" distB="0" distL="0" distR="0" wp14:anchorId="6AD830B6" wp14:editId="5F35446B">
            <wp:extent cx="5972810" cy="2188845"/>
            <wp:effectExtent l="0" t="0" r="8890" b="8255"/>
            <wp:docPr id="5" name="Chart 5">
              <a:extLst xmlns:a="http://schemas.openxmlformats.org/drawingml/2006/main">
                <a:ext uri="{FF2B5EF4-FFF2-40B4-BE49-F238E27FC236}">
                  <a16:creationId xmlns:a16="http://schemas.microsoft.com/office/drawing/2014/main" id="{93595E2E-4367-0B44-9DB3-02C919978F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959C98" w14:textId="1C255BFF" w:rsidR="00DD334B" w:rsidRPr="006C6F80" w:rsidRDefault="00DD334B" w:rsidP="00117CDA">
      <w:pPr>
        <w:pStyle w:val="Footnotes"/>
        <w:jc w:val="center"/>
        <w:rPr>
          <w:b/>
          <w:color w:val="000000" w:themeColor="text1"/>
          <w:lang w:val="en-US"/>
        </w:rPr>
      </w:pPr>
      <w:r w:rsidRPr="006C6F80">
        <w:rPr>
          <w:b/>
          <w:color w:val="000000" w:themeColor="text1"/>
          <w:lang w:val="en-US"/>
        </w:rPr>
        <w:t>Figure 1</w:t>
      </w:r>
      <w:r w:rsidRPr="006C6F80">
        <w:rPr>
          <w:b/>
          <w:i/>
          <w:iCs/>
          <w:color w:val="000000" w:themeColor="text1"/>
          <w:lang w:val="en-US"/>
        </w:rPr>
        <w:t xml:space="preserve">. </w:t>
      </w:r>
      <w:r w:rsidRPr="006C6F80">
        <w:rPr>
          <w:b/>
          <w:color w:val="000000" w:themeColor="text1"/>
          <w:lang w:val="en-US"/>
        </w:rPr>
        <w:t>Oil prices and migration patterns from the 1960s to 2010.</w:t>
      </w:r>
    </w:p>
    <w:p w14:paraId="60CF83B3" w14:textId="00C3DBBC" w:rsidR="00DD334B" w:rsidRPr="006C6F80" w:rsidRDefault="00DD334B" w:rsidP="00117CDA">
      <w:pPr>
        <w:pStyle w:val="Footnotes"/>
        <w:rPr>
          <w:color w:val="000000" w:themeColor="text1"/>
          <w:lang w:val="en-US"/>
        </w:rPr>
      </w:pPr>
      <w:r w:rsidRPr="006C6F80">
        <w:rPr>
          <w:i/>
          <w:iCs/>
          <w:color w:val="000000" w:themeColor="text1"/>
          <w:lang w:val="en-US"/>
        </w:rPr>
        <w:t>Notes.</w:t>
      </w:r>
      <w:r w:rsidRPr="006C6F80">
        <w:rPr>
          <w:color w:val="000000" w:themeColor="text1"/>
          <w:lang w:val="en-US"/>
        </w:rPr>
        <w:t xml:space="preserve"> Oil prices are inflation adjusted and expressed in $ per Barrel (primary Y-axis). Migration patterns are derived from the ELMPS 2012, using information on current, return migration</w:t>
      </w:r>
      <w:r w:rsidR="002E526A" w:rsidRPr="006C6F80">
        <w:rPr>
          <w:color w:val="000000" w:themeColor="text1"/>
          <w:lang w:val="en-US"/>
        </w:rPr>
        <w:t>,</w:t>
      </w:r>
      <w:r w:rsidRPr="006C6F80">
        <w:rPr>
          <w:color w:val="000000" w:themeColor="text1"/>
          <w:lang w:val="en-US"/>
        </w:rPr>
        <w:t xml:space="preserve"> and the year of migration</w:t>
      </w:r>
      <w:r w:rsidR="002E526A" w:rsidRPr="006C6F80">
        <w:rPr>
          <w:color w:val="000000" w:themeColor="text1"/>
          <w:lang w:val="en-US"/>
        </w:rPr>
        <w:t>.</w:t>
      </w:r>
      <w:r w:rsidRPr="006C6F80">
        <w:rPr>
          <w:color w:val="000000" w:themeColor="text1"/>
          <w:lang w:val="en-US"/>
        </w:rPr>
        <w:t xml:space="preserve"> </w:t>
      </w:r>
      <w:r w:rsidR="002E526A" w:rsidRPr="006C6F80">
        <w:rPr>
          <w:color w:val="000000" w:themeColor="text1"/>
          <w:lang w:val="en-US"/>
        </w:rPr>
        <w:t>They</w:t>
      </w:r>
      <w:r w:rsidRPr="006C6F80">
        <w:rPr>
          <w:color w:val="000000" w:themeColor="text1"/>
          <w:lang w:val="en-US"/>
        </w:rPr>
        <w:t xml:space="preserve"> are expressed as the share of migrants in a specific year to the tot</w:t>
      </w:r>
      <w:r w:rsidR="00824D3B" w:rsidRPr="006C6F80">
        <w:rPr>
          <w:color w:val="000000" w:themeColor="text1"/>
          <w:lang w:val="en-US"/>
        </w:rPr>
        <w:t>al migrants (secondary Y-axis).</w:t>
      </w:r>
    </w:p>
    <w:p w14:paraId="62C1C7E7" w14:textId="3F1EC5C1" w:rsidR="00CF3D5F" w:rsidRPr="006C6F80" w:rsidRDefault="00CF3D5F" w:rsidP="00BD72E8">
      <w:pPr>
        <w:ind w:right="-846"/>
        <w:jc w:val="both"/>
        <w:rPr>
          <w:rFonts w:asciiTheme="majorBidi" w:hAnsiTheme="majorBidi" w:cstheme="majorBidi"/>
          <w:color w:val="000000" w:themeColor="text1"/>
          <w:sz w:val="20"/>
          <w:szCs w:val="20"/>
        </w:rPr>
      </w:pPr>
    </w:p>
    <w:p w14:paraId="1A9558FA" w14:textId="783C110A" w:rsidR="00CF3D5F" w:rsidRPr="006C6F80" w:rsidRDefault="00CF3D5F" w:rsidP="00BD72E8">
      <w:pPr>
        <w:ind w:right="-846"/>
        <w:jc w:val="both"/>
        <w:rPr>
          <w:rFonts w:asciiTheme="majorBidi" w:hAnsiTheme="majorBidi" w:cstheme="majorBidi"/>
          <w:color w:val="000000" w:themeColor="text1"/>
          <w:sz w:val="20"/>
          <w:szCs w:val="20"/>
        </w:rPr>
      </w:pPr>
      <w:r w:rsidRPr="006C6F80">
        <w:rPr>
          <w:noProof/>
          <w:color w:val="000000" w:themeColor="text1"/>
        </w:rPr>
        <w:drawing>
          <wp:inline distT="0" distB="0" distL="0" distR="0" wp14:anchorId="3366A21F" wp14:editId="489935A4">
            <wp:extent cx="5972810" cy="4344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p_oil_v1.jpg"/>
                    <pic:cNvPicPr/>
                  </pic:nvPicPr>
                  <pic:blipFill>
                    <a:blip r:embed="rId9"/>
                    <a:stretch>
                      <a:fillRect/>
                    </a:stretch>
                  </pic:blipFill>
                  <pic:spPr>
                    <a:xfrm>
                      <a:off x="0" y="0"/>
                      <a:ext cx="5972810" cy="4344695"/>
                    </a:xfrm>
                    <a:prstGeom prst="rect">
                      <a:avLst/>
                    </a:prstGeom>
                  </pic:spPr>
                </pic:pic>
              </a:graphicData>
            </a:graphic>
          </wp:inline>
        </w:drawing>
      </w:r>
    </w:p>
    <w:p w14:paraId="3AAB2CD3" w14:textId="40A8A2D1" w:rsidR="007305ED" w:rsidRPr="006C6F80" w:rsidRDefault="007305ED" w:rsidP="007305ED">
      <w:pPr>
        <w:pStyle w:val="Footnotes"/>
        <w:jc w:val="center"/>
        <w:rPr>
          <w:b/>
          <w:color w:val="000000" w:themeColor="text1"/>
          <w:lang w:val="en-US"/>
        </w:rPr>
      </w:pPr>
      <w:r w:rsidRPr="006C6F80">
        <w:rPr>
          <w:b/>
          <w:color w:val="000000" w:themeColor="text1"/>
          <w:lang w:val="en-US"/>
        </w:rPr>
        <w:t xml:space="preserve">Figure </w:t>
      </w:r>
      <w:r w:rsidR="00AD2263" w:rsidRPr="006C6F80">
        <w:rPr>
          <w:b/>
          <w:color w:val="000000" w:themeColor="text1"/>
          <w:lang w:val="en-US"/>
        </w:rPr>
        <w:t>2</w:t>
      </w:r>
      <w:r w:rsidRPr="006C6F80">
        <w:rPr>
          <w:b/>
          <w:i/>
          <w:iCs/>
          <w:color w:val="000000" w:themeColor="text1"/>
          <w:lang w:val="en-US"/>
        </w:rPr>
        <w:t xml:space="preserve">. </w:t>
      </w:r>
      <w:r w:rsidRPr="006C6F80">
        <w:rPr>
          <w:b/>
          <w:color w:val="000000" w:themeColor="text1"/>
          <w:lang w:val="en-US"/>
        </w:rPr>
        <w:t>Oil prices and occupational distribution from the 1988 to 2018.</w:t>
      </w:r>
    </w:p>
    <w:p w14:paraId="53E37504" w14:textId="74D15D50" w:rsidR="007305ED" w:rsidRPr="006C6F80" w:rsidRDefault="007305ED" w:rsidP="002D0C8E">
      <w:pPr>
        <w:pStyle w:val="Footnotes"/>
        <w:rPr>
          <w:color w:val="000000" w:themeColor="text1"/>
          <w:lang w:val="en-US"/>
        </w:rPr>
      </w:pPr>
      <w:r w:rsidRPr="006C6F80">
        <w:rPr>
          <w:i/>
          <w:iCs/>
          <w:color w:val="000000" w:themeColor="text1"/>
          <w:lang w:val="en-US"/>
        </w:rPr>
        <w:t>Notes.</w:t>
      </w:r>
      <w:r w:rsidRPr="006C6F80">
        <w:rPr>
          <w:color w:val="000000" w:themeColor="text1"/>
          <w:lang w:val="en-US"/>
        </w:rPr>
        <w:t xml:space="preserve"> </w:t>
      </w:r>
      <w:r w:rsidR="002D0C8E" w:rsidRPr="006C6F80">
        <w:rPr>
          <w:color w:val="000000" w:themeColor="text1"/>
          <w:lang w:val="en-US"/>
        </w:rPr>
        <w:t>This figure plots men’s occupational distribution relying on data from the Egypt Labor Market Panel Surveys in the years 1988, 1998, 2006, 2012</w:t>
      </w:r>
      <w:r w:rsidR="002E526A" w:rsidRPr="006C6F80">
        <w:rPr>
          <w:color w:val="000000" w:themeColor="text1"/>
          <w:lang w:val="en-US"/>
        </w:rPr>
        <w:t>,</w:t>
      </w:r>
      <w:r w:rsidR="002D0C8E" w:rsidRPr="006C6F80">
        <w:rPr>
          <w:color w:val="000000" w:themeColor="text1"/>
          <w:lang w:val="en-US"/>
        </w:rPr>
        <w:t xml:space="preserve"> and 2018 (primary Y-axis). On the primary Y-axis, we plot the share of men employed in each of the occupational categories (agriculture, blue-collar, and white collar occupations). </w:t>
      </w:r>
      <w:r w:rsidR="00AD2263" w:rsidRPr="006C6F80">
        <w:rPr>
          <w:color w:val="000000" w:themeColor="text1"/>
          <w:lang w:val="en-US"/>
        </w:rPr>
        <w:t xml:space="preserve">In the top panel, we report stocks, while in the lower panel, we report flows in the corresponding survey year. </w:t>
      </w:r>
      <w:r w:rsidRPr="006C6F80">
        <w:rPr>
          <w:color w:val="000000" w:themeColor="text1"/>
          <w:lang w:val="en-US"/>
        </w:rPr>
        <w:t>Oil prices are inflation adjusted and expressed in $ per Barrel (</w:t>
      </w:r>
      <w:r w:rsidR="002D0C8E" w:rsidRPr="006C6F80">
        <w:rPr>
          <w:color w:val="000000" w:themeColor="text1"/>
          <w:lang w:val="en-US"/>
        </w:rPr>
        <w:t>secondary</w:t>
      </w:r>
      <w:r w:rsidRPr="006C6F80">
        <w:rPr>
          <w:color w:val="000000" w:themeColor="text1"/>
          <w:lang w:val="en-US"/>
        </w:rPr>
        <w:t xml:space="preserve"> Y-axis). </w:t>
      </w:r>
    </w:p>
    <w:p w14:paraId="381BC88D" w14:textId="77777777" w:rsidR="00861156" w:rsidRPr="006C6F80" w:rsidRDefault="00861156" w:rsidP="00BD72E8">
      <w:pPr>
        <w:ind w:right="-846"/>
        <w:jc w:val="both"/>
        <w:rPr>
          <w:rFonts w:asciiTheme="majorBidi" w:hAnsiTheme="majorBidi" w:cstheme="majorBidi"/>
          <w:color w:val="000000" w:themeColor="text1"/>
          <w:sz w:val="20"/>
          <w:szCs w:val="20"/>
        </w:rPr>
      </w:pPr>
    </w:p>
    <w:tbl>
      <w:tblPr>
        <w:tblW w:w="10060" w:type="dxa"/>
        <w:jc w:val="center"/>
        <w:tblLook w:val="04A0" w:firstRow="1" w:lastRow="0" w:firstColumn="1" w:lastColumn="0" w:noHBand="0" w:noVBand="1"/>
      </w:tblPr>
      <w:tblGrid>
        <w:gridCol w:w="1020"/>
        <w:gridCol w:w="3940"/>
        <w:gridCol w:w="1020"/>
        <w:gridCol w:w="1020"/>
        <w:gridCol w:w="1020"/>
        <w:gridCol w:w="1020"/>
        <w:gridCol w:w="1071"/>
      </w:tblGrid>
      <w:tr w:rsidR="004C0BBA" w:rsidRPr="006C6F80" w14:paraId="354A9ED3" w14:textId="77777777" w:rsidTr="004C0BBA">
        <w:trPr>
          <w:trHeight w:val="260"/>
          <w:jc w:val="center"/>
        </w:trPr>
        <w:tc>
          <w:tcPr>
            <w:tcW w:w="10060" w:type="dxa"/>
            <w:gridSpan w:val="7"/>
            <w:tcBorders>
              <w:top w:val="nil"/>
              <w:left w:val="nil"/>
              <w:bottom w:val="single" w:sz="4" w:space="0" w:color="auto"/>
              <w:right w:val="nil"/>
            </w:tcBorders>
            <w:shd w:val="clear" w:color="auto" w:fill="auto"/>
            <w:noWrap/>
            <w:vAlign w:val="bottom"/>
            <w:hideMark/>
          </w:tcPr>
          <w:p w14:paraId="31C38824" w14:textId="77777777" w:rsidR="004C0BBA" w:rsidRPr="006C6F80" w:rsidRDefault="004C0BBA" w:rsidP="004C0BBA">
            <w:pPr>
              <w:jc w:val="center"/>
              <w:rPr>
                <w:b/>
                <w:bCs/>
                <w:color w:val="000000" w:themeColor="text1"/>
                <w:sz w:val="20"/>
                <w:szCs w:val="20"/>
              </w:rPr>
            </w:pPr>
            <w:r w:rsidRPr="006C6F80">
              <w:rPr>
                <w:b/>
                <w:bCs/>
                <w:color w:val="000000" w:themeColor="text1"/>
                <w:sz w:val="20"/>
                <w:szCs w:val="20"/>
              </w:rPr>
              <w:lastRenderedPageBreak/>
              <w:t>Table 1: Descriptive statistics on the control variables</w:t>
            </w:r>
          </w:p>
        </w:tc>
      </w:tr>
      <w:tr w:rsidR="004C0BBA" w:rsidRPr="006C6F80" w14:paraId="17123484" w14:textId="77777777" w:rsidTr="004C0BBA">
        <w:trPr>
          <w:trHeight w:val="260"/>
          <w:jc w:val="center"/>
        </w:trPr>
        <w:tc>
          <w:tcPr>
            <w:tcW w:w="1020" w:type="dxa"/>
            <w:tcBorders>
              <w:top w:val="nil"/>
              <w:left w:val="nil"/>
              <w:bottom w:val="single" w:sz="4" w:space="0" w:color="auto"/>
              <w:right w:val="nil"/>
            </w:tcBorders>
            <w:shd w:val="clear" w:color="auto" w:fill="auto"/>
            <w:noWrap/>
            <w:vAlign w:val="bottom"/>
            <w:hideMark/>
          </w:tcPr>
          <w:p w14:paraId="0ABBE504" w14:textId="77777777" w:rsidR="004C0BBA" w:rsidRPr="006C6F80" w:rsidRDefault="004C0BBA" w:rsidP="004C0BBA">
            <w:pPr>
              <w:rPr>
                <w:color w:val="000000" w:themeColor="text1"/>
                <w:sz w:val="20"/>
                <w:szCs w:val="20"/>
              </w:rPr>
            </w:pPr>
            <w:r w:rsidRPr="006C6F80">
              <w:rPr>
                <w:color w:val="000000" w:themeColor="text1"/>
                <w:sz w:val="20"/>
                <w:szCs w:val="20"/>
              </w:rPr>
              <w:t> </w:t>
            </w:r>
          </w:p>
        </w:tc>
        <w:tc>
          <w:tcPr>
            <w:tcW w:w="3940" w:type="dxa"/>
            <w:tcBorders>
              <w:top w:val="nil"/>
              <w:left w:val="nil"/>
              <w:bottom w:val="single" w:sz="4" w:space="0" w:color="auto"/>
              <w:right w:val="nil"/>
            </w:tcBorders>
            <w:shd w:val="clear" w:color="auto" w:fill="auto"/>
            <w:noWrap/>
            <w:vAlign w:val="bottom"/>
            <w:hideMark/>
          </w:tcPr>
          <w:p w14:paraId="654D6E31" w14:textId="77777777" w:rsidR="004C0BBA" w:rsidRPr="006C6F80" w:rsidRDefault="004C0BBA" w:rsidP="004C0BBA">
            <w:pPr>
              <w:rPr>
                <w:color w:val="000000" w:themeColor="text1"/>
                <w:sz w:val="20"/>
                <w:szCs w:val="20"/>
              </w:rPr>
            </w:pPr>
            <w:r w:rsidRPr="006C6F80">
              <w:rPr>
                <w:color w:val="000000" w:themeColor="text1"/>
                <w:sz w:val="20"/>
                <w:szCs w:val="20"/>
              </w:rPr>
              <w:t> </w:t>
            </w:r>
          </w:p>
        </w:tc>
        <w:tc>
          <w:tcPr>
            <w:tcW w:w="2040" w:type="dxa"/>
            <w:gridSpan w:val="2"/>
            <w:tcBorders>
              <w:top w:val="nil"/>
              <w:left w:val="nil"/>
              <w:bottom w:val="single" w:sz="4" w:space="0" w:color="auto"/>
              <w:right w:val="nil"/>
            </w:tcBorders>
            <w:shd w:val="clear" w:color="auto" w:fill="auto"/>
            <w:noWrap/>
            <w:vAlign w:val="bottom"/>
            <w:hideMark/>
          </w:tcPr>
          <w:p w14:paraId="6689404A" w14:textId="77777777" w:rsidR="004C0BBA" w:rsidRPr="006C6F80" w:rsidRDefault="004C0BBA" w:rsidP="004C0BBA">
            <w:pPr>
              <w:jc w:val="center"/>
              <w:rPr>
                <w:b/>
                <w:bCs/>
                <w:color w:val="000000" w:themeColor="text1"/>
                <w:sz w:val="20"/>
                <w:szCs w:val="20"/>
              </w:rPr>
            </w:pPr>
            <w:r w:rsidRPr="006C6F80">
              <w:rPr>
                <w:b/>
                <w:bCs/>
                <w:color w:val="000000" w:themeColor="text1"/>
                <w:sz w:val="20"/>
                <w:szCs w:val="20"/>
              </w:rPr>
              <w:t>Stayers</w:t>
            </w:r>
          </w:p>
        </w:tc>
        <w:tc>
          <w:tcPr>
            <w:tcW w:w="2040" w:type="dxa"/>
            <w:gridSpan w:val="2"/>
            <w:tcBorders>
              <w:top w:val="nil"/>
              <w:left w:val="nil"/>
              <w:bottom w:val="single" w:sz="4" w:space="0" w:color="auto"/>
              <w:right w:val="nil"/>
            </w:tcBorders>
            <w:shd w:val="clear" w:color="auto" w:fill="auto"/>
            <w:noWrap/>
            <w:vAlign w:val="bottom"/>
            <w:hideMark/>
          </w:tcPr>
          <w:p w14:paraId="3A7445B4" w14:textId="77777777" w:rsidR="004C0BBA" w:rsidRPr="006C6F80" w:rsidRDefault="004C0BBA" w:rsidP="004C0BBA">
            <w:pPr>
              <w:jc w:val="center"/>
              <w:rPr>
                <w:b/>
                <w:bCs/>
                <w:color w:val="000000" w:themeColor="text1"/>
                <w:sz w:val="20"/>
                <w:szCs w:val="20"/>
              </w:rPr>
            </w:pPr>
            <w:r w:rsidRPr="006C6F80">
              <w:rPr>
                <w:b/>
                <w:bCs/>
                <w:color w:val="000000" w:themeColor="text1"/>
                <w:sz w:val="20"/>
                <w:szCs w:val="20"/>
              </w:rPr>
              <w:t>Returnees</w:t>
            </w:r>
          </w:p>
        </w:tc>
        <w:tc>
          <w:tcPr>
            <w:tcW w:w="1020" w:type="dxa"/>
            <w:tcBorders>
              <w:top w:val="nil"/>
              <w:left w:val="nil"/>
              <w:bottom w:val="single" w:sz="4" w:space="0" w:color="auto"/>
              <w:right w:val="nil"/>
            </w:tcBorders>
            <w:shd w:val="clear" w:color="auto" w:fill="auto"/>
            <w:noWrap/>
            <w:vAlign w:val="bottom"/>
            <w:hideMark/>
          </w:tcPr>
          <w:p w14:paraId="19A2D6AC" w14:textId="77777777" w:rsidR="004C0BBA" w:rsidRPr="006C6F80" w:rsidRDefault="004C0BBA" w:rsidP="004C0BBA">
            <w:pPr>
              <w:rPr>
                <w:color w:val="000000" w:themeColor="text1"/>
                <w:sz w:val="20"/>
                <w:szCs w:val="20"/>
              </w:rPr>
            </w:pPr>
            <w:r w:rsidRPr="006C6F80">
              <w:rPr>
                <w:color w:val="000000" w:themeColor="text1"/>
                <w:sz w:val="20"/>
                <w:szCs w:val="20"/>
              </w:rPr>
              <w:t> </w:t>
            </w:r>
          </w:p>
        </w:tc>
      </w:tr>
      <w:tr w:rsidR="004C0BBA" w:rsidRPr="006C6F80" w14:paraId="2D8C3B70" w14:textId="77777777" w:rsidTr="004C0BBA">
        <w:trPr>
          <w:trHeight w:val="260"/>
          <w:jc w:val="center"/>
        </w:trPr>
        <w:tc>
          <w:tcPr>
            <w:tcW w:w="1020" w:type="dxa"/>
            <w:tcBorders>
              <w:top w:val="nil"/>
              <w:left w:val="nil"/>
              <w:bottom w:val="single" w:sz="4" w:space="0" w:color="auto"/>
              <w:right w:val="nil"/>
            </w:tcBorders>
            <w:shd w:val="clear" w:color="auto" w:fill="auto"/>
            <w:noWrap/>
            <w:vAlign w:val="bottom"/>
            <w:hideMark/>
          </w:tcPr>
          <w:p w14:paraId="30756FFD" w14:textId="77777777" w:rsidR="004C0BBA" w:rsidRPr="006C6F80" w:rsidRDefault="004C0BBA" w:rsidP="004C0BBA">
            <w:pPr>
              <w:rPr>
                <w:color w:val="000000" w:themeColor="text1"/>
                <w:sz w:val="20"/>
                <w:szCs w:val="20"/>
              </w:rPr>
            </w:pPr>
            <w:r w:rsidRPr="006C6F80">
              <w:rPr>
                <w:color w:val="000000" w:themeColor="text1"/>
                <w:sz w:val="20"/>
                <w:szCs w:val="20"/>
              </w:rPr>
              <w:t> </w:t>
            </w:r>
          </w:p>
        </w:tc>
        <w:tc>
          <w:tcPr>
            <w:tcW w:w="3940" w:type="dxa"/>
            <w:tcBorders>
              <w:top w:val="nil"/>
              <w:left w:val="nil"/>
              <w:bottom w:val="single" w:sz="4" w:space="0" w:color="auto"/>
              <w:right w:val="nil"/>
            </w:tcBorders>
            <w:shd w:val="clear" w:color="auto" w:fill="auto"/>
            <w:noWrap/>
            <w:vAlign w:val="bottom"/>
            <w:hideMark/>
          </w:tcPr>
          <w:p w14:paraId="2456140E" w14:textId="77777777" w:rsidR="004C0BBA" w:rsidRPr="006C6F80" w:rsidRDefault="004C0BBA" w:rsidP="004C0BBA">
            <w:pPr>
              <w:rPr>
                <w:color w:val="000000" w:themeColor="text1"/>
                <w:sz w:val="20"/>
                <w:szCs w:val="20"/>
              </w:rPr>
            </w:pPr>
            <w:r w:rsidRPr="006C6F80">
              <w:rPr>
                <w:color w:val="000000" w:themeColor="text1"/>
                <w:sz w:val="20"/>
                <w:szCs w:val="20"/>
              </w:rPr>
              <w:t> </w:t>
            </w:r>
          </w:p>
        </w:tc>
        <w:tc>
          <w:tcPr>
            <w:tcW w:w="1020" w:type="dxa"/>
            <w:tcBorders>
              <w:top w:val="nil"/>
              <w:left w:val="nil"/>
              <w:bottom w:val="single" w:sz="4" w:space="0" w:color="auto"/>
              <w:right w:val="nil"/>
            </w:tcBorders>
            <w:shd w:val="clear" w:color="auto" w:fill="auto"/>
            <w:noWrap/>
            <w:vAlign w:val="bottom"/>
            <w:hideMark/>
          </w:tcPr>
          <w:p w14:paraId="154C1A15" w14:textId="77777777" w:rsidR="004C0BBA" w:rsidRPr="006C6F80" w:rsidRDefault="004C0BBA" w:rsidP="004C0BBA">
            <w:pPr>
              <w:jc w:val="center"/>
              <w:rPr>
                <w:color w:val="000000" w:themeColor="text1"/>
                <w:sz w:val="20"/>
                <w:szCs w:val="20"/>
              </w:rPr>
            </w:pPr>
            <w:r w:rsidRPr="006C6F80">
              <w:rPr>
                <w:color w:val="000000" w:themeColor="text1"/>
                <w:sz w:val="20"/>
                <w:szCs w:val="20"/>
              </w:rPr>
              <w:t>(1)</w:t>
            </w:r>
          </w:p>
        </w:tc>
        <w:tc>
          <w:tcPr>
            <w:tcW w:w="1020" w:type="dxa"/>
            <w:tcBorders>
              <w:top w:val="nil"/>
              <w:left w:val="nil"/>
              <w:bottom w:val="single" w:sz="4" w:space="0" w:color="auto"/>
              <w:right w:val="nil"/>
            </w:tcBorders>
            <w:shd w:val="clear" w:color="auto" w:fill="auto"/>
            <w:noWrap/>
            <w:vAlign w:val="bottom"/>
            <w:hideMark/>
          </w:tcPr>
          <w:p w14:paraId="23914590" w14:textId="77777777" w:rsidR="004C0BBA" w:rsidRPr="006C6F80" w:rsidRDefault="004C0BBA" w:rsidP="004C0BBA">
            <w:pPr>
              <w:jc w:val="center"/>
              <w:rPr>
                <w:color w:val="000000" w:themeColor="text1"/>
                <w:sz w:val="20"/>
                <w:szCs w:val="20"/>
              </w:rPr>
            </w:pPr>
            <w:r w:rsidRPr="006C6F80">
              <w:rPr>
                <w:color w:val="000000" w:themeColor="text1"/>
                <w:sz w:val="20"/>
                <w:szCs w:val="20"/>
              </w:rPr>
              <w:t>(2)</w:t>
            </w:r>
          </w:p>
        </w:tc>
        <w:tc>
          <w:tcPr>
            <w:tcW w:w="1020" w:type="dxa"/>
            <w:tcBorders>
              <w:top w:val="nil"/>
              <w:left w:val="nil"/>
              <w:bottom w:val="single" w:sz="4" w:space="0" w:color="auto"/>
              <w:right w:val="nil"/>
            </w:tcBorders>
            <w:shd w:val="clear" w:color="auto" w:fill="auto"/>
            <w:noWrap/>
            <w:vAlign w:val="bottom"/>
            <w:hideMark/>
          </w:tcPr>
          <w:p w14:paraId="1726660E" w14:textId="77777777" w:rsidR="004C0BBA" w:rsidRPr="006C6F80" w:rsidRDefault="004C0BBA" w:rsidP="004C0BBA">
            <w:pPr>
              <w:jc w:val="center"/>
              <w:rPr>
                <w:color w:val="000000" w:themeColor="text1"/>
                <w:sz w:val="20"/>
                <w:szCs w:val="20"/>
              </w:rPr>
            </w:pPr>
            <w:r w:rsidRPr="006C6F80">
              <w:rPr>
                <w:color w:val="000000" w:themeColor="text1"/>
                <w:sz w:val="20"/>
                <w:szCs w:val="20"/>
              </w:rPr>
              <w:t>(3)</w:t>
            </w:r>
          </w:p>
        </w:tc>
        <w:tc>
          <w:tcPr>
            <w:tcW w:w="1020" w:type="dxa"/>
            <w:tcBorders>
              <w:top w:val="nil"/>
              <w:left w:val="nil"/>
              <w:bottom w:val="single" w:sz="4" w:space="0" w:color="auto"/>
              <w:right w:val="nil"/>
            </w:tcBorders>
            <w:shd w:val="clear" w:color="auto" w:fill="auto"/>
            <w:noWrap/>
            <w:vAlign w:val="bottom"/>
            <w:hideMark/>
          </w:tcPr>
          <w:p w14:paraId="3725D82A" w14:textId="77777777" w:rsidR="004C0BBA" w:rsidRPr="006C6F80" w:rsidRDefault="004C0BBA" w:rsidP="004C0BBA">
            <w:pPr>
              <w:jc w:val="center"/>
              <w:rPr>
                <w:color w:val="000000" w:themeColor="text1"/>
                <w:sz w:val="20"/>
                <w:szCs w:val="20"/>
              </w:rPr>
            </w:pPr>
            <w:r w:rsidRPr="006C6F80">
              <w:rPr>
                <w:color w:val="000000" w:themeColor="text1"/>
                <w:sz w:val="20"/>
                <w:szCs w:val="20"/>
              </w:rPr>
              <w:t>(4)</w:t>
            </w:r>
          </w:p>
        </w:tc>
        <w:tc>
          <w:tcPr>
            <w:tcW w:w="1020" w:type="dxa"/>
            <w:tcBorders>
              <w:top w:val="nil"/>
              <w:left w:val="nil"/>
              <w:bottom w:val="single" w:sz="4" w:space="0" w:color="auto"/>
              <w:right w:val="nil"/>
            </w:tcBorders>
            <w:shd w:val="clear" w:color="auto" w:fill="auto"/>
            <w:noWrap/>
            <w:vAlign w:val="bottom"/>
            <w:hideMark/>
          </w:tcPr>
          <w:p w14:paraId="41E29C1F" w14:textId="77777777" w:rsidR="004C0BBA" w:rsidRPr="006C6F80" w:rsidRDefault="004C0BBA" w:rsidP="004C0BBA">
            <w:pPr>
              <w:jc w:val="center"/>
              <w:rPr>
                <w:color w:val="000000" w:themeColor="text1"/>
                <w:sz w:val="20"/>
                <w:szCs w:val="20"/>
              </w:rPr>
            </w:pPr>
            <w:r w:rsidRPr="006C6F80">
              <w:rPr>
                <w:color w:val="000000" w:themeColor="text1"/>
                <w:sz w:val="20"/>
                <w:szCs w:val="20"/>
              </w:rPr>
              <w:t>(5)</w:t>
            </w:r>
          </w:p>
        </w:tc>
      </w:tr>
      <w:tr w:rsidR="004C0BBA" w:rsidRPr="006C6F80" w14:paraId="00B6D526" w14:textId="77777777" w:rsidTr="004C0BBA">
        <w:trPr>
          <w:trHeight w:val="260"/>
          <w:jc w:val="center"/>
        </w:trPr>
        <w:tc>
          <w:tcPr>
            <w:tcW w:w="4960" w:type="dxa"/>
            <w:gridSpan w:val="2"/>
            <w:tcBorders>
              <w:top w:val="single" w:sz="4" w:space="0" w:color="auto"/>
              <w:left w:val="nil"/>
              <w:bottom w:val="single" w:sz="4" w:space="0" w:color="auto"/>
              <w:right w:val="nil"/>
            </w:tcBorders>
            <w:shd w:val="clear" w:color="auto" w:fill="auto"/>
            <w:vAlign w:val="center"/>
            <w:hideMark/>
          </w:tcPr>
          <w:p w14:paraId="77D0F9EC" w14:textId="77777777" w:rsidR="004C0BBA" w:rsidRPr="006C6F80" w:rsidRDefault="004C0BBA" w:rsidP="004C0BBA">
            <w:pPr>
              <w:rPr>
                <w:color w:val="000000" w:themeColor="text1"/>
                <w:sz w:val="20"/>
                <w:szCs w:val="20"/>
              </w:rPr>
            </w:pPr>
            <w:r w:rsidRPr="006C6F80">
              <w:rPr>
                <w:color w:val="000000" w:themeColor="text1"/>
                <w:sz w:val="20"/>
                <w:szCs w:val="20"/>
              </w:rPr>
              <w:t>VARIABLES</w:t>
            </w:r>
          </w:p>
        </w:tc>
        <w:tc>
          <w:tcPr>
            <w:tcW w:w="1020" w:type="dxa"/>
            <w:tcBorders>
              <w:top w:val="nil"/>
              <w:left w:val="nil"/>
              <w:bottom w:val="single" w:sz="4" w:space="0" w:color="auto"/>
              <w:right w:val="nil"/>
            </w:tcBorders>
            <w:shd w:val="clear" w:color="auto" w:fill="auto"/>
            <w:vAlign w:val="center"/>
            <w:hideMark/>
          </w:tcPr>
          <w:p w14:paraId="2710C274" w14:textId="77777777" w:rsidR="004C0BBA" w:rsidRPr="006C6F80" w:rsidRDefault="004C0BBA" w:rsidP="004C0BBA">
            <w:pPr>
              <w:jc w:val="center"/>
              <w:rPr>
                <w:color w:val="000000" w:themeColor="text1"/>
                <w:sz w:val="20"/>
                <w:szCs w:val="20"/>
              </w:rPr>
            </w:pPr>
            <w:r w:rsidRPr="006C6F80">
              <w:rPr>
                <w:color w:val="000000" w:themeColor="text1"/>
                <w:sz w:val="20"/>
                <w:szCs w:val="20"/>
              </w:rPr>
              <w:t xml:space="preserve">Mean </w:t>
            </w:r>
          </w:p>
        </w:tc>
        <w:tc>
          <w:tcPr>
            <w:tcW w:w="1020" w:type="dxa"/>
            <w:tcBorders>
              <w:top w:val="nil"/>
              <w:left w:val="nil"/>
              <w:bottom w:val="single" w:sz="4" w:space="0" w:color="auto"/>
              <w:right w:val="nil"/>
            </w:tcBorders>
            <w:shd w:val="clear" w:color="auto" w:fill="auto"/>
            <w:vAlign w:val="center"/>
            <w:hideMark/>
          </w:tcPr>
          <w:p w14:paraId="4900AF63" w14:textId="77777777" w:rsidR="004C0BBA" w:rsidRPr="006C6F80" w:rsidRDefault="004C0BBA" w:rsidP="004C0BBA">
            <w:pPr>
              <w:jc w:val="center"/>
              <w:rPr>
                <w:color w:val="000000" w:themeColor="text1"/>
                <w:sz w:val="20"/>
                <w:szCs w:val="20"/>
              </w:rPr>
            </w:pPr>
            <w:r w:rsidRPr="006C6F80">
              <w:rPr>
                <w:color w:val="000000" w:themeColor="text1"/>
                <w:sz w:val="20"/>
                <w:szCs w:val="20"/>
              </w:rPr>
              <w:t xml:space="preserve">St. Dev. </w:t>
            </w:r>
          </w:p>
        </w:tc>
        <w:tc>
          <w:tcPr>
            <w:tcW w:w="1020" w:type="dxa"/>
            <w:tcBorders>
              <w:top w:val="nil"/>
              <w:left w:val="nil"/>
              <w:bottom w:val="single" w:sz="4" w:space="0" w:color="auto"/>
              <w:right w:val="nil"/>
            </w:tcBorders>
            <w:shd w:val="clear" w:color="auto" w:fill="auto"/>
            <w:vAlign w:val="center"/>
            <w:hideMark/>
          </w:tcPr>
          <w:p w14:paraId="3A553B3D" w14:textId="77777777" w:rsidR="004C0BBA" w:rsidRPr="006C6F80" w:rsidRDefault="004C0BBA" w:rsidP="004C0BBA">
            <w:pPr>
              <w:jc w:val="center"/>
              <w:rPr>
                <w:color w:val="000000" w:themeColor="text1"/>
                <w:sz w:val="20"/>
                <w:szCs w:val="20"/>
              </w:rPr>
            </w:pPr>
            <w:r w:rsidRPr="006C6F80">
              <w:rPr>
                <w:color w:val="000000" w:themeColor="text1"/>
                <w:sz w:val="20"/>
                <w:szCs w:val="20"/>
              </w:rPr>
              <w:t xml:space="preserve">Mean </w:t>
            </w:r>
          </w:p>
        </w:tc>
        <w:tc>
          <w:tcPr>
            <w:tcW w:w="1020" w:type="dxa"/>
            <w:tcBorders>
              <w:top w:val="nil"/>
              <w:left w:val="nil"/>
              <w:bottom w:val="single" w:sz="4" w:space="0" w:color="auto"/>
              <w:right w:val="nil"/>
            </w:tcBorders>
            <w:shd w:val="clear" w:color="auto" w:fill="auto"/>
            <w:vAlign w:val="center"/>
            <w:hideMark/>
          </w:tcPr>
          <w:p w14:paraId="72CE5791" w14:textId="77777777" w:rsidR="004C0BBA" w:rsidRPr="006C6F80" w:rsidRDefault="004C0BBA" w:rsidP="004C0BBA">
            <w:pPr>
              <w:jc w:val="center"/>
              <w:rPr>
                <w:color w:val="000000" w:themeColor="text1"/>
                <w:sz w:val="20"/>
                <w:szCs w:val="20"/>
              </w:rPr>
            </w:pPr>
            <w:r w:rsidRPr="006C6F80">
              <w:rPr>
                <w:color w:val="000000" w:themeColor="text1"/>
                <w:sz w:val="20"/>
                <w:szCs w:val="20"/>
              </w:rPr>
              <w:t xml:space="preserve">St. Dev. </w:t>
            </w:r>
          </w:p>
        </w:tc>
        <w:tc>
          <w:tcPr>
            <w:tcW w:w="1020" w:type="dxa"/>
            <w:tcBorders>
              <w:top w:val="nil"/>
              <w:left w:val="nil"/>
              <w:bottom w:val="single" w:sz="4" w:space="0" w:color="auto"/>
              <w:right w:val="nil"/>
            </w:tcBorders>
            <w:shd w:val="clear" w:color="auto" w:fill="auto"/>
            <w:vAlign w:val="center"/>
            <w:hideMark/>
          </w:tcPr>
          <w:p w14:paraId="71024FA8" w14:textId="77777777" w:rsidR="004C0BBA" w:rsidRPr="006C6F80" w:rsidRDefault="004C0BBA" w:rsidP="004C0BBA">
            <w:pPr>
              <w:jc w:val="center"/>
              <w:rPr>
                <w:color w:val="000000" w:themeColor="text1"/>
                <w:sz w:val="20"/>
                <w:szCs w:val="20"/>
              </w:rPr>
            </w:pPr>
            <w:r w:rsidRPr="006C6F80">
              <w:rPr>
                <w:color w:val="000000" w:themeColor="text1"/>
                <w:sz w:val="20"/>
                <w:szCs w:val="20"/>
              </w:rPr>
              <w:t>Difference</w:t>
            </w:r>
          </w:p>
        </w:tc>
      </w:tr>
      <w:tr w:rsidR="004C0BBA" w:rsidRPr="006C6F80" w14:paraId="643807B3" w14:textId="77777777" w:rsidTr="004C0BBA">
        <w:trPr>
          <w:trHeight w:val="260"/>
          <w:jc w:val="center"/>
        </w:trPr>
        <w:tc>
          <w:tcPr>
            <w:tcW w:w="4960" w:type="dxa"/>
            <w:gridSpan w:val="2"/>
            <w:tcBorders>
              <w:top w:val="single" w:sz="4" w:space="0" w:color="auto"/>
              <w:left w:val="nil"/>
              <w:bottom w:val="nil"/>
              <w:right w:val="nil"/>
            </w:tcBorders>
            <w:shd w:val="clear" w:color="auto" w:fill="auto"/>
            <w:vAlign w:val="bottom"/>
            <w:hideMark/>
          </w:tcPr>
          <w:p w14:paraId="011BC2B0" w14:textId="77777777" w:rsidR="004C0BBA" w:rsidRPr="006C6F80" w:rsidRDefault="004C0BBA" w:rsidP="004C0BBA">
            <w:pPr>
              <w:rPr>
                <w:b/>
                <w:bCs/>
                <w:color w:val="000000" w:themeColor="text1"/>
                <w:sz w:val="20"/>
                <w:szCs w:val="20"/>
              </w:rPr>
            </w:pPr>
            <w:r w:rsidRPr="006C6F80">
              <w:rPr>
                <w:b/>
                <w:bCs/>
                <w:color w:val="000000" w:themeColor="text1"/>
                <w:sz w:val="20"/>
                <w:szCs w:val="20"/>
              </w:rPr>
              <w:t>Panel A: Control variables</w:t>
            </w:r>
          </w:p>
        </w:tc>
        <w:tc>
          <w:tcPr>
            <w:tcW w:w="1020" w:type="dxa"/>
            <w:tcBorders>
              <w:top w:val="nil"/>
              <w:left w:val="nil"/>
              <w:bottom w:val="nil"/>
              <w:right w:val="nil"/>
            </w:tcBorders>
            <w:shd w:val="clear" w:color="auto" w:fill="auto"/>
            <w:vAlign w:val="center"/>
            <w:hideMark/>
          </w:tcPr>
          <w:p w14:paraId="2108900A" w14:textId="77777777" w:rsidR="004C0BBA" w:rsidRPr="006C6F80" w:rsidRDefault="004C0BBA" w:rsidP="004C0BBA">
            <w:pPr>
              <w:rPr>
                <w:b/>
                <w:bCs/>
                <w:color w:val="000000" w:themeColor="text1"/>
                <w:sz w:val="20"/>
                <w:szCs w:val="20"/>
              </w:rPr>
            </w:pPr>
          </w:p>
        </w:tc>
        <w:tc>
          <w:tcPr>
            <w:tcW w:w="1020" w:type="dxa"/>
            <w:tcBorders>
              <w:top w:val="nil"/>
              <w:left w:val="nil"/>
              <w:bottom w:val="nil"/>
              <w:right w:val="nil"/>
            </w:tcBorders>
            <w:shd w:val="clear" w:color="auto" w:fill="auto"/>
            <w:vAlign w:val="center"/>
            <w:hideMark/>
          </w:tcPr>
          <w:p w14:paraId="608A9427"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center"/>
            <w:hideMark/>
          </w:tcPr>
          <w:p w14:paraId="3F62766B"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center"/>
            <w:hideMark/>
          </w:tcPr>
          <w:p w14:paraId="3F65CBBA"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center"/>
            <w:hideMark/>
          </w:tcPr>
          <w:p w14:paraId="3F4564C7" w14:textId="77777777" w:rsidR="004C0BBA" w:rsidRPr="006C6F80" w:rsidRDefault="004C0BBA" w:rsidP="004C0BBA">
            <w:pPr>
              <w:jc w:val="center"/>
              <w:rPr>
                <w:color w:val="000000" w:themeColor="text1"/>
                <w:sz w:val="20"/>
                <w:szCs w:val="20"/>
              </w:rPr>
            </w:pPr>
          </w:p>
        </w:tc>
      </w:tr>
      <w:tr w:rsidR="004C0BBA" w:rsidRPr="006C6F80" w14:paraId="7AC1E76D" w14:textId="77777777" w:rsidTr="004C0BBA">
        <w:trPr>
          <w:trHeight w:val="260"/>
          <w:jc w:val="center"/>
        </w:trPr>
        <w:tc>
          <w:tcPr>
            <w:tcW w:w="4960" w:type="dxa"/>
            <w:gridSpan w:val="2"/>
            <w:tcBorders>
              <w:top w:val="nil"/>
              <w:left w:val="nil"/>
              <w:bottom w:val="nil"/>
              <w:right w:val="nil"/>
            </w:tcBorders>
            <w:shd w:val="clear" w:color="auto" w:fill="auto"/>
            <w:vAlign w:val="center"/>
            <w:hideMark/>
          </w:tcPr>
          <w:p w14:paraId="548C3CF6" w14:textId="77777777" w:rsidR="004C0BBA" w:rsidRPr="006C6F80" w:rsidRDefault="004C0BBA" w:rsidP="004C0BBA">
            <w:pPr>
              <w:rPr>
                <w:b/>
                <w:bCs/>
                <w:i/>
                <w:iCs/>
                <w:color w:val="000000" w:themeColor="text1"/>
                <w:sz w:val="20"/>
                <w:szCs w:val="20"/>
              </w:rPr>
            </w:pPr>
            <w:r w:rsidRPr="006C6F80">
              <w:rPr>
                <w:b/>
                <w:bCs/>
                <w:i/>
                <w:iCs/>
                <w:color w:val="000000" w:themeColor="text1"/>
                <w:sz w:val="20"/>
                <w:szCs w:val="20"/>
              </w:rPr>
              <w:t>Individual characteristics</w:t>
            </w:r>
          </w:p>
        </w:tc>
        <w:tc>
          <w:tcPr>
            <w:tcW w:w="1020" w:type="dxa"/>
            <w:tcBorders>
              <w:top w:val="nil"/>
              <w:left w:val="nil"/>
              <w:bottom w:val="nil"/>
              <w:right w:val="nil"/>
            </w:tcBorders>
            <w:shd w:val="clear" w:color="auto" w:fill="auto"/>
            <w:vAlign w:val="center"/>
            <w:hideMark/>
          </w:tcPr>
          <w:p w14:paraId="230B8887" w14:textId="77777777" w:rsidR="004C0BBA" w:rsidRPr="006C6F80" w:rsidRDefault="004C0BBA" w:rsidP="004C0BBA">
            <w:pPr>
              <w:rPr>
                <w:b/>
                <w:bCs/>
                <w:i/>
                <w:iCs/>
                <w:color w:val="000000" w:themeColor="text1"/>
                <w:sz w:val="20"/>
                <w:szCs w:val="20"/>
              </w:rPr>
            </w:pPr>
          </w:p>
        </w:tc>
        <w:tc>
          <w:tcPr>
            <w:tcW w:w="1020" w:type="dxa"/>
            <w:tcBorders>
              <w:top w:val="nil"/>
              <w:left w:val="nil"/>
              <w:bottom w:val="nil"/>
              <w:right w:val="nil"/>
            </w:tcBorders>
            <w:shd w:val="clear" w:color="auto" w:fill="auto"/>
            <w:vAlign w:val="center"/>
            <w:hideMark/>
          </w:tcPr>
          <w:p w14:paraId="0C8170BF" w14:textId="77777777" w:rsidR="004C0BBA" w:rsidRPr="006C6F80" w:rsidRDefault="004C0BBA" w:rsidP="004C0BBA">
            <w:pPr>
              <w:jc w:val="right"/>
              <w:rPr>
                <w:color w:val="000000" w:themeColor="text1"/>
                <w:sz w:val="20"/>
                <w:szCs w:val="20"/>
              </w:rPr>
            </w:pPr>
          </w:p>
        </w:tc>
        <w:tc>
          <w:tcPr>
            <w:tcW w:w="1020" w:type="dxa"/>
            <w:tcBorders>
              <w:top w:val="nil"/>
              <w:left w:val="nil"/>
              <w:bottom w:val="nil"/>
              <w:right w:val="nil"/>
            </w:tcBorders>
            <w:shd w:val="clear" w:color="auto" w:fill="auto"/>
            <w:vAlign w:val="center"/>
            <w:hideMark/>
          </w:tcPr>
          <w:p w14:paraId="5CCF10B9" w14:textId="77777777" w:rsidR="004C0BBA" w:rsidRPr="006C6F80" w:rsidRDefault="004C0BBA" w:rsidP="004C0BBA">
            <w:pPr>
              <w:jc w:val="right"/>
              <w:rPr>
                <w:color w:val="000000" w:themeColor="text1"/>
                <w:sz w:val="20"/>
                <w:szCs w:val="20"/>
              </w:rPr>
            </w:pPr>
          </w:p>
        </w:tc>
        <w:tc>
          <w:tcPr>
            <w:tcW w:w="1020" w:type="dxa"/>
            <w:tcBorders>
              <w:top w:val="nil"/>
              <w:left w:val="nil"/>
              <w:bottom w:val="nil"/>
              <w:right w:val="nil"/>
            </w:tcBorders>
            <w:shd w:val="clear" w:color="auto" w:fill="auto"/>
            <w:vAlign w:val="center"/>
            <w:hideMark/>
          </w:tcPr>
          <w:p w14:paraId="0EC17209" w14:textId="77777777" w:rsidR="004C0BBA" w:rsidRPr="006C6F80" w:rsidRDefault="004C0BBA" w:rsidP="004C0BBA">
            <w:pPr>
              <w:jc w:val="right"/>
              <w:rPr>
                <w:color w:val="000000" w:themeColor="text1"/>
                <w:sz w:val="20"/>
                <w:szCs w:val="20"/>
              </w:rPr>
            </w:pPr>
          </w:p>
        </w:tc>
        <w:tc>
          <w:tcPr>
            <w:tcW w:w="1020" w:type="dxa"/>
            <w:tcBorders>
              <w:top w:val="nil"/>
              <w:left w:val="nil"/>
              <w:bottom w:val="nil"/>
              <w:right w:val="nil"/>
            </w:tcBorders>
            <w:shd w:val="clear" w:color="auto" w:fill="auto"/>
            <w:vAlign w:val="center"/>
            <w:hideMark/>
          </w:tcPr>
          <w:p w14:paraId="2E407B2B" w14:textId="77777777" w:rsidR="004C0BBA" w:rsidRPr="006C6F80" w:rsidRDefault="004C0BBA" w:rsidP="004C0BBA">
            <w:pPr>
              <w:jc w:val="right"/>
              <w:rPr>
                <w:color w:val="000000" w:themeColor="text1"/>
                <w:sz w:val="20"/>
                <w:szCs w:val="20"/>
              </w:rPr>
            </w:pPr>
          </w:p>
        </w:tc>
      </w:tr>
      <w:tr w:rsidR="004C0BBA" w:rsidRPr="006C6F80" w14:paraId="52C43BC4"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7BD83362" w14:textId="77777777" w:rsidR="004C0BBA" w:rsidRPr="006C6F80" w:rsidRDefault="004C0BBA" w:rsidP="004C0BBA">
            <w:pPr>
              <w:rPr>
                <w:color w:val="000000" w:themeColor="text1"/>
                <w:sz w:val="20"/>
                <w:szCs w:val="20"/>
              </w:rPr>
            </w:pPr>
            <w:r w:rsidRPr="006C6F80">
              <w:rPr>
                <w:color w:val="000000" w:themeColor="text1"/>
                <w:sz w:val="20"/>
                <w:szCs w:val="20"/>
              </w:rPr>
              <w:t>Age at first job</w:t>
            </w:r>
          </w:p>
        </w:tc>
        <w:tc>
          <w:tcPr>
            <w:tcW w:w="1020" w:type="dxa"/>
            <w:tcBorders>
              <w:top w:val="nil"/>
              <w:left w:val="nil"/>
              <w:bottom w:val="nil"/>
              <w:right w:val="nil"/>
            </w:tcBorders>
            <w:shd w:val="clear" w:color="auto" w:fill="auto"/>
            <w:vAlign w:val="bottom"/>
            <w:hideMark/>
          </w:tcPr>
          <w:p w14:paraId="3038414C" w14:textId="77777777" w:rsidR="004C0BBA" w:rsidRPr="006C6F80" w:rsidRDefault="004C0BBA" w:rsidP="004C0BBA">
            <w:pPr>
              <w:jc w:val="center"/>
              <w:rPr>
                <w:color w:val="000000" w:themeColor="text1"/>
                <w:sz w:val="20"/>
                <w:szCs w:val="20"/>
              </w:rPr>
            </w:pPr>
            <w:r w:rsidRPr="006C6F80">
              <w:rPr>
                <w:color w:val="000000" w:themeColor="text1"/>
                <w:sz w:val="20"/>
                <w:szCs w:val="20"/>
              </w:rPr>
              <w:t>17.744</w:t>
            </w:r>
          </w:p>
        </w:tc>
        <w:tc>
          <w:tcPr>
            <w:tcW w:w="1020" w:type="dxa"/>
            <w:tcBorders>
              <w:top w:val="nil"/>
              <w:left w:val="nil"/>
              <w:bottom w:val="nil"/>
              <w:right w:val="nil"/>
            </w:tcBorders>
            <w:shd w:val="clear" w:color="auto" w:fill="auto"/>
            <w:vAlign w:val="bottom"/>
            <w:hideMark/>
          </w:tcPr>
          <w:p w14:paraId="792DBC79" w14:textId="77777777" w:rsidR="004C0BBA" w:rsidRPr="006C6F80" w:rsidRDefault="004C0BBA" w:rsidP="004C0BBA">
            <w:pPr>
              <w:jc w:val="center"/>
              <w:rPr>
                <w:color w:val="000000" w:themeColor="text1"/>
                <w:sz w:val="20"/>
                <w:szCs w:val="20"/>
              </w:rPr>
            </w:pPr>
            <w:r w:rsidRPr="006C6F80">
              <w:rPr>
                <w:color w:val="000000" w:themeColor="text1"/>
                <w:sz w:val="20"/>
                <w:szCs w:val="20"/>
              </w:rPr>
              <w:t>5.969</w:t>
            </w:r>
          </w:p>
        </w:tc>
        <w:tc>
          <w:tcPr>
            <w:tcW w:w="1020" w:type="dxa"/>
            <w:tcBorders>
              <w:top w:val="nil"/>
              <w:left w:val="nil"/>
              <w:bottom w:val="nil"/>
              <w:right w:val="nil"/>
            </w:tcBorders>
            <w:shd w:val="clear" w:color="auto" w:fill="auto"/>
            <w:vAlign w:val="bottom"/>
            <w:hideMark/>
          </w:tcPr>
          <w:p w14:paraId="6AA4732D" w14:textId="77777777" w:rsidR="004C0BBA" w:rsidRPr="006C6F80" w:rsidRDefault="004C0BBA" w:rsidP="004C0BBA">
            <w:pPr>
              <w:jc w:val="center"/>
              <w:rPr>
                <w:color w:val="000000" w:themeColor="text1"/>
                <w:sz w:val="20"/>
                <w:szCs w:val="20"/>
              </w:rPr>
            </w:pPr>
            <w:r w:rsidRPr="006C6F80">
              <w:rPr>
                <w:color w:val="000000" w:themeColor="text1"/>
                <w:sz w:val="20"/>
                <w:szCs w:val="20"/>
              </w:rPr>
              <w:t>15.375</w:t>
            </w:r>
          </w:p>
        </w:tc>
        <w:tc>
          <w:tcPr>
            <w:tcW w:w="1020" w:type="dxa"/>
            <w:tcBorders>
              <w:top w:val="nil"/>
              <w:left w:val="nil"/>
              <w:bottom w:val="nil"/>
              <w:right w:val="nil"/>
            </w:tcBorders>
            <w:shd w:val="clear" w:color="auto" w:fill="auto"/>
            <w:vAlign w:val="bottom"/>
            <w:hideMark/>
          </w:tcPr>
          <w:p w14:paraId="41E3840D" w14:textId="77777777" w:rsidR="004C0BBA" w:rsidRPr="006C6F80" w:rsidRDefault="004C0BBA" w:rsidP="004C0BBA">
            <w:pPr>
              <w:jc w:val="center"/>
              <w:rPr>
                <w:color w:val="000000" w:themeColor="text1"/>
                <w:sz w:val="20"/>
                <w:szCs w:val="20"/>
              </w:rPr>
            </w:pPr>
            <w:r w:rsidRPr="006C6F80">
              <w:rPr>
                <w:color w:val="000000" w:themeColor="text1"/>
                <w:sz w:val="20"/>
                <w:szCs w:val="20"/>
              </w:rPr>
              <w:t>4.599</w:t>
            </w:r>
          </w:p>
        </w:tc>
        <w:tc>
          <w:tcPr>
            <w:tcW w:w="1020" w:type="dxa"/>
            <w:tcBorders>
              <w:top w:val="nil"/>
              <w:left w:val="nil"/>
              <w:bottom w:val="nil"/>
              <w:right w:val="nil"/>
            </w:tcBorders>
            <w:shd w:val="clear" w:color="auto" w:fill="auto"/>
            <w:vAlign w:val="bottom"/>
            <w:hideMark/>
          </w:tcPr>
          <w:p w14:paraId="504DC67B" w14:textId="77777777" w:rsidR="004C0BBA" w:rsidRPr="006C6F80" w:rsidRDefault="004C0BBA" w:rsidP="004C0BBA">
            <w:pPr>
              <w:jc w:val="center"/>
              <w:rPr>
                <w:color w:val="000000" w:themeColor="text1"/>
                <w:sz w:val="20"/>
                <w:szCs w:val="20"/>
              </w:rPr>
            </w:pPr>
            <w:r w:rsidRPr="006C6F80">
              <w:rPr>
                <w:color w:val="000000" w:themeColor="text1"/>
                <w:sz w:val="20"/>
                <w:szCs w:val="20"/>
              </w:rPr>
              <w:t>2.369***</w:t>
            </w:r>
          </w:p>
        </w:tc>
      </w:tr>
      <w:tr w:rsidR="004C0BBA" w:rsidRPr="006C6F80" w14:paraId="70254916"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4D35BB4C" w14:textId="77777777" w:rsidR="004C0BBA" w:rsidRPr="006C6F80" w:rsidRDefault="004C0BBA" w:rsidP="004C0BBA">
            <w:pPr>
              <w:rPr>
                <w:color w:val="000000" w:themeColor="text1"/>
                <w:sz w:val="20"/>
                <w:szCs w:val="20"/>
              </w:rPr>
            </w:pPr>
            <w:r w:rsidRPr="006C6F80">
              <w:rPr>
                <w:color w:val="000000" w:themeColor="text1"/>
                <w:sz w:val="20"/>
                <w:szCs w:val="20"/>
              </w:rPr>
              <w:t>Secondary or less education</w:t>
            </w:r>
          </w:p>
        </w:tc>
        <w:tc>
          <w:tcPr>
            <w:tcW w:w="1020" w:type="dxa"/>
            <w:tcBorders>
              <w:top w:val="nil"/>
              <w:left w:val="nil"/>
              <w:bottom w:val="nil"/>
              <w:right w:val="nil"/>
            </w:tcBorders>
            <w:shd w:val="clear" w:color="auto" w:fill="auto"/>
            <w:vAlign w:val="bottom"/>
            <w:hideMark/>
          </w:tcPr>
          <w:p w14:paraId="215F3E6F" w14:textId="77777777" w:rsidR="004C0BBA" w:rsidRPr="006C6F80" w:rsidRDefault="004C0BBA" w:rsidP="004C0BBA">
            <w:pPr>
              <w:jc w:val="center"/>
              <w:rPr>
                <w:color w:val="000000" w:themeColor="text1"/>
                <w:sz w:val="20"/>
                <w:szCs w:val="20"/>
              </w:rPr>
            </w:pPr>
            <w:r w:rsidRPr="006C6F80">
              <w:rPr>
                <w:color w:val="000000" w:themeColor="text1"/>
                <w:sz w:val="20"/>
                <w:szCs w:val="20"/>
              </w:rPr>
              <w:t>0.763</w:t>
            </w:r>
          </w:p>
        </w:tc>
        <w:tc>
          <w:tcPr>
            <w:tcW w:w="1020" w:type="dxa"/>
            <w:tcBorders>
              <w:top w:val="nil"/>
              <w:left w:val="nil"/>
              <w:bottom w:val="nil"/>
              <w:right w:val="nil"/>
            </w:tcBorders>
            <w:shd w:val="clear" w:color="auto" w:fill="auto"/>
            <w:vAlign w:val="bottom"/>
            <w:hideMark/>
          </w:tcPr>
          <w:p w14:paraId="5DEAEA69" w14:textId="77777777" w:rsidR="004C0BBA" w:rsidRPr="006C6F80" w:rsidRDefault="004C0BBA" w:rsidP="004C0BBA">
            <w:pPr>
              <w:jc w:val="center"/>
              <w:rPr>
                <w:color w:val="000000" w:themeColor="text1"/>
                <w:sz w:val="20"/>
                <w:szCs w:val="20"/>
              </w:rPr>
            </w:pPr>
            <w:r w:rsidRPr="006C6F80">
              <w:rPr>
                <w:color w:val="000000" w:themeColor="text1"/>
                <w:sz w:val="20"/>
                <w:szCs w:val="20"/>
              </w:rPr>
              <w:t>0.426</w:t>
            </w:r>
          </w:p>
        </w:tc>
        <w:tc>
          <w:tcPr>
            <w:tcW w:w="1020" w:type="dxa"/>
            <w:tcBorders>
              <w:top w:val="nil"/>
              <w:left w:val="nil"/>
              <w:bottom w:val="nil"/>
              <w:right w:val="nil"/>
            </w:tcBorders>
            <w:shd w:val="clear" w:color="auto" w:fill="auto"/>
            <w:vAlign w:val="bottom"/>
            <w:hideMark/>
          </w:tcPr>
          <w:p w14:paraId="182F9FEE" w14:textId="77777777" w:rsidR="004C0BBA" w:rsidRPr="006C6F80" w:rsidRDefault="004C0BBA" w:rsidP="004C0BBA">
            <w:pPr>
              <w:jc w:val="center"/>
              <w:rPr>
                <w:color w:val="000000" w:themeColor="text1"/>
                <w:sz w:val="20"/>
                <w:szCs w:val="20"/>
              </w:rPr>
            </w:pPr>
            <w:r w:rsidRPr="006C6F80">
              <w:rPr>
                <w:color w:val="000000" w:themeColor="text1"/>
                <w:sz w:val="20"/>
                <w:szCs w:val="20"/>
              </w:rPr>
              <w:t>0.896</w:t>
            </w:r>
          </w:p>
        </w:tc>
        <w:tc>
          <w:tcPr>
            <w:tcW w:w="1020" w:type="dxa"/>
            <w:tcBorders>
              <w:top w:val="nil"/>
              <w:left w:val="nil"/>
              <w:bottom w:val="nil"/>
              <w:right w:val="nil"/>
            </w:tcBorders>
            <w:shd w:val="clear" w:color="auto" w:fill="auto"/>
            <w:vAlign w:val="bottom"/>
            <w:hideMark/>
          </w:tcPr>
          <w:p w14:paraId="76172282" w14:textId="77777777" w:rsidR="004C0BBA" w:rsidRPr="006C6F80" w:rsidRDefault="004C0BBA" w:rsidP="004C0BBA">
            <w:pPr>
              <w:jc w:val="center"/>
              <w:rPr>
                <w:color w:val="000000" w:themeColor="text1"/>
                <w:sz w:val="20"/>
                <w:szCs w:val="20"/>
              </w:rPr>
            </w:pPr>
            <w:r w:rsidRPr="006C6F80">
              <w:rPr>
                <w:color w:val="000000" w:themeColor="text1"/>
                <w:sz w:val="20"/>
                <w:szCs w:val="20"/>
              </w:rPr>
              <w:t>0.305</w:t>
            </w:r>
          </w:p>
        </w:tc>
        <w:tc>
          <w:tcPr>
            <w:tcW w:w="1020" w:type="dxa"/>
            <w:tcBorders>
              <w:top w:val="nil"/>
              <w:left w:val="nil"/>
              <w:bottom w:val="nil"/>
              <w:right w:val="nil"/>
            </w:tcBorders>
            <w:shd w:val="clear" w:color="auto" w:fill="auto"/>
            <w:vAlign w:val="bottom"/>
            <w:hideMark/>
          </w:tcPr>
          <w:p w14:paraId="7093C624" w14:textId="77777777" w:rsidR="004C0BBA" w:rsidRPr="006C6F80" w:rsidRDefault="004C0BBA" w:rsidP="004C0BBA">
            <w:pPr>
              <w:jc w:val="center"/>
              <w:rPr>
                <w:color w:val="000000" w:themeColor="text1"/>
                <w:sz w:val="20"/>
                <w:szCs w:val="20"/>
              </w:rPr>
            </w:pPr>
            <w:r w:rsidRPr="006C6F80">
              <w:rPr>
                <w:color w:val="000000" w:themeColor="text1"/>
                <w:sz w:val="20"/>
                <w:szCs w:val="20"/>
              </w:rPr>
              <w:t>-0.134***</w:t>
            </w:r>
          </w:p>
        </w:tc>
      </w:tr>
      <w:tr w:rsidR="004C0BBA" w:rsidRPr="006C6F80" w14:paraId="20DA5FD5"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6171D47D" w14:textId="77777777" w:rsidR="004C0BBA" w:rsidRPr="006C6F80" w:rsidRDefault="004C0BBA" w:rsidP="004C0BBA">
            <w:pPr>
              <w:rPr>
                <w:color w:val="000000" w:themeColor="text1"/>
                <w:sz w:val="20"/>
                <w:szCs w:val="20"/>
              </w:rPr>
            </w:pPr>
            <w:r w:rsidRPr="006C6F80">
              <w:rPr>
                <w:color w:val="000000" w:themeColor="text1"/>
                <w:sz w:val="20"/>
                <w:szCs w:val="20"/>
              </w:rPr>
              <w:t>Above secondary education</w:t>
            </w:r>
          </w:p>
        </w:tc>
        <w:tc>
          <w:tcPr>
            <w:tcW w:w="1020" w:type="dxa"/>
            <w:tcBorders>
              <w:top w:val="nil"/>
              <w:left w:val="nil"/>
              <w:bottom w:val="nil"/>
              <w:right w:val="nil"/>
            </w:tcBorders>
            <w:shd w:val="clear" w:color="auto" w:fill="auto"/>
            <w:vAlign w:val="bottom"/>
            <w:hideMark/>
          </w:tcPr>
          <w:p w14:paraId="66F1B738" w14:textId="77777777" w:rsidR="004C0BBA" w:rsidRPr="006C6F80" w:rsidRDefault="004C0BBA" w:rsidP="004C0BBA">
            <w:pPr>
              <w:jc w:val="center"/>
              <w:rPr>
                <w:color w:val="000000" w:themeColor="text1"/>
                <w:sz w:val="20"/>
                <w:szCs w:val="20"/>
              </w:rPr>
            </w:pPr>
            <w:r w:rsidRPr="006C6F80">
              <w:rPr>
                <w:color w:val="000000" w:themeColor="text1"/>
                <w:sz w:val="20"/>
                <w:szCs w:val="20"/>
              </w:rPr>
              <w:t>0.237</w:t>
            </w:r>
          </w:p>
        </w:tc>
        <w:tc>
          <w:tcPr>
            <w:tcW w:w="1020" w:type="dxa"/>
            <w:tcBorders>
              <w:top w:val="nil"/>
              <w:left w:val="nil"/>
              <w:bottom w:val="nil"/>
              <w:right w:val="nil"/>
            </w:tcBorders>
            <w:shd w:val="clear" w:color="auto" w:fill="auto"/>
            <w:vAlign w:val="bottom"/>
            <w:hideMark/>
          </w:tcPr>
          <w:p w14:paraId="620ECA31" w14:textId="77777777" w:rsidR="004C0BBA" w:rsidRPr="006C6F80" w:rsidRDefault="004C0BBA" w:rsidP="004C0BBA">
            <w:pPr>
              <w:jc w:val="center"/>
              <w:rPr>
                <w:color w:val="000000" w:themeColor="text1"/>
                <w:sz w:val="20"/>
                <w:szCs w:val="20"/>
              </w:rPr>
            </w:pPr>
            <w:r w:rsidRPr="006C6F80">
              <w:rPr>
                <w:color w:val="000000" w:themeColor="text1"/>
                <w:sz w:val="20"/>
                <w:szCs w:val="20"/>
              </w:rPr>
              <w:t>0.426</w:t>
            </w:r>
          </w:p>
        </w:tc>
        <w:tc>
          <w:tcPr>
            <w:tcW w:w="1020" w:type="dxa"/>
            <w:tcBorders>
              <w:top w:val="nil"/>
              <w:left w:val="nil"/>
              <w:bottom w:val="nil"/>
              <w:right w:val="nil"/>
            </w:tcBorders>
            <w:shd w:val="clear" w:color="auto" w:fill="auto"/>
            <w:vAlign w:val="bottom"/>
            <w:hideMark/>
          </w:tcPr>
          <w:p w14:paraId="6C6F9463" w14:textId="77777777" w:rsidR="004C0BBA" w:rsidRPr="006C6F80" w:rsidRDefault="004C0BBA" w:rsidP="004C0BBA">
            <w:pPr>
              <w:jc w:val="center"/>
              <w:rPr>
                <w:color w:val="000000" w:themeColor="text1"/>
                <w:sz w:val="20"/>
                <w:szCs w:val="20"/>
              </w:rPr>
            </w:pPr>
            <w:r w:rsidRPr="006C6F80">
              <w:rPr>
                <w:color w:val="000000" w:themeColor="text1"/>
                <w:sz w:val="20"/>
                <w:szCs w:val="20"/>
              </w:rPr>
              <w:t>0.104</w:t>
            </w:r>
          </w:p>
        </w:tc>
        <w:tc>
          <w:tcPr>
            <w:tcW w:w="1020" w:type="dxa"/>
            <w:tcBorders>
              <w:top w:val="nil"/>
              <w:left w:val="nil"/>
              <w:bottom w:val="nil"/>
              <w:right w:val="nil"/>
            </w:tcBorders>
            <w:shd w:val="clear" w:color="auto" w:fill="auto"/>
            <w:vAlign w:val="bottom"/>
            <w:hideMark/>
          </w:tcPr>
          <w:p w14:paraId="0F9C8AF6" w14:textId="77777777" w:rsidR="004C0BBA" w:rsidRPr="006C6F80" w:rsidRDefault="004C0BBA" w:rsidP="004C0BBA">
            <w:pPr>
              <w:jc w:val="center"/>
              <w:rPr>
                <w:color w:val="000000" w:themeColor="text1"/>
                <w:sz w:val="20"/>
                <w:szCs w:val="20"/>
              </w:rPr>
            </w:pPr>
            <w:r w:rsidRPr="006C6F80">
              <w:rPr>
                <w:color w:val="000000" w:themeColor="text1"/>
                <w:sz w:val="20"/>
                <w:szCs w:val="20"/>
              </w:rPr>
              <w:t>0.305</w:t>
            </w:r>
          </w:p>
        </w:tc>
        <w:tc>
          <w:tcPr>
            <w:tcW w:w="1020" w:type="dxa"/>
            <w:tcBorders>
              <w:top w:val="nil"/>
              <w:left w:val="nil"/>
              <w:bottom w:val="nil"/>
              <w:right w:val="nil"/>
            </w:tcBorders>
            <w:shd w:val="clear" w:color="auto" w:fill="auto"/>
            <w:vAlign w:val="bottom"/>
            <w:hideMark/>
          </w:tcPr>
          <w:p w14:paraId="038BAF8D" w14:textId="77777777" w:rsidR="004C0BBA" w:rsidRPr="006C6F80" w:rsidRDefault="004C0BBA" w:rsidP="004C0BBA">
            <w:pPr>
              <w:jc w:val="center"/>
              <w:rPr>
                <w:color w:val="000000" w:themeColor="text1"/>
                <w:sz w:val="20"/>
                <w:szCs w:val="20"/>
              </w:rPr>
            </w:pPr>
            <w:r w:rsidRPr="006C6F80">
              <w:rPr>
                <w:color w:val="000000" w:themeColor="text1"/>
                <w:sz w:val="20"/>
                <w:szCs w:val="20"/>
              </w:rPr>
              <w:t>0.134***</w:t>
            </w:r>
          </w:p>
        </w:tc>
      </w:tr>
      <w:tr w:rsidR="004C0BBA" w:rsidRPr="006C6F80" w14:paraId="6B5DFB98"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749B3D47" w14:textId="77777777" w:rsidR="004C0BBA" w:rsidRPr="006C6F80" w:rsidRDefault="004C0BBA" w:rsidP="004C0BBA">
            <w:pPr>
              <w:rPr>
                <w:color w:val="000000" w:themeColor="text1"/>
                <w:sz w:val="20"/>
                <w:szCs w:val="20"/>
              </w:rPr>
            </w:pPr>
            <w:r w:rsidRPr="006C6F80">
              <w:rPr>
                <w:color w:val="000000" w:themeColor="text1"/>
                <w:sz w:val="20"/>
                <w:szCs w:val="20"/>
              </w:rPr>
              <w:t>Rural at birth</w:t>
            </w:r>
          </w:p>
        </w:tc>
        <w:tc>
          <w:tcPr>
            <w:tcW w:w="1020" w:type="dxa"/>
            <w:tcBorders>
              <w:top w:val="nil"/>
              <w:left w:val="nil"/>
              <w:bottom w:val="nil"/>
              <w:right w:val="nil"/>
            </w:tcBorders>
            <w:shd w:val="clear" w:color="auto" w:fill="auto"/>
            <w:vAlign w:val="bottom"/>
            <w:hideMark/>
          </w:tcPr>
          <w:p w14:paraId="028AB0E7" w14:textId="77777777" w:rsidR="004C0BBA" w:rsidRPr="006C6F80" w:rsidRDefault="004C0BBA" w:rsidP="004C0BBA">
            <w:pPr>
              <w:jc w:val="center"/>
              <w:rPr>
                <w:color w:val="000000" w:themeColor="text1"/>
                <w:sz w:val="20"/>
                <w:szCs w:val="20"/>
              </w:rPr>
            </w:pPr>
            <w:r w:rsidRPr="006C6F80">
              <w:rPr>
                <w:color w:val="000000" w:themeColor="text1"/>
                <w:sz w:val="20"/>
                <w:szCs w:val="20"/>
              </w:rPr>
              <w:t>0.520</w:t>
            </w:r>
          </w:p>
        </w:tc>
        <w:tc>
          <w:tcPr>
            <w:tcW w:w="1020" w:type="dxa"/>
            <w:tcBorders>
              <w:top w:val="nil"/>
              <w:left w:val="nil"/>
              <w:bottom w:val="nil"/>
              <w:right w:val="nil"/>
            </w:tcBorders>
            <w:shd w:val="clear" w:color="auto" w:fill="auto"/>
            <w:vAlign w:val="bottom"/>
            <w:hideMark/>
          </w:tcPr>
          <w:p w14:paraId="1DB134CF" w14:textId="77777777" w:rsidR="004C0BBA" w:rsidRPr="006C6F80" w:rsidRDefault="004C0BBA" w:rsidP="004C0BBA">
            <w:pPr>
              <w:jc w:val="center"/>
              <w:rPr>
                <w:color w:val="000000" w:themeColor="text1"/>
                <w:sz w:val="20"/>
                <w:szCs w:val="20"/>
              </w:rPr>
            </w:pPr>
            <w:r w:rsidRPr="006C6F80">
              <w:rPr>
                <w:color w:val="000000" w:themeColor="text1"/>
                <w:sz w:val="20"/>
                <w:szCs w:val="20"/>
              </w:rPr>
              <w:t>0.500</w:t>
            </w:r>
          </w:p>
        </w:tc>
        <w:tc>
          <w:tcPr>
            <w:tcW w:w="1020" w:type="dxa"/>
            <w:tcBorders>
              <w:top w:val="nil"/>
              <w:left w:val="nil"/>
              <w:bottom w:val="nil"/>
              <w:right w:val="nil"/>
            </w:tcBorders>
            <w:shd w:val="clear" w:color="auto" w:fill="auto"/>
            <w:vAlign w:val="bottom"/>
            <w:hideMark/>
          </w:tcPr>
          <w:p w14:paraId="3243A718" w14:textId="77777777" w:rsidR="004C0BBA" w:rsidRPr="006C6F80" w:rsidRDefault="004C0BBA" w:rsidP="004C0BBA">
            <w:pPr>
              <w:jc w:val="center"/>
              <w:rPr>
                <w:color w:val="000000" w:themeColor="text1"/>
                <w:sz w:val="20"/>
                <w:szCs w:val="20"/>
              </w:rPr>
            </w:pPr>
            <w:r w:rsidRPr="006C6F80">
              <w:rPr>
                <w:color w:val="000000" w:themeColor="text1"/>
                <w:sz w:val="20"/>
                <w:szCs w:val="20"/>
              </w:rPr>
              <w:t>0.665</w:t>
            </w:r>
          </w:p>
        </w:tc>
        <w:tc>
          <w:tcPr>
            <w:tcW w:w="1020" w:type="dxa"/>
            <w:tcBorders>
              <w:top w:val="nil"/>
              <w:left w:val="nil"/>
              <w:bottom w:val="nil"/>
              <w:right w:val="nil"/>
            </w:tcBorders>
            <w:shd w:val="clear" w:color="auto" w:fill="auto"/>
            <w:vAlign w:val="bottom"/>
            <w:hideMark/>
          </w:tcPr>
          <w:p w14:paraId="686E0F8B" w14:textId="77777777" w:rsidR="004C0BBA" w:rsidRPr="006C6F80" w:rsidRDefault="004C0BBA" w:rsidP="004C0BBA">
            <w:pPr>
              <w:jc w:val="center"/>
              <w:rPr>
                <w:color w:val="000000" w:themeColor="text1"/>
                <w:sz w:val="20"/>
                <w:szCs w:val="20"/>
              </w:rPr>
            </w:pPr>
            <w:r w:rsidRPr="006C6F80">
              <w:rPr>
                <w:color w:val="000000" w:themeColor="text1"/>
                <w:sz w:val="20"/>
                <w:szCs w:val="20"/>
              </w:rPr>
              <w:t>0.473</w:t>
            </w:r>
          </w:p>
        </w:tc>
        <w:tc>
          <w:tcPr>
            <w:tcW w:w="1020" w:type="dxa"/>
            <w:tcBorders>
              <w:top w:val="nil"/>
              <w:left w:val="nil"/>
              <w:bottom w:val="nil"/>
              <w:right w:val="nil"/>
            </w:tcBorders>
            <w:shd w:val="clear" w:color="auto" w:fill="auto"/>
            <w:vAlign w:val="bottom"/>
            <w:hideMark/>
          </w:tcPr>
          <w:p w14:paraId="615740CE" w14:textId="77777777" w:rsidR="004C0BBA" w:rsidRPr="006C6F80" w:rsidRDefault="004C0BBA" w:rsidP="004C0BBA">
            <w:pPr>
              <w:jc w:val="center"/>
              <w:rPr>
                <w:color w:val="000000" w:themeColor="text1"/>
                <w:sz w:val="20"/>
                <w:szCs w:val="20"/>
              </w:rPr>
            </w:pPr>
            <w:r w:rsidRPr="006C6F80">
              <w:rPr>
                <w:color w:val="000000" w:themeColor="text1"/>
                <w:sz w:val="20"/>
                <w:szCs w:val="20"/>
              </w:rPr>
              <w:t>-0.145***</w:t>
            </w:r>
          </w:p>
        </w:tc>
      </w:tr>
      <w:tr w:rsidR="004C0BBA" w:rsidRPr="006C6F80" w14:paraId="59F2FB65"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0F89F17B" w14:textId="77777777" w:rsidR="004C0BBA" w:rsidRPr="006C6F80" w:rsidRDefault="004C0BBA" w:rsidP="004C0BBA">
            <w:pPr>
              <w:rPr>
                <w:color w:val="000000" w:themeColor="text1"/>
                <w:sz w:val="20"/>
                <w:szCs w:val="20"/>
              </w:rPr>
            </w:pPr>
            <w:r w:rsidRPr="006C6F80">
              <w:rPr>
                <w:color w:val="000000" w:themeColor="text1"/>
                <w:sz w:val="20"/>
                <w:szCs w:val="20"/>
              </w:rPr>
              <w:t>Above intermediate parental education</w:t>
            </w:r>
          </w:p>
        </w:tc>
        <w:tc>
          <w:tcPr>
            <w:tcW w:w="1020" w:type="dxa"/>
            <w:tcBorders>
              <w:top w:val="nil"/>
              <w:left w:val="nil"/>
              <w:bottom w:val="nil"/>
              <w:right w:val="nil"/>
            </w:tcBorders>
            <w:shd w:val="clear" w:color="auto" w:fill="auto"/>
            <w:vAlign w:val="bottom"/>
            <w:hideMark/>
          </w:tcPr>
          <w:p w14:paraId="3A01A784" w14:textId="77777777" w:rsidR="004C0BBA" w:rsidRPr="006C6F80" w:rsidRDefault="004C0BBA" w:rsidP="004C0BBA">
            <w:pPr>
              <w:jc w:val="center"/>
              <w:rPr>
                <w:color w:val="000000" w:themeColor="text1"/>
                <w:sz w:val="20"/>
                <w:szCs w:val="20"/>
              </w:rPr>
            </w:pPr>
            <w:r w:rsidRPr="006C6F80">
              <w:rPr>
                <w:color w:val="000000" w:themeColor="text1"/>
                <w:sz w:val="20"/>
                <w:szCs w:val="20"/>
              </w:rPr>
              <w:t>0.024</w:t>
            </w:r>
          </w:p>
        </w:tc>
        <w:tc>
          <w:tcPr>
            <w:tcW w:w="1020" w:type="dxa"/>
            <w:tcBorders>
              <w:top w:val="nil"/>
              <w:left w:val="nil"/>
              <w:bottom w:val="nil"/>
              <w:right w:val="nil"/>
            </w:tcBorders>
            <w:shd w:val="clear" w:color="auto" w:fill="auto"/>
            <w:vAlign w:val="bottom"/>
            <w:hideMark/>
          </w:tcPr>
          <w:p w14:paraId="6C8456C1" w14:textId="77777777" w:rsidR="004C0BBA" w:rsidRPr="006C6F80" w:rsidRDefault="004C0BBA" w:rsidP="004C0BBA">
            <w:pPr>
              <w:jc w:val="center"/>
              <w:rPr>
                <w:color w:val="000000" w:themeColor="text1"/>
                <w:sz w:val="20"/>
                <w:szCs w:val="20"/>
              </w:rPr>
            </w:pPr>
            <w:r w:rsidRPr="006C6F80">
              <w:rPr>
                <w:color w:val="000000" w:themeColor="text1"/>
                <w:sz w:val="20"/>
                <w:szCs w:val="20"/>
              </w:rPr>
              <w:t>0.153</w:t>
            </w:r>
          </w:p>
        </w:tc>
        <w:tc>
          <w:tcPr>
            <w:tcW w:w="1020" w:type="dxa"/>
            <w:tcBorders>
              <w:top w:val="nil"/>
              <w:left w:val="nil"/>
              <w:bottom w:val="nil"/>
              <w:right w:val="nil"/>
            </w:tcBorders>
            <w:shd w:val="clear" w:color="auto" w:fill="auto"/>
            <w:vAlign w:val="bottom"/>
            <w:hideMark/>
          </w:tcPr>
          <w:p w14:paraId="2C012838" w14:textId="77777777" w:rsidR="004C0BBA" w:rsidRPr="006C6F80" w:rsidRDefault="004C0BBA" w:rsidP="004C0BBA">
            <w:pPr>
              <w:jc w:val="center"/>
              <w:rPr>
                <w:color w:val="000000" w:themeColor="text1"/>
                <w:sz w:val="20"/>
                <w:szCs w:val="20"/>
              </w:rPr>
            </w:pPr>
            <w:r w:rsidRPr="006C6F80">
              <w:rPr>
                <w:color w:val="000000" w:themeColor="text1"/>
                <w:sz w:val="20"/>
                <w:szCs w:val="20"/>
              </w:rPr>
              <w:t>0.006</w:t>
            </w:r>
          </w:p>
        </w:tc>
        <w:tc>
          <w:tcPr>
            <w:tcW w:w="1020" w:type="dxa"/>
            <w:tcBorders>
              <w:top w:val="nil"/>
              <w:left w:val="nil"/>
              <w:bottom w:val="nil"/>
              <w:right w:val="nil"/>
            </w:tcBorders>
            <w:shd w:val="clear" w:color="auto" w:fill="auto"/>
            <w:vAlign w:val="bottom"/>
            <w:hideMark/>
          </w:tcPr>
          <w:p w14:paraId="4370BACB" w14:textId="77777777" w:rsidR="004C0BBA" w:rsidRPr="006C6F80" w:rsidRDefault="004C0BBA" w:rsidP="004C0BBA">
            <w:pPr>
              <w:jc w:val="center"/>
              <w:rPr>
                <w:color w:val="000000" w:themeColor="text1"/>
                <w:sz w:val="20"/>
                <w:szCs w:val="20"/>
              </w:rPr>
            </w:pPr>
            <w:r w:rsidRPr="006C6F80">
              <w:rPr>
                <w:color w:val="000000" w:themeColor="text1"/>
                <w:sz w:val="20"/>
                <w:szCs w:val="20"/>
              </w:rPr>
              <w:t>0.078</w:t>
            </w:r>
          </w:p>
        </w:tc>
        <w:tc>
          <w:tcPr>
            <w:tcW w:w="1020" w:type="dxa"/>
            <w:tcBorders>
              <w:top w:val="nil"/>
              <w:left w:val="nil"/>
              <w:bottom w:val="nil"/>
              <w:right w:val="nil"/>
            </w:tcBorders>
            <w:shd w:val="clear" w:color="auto" w:fill="auto"/>
            <w:vAlign w:val="bottom"/>
            <w:hideMark/>
          </w:tcPr>
          <w:p w14:paraId="56BADE67" w14:textId="77777777" w:rsidR="004C0BBA" w:rsidRPr="006C6F80" w:rsidRDefault="004C0BBA" w:rsidP="004C0BBA">
            <w:pPr>
              <w:jc w:val="center"/>
              <w:rPr>
                <w:color w:val="000000" w:themeColor="text1"/>
                <w:sz w:val="20"/>
                <w:szCs w:val="20"/>
              </w:rPr>
            </w:pPr>
            <w:r w:rsidRPr="006C6F80">
              <w:rPr>
                <w:color w:val="000000" w:themeColor="text1"/>
                <w:sz w:val="20"/>
                <w:szCs w:val="20"/>
              </w:rPr>
              <w:t>0.018**</w:t>
            </w:r>
          </w:p>
        </w:tc>
      </w:tr>
      <w:tr w:rsidR="004C0BBA" w:rsidRPr="006C6F80" w14:paraId="106E582F" w14:textId="77777777" w:rsidTr="004C0BBA">
        <w:trPr>
          <w:trHeight w:val="260"/>
          <w:jc w:val="center"/>
        </w:trPr>
        <w:tc>
          <w:tcPr>
            <w:tcW w:w="1020" w:type="dxa"/>
            <w:tcBorders>
              <w:top w:val="nil"/>
              <w:left w:val="nil"/>
              <w:bottom w:val="nil"/>
              <w:right w:val="nil"/>
            </w:tcBorders>
            <w:shd w:val="clear" w:color="auto" w:fill="auto"/>
            <w:vAlign w:val="center"/>
            <w:hideMark/>
          </w:tcPr>
          <w:p w14:paraId="59A333B2" w14:textId="77777777" w:rsidR="004C0BBA" w:rsidRPr="006C6F80" w:rsidRDefault="004C0BBA" w:rsidP="004C0BBA">
            <w:pPr>
              <w:jc w:val="center"/>
              <w:rPr>
                <w:color w:val="000000" w:themeColor="text1"/>
                <w:sz w:val="20"/>
                <w:szCs w:val="20"/>
              </w:rPr>
            </w:pPr>
          </w:p>
        </w:tc>
        <w:tc>
          <w:tcPr>
            <w:tcW w:w="3940" w:type="dxa"/>
            <w:tcBorders>
              <w:top w:val="nil"/>
              <w:left w:val="nil"/>
              <w:bottom w:val="nil"/>
              <w:right w:val="nil"/>
            </w:tcBorders>
            <w:shd w:val="clear" w:color="auto" w:fill="auto"/>
            <w:vAlign w:val="center"/>
            <w:hideMark/>
          </w:tcPr>
          <w:p w14:paraId="650323FB" w14:textId="77777777" w:rsidR="004C0BBA" w:rsidRPr="006C6F80" w:rsidRDefault="004C0BBA" w:rsidP="004C0BBA">
            <w:pPr>
              <w:rPr>
                <w:color w:val="000000" w:themeColor="text1"/>
                <w:sz w:val="20"/>
                <w:szCs w:val="20"/>
              </w:rPr>
            </w:pPr>
          </w:p>
        </w:tc>
        <w:tc>
          <w:tcPr>
            <w:tcW w:w="1020" w:type="dxa"/>
            <w:tcBorders>
              <w:top w:val="nil"/>
              <w:left w:val="nil"/>
              <w:bottom w:val="nil"/>
              <w:right w:val="nil"/>
            </w:tcBorders>
            <w:shd w:val="clear" w:color="auto" w:fill="auto"/>
            <w:vAlign w:val="bottom"/>
            <w:hideMark/>
          </w:tcPr>
          <w:p w14:paraId="448838BD" w14:textId="77777777" w:rsidR="004C0BBA" w:rsidRPr="006C6F80" w:rsidRDefault="004C0BBA" w:rsidP="004C0BBA">
            <w:pPr>
              <w:rPr>
                <w:color w:val="000000" w:themeColor="text1"/>
                <w:sz w:val="20"/>
                <w:szCs w:val="20"/>
              </w:rPr>
            </w:pPr>
          </w:p>
        </w:tc>
        <w:tc>
          <w:tcPr>
            <w:tcW w:w="1020" w:type="dxa"/>
            <w:tcBorders>
              <w:top w:val="nil"/>
              <w:left w:val="nil"/>
              <w:bottom w:val="nil"/>
              <w:right w:val="nil"/>
            </w:tcBorders>
            <w:shd w:val="clear" w:color="auto" w:fill="auto"/>
            <w:vAlign w:val="bottom"/>
            <w:hideMark/>
          </w:tcPr>
          <w:p w14:paraId="38F57B5C"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3C8A43F3"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1F5D9EB7"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659E995C" w14:textId="77777777" w:rsidR="004C0BBA" w:rsidRPr="006C6F80" w:rsidRDefault="004C0BBA" w:rsidP="004C0BBA">
            <w:pPr>
              <w:jc w:val="center"/>
              <w:rPr>
                <w:color w:val="000000" w:themeColor="text1"/>
                <w:sz w:val="20"/>
                <w:szCs w:val="20"/>
              </w:rPr>
            </w:pPr>
          </w:p>
        </w:tc>
      </w:tr>
      <w:tr w:rsidR="004C0BBA" w:rsidRPr="006C6F80" w14:paraId="018E1084" w14:textId="77777777" w:rsidTr="004C0BBA">
        <w:trPr>
          <w:trHeight w:val="260"/>
          <w:jc w:val="center"/>
        </w:trPr>
        <w:tc>
          <w:tcPr>
            <w:tcW w:w="4960" w:type="dxa"/>
            <w:gridSpan w:val="2"/>
            <w:tcBorders>
              <w:top w:val="nil"/>
              <w:left w:val="nil"/>
              <w:bottom w:val="nil"/>
              <w:right w:val="nil"/>
            </w:tcBorders>
            <w:shd w:val="clear" w:color="auto" w:fill="auto"/>
            <w:vAlign w:val="center"/>
            <w:hideMark/>
          </w:tcPr>
          <w:p w14:paraId="7439BCEA" w14:textId="77777777" w:rsidR="004C0BBA" w:rsidRPr="006C6F80" w:rsidRDefault="004C0BBA" w:rsidP="004C0BBA">
            <w:pPr>
              <w:rPr>
                <w:b/>
                <w:bCs/>
                <w:i/>
                <w:iCs/>
                <w:color w:val="000000" w:themeColor="text1"/>
                <w:sz w:val="20"/>
                <w:szCs w:val="20"/>
              </w:rPr>
            </w:pPr>
            <w:r w:rsidRPr="006C6F80">
              <w:rPr>
                <w:b/>
                <w:bCs/>
                <w:i/>
                <w:iCs/>
                <w:color w:val="000000" w:themeColor="text1"/>
                <w:sz w:val="20"/>
                <w:szCs w:val="20"/>
              </w:rPr>
              <w:t>First job characteristics</w:t>
            </w:r>
          </w:p>
        </w:tc>
        <w:tc>
          <w:tcPr>
            <w:tcW w:w="1020" w:type="dxa"/>
            <w:tcBorders>
              <w:top w:val="nil"/>
              <w:left w:val="nil"/>
              <w:bottom w:val="nil"/>
              <w:right w:val="nil"/>
            </w:tcBorders>
            <w:shd w:val="clear" w:color="auto" w:fill="auto"/>
            <w:vAlign w:val="bottom"/>
            <w:hideMark/>
          </w:tcPr>
          <w:p w14:paraId="661165E6" w14:textId="77777777" w:rsidR="004C0BBA" w:rsidRPr="006C6F80" w:rsidRDefault="004C0BBA" w:rsidP="004C0BBA">
            <w:pPr>
              <w:rPr>
                <w:b/>
                <w:bCs/>
                <w:i/>
                <w:iCs/>
                <w:color w:val="000000" w:themeColor="text1"/>
                <w:sz w:val="20"/>
                <w:szCs w:val="20"/>
              </w:rPr>
            </w:pPr>
          </w:p>
        </w:tc>
        <w:tc>
          <w:tcPr>
            <w:tcW w:w="1020" w:type="dxa"/>
            <w:tcBorders>
              <w:top w:val="nil"/>
              <w:left w:val="nil"/>
              <w:bottom w:val="nil"/>
              <w:right w:val="nil"/>
            </w:tcBorders>
            <w:shd w:val="clear" w:color="auto" w:fill="auto"/>
            <w:vAlign w:val="bottom"/>
            <w:hideMark/>
          </w:tcPr>
          <w:p w14:paraId="447F235D"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5C7C7575"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2DB2FF11"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46F008CA" w14:textId="77777777" w:rsidR="004C0BBA" w:rsidRPr="006C6F80" w:rsidRDefault="004C0BBA" w:rsidP="004C0BBA">
            <w:pPr>
              <w:jc w:val="center"/>
              <w:rPr>
                <w:color w:val="000000" w:themeColor="text1"/>
                <w:sz w:val="20"/>
                <w:szCs w:val="20"/>
              </w:rPr>
            </w:pPr>
          </w:p>
        </w:tc>
      </w:tr>
      <w:tr w:rsidR="004C0BBA" w:rsidRPr="006C6F80" w14:paraId="5E09D627" w14:textId="77777777" w:rsidTr="004C0BBA">
        <w:trPr>
          <w:trHeight w:val="260"/>
          <w:jc w:val="center"/>
        </w:trPr>
        <w:tc>
          <w:tcPr>
            <w:tcW w:w="4960" w:type="dxa"/>
            <w:gridSpan w:val="2"/>
            <w:tcBorders>
              <w:top w:val="nil"/>
              <w:left w:val="nil"/>
              <w:bottom w:val="nil"/>
              <w:right w:val="nil"/>
            </w:tcBorders>
            <w:shd w:val="clear" w:color="auto" w:fill="auto"/>
            <w:vAlign w:val="center"/>
            <w:hideMark/>
          </w:tcPr>
          <w:p w14:paraId="421C5758" w14:textId="77777777" w:rsidR="004C0BBA" w:rsidRPr="006C6F80" w:rsidRDefault="004C0BBA" w:rsidP="004C0BBA">
            <w:pPr>
              <w:rPr>
                <w:i/>
                <w:iCs/>
                <w:color w:val="000000" w:themeColor="text1"/>
                <w:sz w:val="20"/>
                <w:szCs w:val="20"/>
              </w:rPr>
            </w:pPr>
            <w:r w:rsidRPr="006C6F80">
              <w:rPr>
                <w:i/>
                <w:iCs/>
                <w:color w:val="000000" w:themeColor="text1"/>
                <w:sz w:val="20"/>
                <w:szCs w:val="20"/>
              </w:rPr>
              <w:t>Economic activity</w:t>
            </w:r>
          </w:p>
        </w:tc>
        <w:tc>
          <w:tcPr>
            <w:tcW w:w="1020" w:type="dxa"/>
            <w:tcBorders>
              <w:top w:val="nil"/>
              <w:left w:val="nil"/>
              <w:bottom w:val="nil"/>
              <w:right w:val="nil"/>
            </w:tcBorders>
            <w:shd w:val="clear" w:color="auto" w:fill="auto"/>
            <w:vAlign w:val="bottom"/>
            <w:hideMark/>
          </w:tcPr>
          <w:p w14:paraId="544F9812" w14:textId="77777777" w:rsidR="004C0BBA" w:rsidRPr="006C6F80" w:rsidRDefault="004C0BBA" w:rsidP="004C0BBA">
            <w:pPr>
              <w:rPr>
                <w:i/>
                <w:iCs/>
                <w:color w:val="000000" w:themeColor="text1"/>
                <w:sz w:val="20"/>
                <w:szCs w:val="20"/>
              </w:rPr>
            </w:pPr>
          </w:p>
        </w:tc>
        <w:tc>
          <w:tcPr>
            <w:tcW w:w="1020" w:type="dxa"/>
            <w:tcBorders>
              <w:top w:val="nil"/>
              <w:left w:val="nil"/>
              <w:bottom w:val="nil"/>
              <w:right w:val="nil"/>
            </w:tcBorders>
            <w:shd w:val="clear" w:color="auto" w:fill="auto"/>
            <w:vAlign w:val="bottom"/>
            <w:hideMark/>
          </w:tcPr>
          <w:p w14:paraId="0C89CC53"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1D704134"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76823271"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7BD60EFC" w14:textId="77777777" w:rsidR="004C0BBA" w:rsidRPr="006C6F80" w:rsidRDefault="004C0BBA" w:rsidP="004C0BBA">
            <w:pPr>
              <w:jc w:val="center"/>
              <w:rPr>
                <w:color w:val="000000" w:themeColor="text1"/>
                <w:sz w:val="20"/>
                <w:szCs w:val="20"/>
              </w:rPr>
            </w:pPr>
          </w:p>
        </w:tc>
      </w:tr>
      <w:tr w:rsidR="004C0BBA" w:rsidRPr="006C6F80" w14:paraId="2661EE35"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3A6972B4" w14:textId="77777777" w:rsidR="004C0BBA" w:rsidRPr="006C6F80" w:rsidRDefault="004C0BBA" w:rsidP="004C0BBA">
            <w:pPr>
              <w:rPr>
                <w:color w:val="000000" w:themeColor="text1"/>
                <w:sz w:val="20"/>
                <w:szCs w:val="20"/>
              </w:rPr>
            </w:pPr>
            <w:r w:rsidRPr="006C6F80">
              <w:rPr>
                <w:color w:val="000000" w:themeColor="text1"/>
                <w:sz w:val="20"/>
                <w:szCs w:val="20"/>
              </w:rPr>
              <w:t>Agriculture, Forestry, Fishing</w:t>
            </w:r>
          </w:p>
        </w:tc>
        <w:tc>
          <w:tcPr>
            <w:tcW w:w="1020" w:type="dxa"/>
            <w:tcBorders>
              <w:top w:val="nil"/>
              <w:left w:val="nil"/>
              <w:bottom w:val="nil"/>
              <w:right w:val="nil"/>
            </w:tcBorders>
            <w:shd w:val="clear" w:color="auto" w:fill="auto"/>
            <w:vAlign w:val="bottom"/>
            <w:hideMark/>
          </w:tcPr>
          <w:p w14:paraId="7A6249BD" w14:textId="77777777" w:rsidR="004C0BBA" w:rsidRPr="006C6F80" w:rsidRDefault="004C0BBA" w:rsidP="004C0BBA">
            <w:pPr>
              <w:jc w:val="center"/>
              <w:rPr>
                <w:color w:val="000000" w:themeColor="text1"/>
                <w:sz w:val="20"/>
                <w:szCs w:val="20"/>
              </w:rPr>
            </w:pPr>
            <w:r w:rsidRPr="006C6F80">
              <w:rPr>
                <w:color w:val="000000" w:themeColor="text1"/>
                <w:sz w:val="20"/>
                <w:szCs w:val="20"/>
              </w:rPr>
              <w:t>0.309</w:t>
            </w:r>
          </w:p>
        </w:tc>
        <w:tc>
          <w:tcPr>
            <w:tcW w:w="1020" w:type="dxa"/>
            <w:tcBorders>
              <w:top w:val="nil"/>
              <w:left w:val="nil"/>
              <w:bottom w:val="nil"/>
              <w:right w:val="nil"/>
            </w:tcBorders>
            <w:shd w:val="clear" w:color="auto" w:fill="auto"/>
            <w:vAlign w:val="bottom"/>
            <w:hideMark/>
          </w:tcPr>
          <w:p w14:paraId="27B3DC83" w14:textId="77777777" w:rsidR="004C0BBA" w:rsidRPr="006C6F80" w:rsidRDefault="004C0BBA" w:rsidP="004C0BBA">
            <w:pPr>
              <w:jc w:val="center"/>
              <w:rPr>
                <w:color w:val="000000" w:themeColor="text1"/>
                <w:sz w:val="20"/>
                <w:szCs w:val="20"/>
              </w:rPr>
            </w:pPr>
            <w:r w:rsidRPr="006C6F80">
              <w:rPr>
                <w:color w:val="000000" w:themeColor="text1"/>
                <w:sz w:val="20"/>
                <w:szCs w:val="20"/>
              </w:rPr>
              <w:t>0.462</w:t>
            </w:r>
          </w:p>
        </w:tc>
        <w:tc>
          <w:tcPr>
            <w:tcW w:w="1020" w:type="dxa"/>
            <w:tcBorders>
              <w:top w:val="nil"/>
              <w:left w:val="nil"/>
              <w:bottom w:val="nil"/>
              <w:right w:val="nil"/>
            </w:tcBorders>
            <w:shd w:val="clear" w:color="auto" w:fill="auto"/>
            <w:vAlign w:val="bottom"/>
            <w:hideMark/>
          </w:tcPr>
          <w:p w14:paraId="3A1F4304" w14:textId="77777777" w:rsidR="004C0BBA" w:rsidRPr="006C6F80" w:rsidRDefault="004C0BBA" w:rsidP="004C0BBA">
            <w:pPr>
              <w:jc w:val="center"/>
              <w:rPr>
                <w:color w:val="000000" w:themeColor="text1"/>
                <w:sz w:val="20"/>
                <w:szCs w:val="20"/>
              </w:rPr>
            </w:pPr>
            <w:r w:rsidRPr="006C6F80">
              <w:rPr>
                <w:color w:val="000000" w:themeColor="text1"/>
                <w:sz w:val="20"/>
                <w:szCs w:val="20"/>
              </w:rPr>
              <w:t>0.433</w:t>
            </w:r>
          </w:p>
        </w:tc>
        <w:tc>
          <w:tcPr>
            <w:tcW w:w="1020" w:type="dxa"/>
            <w:tcBorders>
              <w:top w:val="nil"/>
              <w:left w:val="nil"/>
              <w:bottom w:val="nil"/>
              <w:right w:val="nil"/>
            </w:tcBorders>
            <w:shd w:val="clear" w:color="auto" w:fill="auto"/>
            <w:vAlign w:val="bottom"/>
            <w:hideMark/>
          </w:tcPr>
          <w:p w14:paraId="5C5AB77C" w14:textId="77777777" w:rsidR="004C0BBA" w:rsidRPr="006C6F80" w:rsidRDefault="004C0BBA" w:rsidP="004C0BBA">
            <w:pPr>
              <w:jc w:val="center"/>
              <w:rPr>
                <w:color w:val="000000" w:themeColor="text1"/>
                <w:sz w:val="20"/>
                <w:szCs w:val="20"/>
              </w:rPr>
            </w:pPr>
            <w:r w:rsidRPr="006C6F80">
              <w:rPr>
                <w:color w:val="000000" w:themeColor="text1"/>
                <w:sz w:val="20"/>
                <w:szCs w:val="20"/>
              </w:rPr>
              <w:t>0.496</w:t>
            </w:r>
          </w:p>
        </w:tc>
        <w:tc>
          <w:tcPr>
            <w:tcW w:w="1020" w:type="dxa"/>
            <w:tcBorders>
              <w:top w:val="nil"/>
              <w:left w:val="nil"/>
              <w:bottom w:val="nil"/>
              <w:right w:val="nil"/>
            </w:tcBorders>
            <w:shd w:val="clear" w:color="auto" w:fill="auto"/>
            <w:vAlign w:val="bottom"/>
            <w:hideMark/>
          </w:tcPr>
          <w:p w14:paraId="1F3DF162" w14:textId="77777777" w:rsidR="004C0BBA" w:rsidRPr="006C6F80" w:rsidRDefault="004C0BBA" w:rsidP="004C0BBA">
            <w:pPr>
              <w:jc w:val="center"/>
              <w:rPr>
                <w:color w:val="000000" w:themeColor="text1"/>
                <w:sz w:val="20"/>
                <w:szCs w:val="20"/>
              </w:rPr>
            </w:pPr>
            <w:r w:rsidRPr="006C6F80">
              <w:rPr>
                <w:color w:val="000000" w:themeColor="text1"/>
                <w:sz w:val="20"/>
                <w:szCs w:val="20"/>
              </w:rPr>
              <w:t>-0.124***</w:t>
            </w:r>
          </w:p>
        </w:tc>
      </w:tr>
      <w:tr w:rsidR="004C0BBA" w:rsidRPr="006C6F80" w14:paraId="228727F9" w14:textId="77777777" w:rsidTr="004C0BBA">
        <w:trPr>
          <w:trHeight w:val="260"/>
          <w:jc w:val="center"/>
        </w:trPr>
        <w:tc>
          <w:tcPr>
            <w:tcW w:w="4960" w:type="dxa"/>
            <w:gridSpan w:val="2"/>
            <w:tcBorders>
              <w:top w:val="nil"/>
              <w:left w:val="nil"/>
              <w:bottom w:val="nil"/>
              <w:right w:val="nil"/>
            </w:tcBorders>
            <w:shd w:val="clear" w:color="auto" w:fill="auto"/>
            <w:vAlign w:val="center"/>
            <w:hideMark/>
          </w:tcPr>
          <w:p w14:paraId="15FC242C" w14:textId="77777777" w:rsidR="004C0BBA" w:rsidRPr="006C6F80" w:rsidRDefault="004C0BBA" w:rsidP="004C0BBA">
            <w:pPr>
              <w:rPr>
                <w:color w:val="000000" w:themeColor="text1"/>
                <w:sz w:val="20"/>
                <w:szCs w:val="20"/>
              </w:rPr>
            </w:pPr>
            <w:r w:rsidRPr="006C6F80">
              <w:rPr>
                <w:color w:val="000000" w:themeColor="text1"/>
                <w:sz w:val="20"/>
                <w:szCs w:val="20"/>
              </w:rPr>
              <w:t>Manufacturing, Mining, Quarrying</w:t>
            </w:r>
          </w:p>
        </w:tc>
        <w:tc>
          <w:tcPr>
            <w:tcW w:w="1020" w:type="dxa"/>
            <w:tcBorders>
              <w:top w:val="nil"/>
              <w:left w:val="nil"/>
              <w:bottom w:val="nil"/>
              <w:right w:val="nil"/>
            </w:tcBorders>
            <w:shd w:val="clear" w:color="auto" w:fill="auto"/>
            <w:vAlign w:val="bottom"/>
            <w:hideMark/>
          </w:tcPr>
          <w:p w14:paraId="05047950" w14:textId="77777777" w:rsidR="004C0BBA" w:rsidRPr="006C6F80" w:rsidRDefault="004C0BBA" w:rsidP="004C0BBA">
            <w:pPr>
              <w:jc w:val="center"/>
              <w:rPr>
                <w:color w:val="000000" w:themeColor="text1"/>
                <w:sz w:val="20"/>
                <w:szCs w:val="20"/>
              </w:rPr>
            </w:pPr>
            <w:r w:rsidRPr="006C6F80">
              <w:rPr>
                <w:color w:val="000000" w:themeColor="text1"/>
                <w:sz w:val="20"/>
                <w:szCs w:val="20"/>
              </w:rPr>
              <w:t>0.148</w:t>
            </w:r>
          </w:p>
        </w:tc>
        <w:tc>
          <w:tcPr>
            <w:tcW w:w="1020" w:type="dxa"/>
            <w:tcBorders>
              <w:top w:val="nil"/>
              <w:left w:val="nil"/>
              <w:bottom w:val="nil"/>
              <w:right w:val="nil"/>
            </w:tcBorders>
            <w:shd w:val="clear" w:color="auto" w:fill="auto"/>
            <w:vAlign w:val="bottom"/>
            <w:hideMark/>
          </w:tcPr>
          <w:p w14:paraId="17AEB6ED" w14:textId="77777777" w:rsidR="004C0BBA" w:rsidRPr="006C6F80" w:rsidRDefault="004C0BBA" w:rsidP="004C0BBA">
            <w:pPr>
              <w:jc w:val="center"/>
              <w:rPr>
                <w:color w:val="000000" w:themeColor="text1"/>
                <w:sz w:val="20"/>
                <w:szCs w:val="20"/>
              </w:rPr>
            </w:pPr>
            <w:r w:rsidRPr="006C6F80">
              <w:rPr>
                <w:color w:val="000000" w:themeColor="text1"/>
                <w:sz w:val="20"/>
                <w:szCs w:val="20"/>
              </w:rPr>
              <w:t>0.355</w:t>
            </w:r>
          </w:p>
        </w:tc>
        <w:tc>
          <w:tcPr>
            <w:tcW w:w="1020" w:type="dxa"/>
            <w:tcBorders>
              <w:top w:val="nil"/>
              <w:left w:val="nil"/>
              <w:bottom w:val="nil"/>
              <w:right w:val="nil"/>
            </w:tcBorders>
            <w:shd w:val="clear" w:color="auto" w:fill="auto"/>
            <w:vAlign w:val="bottom"/>
            <w:hideMark/>
          </w:tcPr>
          <w:p w14:paraId="24AC52CE" w14:textId="77777777" w:rsidR="004C0BBA" w:rsidRPr="006C6F80" w:rsidRDefault="004C0BBA" w:rsidP="004C0BBA">
            <w:pPr>
              <w:jc w:val="center"/>
              <w:rPr>
                <w:color w:val="000000" w:themeColor="text1"/>
                <w:sz w:val="20"/>
                <w:szCs w:val="20"/>
              </w:rPr>
            </w:pPr>
            <w:r w:rsidRPr="006C6F80">
              <w:rPr>
                <w:color w:val="000000" w:themeColor="text1"/>
                <w:sz w:val="20"/>
                <w:szCs w:val="20"/>
              </w:rPr>
              <w:t>0.116</w:t>
            </w:r>
          </w:p>
        </w:tc>
        <w:tc>
          <w:tcPr>
            <w:tcW w:w="1020" w:type="dxa"/>
            <w:tcBorders>
              <w:top w:val="nil"/>
              <w:left w:val="nil"/>
              <w:bottom w:val="nil"/>
              <w:right w:val="nil"/>
            </w:tcBorders>
            <w:shd w:val="clear" w:color="auto" w:fill="auto"/>
            <w:vAlign w:val="bottom"/>
            <w:hideMark/>
          </w:tcPr>
          <w:p w14:paraId="01F15EDD" w14:textId="77777777" w:rsidR="004C0BBA" w:rsidRPr="006C6F80" w:rsidRDefault="004C0BBA" w:rsidP="004C0BBA">
            <w:pPr>
              <w:jc w:val="center"/>
              <w:rPr>
                <w:color w:val="000000" w:themeColor="text1"/>
                <w:sz w:val="20"/>
                <w:szCs w:val="20"/>
              </w:rPr>
            </w:pPr>
            <w:r w:rsidRPr="006C6F80">
              <w:rPr>
                <w:color w:val="000000" w:themeColor="text1"/>
                <w:sz w:val="20"/>
                <w:szCs w:val="20"/>
              </w:rPr>
              <w:t>0.321</w:t>
            </w:r>
          </w:p>
        </w:tc>
        <w:tc>
          <w:tcPr>
            <w:tcW w:w="1020" w:type="dxa"/>
            <w:tcBorders>
              <w:top w:val="nil"/>
              <w:left w:val="nil"/>
              <w:bottom w:val="nil"/>
              <w:right w:val="nil"/>
            </w:tcBorders>
            <w:shd w:val="clear" w:color="auto" w:fill="auto"/>
            <w:vAlign w:val="bottom"/>
            <w:hideMark/>
          </w:tcPr>
          <w:p w14:paraId="23D0F657" w14:textId="77777777" w:rsidR="004C0BBA" w:rsidRPr="006C6F80" w:rsidRDefault="004C0BBA" w:rsidP="004C0BBA">
            <w:pPr>
              <w:jc w:val="center"/>
              <w:rPr>
                <w:color w:val="000000" w:themeColor="text1"/>
                <w:sz w:val="20"/>
                <w:szCs w:val="20"/>
              </w:rPr>
            </w:pPr>
            <w:r w:rsidRPr="006C6F80">
              <w:rPr>
                <w:color w:val="000000" w:themeColor="text1"/>
                <w:sz w:val="20"/>
                <w:szCs w:val="20"/>
              </w:rPr>
              <w:t>0.032</w:t>
            </w:r>
          </w:p>
        </w:tc>
      </w:tr>
      <w:tr w:rsidR="004C0BBA" w:rsidRPr="006C6F80" w14:paraId="504E5F31"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36154710" w14:textId="77777777" w:rsidR="004C0BBA" w:rsidRPr="006C6F80" w:rsidRDefault="004C0BBA" w:rsidP="004C0BBA">
            <w:pPr>
              <w:rPr>
                <w:color w:val="000000" w:themeColor="text1"/>
                <w:sz w:val="20"/>
                <w:szCs w:val="20"/>
              </w:rPr>
            </w:pPr>
            <w:r w:rsidRPr="006C6F80">
              <w:rPr>
                <w:color w:val="000000" w:themeColor="text1"/>
                <w:sz w:val="20"/>
                <w:szCs w:val="20"/>
              </w:rPr>
              <w:t>Construction</w:t>
            </w:r>
          </w:p>
        </w:tc>
        <w:tc>
          <w:tcPr>
            <w:tcW w:w="1020" w:type="dxa"/>
            <w:tcBorders>
              <w:top w:val="nil"/>
              <w:left w:val="nil"/>
              <w:bottom w:val="nil"/>
              <w:right w:val="nil"/>
            </w:tcBorders>
            <w:shd w:val="clear" w:color="auto" w:fill="auto"/>
            <w:vAlign w:val="bottom"/>
            <w:hideMark/>
          </w:tcPr>
          <w:p w14:paraId="6953EEDA" w14:textId="77777777" w:rsidR="004C0BBA" w:rsidRPr="006C6F80" w:rsidRDefault="004C0BBA" w:rsidP="004C0BBA">
            <w:pPr>
              <w:jc w:val="center"/>
              <w:rPr>
                <w:color w:val="000000" w:themeColor="text1"/>
                <w:sz w:val="20"/>
                <w:szCs w:val="20"/>
              </w:rPr>
            </w:pPr>
            <w:r w:rsidRPr="006C6F80">
              <w:rPr>
                <w:color w:val="000000" w:themeColor="text1"/>
                <w:sz w:val="20"/>
                <w:szCs w:val="20"/>
              </w:rPr>
              <w:t>0.119</w:t>
            </w:r>
          </w:p>
        </w:tc>
        <w:tc>
          <w:tcPr>
            <w:tcW w:w="1020" w:type="dxa"/>
            <w:tcBorders>
              <w:top w:val="nil"/>
              <w:left w:val="nil"/>
              <w:bottom w:val="nil"/>
              <w:right w:val="nil"/>
            </w:tcBorders>
            <w:shd w:val="clear" w:color="auto" w:fill="auto"/>
            <w:vAlign w:val="bottom"/>
            <w:hideMark/>
          </w:tcPr>
          <w:p w14:paraId="53FF0A52" w14:textId="77777777" w:rsidR="004C0BBA" w:rsidRPr="006C6F80" w:rsidRDefault="004C0BBA" w:rsidP="004C0BBA">
            <w:pPr>
              <w:jc w:val="center"/>
              <w:rPr>
                <w:color w:val="000000" w:themeColor="text1"/>
                <w:sz w:val="20"/>
                <w:szCs w:val="20"/>
              </w:rPr>
            </w:pPr>
            <w:r w:rsidRPr="006C6F80">
              <w:rPr>
                <w:color w:val="000000" w:themeColor="text1"/>
                <w:sz w:val="20"/>
                <w:szCs w:val="20"/>
              </w:rPr>
              <w:t>0.323</w:t>
            </w:r>
          </w:p>
        </w:tc>
        <w:tc>
          <w:tcPr>
            <w:tcW w:w="1020" w:type="dxa"/>
            <w:tcBorders>
              <w:top w:val="nil"/>
              <w:left w:val="nil"/>
              <w:bottom w:val="nil"/>
              <w:right w:val="nil"/>
            </w:tcBorders>
            <w:shd w:val="clear" w:color="auto" w:fill="auto"/>
            <w:vAlign w:val="bottom"/>
            <w:hideMark/>
          </w:tcPr>
          <w:p w14:paraId="7A3BBF8E" w14:textId="77777777" w:rsidR="004C0BBA" w:rsidRPr="006C6F80" w:rsidRDefault="004C0BBA" w:rsidP="004C0BBA">
            <w:pPr>
              <w:jc w:val="center"/>
              <w:rPr>
                <w:color w:val="000000" w:themeColor="text1"/>
                <w:sz w:val="20"/>
                <w:szCs w:val="20"/>
              </w:rPr>
            </w:pPr>
            <w:r w:rsidRPr="006C6F80">
              <w:rPr>
                <w:color w:val="000000" w:themeColor="text1"/>
                <w:sz w:val="20"/>
                <w:szCs w:val="20"/>
              </w:rPr>
              <w:t>0.22</w:t>
            </w:r>
          </w:p>
        </w:tc>
        <w:tc>
          <w:tcPr>
            <w:tcW w:w="1020" w:type="dxa"/>
            <w:tcBorders>
              <w:top w:val="nil"/>
              <w:left w:val="nil"/>
              <w:bottom w:val="nil"/>
              <w:right w:val="nil"/>
            </w:tcBorders>
            <w:shd w:val="clear" w:color="auto" w:fill="auto"/>
            <w:vAlign w:val="bottom"/>
            <w:hideMark/>
          </w:tcPr>
          <w:p w14:paraId="6130ADA2" w14:textId="77777777" w:rsidR="004C0BBA" w:rsidRPr="006C6F80" w:rsidRDefault="004C0BBA" w:rsidP="004C0BBA">
            <w:pPr>
              <w:jc w:val="center"/>
              <w:rPr>
                <w:color w:val="000000" w:themeColor="text1"/>
                <w:sz w:val="20"/>
                <w:szCs w:val="20"/>
              </w:rPr>
            </w:pPr>
            <w:r w:rsidRPr="006C6F80">
              <w:rPr>
                <w:color w:val="000000" w:themeColor="text1"/>
                <w:sz w:val="20"/>
                <w:szCs w:val="20"/>
              </w:rPr>
              <w:t>0.415</w:t>
            </w:r>
          </w:p>
        </w:tc>
        <w:tc>
          <w:tcPr>
            <w:tcW w:w="1020" w:type="dxa"/>
            <w:tcBorders>
              <w:top w:val="nil"/>
              <w:left w:val="nil"/>
              <w:bottom w:val="nil"/>
              <w:right w:val="nil"/>
            </w:tcBorders>
            <w:shd w:val="clear" w:color="auto" w:fill="auto"/>
            <w:vAlign w:val="bottom"/>
            <w:hideMark/>
          </w:tcPr>
          <w:p w14:paraId="23821438" w14:textId="77777777" w:rsidR="004C0BBA" w:rsidRPr="006C6F80" w:rsidRDefault="004C0BBA" w:rsidP="004C0BBA">
            <w:pPr>
              <w:jc w:val="center"/>
              <w:rPr>
                <w:color w:val="000000" w:themeColor="text1"/>
                <w:sz w:val="20"/>
                <w:szCs w:val="20"/>
              </w:rPr>
            </w:pPr>
            <w:r w:rsidRPr="006C6F80">
              <w:rPr>
                <w:color w:val="000000" w:themeColor="text1"/>
                <w:sz w:val="20"/>
                <w:szCs w:val="20"/>
              </w:rPr>
              <w:t>-0.101***</w:t>
            </w:r>
          </w:p>
        </w:tc>
      </w:tr>
      <w:tr w:rsidR="004C0BBA" w:rsidRPr="006C6F80" w14:paraId="5B77C90B"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69A6B324" w14:textId="77777777" w:rsidR="004C0BBA" w:rsidRPr="006C6F80" w:rsidRDefault="004C0BBA" w:rsidP="004C0BBA">
            <w:pPr>
              <w:rPr>
                <w:color w:val="000000" w:themeColor="text1"/>
                <w:sz w:val="20"/>
                <w:szCs w:val="20"/>
              </w:rPr>
            </w:pPr>
            <w:r w:rsidRPr="006C6F80">
              <w:rPr>
                <w:color w:val="000000" w:themeColor="text1"/>
                <w:sz w:val="20"/>
                <w:szCs w:val="20"/>
              </w:rPr>
              <w:t>Wholesale, retail trade, transportation and other activities</w:t>
            </w:r>
          </w:p>
        </w:tc>
        <w:tc>
          <w:tcPr>
            <w:tcW w:w="1020" w:type="dxa"/>
            <w:tcBorders>
              <w:top w:val="nil"/>
              <w:left w:val="nil"/>
              <w:bottom w:val="nil"/>
              <w:right w:val="nil"/>
            </w:tcBorders>
            <w:shd w:val="clear" w:color="auto" w:fill="auto"/>
            <w:vAlign w:val="bottom"/>
            <w:hideMark/>
          </w:tcPr>
          <w:p w14:paraId="3B334BD6" w14:textId="77777777" w:rsidR="004C0BBA" w:rsidRPr="006C6F80" w:rsidRDefault="004C0BBA" w:rsidP="004C0BBA">
            <w:pPr>
              <w:jc w:val="center"/>
              <w:rPr>
                <w:color w:val="000000" w:themeColor="text1"/>
                <w:sz w:val="20"/>
                <w:szCs w:val="20"/>
              </w:rPr>
            </w:pPr>
            <w:r w:rsidRPr="006C6F80">
              <w:rPr>
                <w:color w:val="000000" w:themeColor="text1"/>
                <w:sz w:val="20"/>
                <w:szCs w:val="20"/>
              </w:rPr>
              <w:t>0.219</w:t>
            </w:r>
          </w:p>
        </w:tc>
        <w:tc>
          <w:tcPr>
            <w:tcW w:w="1020" w:type="dxa"/>
            <w:tcBorders>
              <w:top w:val="nil"/>
              <w:left w:val="nil"/>
              <w:bottom w:val="nil"/>
              <w:right w:val="nil"/>
            </w:tcBorders>
            <w:shd w:val="clear" w:color="auto" w:fill="auto"/>
            <w:vAlign w:val="bottom"/>
            <w:hideMark/>
          </w:tcPr>
          <w:p w14:paraId="39F12FD4" w14:textId="77777777" w:rsidR="004C0BBA" w:rsidRPr="006C6F80" w:rsidRDefault="004C0BBA" w:rsidP="004C0BBA">
            <w:pPr>
              <w:jc w:val="center"/>
              <w:rPr>
                <w:color w:val="000000" w:themeColor="text1"/>
                <w:sz w:val="20"/>
                <w:szCs w:val="20"/>
              </w:rPr>
            </w:pPr>
            <w:r w:rsidRPr="006C6F80">
              <w:rPr>
                <w:color w:val="000000" w:themeColor="text1"/>
                <w:sz w:val="20"/>
                <w:szCs w:val="20"/>
              </w:rPr>
              <w:t>0.414</w:t>
            </w:r>
          </w:p>
        </w:tc>
        <w:tc>
          <w:tcPr>
            <w:tcW w:w="1020" w:type="dxa"/>
            <w:tcBorders>
              <w:top w:val="nil"/>
              <w:left w:val="nil"/>
              <w:bottom w:val="nil"/>
              <w:right w:val="nil"/>
            </w:tcBorders>
            <w:shd w:val="clear" w:color="auto" w:fill="auto"/>
            <w:vAlign w:val="bottom"/>
            <w:hideMark/>
          </w:tcPr>
          <w:p w14:paraId="74C49EBF" w14:textId="77777777" w:rsidR="004C0BBA" w:rsidRPr="006C6F80" w:rsidRDefault="004C0BBA" w:rsidP="004C0BBA">
            <w:pPr>
              <w:jc w:val="center"/>
              <w:rPr>
                <w:color w:val="000000" w:themeColor="text1"/>
                <w:sz w:val="20"/>
                <w:szCs w:val="20"/>
              </w:rPr>
            </w:pPr>
            <w:r w:rsidRPr="006C6F80">
              <w:rPr>
                <w:color w:val="000000" w:themeColor="text1"/>
                <w:sz w:val="20"/>
                <w:szCs w:val="20"/>
              </w:rPr>
              <w:t>0.128</w:t>
            </w:r>
          </w:p>
        </w:tc>
        <w:tc>
          <w:tcPr>
            <w:tcW w:w="1020" w:type="dxa"/>
            <w:tcBorders>
              <w:top w:val="nil"/>
              <w:left w:val="nil"/>
              <w:bottom w:val="nil"/>
              <w:right w:val="nil"/>
            </w:tcBorders>
            <w:shd w:val="clear" w:color="auto" w:fill="auto"/>
            <w:vAlign w:val="bottom"/>
            <w:hideMark/>
          </w:tcPr>
          <w:p w14:paraId="360AF136" w14:textId="77777777" w:rsidR="004C0BBA" w:rsidRPr="006C6F80" w:rsidRDefault="004C0BBA" w:rsidP="004C0BBA">
            <w:pPr>
              <w:jc w:val="center"/>
              <w:rPr>
                <w:color w:val="000000" w:themeColor="text1"/>
                <w:sz w:val="20"/>
                <w:szCs w:val="20"/>
              </w:rPr>
            </w:pPr>
            <w:r w:rsidRPr="006C6F80">
              <w:rPr>
                <w:color w:val="000000" w:themeColor="text1"/>
                <w:sz w:val="20"/>
                <w:szCs w:val="20"/>
              </w:rPr>
              <w:t>0.335</w:t>
            </w:r>
          </w:p>
        </w:tc>
        <w:tc>
          <w:tcPr>
            <w:tcW w:w="1020" w:type="dxa"/>
            <w:tcBorders>
              <w:top w:val="nil"/>
              <w:left w:val="nil"/>
              <w:bottom w:val="nil"/>
              <w:right w:val="nil"/>
            </w:tcBorders>
            <w:shd w:val="clear" w:color="auto" w:fill="auto"/>
            <w:vAlign w:val="bottom"/>
            <w:hideMark/>
          </w:tcPr>
          <w:p w14:paraId="5CD466C7" w14:textId="77777777" w:rsidR="004C0BBA" w:rsidRPr="006C6F80" w:rsidRDefault="004C0BBA" w:rsidP="004C0BBA">
            <w:pPr>
              <w:jc w:val="center"/>
              <w:rPr>
                <w:color w:val="000000" w:themeColor="text1"/>
                <w:sz w:val="20"/>
                <w:szCs w:val="20"/>
              </w:rPr>
            </w:pPr>
            <w:r w:rsidRPr="006C6F80">
              <w:rPr>
                <w:color w:val="000000" w:themeColor="text1"/>
                <w:sz w:val="20"/>
                <w:szCs w:val="20"/>
              </w:rPr>
              <w:t>0.091***</w:t>
            </w:r>
          </w:p>
        </w:tc>
      </w:tr>
      <w:tr w:rsidR="004C0BBA" w:rsidRPr="006C6F80" w14:paraId="29625BE5" w14:textId="77777777" w:rsidTr="004C0BBA">
        <w:trPr>
          <w:trHeight w:val="260"/>
          <w:jc w:val="center"/>
        </w:trPr>
        <w:tc>
          <w:tcPr>
            <w:tcW w:w="4960" w:type="dxa"/>
            <w:gridSpan w:val="2"/>
            <w:tcBorders>
              <w:top w:val="nil"/>
              <w:left w:val="nil"/>
              <w:bottom w:val="nil"/>
              <w:right w:val="nil"/>
            </w:tcBorders>
            <w:shd w:val="clear" w:color="auto" w:fill="auto"/>
            <w:vAlign w:val="center"/>
            <w:hideMark/>
          </w:tcPr>
          <w:p w14:paraId="1D68824A" w14:textId="77777777" w:rsidR="004C0BBA" w:rsidRPr="006C6F80" w:rsidRDefault="004C0BBA" w:rsidP="004C0BBA">
            <w:pPr>
              <w:rPr>
                <w:color w:val="000000" w:themeColor="text1"/>
                <w:sz w:val="20"/>
                <w:szCs w:val="20"/>
              </w:rPr>
            </w:pPr>
            <w:r w:rsidRPr="006C6F80">
              <w:rPr>
                <w:color w:val="000000" w:themeColor="text1"/>
                <w:sz w:val="20"/>
                <w:szCs w:val="20"/>
              </w:rPr>
              <w:t>Professional, scientific and administrative activities</w:t>
            </w:r>
          </w:p>
        </w:tc>
        <w:tc>
          <w:tcPr>
            <w:tcW w:w="1020" w:type="dxa"/>
            <w:tcBorders>
              <w:top w:val="nil"/>
              <w:left w:val="nil"/>
              <w:bottom w:val="nil"/>
              <w:right w:val="nil"/>
            </w:tcBorders>
            <w:shd w:val="clear" w:color="auto" w:fill="auto"/>
            <w:vAlign w:val="bottom"/>
            <w:hideMark/>
          </w:tcPr>
          <w:p w14:paraId="4D5B1BD0" w14:textId="77777777" w:rsidR="004C0BBA" w:rsidRPr="006C6F80" w:rsidRDefault="004C0BBA" w:rsidP="004C0BBA">
            <w:pPr>
              <w:jc w:val="center"/>
              <w:rPr>
                <w:color w:val="000000" w:themeColor="text1"/>
                <w:sz w:val="20"/>
                <w:szCs w:val="20"/>
              </w:rPr>
            </w:pPr>
            <w:r w:rsidRPr="006C6F80">
              <w:rPr>
                <w:color w:val="000000" w:themeColor="text1"/>
                <w:sz w:val="20"/>
                <w:szCs w:val="20"/>
              </w:rPr>
              <w:t>0.018</w:t>
            </w:r>
          </w:p>
        </w:tc>
        <w:tc>
          <w:tcPr>
            <w:tcW w:w="1020" w:type="dxa"/>
            <w:tcBorders>
              <w:top w:val="nil"/>
              <w:left w:val="nil"/>
              <w:bottom w:val="nil"/>
              <w:right w:val="nil"/>
            </w:tcBorders>
            <w:shd w:val="clear" w:color="auto" w:fill="auto"/>
            <w:vAlign w:val="bottom"/>
            <w:hideMark/>
          </w:tcPr>
          <w:p w14:paraId="3B46C69E" w14:textId="77777777" w:rsidR="004C0BBA" w:rsidRPr="006C6F80" w:rsidRDefault="004C0BBA" w:rsidP="004C0BBA">
            <w:pPr>
              <w:jc w:val="center"/>
              <w:rPr>
                <w:color w:val="000000" w:themeColor="text1"/>
                <w:sz w:val="20"/>
                <w:szCs w:val="20"/>
              </w:rPr>
            </w:pPr>
            <w:r w:rsidRPr="006C6F80">
              <w:rPr>
                <w:color w:val="000000" w:themeColor="text1"/>
                <w:sz w:val="20"/>
                <w:szCs w:val="20"/>
              </w:rPr>
              <w:t>0.132</w:t>
            </w:r>
          </w:p>
        </w:tc>
        <w:tc>
          <w:tcPr>
            <w:tcW w:w="1020" w:type="dxa"/>
            <w:tcBorders>
              <w:top w:val="nil"/>
              <w:left w:val="nil"/>
              <w:bottom w:val="nil"/>
              <w:right w:val="nil"/>
            </w:tcBorders>
            <w:shd w:val="clear" w:color="auto" w:fill="auto"/>
            <w:vAlign w:val="bottom"/>
            <w:hideMark/>
          </w:tcPr>
          <w:p w14:paraId="253E5CE3" w14:textId="77777777" w:rsidR="004C0BBA" w:rsidRPr="006C6F80" w:rsidRDefault="004C0BBA" w:rsidP="004C0BBA">
            <w:pPr>
              <w:jc w:val="center"/>
              <w:rPr>
                <w:color w:val="000000" w:themeColor="text1"/>
                <w:sz w:val="20"/>
                <w:szCs w:val="20"/>
              </w:rPr>
            </w:pPr>
            <w:r w:rsidRPr="006C6F80">
              <w:rPr>
                <w:color w:val="000000" w:themeColor="text1"/>
                <w:sz w:val="20"/>
                <w:szCs w:val="20"/>
              </w:rPr>
              <w:t>0.027</w:t>
            </w:r>
          </w:p>
        </w:tc>
        <w:tc>
          <w:tcPr>
            <w:tcW w:w="1020" w:type="dxa"/>
            <w:tcBorders>
              <w:top w:val="nil"/>
              <w:left w:val="nil"/>
              <w:bottom w:val="nil"/>
              <w:right w:val="nil"/>
            </w:tcBorders>
            <w:shd w:val="clear" w:color="auto" w:fill="auto"/>
            <w:vAlign w:val="bottom"/>
            <w:hideMark/>
          </w:tcPr>
          <w:p w14:paraId="647E40DC" w14:textId="77777777" w:rsidR="004C0BBA" w:rsidRPr="006C6F80" w:rsidRDefault="004C0BBA" w:rsidP="004C0BBA">
            <w:pPr>
              <w:jc w:val="center"/>
              <w:rPr>
                <w:color w:val="000000" w:themeColor="text1"/>
                <w:sz w:val="20"/>
                <w:szCs w:val="20"/>
              </w:rPr>
            </w:pPr>
            <w:r w:rsidRPr="006C6F80">
              <w:rPr>
                <w:color w:val="000000" w:themeColor="text1"/>
                <w:sz w:val="20"/>
                <w:szCs w:val="20"/>
              </w:rPr>
              <w:t>0.164</w:t>
            </w:r>
          </w:p>
        </w:tc>
        <w:tc>
          <w:tcPr>
            <w:tcW w:w="1020" w:type="dxa"/>
            <w:tcBorders>
              <w:top w:val="nil"/>
              <w:left w:val="nil"/>
              <w:bottom w:val="nil"/>
              <w:right w:val="nil"/>
            </w:tcBorders>
            <w:shd w:val="clear" w:color="auto" w:fill="auto"/>
            <w:vAlign w:val="bottom"/>
            <w:hideMark/>
          </w:tcPr>
          <w:p w14:paraId="5A8B344D" w14:textId="0445E896" w:rsidR="004C0BBA" w:rsidRPr="006C6F80" w:rsidRDefault="004C0BBA" w:rsidP="004C0BBA">
            <w:pPr>
              <w:jc w:val="center"/>
              <w:rPr>
                <w:color w:val="000000" w:themeColor="text1"/>
                <w:sz w:val="20"/>
                <w:szCs w:val="20"/>
              </w:rPr>
            </w:pPr>
            <w:r w:rsidRPr="006C6F80">
              <w:rPr>
                <w:color w:val="000000" w:themeColor="text1"/>
                <w:sz w:val="20"/>
                <w:szCs w:val="20"/>
              </w:rPr>
              <w:t>-0.01</w:t>
            </w:r>
            <w:r w:rsidR="009C3806" w:rsidRPr="006C6F80">
              <w:rPr>
                <w:color w:val="000000" w:themeColor="text1"/>
                <w:sz w:val="20"/>
                <w:szCs w:val="20"/>
              </w:rPr>
              <w:t>0</w:t>
            </w:r>
          </w:p>
        </w:tc>
      </w:tr>
      <w:tr w:rsidR="004C0BBA" w:rsidRPr="006C6F80" w14:paraId="5F9248DC"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3D6C2593" w14:textId="77777777" w:rsidR="004C0BBA" w:rsidRPr="006C6F80" w:rsidRDefault="004C0BBA" w:rsidP="004C0BBA">
            <w:pPr>
              <w:rPr>
                <w:color w:val="000000" w:themeColor="text1"/>
                <w:sz w:val="20"/>
                <w:szCs w:val="20"/>
              </w:rPr>
            </w:pPr>
            <w:r w:rsidRPr="006C6F80">
              <w:rPr>
                <w:color w:val="000000" w:themeColor="text1"/>
                <w:sz w:val="20"/>
                <w:szCs w:val="20"/>
              </w:rPr>
              <w:t>Other activities</w:t>
            </w:r>
          </w:p>
        </w:tc>
        <w:tc>
          <w:tcPr>
            <w:tcW w:w="1020" w:type="dxa"/>
            <w:tcBorders>
              <w:top w:val="nil"/>
              <w:left w:val="nil"/>
              <w:bottom w:val="nil"/>
              <w:right w:val="nil"/>
            </w:tcBorders>
            <w:shd w:val="clear" w:color="auto" w:fill="auto"/>
            <w:vAlign w:val="bottom"/>
            <w:hideMark/>
          </w:tcPr>
          <w:p w14:paraId="78EA59E2" w14:textId="77777777" w:rsidR="004C0BBA" w:rsidRPr="006C6F80" w:rsidRDefault="004C0BBA" w:rsidP="004C0BBA">
            <w:pPr>
              <w:jc w:val="center"/>
              <w:rPr>
                <w:color w:val="000000" w:themeColor="text1"/>
                <w:sz w:val="20"/>
                <w:szCs w:val="20"/>
              </w:rPr>
            </w:pPr>
            <w:r w:rsidRPr="006C6F80">
              <w:rPr>
                <w:color w:val="000000" w:themeColor="text1"/>
                <w:sz w:val="20"/>
                <w:szCs w:val="20"/>
              </w:rPr>
              <w:t>0.189</w:t>
            </w:r>
          </w:p>
        </w:tc>
        <w:tc>
          <w:tcPr>
            <w:tcW w:w="1020" w:type="dxa"/>
            <w:tcBorders>
              <w:top w:val="nil"/>
              <w:left w:val="nil"/>
              <w:bottom w:val="nil"/>
              <w:right w:val="nil"/>
            </w:tcBorders>
            <w:shd w:val="clear" w:color="auto" w:fill="auto"/>
            <w:vAlign w:val="bottom"/>
            <w:hideMark/>
          </w:tcPr>
          <w:p w14:paraId="51871901" w14:textId="77777777" w:rsidR="004C0BBA" w:rsidRPr="006C6F80" w:rsidRDefault="004C0BBA" w:rsidP="004C0BBA">
            <w:pPr>
              <w:jc w:val="center"/>
              <w:rPr>
                <w:color w:val="000000" w:themeColor="text1"/>
                <w:sz w:val="20"/>
                <w:szCs w:val="20"/>
              </w:rPr>
            </w:pPr>
            <w:r w:rsidRPr="006C6F80">
              <w:rPr>
                <w:color w:val="000000" w:themeColor="text1"/>
                <w:sz w:val="20"/>
                <w:szCs w:val="20"/>
              </w:rPr>
              <w:t>0.391</w:t>
            </w:r>
          </w:p>
        </w:tc>
        <w:tc>
          <w:tcPr>
            <w:tcW w:w="1020" w:type="dxa"/>
            <w:tcBorders>
              <w:top w:val="nil"/>
              <w:left w:val="nil"/>
              <w:bottom w:val="nil"/>
              <w:right w:val="nil"/>
            </w:tcBorders>
            <w:shd w:val="clear" w:color="auto" w:fill="auto"/>
            <w:vAlign w:val="bottom"/>
            <w:hideMark/>
          </w:tcPr>
          <w:p w14:paraId="46D71667" w14:textId="77777777" w:rsidR="004C0BBA" w:rsidRPr="006C6F80" w:rsidRDefault="004C0BBA" w:rsidP="004C0BBA">
            <w:pPr>
              <w:jc w:val="center"/>
              <w:rPr>
                <w:color w:val="000000" w:themeColor="text1"/>
                <w:sz w:val="20"/>
                <w:szCs w:val="20"/>
              </w:rPr>
            </w:pPr>
            <w:r w:rsidRPr="006C6F80">
              <w:rPr>
                <w:color w:val="000000" w:themeColor="text1"/>
                <w:sz w:val="20"/>
                <w:szCs w:val="20"/>
              </w:rPr>
              <w:t>0.076</w:t>
            </w:r>
          </w:p>
        </w:tc>
        <w:tc>
          <w:tcPr>
            <w:tcW w:w="1020" w:type="dxa"/>
            <w:tcBorders>
              <w:top w:val="nil"/>
              <w:left w:val="nil"/>
              <w:bottom w:val="nil"/>
              <w:right w:val="nil"/>
            </w:tcBorders>
            <w:shd w:val="clear" w:color="auto" w:fill="auto"/>
            <w:vAlign w:val="bottom"/>
            <w:hideMark/>
          </w:tcPr>
          <w:p w14:paraId="44833B7E" w14:textId="77777777" w:rsidR="004C0BBA" w:rsidRPr="006C6F80" w:rsidRDefault="004C0BBA" w:rsidP="004C0BBA">
            <w:pPr>
              <w:jc w:val="center"/>
              <w:rPr>
                <w:color w:val="000000" w:themeColor="text1"/>
                <w:sz w:val="20"/>
                <w:szCs w:val="20"/>
              </w:rPr>
            </w:pPr>
            <w:r w:rsidRPr="006C6F80">
              <w:rPr>
                <w:color w:val="000000" w:themeColor="text1"/>
                <w:sz w:val="20"/>
                <w:szCs w:val="20"/>
              </w:rPr>
              <w:t>0.266</w:t>
            </w:r>
          </w:p>
        </w:tc>
        <w:tc>
          <w:tcPr>
            <w:tcW w:w="1020" w:type="dxa"/>
            <w:tcBorders>
              <w:top w:val="nil"/>
              <w:left w:val="nil"/>
              <w:bottom w:val="nil"/>
              <w:right w:val="nil"/>
            </w:tcBorders>
            <w:shd w:val="clear" w:color="auto" w:fill="auto"/>
            <w:vAlign w:val="bottom"/>
            <w:hideMark/>
          </w:tcPr>
          <w:p w14:paraId="798E34F3" w14:textId="77777777" w:rsidR="004C0BBA" w:rsidRPr="006C6F80" w:rsidRDefault="004C0BBA" w:rsidP="004C0BBA">
            <w:pPr>
              <w:jc w:val="center"/>
              <w:rPr>
                <w:color w:val="000000" w:themeColor="text1"/>
                <w:sz w:val="20"/>
                <w:szCs w:val="20"/>
              </w:rPr>
            </w:pPr>
            <w:r w:rsidRPr="006C6F80">
              <w:rPr>
                <w:color w:val="000000" w:themeColor="text1"/>
                <w:sz w:val="20"/>
                <w:szCs w:val="20"/>
              </w:rPr>
              <w:t>0.112***</w:t>
            </w:r>
          </w:p>
        </w:tc>
      </w:tr>
      <w:tr w:rsidR="004C0BBA" w:rsidRPr="006C6F80" w14:paraId="05D194F2" w14:textId="77777777" w:rsidTr="004C0BBA">
        <w:trPr>
          <w:trHeight w:val="260"/>
          <w:jc w:val="center"/>
        </w:trPr>
        <w:tc>
          <w:tcPr>
            <w:tcW w:w="1020" w:type="dxa"/>
            <w:tcBorders>
              <w:top w:val="nil"/>
              <w:left w:val="nil"/>
              <w:bottom w:val="nil"/>
              <w:right w:val="nil"/>
            </w:tcBorders>
            <w:shd w:val="clear" w:color="auto" w:fill="auto"/>
            <w:vAlign w:val="center"/>
            <w:hideMark/>
          </w:tcPr>
          <w:p w14:paraId="0A02000F" w14:textId="77777777" w:rsidR="004C0BBA" w:rsidRPr="006C6F80" w:rsidRDefault="004C0BBA" w:rsidP="004C0BBA">
            <w:pPr>
              <w:jc w:val="center"/>
              <w:rPr>
                <w:color w:val="000000" w:themeColor="text1"/>
                <w:sz w:val="20"/>
                <w:szCs w:val="20"/>
              </w:rPr>
            </w:pPr>
          </w:p>
        </w:tc>
        <w:tc>
          <w:tcPr>
            <w:tcW w:w="3940" w:type="dxa"/>
            <w:tcBorders>
              <w:top w:val="nil"/>
              <w:left w:val="nil"/>
              <w:bottom w:val="nil"/>
              <w:right w:val="nil"/>
            </w:tcBorders>
            <w:shd w:val="clear" w:color="auto" w:fill="auto"/>
            <w:vAlign w:val="center"/>
            <w:hideMark/>
          </w:tcPr>
          <w:p w14:paraId="09C8F4A7" w14:textId="77777777" w:rsidR="004C0BBA" w:rsidRPr="006C6F80" w:rsidRDefault="004C0BBA" w:rsidP="004C0BBA">
            <w:pPr>
              <w:rPr>
                <w:color w:val="000000" w:themeColor="text1"/>
                <w:sz w:val="20"/>
                <w:szCs w:val="20"/>
              </w:rPr>
            </w:pPr>
          </w:p>
        </w:tc>
        <w:tc>
          <w:tcPr>
            <w:tcW w:w="1020" w:type="dxa"/>
            <w:tcBorders>
              <w:top w:val="nil"/>
              <w:left w:val="nil"/>
              <w:bottom w:val="nil"/>
              <w:right w:val="nil"/>
            </w:tcBorders>
            <w:shd w:val="clear" w:color="auto" w:fill="auto"/>
            <w:vAlign w:val="bottom"/>
            <w:hideMark/>
          </w:tcPr>
          <w:p w14:paraId="7D5E5CCB" w14:textId="77777777" w:rsidR="004C0BBA" w:rsidRPr="006C6F80" w:rsidRDefault="004C0BBA" w:rsidP="004C0BBA">
            <w:pPr>
              <w:rPr>
                <w:color w:val="000000" w:themeColor="text1"/>
                <w:sz w:val="20"/>
                <w:szCs w:val="20"/>
              </w:rPr>
            </w:pPr>
          </w:p>
        </w:tc>
        <w:tc>
          <w:tcPr>
            <w:tcW w:w="1020" w:type="dxa"/>
            <w:tcBorders>
              <w:top w:val="nil"/>
              <w:left w:val="nil"/>
              <w:bottom w:val="nil"/>
              <w:right w:val="nil"/>
            </w:tcBorders>
            <w:shd w:val="clear" w:color="auto" w:fill="auto"/>
            <w:vAlign w:val="bottom"/>
            <w:hideMark/>
          </w:tcPr>
          <w:p w14:paraId="281AC571"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261556E5"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1BB356AD"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4A10E943" w14:textId="77777777" w:rsidR="004C0BBA" w:rsidRPr="006C6F80" w:rsidRDefault="004C0BBA" w:rsidP="004C0BBA">
            <w:pPr>
              <w:jc w:val="center"/>
              <w:rPr>
                <w:color w:val="000000" w:themeColor="text1"/>
                <w:sz w:val="20"/>
                <w:szCs w:val="20"/>
              </w:rPr>
            </w:pPr>
          </w:p>
        </w:tc>
      </w:tr>
      <w:tr w:rsidR="004C0BBA" w:rsidRPr="006C6F80" w14:paraId="7E5EFD61" w14:textId="77777777" w:rsidTr="004C0BBA">
        <w:trPr>
          <w:trHeight w:val="240"/>
          <w:jc w:val="center"/>
        </w:trPr>
        <w:tc>
          <w:tcPr>
            <w:tcW w:w="4960" w:type="dxa"/>
            <w:gridSpan w:val="2"/>
            <w:tcBorders>
              <w:top w:val="nil"/>
              <w:left w:val="nil"/>
              <w:bottom w:val="nil"/>
              <w:right w:val="nil"/>
            </w:tcBorders>
            <w:shd w:val="clear" w:color="auto" w:fill="auto"/>
            <w:vAlign w:val="center"/>
            <w:hideMark/>
          </w:tcPr>
          <w:p w14:paraId="544BC714" w14:textId="77777777" w:rsidR="004C0BBA" w:rsidRPr="006C6F80" w:rsidRDefault="004C0BBA" w:rsidP="004C0BBA">
            <w:pPr>
              <w:rPr>
                <w:i/>
                <w:iCs/>
                <w:color w:val="000000" w:themeColor="text1"/>
                <w:sz w:val="20"/>
                <w:szCs w:val="20"/>
              </w:rPr>
            </w:pPr>
            <w:r w:rsidRPr="006C6F80">
              <w:rPr>
                <w:i/>
                <w:iCs/>
                <w:color w:val="000000" w:themeColor="text1"/>
                <w:sz w:val="20"/>
                <w:szCs w:val="20"/>
              </w:rPr>
              <w:t>Sector of employment</w:t>
            </w:r>
          </w:p>
        </w:tc>
        <w:tc>
          <w:tcPr>
            <w:tcW w:w="1020" w:type="dxa"/>
            <w:tcBorders>
              <w:top w:val="nil"/>
              <w:left w:val="nil"/>
              <w:bottom w:val="nil"/>
              <w:right w:val="nil"/>
            </w:tcBorders>
            <w:shd w:val="clear" w:color="auto" w:fill="auto"/>
            <w:vAlign w:val="bottom"/>
            <w:hideMark/>
          </w:tcPr>
          <w:p w14:paraId="7A2128D2" w14:textId="77777777" w:rsidR="004C0BBA" w:rsidRPr="006C6F80" w:rsidRDefault="004C0BBA" w:rsidP="004C0BBA">
            <w:pPr>
              <w:rPr>
                <w:i/>
                <w:iCs/>
                <w:color w:val="000000" w:themeColor="text1"/>
                <w:sz w:val="20"/>
                <w:szCs w:val="20"/>
              </w:rPr>
            </w:pPr>
          </w:p>
        </w:tc>
        <w:tc>
          <w:tcPr>
            <w:tcW w:w="1020" w:type="dxa"/>
            <w:tcBorders>
              <w:top w:val="nil"/>
              <w:left w:val="nil"/>
              <w:bottom w:val="nil"/>
              <w:right w:val="nil"/>
            </w:tcBorders>
            <w:shd w:val="clear" w:color="auto" w:fill="auto"/>
            <w:vAlign w:val="bottom"/>
            <w:hideMark/>
          </w:tcPr>
          <w:p w14:paraId="65280955"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4BFAE442"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7313A4C5"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53A50FE1" w14:textId="77777777" w:rsidR="004C0BBA" w:rsidRPr="006C6F80" w:rsidRDefault="004C0BBA" w:rsidP="004C0BBA">
            <w:pPr>
              <w:jc w:val="center"/>
              <w:rPr>
                <w:color w:val="000000" w:themeColor="text1"/>
                <w:sz w:val="20"/>
                <w:szCs w:val="20"/>
              </w:rPr>
            </w:pPr>
          </w:p>
        </w:tc>
      </w:tr>
      <w:tr w:rsidR="004C0BBA" w:rsidRPr="006C6F80" w14:paraId="76835F09"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1D2B7FDB" w14:textId="77777777" w:rsidR="004C0BBA" w:rsidRPr="006C6F80" w:rsidRDefault="004C0BBA" w:rsidP="004C0BBA">
            <w:pPr>
              <w:rPr>
                <w:color w:val="000000" w:themeColor="text1"/>
                <w:sz w:val="20"/>
                <w:szCs w:val="20"/>
              </w:rPr>
            </w:pPr>
            <w:r w:rsidRPr="006C6F80">
              <w:rPr>
                <w:color w:val="000000" w:themeColor="text1"/>
                <w:sz w:val="20"/>
                <w:szCs w:val="20"/>
              </w:rPr>
              <w:t>Public</w:t>
            </w:r>
          </w:p>
        </w:tc>
        <w:tc>
          <w:tcPr>
            <w:tcW w:w="1020" w:type="dxa"/>
            <w:tcBorders>
              <w:top w:val="nil"/>
              <w:left w:val="nil"/>
              <w:bottom w:val="nil"/>
              <w:right w:val="nil"/>
            </w:tcBorders>
            <w:shd w:val="clear" w:color="auto" w:fill="auto"/>
            <w:vAlign w:val="bottom"/>
            <w:hideMark/>
          </w:tcPr>
          <w:p w14:paraId="28D4B3BA" w14:textId="77777777" w:rsidR="004C0BBA" w:rsidRPr="006C6F80" w:rsidRDefault="004C0BBA" w:rsidP="004C0BBA">
            <w:pPr>
              <w:jc w:val="center"/>
              <w:rPr>
                <w:color w:val="000000" w:themeColor="text1"/>
                <w:sz w:val="20"/>
                <w:szCs w:val="20"/>
              </w:rPr>
            </w:pPr>
            <w:r w:rsidRPr="006C6F80">
              <w:rPr>
                <w:color w:val="000000" w:themeColor="text1"/>
                <w:sz w:val="20"/>
                <w:szCs w:val="20"/>
              </w:rPr>
              <w:t>0.220</w:t>
            </w:r>
          </w:p>
        </w:tc>
        <w:tc>
          <w:tcPr>
            <w:tcW w:w="1020" w:type="dxa"/>
            <w:tcBorders>
              <w:top w:val="nil"/>
              <w:left w:val="nil"/>
              <w:bottom w:val="nil"/>
              <w:right w:val="nil"/>
            </w:tcBorders>
            <w:shd w:val="clear" w:color="auto" w:fill="auto"/>
            <w:vAlign w:val="bottom"/>
            <w:hideMark/>
          </w:tcPr>
          <w:p w14:paraId="02FF9EC5" w14:textId="77777777" w:rsidR="004C0BBA" w:rsidRPr="006C6F80" w:rsidRDefault="004C0BBA" w:rsidP="004C0BBA">
            <w:pPr>
              <w:jc w:val="center"/>
              <w:rPr>
                <w:color w:val="000000" w:themeColor="text1"/>
                <w:sz w:val="20"/>
                <w:szCs w:val="20"/>
              </w:rPr>
            </w:pPr>
            <w:r w:rsidRPr="006C6F80">
              <w:rPr>
                <w:color w:val="000000" w:themeColor="text1"/>
                <w:sz w:val="20"/>
                <w:szCs w:val="20"/>
              </w:rPr>
              <w:t>0.414</w:t>
            </w:r>
          </w:p>
        </w:tc>
        <w:tc>
          <w:tcPr>
            <w:tcW w:w="1020" w:type="dxa"/>
            <w:tcBorders>
              <w:top w:val="nil"/>
              <w:left w:val="nil"/>
              <w:bottom w:val="nil"/>
              <w:right w:val="nil"/>
            </w:tcBorders>
            <w:shd w:val="clear" w:color="auto" w:fill="auto"/>
            <w:vAlign w:val="bottom"/>
            <w:hideMark/>
          </w:tcPr>
          <w:p w14:paraId="237AA7E3" w14:textId="77777777" w:rsidR="004C0BBA" w:rsidRPr="006C6F80" w:rsidRDefault="004C0BBA" w:rsidP="004C0BBA">
            <w:pPr>
              <w:jc w:val="center"/>
              <w:rPr>
                <w:color w:val="000000" w:themeColor="text1"/>
                <w:sz w:val="20"/>
                <w:szCs w:val="20"/>
              </w:rPr>
            </w:pPr>
            <w:r w:rsidRPr="006C6F80">
              <w:rPr>
                <w:color w:val="000000" w:themeColor="text1"/>
                <w:sz w:val="20"/>
                <w:szCs w:val="20"/>
              </w:rPr>
              <w:t>0.098</w:t>
            </w:r>
          </w:p>
        </w:tc>
        <w:tc>
          <w:tcPr>
            <w:tcW w:w="1020" w:type="dxa"/>
            <w:tcBorders>
              <w:top w:val="nil"/>
              <w:left w:val="nil"/>
              <w:bottom w:val="nil"/>
              <w:right w:val="nil"/>
            </w:tcBorders>
            <w:shd w:val="clear" w:color="auto" w:fill="auto"/>
            <w:vAlign w:val="bottom"/>
            <w:hideMark/>
          </w:tcPr>
          <w:p w14:paraId="33876B69" w14:textId="77777777" w:rsidR="004C0BBA" w:rsidRPr="006C6F80" w:rsidRDefault="004C0BBA" w:rsidP="004C0BBA">
            <w:pPr>
              <w:jc w:val="center"/>
              <w:rPr>
                <w:color w:val="000000" w:themeColor="text1"/>
                <w:sz w:val="20"/>
                <w:szCs w:val="20"/>
              </w:rPr>
            </w:pPr>
            <w:r w:rsidRPr="006C6F80">
              <w:rPr>
                <w:color w:val="000000" w:themeColor="text1"/>
                <w:sz w:val="20"/>
                <w:szCs w:val="20"/>
              </w:rPr>
              <w:t>0.297</w:t>
            </w:r>
          </w:p>
        </w:tc>
        <w:tc>
          <w:tcPr>
            <w:tcW w:w="1020" w:type="dxa"/>
            <w:tcBorders>
              <w:top w:val="nil"/>
              <w:left w:val="nil"/>
              <w:bottom w:val="nil"/>
              <w:right w:val="nil"/>
            </w:tcBorders>
            <w:shd w:val="clear" w:color="auto" w:fill="auto"/>
            <w:vAlign w:val="bottom"/>
            <w:hideMark/>
          </w:tcPr>
          <w:p w14:paraId="6D30719C" w14:textId="77777777" w:rsidR="004C0BBA" w:rsidRPr="006C6F80" w:rsidRDefault="004C0BBA" w:rsidP="004C0BBA">
            <w:pPr>
              <w:jc w:val="center"/>
              <w:rPr>
                <w:color w:val="000000" w:themeColor="text1"/>
                <w:sz w:val="20"/>
                <w:szCs w:val="20"/>
              </w:rPr>
            </w:pPr>
            <w:r w:rsidRPr="006C6F80">
              <w:rPr>
                <w:color w:val="000000" w:themeColor="text1"/>
                <w:sz w:val="20"/>
                <w:szCs w:val="20"/>
              </w:rPr>
              <w:t>0.122***</w:t>
            </w:r>
          </w:p>
        </w:tc>
      </w:tr>
      <w:tr w:rsidR="004C0BBA" w:rsidRPr="006C6F80" w14:paraId="26FB9512"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28E1D5BB" w14:textId="77777777" w:rsidR="004C0BBA" w:rsidRPr="006C6F80" w:rsidRDefault="004C0BBA" w:rsidP="004C0BBA">
            <w:pPr>
              <w:rPr>
                <w:color w:val="000000" w:themeColor="text1"/>
                <w:sz w:val="20"/>
                <w:szCs w:val="20"/>
              </w:rPr>
            </w:pPr>
            <w:r w:rsidRPr="006C6F80">
              <w:rPr>
                <w:color w:val="000000" w:themeColor="text1"/>
                <w:sz w:val="20"/>
                <w:szCs w:val="20"/>
              </w:rPr>
              <w:t>Private</w:t>
            </w:r>
          </w:p>
        </w:tc>
        <w:tc>
          <w:tcPr>
            <w:tcW w:w="1020" w:type="dxa"/>
            <w:tcBorders>
              <w:top w:val="nil"/>
              <w:left w:val="nil"/>
              <w:bottom w:val="nil"/>
              <w:right w:val="nil"/>
            </w:tcBorders>
            <w:shd w:val="clear" w:color="auto" w:fill="auto"/>
            <w:vAlign w:val="bottom"/>
            <w:hideMark/>
          </w:tcPr>
          <w:p w14:paraId="7AD12B57" w14:textId="77777777" w:rsidR="004C0BBA" w:rsidRPr="006C6F80" w:rsidRDefault="004C0BBA" w:rsidP="004C0BBA">
            <w:pPr>
              <w:jc w:val="center"/>
              <w:rPr>
                <w:color w:val="000000" w:themeColor="text1"/>
                <w:sz w:val="20"/>
                <w:szCs w:val="20"/>
              </w:rPr>
            </w:pPr>
            <w:r w:rsidRPr="006C6F80">
              <w:rPr>
                <w:color w:val="000000" w:themeColor="text1"/>
                <w:sz w:val="20"/>
                <w:szCs w:val="20"/>
              </w:rPr>
              <w:t>0.780</w:t>
            </w:r>
          </w:p>
        </w:tc>
        <w:tc>
          <w:tcPr>
            <w:tcW w:w="1020" w:type="dxa"/>
            <w:tcBorders>
              <w:top w:val="nil"/>
              <w:left w:val="nil"/>
              <w:bottom w:val="nil"/>
              <w:right w:val="nil"/>
            </w:tcBorders>
            <w:shd w:val="clear" w:color="auto" w:fill="auto"/>
            <w:vAlign w:val="bottom"/>
            <w:hideMark/>
          </w:tcPr>
          <w:p w14:paraId="4578A297" w14:textId="77777777" w:rsidR="004C0BBA" w:rsidRPr="006C6F80" w:rsidRDefault="004C0BBA" w:rsidP="004C0BBA">
            <w:pPr>
              <w:jc w:val="center"/>
              <w:rPr>
                <w:color w:val="000000" w:themeColor="text1"/>
                <w:sz w:val="20"/>
                <w:szCs w:val="20"/>
              </w:rPr>
            </w:pPr>
            <w:r w:rsidRPr="006C6F80">
              <w:rPr>
                <w:color w:val="000000" w:themeColor="text1"/>
                <w:sz w:val="20"/>
                <w:szCs w:val="20"/>
              </w:rPr>
              <w:t>0.414</w:t>
            </w:r>
          </w:p>
        </w:tc>
        <w:tc>
          <w:tcPr>
            <w:tcW w:w="1020" w:type="dxa"/>
            <w:tcBorders>
              <w:top w:val="nil"/>
              <w:left w:val="nil"/>
              <w:bottom w:val="nil"/>
              <w:right w:val="nil"/>
            </w:tcBorders>
            <w:shd w:val="clear" w:color="auto" w:fill="auto"/>
            <w:vAlign w:val="bottom"/>
            <w:hideMark/>
          </w:tcPr>
          <w:p w14:paraId="4002499B" w14:textId="77777777" w:rsidR="004C0BBA" w:rsidRPr="006C6F80" w:rsidRDefault="004C0BBA" w:rsidP="004C0BBA">
            <w:pPr>
              <w:jc w:val="center"/>
              <w:rPr>
                <w:color w:val="000000" w:themeColor="text1"/>
                <w:sz w:val="20"/>
                <w:szCs w:val="20"/>
              </w:rPr>
            </w:pPr>
            <w:r w:rsidRPr="006C6F80">
              <w:rPr>
                <w:color w:val="000000" w:themeColor="text1"/>
                <w:sz w:val="20"/>
                <w:szCs w:val="20"/>
              </w:rPr>
              <w:t>0.902</w:t>
            </w:r>
          </w:p>
        </w:tc>
        <w:tc>
          <w:tcPr>
            <w:tcW w:w="1020" w:type="dxa"/>
            <w:tcBorders>
              <w:top w:val="nil"/>
              <w:left w:val="nil"/>
              <w:bottom w:val="nil"/>
              <w:right w:val="nil"/>
            </w:tcBorders>
            <w:shd w:val="clear" w:color="auto" w:fill="auto"/>
            <w:vAlign w:val="bottom"/>
            <w:hideMark/>
          </w:tcPr>
          <w:p w14:paraId="32CE957A" w14:textId="77777777" w:rsidR="004C0BBA" w:rsidRPr="006C6F80" w:rsidRDefault="004C0BBA" w:rsidP="004C0BBA">
            <w:pPr>
              <w:jc w:val="center"/>
              <w:rPr>
                <w:color w:val="000000" w:themeColor="text1"/>
                <w:sz w:val="20"/>
                <w:szCs w:val="20"/>
              </w:rPr>
            </w:pPr>
            <w:r w:rsidRPr="006C6F80">
              <w:rPr>
                <w:color w:val="000000" w:themeColor="text1"/>
                <w:sz w:val="20"/>
                <w:szCs w:val="20"/>
              </w:rPr>
              <w:t>0.297</w:t>
            </w:r>
          </w:p>
        </w:tc>
        <w:tc>
          <w:tcPr>
            <w:tcW w:w="1020" w:type="dxa"/>
            <w:tcBorders>
              <w:top w:val="nil"/>
              <w:left w:val="nil"/>
              <w:bottom w:val="nil"/>
              <w:right w:val="nil"/>
            </w:tcBorders>
            <w:shd w:val="clear" w:color="auto" w:fill="auto"/>
            <w:vAlign w:val="bottom"/>
            <w:hideMark/>
          </w:tcPr>
          <w:p w14:paraId="3A493ED0" w14:textId="77777777" w:rsidR="004C0BBA" w:rsidRPr="006C6F80" w:rsidRDefault="004C0BBA" w:rsidP="004C0BBA">
            <w:pPr>
              <w:jc w:val="center"/>
              <w:rPr>
                <w:color w:val="000000" w:themeColor="text1"/>
                <w:sz w:val="20"/>
                <w:szCs w:val="20"/>
              </w:rPr>
            </w:pPr>
            <w:r w:rsidRPr="006C6F80">
              <w:rPr>
                <w:color w:val="000000" w:themeColor="text1"/>
                <w:sz w:val="20"/>
                <w:szCs w:val="20"/>
              </w:rPr>
              <w:t>-0.122***</w:t>
            </w:r>
          </w:p>
        </w:tc>
      </w:tr>
      <w:tr w:rsidR="004C0BBA" w:rsidRPr="006C6F80" w14:paraId="4E906D64" w14:textId="77777777" w:rsidTr="004C0BBA">
        <w:trPr>
          <w:trHeight w:val="260"/>
          <w:jc w:val="center"/>
        </w:trPr>
        <w:tc>
          <w:tcPr>
            <w:tcW w:w="1020" w:type="dxa"/>
            <w:tcBorders>
              <w:top w:val="nil"/>
              <w:left w:val="nil"/>
              <w:bottom w:val="nil"/>
              <w:right w:val="nil"/>
            </w:tcBorders>
            <w:shd w:val="clear" w:color="auto" w:fill="auto"/>
            <w:vAlign w:val="center"/>
            <w:hideMark/>
          </w:tcPr>
          <w:p w14:paraId="1C928F69" w14:textId="77777777" w:rsidR="004C0BBA" w:rsidRPr="006C6F80" w:rsidRDefault="004C0BBA" w:rsidP="004C0BBA">
            <w:pPr>
              <w:jc w:val="center"/>
              <w:rPr>
                <w:color w:val="000000" w:themeColor="text1"/>
                <w:sz w:val="20"/>
                <w:szCs w:val="20"/>
              </w:rPr>
            </w:pPr>
          </w:p>
        </w:tc>
        <w:tc>
          <w:tcPr>
            <w:tcW w:w="3940" w:type="dxa"/>
            <w:tcBorders>
              <w:top w:val="nil"/>
              <w:left w:val="nil"/>
              <w:bottom w:val="nil"/>
              <w:right w:val="nil"/>
            </w:tcBorders>
            <w:shd w:val="clear" w:color="auto" w:fill="auto"/>
            <w:vAlign w:val="center"/>
            <w:hideMark/>
          </w:tcPr>
          <w:p w14:paraId="3D9467A4" w14:textId="77777777" w:rsidR="004C0BBA" w:rsidRPr="006C6F80" w:rsidRDefault="004C0BBA" w:rsidP="004C0BBA">
            <w:pPr>
              <w:rPr>
                <w:color w:val="000000" w:themeColor="text1"/>
                <w:sz w:val="20"/>
                <w:szCs w:val="20"/>
              </w:rPr>
            </w:pPr>
          </w:p>
        </w:tc>
        <w:tc>
          <w:tcPr>
            <w:tcW w:w="1020" w:type="dxa"/>
            <w:tcBorders>
              <w:top w:val="nil"/>
              <w:left w:val="nil"/>
              <w:bottom w:val="nil"/>
              <w:right w:val="nil"/>
            </w:tcBorders>
            <w:shd w:val="clear" w:color="auto" w:fill="auto"/>
            <w:vAlign w:val="bottom"/>
            <w:hideMark/>
          </w:tcPr>
          <w:p w14:paraId="0158D6C6" w14:textId="77777777" w:rsidR="004C0BBA" w:rsidRPr="006C6F80" w:rsidRDefault="004C0BBA" w:rsidP="004C0BBA">
            <w:pPr>
              <w:rPr>
                <w:color w:val="000000" w:themeColor="text1"/>
                <w:sz w:val="20"/>
                <w:szCs w:val="20"/>
              </w:rPr>
            </w:pPr>
          </w:p>
        </w:tc>
        <w:tc>
          <w:tcPr>
            <w:tcW w:w="1020" w:type="dxa"/>
            <w:tcBorders>
              <w:top w:val="nil"/>
              <w:left w:val="nil"/>
              <w:bottom w:val="nil"/>
              <w:right w:val="nil"/>
            </w:tcBorders>
            <w:shd w:val="clear" w:color="auto" w:fill="auto"/>
            <w:vAlign w:val="bottom"/>
            <w:hideMark/>
          </w:tcPr>
          <w:p w14:paraId="48341563"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11255E4C"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619F34B1"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33B55526" w14:textId="77777777" w:rsidR="004C0BBA" w:rsidRPr="006C6F80" w:rsidRDefault="004C0BBA" w:rsidP="004C0BBA">
            <w:pPr>
              <w:jc w:val="center"/>
              <w:rPr>
                <w:color w:val="000000" w:themeColor="text1"/>
                <w:sz w:val="20"/>
                <w:szCs w:val="20"/>
              </w:rPr>
            </w:pPr>
          </w:p>
        </w:tc>
      </w:tr>
      <w:tr w:rsidR="004C0BBA" w:rsidRPr="006C6F80" w14:paraId="0B6CCEA4" w14:textId="77777777" w:rsidTr="004C0BBA">
        <w:trPr>
          <w:trHeight w:val="260"/>
          <w:jc w:val="center"/>
        </w:trPr>
        <w:tc>
          <w:tcPr>
            <w:tcW w:w="4960" w:type="dxa"/>
            <w:gridSpan w:val="2"/>
            <w:tcBorders>
              <w:top w:val="nil"/>
              <w:left w:val="nil"/>
              <w:bottom w:val="nil"/>
              <w:right w:val="nil"/>
            </w:tcBorders>
            <w:shd w:val="clear" w:color="auto" w:fill="auto"/>
            <w:vAlign w:val="center"/>
            <w:hideMark/>
          </w:tcPr>
          <w:p w14:paraId="15C18653" w14:textId="77777777" w:rsidR="004C0BBA" w:rsidRPr="006C6F80" w:rsidRDefault="004C0BBA" w:rsidP="004C0BBA">
            <w:pPr>
              <w:rPr>
                <w:i/>
                <w:iCs/>
                <w:color w:val="000000" w:themeColor="text1"/>
                <w:sz w:val="20"/>
                <w:szCs w:val="20"/>
              </w:rPr>
            </w:pPr>
            <w:r w:rsidRPr="006C6F80">
              <w:rPr>
                <w:i/>
                <w:iCs/>
                <w:color w:val="000000" w:themeColor="text1"/>
                <w:sz w:val="20"/>
                <w:szCs w:val="20"/>
              </w:rPr>
              <w:t>Incidence of work contract and social security</w:t>
            </w:r>
          </w:p>
        </w:tc>
        <w:tc>
          <w:tcPr>
            <w:tcW w:w="1020" w:type="dxa"/>
            <w:tcBorders>
              <w:top w:val="nil"/>
              <w:left w:val="nil"/>
              <w:bottom w:val="nil"/>
              <w:right w:val="nil"/>
            </w:tcBorders>
            <w:shd w:val="clear" w:color="auto" w:fill="auto"/>
            <w:vAlign w:val="bottom"/>
            <w:hideMark/>
          </w:tcPr>
          <w:p w14:paraId="3C4ACE55" w14:textId="77777777" w:rsidR="004C0BBA" w:rsidRPr="006C6F80" w:rsidRDefault="004C0BBA" w:rsidP="004C0BBA">
            <w:pPr>
              <w:rPr>
                <w:i/>
                <w:iCs/>
                <w:color w:val="000000" w:themeColor="text1"/>
                <w:sz w:val="20"/>
                <w:szCs w:val="20"/>
              </w:rPr>
            </w:pPr>
          </w:p>
        </w:tc>
        <w:tc>
          <w:tcPr>
            <w:tcW w:w="1020" w:type="dxa"/>
            <w:tcBorders>
              <w:top w:val="nil"/>
              <w:left w:val="nil"/>
              <w:bottom w:val="nil"/>
              <w:right w:val="nil"/>
            </w:tcBorders>
            <w:shd w:val="clear" w:color="auto" w:fill="auto"/>
            <w:vAlign w:val="bottom"/>
            <w:hideMark/>
          </w:tcPr>
          <w:p w14:paraId="1CDA64DA"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015BCE19"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39FE52D3"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6CBC35E7" w14:textId="77777777" w:rsidR="004C0BBA" w:rsidRPr="006C6F80" w:rsidRDefault="004C0BBA" w:rsidP="004C0BBA">
            <w:pPr>
              <w:jc w:val="center"/>
              <w:rPr>
                <w:color w:val="000000" w:themeColor="text1"/>
                <w:sz w:val="20"/>
                <w:szCs w:val="20"/>
              </w:rPr>
            </w:pPr>
          </w:p>
        </w:tc>
      </w:tr>
      <w:tr w:rsidR="004C0BBA" w:rsidRPr="006C6F80" w14:paraId="66218139"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68401675" w14:textId="77777777" w:rsidR="004C0BBA" w:rsidRPr="006C6F80" w:rsidRDefault="004C0BBA" w:rsidP="004C0BBA">
            <w:pPr>
              <w:rPr>
                <w:color w:val="000000" w:themeColor="text1"/>
                <w:sz w:val="20"/>
                <w:szCs w:val="20"/>
              </w:rPr>
            </w:pPr>
            <w:r w:rsidRPr="006C6F80">
              <w:rPr>
                <w:color w:val="000000" w:themeColor="text1"/>
                <w:sz w:val="20"/>
                <w:szCs w:val="20"/>
              </w:rPr>
              <w:t>Work contract</w:t>
            </w:r>
          </w:p>
        </w:tc>
        <w:tc>
          <w:tcPr>
            <w:tcW w:w="1020" w:type="dxa"/>
            <w:tcBorders>
              <w:top w:val="nil"/>
              <w:left w:val="nil"/>
              <w:bottom w:val="nil"/>
              <w:right w:val="nil"/>
            </w:tcBorders>
            <w:shd w:val="clear" w:color="auto" w:fill="auto"/>
            <w:vAlign w:val="bottom"/>
            <w:hideMark/>
          </w:tcPr>
          <w:p w14:paraId="7DAA7F23" w14:textId="77777777" w:rsidR="004C0BBA" w:rsidRPr="006C6F80" w:rsidRDefault="004C0BBA" w:rsidP="004C0BBA">
            <w:pPr>
              <w:jc w:val="center"/>
              <w:rPr>
                <w:color w:val="000000" w:themeColor="text1"/>
                <w:sz w:val="20"/>
                <w:szCs w:val="20"/>
              </w:rPr>
            </w:pPr>
            <w:r w:rsidRPr="006C6F80">
              <w:rPr>
                <w:color w:val="000000" w:themeColor="text1"/>
                <w:sz w:val="20"/>
                <w:szCs w:val="20"/>
              </w:rPr>
              <w:t>0.256</w:t>
            </w:r>
          </w:p>
        </w:tc>
        <w:tc>
          <w:tcPr>
            <w:tcW w:w="1020" w:type="dxa"/>
            <w:tcBorders>
              <w:top w:val="nil"/>
              <w:left w:val="nil"/>
              <w:bottom w:val="nil"/>
              <w:right w:val="nil"/>
            </w:tcBorders>
            <w:shd w:val="clear" w:color="auto" w:fill="auto"/>
            <w:vAlign w:val="bottom"/>
            <w:hideMark/>
          </w:tcPr>
          <w:p w14:paraId="10DC4C7E" w14:textId="77777777" w:rsidR="004C0BBA" w:rsidRPr="006C6F80" w:rsidRDefault="004C0BBA" w:rsidP="004C0BBA">
            <w:pPr>
              <w:jc w:val="center"/>
              <w:rPr>
                <w:color w:val="000000" w:themeColor="text1"/>
                <w:sz w:val="20"/>
                <w:szCs w:val="20"/>
              </w:rPr>
            </w:pPr>
            <w:r w:rsidRPr="006C6F80">
              <w:rPr>
                <w:color w:val="000000" w:themeColor="text1"/>
                <w:sz w:val="20"/>
                <w:szCs w:val="20"/>
              </w:rPr>
              <w:t>0.437</w:t>
            </w:r>
          </w:p>
        </w:tc>
        <w:tc>
          <w:tcPr>
            <w:tcW w:w="1020" w:type="dxa"/>
            <w:tcBorders>
              <w:top w:val="nil"/>
              <w:left w:val="nil"/>
              <w:bottom w:val="nil"/>
              <w:right w:val="nil"/>
            </w:tcBorders>
            <w:shd w:val="clear" w:color="auto" w:fill="auto"/>
            <w:vAlign w:val="bottom"/>
            <w:hideMark/>
          </w:tcPr>
          <w:p w14:paraId="6E6F2B1A" w14:textId="77777777" w:rsidR="004C0BBA" w:rsidRPr="006C6F80" w:rsidRDefault="004C0BBA" w:rsidP="004C0BBA">
            <w:pPr>
              <w:jc w:val="center"/>
              <w:rPr>
                <w:color w:val="000000" w:themeColor="text1"/>
                <w:sz w:val="20"/>
                <w:szCs w:val="20"/>
              </w:rPr>
            </w:pPr>
            <w:r w:rsidRPr="006C6F80">
              <w:rPr>
                <w:color w:val="000000" w:themeColor="text1"/>
                <w:sz w:val="20"/>
                <w:szCs w:val="20"/>
              </w:rPr>
              <w:t>0.098</w:t>
            </w:r>
          </w:p>
        </w:tc>
        <w:tc>
          <w:tcPr>
            <w:tcW w:w="1020" w:type="dxa"/>
            <w:tcBorders>
              <w:top w:val="nil"/>
              <w:left w:val="nil"/>
              <w:bottom w:val="nil"/>
              <w:right w:val="nil"/>
            </w:tcBorders>
            <w:shd w:val="clear" w:color="auto" w:fill="auto"/>
            <w:vAlign w:val="bottom"/>
            <w:hideMark/>
          </w:tcPr>
          <w:p w14:paraId="39D58087" w14:textId="77777777" w:rsidR="004C0BBA" w:rsidRPr="006C6F80" w:rsidRDefault="004C0BBA" w:rsidP="004C0BBA">
            <w:pPr>
              <w:jc w:val="center"/>
              <w:rPr>
                <w:color w:val="000000" w:themeColor="text1"/>
                <w:sz w:val="20"/>
                <w:szCs w:val="20"/>
              </w:rPr>
            </w:pPr>
            <w:r w:rsidRPr="006C6F80">
              <w:rPr>
                <w:color w:val="000000" w:themeColor="text1"/>
                <w:sz w:val="20"/>
                <w:szCs w:val="20"/>
              </w:rPr>
              <w:t>0.297</w:t>
            </w:r>
          </w:p>
        </w:tc>
        <w:tc>
          <w:tcPr>
            <w:tcW w:w="1020" w:type="dxa"/>
            <w:tcBorders>
              <w:top w:val="nil"/>
              <w:left w:val="nil"/>
              <w:bottom w:val="nil"/>
              <w:right w:val="nil"/>
            </w:tcBorders>
            <w:shd w:val="clear" w:color="auto" w:fill="auto"/>
            <w:vAlign w:val="bottom"/>
            <w:hideMark/>
          </w:tcPr>
          <w:p w14:paraId="4EB08D17" w14:textId="77777777" w:rsidR="004C0BBA" w:rsidRPr="006C6F80" w:rsidRDefault="004C0BBA" w:rsidP="004C0BBA">
            <w:pPr>
              <w:jc w:val="center"/>
              <w:rPr>
                <w:color w:val="000000" w:themeColor="text1"/>
                <w:sz w:val="20"/>
                <w:szCs w:val="20"/>
              </w:rPr>
            </w:pPr>
            <w:r w:rsidRPr="006C6F80">
              <w:rPr>
                <w:color w:val="000000" w:themeColor="text1"/>
                <w:sz w:val="20"/>
                <w:szCs w:val="20"/>
              </w:rPr>
              <w:t>0.159***</w:t>
            </w:r>
          </w:p>
        </w:tc>
      </w:tr>
      <w:tr w:rsidR="004C0BBA" w:rsidRPr="006C6F80" w14:paraId="00188F5E"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2E6747B1" w14:textId="77777777" w:rsidR="004C0BBA" w:rsidRPr="006C6F80" w:rsidRDefault="004C0BBA" w:rsidP="004C0BBA">
            <w:pPr>
              <w:rPr>
                <w:color w:val="000000" w:themeColor="text1"/>
                <w:sz w:val="20"/>
                <w:szCs w:val="20"/>
              </w:rPr>
            </w:pPr>
            <w:r w:rsidRPr="006C6F80">
              <w:rPr>
                <w:color w:val="000000" w:themeColor="text1"/>
                <w:sz w:val="20"/>
                <w:szCs w:val="20"/>
              </w:rPr>
              <w:t>Social security</w:t>
            </w:r>
          </w:p>
        </w:tc>
        <w:tc>
          <w:tcPr>
            <w:tcW w:w="1020" w:type="dxa"/>
            <w:tcBorders>
              <w:top w:val="nil"/>
              <w:left w:val="nil"/>
              <w:bottom w:val="nil"/>
              <w:right w:val="nil"/>
            </w:tcBorders>
            <w:shd w:val="clear" w:color="auto" w:fill="auto"/>
            <w:vAlign w:val="bottom"/>
            <w:hideMark/>
          </w:tcPr>
          <w:p w14:paraId="4B361EED" w14:textId="77777777" w:rsidR="004C0BBA" w:rsidRPr="006C6F80" w:rsidRDefault="004C0BBA" w:rsidP="004C0BBA">
            <w:pPr>
              <w:jc w:val="center"/>
              <w:rPr>
                <w:color w:val="000000" w:themeColor="text1"/>
                <w:sz w:val="20"/>
                <w:szCs w:val="20"/>
              </w:rPr>
            </w:pPr>
            <w:r w:rsidRPr="006C6F80">
              <w:rPr>
                <w:color w:val="000000" w:themeColor="text1"/>
                <w:sz w:val="20"/>
                <w:szCs w:val="20"/>
              </w:rPr>
              <w:t>0.265</w:t>
            </w:r>
          </w:p>
        </w:tc>
        <w:tc>
          <w:tcPr>
            <w:tcW w:w="1020" w:type="dxa"/>
            <w:tcBorders>
              <w:top w:val="nil"/>
              <w:left w:val="nil"/>
              <w:bottom w:val="nil"/>
              <w:right w:val="nil"/>
            </w:tcBorders>
            <w:shd w:val="clear" w:color="auto" w:fill="auto"/>
            <w:vAlign w:val="bottom"/>
            <w:hideMark/>
          </w:tcPr>
          <w:p w14:paraId="764D4AD4" w14:textId="77777777" w:rsidR="004C0BBA" w:rsidRPr="006C6F80" w:rsidRDefault="004C0BBA" w:rsidP="004C0BBA">
            <w:pPr>
              <w:jc w:val="center"/>
              <w:rPr>
                <w:color w:val="000000" w:themeColor="text1"/>
                <w:sz w:val="20"/>
                <w:szCs w:val="20"/>
              </w:rPr>
            </w:pPr>
            <w:r w:rsidRPr="006C6F80">
              <w:rPr>
                <w:color w:val="000000" w:themeColor="text1"/>
                <w:sz w:val="20"/>
                <w:szCs w:val="20"/>
              </w:rPr>
              <w:t>0.441</w:t>
            </w:r>
          </w:p>
        </w:tc>
        <w:tc>
          <w:tcPr>
            <w:tcW w:w="1020" w:type="dxa"/>
            <w:tcBorders>
              <w:top w:val="nil"/>
              <w:left w:val="nil"/>
              <w:bottom w:val="nil"/>
              <w:right w:val="nil"/>
            </w:tcBorders>
            <w:shd w:val="clear" w:color="auto" w:fill="auto"/>
            <w:vAlign w:val="bottom"/>
            <w:hideMark/>
          </w:tcPr>
          <w:p w14:paraId="0E3C93F7" w14:textId="77777777" w:rsidR="004C0BBA" w:rsidRPr="006C6F80" w:rsidRDefault="004C0BBA" w:rsidP="004C0BBA">
            <w:pPr>
              <w:jc w:val="center"/>
              <w:rPr>
                <w:color w:val="000000" w:themeColor="text1"/>
                <w:sz w:val="20"/>
                <w:szCs w:val="20"/>
              </w:rPr>
            </w:pPr>
            <w:r w:rsidRPr="006C6F80">
              <w:rPr>
                <w:color w:val="000000" w:themeColor="text1"/>
                <w:sz w:val="20"/>
                <w:szCs w:val="20"/>
              </w:rPr>
              <w:t>0.079</w:t>
            </w:r>
          </w:p>
        </w:tc>
        <w:tc>
          <w:tcPr>
            <w:tcW w:w="1020" w:type="dxa"/>
            <w:tcBorders>
              <w:top w:val="nil"/>
              <w:left w:val="nil"/>
              <w:bottom w:val="nil"/>
              <w:right w:val="nil"/>
            </w:tcBorders>
            <w:shd w:val="clear" w:color="auto" w:fill="auto"/>
            <w:vAlign w:val="bottom"/>
            <w:hideMark/>
          </w:tcPr>
          <w:p w14:paraId="45052267" w14:textId="77777777" w:rsidR="004C0BBA" w:rsidRPr="006C6F80" w:rsidRDefault="004C0BBA" w:rsidP="004C0BBA">
            <w:pPr>
              <w:jc w:val="center"/>
              <w:rPr>
                <w:color w:val="000000" w:themeColor="text1"/>
                <w:sz w:val="20"/>
                <w:szCs w:val="20"/>
              </w:rPr>
            </w:pPr>
            <w:r w:rsidRPr="006C6F80">
              <w:rPr>
                <w:color w:val="000000" w:themeColor="text1"/>
                <w:sz w:val="20"/>
                <w:szCs w:val="20"/>
              </w:rPr>
              <w:t>0.271</w:t>
            </w:r>
          </w:p>
        </w:tc>
        <w:tc>
          <w:tcPr>
            <w:tcW w:w="1020" w:type="dxa"/>
            <w:tcBorders>
              <w:top w:val="nil"/>
              <w:left w:val="nil"/>
              <w:bottom w:val="nil"/>
              <w:right w:val="nil"/>
            </w:tcBorders>
            <w:shd w:val="clear" w:color="auto" w:fill="auto"/>
            <w:vAlign w:val="bottom"/>
            <w:hideMark/>
          </w:tcPr>
          <w:p w14:paraId="7105A1AE" w14:textId="77777777" w:rsidR="004C0BBA" w:rsidRPr="006C6F80" w:rsidRDefault="004C0BBA" w:rsidP="004C0BBA">
            <w:pPr>
              <w:jc w:val="center"/>
              <w:rPr>
                <w:color w:val="000000" w:themeColor="text1"/>
                <w:sz w:val="20"/>
                <w:szCs w:val="20"/>
              </w:rPr>
            </w:pPr>
            <w:r w:rsidRPr="006C6F80">
              <w:rPr>
                <w:color w:val="000000" w:themeColor="text1"/>
                <w:sz w:val="20"/>
                <w:szCs w:val="20"/>
              </w:rPr>
              <w:t>0.186***</w:t>
            </w:r>
          </w:p>
        </w:tc>
      </w:tr>
      <w:tr w:rsidR="004C0BBA" w:rsidRPr="006C6F80" w14:paraId="1F261DB5" w14:textId="77777777" w:rsidTr="004C0BBA">
        <w:trPr>
          <w:trHeight w:val="260"/>
          <w:jc w:val="center"/>
        </w:trPr>
        <w:tc>
          <w:tcPr>
            <w:tcW w:w="1020" w:type="dxa"/>
            <w:tcBorders>
              <w:top w:val="nil"/>
              <w:left w:val="nil"/>
              <w:bottom w:val="nil"/>
              <w:right w:val="nil"/>
            </w:tcBorders>
            <w:shd w:val="clear" w:color="auto" w:fill="auto"/>
            <w:vAlign w:val="center"/>
            <w:hideMark/>
          </w:tcPr>
          <w:p w14:paraId="4940C611" w14:textId="77777777" w:rsidR="004C0BBA" w:rsidRPr="006C6F80" w:rsidRDefault="004C0BBA" w:rsidP="004C0BBA">
            <w:pPr>
              <w:jc w:val="center"/>
              <w:rPr>
                <w:color w:val="000000" w:themeColor="text1"/>
                <w:sz w:val="20"/>
                <w:szCs w:val="20"/>
              </w:rPr>
            </w:pPr>
          </w:p>
        </w:tc>
        <w:tc>
          <w:tcPr>
            <w:tcW w:w="3940" w:type="dxa"/>
            <w:tcBorders>
              <w:top w:val="nil"/>
              <w:left w:val="nil"/>
              <w:bottom w:val="nil"/>
              <w:right w:val="nil"/>
            </w:tcBorders>
            <w:shd w:val="clear" w:color="auto" w:fill="auto"/>
            <w:vAlign w:val="center"/>
            <w:hideMark/>
          </w:tcPr>
          <w:p w14:paraId="54FB4781" w14:textId="77777777" w:rsidR="004C0BBA" w:rsidRPr="006C6F80" w:rsidRDefault="004C0BBA" w:rsidP="004C0BBA">
            <w:pPr>
              <w:rPr>
                <w:color w:val="000000" w:themeColor="text1"/>
                <w:sz w:val="20"/>
                <w:szCs w:val="20"/>
              </w:rPr>
            </w:pPr>
          </w:p>
        </w:tc>
        <w:tc>
          <w:tcPr>
            <w:tcW w:w="1020" w:type="dxa"/>
            <w:tcBorders>
              <w:top w:val="nil"/>
              <w:left w:val="nil"/>
              <w:bottom w:val="nil"/>
              <w:right w:val="nil"/>
            </w:tcBorders>
            <w:shd w:val="clear" w:color="auto" w:fill="auto"/>
            <w:vAlign w:val="bottom"/>
            <w:hideMark/>
          </w:tcPr>
          <w:p w14:paraId="46F2F25C" w14:textId="77777777" w:rsidR="004C0BBA" w:rsidRPr="006C6F80" w:rsidRDefault="004C0BBA" w:rsidP="004C0BBA">
            <w:pPr>
              <w:rPr>
                <w:color w:val="000000" w:themeColor="text1"/>
                <w:sz w:val="20"/>
                <w:szCs w:val="20"/>
              </w:rPr>
            </w:pPr>
          </w:p>
        </w:tc>
        <w:tc>
          <w:tcPr>
            <w:tcW w:w="1020" w:type="dxa"/>
            <w:tcBorders>
              <w:top w:val="nil"/>
              <w:left w:val="nil"/>
              <w:bottom w:val="nil"/>
              <w:right w:val="nil"/>
            </w:tcBorders>
            <w:shd w:val="clear" w:color="auto" w:fill="auto"/>
            <w:vAlign w:val="bottom"/>
            <w:hideMark/>
          </w:tcPr>
          <w:p w14:paraId="71488CBC"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074BF5EC"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08260853"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361A045C" w14:textId="77777777" w:rsidR="004C0BBA" w:rsidRPr="006C6F80" w:rsidRDefault="004C0BBA" w:rsidP="004C0BBA">
            <w:pPr>
              <w:jc w:val="center"/>
              <w:rPr>
                <w:color w:val="000000" w:themeColor="text1"/>
                <w:sz w:val="20"/>
                <w:szCs w:val="20"/>
              </w:rPr>
            </w:pPr>
          </w:p>
        </w:tc>
      </w:tr>
      <w:tr w:rsidR="004C0BBA" w:rsidRPr="006C6F80" w14:paraId="3D01DA4A" w14:textId="77777777" w:rsidTr="004C0BBA">
        <w:trPr>
          <w:trHeight w:val="260"/>
          <w:jc w:val="center"/>
        </w:trPr>
        <w:tc>
          <w:tcPr>
            <w:tcW w:w="4960" w:type="dxa"/>
            <w:gridSpan w:val="2"/>
            <w:tcBorders>
              <w:top w:val="nil"/>
              <w:left w:val="nil"/>
              <w:bottom w:val="nil"/>
              <w:right w:val="nil"/>
            </w:tcBorders>
            <w:shd w:val="clear" w:color="auto" w:fill="auto"/>
            <w:vAlign w:val="center"/>
            <w:hideMark/>
          </w:tcPr>
          <w:p w14:paraId="144E6BE5" w14:textId="77777777" w:rsidR="004C0BBA" w:rsidRPr="006C6F80" w:rsidRDefault="004C0BBA" w:rsidP="004C0BBA">
            <w:pPr>
              <w:rPr>
                <w:i/>
                <w:iCs/>
                <w:color w:val="000000" w:themeColor="text1"/>
                <w:sz w:val="20"/>
                <w:szCs w:val="20"/>
              </w:rPr>
            </w:pPr>
            <w:r w:rsidRPr="006C6F80">
              <w:rPr>
                <w:i/>
                <w:iCs/>
                <w:color w:val="000000" w:themeColor="text1"/>
                <w:sz w:val="20"/>
                <w:szCs w:val="20"/>
              </w:rPr>
              <w:t>First job occupation</w:t>
            </w:r>
          </w:p>
        </w:tc>
        <w:tc>
          <w:tcPr>
            <w:tcW w:w="1020" w:type="dxa"/>
            <w:tcBorders>
              <w:top w:val="nil"/>
              <w:left w:val="nil"/>
              <w:bottom w:val="nil"/>
              <w:right w:val="nil"/>
            </w:tcBorders>
            <w:shd w:val="clear" w:color="auto" w:fill="auto"/>
            <w:vAlign w:val="bottom"/>
            <w:hideMark/>
          </w:tcPr>
          <w:p w14:paraId="1F8DDA14" w14:textId="77777777" w:rsidR="004C0BBA" w:rsidRPr="006C6F80" w:rsidRDefault="004C0BBA" w:rsidP="004C0BBA">
            <w:pPr>
              <w:rPr>
                <w:i/>
                <w:iCs/>
                <w:color w:val="000000" w:themeColor="text1"/>
                <w:sz w:val="20"/>
                <w:szCs w:val="20"/>
              </w:rPr>
            </w:pPr>
          </w:p>
        </w:tc>
        <w:tc>
          <w:tcPr>
            <w:tcW w:w="1020" w:type="dxa"/>
            <w:tcBorders>
              <w:top w:val="nil"/>
              <w:left w:val="nil"/>
              <w:bottom w:val="nil"/>
              <w:right w:val="nil"/>
            </w:tcBorders>
            <w:shd w:val="clear" w:color="auto" w:fill="auto"/>
            <w:vAlign w:val="bottom"/>
            <w:hideMark/>
          </w:tcPr>
          <w:p w14:paraId="1FF3F959"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6DB19B21"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51992BFC"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7C394B12" w14:textId="77777777" w:rsidR="004C0BBA" w:rsidRPr="006C6F80" w:rsidRDefault="004C0BBA" w:rsidP="004C0BBA">
            <w:pPr>
              <w:jc w:val="center"/>
              <w:rPr>
                <w:color w:val="000000" w:themeColor="text1"/>
                <w:sz w:val="20"/>
                <w:szCs w:val="20"/>
              </w:rPr>
            </w:pPr>
          </w:p>
        </w:tc>
      </w:tr>
      <w:tr w:rsidR="004C0BBA" w:rsidRPr="006C6F80" w14:paraId="71B1B75E"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0B202054" w14:textId="77777777" w:rsidR="004C0BBA" w:rsidRPr="006C6F80" w:rsidRDefault="004C0BBA" w:rsidP="004C0BBA">
            <w:pPr>
              <w:rPr>
                <w:color w:val="000000" w:themeColor="text1"/>
                <w:sz w:val="20"/>
                <w:szCs w:val="20"/>
              </w:rPr>
            </w:pPr>
            <w:r w:rsidRPr="006C6F80">
              <w:rPr>
                <w:color w:val="000000" w:themeColor="text1"/>
                <w:sz w:val="20"/>
                <w:szCs w:val="20"/>
              </w:rPr>
              <w:t>Agriculture</w:t>
            </w:r>
          </w:p>
        </w:tc>
        <w:tc>
          <w:tcPr>
            <w:tcW w:w="1020" w:type="dxa"/>
            <w:tcBorders>
              <w:top w:val="nil"/>
              <w:left w:val="nil"/>
              <w:bottom w:val="nil"/>
              <w:right w:val="nil"/>
            </w:tcBorders>
            <w:shd w:val="clear" w:color="auto" w:fill="auto"/>
            <w:vAlign w:val="bottom"/>
            <w:hideMark/>
          </w:tcPr>
          <w:p w14:paraId="6A84E904" w14:textId="77777777" w:rsidR="004C0BBA" w:rsidRPr="006C6F80" w:rsidRDefault="004C0BBA" w:rsidP="004C0BBA">
            <w:pPr>
              <w:jc w:val="center"/>
              <w:rPr>
                <w:color w:val="000000" w:themeColor="text1"/>
                <w:sz w:val="20"/>
                <w:szCs w:val="20"/>
              </w:rPr>
            </w:pPr>
            <w:r w:rsidRPr="006C6F80">
              <w:rPr>
                <w:color w:val="000000" w:themeColor="text1"/>
                <w:sz w:val="20"/>
                <w:szCs w:val="20"/>
              </w:rPr>
              <w:t>0.306</w:t>
            </w:r>
          </w:p>
        </w:tc>
        <w:tc>
          <w:tcPr>
            <w:tcW w:w="1020" w:type="dxa"/>
            <w:tcBorders>
              <w:top w:val="nil"/>
              <w:left w:val="nil"/>
              <w:bottom w:val="nil"/>
              <w:right w:val="nil"/>
            </w:tcBorders>
            <w:shd w:val="clear" w:color="auto" w:fill="auto"/>
            <w:vAlign w:val="bottom"/>
            <w:hideMark/>
          </w:tcPr>
          <w:p w14:paraId="07EC28A1" w14:textId="77777777" w:rsidR="004C0BBA" w:rsidRPr="006C6F80" w:rsidRDefault="004C0BBA" w:rsidP="004C0BBA">
            <w:pPr>
              <w:jc w:val="center"/>
              <w:rPr>
                <w:color w:val="000000" w:themeColor="text1"/>
                <w:sz w:val="20"/>
                <w:szCs w:val="20"/>
              </w:rPr>
            </w:pPr>
            <w:r w:rsidRPr="006C6F80">
              <w:rPr>
                <w:color w:val="000000" w:themeColor="text1"/>
                <w:sz w:val="20"/>
                <w:szCs w:val="20"/>
              </w:rPr>
              <w:t>0.461</w:t>
            </w:r>
          </w:p>
        </w:tc>
        <w:tc>
          <w:tcPr>
            <w:tcW w:w="1020" w:type="dxa"/>
            <w:tcBorders>
              <w:top w:val="nil"/>
              <w:left w:val="nil"/>
              <w:bottom w:val="nil"/>
              <w:right w:val="nil"/>
            </w:tcBorders>
            <w:shd w:val="clear" w:color="auto" w:fill="auto"/>
            <w:vAlign w:val="bottom"/>
            <w:hideMark/>
          </w:tcPr>
          <w:p w14:paraId="09DF6ABB" w14:textId="77777777" w:rsidR="004C0BBA" w:rsidRPr="006C6F80" w:rsidRDefault="004C0BBA" w:rsidP="004C0BBA">
            <w:pPr>
              <w:jc w:val="center"/>
              <w:rPr>
                <w:color w:val="000000" w:themeColor="text1"/>
                <w:sz w:val="20"/>
                <w:szCs w:val="20"/>
              </w:rPr>
            </w:pPr>
            <w:r w:rsidRPr="006C6F80">
              <w:rPr>
                <w:color w:val="000000" w:themeColor="text1"/>
                <w:sz w:val="20"/>
                <w:szCs w:val="20"/>
              </w:rPr>
              <w:t>0.43</w:t>
            </w:r>
          </w:p>
        </w:tc>
        <w:tc>
          <w:tcPr>
            <w:tcW w:w="1020" w:type="dxa"/>
            <w:tcBorders>
              <w:top w:val="nil"/>
              <w:left w:val="nil"/>
              <w:bottom w:val="nil"/>
              <w:right w:val="nil"/>
            </w:tcBorders>
            <w:shd w:val="clear" w:color="auto" w:fill="auto"/>
            <w:vAlign w:val="bottom"/>
            <w:hideMark/>
          </w:tcPr>
          <w:p w14:paraId="5B0E2AEC" w14:textId="77777777" w:rsidR="004C0BBA" w:rsidRPr="006C6F80" w:rsidRDefault="004C0BBA" w:rsidP="004C0BBA">
            <w:pPr>
              <w:jc w:val="center"/>
              <w:rPr>
                <w:color w:val="000000" w:themeColor="text1"/>
                <w:sz w:val="20"/>
                <w:szCs w:val="20"/>
              </w:rPr>
            </w:pPr>
            <w:r w:rsidRPr="006C6F80">
              <w:rPr>
                <w:color w:val="000000" w:themeColor="text1"/>
                <w:sz w:val="20"/>
                <w:szCs w:val="20"/>
              </w:rPr>
              <w:t>0.496</w:t>
            </w:r>
          </w:p>
        </w:tc>
        <w:tc>
          <w:tcPr>
            <w:tcW w:w="1020" w:type="dxa"/>
            <w:tcBorders>
              <w:top w:val="nil"/>
              <w:left w:val="nil"/>
              <w:bottom w:val="nil"/>
              <w:right w:val="nil"/>
            </w:tcBorders>
            <w:shd w:val="clear" w:color="auto" w:fill="auto"/>
            <w:vAlign w:val="bottom"/>
            <w:hideMark/>
          </w:tcPr>
          <w:p w14:paraId="49919945" w14:textId="77777777" w:rsidR="004C0BBA" w:rsidRPr="006C6F80" w:rsidRDefault="004C0BBA" w:rsidP="004C0BBA">
            <w:pPr>
              <w:jc w:val="center"/>
              <w:rPr>
                <w:color w:val="000000" w:themeColor="text1"/>
                <w:sz w:val="20"/>
                <w:szCs w:val="20"/>
              </w:rPr>
            </w:pPr>
            <w:r w:rsidRPr="006C6F80">
              <w:rPr>
                <w:color w:val="000000" w:themeColor="text1"/>
                <w:sz w:val="20"/>
                <w:szCs w:val="20"/>
              </w:rPr>
              <w:t>-0.124***</w:t>
            </w:r>
          </w:p>
        </w:tc>
      </w:tr>
      <w:tr w:rsidR="004C0BBA" w:rsidRPr="006C6F80" w14:paraId="389600A7"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49D4800B" w14:textId="77777777" w:rsidR="004C0BBA" w:rsidRPr="006C6F80" w:rsidRDefault="004C0BBA" w:rsidP="004C0BBA">
            <w:pPr>
              <w:rPr>
                <w:color w:val="000000" w:themeColor="text1"/>
                <w:sz w:val="20"/>
                <w:szCs w:val="20"/>
              </w:rPr>
            </w:pPr>
            <w:r w:rsidRPr="006C6F80">
              <w:rPr>
                <w:color w:val="000000" w:themeColor="text1"/>
                <w:sz w:val="20"/>
                <w:szCs w:val="20"/>
              </w:rPr>
              <w:t>Low-skilled blue-collar</w:t>
            </w:r>
          </w:p>
        </w:tc>
        <w:tc>
          <w:tcPr>
            <w:tcW w:w="1020" w:type="dxa"/>
            <w:tcBorders>
              <w:top w:val="nil"/>
              <w:left w:val="nil"/>
              <w:bottom w:val="nil"/>
              <w:right w:val="nil"/>
            </w:tcBorders>
            <w:shd w:val="clear" w:color="auto" w:fill="auto"/>
            <w:vAlign w:val="bottom"/>
            <w:hideMark/>
          </w:tcPr>
          <w:p w14:paraId="7840F93D" w14:textId="77777777" w:rsidR="004C0BBA" w:rsidRPr="006C6F80" w:rsidRDefault="004C0BBA" w:rsidP="004C0BBA">
            <w:pPr>
              <w:jc w:val="center"/>
              <w:rPr>
                <w:color w:val="000000" w:themeColor="text1"/>
                <w:sz w:val="20"/>
                <w:szCs w:val="20"/>
              </w:rPr>
            </w:pPr>
            <w:r w:rsidRPr="006C6F80">
              <w:rPr>
                <w:color w:val="000000" w:themeColor="text1"/>
                <w:sz w:val="20"/>
                <w:szCs w:val="20"/>
              </w:rPr>
              <w:t>0.122</w:t>
            </w:r>
          </w:p>
        </w:tc>
        <w:tc>
          <w:tcPr>
            <w:tcW w:w="1020" w:type="dxa"/>
            <w:tcBorders>
              <w:top w:val="nil"/>
              <w:left w:val="nil"/>
              <w:bottom w:val="nil"/>
              <w:right w:val="nil"/>
            </w:tcBorders>
            <w:shd w:val="clear" w:color="auto" w:fill="auto"/>
            <w:vAlign w:val="bottom"/>
            <w:hideMark/>
          </w:tcPr>
          <w:p w14:paraId="6FA691CB" w14:textId="77777777" w:rsidR="004C0BBA" w:rsidRPr="006C6F80" w:rsidRDefault="004C0BBA" w:rsidP="004C0BBA">
            <w:pPr>
              <w:jc w:val="center"/>
              <w:rPr>
                <w:color w:val="000000" w:themeColor="text1"/>
                <w:sz w:val="20"/>
                <w:szCs w:val="20"/>
              </w:rPr>
            </w:pPr>
            <w:r w:rsidRPr="006C6F80">
              <w:rPr>
                <w:color w:val="000000" w:themeColor="text1"/>
                <w:sz w:val="20"/>
                <w:szCs w:val="20"/>
              </w:rPr>
              <w:t>0.328</w:t>
            </w:r>
          </w:p>
        </w:tc>
        <w:tc>
          <w:tcPr>
            <w:tcW w:w="1020" w:type="dxa"/>
            <w:tcBorders>
              <w:top w:val="nil"/>
              <w:left w:val="nil"/>
              <w:bottom w:val="nil"/>
              <w:right w:val="nil"/>
            </w:tcBorders>
            <w:shd w:val="clear" w:color="auto" w:fill="auto"/>
            <w:vAlign w:val="bottom"/>
            <w:hideMark/>
          </w:tcPr>
          <w:p w14:paraId="643403AB" w14:textId="77777777" w:rsidR="004C0BBA" w:rsidRPr="006C6F80" w:rsidRDefault="004C0BBA" w:rsidP="004C0BBA">
            <w:pPr>
              <w:jc w:val="center"/>
              <w:rPr>
                <w:color w:val="000000" w:themeColor="text1"/>
                <w:sz w:val="20"/>
                <w:szCs w:val="20"/>
              </w:rPr>
            </w:pPr>
            <w:r w:rsidRPr="006C6F80">
              <w:rPr>
                <w:color w:val="000000" w:themeColor="text1"/>
                <w:sz w:val="20"/>
                <w:szCs w:val="20"/>
              </w:rPr>
              <w:t>0.067</w:t>
            </w:r>
          </w:p>
        </w:tc>
        <w:tc>
          <w:tcPr>
            <w:tcW w:w="1020" w:type="dxa"/>
            <w:tcBorders>
              <w:top w:val="nil"/>
              <w:left w:val="nil"/>
              <w:bottom w:val="nil"/>
              <w:right w:val="nil"/>
            </w:tcBorders>
            <w:shd w:val="clear" w:color="auto" w:fill="auto"/>
            <w:vAlign w:val="bottom"/>
            <w:hideMark/>
          </w:tcPr>
          <w:p w14:paraId="3A7D98C1" w14:textId="77777777" w:rsidR="004C0BBA" w:rsidRPr="006C6F80" w:rsidRDefault="004C0BBA" w:rsidP="004C0BBA">
            <w:pPr>
              <w:jc w:val="center"/>
              <w:rPr>
                <w:color w:val="000000" w:themeColor="text1"/>
                <w:sz w:val="20"/>
                <w:szCs w:val="20"/>
              </w:rPr>
            </w:pPr>
            <w:r w:rsidRPr="006C6F80">
              <w:rPr>
                <w:color w:val="000000" w:themeColor="text1"/>
                <w:sz w:val="20"/>
                <w:szCs w:val="20"/>
              </w:rPr>
              <w:t>0.251</w:t>
            </w:r>
          </w:p>
        </w:tc>
        <w:tc>
          <w:tcPr>
            <w:tcW w:w="1020" w:type="dxa"/>
            <w:tcBorders>
              <w:top w:val="nil"/>
              <w:left w:val="nil"/>
              <w:bottom w:val="nil"/>
              <w:right w:val="nil"/>
            </w:tcBorders>
            <w:shd w:val="clear" w:color="auto" w:fill="auto"/>
            <w:vAlign w:val="bottom"/>
            <w:hideMark/>
          </w:tcPr>
          <w:p w14:paraId="7F59F196" w14:textId="77777777" w:rsidR="004C0BBA" w:rsidRPr="006C6F80" w:rsidRDefault="004C0BBA" w:rsidP="004C0BBA">
            <w:pPr>
              <w:jc w:val="center"/>
              <w:rPr>
                <w:color w:val="000000" w:themeColor="text1"/>
                <w:sz w:val="20"/>
                <w:szCs w:val="20"/>
              </w:rPr>
            </w:pPr>
            <w:r w:rsidRPr="006C6F80">
              <w:rPr>
                <w:color w:val="000000" w:themeColor="text1"/>
                <w:sz w:val="20"/>
                <w:szCs w:val="20"/>
              </w:rPr>
              <w:t>0.055***</w:t>
            </w:r>
          </w:p>
        </w:tc>
      </w:tr>
      <w:tr w:rsidR="004C0BBA" w:rsidRPr="006C6F80" w14:paraId="10F1FE65"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6DA3D591" w14:textId="77777777" w:rsidR="004C0BBA" w:rsidRPr="006C6F80" w:rsidRDefault="004C0BBA" w:rsidP="004C0BBA">
            <w:pPr>
              <w:rPr>
                <w:color w:val="000000" w:themeColor="text1"/>
                <w:sz w:val="20"/>
                <w:szCs w:val="20"/>
              </w:rPr>
            </w:pPr>
            <w:r w:rsidRPr="006C6F80">
              <w:rPr>
                <w:color w:val="000000" w:themeColor="text1"/>
                <w:sz w:val="20"/>
                <w:szCs w:val="20"/>
              </w:rPr>
              <w:t>High-skilled blue-collar</w:t>
            </w:r>
          </w:p>
        </w:tc>
        <w:tc>
          <w:tcPr>
            <w:tcW w:w="1020" w:type="dxa"/>
            <w:tcBorders>
              <w:top w:val="nil"/>
              <w:left w:val="nil"/>
              <w:bottom w:val="nil"/>
              <w:right w:val="nil"/>
            </w:tcBorders>
            <w:shd w:val="clear" w:color="auto" w:fill="auto"/>
            <w:vAlign w:val="bottom"/>
            <w:hideMark/>
          </w:tcPr>
          <w:p w14:paraId="4144FFC8" w14:textId="77777777" w:rsidR="004C0BBA" w:rsidRPr="006C6F80" w:rsidRDefault="004C0BBA" w:rsidP="004C0BBA">
            <w:pPr>
              <w:jc w:val="center"/>
              <w:rPr>
                <w:color w:val="000000" w:themeColor="text1"/>
                <w:sz w:val="20"/>
                <w:szCs w:val="20"/>
              </w:rPr>
            </w:pPr>
            <w:r w:rsidRPr="006C6F80">
              <w:rPr>
                <w:color w:val="000000" w:themeColor="text1"/>
                <w:sz w:val="20"/>
                <w:szCs w:val="20"/>
              </w:rPr>
              <w:t>0.209</w:t>
            </w:r>
          </w:p>
        </w:tc>
        <w:tc>
          <w:tcPr>
            <w:tcW w:w="1020" w:type="dxa"/>
            <w:tcBorders>
              <w:top w:val="nil"/>
              <w:left w:val="nil"/>
              <w:bottom w:val="nil"/>
              <w:right w:val="nil"/>
            </w:tcBorders>
            <w:shd w:val="clear" w:color="auto" w:fill="auto"/>
            <w:vAlign w:val="bottom"/>
            <w:hideMark/>
          </w:tcPr>
          <w:p w14:paraId="0F1568E9" w14:textId="77777777" w:rsidR="004C0BBA" w:rsidRPr="006C6F80" w:rsidRDefault="004C0BBA" w:rsidP="004C0BBA">
            <w:pPr>
              <w:jc w:val="center"/>
              <w:rPr>
                <w:color w:val="000000" w:themeColor="text1"/>
                <w:sz w:val="20"/>
                <w:szCs w:val="20"/>
              </w:rPr>
            </w:pPr>
            <w:r w:rsidRPr="006C6F80">
              <w:rPr>
                <w:color w:val="000000" w:themeColor="text1"/>
                <w:sz w:val="20"/>
                <w:szCs w:val="20"/>
              </w:rPr>
              <w:t>0.407</w:t>
            </w:r>
          </w:p>
        </w:tc>
        <w:tc>
          <w:tcPr>
            <w:tcW w:w="1020" w:type="dxa"/>
            <w:tcBorders>
              <w:top w:val="nil"/>
              <w:left w:val="nil"/>
              <w:bottom w:val="nil"/>
              <w:right w:val="nil"/>
            </w:tcBorders>
            <w:shd w:val="clear" w:color="auto" w:fill="auto"/>
            <w:vAlign w:val="bottom"/>
            <w:hideMark/>
          </w:tcPr>
          <w:p w14:paraId="43667089" w14:textId="77777777" w:rsidR="004C0BBA" w:rsidRPr="006C6F80" w:rsidRDefault="004C0BBA" w:rsidP="004C0BBA">
            <w:pPr>
              <w:jc w:val="center"/>
              <w:rPr>
                <w:color w:val="000000" w:themeColor="text1"/>
                <w:sz w:val="20"/>
                <w:szCs w:val="20"/>
              </w:rPr>
            </w:pPr>
            <w:r w:rsidRPr="006C6F80">
              <w:rPr>
                <w:color w:val="000000" w:themeColor="text1"/>
                <w:sz w:val="20"/>
                <w:szCs w:val="20"/>
              </w:rPr>
              <w:t>0.326</w:t>
            </w:r>
          </w:p>
        </w:tc>
        <w:tc>
          <w:tcPr>
            <w:tcW w:w="1020" w:type="dxa"/>
            <w:tcBorders>
              <w:top w:val="nil"/>
              <w:left w:val="nil"/>
              <w:bottom w:val="nil"/>
              <w:right w:val="nil"/>
            </w:tcBorders>
            <w:shd w:val="clear" w:color="auto" w:fill="auto"/>
            <w:vAlign w:val="bottom"/>
            <w:hideMark/>
          </w:tcPr>
          <w:p w14:paraId="4BF812F5" w14:textId="77777777" w:rsidR="004C0BBA" w:rsidRPr="006C6F80" w:rsidRDefault="004C0BBA" w:rsidP="004C0BBA">
            <w:pPr>
              <w:jc w:val="center"/>
              <w:rPr>
                <w:color w:val="000000" w:themeColor="text1"/>
                <w:sz w:val="20"/>
                <w:szCs w:val="20"/>
              </w:rPr>
            </w:pPr>
            <w:r w:rsidRPr="006C6F80">
              <w:rPr>
                <w:color w:val="000000" w:themeColor="text1"/>
                <w:sz w:val="20"/>
                <w:szCs w:val="20"/>
              </w:rPr>
              <w:t>0.470</w:t>
            </w:r>
          </w:p>
        </w:tc>
        <w:tc>
          <w:tcPr>
            <w:tcW w:w="1020" w:type="dxa"/>
            <w:tcBorders>
              <w:top w:val="nil"/>
              <w:left w:val="nil"/>
              <w:bottom w:val="nil"/>
              <w:right w:val="nil"/>
            </w:tcBorders>
            <w:shd w:val="clear" w:color="auto" w:fill="auto"/>
            <w:vAlign w:val="bottom"/>
            <w:hideMark/>
          </w:tcPr>
          <w:p w14:paraId="06FC1D05" w14:textId="77777777" w:rsidR="004C0BBA" w:rsidRPr="006C6F80" w:rsidRDefault="004C0BBA" w:rsidP="004C0BBA">
            <w:pPr>
              <w:jc w:val="center"/>
              <w:rPr>
                <w:color w:val="000000" w:themeColor="text1"/>
                <w:sz w:val="20"/>
                <w:szCs w:val="20"/>
              </w:rPr>
            </w:pPr>
            <w:r w:rsidRPr="006C6F80">
              <w:rPr>
                <w:color w:val="000000" w:themeColor="text1"/>
                <w:sz w:val="20"/>
                <w:szCs w:val="20"/>
              </w:rPr>
              <w:t>-0.117***</w:t>
            </w:r>
          </w:p>
        </w:tc>
      </w:tr>
      <w:tr w:rsidR="004C0BBA" w:rsidRPr="006C6F80" w14:paraId="48DBEE68"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2EB9174C" w14:textId="77777777" w:rsidR="004C0BBA" w:rsidRPr="006C6F80" w:rsidRDefault="004C0BBA" w:rsidP="004C0BBA">
            <w:pPr>
              <w:rPr>
                <w:color w:val="000000" w:themeColor="text1"/>
                <w:sz w:val="20"/>
                <w:szCs w:val="20"/>
              </w:rPr>
            </w:pPr>
            <w:r w:rsidRPr="006C6F80">
              <w:rPr>
                <w:color w:val="000000" w:themeColor="text1"/>
                <w:sz w:val="20"/>
                <w:szCs w:val="20"/>
              </w:rPr>
              <w:t>Low-skilled white-collar</w:t>
            </w:r>
          </w:p>
        </w:tc>
        <w:tc>
          <w:tcPr>
            <w:tcW w:w="1020" w:type="dxa"/>
            <w:tcBorders>
              <w:top w:val="nil"/>
              <w:left w:val="nil"/>
              <w:bottom w:val="nil"/>
              <w:right w:val="nil"/>
            </w:tcBorders>
            <w:shd w:val="clear" w:color="auto" w:fill="auto"/>
            <w:vAlign w:val="bottom"/>
            <w:hideMark/>
          </w:tcPr>
          <w:p w14:paraId="0DBF97B4" w14:textId="77777777" w:rsidR="004C0BBA" w:rsidRPr="006C6F80" w:rsidRDefault="004C0BBA" w:rsidP="004C0BBA">
            <w:pPr>
              <w:jc w:val="center"/>
              <w:rPr>
                <w:color w:val="000000" w:themeColor="text1"/>
                <w:sz w:val="20"/>
                <w:szCs w:val="20"/>
              </w:rPr>
            </w:pPr>
            <w:r w:rsidRPr="006C6F80">
              <w:rPr>
                <w:color w:val="000000" w:themeColor="text1"/>
                <w:sz w:val="20"/>
                <w:szCs w:val="20"/>
              </w:rPr>
              <w:t>0.116</w:t>
            </w:r>
          </w:p>
        </w:tc>
        <w:tc>
          <w:tcPr>
            <w:tcW w:w="1020" w:type="dxa"/>
            <w:tcBorders>
              <w:top w:val="nil"/>
              <w:left w:val="nil"/>
              <w:bottom w:val="nil"/>
              <w:right w:val="nil"/>
            </w:tcBorders>
            <w:shd w:val="clear" w:color="auto" w:fill="auto"/>
            <w:vAlign w:val="bottom"/>
            <w:hideMark/>
          </w:tcPr>
          <w:p w14:paraId="0A2B86BF" w14:textId="77777777" w:rsidR="004C0BBA" w:rsidRPr="006C6F80" w:rsidRDefault="004C0BBA" w:rsidP="004C0BBA">
            <w:pPr>
              <w:jc w:val="center"/>
              <w:rPr>
                <w:color w:val="000000" w:themeColor="text1"/>
                <w:sz w:val="20"/>
                <w:szCs w:val="20"/>
              </w:rPr>
            </w:pPr>
            <w:r w:rsidRPr="006C6F80">
              <w:rPr>
                <w:color w:val="000000" w:themeColor="text1"/>
                <w:sz w:val="20"/>
                <w:szCs w:val="20"/>
              </w:rPr>
              <w:t>0.32</w:t>
            </w:r>
          </w:p>
        </w:tc>
        <w:tc>
          <w:tcPr>
            <w:tcW w:w="1020" w:type="dxa"/>
            <w:tcBorders>
              <w:top w:val="nil"/>
              <w:left w:val="nil"/>
              <w:bottom w:val="nil"/>
              <w:right w:val="nil"/>
            </w:tcBorders>
            <w:shd w:val="clear" w:color="auto" w:fill="auto"/>
            <w:vAlign w:val="bottom"/>
            <w:hideMark/>
          </w:tcPr>
          <w:p w14:paraId="42DD0343" w14:textId="77777777" w:rsidR="004C0BBA" w:rsidRPr="006C6F80" w:rsidRDefault="004C0BBA" w:rsidP="004C0BBA">
            <w:pPr>
              <w:jc w:val="center"/>
              <w:rPr>
                <w:color w:val="000000" w:themeColor="text1"/>
                <w:sz w:val="20"/>
                <w:szCs w:val="20"/>
              </w:rPr>
            </w:pPr>
            <w:r w:rsidRPr="006C6F80">
              <w:rPr>
                <w:color w:val="000000" w:themeColor="text1"/>
                <w:sz w:val="20"/>
                <w:szCs w:val="20"/>
              </w:rPr>
              <w:t>0.079</w:t>
            </w:r>
          </w:p>
        </w:tc>
        <w:tc>
          <w:tcPr>
            <w:tcW w:w="1020" w:type="dxa"/>
            <w:tcBorders>
              <w:top w:val="nil"/>
              <w:left w:val="nil"/>
              <w:bottom w:val="nil"/>
              <w:right w:val="nil"/>
            </w:tcBorders>
            <w:shd w:val="clear" w:color="auto" w:fill="auto"/>
            <w:vAlign w:val="bottom"/>
            <w:hideMark/>
          </w:tcPr>
          <w:p w14:paraId="33D2EBD2" w14:textId="77777777" w:rsidR="004C0BBA" w:rsidRPr="006C6F80" w:rsidRDefault="004C0BBA" w:rsidP="004C0BBA">
            <w:pPr>
              <w:jc w:val="center"/>
              <w:rPr>
                <w:color w:val="000000" w:themeColor="text1"/>
                <w:sz w:val="20"/>
                <w:szCs w:val="20"/>
              </w:rPr>
            </w:pPr>
            <w:r w:rsidRPr="006C6F80">
              <w:rPr>
                <w:color w:val="000000" w:themeColor="text1"/>
                <w:sz w:val="20"/>
                <w:szCs w:val="20"/>
              </w:rPr>
              <w:t>0.271</w:t>
            </w:r>
          </w:p>
        </w:tc>
        <w:tc>
          <w:tcPr>
            <w:tcW w:w="1020" w:type="dxa"/>
            <w:tcBorders>
              <w:top w:val="nil"/>
              <w:left w:val="nil"/>
              <w:bottom w:val="nil"/>
              <w:right w:val="nil"/>
            </w:tcBorders>
            <w:shd w:val="clear" w:color="auto" w:fill="auto"/>
            <w:vAlign w:val="bottom"/>
            <w:hideMark/>
          </w:tcPr>
          <w:p w14:paraId="3DAD9FE5" w14:textId="77777777" w:rsidR="004C0BBA" w:rsidRPr="006C6F80" w:rsidRDefault="004C0BBA" w:rsidP="004C0BBA">
            <w:pPr>
              <w:jc w:val="center"/>
              <w:rPr>
                <w:color w:val="000000" w:themeColor="text1"/>
                <w:sz w:val="20"/>
                <w:szCs w:val="20"/>
              </w:rPr>
            </w:pPr>
            <w:r w:rsidRPr="006C6F80">
              <w:rPr>
                <w:color w:val="000000" w:themeColor="text1"/>
                <w:sz w:val="20"/>
                <w:szCs w:val="20"/>
              </w:rPr>
              <w:t>0.037*</w:t>
            </w:r>
          </w:p>
        </w:tc>
      </w:tr>
      <w:tr w:rsidR="004C0BBA" w:rsidRPr="006C6F80" w14:paraId="75BD8CAD"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3855D9EF" w14:textId="77777777" w:rsidR="004C0BBA" w:rsidRPr="006C6F80" w:rsidRDefault="004C0BBA" w:rsidP="004C0BBA">
            <w:pPr>
              <w:rPr>
                <w:color w:val="000000" w:themeColor="text1"/>
                <w:sz w:val="20"/>
                <w:szCs w:val="20"/>
              </w:rPr>
            </w:pPr>
            <w:r w:rsidRPr="006C6F80">
              <w:rPr>
                <w:color w:val="000000" w:themeColor="text1"/>
                <w:sz w:val="20"/>
                <w:szCs w:val="20"/>
              </w:rPr>
              <w:t>High-skilled white-collar</w:t>
            </w:r>
          </w:p>
        </w:tc>
        <w:tc>
          <w:tcPr>
            <w:tcW w:w="1020" w:type="dxa"/>
            <w:tcBorders>
              <w:top w:val="nil"/>
              <w:left w:val="nil"/>
              <w:bottom w:val="nil"/>
              <w:right w:val="nil"/>
            </w:tcBorders>
            <w:shd w:val="clear" w:color="auto" w:fill="auto"/>
            <w:vAlign w:val="bottom"/>
            <w:hideMark/>
          </w:tcPr>
          <w:p w14:paraId="50966A9C" w14:textId="77777777" w:rsidR="004C0BBA" w:rsidRPr="006C6F80" w:rsidRDefault="004C0BBA" w:rsidP="004C0BBA">
            <w:pPr>
              <w:jc w:val="center"/>
              <w:rPr>
                <w:color w:val="000000" w:themeColor="text1"/>
                <w:sz w:val="20"/>
                <w:szCs w:val="20"/>
              </w:rPr>
            </w:pPr>
            <w:r w:rsidRPr="006C6F80">
              <w:rPr>
                <w:color w:val="000000" w:themeColor="text1"/>
                <w:sz w:val="20"/>
                <w:szCs w:val="20"/>
              </w:rPr>
              <w:t>0.247</w:t>
            </w:r>
          </w:p>
        </w:tc>
        <w:tc>
          <w:tcPr>
            <w:tcW w:w="1020" w:type="dxa"/>
            <w:tcBorders>
              <w:top w:val="nil"/>
              <w:left w:val="nil"/>
              <w:bottom w:val="nil"/>
              <w:right w:val="nil"/>
            </w:tcBorders>
            <w:shd w:val="clear" w:color="auto" w:fill="auto"/>
            <w:vAlign w:val="bottom"/>
            <w:hideMark/>
          </w:tcPr>
          <w:p w14:paraId="3584B2C5" w14:textId="77777777" w:rsidR="004C0BBA" w:rsidRPr="006C6F80" w:rsidRDefault="004C0BBA" w:rsidP="004C0BBA">
            <w:pPr>
              <w:jc w:val="center"/>
              <w:rPr>
                <w:color w:val="000000" w:themeColor="text1"/>
                <w:sz w:val="20"/>
                <w:szCs w:val="20"/>
              </w:rPr>
            </w:pPr>
            <w:r w:rsidRPr="006C6F80">
              <w:rPr>
                <w:color w:val="000000" w:themeColor="text1"/>
                <w:sz w:val="20"/>
                <w:szCs w:val="20"/>
              </w:rPr>
              <w:t>0.432</w:t>
            </w:r>
          </w:p>
        </w:tc>
        <w:tc>
          <w:tcPr>
            <w:tcW w:w="1020" w:type="dxa"/>
            <w:tcBorders>
              <w:top w:val="nil"/>
              <w:left w:val="nil"/>
              <w:bottom w:val="nil"/>
              <w:right w:val="nil"/>
            </w:tcBorders>
            <w:shd w:val="clear" w:color="auto" w:fill="auto"/>
            <w:vAlign w:val="bottom"/>
            <w:hideMark/>
          </w:tcPr>
          <w:p w14:paraId="3ECB1013" w14:textId="77777777" w:rsidR="004C0BBA" w:rsidRPr="006C6F80" w:rsidRDefault="004C0BBA" w:rsidP="004C0BBA">
            <w:pPr>
              <w:jc w:val="center"/>
              <w:rPr>
                <w:color w:val="000000" w:themeColor="text1"/>
                <w:sz w:val="20"/>
                <w:szCs w:val="20"/>
              </w:rPr>
            </w:pPr>
            <w:r w:rsidRPr="006C6F80">
              <w:rPr>
                <w:color w:val="000000" w:themeColor="text1"/>
                <w:sz w:val="20"/>
                <w:szCs w:val="20"/>
              </w:rPr>
              <w:t>0.098</w:t>
            </w:r>
          </w:p>
        </w:tc>
        <w:tc>
          <w:tcPr>
            <w:tcW w:w="1020" w:type="dxa"/>
            <w:tcBorders>
              <w:top w:val="nil"/>
              <w:left w:val="nil"/>
              <w:bottom w:val="nil"/>
              <w:right w:val="nil"/>
            </w:tcBorders>
            <w:shd w:val="clear" w:color="auto" w:fill="auto"/>
            <w:vAlign w:val="bottom"/>
            <w:hideMark/>
          </w:tcPr>
          <w:p w14:paraId="0F3480F2" w14:textId="77777777" w:rsidR="004C0BBA" w:rsidRPr="006C6F80" w:rsidRDefault="004C0BBA" w:rsidP="004C0BBA">
            <w:pPr>
              <w:jc w:val="center"/>
              <w:rPr>
                <w:color w:val="000000" w:themeColor="text1"/>
                <w:sz w:val="20"/>
                <w:szCs w:val="20"/>
              </w:rPr>
            </w:pPr>
            <w:r w:rsidRPr="006C6F80">
              <w:rPr>
                <w:color w:val="000000" w:themeColor="text1"/>
                <w:sz w:val="20"/>
                <w:szCs w:val="20"/>
              </w:rPr>
              <w:t>0.297</w:t>
            </w:r>
          </w:p>
        </w:tc>
        <w:tc>
          <w:tcPr>
            <w:tcW w:w="1020" w:type="dxa"/>
            <w:tcBorders>
              <w:top w:val="nil"/>
              <w:left w:val="nil"/>
              <w:bottom w:val="nil"/>
              <w:right w:val="nil"/>
            </w:tcBorders>
            <w:shd w:val="clear" w:color="auto" w:fill="auto"/>
            <w:vAlign w:val="bottom"/>
            <w:hideMark/>
          </w:tcPr>
          <w:p w14:paraId="6C4387CC" w14:textId="77777777" w:rsidR="004C0BBA" w:rsidRPr="006C6F80" w:rsidRDefault="004C0BBA" w:rsidP="004C0BBA">
            <w:pPr>
              <w:jc w:val="center"/>
              <w:rPr>
                <w:color w:val="000000" w:themeColor="text1"/>
                <w:sz w:val="20"/>
                <w:szCs w:val="20"/>
              </w:rPr>
            </w:pPr>
            <w:r w:rsidRPr="006C6F80">
              <w:rPr>
                <w:color w:val="000000" w:themeColor="text1"/>
                <w:sz w:val="20"/>
                <w:szCs w:val="20"/>
              </w:rPr>
              <w:t>0.150***</w:t>
            </w:r>
          </w:p>
        </w:tc>
      </w:tr>
      <w:tr w:rsidR="004C0BBA" w:rsidRPr="006C6F80" w14:paraId="7D6B59B1" w14:textId="77777777" w:rsidTr="004C0BBA">
        <w:trPr>
          <w:trHeight w:val="280"/>
          <w:jc w:val="center"/>
        </w:trPr>
        <w:tc>
          <w:tcPr>
            <w:tcW w:w="1020" w:type="dxa"/>
            <w:tcBorders>
              <w:top w:val="nil"/>
              <w:left w:val="nil"/>
              <w:bottom w:val="nil"/>
              <w:right w:val="nil"/>
            </w:tcBorders>
            <w:shd w:val="clear" w:color="auto" w:fill="auto"/>
            <w:vAlign w:val="center"/>
            <w:hideMark/>
          </w:tcPr>
          <w:p w14:paraId="03CAB486" w14:textId="77777777" w:rsidR="004C0BBA" w:rsidRPr="006C6F80" w:rsidRDefault="004C0BBA" w:rsidP="004C0BBA">
            <w:pPr>
              <w:jc w:val="center"/>
              <w:rPr>
                <w:color w:val="000000" w:themeColor="text1"/>
                <w:sz w:val="20"/>
                <w:szCs w:val="20"/>
              </w:rPr>
            </w:pPr>
          </w:p>
        </w:tc>
        <w:tc>
          <w:tcPr>
            <w:tcW w:w="3940" w:type="dxa"/>
            <w:tcBorders>
              <w:top w:val="nil"/>
              <w:left w:val="nil"/>
              <w:bottom w:val="nil"/>
              <w:right w:val="nil"/>
            </w:tcBorders>
            <w:shd w:val="clear" w:color="auto" w:fill="auto"/>
            <w:vAlign w:val="center"/>
            <w:hideMark/>
          </w:tcPr>
          <w:p w14:paraId="127C2CE8" w14:textId="77777777" w:rsidR="004C0BBA" w:rsidRPr="006C6F80" w:rsidRDefault="004C0BBA" w:rsidP="004C0BBA">
            <w:pPr>
              <w:rPr>
                <w:color w:val="000000" w:themeColor="text1"/>
                <w:sz w:val="20"/>
                <w:szCs w:val="20"/>
              </w:rPr>
            </w:pPr>
          </w:p>
        </w:tc>
        <w:tc>
          <w:tcPr>
            <w:tcW w:w="1020" w:type="dxa"/>
            <w:tcBorders>
              <w:top w:val="nil"/>
              <w:left w:val="nil"/>
              <w:bottom w:val="nil"/>
              <w:right w:val="nil"/>
            </w:tcBorders>
            <w:shd w:val="clear" w:color="auto" w:fill="auto"/>
            <w:vAlign w:val="bottom"/>
            <w:hideMark/>
          </w:tcPr>
          <w:p w14:paraId="40D38AE9" w14:textId="77777777" w:rsidR="004C0BBA" w:rsidRPr="006C6F80" w:rsidRDefault="004C0BBA" w:rsidP="004C0BBA">
            <w:pPr>
              <w:rPr>
                <w:color w:val="000000" w:themeColor="text1"/>
                <w:sz w:val="20"/>
                <w:szCs w:val="20"/>
              </w:rPr>
            </w:pPr>
          </w:p>
        </w:tc>
        <w:tc>
          <w:tcPr>
            <w:tcW w:w="1020" w:type="dxa"/>
            <w:tcBorders>
              <w:top w:val="nil"/>
              <w:left w:val="nil"/>
              <w:bottom w:val="nil"/>
              <w:right w:val="nil"/>
            </w:tcBorders>
            <w:shd w:val="clear" w:color="auto" w:fill="auto"/>
            <w:vAlign w:val="bottom"/>
            <w:hideMark/>
          </w:tcPr>
          <w:p w14:paraId="0E84E331"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1B0C7A69"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48C0DD0B"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vAlign w:val="bottom"/>
            <w:hideMark/>
          </w:tcPr>
          <w:p w14:paraId="29ECD31A" w14:textId="77777777" w:rsidR="004C0BBA" w:rsidRPr="006C6F80" w:rsidRDefault="004C0BBA" w:rsidP="004C0BBA">
            <w:pPr>
              <w:jc w:val="center"/>
              <w:rPr>
                <w:color w:val="000000" w:themeColor="text1"/>
                <w:sz w:val="20"/>
                <w:szCs w:val="20"/>
              </w:rPr>
            </w:pPr>
          </w:p>
        </w:tc>
      </w:tr>
      <w:tr w:rsidR="004C0BBA" w:rsidRPr="006C6F80" w14:paraId="72EBC39A" w14:textId="77777777" w:rsidTr="004C0BBA">
        <w:trPr>
          <w:trHeight w:val="260"/>
          <w:jc w:val="center"/>
        </w:trPr>
        <w:tc>
          <w:tcPr>
            <w:tcW w:w="4960" w:type="dxa"/>
            <w:gridSpan w:val="2"/>
            <w:tcBorders>
              <w:top w:val="nil"/>
              <w:left w:val="nil"/>
              <w:bottom w:val="nil"/>
              <w:right w:val="nil"/>
            </w:tcBorders>
            <w:shd w:val="clear" w:color="auto" w:fill="auto"/>
            <w:noWrap/>
            <w:vAlign w:val="center"/>
            <w:hideMark/>
          </w:tcPr>
          <w:p w14:paraId="1A5CE5EC" w14:textId="77777777" w:rsidR="004C0BBA" w:rsidRPr="006C6F80" w:rsidRDefault="004C0BBA" w:rsidP="004C0BBA">
            <w:pPr>
              <w:rPr>
                <w:b/>
                <w:bCs/>
                <w:color w:val="000000" w:themeColor="text1"/>
                <w:sz w:val="20"/>
                <w:szCs w:val="20"/>
              </w:rPr>
            </w:pPr>
            <w:r w:rsidRPr="006C6F80">
              <w:rPr>
                <w:b/>
                <w:bCs/>
                <w:color w:val="000000" w:themeColor="text1"/>
                <w:sz w:val="20"/>
                <w:szCs w:val="20"/>
              </w:rPr>
              <w:t>Panel B: Mobility indicators</w:t>
            </w:r>
          </w:p>
        </w:tc>
        <w:tc>
          <w:tcPr>
            <w:tcW w:w="1020" w:type="dxa"/>
            <w:tcBorders>
              <w:top w:val="nil"/>
              <w:left w:val="nil"/>
              <w:bottom w:val="nil"/>
              <w:right w:val="nil"/>
            </w:tcBorders>
            <w:shd w:val="clear" w:color="auto" w:fill="auto"/>
            <w:noWrap/>
            <w:vAlign w:val="bottom"/>
            <w:hideMark/>
          </w:tcPr>
          <w:p w14:paraId="78ED43B5" w14:textId="77777777" w:rsidR="004C0BBA" w:rsidRPr="006C6F80" w:rsidRDefault="004C0BBA" w:rsidP="004C0BBA">
            <w:pPr>
              <w:rPr>
                <w:b/>
                <w:bCs/>
                <w:color w:val="000000" w:themeColor="text1"/>
                <w:sz w:val="20"/>
                <w:szCs w:val="20"/>
              </w:rPr>
            </w:pPr>
          </w:p>
        </w:tc>
        <w:tc>
          <w:tcPr>
            <w:tcW w:w="1020" w:type="dxa"/>
            <w:tcBorders>
              <w:top w:val="nil"/>
              <w:left w:val="nil"/>
              <w:bottom w:val="nil"/>
              <w:right w:val="nil"/>
            </w:tcBorders>
            <w:shd w:val="clear" w:color="auto" w:fill="auto"/>
            <w:noWrap/>
            <w:vAlign w:val="bottom"/>
            <w:hideMark/>
          </w:tcPr>
          <w:p w14:paraId="414B60B4"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noWrap/>
            <w:vAlign w:val="bottom"/>
            <w:hideMark/>
          </w:tcPr>
          <w:p w14:paraId="03C9AD3D"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noWrap/>
            <w:vAlign w:val="bottom"/>
            <w:hideMark/>
          </w:tcPr>
          <w:p w14:paraId="6B07BA73"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noWrap/>
            <w:vAlign w:val="bottom"/>
            <w:hideMark/>
          </w:tcPr>
          <w:p w14:paraId="2288BDF2" w14:textId="77777777" w:rsidR="004C0BBA" w:rsidRPr="006C6F80" w:rsidRDefault="004C0BBA" w:rsidP="004C0BBA">
            <w:pPr>
              <w:jc w:val="center"/>
              <w:rPr>
                <w:color w:val="000000" w:themeColor="text1"/>
                <w:sz w:val="20"/>
                <w:szCs w:val="20"/>
              </w:rPr>
            </w:pPr>
          </w:p>
        </w:tc>
      </w:tr>
      <w:tr w:rsidR="004C0BBA" w:rsidRPr="006C6F80" w14:paraId="028AAB79"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59BBF137" w14:textId="77777777" w:rsidR="004C0BBA" w:rsidRPr="006C6F80" w:rsidRDefault="004C0BBA" w:rsidP="004C0BBA">
            <w:pPr>
              <w:rPr>
                <w:color w:val="000000" w:themeColor="text1"/>
                <w:sz w:val="20"/>
                <w:szCs w:val="20"/>
              </w:rPr>
            </w:pPr>
            <w:r w:rsidRPr="006C6F80">
              <w:rPr>
                <w:color w:val="000000" w:themeColor="text1"/>
                <w:sz w:val="20"/>
                <w:szCs w:val="20"/>
              </w:rPr>
              <w:t>Upward mobility</w:t>
            </w:r>
          </w:p>
        </w:tc>
        <w:tc>
          <w:tcPr>
            <w:tcW w:w="1020" w:type="dxa"/>
            <w:tcBorders>
              <w:top w:val="nil"/>
              <w:left w:val="nil"/>
              <w:bottom w:val="nil"/>
              <w:right w:val="nil"/>
            </w:tcBorders>
            <w:shd w:val="clear" w:color="auto" w:fill="auto"/>
            <w:vAlign w:val="bottom"/>
            <w:hideMark/>
          </w:tcPr>
          <w:p w14:paraId="1A21B801" w14:textId="77777777" w:rsidR="004C0BBA" w:rsidRPr="006C6F80" w:rsidRDefault="004C0BBA" w:rsidP="004C0BBA">
            <w:pPr>
              <w:jc w:val="center"/>
              <w:rPr>
                <w:color w:val="000000" w:themeColor="text1"/>
                <w:sz w:val="20"/>
                <w:szCs w:val="20"/>
              </w:rPr>
            </w:pPr>
            <w:r w:rsidRPr="006C6F80">
              <w:rPr>
                <w:color w:val="000000" w:themeColor="text1"/>
                <w:sz w:val="20"/>
                <w:szCs w:val="20"/>
              </w:rPr>
              <w:t>0.298</w:t>
            </w:r>
          </w:p>
        </w:tc>
        <w:tc>
          <w:tcPr>
            <w:tcW w:w="1020" w:type="dxa"/>
            <w:tcBorders>
              <w:top w:val="nil"/>
              <w:left w:val="nil"/>
              <w:bottom w:val="nil"/>
              <w:right w:val="nil"/>
            </w:tcBorders>
            <w:shd w:val="clear" w:color="auto" w:fill="auto"/>
            <w:vAlign w:val="bottom"/>
            <w:hideMark/>
          </w:tcPr>
          <w:p w14:paraId="1A9CBCDB" w14:textId="77777777" w:rsidR="004C0BBA" w:rsidRPr="006C6F80" w:rsidRDefault="004C0BBA" w:rsidP="004C0BBA">
            <w:pPr>
              <w:jc w:val="center"/>
              <w:rPr>
                <w:color w:val="000000" w:themeColor="text1"/>
                <w:sz w:val="20"/>
                <w:szCs w:val="20"/>
              </w:rPr>
            </w:pPr>
            <w:r w:rsidRPr="006C6F80">
              <w:rPr>
                <w:color w:val="000000" w:themeColor="text1"/>
                <w:sz w:val="20"/>
                <w:szCs w:val="20"/>
              </w:rPr>
              <w:t>0.458</w:t>
            </w:r>
          </w:p>
        </w:tc>
        <w:tc>
          <w:tcPr>
            <w:tcW w:w="1020" w:type="dxa"/>
            <w:tcBorders>
              <w:top w:val="nil"/>
              <w:left w:val="nil"/>
              <w:bottom w:val="nil"/>
              <w:right w:val="nil"/>
            </w:tcBorders>
            <w:shd w:val="clear" w:color="auto" w:fill="auto"/>
            <w:vAlign w:val="bottom"/>
            <w:hideMark/>
          </w:tcPr>
          <w:p w14:paraId="0A05E3C5" w14:textId="77777777" w:rsidR="004C0BBA" w:rsidRPr="006C6F80" w:rsidRDefault="004C0BBA" w:rsidP="004C0BBA">
            <w:pPr>
              <w:jc w:val="center"/>
              <w:rPr>
                <w:color w:val="000000" w:themeColor="text1"/>
                <w:sz w:val="20"/>
                <w:szCs w:val="20"/>
              </w:rPr>
            </w:pPr>
            <w:r w:rsidRPr="006C6F80">
              <w:rPr>
                <w:color w:val="000000" w:themeColor="text1"/>
                <w:sz w:val="20"/>
                <w:szCs w:val="20"/>
              </w:rPr>
              <w:t>0.424</w:t>
            </w:r>
          </w:p>
        </w:tc>
        <w:tc>
          <w:tcPr>
            <w:tcW w:w="1020" w:type="dxa"/>
            <w:tcBorders>
              <w:top w:val="nil"/>
              <w:left w:val="nil"/>
              <w:bottom w:val="nil"/>
              <w:right w:val="nil"/>
            </w:tcBorders>
            <w:shd w:val="clear" w:color="auto" w:fill="auto"/>
            <w:vAlign w:val="bottom"/>
            <w:hideMark/>
          </w:tcPr>
          <w:p w14:paraId="1EFFB79D" w14:textId="77777777" w:rsidR="004C0BBA" w:rsidRPr="006C6F80" w:rsidRDefault="004C0BBA" w:rsidP="004C0BBA">
            <w:pPr>
              <w:jc w:val="center"/>
              <w:rPr>
                <w:color w:val="000000" w:themeColor="text1"/>
                <w:sz w:val="20"/>
                <w:szCs w:val="20"/>
              </w:rPr>
            </w:pPr>
            <w:r w:rsidRPr="006C6F80">
              <w:rPr>
                <w:color w:val="000000" w:themeColor="text1"/>
                <w:sz w:val="20"/>
                <w:szCs w:val="20"/>
              </w:rPr>
              <w:t>0.495</w:t>
            </w:r>
          </w:p>
        </w:tc>
        <w:tc>
          <w:tcPr>
            <w:tcW w:w="1020" w:type="dxa"/>
            <w:tcBorders>
              <w:top w:val="nil"/>
              <w:left w:val="nil"/>
              <w:bottom w:val="nil"/>
              <w:right w:val="nil"/>
            </w:tcBorders>
            <w:shd w:val="clear" w:color="auto" w:fill="auto"/>
            <w:vAlign w:val="bottom"/>
            <w:hideMark/>
          </w:tcPr>
          <w:p w14:paraId="5333BA9B" w14:textId="77777777" w:rsidR="004C0BBA" w:rsidRPr="006C6F80" w:rsidRDefault="004C0BBA" w:rsidP="004C0BBA">
            <w:pPr>
              <w:jc w:val="center"/>
              <w:rPr>
                <w:color w:val="000000" w:themeColor="text1"/>
                <w:sz w:val="20"/>
                <w:szCs w:val="20"/>
              </w:rPr>
            </w:pPr>
            <w:r w:rsidRPr="006C6F80">
              <w:rPr>
                <w:color w:val="000000" w:themeColor="text1"/>
                <w:sz w:val="20"/>
                <w:szCs w:val="20"/>
              </w:rPr>
              <w:t>-0.126***</w:t>
            </w:r>
          </w:p>
        </w:tc>
      </w:tr>
      <w:tr w:rsidR="004C0BBA" w:rsidRPr="006C6F80" w14:paraId="4C6964D3" w14:textId="77777777" w:rsidTr="004C0BBA">
        <w:trPr>
          <w:trHeight w:val="260"/>
          <w:jc w:val="center"/>
        </w:trPr>
        <w:tc>
          <w:tcPr>
            <w:tcW w:w="4960" w:type="dxa"/>
            <w:gridSpan w:val="2"/>
            <w:tcBorders>
              <w:top w:val="nil"/>
              <w:left w:val="nil"/>
              <w:bottom w:val="nil"/>
              <w:right w:val="nil"/>
            </w:tcBorders>
            <w:shd w:val="clear" w:color="auto" w:fill="auto"/>
            <w:vAlign w:val="center"/>
            <w:hideMark/>
          </w:tcPr>
          <w:p w14:paraId="1CE0E84C" w14:textId="77777777" w:rsidR="004C0BBA" w:rsidRPr="006C6F80" w:rsidRDefault="004C0BBA" w:rsidP="004C0BBA">
            <w:pPr>
              <w:rPr>
                <w:color w:val="000000" w:themeColor="text1"/>
                <w:sz w:val="20"/>
                <w:szCs w:val="20"/>
              </w:rPr>
            </w:pPr>
            <w:r w:rsidRPr="006C6F80">
              <w:rPr>
                <w:color w:val="000000" w:themeColor="text1"/>
                <w:sz w:val="20"/>
                <w:szCs w:val="20"/>
              </w:rPr>
              <w:t>Downward mobility</w:t>
            </w:r>
          </w:p>
        </w:tc>
        <w:tc>
          <w:tcPr>
            <w:tcW w:w="1020" w:type="dxa"/>
            <w:tcBorders>
              <w:top w:val="nil"/>
              <w:left w:val="nil"/>
              <w:bottom w:val="nil"/>
              <w:right w:val="nil"/>
            </w:tcBorders>
            <w:shd w:val="clear" w:color="auto" w:fill="auto"/>
            <w:vAlign w:val="bottom"/>
            <w:hideMark/>
          </w:tcPr>
          <w:p w14:paraId="7B3C6CF2" w14:textId="77777777" w:rsidR="004C0BBA" w:rsidRPr="006C6F80" w:rsidRDefault="004C0BBA" w:rsidP="004C0BBA">
            <w:pPr>
              <w:jc w:val="center"/>
              <w:rPr>
                <w:color w:val="000000" w:themeColor="text1"/>
                <w:sz w:val="20"/>
                <w:szCs w:val="20"/>
              </w:rPr>
            </w:pPr>
            <w:r w:rsidRPr="006C6F80">
              <w:rPr>
                <w:color w:val="000000" w:themeColor="text1"/>
                <w:sz w:val="20"/>
                <w:szCs w:val="20"/>
              </w:rPr>
              <w:t>0.083</w:t>
            </w:r>
          </w:p>
        </w:tc>
        <w:tc>
          <w:tcPr>
            <w:tcW w:w="1020" w:type="dxa"/>
            <w:tcBorders>
              <w:top w:val="nil"/>
              <w:left w:val="nil"/>
              <w:bottom w:val="nil"/>
              <w:right w:val="nil"/>
            </w:tcBorders>
            <w:shd w:val="clear" w:color="auto" w:fill="auto"/>
            <w:vAlign w:val="bottom"/>
            <w:hideMark/>
          </w:tcPr>
          <w:p w14:paraId="582C7FBE" w14:textId="77777777" w:rsidR="004C0BBA" w:rsidRPr="006C6F80" w:rsidRDefault="004C0BBA" w:rsidP="004C0BBA">
            <w:pPr>
              <w:jc w:val="center"/>
              <w:rPr>
                <w:color w:val="000000" w:themeColor="text1"/>
                <w:sz w:val="20"/>
                <w:szCs w:val="20"/>
              </w:rPr>
            </w:pPr>
            <w:r w:rsidRPr="006C6F80">
              <w:rPr>
                <w:color w:val="000000" w:themeColor="text1"/>
                <w:sz w:val="20"/>
                <w:szCs w:val="20"/>
              </w:rPr>
              <w:t>0.275</w:t>
            </w:r>
          </w:p>
        </w:tc>
        <w:tc>
          <w:tcPr>
            <w:tcW w:w="1020" w:type="dxa"/>
            <w:tcBorders>
              <w:top w:val="nil"/>
              <w:left w:val="nil"/>
              <w:bottom w:val="nil"/>
              <w:right w:val="nil"/>
            </w:tcBorders>
            <w:shd w:val="clear" w:color="auto" w:fill="auto"/>
            <w:vAlign w:val="bottom"/>
            <w:hideMark/>
          </w:tcPr>
          <w:p w14:paraId="3E2D715E" w14:textId="77777777" w:rsidR="004C0BBA" w:rsidRPr="006C6F80" w:rsidRDefault="004C0BBA" w:rsidP="004C0BBA">
            <w:pPr>
              <w:jc w:val="center"/>
              <w:rPr>
                <w:color w:val="000000" w:themeColor="text1"/>
                <w:sz w:val="20"/>
                <w:szCs w:val="20"/>
              </w:rPr>
            </w:pPr>
            <w:r w:rsidRPr="006C6F80">
              <w:rPr>
                <w:color w:val="000000" w:themeColor="text1"/>
                <w:sz w:val="20"/>
                <w:szCs w:val="20"/>
              </w:rPr>
              <w:t>0.091</w:t>
            </w:r>
          </w:p>
        </w:tc>
        <w:tc>
          <w:tcPr>
            <w:tcW w:w="1020" w:type="dxa"/>
            <w:tcBorders>
              <w:top w:val="nil"/>
              <w:left w:val="nil"/>
              <w:bottom w:val="nil"/>
              <w:right w:val="nil"/>
            </w:tcBorders>
            <w:shd w:val="clear" w:color="auto" w:fill="auto"/>
            <w:vAlign w:val="bottom"/>
            <w:hideMark/>
          </w:tcPr>
          <w:p w14:paraId="7062F8B7" w14:textId="77777777" w:rsidR="004C0BBA" w:rsidRPr="006C6F80" w:rsidRDefault="004C0BBA" w:rsidP="004C0BBA">
            <w:pPr>
              <w:jc w:val="center"/>
              <w:rPr>
                <w:color w:val="000000" w:themeColor="text1"/>
                <w:sz w:val="20"/>
                <w:szCs w:val="20"/>
              </w:rPr>
            </w:pPr>
            <w:r w:rsidRPr="006C6F80">
              <w:rPr>
                <w:color w:val="000000" w:themeColor="text1"/>
                <w:sz w:val="20"/>
                <w:szCs w:val="20"/>
              </w:rPr>
              <w:t>0.289</w:t>
            </w:r>
          </w:p>
        </w:tc>
        <w:tc>
          <w:tcPr>
            <w:tcW w:w="1020" w:type="dxa"/>
            <w:tcBorders>
              <w:top w:val="nil"/>
              <w:left w:val="nil"/>
              <w:bottom w:val="nil"/>
              <w:right w:val="nil"/>
            </w:tcBorders>
            <w:shd w:val="clear" w:color="auto" w:fill="auto"/>
            <w:vAlign w:val="bottom"/>
            <w:hideMark/>
          </w:tcPr>
          <w:p w14:paraId="1FEC6EF5" w14:textId="77777777" w:rsidR="004C0BBA" w:rsidRPr="006C6F80" w:rsidRDefault="004C0BBA" w:rsidP="004C0BBA">
            <w:pPr>
              <w:jc w:val="center"/>
              <w:rPr>
                <w:color w:val="000000" w:themeColor="text1"/>
                <w:sz w:val="20"/>
                <w:szCs w:val="20"/>
              </w:rPr>
            </w:pPr>
            <w:r w:rsidRPr="006C6F80">
              <w:rPr>
                <w:color w:val="000000" w:themeColor="text1"/>
                <w:sz w:val="20"/>
                <w:szCs w:val="20"/>
              </w:rPr>
              <w:t>-0.009</w:t>
            </w:r>
          </w:p>
        </w:tc>
      </w:tr>
      <w:tr w:rsidR="004C0BBA" w:rsidRPr="006C6F80" w14:paraId="0D38B87E"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024DD8DC" w14:textId="77777777" w:rsidR="004C0BBA" w:rsidRPr="006C6F80" w:rsidRDefault="004C0BBA" w:rsidP="004C0BBA">
            <w:pPr>
              <w:rPr>
                <w:color w:val="000000" w:themeColor="text1"/>
                <w:sz w:val="20"/>
                <w:szCs w:val="20"/>
              </w:rPr>
            </w:pPr>
            <w:r w:rsidRPr="006C6F80">
              <w:rPr>
                <w:color w:val="000000" w:themeColor="text1"/>
                <w:sz w:val="20"/>
                <w:szCs w:val="20"/>
              </w:rPr>
              <w:t>Immobility</w:t>
            </w:r>
          </w:p>
        </w:tc>
        <w:tc>
          <w:tcPr>
            <w:tcW w:w="1020" w:type="dxa"/>
            <w:tcBorders>
              <w:top w:val="nil"/>
              <w:left w:val="nil"/>
              <w:bottom w:val="nil"/>
              <w:right w:val="nil"/>
            </w:tcBorders>
            <w:shd w:val="clear" w:color="auto" w:fill="auto"/>
            <w:vAlign w:val="bottom"/>
            <w:hideMark/>
          </w:tcPr>
          <w:p w14:paraId="7F851A1A" w14:textId="77777777" w:rsidR="004C0BBA" w:rsidRPr="006C6F80" w:rsidRDefault="004C0BBA" w:rsidP="004C0BBA">
            <w:pPr>
              <w:jc w:val="center"/>
              <w:rPr>
                <w:color w:val="000000" w:themeColor="text1"/>
                <w:sz w:val="20"/>
                <w:szCs w:val="20"/>
              </w:rPr>
            </w:pPr>
            <w:r w:rsidRPr="006C6F80">
              <w:rPr>
                <w:color w:val="000000" w:themeColor="text1"/>
                <w:sz w:val="20"/>
                <w:szCs w:val="20"/>
              </w:rPr>
              <w:t>0.619</w:t>
            </w:r>
          </w:p>
        </w:tc>
        <w:tc>
          <w:tcPr>
            <w:tcW w:w="1020" w:type="dxa"/>
            <w:tcBorders>
              <w:top w:val="nil"/>
              <w:left w:val="nil"/>
              <w:bottom w:val="nil"/>
              <w:right w:val="nil"/>
            </w:tcBorders>
            <w:shd w:val="clear" w:color="auto" w:fill="auto"/>
            <w:vAlign w:val="bottom"/>
            <w:hideMark/>
          </w:tcPr>
          <w:p w14:paraId="304761C4" w14:textId="77777777" w:rsidR="004C0BBA" w:rsidRPr="006C6F80" w:rsidRDefault="004C0BBA" w:rsidP="004C0BBA">
            <w:pPr>
              <w:jc w:val="center"/>
              <w:rPr>
                <w:color w:val="000000" w:themeColor="text1"/>
                <w:sz w:val="20"/>
                <w:szCs w:val="20"/>
              </w:rPr>
            </w:pPr>
            <w:r w:rsidRPr="006C6F80">
              <w:rPr>
                <w:color w:val="000000" w:themeColor="text1"/>
                <w:sz w:val="20"/>
                <w:szCs w:val="20"/>
              </w:rPr>
              <w:t>0.486</w:t>
            </w:r>
          </w:p>
        </w:tc>
        <w:tc>
          <w:tcPr>
            <w:tcW w:w="1020" w:type="dxa"/>
            <w:tcBorders>
              <w:top w:val="nil"/>
              <w:left w:val="nil"/>
              <w:bottom w:val="nil"/>
              <w:right w:val="nil"/>
            </w:tcBorders>
            <w:shd w:val="clear" w:color="auto" w:fill="auto"/>
            <w:vAlign w:val="bottom"/>
            <w:hideMark/>
          </w:tcPr>
          <w:p w14:paraId="3D7E7299" w14:textId="77777777" w:rsidR="004C0BBA" w:rsidRPr="006C6F80" w:rsidRDefault="004C0BBA" w:rsidP="004C0BBA">
            <w:pPr>
              <w:jc w:val="center"/>
              <w:rPr>
                <w:color w:val="000000" w:themeColor="text1"/>
                <w:sz w:val="20"/>
                <w:szCs w:val="20"/>
              </w:rPr>
            </w:pPr>
            <w:r w:rsidRPr="006C6F80">
              <w:rPr>
                <w:color w:val="000000" w:themeColor="text1"/>
                <w:sz w:val="20"/>
                <w:szCs w:val="20"/>
              </w:rPr>
              <w:t>0.485</w:t>
            </w:r>
          </w:p>
        </w:tc>
        <w:tc>
          <w:tcPr>
            <w:tcW w:w="1020" w:type="dxa"/>
            <w:tcBorders>
              <w:top w:val="nil"/>
              <w:left w:val="nil"/>
              <w:bottom w:val="nil"/>
              <w:right w:val="nil"/>
            </w:tcBorders>
            <w:shd w:val="clear" w:color="auto" w:fill="auto"/>
            <w:vAlign w:val="bottom"/>
            <w:hideMark/>
          </w:tcPr>
          <w:p w14:paraId="36FF1B9E" w14:textId="77777777" w:rsidR="004C0BBA" w:rsidRPr="006C6F80" w:rsidRDefault="004C0BBA" w:rsidP="004C0BBA">
            <w:pPr>
              <w:jc w:val="center"/>
              <w:rPr>
                <w:color w:val="000000" w:themeColor="text1"/>
                <w:sz w:val="20"/>
                <w:szCs w:val="20"/>
              </w:rPr>
            </w:pPr>
            <w:r w:rsidRPr="006C6F80">
              <w:rPr>
                <w:color w:val="000000" w:themeColor="text1"/>
                <w:sz w:val="20"/>
                <w:szCs w:val="20"/>
              </w:rPr>
              <w:t>0.501</w:t>
            </w:r>
          </w:p>
        </w:tc>
        <w:tc>
          <w:tcPr>
            <w:tcW w:w="1020" w:type="dxa"/>
            <w:tcBorders>
              <w:top w:val="nil"/>
              <w:left w:val="nil"/>
              <w:bottom w:val="nil"/>
              <w:right w:val="nil"/>
            </w:tcBorders>
            <w:shd w:val="clear" w:color="auto" w:fill="auto"/>
            <w:vAlign w:val="bottom"/>
            <w:hideMark/>
          </w:tcPr>
          <w:p w14:paraId="73D3538A" w14:textId="77777777" w:rsidR="004C0BBA" w:rsidRPr="006C6F80" w:rsidRDefault="004C0BBA" w:rsidP="004C0BBA">
            <w:pPr>
              <w:jc w:val="center"/>
              <w:rPr>
                <w:color w:val="000000" w:themeColor="text1"/>
                <w:sz w:val="20"/>
                <w:szCs w:val="20"/>
              </w:rPr>
            </w:pPr>
            <w:r w:rsidRPr="006C6F80">
              <w:rPr>
                <w:color w:val="000000" w:themeColor="text1"/>
                <w:sz w:val="20"/>
                <w:szCs w:val="20"/>
              </w:rPr>
              <w:t>0.135***</w:t>
            </w:r>
          </w:p>
        </w:tc>
      </w:tr>
      <w:tr w:rsidR="004C0BBA" w:rsidRPr="006C6F80" w14:paraId="7E05A85F" w14:textId="77777777" w:rsidTr="004C0BBA">
        <w:trPr>
          <w:trHeight w:val="280"/>
          <w:jc w:val="center"/>
        </w:trPr>
        <w:tc>
          <w:tcPr>
            <w:tcW w:w="4960" w:type="dxa"/>
            <w:gridSpan w:val="2"/>
            <w:tcBorders>
              <w:top w:val="nil"/>
              <w:left w:val="nil"/>
              <w:bottom w:val="nil"/>
              <w:right w:val="nil"/>
            </w:tcBorders>
            <w:shd w:val="clear" w:color="auto" w:fill="auto"/>
            <w:vAlign w:val="center"/>
            <w:hideMark/>
          </w:tcPr>
          <w:p w14:paraId="540A67DA" w14:textId="77777777" w:rsidR="004C0BBA" w:rsidRPr="006C6F80" w:rsidRDefault="004C0BBA" w:rsidP="004C0BBA">
            <w:pPr>
              <w:rPr>
                <w:color w:val="000000" w:themeColor="text1"/>
                <w:sz w:val="20"/>
                <w:szCs w:val="20"/>
              </w:rPr>
            </w:pPr>
            <w:r w:rsidRPr="006C6F80">
              <w:rPr>
                <w:color w:val="000000" w:themeColor="text1"/>
                <w:sz w:val="20"/>
                <w:szCs w:val="20"/>
              </w:rPr>
              <w:t>Degree of mobility</w:t>
            </w:r>
          </w:p>
        </w:tc>
        <w:tc>
          <w:tcPr>
            <w:tcW w:w="1020" w:type="dxa"/>
            <w:tcBorders>
              <w:top w:val="nil"/>
              <w:left w:val="nil"/>
              <w:bottom w:val="nil"/>
              <w:right w:val="nil"/>
            </w:tcBorders>
            <w:shd w:val="clear" w:color="auto" w:fill="auto"/>
            <w:vAlign w:val="bottom"/>
            <w:hideMark/>
          </w:tcPr>
          <w:p w14:paraId="2E3F0B3C" w14:textId="77777777" w:rsidR="004C0BBA" w:rsidRPr="006C6F80" w:rsidRDefault="004C0BBA" w:rsidP="004C0BBA">
            <w:pPr>
              <w:jc w:val="center"/>
              <w:rPr>
                <w:color w:val="000000" w:themeColor="text1"/>
                <w:sz w:val="20"/>
                <w:szCs w:val="20"/>
              </w:rPr>
            </w:pPr>
            <w:r w:rsidRPr="006C6F80">
              <w:rPr>
                <w:color w:val="000000" w:themeColor="text1"/>
                <w:sz w:val="20"/>
                <w:szCs w:val="20"/>
              </w:rPr>
              <w:t>0.483</w:t>
            </w:r>
          </w:p>
        </w:tc>
        <w:tc>
          <w:tcPr>
            <w:tcW w:w="1020" w:type="dxa"/>
            <w:tcBorders>
              <w:top w:val="nil"/>
              <w:left w:val="nil"/>
              <w:bottom w:val="nil"/>
              <w:right w:val="nil"/>
            </w:tcBorders>
            <w:shd w:val="clear" w:color="auto" w:fill="auto"/>
            <w:vAlign w:val="bottom"/>
            <w:hideMark/>
          </w:tcPr>
          <w:p w14:paraId="439ECBFF" w14:textId="77777777" w:rsidR="004C0BBA" w:rsidRPr="006C6F80" w:rsidRDefault="004C0BBA" w:rsidP="004C0BBA">
            <w:pPr>
              <w:jc w:val="center"/>
              <w:rPr>
                <w:color w:val="000000" w:themeColor="text1"/>
                <w:sz w:val="20"/>
                <w:szCs w:val="20"/>
              </w:rPr>
            </w:pPr>
            <w:r w:rsidRPr="006C6F80">
              <w:rPr>
                <w:color w:val="000000" w:themeColor="text1"/>
                <w:sz w:val="20"/>
                <w:szCs w:val="20"/>
              </w:rPr>
              <w:t>1.247</w:t>
            </w:r>
          </w:p>
        </w:tc>
        <w:tc>
          <w:tcPr>
            <w:tcW w:w="1020" w:type="dxa"/>
            <w:tcBorders>
              <w:top w:val="nil"/>
              <w:left w:val="nil"/>
              <w:bottom w:val="nil"/>
              <w:right w:val="nil"/>
            </w:tcBorders>
            <w:shd w:val="clear" w:color="auto" w:fill="auto"/>
            <w:vAlign w:val="bottom"/>
            <w:hideMark/>
          </w:tcPr>
          <w:p w14:paraId="3E04CF40" w14:textId="77777777" w:rsidR="004C0BBA" w:rsidRPr="006C6F80" w:rsidRDefault="004C0BBA" w:rsidP="004C0BBA">
            <w:pPr>
              <w:jc w:val="center"/>
              <w:rPr>
                <w:color w:val="000000" w:themeColor="text1"/>
                <w:sz w:val="20"/>
                <w:szCs w:val="20"/>
              </w:rPr>
            </w:pPr>
            <w:r w:rsidRPr="006C6F80">
              <w:rPr>
                <w:color w:val="000000" w:themeColor="text1"/>
                <w:sz w:val="20"/>
                <w:szCs w:val="20"/>
              </w:rPr>
              <w:t>0.729</w:t>
            </w:r>
          </w:p>
        </w:tc>
        <w:tc>
          <w:tcPr>
            <w:tcW w:w="1020" w:type="dxa"/>
            <w:tcBorders>
              <w:top w:val="nil"/>
              <w:left w:val="nil"/>
              <w:bottom w:val="nil"/>
              <w:right w:val="nil"/>
            </w:tcBorders>
            <w:shd w:val="clear" w:color="auto" w:fill="auto"/>
            <w:vAlign w:val="bottom"/>
            <w:hideMark/>
          </w:tcPr>
          <w:p w14:paraId="598FAD61" w14:textId="77777777" w:rsidR="004C0BBA" w:rsidRPr="006C6F80" w:rsidRDefault="004C0BBA" w:rsidP="004C0BBA">
            <w:pPr>
              <w:jc w:val="center"/>
              <w:rPr>
                <w:color w:val="000000" w:themeColor="text1"/>
                <w:sz w:val="20"/>
                <w:szCs w:val="20"/>
              </w:rPr>
            </w:pPr>
            <w:r w:rsidRPr="006C6F80">
              <w:rPr>
                <w:color w:val="000000" w:themeColor="text1"/>
                <w:sz w:val="20"/>
                <w:szCs w:val="20"/>
              </w:rPr>
              <w:t>1.415</w:t>
            </w:r>
          </w:p>
        </w:tc>
        <w:tc>
          <w:tcPr>
            <w:tcW w:w="1020" w:type="dxa"/>
            <w:tcBorders>
              <w:top w:val="nil"/>
              <w:left w:val="nil"/>
              <w:bottom w:val="nil"/>
              <w:right w:val="nil"/>
            </w:tcBorders>
            <w:shd w:val="clear" w:color="auto" w:fill="auto"/>
            <w:vAlign w:val="bottom"/>
            <w:hideMark/>
          </w:tcPr>
          <w:p w14:paraId="77FB47FD" w14:textId="77777777" w:rsidR="004C0BBA" w:rsidRPr="006C6F80" w:rsidRDefault="004C0BBA" w:rsidP="004C0BBA">
            <w:pPr>
              <w:jc w:val="center"/>
              <w:rPr>
                <w:color w:val="000000" w:themeColor="text1"/>
                <w:sz w:val="20"/>
                <w:szCs w:val="20"/>
              </w:rPr>
            </w:pPr>
            <w:r w:rsidRPr="006C6F80">
              <w:rPr>
                <w:color w:val="000000" w:themeColor="text1"/>
                <w:sz w:val="20"/>
                <w:szCs w:val="20"/>
              </w:rPr>
              <w:t>-0.246***</w:t>
            </w:r>
          </w:p>
        </w:tc>
      </w:tr>
      <w:tr w:rsidR="004C0BBA" w:rsidRPr="006C6F80" w14:paraId="12FAF71D" w14:textId="77777777" w:rsidTr="004C0BBA">
        <w:trPr>
          <w:trHeight w:val="260"/>
          <w:jc w:val="center"/>
        </w:trPr>
        <w:tc>
          <w:tcPr>
            <w:tcW w:w="1020" w:type="dxa"/>
            <w:tcBorders>
              <w:top w:val="nil"/>
              <w:left w:val="nil"/>
              <w:bottom w:val="nil"/>
              <w:right w:val="nil"/>
            </w:tcBorders>
            <w:shd w:val="clear" w:color="auto" w:fill="auto"/>
            <w:noWrap/>
            <w:vAlign w:val="bottom"/>
            <w:hideMark/>
          </w:tcPr>
          <w:p w14:paraId="3A194145" w14:textId="77777777" w:rsidR="004C0BBA" w:rsidRPr="006C6F80" w:rsidRDefault="004C0BBA" w:rsidP="004C0BBA">
            <w:pPr>
              <w:jc w:val="center"/>
              <w:rPr>
                <w:color w:val="000000" w:themeColor="text1"/>
                <w:sz w:val="20"/>
                <w:szCs w:val="20"/>
              </w:rPr>
            </w:pPr>
          </w:p>
        </w:tc>
        <w:tc>
          <w:tcPr>
            <w:tcW w:w="3940" w:type="dxa"/>
            <w:tcBorders>
              <w:top w:val="nil"/>
              <w:left w:val="nil"/>
              <w:bottom w:val="nil"/>
              <w:right w:val="nil"/>
            </w:tcBorders>
            <w:shd w:val="clear" w:color="auto" w:fill="auto"/>
            <w:noWrap/>
            <w:vAlign w:val="bottom"/>
            <w:hideMark/>
          </w:tcPr>
          <w:p w14:paraId="75E9B82C" w14:textId="77777777" w:rsidR="004C0BBA" w:rsidRPr="006C6F80" w:rsidRDefault="004C0BBA" w:rsidP="004C0BBA">
            <w:pPr>
              <w:rPr>
                <w:color w:val="000000" w:themeColor="text1"/>
                <w:sz w:val="20"/>
                <w:szCs w:val="20"/>
              </w:rPr>
            </w:pPr>
          </w:p>
        </w:tc>
        <w:tc>
          <w:tcPr>
            <w:tcW w:w="1020" w:type="dxa"/>
            <w:tcBorders>
              <w:top w:val="nil"/>
              <w:left w:val="nil"/>
              <w:bottom w:val="nil"/>
              <w:right w:val="nil"/>
            </w:tcBorders>
            <w:shd w:val="clear" w:color="auto" w:fill="auto"/>
            <w:noWrap/>
            <w:vAlign w:val="bottom"/>
            <w:hideMark/>
          </w:tcPr>
          <w:p w14:paraId="224B7476" w14:textId="77777777" w:rsidR="004C0BBA" w:rsidRPr="006C6F80" w:rsidRDefault="004C0BBA" w:rsidP="004C0BBA">
            <w:pPr>
              <w:rPr>
                <w:color w:val="000000" w:themeColor="text1"/>
                <w:sz w:val="20"/>
                <w:szCs w:val="20"/>
              </w:rPr>
            </w:pPr>
          </w:p>
        </w:tc>
        <w:tc>
          <w:tcPr>
            <w:tcW w:w="1020" w:type="dxa"/>
            <w:tcBorders>
              <w:top w:val="nil"/>
              <w:left w:val="nil"/>
              <w:bottom w:val="nil"/>
              <w:right w:val="nil"/>
            </w:tcBorders>
            <w:shd w:val="clear" w:color="auto" w:fill="auto"/>
            <w:noWrap/>
            <w:vAlign w:val="bottom"/>
            <w:hideMark/>
          </w:tcPr>
          <w:p w14:paraId="43BF8BBD"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noWrap/>
            <w:vAlign w:val="bottom"/>
            <w:hideMark/>
          </w:tcPr>
          <w:p w14:paraId="2660A655"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noWrap/>
            <w:vAlign w:val="bottom"/>
            <w:hideMark/>
          </w:tcPr>
          <w:p w14:paraId="64D9C818" w14:textId="77777777" w:rsidR="004C0BBA" w:rsidRPr="006C6F80" w:rsidRDefault="004C0BBA" w:rsidP="004C0BBA">
            <w:pPr>
              <w:jc w:val="center"/>
              <w:rPr>
                <w:color w:val="000000" w:themeColor="text1"/>
                <w:sz w:val="20"/>
                <w:szCs w:val="20"/>
              </w:rPr>
            </w:pPr>
          </w:p>
        </w:tc>
        <w:tc>
          <w:tcPr>
            <w:tcW w:w="1020" w:type="dxa"/>
            <w:tcBorders>
              <w:top w:val="nil"/>
              <w:left w:val="nil"/>
              <w:bottom w:val="nil"/>
              <w:right w:val="nil"/>
            </w:tcBorders>
            <w:shd w:val="clear" w:color="auto" w:fill="auto"/>
            <w:noWrap/>
            <w:vAlign w:val="bottom"/>
            <w:hideMark/>
          </w:tcPr>
          <w:p w14:paraId="11DE29EC" w14:textId="77777777" w:rsidR="004C0BBA" w:rsidRPr="006C6F80" w:rsidRDefault="004C0BBA" w:rsidP="004C0BBA">
            <w:pPr>
              <w:jc w:val="center"/>
              <w:rPr>
                <w:color w:val="000000" w:themeColor="text1"/>
                <w:sz w:val="20"/>
                <w:szCs w:val="20"/>
              </w:rPr>
            </w:pPr>
          </w:p>
        </w:tc>
      </w:tr>
      <w:tr w:rsidR="004C0BBA" w:rsidRPr="006C6F80" w14:paraId="3000AFE0" w14:textId="77777777" w:rsidTr="004C0BBA">
        <w:trPr>
          <w:trHeight w:val="260"/>
          <w:jc w:val="center"/>
        </w:trPr>
        <w:tc>
          <w:tcPr>
            <w:tcW w:w="4960" w:type="dxa"/>
            <w:gridSpan w:val="2"/>
            <w:tcBorders>
              <w:top w:val="nil"/>
              <w:left w:val="nil"/>
              <w:bottom w:val="single" w:sz="4" w:space="0" w:color="auto"/>
              <w:right w:val="nil"/>
            </w:tcBorders>
            <w:shd w:val="clear" w:color="auto" w:fill="auto"/>
            <w:noWrap/>
            <w:vAlign w:val="bottom"/>
            <w:hideMark/>
          </w:tcPr>
          <w:p w14:paraId="40E6C5BD" w14:textId="77777777" w:rsidR="004C0BBA" w:rsidRPr="006C6F80" w:rsidRDefault="004C0BBA" w:rsidP="004C0BBA">
            <w:pPr>
              <w:rPr>
                <w:color w:val="000000" w:themeColor="text1"/>
                <w:sz w:val="20"/>
                <w:szCs w:val="20"/>
              </w:rPr>
            </w:pPr>
            <w:r w:rsidRPr="006C6F80">
              <w:rPr>
                <w:color w:val="000000" w:themeColor="text1"/>
                <w:sz w:val="20"/>
                <w:szCs w:val="20"/>
              </w:rPr>
              <w:t>Number of observations</w:t>
            </w:r>
          </w:p>
        </w:tc>
        <w:tc>
          <w:tcPr>
            <w:tcW w:w="2040" w:type="dxa"/>
            <w:gridSpan w:val="2"/>
            <w:tcBorders>
              <w:top w:val="nil"/>
              <w:left w:val="nil"/>
              <w:bottom w:val="single" w:sz="4" w:space="0" w:color="auto"/>
              <w:right w:val="nil"/>
            </w:tcBorders>
            <w:shd w:val="clear" w:color="auto" w:fill="auto"/>
            <w:noWrap/>
            <w:vAlign w:val="bottom"/>
            <w:hideMark/>
          </w:tcPr>
          <w:p w14:paraId="703CB1F5" w14:textId="77777777" w:rsidR="004C0BBA" w:rsidRPr="006C6F80" w:rsidRDefault="004C0BBA" w:rsidP="004C0BBA">
            <w:pPr>
              <w:jc w:val="center"/>
              <w:rPr>
                <w:color w:val="000000" w:themeColor="text1"/>
                <w:sz w:val="20"/>
                <w:szCs w:val="20"/>
              </w:rPr>
            </w:pPr>
            <w:r w:rsidRPr="006C6F80">
              <w:rPr>
                <w:color w:val="000000" w:themeColor="text1"/>
                <w:sz w:val="20"/>
                <w:szCs w:val="20"/>
              </w:rPr>
              <w:t>1,416</w:t>
            </w:r>
          </w:p>
        </w:tc>
        <w:tc>
          <w:tcPr>
            <w:tcW w:w="2040" w:type="dxa"/>
            <w:gridSpan w:val="2"/>
            <w:tcBorders>
              <w:top w:val="nil"/>
              <w:left w:val="nil"/>
              <w:bottom w:val="single" w:sz="4" w:space="0" w:color="auto"/>
              <w:right w:val="nil"/>
            </w:tcBorders>
            <w:shd w:val="clear" w:color="auto" w:fill="auto"/>
            <w:noWrap/>
            <w:vAlign w:val="bottom"/>
            <w:hideMark/>
          </w:tcPr>
          <w:p w14:paraId="6383FD16" w14:textId="77777777" w:rsidR="004C0BBA" w:rsidRPr="006C6F80" w:rsidRDefault="004C0BBA" w:rsidP="004C0BBA">
            <w:pPr>
              <w:jc w:val="center"/>
              <w:rPr>
                <w:color w:val="000000" w:themeColor="text1"/>
                <w:sz w:val="20"/>
                <w:szCs w:val="20"/>
              </w:rPr>
            </w:pPr>
            <w:r w:rsidRPr="006C6F80">
              <w:rPr>
                <w:color w:val="000000" w:themeColor="text1"/>
                <w:sz w:val="20"/>
                <w:szCs w:val="20"/>
              </w:rPr>
              <w:t>328</w:t>
            </w:r>
          </w:p>
        </w:tc>
        <w:tc>
          <w:tcPr>
            <w:tcW w:w="1020" w:type="dxa"/>
            <w:tcBorders>
              <w:top w:val="nil"/>
              <w:left w:val="nil"/>
              <w:bottom w:val="single" w:sz="4" w:space="0" w:color="auto"/>
              <w:right w:val="nil"/>
            </w:tcBorders>
            <w:shd w:val="clear" w:color="auto" w:fill="auto"/>
            <w:noWrap/>
            <w:vAlign w:val="bottom"/>
            <w:hideMark/>
          </w:tcPr>
          <w:p w14:paraId="59912336" w14:textId="77777777" w:rsidR="004C0BBA" w:rsidRPr="006C6F80" w:rsidRDefault="004C0BBA" w:rsidP="004C0BBA">
            <w:pPr>
              <w:jc w:val="center"/>
              <w:rPr>
                <w:color w:val="000000" w:themeColor="text1"/>
                <w:sz w:val="20"/>
                <w:szCs w:val="20"/>
              </w:rPr>
            </w:pPr>
            <w:r w:rsidRPr="006C6F80">
              <w:rPr>
                <w:color w:val="000000" w:themeColor="text1"/>
                <w:sz w:val="20"/>
                <w:szCs w:val="20"/>
              </w:rPr>
              <w:t> </w:t>
            </w:r>
          </w:p>
        </w:tc>
      </w:tr>
    </w:tbl>
    <w:p w14:paraId="1FEBD833" w14:textId="0F70ECC2" w:rsidR="00633159" w:rsidRPr="006C6F80" w:rsidRDefault="00633159" w:rsidP="004C0BBA">
      <w:pPr>
        <w:ind w:left="-27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p&lt;0.01, ** p&lt;0.05, * p&lt;0.1</w:t>
      </w:r>
    </w:p>
    <w:p w14:paraId="50CBBE01" w14:textId="403E9846" w:rsidR="00062DE5" w:rsidRPr="006C6F80" w:rsidRDefault="00633159" w:rsidP="004C0BBA">
      <w:pPr>
        <w:ind w:left="-270" w:right="-942"/>
        <w:jc w:val="both"/>
        <w:rPr>
          <w:rFonts w:asciiTheme="majorBidi" w:hAnsiTheme="majorBidi" w:cstheme="majorBidi"/>
          <w:color w:val="000000" w:themeColor="text1"/>
          <w:sz w:val="18"/>
          <w:szCs w:val="18"/>
        </w:rPr>
      </w:pPr>
      <w:r w:rsidRPr="006C6F80">
        <w:rPr>
          <w:rFonts w:asciiTheme="majorBidi" w:hAnsiTheme="majorBidi" w:cstheme="majorBidi"/>
          <w:i/>
          <w:iCs/>
          <w:color w:val="000000" w:themeColor="text1"/>
          <w:sz w:val="18"/>
          <w:szCs w:val="18"/>
        </w:rPr>
        <w:t xml:space="preserve">Notes. </w:t>
      </w:r>
      <w:r w:rsidR="004208E1" w:rsidRPr="006C6F80">
        <w:rPr>
          <w:rFonts w:asciiTheme="majorBidi" w:hAnsiTheme="majorBidi" w:cstheme="majorBidi"/>
          <w:color w:val="000000" w:themeColor="text1"/>
          <w:sz w:val="18"/>
          <w:szCs w:val="18"/>
        </w:rPr>
        <w:t xml:space="preserve">Column </w:t>
      </w:r>
      <w:r w:rsidR="0051146F" w:rsidRPr="006C6F80">
        <w:rPr>
          <w:rFonts w:asciiTheme="majorBidi" w:hAnsiTheme="majorBidi" w:cstheme="majorBidi"/>
          <w:color w:val="000000" w:themeColor="text1"/>
          <w:sz w:val="18"/>
          <w:szCs w:val="18"/>
        </w:rPr>
        <w:t>5</w:t>
      </w:r>
      <w:r w:rsidR="004208E1" w:rsidRPr="006C6F80">
        <w:rPr>
          <w:rFonts w:asciiTheme="majorBidi" w:hAnsiTheme="majorBidi" w:cstheme="majorBidi"/>
          <w:color w:val="000000" w:themeColor="text1"/>
          <w:sz w:val="18"/>
          <w:szCs w:val="18"/>
        </w:rPr>
        <w:t>: is t-</w:t>
      </w:r>
      <w:r w:rsidRPr="006C6F80">
        <w:rPr>
          <w:rFonts w:asciiTheme="majorBidi" w:hAnsiTheme="majorBidi" w:cstheme="majorBidi"/>
          <w:color w:val="000000" w:themeColor="text1"/>
          <w:sz w:val="18"/>
          <w:szCs w:val="18"/>
        </w:rPr>
        <w:t xml:space="preserve">test </w:t>
      </w:r>
      <w:r w:rsidR="00B73A0A" w:rsidRPr="006C6F80">
        <w:rPr>
          <w:rFonts w:asciiTheme="majorBidi" w:hAnsiTheme="majorBidi" w:cstheme="majorBidi"/>
          <w:color w:val="000000" w:themeColor="text1"/>
          <w:sz w:val="18"/>
          <w:szCs w:val="18"/>
        </w:rPr>
        <w:t>for</w:t>
      </w:r>
      <w:r w:rsidRPr="006C6F80">
        <w:rPr>
          <w:rFonts w:asciiTheme="majorBidi" w:hAnsiTheme="majorBidi" w:cstheme="majorBidi"/>
          <w:color w:val="000000" w:themeColor="text1"/>
          <w:sz w:val="18"/>
          <w:szCs w:val="18"/>
        </w:rPr>
        <w:t xml:space="preserve"> whether the difference in means between the two groups is statistically significant. </w:t>
      </w:r>
    </w:p>
    <w:p w14:paraId="3C6495CA" w14:textId="77777777" w:rsidR="00EE52AB" w:rsidRPr="006C6F80" w:rsidRDefault="00EE52AB" w:rsidP="00EE52AB">
      <w:pPr>
        <w:ind w:left="360" w:right="-942"/>
        <w:jc w:val="both"/>
        <w:rPr>
          <w:rFonts w:asciiTheme="majorBidi" w:hAnsiTheme="majorBidi" w:cstheme="majorBidi"/>
          <w:color w:val="000000" w:themeColor="text1"/>
          <w:sz w:val="18"/>
          <w:szCs w:val="18"/>
        </w:rPr>
        <w:sectPr w:rsidR="00EE52AB" w:rsidRPr="006C6F80" w:rsidSect="00B33704">
          <w:headerReference w:type="default" r:id="rId10"/>
          <w:footerReference w:type="default" r:id="rId11"/>
          <w:pgSz w:w="12240" w:h="15840"/>
          <w:pgMar w:top="1417" w:right="1417" w:bottom="1417" w:left="1417" w:header="720" w:footer="720" w:gutter="0"/>
          <w:cols w:space="720"/>
          <w:docGrid w:linePitch="360"/>
        </w:sectPr>
      </w:pPr>
    </w:p>
    <w:tbl>
      <w:tblPr>
        <w:tblW w:w="13452" w:type="dxa"/>
        <w:jc w:val="center"/>
        <w:tblLook w:val="04A0" w:firstRow="1" w:lastRow="0" w:firstColumn="1" w:lastColumn="0" w:noHBand="0" w:noVBand="1"/>
      </w:tblPr>
      <w:tblGrid>
        <w:gridCol w:w="2368"/>
        <w:gridCol w:w="1138"/>
        <w:gridCol w:w="2212"/>
        <w:gridCol w:w="2252"/>
        <w:gridCol w:w="2328"/>
        <w:gridCol w:w="2368"/>
        <w:gridCol w:w="866"/>
      </w:tblGrid>
      <w:tr w:rsidR="00D00B97" w:rsidRPr="006C6F80" w14:paraId="0588401A" w14:textId="77777777" w:rsidTr="00D00B97">
        <w:trPr>
          <w:trHeight w:val="320"/>
          <w:jc w:val="center"/>
        </w:trPr>
        <w:tc>
          <w:tcPr>
            <w:tcW w:w="13452" w:type="dxa"/>
            <w:gridSpan w:val="7"/>
            <w:tcBorders>
              <w:top w:val="nil"/>
              <w:left w:val="nil"/>
              <w:bottom w:val="single" w:sz="4" w:space="0" w:color="auto"/>
              <w:right w:val="nil"/>
            </w:tcBorders>
            <w:shd w:val="clear" w:color="auto" w:fill="auto"/>
            <w:noWrap/>
            <w:vAlign w:val="center"/>
            <w:hideMark/>
          </w:tcPr>
          <w:p w14:paraId="6800E619" w14:textId="77777777" w:rsidR="00D00B97" w:rsidRPr="006C6F80" w:rsidRDefault="00D00B97">
            <w:pPr>
              <w:jc w:val="center"/>
              <w:rPr>
                <w:b/>
                <w:bCs/>
                <w:color w:val="000000" w:themeColor="text1"/>
                <w:sz w:val="20"/>
                <w:szCs w:val="20"/>
              </w:rPr>
            </w:pPr>
            <w:r w:rsidRPr="006C6F80">
              <w:rPr>
                <w:b/>
                <w:bCs/>
                <w:color w:val="000000" w:themeColor="text1"/>
                <w:sz w:val="20"/>
                <w:szCs w:val="20"/>
              </w:rPr>
              <w:lastRenderedPageBreak/>
              <w:t>Table 2: Employment transition Matrices for Stayers versus Returnees in the 1960s cohort</w:t>
            </w:r>
          </w:p>
        </w:tc>
      </w:tr>
      <w:tr w:rsidR="00D00B97" w:rsidRPr="006C6F80" w14:paraId="12BFB55B" w14:textId="77777777" w:rsidTr="00D00B97">
        <w:trPr>
          <w:trHeight w:val="320"/>
          <w:jc w:val="center"/>
        </w:trPr>
        <w:tc>
          <w:tcPr>
            <w:tcW w:w="2368" w:type="dxa"/>
            <w:tcBorders>
              <w:top w:val="nil"/>
              <w:left w:val="nil"/>
              <w:bottom w:val="single" w:sz="4" w:space="0" w:color="auto"/>
              <w:right w:val="nil"/>
            </w:tcBorders>
            <w:shd w:val="clear" w:color="auto" w:fill="auto"/>
            <w:noWrap/>
            <w:vAlign w:val="center"/>
            <w:hideMark/>
          </w:tcPr>
          <w:p w14:paraId="570FD1F4" w14:textId="77777777" w:rsidR="00D00B97" w:rsidRPr="006C6F80" w:rsidRDefault="00D00B97">
            <w:pPr>
              <w:rPr>
                <w:color w:val="000000" w:themeColor="text1"/>
                <w:sz w:val="20"/>
                <w:szCs w:val="20"/>
              </w:rPr>
            </w:pPr>
            <w:r w:rsidRPr="006C6F80">
              <w:rPr>
                <w:color w:val="000000" w:themeColor="text1"/>
                <w:sz w:val="20"/>
                <w:szCs w:val="20"/>
              </w:rPr>
              <w:t> </w:t>
            </w:r>
          </w:p>
        </w:tc>
        <w:tc>
          <w:tcPr>
            <w:tcW w:w="10262" w:type="dxa"/>
            <w:gridSpan w:val="5"/>
            <w:tcBorders>
              <w:top w:val="single" w:sz="4" w:space="0" w:color="auto"/>
              <w:left w:val="nil"/>
              <w:bottom w:val="single" w:sz="4" w:space="0" w:color="auto"/>
              <w:right w:val="nil"/>
            </w:tcBorders>
            <w:shd w:val="clear" w:color="auto" w:fill="auto"/>
            <w:noWrap/>
            <w:vAlign w:val="center"/>
            <w:hideMark/>
          </w:tcPr>
          <w:p w14:paraId="14F65370" w14:textId="77777777" w:rsidR="00D00B97" w:rsidRPr="006C6F80" w:rsidRDefault="00D00B97">
            <w:pPr>
              <w:jc w:val="center"/>
              <w:rPr>
                <w:color w:val="000000" w:themeColor="text1"/>
                <w:sz w:val="20"/>
                <w:szCs w:val="20"/>
              </w:rPr>
            </w:pPr>
            <w:r w:rsidRPr="006C6F80">
              <w:rPr>
                <w:color w:val="000000" w:themeColor="text1"/>
                <w:sz w:val="20"/>
                <w:szCs w:val="20"/>
              </w:rPr>
              <w:t>Current occupation</w:t>
            </w:r>
          </w:p>
        </w:tc>
        <w:tc>
          <w:tcPr>
            <w:tcW w:w="820" w:type="dxa"/>
            <w:tcBorders>
              <w:top w:val="nil"/>
              <w:left w:val="nil"/>
              <w:bottom w:val="single" w:sz="4" w:space="0" w:color="auto"/>
              <w:right w:val="nil"/>
            </w:tcBorders>
            <w:shd w:val="clear" w:color="auto" w:fill="auto"/>
            <w:noWrap/>
            <w:vAlign w:val="center"/>
            <w:hideMark/>
          </w:tcPr>
          <w:p w14:paraId="48EBA257" w14:textId="77777777" w:rsidR="00D00B97" w:rsidRPr="006C6F80" w:rsidRDefault="00D00B97">
            <w:pPr>
              <w:jc w:val="center"/>
              <w:rPr>
                <w:color w:val="000000" w:themeColor="text1"/>
                <w:sz w:val="20"/>
                <w:szCs w:val="20"/>
              </w:rPr>
            </w:pPr>
            <w:r w:rsidRPr="006C6F80">
              <w:rPr>
                <w:color w:val="000000" w:themeColor="text1"/>
                <w:sz w:val="20"/>
                <w:szCs w:val="20"/>
              </w:rPr>
              <w:t> </w:t>
            </w:r>
          </w:p>
        </w:tc>
      </w:tr>
      <w:tr w:rsidR="00D00B97" w:rsidRPr="006C6F80" w14:paraId="63EA26F4" w14:textId="77777777" w:rsidTr="00D00B97">
        <w:trPr>
          <w:trHeight w:val="320"/>
          <w:jc w:val="center"/>
        </w:trPr>
        <w:tc>
          <w:tcPr>
            <w:tcW w:w="2368" w:type="dxa"/>
            <w:tcBorders>
              <w:top w:val="nil"/>
              <w:left w:val="nil"/>
              <w:bottom w:val="single" w:sz="4" w:space="0" w:color="auto"/>
              <w:right w:val="nil"/>
            </w:tcBorders>
            <w:shd w:val="clear" w:color="auto" w:fill="auto"/>
            <w:noWrap/>
            <w:vAlign w:val="center"/>
            <w:hideMark/>
          </w:tcPr>
          <w:p w14:paraId="5F9D1E0D" w14:textId="77777777" w:rsidR="00D00B97" w:rsidRPr="006C6F80" w:rsidRDefault="00D00B97">
            <w:pPr>
              <w:rPr>
                <w:color w:val="000000" w:themeColor="text1"/>
                <w:sz w:val="20"/>
                <w:szCs w:val="20"/>
              </w:rPr>
            </w:pPr>
            <w:r w:rsidRPr="006C6F80">
              <w:rPr>
                <w:color w:val="000000" w:themeColor="text1"/>
                <w:sz w:val="20"/>
                <w:szCs w:val="20"/>
              </w:rPr>
              <w:t>First occupation</w:t>
            </w:r>
          </w:p>
        </w:tc>
        <w:tc>
          <w:tcPr>
            <w:tcW w:w="1101" w:type="dxa"/>
            <w:tcBorders>
              <w:top w:val="nil"/>
              <w:left w:val="nil"/>
              <w:bottom w:val="single" w:sz="4" w:space="0" w:color="auto"/>
              <w:right w:val="nil"/>
            </w:tcBorders>
            <w:shd w:val="clear" w:color="auto" w:fill="auto"/>
            <w:noWrap/>
            <w:vAlign w:val="center"/>
            <w:hideMark/>
          </w:tcPr>
          <w:p w14:paraId="2996C931" w14:textId="77777777" w:rsidR="00D00B97" w:rsidRPr="006C6F80" w:rsidRDefault="00D00B97">
            <w:pPr>
              <w:jc w:val="center"/>
              <w:rPr>
                <w:color w:val="000000" w:themeColor="text1"/>
                <w:sz w:val="20"/>
                <w:szCs w:val="20"/>
              </w:rPr>
            </w:pPr>
            <w:r w:rsidRPr="006C6F80">
              <w:rPr>
                <w:color w:val="000000" w:themeColor="text1"/>
                <w:sz w:val="20"/>
                <w:szCs w:val="20"/>
              </w:rPr>
              <w:t>Agriculture</w:t>
            </w:r>
          </w:p>
        </w:tc>
        <w:tc>
          <w:tcPr>
            <w:tcW w:w="2212" w:type="dxa"/>
            <w:tcBorders>
              <w:top w:val="nil"/>
              <w:left w:val="nil"/>
              <w:bottom w:val="single" w:sz="4" w:space="0" w:color="auto"/>
              <w:right w:val="nil"/>
            </w:tcBorders>
            <w:shd w:val="clear" w:color="auto" w:fill="auto"/>
            <w:noWrap/>
            <w:vAlign w:val="center"/>
            <w:hideMark/>
          </w:tcPr>
          <w:p w14:paraId="18B128EE" w14:textId="77777777" w:rsidR="00D00B97" w:rsidRPr="006C6F80" w:rsidRDefault="00D00B97">
            <w:pPr>
              <w:jc w:val="center"/>
              <w:rPr>
                <w:color w:val="000000" w:themeColor="text1"/>
                <w:sz w:val="20"/>
                <w:szCs w:val="20"/>
              </w:rPr>
            </w:pPr>
            <w:r w:rsidRPr="006C6F80">
              <w:rPr>
                <w:color w:val="000000" w:themeColor="text1"/>
                <w:sz w:val="20"/>
                <w:szCs w:val="20"/>
              </w:rPr>
              <w:t>Low-skilled blue-collar</w:t>
            </w:r>
          </w:p>
        </w:tc>
        <w:tc>
          <w:tcPr>
            <w:tcW w:w="2252" w:type="dxa"/>
            <w:tcBorders>
              <w:top w:val="nil"/>
              <w:left w:val="nil"/>
              <w:bottom w:val="single" w:sz="4" w:space="0" w:color="auto"/>
              <w:right w:val="nil"/>
            </w:tcBorders>
            <w:shd w:val="clear" w:color="auto" w:fill="auto"/>
            <w:noWrap/>
            <w:vAlign w:val="center"/>
            <w:hideMark/>
          </w:tcPr>
          <w:p w14:paraId="5F7BFAEA" w14:textId="77777777" w:rsidR="00D00B97" w:rsidRPr="006C6F80" w:rsidRDefault="00D00B97">
            <w:pPr>
              <w:jc w:val="center"/>
              <w:rPr>
                <w:color w:val="000000" w:themeColor="text1"/>
                <w:sz w:val="20"/>
                <w:szCs w:val="20"/>
              </w:rPr>
            </w:pPr>
            <w:r w:rsidRPr="006C6F80">
              <w:rPr>
                <w:color w:val="000000" w:themeColor="text1"/>
                <w:sz w:val="20"/>
                <w:szCs w:val="20"/>
              </w:rPr>
              <w:t>High-skilled blue-collar</w:t>
            </w:r>
          </w:p>
        </w:tc>
        <w:tc>
          <w:tcPr>
            <w:tcW w:w="2328" w:type="dxa"/>
            <w:tcBorders>
              <w:top w:val="nil"/>
              <w:left w:val="nil"/>
              <w:bottom w:val="single" w:sz="4" w:space="0" w:color="auto"/>
              <w:right w:val="nil"/>
            </w:tcBorders>
            <w:shd w:val="clear" w:color="auto" w:fill="auto"/>
            <w:noWrap/>
            <w:vAlign w:val="center"/>
            <w:hideMark/>
          </w:tcPr>
          <w:p w14:paraId="3255D5A6" w14:textId="77777777" w:rsidR="00D00B97" w:rsidRPr="006C6F80" w:rsidRDefault="00D00B97">
            <w:pPr>
              <w:jc w:val="center"/>
              <w:rPr>
                <w:color w:val="000000" w:themeColor="text1"/>
                <w:sz w:val="20"/>
                <w:szCs w:val="20"/>
              </w:rPr>
            </w:pPr>
            <w:r w:rsidRPr="006C6F80">
              <w:rPr>
                <w:color w:val="000000" w:themeColor="text1"/>
                <w:sz w:val="20"/>
                <w:szCs w:val="20"/>
              </w:rPr>
              <w:t>Low-skilled white-collar</w:t>
            </w:r>
          </w:p>
        </w:tc>
        <w:tc>
          <w:tcPr>
            <w:tcW w:w="2368" w:type="dxa"/>
            <w:tcBorders>
              <w:top w:val="nil"/>
              <w:left w:val="nil"/>
              <w:bottom w:val="single" w:sz="4" w:space="0" w:color="auto"/>
              <w:right w:val="nil"/>
            </w:tcBorders>
            <w:shd w:val="clear" w:color="auto" w:fill="auto"/>
            <w:noWrap/>
            <w:vAlign w:val="center"/>
            <w:hideMark/>
          </w:tcPr>
          <w:p w14:paraId="21F217B3" w14:textId="77777777" w:rsidR="00D00B97" w:rsidRPr="006C6F80" w:rsidRDefault="00D00B97">
            <w:pPr>
              <w:jc w:val="center"/>
              <w:rPr>
                <w:color w:val="000000" w:themeColor="text1"/>
                <w:sz w:val="20"/>
                <w:szCs w:val="20"/>
              </w:rPr>
            </w:pPr>
            <w:r w:rsidRPr="006C6F80">
              <w:rPr>
                <w:color w:val="000000" w:themeColor="text1"/>
                <w:sz w:val="20"/>
                <w:szCs w:val="20"/>
              </w:rPr>
              <w:t>High-skilled white-collar</w:t>
            </w:r>
          </w:p>
        </w:tc>
        <w:tc>
          <w:tcPr>
            <w:tcW w:w="820" w:type="dxa"/>
            <w:tcBorders>
              <w:top w:val="nil"/>
              <w:left w:val="nil"/>
              <w:bottom w:val="single" w:sz="4" w:space="0" w:color="auto"/>
              <w:right w:val="nil"/>
            </w:tcBorders>
            <w:shd w:val="clear" w:color="auto" w:fill="auto"/>
            <w:noWrap/>
            <w:vAlign w:val="center"/>
            <w:hideMark/>
          </w:tcPr>
          <w:p w14:paraId="5F83F210" w14:textId="77777777" w:rsidR="00D00B97" w:rsidRPr="006C6F80" w:rsidRDefault="00D00B97">
            <w:pPr>
              <w:jc w:val="center"/>
              <w:rPr>
                <w:color w:val="000000" w:themeColor="text1"/>
                <w:sz w:val="20"/>
                <w:szCs w:val="20"/>
              </w:rPr>
            </w:pPr>
            <w:r w:rsidRPr="006C6F80">
              <w:rPr>
                <w:color w:val="000000" w:themeColor="text1"/>
                <w:sz w:val="20"/>
                <w:szCs w:val="20"/>
              </w:rPr>
              <w:t>Total</w:t>
            </w:r>
          </w:p>
        </w:tc>
      </w:tr>
      <w:tr w:rsidR="00D00B97" w:rsidRPr="006C6F80" w14:paraId="7E21A7ED" w14:textId="77777777" w:rsidTr="00D00B97">
        <w:trPr>
          <w:trHeight w:val="320"/>
          <w:jc w:val="center"/>
        </w:trPr>
        <w:tc>
          <w:tcPr>
            <w:tcW w:w="13452" w:type="dxa"/>
            <w:gridSpan w:val="7"/>
            <w:tcBorders>
              <w:top w:val="single" w:sz="4" w:space="0" w:color="auto"/>
              <w:left w:val="nil"/>
              <w:bottom w:val="single" w:sz="4" w:space="0" w:color="auto"/>
              <w:right w:val="nil"/>
            </w:tcBorders>
            <w:shd w:val="clear" w:color="auto" w:fill="auto"/>
            <w:noWrap/>
            <w:vAlign w:val="center"/>
            <w:hideMark/>
          </w:tcPr>
          <w:p w14:paraId="28E541FF" w14:textId="77777777" w:rsidR="00D00B97" w:rsidRPr="006C6F80" w:rsidRDefault="00D00B97">
            <w:pPr>
              <w:jc w:val="center"/>
              <w:rPr>
                <w:b/>
                <w:bCs/>
                <w:color w:val="000000" w:themeColor="text1"/>
                <w:sz w:val="20"/>
                <w:szCs w:val="20"/>
              </w:rPr>
            </w:pPr>
            <w:r w:rsidRPr="006C6F80">
              <w:rPr>
                <w:b/>
                <w:bCs/>
                <w:color w:val="000000" w:themeColor="text1"/>
                <w:sz w:val="20"/>
                <w:szCs w:val="20"/>
              </w:rPr>
              <w:t>Panel A: Stayers (N=1,416)</w:t>
            </w:r>
          </w:p>
        </w:tc>
      </w:tr>
      <w:tr w:rsidR="00D00B97" w:rsidRPr="006C6F80" w14:paraId="7E8DA404" w14:textId="77777777" w:rsidTr="00D00B97">
        <w:trPr>
          <w:trHeight w:val="320"/>
          <w:jc w:val="center"/>
        </w:trPr>
        <w:tc>
          <w:tcPr>
            <w:tcW w:w="2368" w:type="dxa"/>
            <w:tcBorders>
              <w:top w:val="nil"/>
              <w:left w:val="nil"/>
              <w:bottom w:val="nil"/>
              <w:right w:val="nil"/>
            </w:tcBorders>
            <w:shd w:val="clear" w:color="auto" w:fill="auto"/>
            <w:noWrap/>
            <w:vAlign w:val="center"/>
            <w:hideMark/>
          </w:tcPr>
          <w:p w14:paraId="6C343C8F" w14:textId="77777777" w:rsidR="00D00B97" w:rsidRPr="006C6F80" w:rsidRDefault="00D00B97">
            <w:pPr>
              <w:rPr>
                <w:color w:val="000000" w:themeColor="text1"/>
                <w:sz w:val="20"/>
                <w:szCs w:val="20"/>
              </w:rPr>
            </w:pPr>
            <w:r w:rsidRPr="006C6F80">
              <w:rPr>
                <w:color w:val="000000" w:themeColor="text1"/>
                <w:sz w:val="20"/>
                <w:szCs w:val="20"/>
              </w:rPr>
              <w:t>Agriculture</w:t>
            </w:r>
          </w:p>
        </w:tc>
        <w:tc>
          <w:tcPr>
            <w:tcW w:w="1101" w:type="dxa"/>
            <w:tcBorders>
              <w:top w:val="nil"/>
              <w:left w:val="nil"/>
              <w:bottom w:val="nil"/>
              <w:right w:val="nil"/>
            </w:tcBorders>
            <w:shd w:val="clear" w:color="auto" w:fill="auto"/>
            <w:noWrap/>
            <w:vAlign w:val="center"/>
            <w:hideMark/>
          </w:tcPr>
          <w:p w14:paraId="2B0437C1" w14:textId="77777777" w:rsidR="00D00B97" w:rsidRPr="006C6F80" w:rsidRDefault="00D00B97">
            <w:pPr>
              <w:jc w:val="center"/>
              <w:rPr>
                <w:color w:val="000000" w:themeColor="text1"/>
                <w:sz w:val="20"/>
                <w:szCs w:val="20"/>
              </w:rPr>
            </w:pPr>
            <w:r w:rsidRPr="006C6F80">
              <w:rPr>
                <w:color w:val="000000" w:themeColor="text1"/>
                <w:sz w:val="20"/>
                <w:szCs w:val="20"/>
              </w:rPr>
              <w:t>16.031</w:t>
            </w:r>
          </w:p>
        </w:tc>
        <w:tc>
          <w:tcPr>
            <w:tcW w:w="2212" w:type="dxa"/>
            <w:tcBorders>
              <w:top w:val="nil"/>
              <w:left w:val="nil"/>
              <w:bottom w:val="nil"/>
              <w:right w:val="nil"/>
            </w:tcBorders>
            <w:shd w:val="clear" w:color="auto" w:fill="auto"/>
            <w:noWrap/>
            <w:vAlign w:val="center"/>
            <w:hideMark/>
          </w:tcPr>
          <w:p w14:paraId="5BDBC00D" w14:textId="77777777" w:rsidR="00D00B97" w:rsidRPr="006C6F80" w:rsidRDefault="00D00B97">
            <w:pPr>
              <w:jc w:val="center"/>
              <w:rPr>
                <w:color w:val="000000" w:themeColor="text1"/>
                <w:sz w:val="20"/>
                <w:szCs w:val="20"/>
              </w:rPr>
            </w:pPr>
            <w:r w:rsidRPr="006C6F80">
              <w:rPr>
                <w:color w:val="000000" w:themeColor="text1"/>
                <w:sz w:val="20"/>
                <w:szCs w:val="20"/>
              </w:rPr>
              <w:t>5.932</w:t>
            </w:r>
          </w:p>
        </w:tc>
        <w:tc>
          <w:tcPr>
            <w:tcW w:w="2252" w:type="dxa"/>
            <w:tcBorders>
              <w:top w:val="nil"/>
              <w:left w:val="nil"/>
              <w:bottom w:val="nil"/>
              <w:right w:val="nil"/>
            </w:tcBorders>
            <w:shd w:val="clear" w:color="auto" w:fill="auto"/>
            <w:noWrap/>
            <w:vAlign w:val="center"/>
            <w:hideMark/>
          </w:tcPr>
          <w:p w14:paraId="1863A3DE" w14:textId="77777777" w:rsidR="00D00B97" w:rsidRPr="006C6F80" w:rsidRDefault="00D00B97">
            <w:pPr>
              <w:jc w:val="center"/>
              <w:rPr>
                <w:color w:val="000000" w:themeColor="text1"/>
                <w:sz w:val="20"/>
                <w:szCs w:val="20"/>
              </w:rPr>
            </w:pPr>
            <w:r w:rsidRPr="006C6F80">
              <w:rPr>
                <w:color w:val="000000" w:themeColor="text1"/>
                <w:sz w:val="20"/>
                <w:szCs w:val="20"/>
              </w:rPr>
              <w:t>1.836</w:t>
            </w:r>
          </w:p>
        </w:tc>
        <w:tc>
          <w:tcPr>
            <w:tcW w:w="2328" w:type="dxa"/>
            <w:tcBorders>
              <w:top w:val="nil"/>
              <w:left w:val="nil"/>
              <w:bottom w:val="nil"/>
              <w:right w:val="nil"/>
            </w:tcBorders>
            <w:shd w:val="clear" w:color="auto" w:fill="auto"/>
            <w:noWrap/>
            <w:vAlign w:val="center"/>
            <w:hideMark/>
          </w:tcPr>
          <w:p w14:paraId="419239C4" w14:textId="77777777" w:rsidR="00D00B97" w:rsidRPr="006C6F80" w:rsidRDefault="00D00B97">
            <w:pPr>
              <w:jc w:val="center"/>
              <w:rPr>
                <w:color w:val="000000" w:themeColor="text1"/>
                <w:sz w:val="20"/>
                <w:szCs w:val="20"/>
              </w:rPr>
            </w:pPr>
            <w:r w:rsidRPr="006C6F80">
              <w:rPr>
                <w:color w:val="000000" w:themeColor="text1"/>
                <w:sz w:val="20"/>
                <w:szCs w:val="20"/>
              </w:rPr>
              <w:t>2.613</w:t>
            </w:r>
          </w:p>
        </w:tc>
        <w:tc>
          <w:tcPr>
            <w:tcW w:w="2368" w:type="dxa"/>
            <w:tcBorders>
              <w:top w:val="nil"/>
              <w:left w:val="nil"/>
              <w:bottom w:val="nil"/>
              <w:right w:val="nil"/>
            </w:tcBorders>
            <w:shd w:val="clear" w:color="auto" w:fill="auto"/>
            <w:noWrap/>
            <w:vAlign w:val="center"/>
            <w:hideMark/>
          </w:tcPr>
          <w:p w14:paraId="21BEDDEF" w14:textId="77777777" w:rsidR="00D00B97" w:rsidRPr="006C6F80" w:rsidRDefault="00D00B97">
            <w:pPr>
              <w:jc w:val="center"/>
              <w:rPr>
                <w:color w:val="000000" w:themeColor="text1"/>
                <w:sz w:val="20"/>
                <w:szCs w:val="20"/>
              </w:rPr>
            </w:pPr>
            <w:r w:rsidRPr="006C6F80">
              <w:rPr>
                <w:color w:val="000000" w:themeColor="text1"/>
                <w:sz w:val="20"/>
                <w:szCs w:val="20"/>
              </w:rPr>
              <w:t>4.167</w:t>
            </w:r>
          </w:p>
        </w:tc>
        <w:tc>
          <w:tcPr>
            <w:tcW w:w="820" w:type="dxa"/>
            <w:tcBorders>
              <w:top w:val="nil"/>
              <w:left w:val="nil"/>
              <w:bottom w:val="nil"/>
              <w:right w:val="nil"/>
            </w:tcBorders>
            <w:shd w:val="clear" w:color="auto" w:fill="auto"/>
            <w:noWrap/>
            <w:vAlign w:val="center"/>
            <w:hideMark/>
          </w:tcPr>
          <w:p w14:paraId="3254E979" w14:textId="77777777" w:rsidR="00D00B97" w:rsidRPr="006C6F80" w:rsidRDefault="00D00B97">
            <w:pPr>
              <w:jc w:val="center"/>
              <w:rPr>
                <w:color w:val="000000" w:themeColor="text1"/>
                <w:sz w:val="20"/>
                <w:szCs w:val="20"/>
              </w:rPr>
            </w:pPr>
            <w:r w:rsidRPr="006C6F80">
              <w:rPr>
                <w:color w:val="000000" w:themeColor="text1"/>
                <w:sz w:val="20"/>
                <w:szCs w:val="20"/>
              </w:rPr>
              <w:t>30.579</w:t>
            </w:r>
          </w:p>
        </w:tc>
      </w:tr>
      <w:tr w:rsidR="00D00B97" w:rsidRPr="006C6F80" w14:paraId="32645E2F" w14:textId="77777777" w:rsidTr="00D00B97">
        <w:trPr>
          <w:trHeight w:val="320"/>
          <w:jc w:val="center"/>
        </w:trPr>
        <w:tc>
          <w:tcPr>
            <w:tcW w:w="2368" w:type="dxa"/>
            <w:tcBorders>
              <w:top w:val="nil"/>
              <w:left w:val="nil"/>
              <w:bottom w:val="nil"/>
              <w:right w:val="nil"/>
            </w:tcBorders>
            <w:shd w:val="clear" w:color="auto" w:fill="auto"/>
            <w:noWrap/>
            <w:vAlign w:val="center"/>
            <w:hideMark/>
          </w:tcPr>
          <w:p w14:paraId="1ADA1E39" w14:textId="77777777" w:rsidR="00D00B97" w:rsidRPr="006C6F80" w:rsidRDefault="00D00B97">
            <w:pPr>
              <w:rPr>
                <w:color w:val="000000" w:themeColor="text1"/>
                <w:sz w:val="20"/>
                <w:szCs w:val="20"/>
              </w:rPr>
            </w:pPr>
            <w:r w:rsidRPr="006C6F80">
              <w:rPr>
                <w:color w:val="000000" w:themeColor="text1"/>
                <w:sz w:val="20"/>
                <w:szCs w:val="20"/>
              </w:rPr>
              <w:t>Low-skilled blue-collar</w:t>
            </w:r>
          </w:p>
        </w:tc>
        <w:tc>
          <w:tcPr>
            <w:tcW w:w="1101" w:type="dxa"/>
            <w:tcBorders>
              <w:top w:val="nil"/>
              <w:left w:val="nil"/>
              <w:bottom w:val="nil"/>
              <w:right w:val="nil"/>
            </w:tcBorders>
            <w:shd w:val="clear" w:color="auto" w:fill="auto"/>
            <w:noWrap/>
            <w:vAlign w:val="center"/>
            <w:hideMark/>
          </w:tcPr>
          <w:p w14:paraId="3CC6326B" w14:textId="77777777" w:rsidR="00D00B97" w:rsidRPr="006C6F80" w:rsidRDefault="00D00B97">
            <w:pPr>
              <w:jc w:val="center"/>
              <w:rPr>
                <w:color w:val="000000" w:themeColor="text1"/>
                <w:sz w:val="20"/>
                <w:szCs w:val="20"/>
              </w:rPr>
            </w:pPr>
            <w:r w:rsidRPr="006C6F80">
              <w:rPr>
                <w:color w:val="000000" w:themeColor="text1"/>
                <w:sz w:val="20"/>
                <w:szCs w:val="20"/>
              </w:rPr>
              <w:t>0.353</w:t>
            </w:r>
          </w:p>
        </w:tc>
        <w:tc>
          <w:tcPr>
            <w:tcW w:w="2212" w:type="dxa"/>
            <w:tcBorders>
              <w:top w:val="nil"/>
              <w:left w:val="nil"/>
              <w:bottom w:val="nil"/>
              <w:right w:val="nil"/>
            </w:tcBorders>
            <w:shd w:val="clear" w:color="auto" w:fill="auto"/>
            <w:noWrap/>
            <w:vAlign w:val="center"/>
            <w:hideMark/>
          </w:tcPr>
          <w:p w14:paraId="1A89182D" w14:textId="77777777" w:rsidR="00D00B97" w:rsidRPr="006C6F80" w:rsidRDefault="00D00B97">
            <w:pPr>
              <w:jc w:val="center"/>
              <w:rPr>
                <w:color w:val="000000" w:themeColor="text1"/>
                <w:sz w:val="20"/>
                <w:szCs w:val="20"/>
              </w:rPr>
            </w:pPr>
            <w:r w:rsidRPr="006C6F80">
              <w:rPr>
                <w:color w:val="000000" w:themeColor="text1"/>
                <w:sz w:val="20"/>
                <w:szCs w:val="20"/>
              </w:rPr>
              <w:t>7.486</w:t>
            </w:r>
          </w:p>
        </w:tc>
        <w:tc>
          <w:tcPr>
            <w:tcW w:w="2252" w:type="dxa"/>
            <w:tcBorders>
              <w:top w:val="nil"/>
              <w:left w:val="nil"/>
              <w:bottom w:val="nil"/>
              <w:right w:val="nil"/>
            </w:tcBorders>
            <w:shd w:val="clear" w:color="auto" w:fill="auto"/>
            <w:noWrap/>
            <w:vAlign w:val="center"/>
            <w:hideMark/>
          </w:tcPr>
          <w:p w14:paraId="18714001" w14:textId="77777777" w:rsidR="00D00B97" w:rsidRPr="006C6F80" w:rsidRDefault="00D00B97">
            <w:pPr>
              <w:jc w:val="center"/>
              <w:rPr>
                <w:color w:val="000000" w:themeColor="text1"/>
                <w:sz w:val="20"/>
                <w:szCs w:val="20"/>
              </w:rPr>
            </w:pPr>
            <w:r w:rsidRPr="006C6F80">
              <w:rPr>
                <w:color w:val="000000" w:themeColor="text1"/>
                <w:sz w:val="20"/>
                <w:szCs w:val="20"/>
              </w:rPr>
              <w:t>0.777</w:t>
            </w:r>
          </w:p>
        </w:tc>
        <w:tc>
          <w:tcPr>
            <w:tcW w:w="2328" w:type="dxa"/>
            <w:tcBorders>
              <w:top w:val="nil"/>
              <w:left w:val="nil"/>
              <w:bottom w:val="nil"/>
              <w:right w:val="nil"/>
            </w:tcBorders>
            <w:shd w:val="clear" w:color="auto" w:fill="auto"/>
            <w:noWrap/>
            <w:vAlign w:val="center"/>
            <w:hideMark/>
          </w:tcPr>
          <w:p w14:paraId="4BB12F0B" w14:textId="77777777" w:rsidR="00D00B97" w:rsidRPr="006C6F80" w:rsidRDefault="00D00B97">
            <w:pPr>
              <w:jc w:val="center"/>
              <w:rPr>
                <w:color w:val="000000" w:themeColor="text1"/>
                <w:sz w:val="20"/>
                <w:szCs w:val="20"/>
              </w:rPr>
            </w:pPr>
            <w:r w:rsidRPr="006C6F80">
              <w:rPr>
                <w:color w:val="000000" w:themeColor="text1"/>
                <w:sz w:val="20"/>
                <w:szCs w:val="20"/>
              </w:rPr>
              <w:t>0.989</w:t>
            </w:r>
          </w:p>
        </w:tc>
        <w:tc>
          <w:tcPr>
            <w:tcW w:w="2368" w:type="dxa"/>
            <w:tcBorders>
              <w:top w:val="nil"/>
              <w:left w:val="nil"/>
              <w:bottom w:val="nil"/>
              <w:right w:val="nil"/>
            </w:tcBorders>
            <w:shd w:val="clear" w:color="auto" w:fill="auto"/>
            <w:noWrap/>
            <w:vAlign w:val="center"/>
            <w:hideMark/>
          </w:tcPr>
          <w:p w14:paraId="67669A2D" w14:textId="77777777" w:rsidR="00D00B97" w:rsidRPr="006C6F80" w:rsidRDefault="00D00B97">
            <w:pPr>
              <w:jc w:val="center"/>
              <w:rPr>
                <w:color w:val="000000" w:themeColor="text1"/>
                <w:sz w:val="20"/>
                <w:szCs w:val="20"/>
              </w:rPr>
            </w:pPr>
            <w:r w:rsidRPr="006C6F80">
              <w:rPr>
                <w:color w:val="000000" w:themeColor="text1"/>
                <w:sz w:val="20"/>
                <w:szCs w:val="20"/>
              </w:rPr>
              <w:t>2.613</w:t>
            </w:r>
          </w:p>
        </w:tc>
        <w:tc>
          <w:tcPr>
            <w:tcW w:w="820" w:type="dxa"/>
            <w:tcBorders>
              <w:top w:val="nil"/>
              <w:left w:val="nil"/>
              <w:bottom w:val="nil"/>
              <w:right w:val="nil"/>
            </w:tcBorders>
            <w:shd w:val="clear" w:color="auto" w:fill="auto"/>
            <w:noWrap/>
            <w:vAlign w:val="center"/>
            <w:hideMark/>
          </w:tcPr>
          <w:p w14:paraId="6635A0BD" w14:textId="77777777" w:rsidR="00D00B97" w:rsidRPr="006C6F80" w:rsidRDefault="00D00B97">
            <w:pPr>
              <w:jc w:val="center"/>
              <w:rPr>
                <w:color w:val="000000" w:themeColor="text1"/>
                <w:sz w:val="20"/>
                <w:szCs w:val="20"/>
              </w:rPr>
            </w:pPr>
            <w:r w:rsidRPr="006C6F80">
              <w:rPr>
                <w:color w:val="000000" w:themeColor="text1"/>
                <w:sz w:val="20"/>
                <w:szCs w:val="20"/>
              </w:rPr>
              <w:t>12.218</w:t>
            </w:r>
          </w:p>
        </w:tc>
      </w:tr>
      <w:tr w:rsidR="00D00B97" w:rsidRPr="006C6F80" w14:paraId="4DCEB936" w14:textId="77777777" w:rsidTr="00D00B97">
        <w:trPr>
          <w:trHeight w:val="320"/>
          <w:jc w:val="center"/>
        </w:trPr>
        <w:tc>
          <w:tcPr>
            <w:tcW w:w="2368" w:type="dxa"/>
            <w:tcBorders>
              <w:top w:val="nil"/>
              <w:left w:val="nil"/>
              <w:bottom w:val="nil"/>
              <w:right w:val="nil"/>
            </w:tcBorders>
            <w:shd w:val="clear" w:color="auto" w:fill="auto"/>
            <w:noWrap/>
            <w:vAlign w:val="center"/>
            <w:hideMark/>
          </w:tcPr>
          <w:p w14:paraId="4F7DFDA6" w14:textId="77777777" w:rsidR="00D00B97" w:rsidRPr="006C6F80" w:rsidRDefault="00D00B97">
            <w:pPr>
              <w:rPr>
                <w:color w:val="000000" w:themeColor="text1"/>
                <w:sz w:val="20"/>
                <w:szCs w:val="20"/>
              </w:rPr>
            </w:pPr>
            <w:r w:rsidRPr="006C6F80">
              <w:rPr>
                <w:color w:val="000000" w:themeColor="text1"/>
                <w:sz w:val="20"/>
                <w:szCs w:val="20"/>
              </w:rPr>
              <w:t>High-skilled blue-collar</w:t>
            </w:r>
          </w:p>
        </w:tc>
        <w:tc>
          <w:tcPr>
            <w:tcW w:w="1101" w:type="dxa"/>
            <w:tcBorders>
              <w:top w:val="nil"/>
              <w:left w:val="nil"/>
              <w:bottom w:val="nil"/>
              <w:right w:val="nil"/>
            </w:tcBorders>
            <w:shd w:val="clear" w:color="auto" w:fill="auto"/>
            <w:noWrap/>
            <w:vAlign w:val="center"/>
            <w:hideMark/>
          </w:tcPr>
          <w:p w14:paraId="2F78BB92" w14:textId="77777777" w:rsidR="00D00B97" w:rsidRPr="006C6F80" w:rsidRDefault="00D00B97">
            <w:pPr>
              <w:jc w:val="center"/>
              <w:rPr>
                <w:color w:val="000000" w:themeColor="text1"/>
                <w:sz w:val="20"/>
                <w:szCs w:val="20"/>
              </w:rPr>
            </w:pPr>
            <w:r w:rsidRPr="006C6F80">
              <w:rPr>
                <w:color w:val="000000" w:themeColor="text1"/>
                <w:sz w:val="20"/>
                <w:szCs w:val="20"/>
              </w:rPr>
              <w:t>0.565</w:t>
            </w:r>
          </w:p>
        </w:tc>
        <w:tc>
          <w:tcPr>
            <w:tcW w:w="2212" w:type="dxa"/>
            <w:tcBorders>
              <w:top w:val="nil"/>
              <w:left w:val="nil"/>
              <w:bottom w:val="nil"/>
              <w:right w:val="nil"/>
            </w:tcBorders>
            <w:shd w:val="clear" w:color="auto" w:fill="auto"/>
            <w:noWrap/>
            <w:vAlign w:val="center"/>
            <w:hideMark/>
          </w:tcPr>
          <w:p w14:paraId="45C0A9F4" w14:textId="77777777" w:rsidR="00D00B97" w:rsidRPr="006C6F80" w:rsidRDefault="00D00B97">
            <w:pPr>
              <w:jc w:val="center"/>
              <w:rPr>
                <w:color w:val="000000" w:themeColor="text1"/>
                <w:sz w:val="20"/>
                <w:szCs w:val="20"/>
              </w:rPr>
            </w:pPr>
            <w:r w:rsidRPr="006C6F80">
              <w:rPr>
                <w:color w:val="000000" w:themeColor="text1"/>
                <w:sz w:val="20"/>
                <w:szCs w:val="20"/>
              </w:rPr>
              <w:t>3.814</w:t>
            </w:r>
          </w:p>
        </w:tc>
        <w:tc>
          <w:tcPr>
            <w:tcW w:w="2252" w:type="dxa"/>
            <w:tcBorders>
              <w:top w:val="nil"/>
              <w:left w:val="nil"/>
              <w:bottom w:val="nil"/>
              <w:right w:val="nil"/>
            </w:tcBorders>
            <w:shd w:val="clear" w:color="auto" w:fill="auto"/>
            <w:noWrap/>
            <w:vAlign w:val="center"/>
            <w:hideMark/>
          </w:tcPr>
          <w:p w14:paraId="0B44CE49" w14:textId="77777777" w:rsidR="00D00B97" w:rsidRPr="006C6F80" w:rsidRDefault="00D00B97">
            <w:pPr>
              <w:jc w:val="center"/>
              <w:rPr>
                <w:color w:val="000000" w:themeColor="text1"/>
                <w:sz w:val="20"/>
                <w:szCs w:val="20"/>
              </w:rPr>
            </w:pPr>
            <w:r w:rsidRPr="006C6F80">
              <w:rPr>
                <w:color w:val="000000" w:themeColor="text1"/>
                <w:sz w:val="20"/>
                <w:szCs w:val="20"/>
              </w:rPr>
              <w:t>9.816</w:t>
            </w:r>
          </w:p>
        </w:tc>
        <w:tc>
          <w:tcPr>
            <w:tcW w:w="2328" w:type="dxa"/>
            <w:tcBorders>
              <w:top w:val="nil"/>
              <w:left w:val="nil"/>
              <w:bottom w:val="nil"/>
              <w:right w:val="nil"/>
            </w:tcBorders>
            <w:shd w:val="clear" w:color="auto" w:fill="auto"/>
            <w:noWrap/>
            <w:vAlign w:val="center"/>
            <w:hideMark/>
          </w:tcPr>
          <w:p w14:paraId="69AA756C" w14:textId="77777777" w:rsidR="00D00B97" w:rsidRPr="006C6F80" w:rsidRDefault="00D00B97">
            <w:pPr>
              <w:jc w:val="center"/>
              <w:rPr>
                <w:color w:val="000000" w:themeColor="text1"/>
                <w:sz w:val="20"/>
                <w:szCs w:val="20"/>
              </w:rPr>
            </w:pPr>
            <w:r w:rsidRPr="006C6F80">
              <w:rPr>
                <w:color w:val="000000" w:themeColor="text1"/>
                <w:sz w:val="20"/>
                <w:szCs w:val="20"/>
              </w:rPr>
              <w:t>1.836</w:t>
            </w:r>
          </w:p>
        </w:tc>
        <w:tc>
          <w:tcPr>
            <w:tcW w:w="2368" w:type="dxa"/>
            <w:tcBorders>
              <w:top w:val="nil"/>
              <w:left w:val="nil"/>
              <w:bottom w:val="nil"/>
              <w:right w:val="nil"/>
            </w:tcBorders>
            <w:shd w:val="clear" w:color="auto" w:fill="auto"/>
            <w:noWrap/>
            <w:vAlign w:val="center"/>
            <w:hideMark/>
          </w:tcPr>
          <w:p w14:paraId="4B67A532" w14:textId="77777777" w:rsidR="00D00B97" w:rsidRPr="006C6F80" w:rsidRDefault="00D00B97">
            <w:pPr>
              <w:jc w:val="center"/>
              <w:rPr>
                <w:color w:val="000000" w:themeColor="text1"/>
                <w:sz w:val="20"/>
                <w:szCs w:val="20"/>
              </w:rPr>
            </w:pPr>
            <w:r w:rsidRPr="006C6F80">
              <w:rPr>
                <w:color w:val="000000" w:themeColor="text1"/>
                <w:sz w:val="20"/>
                <w:szCs w:val="20"/>
              </w:rPr>
              <w:t>4.873</w:t>
            </w:r>
          </w:p>
        </w:tc>
        <w:tc>
          <w:tcPr>
            <w:tcW w:w="820" w:type="dxa"/>
            <w:tcBorders>
              <w:top w:val="nil"/>
              <w:left w:val="nil"/>
              <w:bottom w:val="nil"/>
              <w:right w:val="nil"/>
            </w:tcBorders>
            <w:shd w:val="clear" w:color="auto" w:fill="auto"/>
            <w:noWrap/>
            <w:vAlign w:val="center"/>
            <w:hideMark/>
          </w:tcPr>
          <w:p w14:paraId="62395DC2" w14:textId="77777777" w:rsidR="00D00B97" w:rsidRPr="006C6F80" w:rsidRDefault="00D00B97">
            <w:pPr>
              <w:jc w:val="center"/>
              <w:rPr>
                <w:color w:val="000000" w:themeColor="text1"/>
                <w:sz w:val="20"/>
                <w:szCs w:val="20"/>
              </w:rPr>
            </w:pPr>
            <w:r w:rsidRPr="006C6F80">
              <w:rPr>
                <w:color w:val="000000" w:themeColor="text1"/>
                <w:sz w:val="20"/>
                <w:szCs w:val="20"/>
              </w:rPr>
              <w:t>20.904</w:t>
            </w:r>
          </w:p>
        </w:tc>
      </w:tr>
      <w:tr w:rsidR="00D00B97" w:rsidRPr="006C6F80" w14:paraId="110ED1DB" w14:textId="77777777" w:rsidTr="00D00B97">
        <w:trPr>
          <w:trHeight w:val="320"/>
          <w:jc w:val="center"/>
        </w:trPr>
        <w:tc>
          <w:tcPr>
            <w:tcW w:w="2368" w:type="dxa"/>
            <w:tcBorders>
              <w:top w:val="nil"/>
              <w:left w:val="nil"/>
              <w:bottom w:val="nil"/>
              <w:right w:val="nil"/>
            </w:tcBorders>
            <w:shd w:val="clear" w:color="auto" w:fill="auto"/>
            <w:noWrap/>
            <w:vAlign w:val="center"/>
            <w:hideMark/>
          </w:tcPr>
          <w:p w14:paraId="0EA42F60" w14:textId="77777777" w:rsidR="00D00B97" w:rsidRPr="006C6F80" w:rsidRDefault="00D00B97">
            <w:pPr>
              <w:rPr>
                <w:color w:val="000000" w:themeColor="text1"/>
                <w:sz w:val="20"/>
                <w:szCs w:val="20"/>
              </w:rPr>
            </w:pPr>
            <w:r w:rsidRPr="006C6F80">
              <w:rPr>
                <w:color w:val="000000" w:themeColor="text1"/>
                <w:sz w:val="20"/>
                <w:szCs w:val="20"/>
              </w:rPr>
              <w:t>Low-skilled white-collar</w:t>
            </w:r>
          </w:p>
        </w:tc>
        <w:tc>
          <w:tcPr>
            <w:tcW w:w="1101" w:type="dxa"/>
            <w:tcBorders>
              <w:top w:val="nil"/>
              <w:left w:val="nil"/>
              <w:bottom w:val="nil"/>
              <w:right w:val="nil"/>
            </w:tcBorders>
            <w:shd w:val="clear" w:color="auto" w:fill="auto"/>
            <w:noWrap/>
            <w:vAlign w:val="center"/>
            <w:hideMark/>
          </w:tcPr>
          <w:p w14:paraId="4BBA38C9" w14:textId="77777777" w:rsidR="00D00B97" w:rsidRPr="006C6F80" w:rsidRDefault="00D00B97">
            <w:pPr>
              <w:jc w:val="center"/>
              <w:rPr>
                <w:color w:val="000000" w:themeColor="text1"/>
                <w:sz w:val="20"/>
                <w:szCs w:val="20"/>
              </w:rPr>
            </w:pPr>
            <w:r w:rsidRPr="006C6F80">
              <w:rPr>
                <w:color w:val="000000" w:themeColor="text1"/>
                <w:sz w:val="20"/>
                <w:szCs w:val="20"/>
              </w:rPr>
              <w:t>0.071</w:t>
            </w:r>
          </w:p>
        </w:tc>
        <w:tc>
          <w:tcPr>
            <w:tcW w:w="2212" w:type="dxa"/>
            <w:tcBorders>
              <w:top w:val="nil"/>
              <w:left w:val="nil"/>
              <w:bottom w:val="nil"/>
              <w:right w:val="nil"/>
            </w:tcBorders>
            <w:shd w:val="clear" w:color="auto" w:fill="auto"/>
            <w:noWrap/>
            <w:vAlign w:val="center"/>
            <w:hideMark/>
          </w:tcPr>
          <w:p w14:paraId="422158BA" w14:textId="77777777" w:rsidR="00D00B97" w:rsidRPr="006C6F80" w:rsidRDefault="00D00B97">
            <w:pPr>
              <w:jc w:val="center"/>
              <w:rPr>
                <w:color w:val="000000" w:themeColor="text1"/>
                <w:sz w:val="20"/>
                <w:szCs w:val="20"/>
              </w:rPr>
            </w:pPr>
            <w:r w:rsidRPr="006C6F80">
              <w:rPr>
                <w:color w:val="000000" w:themeColor="text1"/>
                <w:sz w:val="20"/>
                <w:szCs w:val="20"/>
              </w:rPr>
              <w:t>1.130</w:t>
            </w:r>
          </w:p>
        </w:tc>
        <w:tc>
          <w:tcPr>
            <w:tcW w:w="2252" w:type="dxa"/>
            <w:tcBorders>
              <w:top w:val="nil"/>
              <w:left w:val="nil"/>
              <w:bottom w:val="nil"/>
              <w:right w:val="nil"/>
            </w:tcBorders>
            <w:shd w:val="clear" w:color="auto" w:fill="auto"/>
            <w:noWrap/>
            <w:vAlign w:val="center"/>
            <w:hideMark/>
          </w:tcPr>
          <w:p w14:paraId="1455AC04" w14:textId="77777777" w:rsidR="00D00B97" w:rsidRPr="006C6F80" w:rsidRDefault="00D00B97">
            <w:pPr>
              <w:jc w:val="center"/>
              <w:rPr>
                <w:color w:val="000000" w:themeColor="text1"/>
                <w:sz w:val="20"/>
                <w:szCs w:val="20"/>
              </w:rPr>
            </w:pPr>
            <w:r w:rsidRPr="006C6F80">
              <w:rPr>
                <w:color w:val="000000" w:themeColor="text1"/>
                <w:sz w:val="20"/>
                <w:szCs w:val="20"/>
              </w:rPr>
              <w:t>0.494</w:t>
            </w:r>
          </w:p>
        </w:tc>
        <w:tc>
          <w:tcPr>
            <w:tcW w:w="2328" w:type="dxa"/>
            <w:tcBorders>
              <w:top w:val="nil"/>
              <w:left w:val="nil"/>
              <w:bottom w:val="nil"/>
              <w:right w:val="nil"/>
            </w:tcBorders>
            <w:shd w:val="clear" w:color="auto" w:fill="auto"/>
            <w:noWrap/>
            <w:vAlign w:val="center"/>
            <w:hideMark/>
          </w:tcPr>
          <w:p w14:paraId="35B4E421" w14:textId="77777777" w:rsidR="00D00B97" w:rsidRPr="006C6F80" w:rsidRDefault="00D00B97">
            <w:pPr>
              <w:jc w:val="center"/>
              <w:rPr>
                <w:color w:val="000000" w:themeColor="text1"/>
                <w:sz w:val="20"/>
                <w:szCs w:val="20"/>
              </w:rPr>
            </w:pPr>
            <w:r w:rsidRPr="006C6F80">
              <w:rPr>
                <w:color w:val="000000" w:themeColor="text1"/>
                <w:sz w:val="20"/>
                <w:szCs w:val="20"/>
              </w:rPr>
              <w:t>5.720</w:t>
            </w:r>
          </w:p>
        </w:tc>
        <w:tc>
          <w:tcPr>
            <w:tcW w:w="2368" w:type="dxa"/>
            <w:tcBorders>
              <w:top w:val="nil"/>
              <w:left w:val="nil"/>
              <w:bottom w:val="nil"/>
              <w:right w:val="nil"/>
            </w:tcBorders>
            <w:shd w:val="clear" w:color="auto" w:fill="auto"/>
            <w:noWrap/>
            <w:vAlign w:val="center"/>
            <w:hideMark/>
          </w:tcPr>
          <w:p w14:paraId="77A0952F" w14:textId="77777777" w:rsidR="00D00B97" w:rsidRPr="006C6F80" w:rsidRDefault="00D00B97">
            <w:pPr>
              <w:jc w:val="center"/>
              <w:rPr>
                <w:color w:val="000000" w:themeColor="text1"/>
                <w:sz w:val="20"/>
                <w:szCs w:val="20"/>
              </w:rPr>
            </w:pPr>
            <w:r w:rsidRPr="006C6F80">
              <w:rPr>
                <w:color w:val="000000" w:themeColor="text1"/>
                <w:sz w:val="20"/>
                <w:szCs w:val="20"/>
              </w:rPr>
              <w:t>4.167</w:t>
            </w:r>
          </w:p>
        </w:tc>
        <w:tc>
          <w:tcPr>
            <w:tcW w:w="820" w:type="dxa"/>
            <w:tcBorders>
              <w:top w:val="nil"/>
              <w:left w:val="nil"/>
              <w:bottom w:val="nil"/>
              <w:right w:val="nil"/>
            </w:tcBorders>
            <w:shd w:val="clear" w:color="auto" w:fill="auto"/>
            <w:noWrap/>
            <w:vAlign w:val="center"/>
            <w:hideMark/>
          </w:tcPr>
          <w:p w14:paraId="66882C0D" w14:textId="77777777" w:rsidR="00D00B97" w:rsidRPr="006C6F80" w:rsidRDefault="00D00B97">
            <w:pPr>
              <w:jc w:val="center"/>
              <w:rPr>
                <w:color w:val="000000" w:themeColor="text1"/>
                <w:sz w:val="20"/>
                <w:szCs w:val="20"/>
              </w:rPr>
            </w:pPr>
            <w:r w:rsidRPr="006C6F80">
              <w:rPr>
                <w:color w:val="000000" w:themeColor="text1"/>
                <w:sz w:val="20"/>
                <w:szCs w:val="20"/>
              </w:rPr>
              <w:t>11.582</w:t>
            </w:r>
          </w:p>
        </w:tc>
      </w:tr>
      <w:tr w:rsidR="00D00B97" w:rsidRPr="006C6F80" w14:paraId="5F3892A6" w14:textId="77777777" w:rsidTr="00D00B97">
        <w:trPr>
          <w:trHeight w:val="320"/>
          <w:jc w:val="center"/>
        </w:trPr>
        <w:tc>
          <w:tcPr>
            <w:tcW w:w="2368" w:type="dxa"/>
            <w:tcBorders>
              <w:top w:val="nil"/>
              <w:left w:val="nil"/>
              <w:bottom w:val="nil"/>
              <w:right w:val="nil"/>
            </w:tcBorders>
            <w:shd w:val="clear" w:color="auto" w:fill="auto"/>
            <w:noWrap/>
            <w:vAlign w:val="center"/>
            <w:hideMark/>
          </w:tcPr>
          <w:p w14:paraId="00957DF4" w14:textId="77777777" w:rsidR="00D00B97" w:rsidRPr="006C6F80" w:rsidRDefault="00D00B97">
            <w:pPr>
              <w:rPr>
                <w:color w:val="000000" w:themeColor="text1"/>
                <w:sz w:val="20"/>
                <w:szCs w:val="20"/>
              </w:rPr>
            </w:pPr>
            <w:r w:rsidRPr="006C6F80">
              <w:rPr>
                <w:color w:val="000000" w:themeColor="text1"/>
                <w:sz w:val="20"/>
                <w:szCs w:val="20"/>
              </w:rPr>
              <w:t>High-skilled white-collar</w:t>
            </w:r>
          </w:p>
        </w:tc>
        <w:tc>
          <w:tcPr>
            <w:tcW w:w="1101" w:type="dxa"/>
            <w:tcBorders>
              <w:top w:val="nil"/>
              <w:left w:val="nil"/>
              <w:bottom w:val="nil"/>
              <w:right w:val="nil"/>
            </w:tcBorders>
            <w:shd w:val="clear" w:color="auto" w:fill="auto"/>
            <w:noWrap/>
            <w:vAlign w:val="center"/>
            <w:hideMark/>
          </w:tcPr>
          <w:p w14:paraId="020DA062" w14:textId="77777777" w:rsidR="00D00B97" w:rsidRPr="006C6F80" w:rsidRDefault="00D00B97">
            <w:pPr>
              <w:jc w:val="center"/>
              <w:rPr>
                <w:color w:val="000000" w:themeColor="text1"/>
                <w:sz w:val="20"/>
                <w:szCs w:val="20"/>
              </w:rPr>
            </w:pPr>
            <w:r w:rsidRPr="006C6F80">
              <w:rPr>
                <w:color w:val="000000" w:themeColor="text1"/>
                <w:sz w:val="20"/>
                <w:szCs w:val="20"/>
              </w:rPr>
              <w:t>0.071</w:t>
            </w:r>
          </w:p>
        </w:tc>
        <w:tc>
          <w:tcPr>
            <w:tcW w:w="2212" w:type="dxa"/>
            <w:tcBorders>
              <w:top w:val="nil"/>
              <w:left w:val="nil"/>
              <w:bottom w:val="nil"/>
              <w:right w:val="nil"/>
            </w:tcBorders>
            <w:shd w:val="clear" w:color="auto" w:fill="auto"/>
            <w:noWrap/>
            <w:vAlign w:val="center"/>
            <w:hideMark/>
          </w:tcPr>
          <w:p w14:paraId="5FCE7F8E" w14:textId="77777777" w:rsidR="00D00B97" w:rsidRPr="006C6F80" w:rsidRDefault="00D00B97">
            <w:pPr>
              <w:jc w:val="center"/>
              <w:rPr>
                <w:color w:val="000000" w:themeColor="text1"/>
                <w:sz w:val="20"/>
                <w:szCs w:val="20"/>
              </w:rPr>
            </w:pPr>
            <w:r w:rsidRPr="006C6F80">
              <w:rPr>
                <w:color w:val="000000" w:themeColor="text1"/>
                <w:sz w:val="20"/>
                <w:szCs w:val="20"/>
              </w:rPr>
              <w:t>0.494</w:t>
            </w:r>
          </w:p>
        </w:tc>
        <w:tc>
          <w:tcPr>
            <w:tcW w:w="2252" w:type="dxa"/>
            <w:tcBorders>
              <w:top w:val="nil"/>
              <w:left w:val="nil"/>
              <w:bottom w:val="nil"/>
              <w:right w:val="nil"/>
            </w:tcBorders>
            <w:shd w:val="clear" w:color="auto" w:fill="auto"/>
            <w:noWrap/>
            <w:vAlign w:val="center"/>
            <w:hideMark/>
          </w:tcPr>
          <w:p w14:paraId="10005985" w14:textId="77777777" w:rsidR="00D00B97" w:rsidRPr="006C6F80" w:rsidRDefault="00D00B97">
            <w:pPr>
              <w:jc w:val="center"/>
              <w:rPr>
                <w:color w:val="000000" w:themeColor="text1"/>
                <w:sz w:val="20"/>
                <w:szCs w:val="20"/>
              </w:rPr>
            </w:pPr>
            <w:r w:rsidRPr="006C6F80">
              <w:rPr>
                <w:color w:val="000000" w:themeColor="text1"/>
                <w:sz w:val="20"/>
                <w:szCs w:val="20"/>
              </w:rPr>
              <w:t>0.847</w:t>
            </w:r>
          </w:p>
        </w:tc>
        <w:tc>
          <w:tcPr>
            <w:tcW w:w="2328" w:type="dxa"/>
            <w:tcBorders>
              <w:top w:val="nil"/>
              <w:left w:val="nil"/>
              <w:bottom w:val="nil"/>
              <w:right w:val="nil"/>
            </w:tcBorders>
            <w:shd w:val="clear" w:color="auto" w:fill="auto"/>
            <w:noWrap/>
            <w:vAlign w:val="center"/>
            <w:hideMark/>
          </w:tcPr>
          <w:p w14:paraId="7876EFE5" w14:textId="77777777" w:rsidR="00D00B97" w:rsidRPr="006C6F80" w:rsidRDefault="00D00B97">
            <w:pPr>
              <w:jc w:val="center"/>
              <w:rPr>
                <w:color w:val="000000" w:themeColor="text1"/>
                <w:sz w:val="20"/>
                <w:szCs w:val="20"/>
              </w:rPr>
            </w:pPr>
            <w:r w:rsidRPr="006C6F80">
              <w:rPr>
                <w:color w:val="000000" w:themeColor="text1"/>
                <w:sz w:val="20"/>
                <w:szCs w:val="20"/>
              </w:rPr>
              <w:t>0.424</w:t>
            </w:r>
          </w:p>
        </w:tc>
        <w:tc>
          <w:tcPr>
            <w:tcW w:w="2368" w:type="dxa"/>
            <w:tcBorders>
              <w:top w:val="nil"/>
              <w:left w:val="nil"/>
              <w:bottom w:val="nil"/>
              <w:right w:val="nil"/>
            </w:tcBorders>
            <w:shd w:val="clear" w:color="auto" w:fill="auto"/>
            <w:noWrap/>
            <w:vAlign w:val="center"/>
            <w:hideMark/>
          </w:tcPr>
          <w:p w14:paraId="05DE2752" w14:textId="77777777" w:rsidR="00D00B97" w:rsidRPr="006C6F80" w:rsidRDefault="00D00B97">
            <w:pPr>
              <w:jc w:val="center"/>
              <w:rPr>
                <w:color w:val="000000" w:themeColor="text1"/>
                <w:sz w:val="20"/>
                <w:szCs w:val="20"/>
              </w:rPr>
            </w:pPr>
            <w:r w:rsidRPr="006C6F80">
              <w:rPr>
                <w:color w:val="000000" w:themeColor="text1"/>
                <w:sz w:val="20"/>
                <w:szCs w:val="20"/>
              </w:rPr>
              <w:t>22.881</w:t>
            </w:r>
          </w:p>
        </w:tc>
        <w:tc>
          <w:tcPr>
            <w:tcW w:w="820" w:type="dxa"/>
            <w:tcBorders>
              <w:top w:val="nil"/>
              <w:left w:val="nil"/>
              <w:bottom w:val="nil"/>
              <w:right w:val="nil"/>
            </w:tcBorders>
            <w:shd w:val="clear" w:color="auto" w:fill="auto"/>
            <w:noWrap/>
            <w:vAlign w:val="center"/>
            <w:hideMark/>
          </w:tcPr>
          <w:p w14:paraId="36972378" w14:textId="77777777" w:rsidR="00D00B97" w:rsidRPr="006C6F80" w:rsidRDefault="00D00B97">
            <w:pPr>
              <w:jc w:val="center"/>
              <w:rPr>
                <w:color w:val="000000" w:themeColor="text1"/>
                <w:sz w:val="20"/>
                <w:szCs w:val="20"/>
              </w:rPr>
            </w:pPr>
            <w:r w:rsidRPr="006C6F80">
              <w:rPr>
                <w:color w:val="000000" w:themeColor="text1"/>
                <w:sz w:val="20"/>
                <w:szCs w:val="20"/>
              </w:rPr>
              <w:t>24.718</w:t>
            </w:r>
          </w:p>
        </w:tc>
      </w:tr>
      <w:tr w:rsidR="00D00B97" w:rsidRPr="006C6F80" w14:paraId="1F14A958" w14:textId="77777777" w:rsidTr="00D00B97">
        <w:trPr>
          <w:trHeight w:val="320"/>
          <w:jc w:val="center"/>
        </w:trPr>
        <w:tc>
          <w:tcPr>
            <w:tcW w:w="2368" w:type="dxa"/>
            <w:tcBorders>
              <w:top w:val="nil"/>
              <w:left w:val="nil"/>
              <w:bottom w:val="single" w:sz="4" w:space="0" w:color="auto"/>
              <w:right w:val="nil"/>
            </w:tcBorders>
            <w:shd w:val="clear" w:color="auto" w:fill="auto"/>
            <w:noWrap/>
            <w:vAlign w:val="center"/>
            <w:hideMark/>
          </w:tcPr>
          <w:p w14:paraId="185EE544" w14:textId="77777777" w:rsidR="00D00B97" w:rsidRPr="006C6F80" w:rsidRDefault="00D00B97">
            <w:pPr>
              <w:rPr>
                <w:color w:val="000000" w:themeColor="text1"/>
                <w:sz w:val="20"/>
                <w:szCs w:val="20"/>
              </w:rPr>
            </w:pPr>
            <w:r w:rsidRPr="006C6F80">
              <w:rPr>
                <w:color w:val="000000" w:themeColor="text1"/>
                <w:sz w:val="20"/>
                <w:szCs w:val="20"/>
              </w:rPr>
              <w:t>Total</w:t>
            </w:r>
          </w:p>
        </w:tc>
        <w:tc>
          <w:tcPr>
            <w:tcW w:w="1101" w:type="dxa"/>
            <w:tcBorders>
              <w:top w:val="nil"/>
              <w:left w:val="nil"/>
              <w:bottom w:val="single" w:sz="4" w:space="0" w:color="auto"/>
              <w:right w:val="nil"/>
            </w:tcBorders>
            <w:shd w:val="clear" w:color="auto" w:fill="auto"/>
            <w:noWrap/>
            <w:vAlign w:val="center"/>
            <w:hideMark/>
          </w:tcPr>
          <w:p w14:paraId="0B8E17F4" w14:textId="77777777" w:rsidR="00D00B97" w:rsidRPr="006C6F80" w:rsidRDefault="00D00B97">
            <w:pPr>
              <w:jc w:val="center"/>
              <w:rPr>
                <w:color w:val="000000" w:themeColor="text1"/>
                <w:sz w:val="20"/>
                <w:szCs w:val="20"/>
              </w:rPr>
            </w:pPr>
            <w:r w:rsidRPr="006C6F80">
              <w:rPr>
                <w:color w:val="000000" w:themeColor="text1"/>
                <w:sz w:val="20"/>
                <w:szCs w:val="20"/>
              </w:rPr>
              <w:t>17.090</w:t>
            </w:r>
          </w:p>
        </w:tc>
        <w:tc>
          <w:tcPr>
            <w:tcW w:w="2212" w:type="dxa"/>
            <w:tcBorders>
              <w:top w:val="nil"/>
              <w:left w:val="nil"/>
              <w:bottom w:val="single" w:sz="4" w:space="0" w:color="auto"/>
              <w:right w:val="nil"/>
            </w:tcBorders>
            <w:shd w:val="clear" w:color="auto" w:fill="auto"/>
            <w:noWrap/>
            <w:vAlign w:val="center"/>
            <w:hideMark/>
          </w:tcPr>
          <w:p w14:paraId="6539B299" w14:textId="77777777" w:rsidR="00D00B97" w:rsidRPr="006C6F80" w:rsidRDefault="00D00B97">
            <w:pPr>
              <w:jc w:val="center"/>
              <w:rPr>
                <w:color w:val="000000" w:themeColor="text1"/>
                <w:sz w:val="20"/>
                <w:szCs w:val="20"/>
              </w:rPr>
            </w:pPr>
            <w:r w:rsidRPr="006C6F80">
              <w:rPr>
                <w:color w:val="000000" w:themeColor="text1"/>
                <w:sz w:val="20"/>
                <w:szCs w:val="20"/>
              </w:rPr>
              <w:t>18.856</w:t>
            </w:r>
          </w:p>
        </w:tc>
        <w:tc>
          <w:tcPr>
            <w:tcW w:w="2252" w:type="dxa"/>
            <w:tcBorders>
              <w:top w:val="nil"/>
              <w:left w:val="nil"/>
              <w:bottom w:val="single" w:sz="4" w:space="0" w:color="auto"/>
              <w:right w:val="nil"/>
            </w:tcBorders>
            <w:shd w:val="clear" w:color="auto" w:fill="auto"/>
            <w:noWrap/>
            <w:vAlign w:val="center"/>
            <w:hideMark/>
          </w:tcPr>
          <w:p w14:paraId="718571F1" w14:textId="77777777" w:rsidR="00D00B97" w:rsidRPr="006C6F80" w:rsidRDefault="00D00B97">
            <w:pPr>
              <w:jc w:val="center"/>
              <w:rPr>
                <w:color w:val="000000" w:themeColor="text1"/>
                <w:sz w:val="20"/>
                <w:szCs w:val="20"/>
              </w:rPr>
            </w:pPr>
            <w:r w:rsidRPr="006C6F80">
              <w:rPr>
                <w:color w:val="000000" w:themeColor="text1"/>
                <w:sz w:val="20"/>
                <w:szCs w:val="20"/>
              </w:rPr>
              <w:t>13.771</w:t>
            </w:r>
          </w:p>
        </w:tc>
        <w:tc>
          <w:tcPr>
            <w:tcW w:w="2328" w:type="dxa"/>
            <w:tcBorders>
              <w:top w:val="nil"/>
              <w:left w:val="nil"/>
              <w:bottom w:val="single" w:sz="4" w:space="0" w:color="auto"/>
              <w:right w:val="nil"/>
            </w:tcBorders>
            <w:shd w:val="clear" w:color="auto" w:fill="auto"/>
            <w:noWrap/>
            <w:vAlign w:val="center"/>
            <w:hideMark/>
          </w:tcPr>
          <w:p w14:paraId="27712D01" w14:textId="77777777" w:rsidR="00D00B97" w:rsidRPr="006C6F80" w:rsidRDefault="00D00B97">
            <w:pPr>
              <w:jc w:val="center"/>
              <w:rPr>
                <w:color w:val="000000" w:themeColor="text1"/>
                <w:sz w:val="20"/>
                <w:szCs w:val="20"/>
              </w:rPr>
            </w:pPr>
            <w:r w:rsidRPr="006C6F80">
              <w:rPr>
                <w:color w:val="000000" w:themeColor="text1"/>
                <w:sz w:val="20"/>
                <w:szCs w:val="20"/>
              </w:rPr>
              <w:t>11.582</w:t>
            </w:r>
          </w:p>
        </w:tc>
        <w:tc>
          <w:tcPr>
            <w:tcW w:w="2368" w:type="dxa"/>
            <w:tcBorders>
              <w:top w:val="nil"/>
              <w:left w:val="nil"/>
              <w:bottom w:val="single" w:sz="4" w:space="0" w:color="auto"/>
              <w:right w:val="nil"/>
            </w:tcBorders>
            <w:shd w:val="clear" w:color="auto" w:fill="auto"/>
            <w:noWrap/>
            <w:vAlign w:val="center"/>
            <w:hideMark/>
          </w:tcPr>
          <w:p w14:paraId="3BD83BFB" w14:textId="77777777" w:rsidR="00D00B97" w:rsidRPr="006C6F80" w:rsidRDefault="00D00B97">
            <w:pPr>
              <w:jc w:val="center"/>
              <w:rPr>
                <w:color w:val="000000" w:themeColor="text1"/>
                <w:sz w:val="20"/>
                <w:szCs w:val="20"/>
              </w:rPr>
            </w:pPr>
            <w:r w:rsidRPr="006C6F80">
              <w:rPr>
                <w:color w:val="000000" w:themeColor="text1"/>
                <w:sz w:val="20"/>
                <w:szCs w:val="20"/>
              </w:rPr>
              <w:t>38.701</w:t>
            </w:r>
          </w:p>
        </w:tc>
        <w:tc>
          <w:tcPr>
            <w:tcW w:w="820" w:type="dxa"/>
            <w:tcBorders>
              <w:top w:val="nil"/>
              <w:left w:val="nil"/>
              <w:bottom w:val="single" w:sz="4" w:space="0" w:color="auto"/>
              <w:right w:val="nil"/>
            </w:tcBorders>
            <w:shd w:val="clear" w:color="auto" w:fill="auto"/>
            <w:noWrap/>
            <w:vAlign w:val="center"/>
            <w:hideMark/>
          </w:tcPr>
          <w:p w14:paraId="7181E3FF" w14:textId="77777777" w:rsidR="00D00B97" w:rsidRPr="006C6F80" w:rsidRDefault="00D00B97">
            <w:pPr>
              <w:jc w:val="center"/>
              <w:rPr>
                <w:color w:val="000000" w:themeColor="text1"/>
                <w:sz w:val="20"/>
                <w:szCs w:val="20"/>
              </w:rPr>
            </w:pPr>
            <w:r w:rsidRPr="006C6F80">
              <w:rPr>
                <w:color w:val="000000" w:themeColor="text1"/>
                <w:sz w:val="20"/>
                <w:szCs w:val="20"/>
              </w:rPr>
              <w:t>100.000</w:t>
            </w:r>
          </w:p>
        </w:tc>
      </w:tr>
      <w:tr w:rsidR="00D00B97" w:rsidRPr="006C6F80" w14:paraId="0F53D41E" w14:textId="77777777" w:rsidTr="00D00B97">
        <w:trPr>
          <w:trHeight w:val="320"/>
          <w:jc w:val="center"/>
        </w:trPr>
        <w:tc>
          <w:tcPr>
            <w:tcW w:w="13452" w:type="dxa"/>
            <w:gridSpan w:val="7"/>
            <w:tcBorders>
              <w:top w:val="nil"/>
              <w:left w:val="nil"/>
              <w:bottom w:val="single" w:sz="4" w:space="0" w:color="auto"/>
              <w:right w:val="nil"/>
            </w:tcBorders>
            <w:shd w:val="clear" w:color="auto" w:fill="auto"/>
            <w:noWrap/>
            <w:vAlign w:val="center"/>
            <w:hideMark/>
          </w:tcPr>
          <w:p w14:paraId="76B16A9C" w14:textId="77777777" w:rsidR="00D00B97" w:rsidRPr="006C6F80" w:rsidRDefault="00D00B97">
            <w:pPr>
              <w:jc w:val="center"/>
              <w:rPr>
                <w:b/>
                <w:bCs/>
                <w:color w:val="000000" w:themeColor="text1"/>
                <w:sz w:val="20"/>
                <w:szCs w:val="20"/>
              </w:rPr>
            </w:pPr>
            <w:r w:rsidRPr="006C6F80">
              <w:rPr>
                <w:b/>
                <w:bCs/>
                <w:color w:val="000000" w:themeColor="text1"/>
                <w:sz w:val="20"/>
                <w:szCs w:val="20"/>
              </w:rPr>
              <w:t>Panel B: Returnees (N=328)</w:t>
            </w:r>
          </w:p>
        </w:tc>
      </w:tr>
      <w:tr w:rsidR="00D00B97" w:rsidRPr="006C6F80" w14:paraId="2FBBF6F9" w14:textId="77777777" w:rsidTr="00D00B97">
        <w:trPr>
          <w:trHeight w:val="320"/>
          <w:jc w:val="center"/>
        </w:trPr>
        <w:tc>
          <w:tcPr>
            <w:tcW w:w="2368" w:type="dxa"/>
            <w:tcBorders>
              <w:top w:val="nil"/>
              <w:left w:val="nil"/>
              <w:bottom w:val="nil"/>
              <w:right w:val="nil"/>
            </w:tcBorders>
            <w:shd w:val="clear" w:color="auto" w:fill="auto"/>
            <w:noWrap/>
            <w:vAlign w:val="center"/>
            <w:hideMark/>
          </w:tcPr>
          <w:p w14:paraId="1DFD36AD" w14:textId="77777777" w:rsidR="00D00B97" w:rsidRPr="006C6F80" w:rsidRDefault="00D00B97">
            <w:pPr>
              <w:rPr>
                <w:color w:val="000000" w:themeColor="text1"/>
                <w:sz w:val="20"/>
                <w:szCs w:val="20"/>
              </w:rPr>
            </w:pPr>
            <w:r w:rsidRPr="006C6F80">
              <w:rPr>
                <w:color w:val="000000" w:themeColor="text1"/>
                <w:sz w:val="20"/>
                <w:szCs w:val="20"/>
              </w:rPr>
              <w:t>Agriculture</w:t>
            </w:r>
          </w:p>
        </w:tc>
        <w:tc>
          <w:tcPr>
            <w:tcW w:w="1101" w:type="dxa"/>
            <w:tcBorders>
              <w:top w:val="nil"/>
              <w:left w:val="nil"/>
              <w:bottom w:val="nil"/>
              <w:right w:val="nil"/>
            </w:tcBorders>
            <w:shd w:val="clear" w:color="auto" w:fill="auto"/>
            <w:noWrap/>
            <w:vAlign w:val="center"/>
            <w:hideMark/>
          </w:tcPr>
          <w:p w14:paraId="16275208" w14:textId="77777777" w:rsidR="00D00B97" w:rsidRPr="006C6F80" w:rsidRDefault="00D00B97">
            <w:pPr>
              <w:jc w:val="center"/>
              <w:rPr>
                <w:color w:val="000000" w:themeColor="text1"/>
                <w:sz w:val="20"/>
                <w:szCs w:val="20"/>
              </w:rPr>
            </w:pPr>
            <w:r w:rsidRPr="006C6F80">
              <w:rPr>
                <w:color w:val="000000" w:themeColor="text1"/>
                <w:sz w:val="20"/>
                <w:szCs w:val="20"/>
              </w:rPr>
              <w:t>21.646</w:t>
            </w:r>
          </w:p>
        </w:tc>
        <w:tc>
          <w:tcPr>
            <w:tcW w:w="2212" w:type="dxa"/>
            <w:tcBorders>
              <w:top w:val="nil"/>
              <w:left w:val="nil"/>
              <w:bottom w:val="nil"/>
              <w:right w:val="nil"/>
            </w:tcBorders>
            <w:shd w:val="clear" w:color="auto" w:fill="auto"/>
            <w:noWrap/>
            <w:vAlign w:val="center"/>
            <w:hideMark/>
          </w:tcPr>
          <w:p w14:paraId="7D82C5CF" w14:textId="77777777" w:rsidR="00D00B97" w:rsidRPr="006C6F80" w:rsidRDefault="00D00B97">
            <w:pPr>
              <w:jc w:val="center"/>
              <w:rPr>
                <w:color w:val="000000" w:themeColor="text1"/>
                <w:sz w:val="20"/>
                <w:szCs w:val="20"/>
              </w:rPr>
            </w:pPr>
            <w:r w:rsidRPr="006C6F80">
              <w:rPr>
                <w:color w:val="000000" w:themeColor="text1"/>
                <w:sz w:val="20"/>
                <w:szCs w:val="20"/>
              </w:rPr>
              <w:t>8.537</w:t>
            </w:r>
          </w:p>
        </w:tc>
        <w:tc>
          <w:tcPr>
            <w:tcW w:w="2252" w:type="dxa"/>
            <w:tcBorders>
              <w:top w:val="nil"/>
              <w:left w:val="nil"/>
              <w:bottom w:val="nil"/>
              <w:right w:val="nil"/>
            </w:tcBorders>
            <w:shd w:val="clear" w:color="auto" w:fill="auto"/>
            <w:noWrap/>
            <w:vAlign w:val="center"/>
            <w:hideMark/>
          </w:tcPr>
          <w:p w14:paraId="1CEB8C4A" w14:textId="77777777" w:rsidR="00D00B97" w:rsidRPr="006C6F80" w:rsidRDefault="00D00B97">
            <w:pPr>
              <w:jc w:val="center"/>
              <w:rPr>
                <w:color w:val="000000" w:themeColor="text1"/>
                <w:sz w:val="20"/>
                <w:szCs w:val="20"/>
              </w:rPr>
            </w:pPr>
            <w:r w:rsidRPr="006C6F80">
              <w:rPr>
                <w:color w:val="000000" w:themeColor="text1"/>
                <w:sz w:val="20"/>
                <w:szCs w:val="20"/>
              </w:rPr>
              <w:t>3.049</w:t>
            </w:r>
          </w:p>
        </w:tc>
        <w:tc>
          <w:tcPr>
            <w:tcW w:w="2328" w:type="dxa"/>
            <w:tcBorders>
              <w:top w:val="nil"/>
              <w:left w:val="nil"/>
              <w:bottom w:val="nil"/>
              <w:right w:val="nil"/>
            </w:tcBorders>
            <w:shd w:val="clear" w:color="auto" w:fill="auto"/>
            <w:noWrap/>
            <w:vAlign w:val="center"/>
            <w:hideMark/>
          </w:tcPr>
          <w:p w14:paraId="1371B08D" w14:textId="77777777" w:rsidR="00D00B97" w:rsidRPr="006C6F80" w:rsidRDefault="00D00B97">
            <w:pPr>
              <w:jc w:val="center"/>
              <w:rPr>
                <w:color w:val="000000" w:themeColor="text1"/>
                <w:sz w:val="20"/>
                <w:szCs w:val="20"/>
              </w:rPr>
            </w:pPr>
            <w:r w:rsidRPr="006C6F80">
              <w:rPr>
                <w:color w:val="000000" w:themeColor="text1"/>
                <w:sz w:val="20"/>
                <w:szCs w:val="20"/>
              </w:rPr>
              <w:t>2.744</w:t>
            </w:r>
          </w:p>
        </w:tc>
        <w:tc>
          <w:tcPr>
            <w:tcW w:w="2368" w:type="dxa"/>
            <w:tcBorders>
              <w:top w:val="nil"/>
              <w:left w:val="nil"/>
              <w:bottom w:val="nil"/>
              <w:right w:val="nil"/>
            </w:tcBorders>
            <w:shd w:val="clear" w:color="auto" w:fill="auto"/>
            <w:noWrap/>
            <w:vAlign w:val="center"/>
            <w:hideMark/>
          </w:tcPr>
          <w:p w14:paraId="0B8ED782" w14:textId="77777777" w:rsidR="00D00B97" w:rsidRPr="006C6F80" w:rsidRDefault="00D00B97">
            <w:pPr>
              <w:jc w:val="center"/>
              <w:rPr>
                <w:color w:val="000000" w:themeColor="text1"/>
                <w:sz w:val="20"/>
                <w:szCs w:val="20"/>
              </w:rPr>
            </w:pPr>
            <w:r w:rsidRPr="006C6F80">
              <w:rPr>
                <w:color w:val="000000" w:themeColor="text1"/>
                <w:sz w:val="20"/>
                <w:szCs w:val="20"/>
              </w:rPr>
              <w:t>7.012</w:t>
            </w:r>
          </w:p>
        </w:tc>
        <w:tc>
          <w:tcPr>
            <w:tcW w:w="820" w:type="dxa"/>
            <w:tcBorders>
              <w:top w:val="nil"/>
              <w:left w:val="nil"/>
              <w:bottom w:val="nil"/>
              <w:right w:val="nil"/>
            </w:tcBorders>
            <w:shd w:val="clear" w:color="auto" w:fill="auto"/>
            <w:noWrap/>
            <w:vAlign w:val="center"/>
            <w:hideMark/>
          </w:tcPr>
          <w:p w14:paraId="01EE583E" w14:textId="77777777" w:rsidR="00D00B97" w:rsidRPr="006C6F80" w:rsidRDefault="00D00B97">
            <w:pPr>
              <w:jc w:val="center"/>
              <w:rPr>
                <w:color w:val="000000" w:themeColor="text1"/>
                <w:sz w:val="20"/>
                <w:szCs w:val="20"/>
              </w:rPr>
            </w:pPr>
            <w:r w:rsidRPr="006C6F80">
              <w:rPr>
                <w:color w:val="000000" w:themeColor="text1"/>
                <w:sz w:val="20"/>
                <w:szCs w:val="20"/>
              </w:rPr>
              <w:t>42.988</w:t>
            </w:r>
          </w:p>
        </w:tc>
      </w:tr>
      <w:tr w:rsidR="00D00B97" w:rsidRPr="006C6F80" w14:paraId="676D7515" w14:textId="77777777" w:rsidTr="00D00B97">
        <w:trPr>
          <w:trHeight w:val="320"/>
          <w:jc w:val="center"/>
        </w:trPr>
        <w:tc>
          <w:tcPr>
            <w:tcW w:w="2368" w:type="dxa"/>
            <w:tcBorders>
              <w:top w:val="nil"/>
              <w:left w:val="nil"/>
              <w:bottom w:val="nil"/>
              <w:right w:val="nil"/>
            </w:tcBorders>
            <w:shd w:val="clear" w:color="auto" w:fill="auto"/>
            <w:noWrap/>
            <w:vAlign w:val="center"/>
            <w:hideMark/>
          </w:tcPr>
          <w:p w14:paraId="58FE8DFE" w14:textId="77777777" w:rsidR="00D00B97" w:rsidRPr="006C6F80" w:rsidRDefault="00D00B97">
            <w:pPr>
              <w:rPr>
                <w:color w:val="000000" w:themeColor="text1"/>
                <w:sz w:val="20"/>
                <w:szCs w:val="20"/>
              </w:rPr>
            </w:pPr>
            <w:r w:rsidRPr="006C6F80">
              <w:rPr>
                <w:color w:val="000000" w:themeColor="text1"/>
                <w:sz w:val="20"/>
                <w:szCs w:val="20"/>
              </w:rPr>
              <w:t>Low-skilled blue-collar</w:t>
            </w:r>
          </w:p>
        </w:tc>
        <w:tc>
          <w:tcPr>
            <w:tcW w:w="1101" w:type="dxa"/>
            <w:tcBorders>
              <w:top w:val="nil"/>
              <w:left w:val="nil"/>
              <w:bottom w:val="nil"/>
              <w:right w:val="nil"/>
            </w:tcBorders>
            <w:shd w:val="clear" w:color="auto" w:fill="auto"/>
            <w:noWrap/>
            <w:vAlign w:val="center"/>
            <w:hideMark/>
          </w:tcPr>
          <w:p w14:paraId="389A2A75" w14:textId="77777777" w:rsidR="00D00B97" w:rsidRPr="006C6F80" w:rsidRDefault="00D00B97">
            <w:pPr>
              <w:jc w:val="center"/>
              <w:rPr>
                <w:color w:val="000000" w:themeColor="text1"/>
                <w:sz w:val="20"/>
                <w:szCs w:val="20"/>
              </w:rPr>
            </w:pPr>
            <w:r w:rsidRPr="006C6F80">
              <w:rPr>
                <w:color w:val="000000" w:themeColor="text1"/>
                <w:sz w:val="20"/>
                <w:szCs w:val="20"/>
              </w:rPr>
              <w:t>0.305</w:t>
            </w:r>
          </w:p>
        </w:tc>
        <w:tc>
          <w:tcPr>
            <w:tcW w:w="2212" w:type="dxa"/>
            <w:tcBorders>
              <w:top w:val="nil"/>
              <w:left w:val="nil"/>
              <w:bottom w:val="nil"/>
              <w:right w:val="nil"/>
            </w:tcBorders>
            <w:shd w:val="clear" w:color="auto" w:fill="auto"/>
            <w:noWrap/>
            <w:vAlign w:val="center"/>
            <w:hideMark/>
          </w:tcPr>
          <w:p w14:paraId="0D5B9489" w14:textId="77777777" w:rsidR="00D00B97" w:rsidRPr="006C6F80" w:rsidRDefault="00D00B97">
            <w:pPr>
              <w:jc w:val="center"/>
              <w:rPr>
                <w:color w:val="000000" w:themeColor="text1"/>
                <w:sz w:val="20"/>
                <w:szCs w:val="20"/>
              </w:rPr>
            </w:pPr>
            <w:r w:rsidRPr="006C6F80">
              <w:rPr>
                <w:color w:val="000000" w:themeColor="text1"/>
                <w:sz w:val="20"/>
                <w:szCs w:val="20"/>
              </w:rPr>
              <w:t>2.439</w:t>
            </w:r>
          </w:p>
        </w:tc>
        <w:tc>
          <w:tcPr>
            <w:tcW w:w="2252" w:type="dxa"/>
            <w:tcBorders>
              <w:top w:val="nil"/>
              <w:left w:val="nil"/>
              <w:bottom w:val="nil"/>
              <w:right w:val="nil"/>
            </w:tcBorders>
            <w:shd w:val="clear" w:color="auto" w:fill="auto"/>
            <w:noWrap/>
            <w:vAlign w:val="center"/>
            <w:hideMark/>
          </w:tcPr>
          <w:p w14:paraId="0D5E10EF" w14:textId="77777777" w:rsidR="00D00B97" w:rsidRPr="006C6F80" w:rsidRDefault="00D00B97">
            <w:pPr>
              <w:jc w:val="center"/>
              <w:rPr>
                <w:color w:val="000000" w:themeColor="text1"/>
                <w:sz w:val="20"/>
                <w:szCs w:val="20"/>
              </w:rPr>
            </w:pPr>
            <w:r w:rsidRPr="006C6F80">
              <w:rPr>
                <w:color w:val="000000" w:themeColor="text1"/>
                <w:sz w:val="20"/>
                <w:szCs w:val="20"/>
              </w:rPr>
              <w:t>0.610</w:t>
            </w:r>
          </w:p>
        </w:tc>
        <w:tc>
          <w:tcPr>
            <w:tcW w:w="2328" w:type="dxa"/>
            <w:tcBorders>
              <w:top w:val="nil"/>
              <w:left w:val="nil"/>
              <w:bottom w:val="nil"/>
              <w:right w:val="nil"/>
            </w:tcBorders>
            <w:shd w:val="clear" w:color="auto" w:fill="auto"/>
            <w:noWrap/>
            <w:vAlign w:val="center"/>
            <w:hideMark/>
          </w:tcPr>
          <w:p w14:paraId="6CBC4709" w14:textId="77777777" w:rsidR="00D00B97" w:rsidRPr="006C6F80" w:rsidRDefault="00D00B97">
            <w:pPr>
              <w:jc w:val="center"/>
              <w:rPr>
                <w:color w:val="000000" w:themeColor="text1"/>
                <w:sz w:val="20"/>
                <w:szCs w:val="20"/>
              </w:rPr>
            </w:pPr>
            <w:r w:rsidRPr="006C6F80">
              <w:rPr>
                <w:color w:val="000000" w:themeColor="text1"/>
                <w:sz w:val="20"/>
                <w:szCs w:val="20"/>
              </w:rPr>
              <w:t>0.915</w:t>
            </w:r>
          </w:p>
        </w:tc>
        <w:tc>
          <w:tcPr>
            <w:tcW w:w="2368" w:type="dxa"/>
            <w:tcBorders>
              <w:top w:val="nil"/>
              <w:left w:val="nil"/>
              <w:bottom w:val="nil"/>
              <w:right w:val="nil"/>
            </w:tcBorders>
            <w:shd w:val="clear" w:color="auto" w:fill="auto"/>
            <w:noWrap/>
            <w:vAlign w:val="center"/>
            <w:hideMark/>
          </w:tcPr>
          <w:p w14:paraId="0DFE168A" w14:textId="77777777" w:rsidR="00D00B97" w:rsidRPr="006C6F80" w:rsidRDefault="00D00B97">
            <w:pPr>
              <w:jc w:val="center"/>
              <w:rPr>
                <w:color w:val="000000" w:themeColor="text1"/>
                <w:sz w:val="20"/>
                <w:szCs w:val="20"/>
              </w:rPr>
            </w:pPr>
            <w:r w:rsidRPr="006C6F80">
              <w:rPr>
                <w:color w:val="000000" w:themeColor="text1"/>
                <w:sz w:val="20"/>
                <w:szCs w:val="20"/>
              </w:rPr>
              <w:t>2.439</w:t>
            </w:r>
          </w:p>
        </w:tc>
        <w:tc>
          <w:tcPr>
            <w:tcW w:w="820" w:type="dxa"/>
            <w:tcBorders>
              <w:top w:val="nil"/>
              <w:left w:val="nil"/>
              <w:bottom w:val="nil"/>
              <w:right w:val="nil"/>
            </w:tcBorders>
            <w:shd w:val="clear" w:color="auto" w:fill="auto"/>
            <w:noWrap/>
            <w:vAlign w:val="center"/>
            <w:hideMark/>
          </w:tcPr>
          <w:p w14:paraId="67B35FC2" w14:textId="77777777" w:rsidR="00D00B97" w:rsidRPr="006C6F80" w:rsidRDefault="00D00B97">
            <w:pPr>
              <w:jc w:val="center"/>
              <w:rPr>
                <w:color w:val="000000" w:themeColor="text1"/>
                <w:sz w:val="20"/>
                <w:szCs w:val="20"/>
              </w:rPr>
            </w:pPr>
            <w:r w:rsidRPr="006C6F80">
              <w:rPr>
                <w:color w:val="000000" w:themeColor="text1"/>
                <w:sz w:val="20"/>
                <w:szCs w:val="20"/>
              </w:rPr>
              <w:t>6.707</w:t>
            </w:r>
          </w:p>
        </w:tc>
      </w:tr>
      <w:tr w:rsidR="00D00B97" w:rsidRPr="006C6F80" w14:paraId="36B0C29D" w14:textId="77777777" w:rsidTr="00D00B97">
        <w:trPr>
          <w:trHeight w:val="320"/>
          <w:jc w:val="center"/>
        </w:trPr>
        <w:tc>
          <w:tcPr>
            <w:tcW w:w="2368" w:type="dxa"/>
            <w:tcBorders>
              <w:top w:val="nil"/>
              <w:left w:val="nil"/>
              <w:bottom w:val="nil"/>
              <w:right w:val="nil"/>
            </w:tcBorders>
            <w:shd w:val="clear" w:color="auto" w:fill="auto"/>
            <w:noWrap/>
            <w:vAlign w:val="center"/>
            <w:hideMark/>
          </w:tcPr>
          <w:p w14:paraId="6D319E23" w14:textId="77777777" w:rsidR="00D00B97" w:rsidRPr="006C6F80" w:rsidRDefault="00D00B97">
            <w:pPr>
              <w:rPr>
                <w:color w:val="000000" w:themeColor="text1"/>
                <w:sz w:val="20"/>
                <w:szCs w:val="20"/>
              </w:rPr>
            </w:pPr>
            <w:r w:rsidRPr="006C6F80">
              <w:rPr>
                <w:color w:val="000000" w:themeColor="text1"/>
                <w:sz w:val="20"/>
                <w:szCs w:val="20"/>
              </w:rPr>
              <w:t>High-skilled blue-collar</w:t>
            </w:r>
          </w:p>
        </w:tc>
        <w:tc>
          <w:tcPr>
            <w:tcW w:w="1101" w:type="dxa"/>
            <w:tcBorders>
              <w:top w:val="nil"/>
              <w:left w:val="nil"/>
              <w:bottom w:val="nil"/>
              <w:right w:val="nil"/>
            </w:tcBorders>
            <w:shd w:val="clear" w:color="auto" w:fill="auto"/>
            <w:noWrap/>
            <w:vAlign w:val="center"/>
            <w:hideMark/>
          </w:tcPr>
          <w:p w14:paraId="238C9A0E" w14:textId="77777777" w:rsidR="00D00B97" w:rsidRPr="006C6F80" w:rsidRDefault="00D00B97">
            <w:pPr>
              <w:jc w:val="center"/>
              <w:rPr>
                <w:color w:val="000000" w:themeColor="text1"/>
                <w:sz w:val="20"/>
                <w:szCs w:val="20"/>
              </w:rPr>
            </w:pPr>
            <w:r w:rsidRPr="006C6F80">
              <w:rPr>
                <w:color w:val="000000" w:themeColor="text1"/>
                <w:sz w:val="20"/>
                <w:szCs w:val="20"/>
              </w:rPr>
              <w:t>1.524</w:t>
            </w:r>
          </w:p>
        </w:tc>
        <w:tc>
          <w:tcPr>
            <w:tcW w:w="2212" w:type="dxa"/>
            <w:tcBorders>
              <w:top w:val="nil"/>
              <w:left w:val="nil"/>
              <w:bottom w:val="nil"/>
              <w:right w:val="nil"/>
            </w:tcBorders>
            <w:shd w:val="clear" w:color="auto" w:fill="auto"/>
            <w:noWrap/>
            <w:vAlign w:val="center"/>
            <w:hideMark/>
          </w:tcPr>
          <w:p w14:paraId="63FECFF1" w14:textId="77777777" w:rsidR="00D00B97" w:rsidRPr="006C6F80" w:rsidRDefault="00D00B97">
            <w:pPr>
              <w:jc w:val="center"/>
              <w:rPr>
                <w:color w:val="000000" w:themeColor="text1"/>
                <w:sz w:val="20"/>
                <w:szCs w:val="20"/>
              </w:rPr>
            </w:pPr>
            <w:r w:rsidRPr="006C6F80">
              <w:rPr>
                <w:color w:val="000000" w:themeColor="text1"/>
                <w:sz w:val="20"/>
                <w:szCs w:val="20"/>
              </w:rPr>
              <w:t>4.573</w:t>
            </w:r>
          </w:p>
        </w:tc>
        <w:tc>
          <w:tcPr>
            <w:tcW w:w="2252" w:type="dxa"/>
            <w:tcBorders>
              <w:top w:val="nil"/>
              <w:left w:val="nil"/>
              <w:bottom w:val="nil"/>
              <w:right w:val="nil"/>
            </w:tcBorders>
            <w:shd w:val="clear" w:color="auto" w:fill="auto"/>
            <w:noWrap/>
            <w:vAlign w:val="center"/>
            <w:hideMark/>
          </w:tcPr>
          <w:p w14:paraId="417C4DFB" w14:textId="77777777" w:rsidR="00D00B97" w:rsidRPr="006C6F80" w:rsidRDefault="00D00B97">
            <w:pPr>
              <w:jc w:val="center"/>
              <w:rPr>
                <w:color w:val="000000" w:themeColor="text1"/>
                <w:sz w:val="20"/>
                <w:szCs w:val="20"/>
              </w:rPr>
            </w:pPr>
            <w:r w:rsidRPr="006C6F80">
              <w:rPr>
                <w:color w:val="000000" w:themeColor="text1"/>
                <w:sz w:val="20"/>
                <w:szCs w:val="20"/>
              </w:rPr>
              <w:t>13.720</w:t>
            </w:r>
          </w:p>
        </w:tc>
        <w:tc>
          <w:tcPr>
            <w:tcW w:w="2328" w:type="dxa"/>
            <w:tcBorders>
              <w:top w:val="nil"/>
              <w:left w:val="nil"/>
              <w:bottom w:val="nil"/>
              <w:right w:val="nil"/>
            </w:tcBorders>
            <w:shd w:val="clear" w:color="auto" w:fill="auto"/>
            <w:noWrap/>
            <w:vAlign w:val="center"/>
            <w:hideMark/>
          </w:tcPr>
          <w:p w14:paraId="58C87292" w14:textId="77777777" w:rsidR="00D00B97" w:rsidRPr="006C6F80" w:rsidRDefault="00D00B97">
            <w:pPr>
              <w:jc w:val="center"/>
              <w:rPr>
                <w:color w:val="000000" w:themeColor="text1"/>
                <w:sz w:val="20"/>
                <w:szCs w:val="20"/>
              </w:rPr>
            </w:pPr>
            <w:r w:rsidRPr="006C6F80">
              <w:rPr>
                <w:color w:val="000000" w:themeColor="text1"/>
                <w:sz w:val="20"/>
                <w:szCs w:val="20"/>
              </w:rPr>
              <w:t>3.963</w:t>
            </w:r>
          </w:p>
        </w:tc>
        <w:tc>
          <w:tcPr>
            <w:tcW w:w="2368" w:type="dxa"/>
            <w:tcBorders>
              <w:top w:val="nil"/>
              <w:left w:val="nil"/>
              <w:bottom w:val="nil"/>
              <w:right w:val="nil"/>
            </w:tcBorders>
            <w:shd w:val="clear" w:color="auto" w:fill="auto"/>
            <w:noWrap/>
            <w:vAlign w:val="center"/>
            <w:hideMark/>
          </w:tcPr>
          <w:p w14:paraId="1CE02375" w14:textId="77777777" w:rsidR="00D00B97" w:rsidRPr="006C6F80" w:rsidRDefault="00D00B97">
            <w:pPr>
              <w:jc w:val="center"/>
              <w:rPr>
                <w:color w:val="000000" w:themeColor="text1"/>
                <w:sz w:val="20"/>
                <w:szCs w:val="20"/>
              </w:rPr>
            </w:pPr>
            <w:r w:rsidRPr="006C6F80">
              <w:rPr>
                <w:color w:val="000000" w:themeColor="text1"/>
                <w:sz w:val="20"/>
                <w:szCs w:val="20"/>
              </w:rPr>
              <w:t>8.841</w:t>
            </w:r>
          </w:p>
        </w:tc>
        <w:tc>
          <w:tcPr>
            <w:tcW w:w="820" w:type="dxa"/>
            <w:tcBorders>
              <w:top w:val="nil"/>
              <w:left w:val="nil"/>
              <w:bottom w:val="nil"/>
              <w:right w:val="nil"/>
            </w:tcBorders>
            <w:shd w:val="clear" w:color="auto" w:fill="auto"/>
            <w:noWrap/>
            <w:vAlign w:val="center"/>
            <w:hideMark/>
          </w:tcPr>
          <w:p w14:paraId="5DBCFFDE" w14:textId="77777777" w:rsidR="00D00B97" w:rsidRPr="006C6F80" w:rsidRDefault="00D00B97">
            <w:pPr>
              <w:jc w:val="center"/>
              <w:rPr>
                <w:color w:val="000000" w:themeColor="text1"/>
                <w:sz w:val="20"/>
                <w:szCs w:val="20"/>
              </w:rPr>
            </w:pPr>
            <w:r w:rsidRPr="006C6F80">
              <w:rPr>
                <w:color w:val="000000" w:themeColor="text1"/>
                <w:sz w:val="20"/>
                <w:szCs w:val="20"/>
              </w:rPr>
              <w:t>32.622</w:t>
            </w:r>
          </w:p>
        </w:tc>
      </w:tr>
      <w:tr w:rsidR="00D00B97" w:rsidRPr="006C6F80" w14:paraId="39A2CCE5" w14:textId="77777777" w:rsidTr="00D00B97">
        <w:trPr>
          <w:trHeight w:val="320"/>
          <w:jc w:val="center"/>
        </w:trPr>
        <w:tc>
          <w:tcPr>
            <w:tcW w:w="2368" w:type="dxa"/>
            <w:tcBorders>
              <w:top w:val="nil"/>
              <w:left w:val="nil"/>
              <w:bottom w:val="nil"/>
              <w:right w:val="nil"/>
            </w:tcBorders>
            <w:shd w:val="clear" w:color="auto" w:fill="auto"/>
            <w:noWrap/>
            <w:vAlign w:val="center"/>
            <w:hideMark/>
          </w:tcPr>
          <w:p w14:paraId="3626C825" w14:textId="77777777" w:rsidR="00D00B97" w:rsidRPr="006C6F80" w:rsidRDefault="00D00B97">
            <w:pPr>
              <w:rPr>
                <w:color w:val="000000" w:themeColor="text1"/>
                <w:sz w:val="20"/>
                <w:szCs w:val="20"/>
              </w:rPr>
            </w:pPr>
            <w:r w:rsidRPr="006C6F80">
              <w:rPr>
                <w:color w:val="000000" w:themeColor="text1"/>
                <w:sz w:val="20"/>
                <w:szCs w:val="20"/>
              </w:rPr>
              <w:t>Low-skilled white-collar</w:t>
            </w:r>
          </w:p>
        </w:tc>
        <w:tc>
          <w:tcPr>
            <w:tcW w:w="1101" w:type="dxa"/>
            <w:tcBorders>
              <w:top w:val="nil"/>
              <w:left w:val="nil"/>
              <w:bottom w:val="nil"/>
              <w:right w:val="nil"/>
            </w:tcBorders>
            <w:shd w:val="clear" w:color="auto" w:fill="auto"/>
            <w:noWrap/>
            <w:vAlign w:val="center"/>
            <w:hideMark/>
          </w:tcPr>
          <w:p w14:paraId="08D8F562" w14:textId="77777777" w:rsidR="00D00B97" w:rsidRPr="006C6F80" w:rsidRDefault="00D00B97">
            <w:pPr>
              <w:jc w:val="center"/>
              <w:rPr>
                <w:color w:val="000000" w:themeColor="text1"/>
                <w:sz w:val="20"/>
                <w:szCs w:val="20"/>
              </w:rPr>
            </w:pPr>
            <w:r w:rsidRPr="006C6F80">
              <w:rPr>
                <w:color w:val="000000" w:themeColor="text1"/>
                <w:sz w:val="20"/>
                <w:szCs w:val="20"/>
              </w:rPr>
              <w:t>0.305</w:t>
            </w:r>
          </w:p>
        </w:tc>
        <w:tc>
          <w:tcPr>
            <w:tcW w:w="2212" w:type="dxa"/>
            <w:tcBorders>
              <w:top w:val="nil"/>
              <w:left w:val="nil"/>
              <w:bottom w:val="nil"/>
              <w:right w:val="nil"/>
            </w:tcBorders>
            <w:shd w:val="clear" w:color="auto" w:fill="auto"/>
            <w:noWrap/>
            <w:vAlign w:val="center"/>
            <w:hideMark/>
          </w:tcPr>
          <w:p w14:paraId="064A5E16" w14:textId="77777777" w:rsidR="00D00B97" w:rsidRPr="006C6F80" w:rsidRDefault="00D00B97">
            <w:pPr>
              <w:jc w:val="center"/>
              <w:rPr>
                <w:color w:val="000000" w:themeColor="text1"/>
                <w:sz w:val="20"/>
                <w:szCs w:val="20"/>
              </w:rPr>
            </w:pPr>
            <w:r w:rsidRPr="006C6F80">
              <w:rPr>
                <w:color w:val="000000" w:themeColor="text1"/>
                <w:sz w:val="20"/>
                <w:szCs w:val="20"/>
              </w:rPr>
              <w:t>0.610</w:t>
            </w:r>
          </w:p>
        </w:tc>
        <w:tc>
          <w:tcPr>
            <w:tcW w:w="2252" w:type="dxa"/>
            <w:tcBorders>
              <w:top w:val="nil"/>
              <w:left w:val="nil"/>
              <w:bottom w:val="nil"/>
              <w:right w:val="nil"/>
            </w:tcBorders>
            <w:shd w:val="clear" w:color="auto" w:fill="auto"/>
            <w:noWrap/>
            <w:vAlign w:val="center"/>
            <w:hideMark/>
          </w:tcPr>
          <w:p w14:paraId="6E082F48" w14:textId="77777777" w:rsidR="00D00B97" w:rsidRPr="006C6F80" w:rsidRDefault="00D00B97">
            <w:pPr>
              <w:jc w:val="center"/>
              <w:rPr>
                <w:color w:val="000000" w:themeColor="text1"/>
                <w:sz w:val="20"/>
                <w:szCs w:val="20"/>
              </w:rPr>
            </w:pPr>
            <w:r w:rsidRPr="006C6F80">
              <w:rPr>
                <w:color w:val="000000" w:themeColor="text1"/>
                <w:sz w:val="20"/>
                <w:szCs w:val="20"/>
              </w:rPr>
              <w:t>0.915</w:t>
            </w:r>
          </w:p>
        </w:tc>
        <w:tc>
          <w:tcPr>
            <w:tcW w:w="2328" w:type="dxa"/>
            <w:tcBorders>
              <w:top w:val="nil"/>
              <w:left w:val="nil"/>
              <w:bottom w:val="nil"/>
              <w:right w:val="nil"/>
            </w:tcBorders>
            <w:shd w:val="clear" w:color="auto" w:fill="auto"/>
            <w:noWrap/>
            <w:vAlign w:val="center"/>
            <w:hideMark/>
          </w:tcPr>
          <w:p w14:paraId="4B0ACD53" w14:textId="77777777" w:rsidR="00D00B97" w:rsidRPr="006C6F80" w:rsidRDefault="00D00B97">
            <w:pPr>
              <w:jc w:val="center"/>
              <w:rPr>
                <w:color w:val="000000" w:themeColor="text1"/>
                <w:sz w:val="20"/>
                <w:szCs w:val="20"/>
              </w:rPr>
            </w:pPr>
            <w:r w:rsidRPr="006C6F80">
              <w:rPr>
                <w:color w:val="000000" w:themeColor="text1"/>
                <w:sz w:val="20"/>
                <w:szCs w:val="20"/>
              </w:rPr>
              <w:t>1.829</w:t>
            </w:r>
          </w:p>
        </w:tc>
        <w:tc>
          <w:tcPr>
            <w:tcW w:w="2368" w:type="dxa"/>
            <w:tcBorders>
              <w:top w:val="nil"/>
              <w:left w:val="nil"/>
              <w:bottom w:val="nil"/>
              <w:right w:val="nil"/>
            </w:tcBorders>
            <w:shd w:val="clear" w:color="auto" w:fill="auto"/>
            <w:noWrap/>
            <w:vAlign w:val="center"/>
            <w:hideMark/>
          </w:tcPr>
          <w:p w14:paraId="7873BFD7" w14:textId="77777777" w:rsidR="00D00B97" w:rsidRPr="006C6F80" w:rsidRDefault="00D00B97">
            <w:pPr>
              <w:jc w:val="center"/>
              <w:rPr>
                <w:color w:val="000000" w:themeColor="text1"/>
                <w:sz w:val="20"/>
                <w:szCs w:val="20"/>
              </w:rPr>
            </w:pPr>
            <w:r w:rsidRPr="006C6F80">
              <w:rPr>
                <w:color w:val="000000" w:themeColor="text1"/>
                <w:sz w:val="20"/>
                <w:szCs w:val="20"/>
              </w:rPr>
              <w:t>4.268</w:t>
            </w:r>
          </w:p>
        </w:tc>
        <w:tc>
          <w:tcPr>
            <w:tcW w:w="820" w:type="dxa"/>
            <w:tcBorders>
              <w:top w:val="nil"/>
              <w:left w:val="nil"/>
              <w:bottom w:val="nil"/>
              <w:right w:val="nil"/>
            </w:tcBorders>
            <w:shd w:val="clear" w:color="auto" w:fill="auto"/>
            <w:noWrap/>
            <w:vAlign w:val="center"/>
            <w:hideMark/>
          </w:tcPr>
          <w:p w14:paraId="0B93A161" w14:textId="77777777" w:rsidR="00D00B97" w:rsidRPr="006C6F80" w:rsidRDefault="00D00B97">
            <w:pPr>
              <w:jc w:val="center"/>
              <w:rPr>
                <w:color w:val="000000" w:themeColor="text1"/>
                <w:sz w:val="20"/>
                <w:szCs w:val="20"/>
              </w:rPr>
            </w:pPr>
            <w:r w:rsidRPr="006C6F80">
              <w:rPr>
                <w:color w:val="000000" w:themeColor="text1"/>
                <w:sz w:val="20"/>
                <w:szCs w:val="20"/>
              </w:rPr>
              <w:t>7.927</w:t>
            </w:r>
          </w:p>
        </w:tc>
      </w:tr>
      <w:tr w:rsidR="00D00B97" w:rsidRPr="006C6F80" w14:paraId="140B3D0F" w14:textId="77777777" w:rsidTr="00D00B97">
        <w:trPr>
          <w:trHeight w:val="320"/>
          <w:jc w:val="center"/>
        </w:trPr>
        <w:tc>
          <w:tcPr>
            <w:tcW w:w="2368" w:type="dxa"/>
            <w:tcBorders>
              <w:top w:val="nil"/>
              <w:left w:val="nil"/>
              <w:bottom w:val="nil"/>
              <w:right w:val="nil"/>
            </w:tcBorders>
            <w:shd w:val="clear" w:color="auto" w:fill="auto"/>
            <w:noWrap/>
            <w:vAlign w:val="center"/>
            <w:hideMark/>
          </w:tcPr>
          <w:p w14:paraId="359B520C" w14:textId="77777777" w:rsidR="00D00B97" w:rsidRPr="006C6F80" w:rsidRDefault="00D00B97">
            <w:pPr>
              <w:rPr>
                <w:color w:val="000000" w:themeColor="text1"/>
                <w:sz w:val="20"/>
                <w:szCs w:val="20"/>
              </w:rPr>
            </w:pPr>
            <w:r w:rsidRPr="006C6F80">
              <w:rPr>
                <w:color w:val="000000" w:themeColor="text1"/>
                <w:sz w:val="20"/>
                <w:szCs w:val="20"/>
              </w:rPr>
              <w:t>High-skilled white-collar</w:t>
            </w:r>
          </w:p>
        </w:tc>
        <w:tc>
          <w:tcPr>
            <w:tcW w:w="1101" w:type="dxa"/>
            <w:tcBorders>
              <w:top w:val="nil"/>
              <w:left w:val="nil"/>
              <w:bottom w:val="nil"/>
              <w:right w:val="nil"/>
            </w:tcBorders>
            <w:shd w:val="clear" w:color="auto" w:fill="auto"/>
            <w:noWrap/>
            <w:vAlign w:val="center"/>
            <w:hideMark/>
          </w:tcPr>
          <w:p w14:paraId="22A75C92" w14:textId="77777777" w:rsidR="00D00B97" w:rsidRPr="006C6F80" w:rsidRDefault="00D00B97">
            <w:pPr>
              <w:jc w:val="center"/>
              <w:rPr>
                <w:color w:val="000000" w:themeColor="text1"/>
                <w:sz w:val="20"/>
                <w:szCs w:val="20"/>
              </w:rPr>
            </w:pPr>
            <w:r w:rsidRPr="006C6F80">
              <w:rPr>
                <w:color w:val="000000" w:themeColor="text1"/>
                <w:sz w:val="20"/>
                <w:szCs w:val="20"/>
              </w:rPr>
              <w:t>0.000</w:t>
            </w:r>
          </w:p>
        </w:tc>
        <w:tc>
          <w:tcPr>
            <w:tcW w:w="2212" w:type="dxa"/>
            <w:tcBorders>
              <w:top w:val="nil"/>
              <w:left w:val="nil"/>
              <w:bottom w:val="nil"/>
              <w:right w:val="nil"/>
            </w:tcBorders>
            <w:shd w:val="clear" w:color="auto" w:fill="auto"/>
            <w:noWrap/>
            <w:vAlign w:val="center"/>
            <w:hideMark/>
          </w:tcPr>
          <w:p w14:paraId="09970816" w14:textId="77777777" w:rsidR="00D00B97" w:rsidRPr="006C6F80" w:rsidRDefault="00D00B97">
            <w:pPr>
              <w:jc w:val="center"/>
              <w:rPr>
                <w:color w:val="000000" w:themeColor="text1"/>
                <w:sz w:val="20"/>
                <w:szCs w:val="20"/>
              </w:rPr>
            </w:pPr>
            <w:r w:rsidRPr="006C6F80">
              <w:rPr>
                <w:color w:val="000000" w:themeColor="text1"/>
                <w:sz w:val="20"/>
                <w:szCs w:val="20"/>
              </w:rPr>
              <w:t>0.915</w:t>
            </w:r>
          </w:p>
        </w:tc>
        <w:tc>
          <w:tcPr>
            <w:tcW w:w="2252" w:type="dxa"/>
            <w:tcBorders>
              <w:top w:val="nil"/>
              <w:left w:val="nil"/>
              <w:bottom w:val="nil"/>
              <w:right w:val="nil"/>
            </w:tcBorders>
            <w:shd w:val="clear" w:color="auto" w:fill="auto"/>
            <w:noWrap/>
            <w:vAlign w:val="center"/>
            <w:hideMark/>
          </w:tcPr>
          <w:p w14:paraId="021DEC91" w14:textId="77777777" w:rsidR="00D00B97" w:rsidRPr="006C6F80" w:rsidRDefault="00D00B97">
            <w:pPr>
              <w:jc w:val="center"/>
              <w:rPr>
                <w:color w:val="000000" w:themeColor="text1"/>
                <w:sz w:val="20"/>
                <w:szCs w:val="20"/>
              </w:rPr>
            </w:pPr>
            <w:r w:rsidRPr="006C6F80">
              <w:rPr>
                <w:color w:val="000000" w:themeColor="text1"/>
                <w:sz w:val="20"/>
                <w:szCs w:val="20"/>
              </w:rPr>
              <w:t>0.000</w:t>
            </w:r>
          </w:p>
        </w:tc>
        <w:tc>
          <w:tcPr>
            <w:tcW w:w="2328" w:type="dxa"/>
            <w:tcBorders>
              <w:top w:val="nil"/>
              <w:left w:val="nil"/>
              <w:bottom w:val="nil"/>
              <w:right w:val="nil"/>
            </w:tcBorders>
            <w:shd w:val="clear" w:color="auto" w:fill="auto"/>
            <w:noWrap/>
            <w:vAlign w:val="center"/>
            <w:hideMark/>
          </w:tcPr>
          <w:p w14:paraId="51092F79" w14:textId="77777777" w:rsidR="00D00B97" w:rsidRPr="006C6F80" w:rsidRDefault="00D00B97">
            <w:pPr>
              <w:jc w:val="center"/>
              <w:rPr>
                <w:color w:val="000000" w:themeColor="text1"/>
                <w:sz w:val="20"/>
                <w:szCs w:val="20"/>
              </w:rPr>
            </w:pPr>
            <w:r w:rsidRPr="006C6F80">
              <w:rPr>
                <w:color w:val="000000" w:themeColor="text1"/>
                <w:sz w:val="20"/>
                <w:szCs w:val="20"/>
              </w:rPr>
              <w:t>0.000</w:t>
            </w:r>
          </w:p>
        </w:tc>
        <w:tc>
          <w:tcPr>
            <w:tcW w:w="2368" w:type="dxa"/>
            <w:tcBorders>
              <w:top w:val="nil"/>
              <w:left w:val="nil"/>
              <w:bottom w:val="nil"/>
              <w:right w:val="nil"/>
            </w:tcBorders>
            <w:shd w:val="clear" w:color="auto" w:fill="auto"/>
            <w:noWrap/>
            <w:vAlign w:val="center"/>
            <w:hideMark/>
          </w:tcPr>
          <w:p w14:paraId="686F02A8" w14:textId="77777777" w:rsidR="00D00B97" w:rsidRPr="006C6F80" w:rsidRDefault="00D00B97">
            <w:pPr>
              <w:jc w:val="center"/>
              <w:rPr>
                <w:color w:val="000000" w:themeColor="text1"/>
                <w:sz w:val="20"/>
                <w:szCs w:val="20"/>
              </w:rPr>
            </w:pPr>
            <w:r w:rsidRPr="006C6F80">
              <w:rPr>
                <w:color w:val="000000" w:themeColor="text1"/>
                <w:sz w:val="20"/>
                <w:szCs w:val="20"/>
              </w:rPr>
              <w:t>8.841</w:t>
            </w:r>
          </w:p>
        </w:tc>
        <w:tc>
          <w:tcPr>
            <w:tcW w:w="820" w:type="dxa"/>
            <w:tcBorders>
              <w:top w:val="nil"/>
              <w:left w:val="nil"/>
              <w:bottom w:val="nil"/>
              <w:right w:val="nil"/>
            </w:tcBorders>
            <w:shd w:val="clear" w:color="auto" w:fill="auto"/>
            <w:noWrap/>
            <w:vAlign w:val="center"/>
            <w:hideMark/>
          </w:tcPr>
          <w:p w14:paraId="05C5E5BD" w14:textId="77777777" w:rsidR="00D00B97" w:rsidRPr="006C6F80" w:rsidRDefault="00D00B97">
            <w:pPr>
              <w:jc w:val="center"/>
              <w:rPr>
                <w:color w:val="000000" w:themeColor="text1"/>
                <w:sz w:val="20"/>
                <w:szCs w:val="20"/>
              </w:rPr>
            </w:pPr>
            <w:r w:rsidRPr="006C6F80">
              <w:rPr>
                <w:color w:val="000000" w:themeColor="text1"/>
                <w:sz w:val="20"/>
                <w:szCs w:val="20"/>
              </w:rPr>
              <w:t>9.756</w:t>
            </w:r>
          </w:p>
        </w:tc>
      </w:tr>
      <w:tr w:rsidR="00D00B97" w:rsidRPr="006C6F80" w14:paraId="6C73E376" w14:textId="77777777" w:rsidTr="00D00B97">
        <w:trPr>
          <w:trHeight w:val="320"/>
          <w:jc w:val="center"/>
        </w:trPr>
        <w:tc>
          <w:tcPr>
            <w:tcW w:w="2368" w:type="dxa"/>
            <w:tcBorders>
              <w:top w:val="nil"/>
              <w:left w:val="nil"/>
              <w:bottom w:val="single" w:sz="4" w:space="0" w:color="auto"/>
              <w:right w:val="nil"/>
            </w:tcBorders>
            <w:shd w:val="clear" w:color="auto" w:fill="auto"/>
            <w:noWrap/>
            <w:vAlign w:val="center"/>
            <w:hideMark/>
          </w:tcPr>
          <w:p w14:paraId="0E32212C" w14:textId="77777777" w:rsidR="00D00B97" w:rsidRPr="006C6F80" w:rsidRDefault="00D00B97">
            <w:pPr>
              <w:rPr>
                <w:color w:val="000000" w:themeColor="text1"/>
                <w:sz w:val="20"/>
                <w:szCs w:val="20"/>
              </w:rPr>
            </w:pPr>
            <w:r w:rsidRPr="006C6F80">
              <w:rPr>
                <w:color w:val="000000" w:themeColor="text1"/>
                <w:sz w:val="20"/>
                <w:szCs w:val="20"/>
              </w:rPr>
              <w:t>Total</w:t>
            </w:r>
          </w:p>
        </w:tc>
        <w:tc>
          <w:tcPr>
            <w:tcW w:w="1101" w:type="dxa"/>
            <w:tcBorders>
              <w:top w:val="nil"/>
              <w:left w:val="nil"/>
              <w:bottom w:val="single" w:sz="4" w:space="0" w:color="auto"/>
              <w:right w:val="nil"/>
            </w:tcBorders>
            <w:shd w:val="clear" w:color="auto" w:fill="auto"/>
            <w:noWrap/>
            <w:vAlign w:val="center"/>
            <w:hideMark/>
          </w:tcPr>
          <w:p w14:paraId="342F5BB8" w14:textId="77777777" w:rsidR="00D00B97" w:rsidRPr="006C6F80" w:rsidRDefault="00D00B97">
            <w:pPr>
              <w:jc w:val="center"/>
              <w:rPr>
                <w:color w:val="000000" w:themeColor="text1"/>
                <w:sz w:val="20"/>
                <w:szCs w:val="20"/>
              </w:rPr>
            </w:pPr>
            <w:r w:rsidRPr="006C6F80">
              <w:rPr>
                <w:color w:val="000000" w:themeColor="text1"/>
                <w:sz w:val="20"/>
                <w:szCs w:val="20"/>
              </w:rPr>
              <w:t>23.780</w:t>
            </w:r>
          </w:p>
        </w:tc>
        <w:tc>
          <w:tcPr>
            <w:tcW w:w="2212" w:type="dxa"/>
            <w:tcBorders>
              <w:top w:val="nil"/>
              <w:left w:val="nil"/>
              <w:bottom w:val="single" w:sz="4" w:space="0" w:color="auto"/>
              <w:right w:val="nil"/>
            </w:tcBorders>
            <w:shd w:val="clear" w:color="auto" w:fill="auto"/>
            <w:noWrap/>
            <w:vAlign w:val="center"/>
            <w:hideMark/>
          </w:tcPr>
          <w:p w14:paraId="17DE674E" w14:textId="77777777" w:rsidR="00D00B97" w:rsidRPr="006C6F80" w:rsidRDefault="00D00B97">
            <w:pPr>
              <w:jc w:val="center"/>
              <w:rPr>
                <w:color w:val="000000" w:themeColor="text1"/>
                <w:sz w:val="20"/>
                <w:szCs w:val="20"/>
              </w:rPr>
            </w:pPr>
            <w:r w:rsidRPr="006C6F80">
              <w:rPr>
                <w:color w:val="000000" w:themeColor="text1"/>
                <w:sz w:val="20"/>
                <w:szCs w:val="20"/>
              </w:rPr>
              <w:t>17.073</w:t>
            </w:r>
          </w:p>
        </w:tc>
        <w:tc>
          <w:tcPr>
            <w:tcW w:w="2252" w:type="dxa"/>
            <w:tcBorders>
              <w:top w:val="nil"/>
              <w:left w:val="nil"/>
              <w:bottom w:val="single" w:sz="4" w:space="0" w:color="auto"/>
              <w:right w:val="nil"/>
            </w:tcBorders>
            <w:shd w:val="clear" w:color="auto" w:fill="auto"/>
            <w:noWrap/>
            <w:vAlign w:val="center"/>
            <w:hideMark/>
          </w:tcPr>
          <w:p w14:paraId="4A2DDD6C" w14:textId="77777777" w:rsidR="00D00B97" w:rsidRPr="006C6F80" w:rsidRDefault="00D00B97">
            <w:pPr>
              <w:jc w:val="center"/>
              <w:rPr>
                <w:color w:val="000000" w:themeColor="text1"/>
                <w:sz w:val="20"/>
                <w:szCs w:val="20"/>
              </w:rPr>
            </w:pPr>
            <w:r w:rsidRPr="006C6F80">
              <w:rPr>
                <w:color w:val="000000" w:themeColor="text1"/>
                <w:sz w:val="20"/>
                <w:szCs w:val="20"/>
              </w:rPr>
              <w:t>18.293</w:t>
            </w:r>
          </w:p>
        </w:tc>
        <w:tc>
          <w:tcPr>
            <w:tcW w:w="2328" w:type="dxa"/>
            <w:tcBorders>
              <w:top w:val="nil"/>
              <w:left w:val="nil"/>
              <w:bottom w:val="single" w:sz="4" w:space="0" w:color="auto"/>
              <w:right w:val="nil"/>
            </w:tcBorders>
            <w:shd w:val="clear" w:color="auto" w:fill="auto"/>
            <w:noWrap/>
            <w:vAlign w:val="center"/>
            <w:hideMark/>
          </w:tcPr>
          <w:p w14:paraId="5C945A04" w14:textId="77777777" w:rsidR="00D00B97" w:rsidRPr="006C6F80" w:rsidRDefault="00D00B97">
            <w:pPr>
              <w:jc w:val="center"/>
              <w:rPr>
                <w:color w:val="000000" w:themeColor="text1"/>
                <w:sz w:val="20"/>
                <w:szCs w:val="20"/>
              </w:rPr>
            </w:pPr>
            <w:r w:rsidRPr="006C6F80">
              <w:rPr>
                <w:color w:val="000000" w:themeColor="text1"/>
                <w:sz w:val="20"/>
                <w:szCs w:val="20"/>
              </w:rPr>
              <w:t>9.451</w:t>
            </w:r>
          </w:p>
        </w:tc>
        <w:tc>
          <w:tcPr>
            <w:tcW w:w="2368" w:type="dxa"/>
            <w:tcBorders>
              <w:top w:val="nil"/>
              <w:left w:val="nil"/>
              <w:bottom w:val="single" w:sz="4" w:space="0" w:color="auto"/>
              <w:right w:val="nil"/>
            </w:tcBorders>
            <w:shd w:val="clear" w:color="auto" w:fill="auto"/>
            <w:noWrap/>
            <w:vAlign w:val="center"/>
            <w:hideMark/>
          </w:tcPr>
          <w:p w14:paraId="424E26DE" w14:textId="77777777" w:rsidR="00D00B97" w:rsidRPr="006C6F80" w:rsidRDefault="00D00B97">
            <w:pPr>
              <w:jc w:val="center"/>
              <w:rPr>
                <w:color w:val="000000" w:themeColor="text1"/>
                <w:sz w:val="20"/>
                <w:szCs w:val="20"/>
              </w:rPr>
            </w:pPr>
            <w:r w:rsidRPr="006C6F80">
              <w:rPr>
                <w:color w:val="000000" w:themeColor="text1"/>
                <w:sz w:val="20"/>
                <w:szCs w:val="20"/>
              </w:rPr>
              <w:t>31.402</w:t>
            </w:r>
          </w:p>
        </w:tc>
        <w:tc>
          <w:tcPr>
            <w:tcW w:w="820" w:type="dxa"/>
            <w:tcBorders>
              <w:top w:val="nil"/>
              <w:left w:val="nil"/>
              <w:bottom w:val="single" w:sz="4" w:space="0" w:color="auto"/>
              <w:right w:val="nil"/>
            </w:tcBorders>
            <w:shd w:val="clear" w:color="auto" w:fill="auto"/>
            <w:noWrap/>
            <w:vAlign w:val="center"/>
            <w:hideMark/>
          </w:tcPr>
          <w:p w14:paraId="4B35DD34" w14:textId="77777777" w:rsidR="00D00B97" w:rsidRPr="006C6F80" w:rsidRDefault="00D00B97">
            <w:pPr>
              <w:jc w:val="center"/>
              <w:rPr>
                <w:color w:val="000000" w:themeColor="text1"/>
                <w:sz w:val="20"/>
                <w:szCs w:val="20"/>
              </w:rPr>
            </w:pPr>
            <w:r w:rsidRPr="006C6F80">
              <w:rPr>
                <w:color w:val="000000" w:themeColor="text1"/>
                <w:sz w:val="20"/>
                <w:szCs w:val="20"/>
              </w:rPr>
              <w:t>100.000</w:t>
            </w:r>
          </w:p>
        </w:tc>
      </w:tr>
    </w:tbl>
    <w:p w14:paraId="4E1DF44D" w14:textId="4C820192" w:rsidR="00FD289B" w:rsidRPr="006C6F80" w:rsidRDefault="00FD289B" w:rsidP="00D00B97">
      <w:pPr>
        <w:ind w:left="-180" w:right="-270"/>
        <w:jc w:val="both"/>
        <w:rPr>
          <w:rFonts w:asciiTheme="majorBidi" w:hAnsiTheme="majorBidi" w:cstheme="majorBidi"/>
          <w:color w:val="000000" w:themeColor="text1"/>
          <w:sz w:val="18"/>
          <w:szCs w:val="18"/>
        </w:rPr>
      </w:pPr>
      <w:r w:rsidRPr="006C6F80">
        <w:rPr>
          <w:rFonts w:asciiTheme="majorBidi" w:hAnsiTheme="majorBidi" w:cstheme="majorBidi"/>
          <w:i/>
          <w:iCs/>
          <w:color w:val="000000" w:themeColor="text1"/>
          <w:sz w:val="18"/>
          <w:szCs w:val="18"/>
        </w:rPr>
        <w:t xml:space="preserve">Notes. </w:t>
      </w:r>
      <w:r w:rsidRPr="006C6F80">
        <w:rPr>
          <w:rFonts w:asciiTheme="majorBidi" w:hAnsiTheme="majorBidi" w:cstheme="majorBidi"/>
          <w:color w:val="000000" w:themeColor="text1"/>
          <w:sz w:val="18"/>
          <w:szCs w:val="18"/>
        </w:rPr>
        <w:t xml:space="preserve">The diagonal cells represent the percentage of individuals who stayed in the same occupational category between the first job and the job in 2010. The cells above the diagonal represent the percentage of individuals who witnessed upward mobility, whereas the cells below the diagonal represent the percentage of individuals who witnessed downward mobility. </w:t>
      </w:r>
    </w:p>
    <w:p w14:paraId="49F185EE" w14:textId="77777777" w:rsidR="00696270" w:rsidRPr="006C6F80" w:rsidRDefault="00696270" w:rsidP="00B73A0A">
      <w:pPr>
        <w:ind w:left="-720" w:right="-810"/>
        <w:jc w:val="both"/>
        <w:rPr>
          <w:rFonts w:asciiTheme="majorBidi" w:hAnsiTheme="majorBidi" w:cstheme="majorBidi"/>
          <w:color w:val="000000" w:themeColor="text1"/>
          <w:sz w:val="18"/>
          <w:szCs w:val="18"/>
        </w:rPr>
      </w:pPr>
    </w:p>
    <w:p w14:paraId="51ABE110" w14:textId="77777777" w:rsidR="00696270" w:rsidRPr="006C6F80" w:rsidRDefault="00696270" w:rsidP="00B73A0A">
      <w:pPr>
        <w:ind w:left="-720" w:right="-810"/>
        <w:jc w:val="both"/>
        <w:rPr>
          <w:rFonts w:asciiTheme="majorBidi" w:hAnsiTheme="majorBidi" w:cstheme="majorBidi"/>
          <w:color w:val="000000" w:themeColor="text1"/>
          <w:sz w:val="18"/>
          <w:szCs w:val="18"/>
        </w:rPr>
      </w:pPr>
    </w:p>
    <w:p w14:paraId="49E60857" w14:textId="77777777" w:rsidR="00696270" w:rsidRPr="006C6F80" w:rsidRDefault="00696270" w:rsidP="00B73A0A">
      <w:pPr>
        <w:ind w:left="-720" w:right="-810"/>
        <w:jc w:val="both"/>
        <w:rPr>
          <w:rFonts w:asciiTheme="majorBidi" w:hAnsiTheme="majorBidi" w:cstheme="majorBidi"/>
          <w:color w:val="000000" w:themeColor="text1"/>
          <w:sz w:val="18"/>
          <w:szCs w:val="18"/>
        </w:rPr>
      </w:pPr>
    </w:p>
    <w:p w14:paraId="18DAD02B" w14:textId="77777777" w:rsidR="00696270" w:rsidRPr="006C6F80" w:rsidRDefault="00696270" w:rsidP="00B73A0A">
      <w:pPr>
        <w:ind w:left="-720" w:right="-810"/>
        <w:jc w:val="both"/>
        <w:rPr>
          <w:rFonts w:asciiTheme="majorBidi" w:hAnsiTheme="majorBidi" w:cstheme="majorBidi"/>
          <w:color w:val="000000" w:themeColor="text1"/>
          <w:sz w:val="18"/>
          <w:szCs w:val="18"/>
        </w:rPr>
      </w:pPr>
    </w:p>
    <w:p w14:paraId="1D70BDF1" w14:textId="77777777" w:rsidR="00696270" w:rsidRPr="006C6F80" w:rsidRDefault="00696270" w:rsidP="00B73A0A">
      <w:pPr>
        <w:ind w:left="-720" w:right="-810"/>
        <w:jc w:val="both"/>
        <w:rPr>
          <w:rFonts w:asciiTheme="majorBidi" w:hAnsiTheme="majorBidi" w:cstheme="majorBidi"/>
          <w:color w:val="000000" w:themeColor="text1"/>
          <w:sz w:val="18"/>
          <w:szCs w:val="18"/>
        </w:rPr>
      </w:pPr>
    </w:p>
    <w:p w14:paraId="0933827F" w14:textId="77777777" w:rsidR="00696270" w:rsidRPr="006C6F80" w:rsidRDefault="00696270" w:rsidP="00B73A0A">
      <w:pPr>
        <w:ind w:left="-720" w:right="-810"/>
        <w:jc w:val="both"/>
        <w:rPr>
          <w:rFonts w:asciiTheme="majorBidi" w:hAnsiTheme="majorBidi" w:cstheme="majorBidi"/>
          <w:color w:val="000000" w:themeColor="text1"/>
          <w:sz w:val="18"/>
          <w:szCs w:val="18"/>
        </w:rPr>
      </w:pPr>
    </w:p>
    <w:p w14:paraId="7E276456" w14:textId="77777777" w:rsidR="00124BB5" w:rsidRPr="006C6F80" w:rsidRDefault="00124BB5" w:rsidP="00420994">
      <w:pPr>
        <w:ind w:right="-810"/>
        <w:jc w:val="both"/>
        <w:rPr>
          <w:rFonts w:asciiTheme="majorBidi" w:hAnsiTheme="majorBidi" w:cstheme="majorBidi"/>
          <w:color w:val="000000" w:themeColor="text1"/>
          <w:sz w:val="18"/>
          <w:szCs w:val="18"/>
        </w:rPr>
        <w:sectPr w:rsidR="00124BB5" w:rsidRPr="006C6F80" w:rsidSect="005563F6">
          <w:footerReference w:type="default" r:id="rId12"/>
          <w:pgSz w:w="15840" w:h="12240" w:orient="landscape"/>
          <w:pgMar w:top="1440" w:right="1440" w:bottom="1440" w:left="1440" w:header="720" w:footer="720" w:gutter="0"/>
          <w:cols w:space="720"/>
          <w:docGrid w:linePitch="360"/>
        </w:sectPr>
      </w:pPr>
    </w:p>
    <w:tbl>
      <w:tblPr>
        <w:tblW w:w="6340" w:type="dxa"/>
        <w:jc w:val="center"/>
        <w:tblLook w:val="04A0" w:firstRow="1" w:lastRow="0" w:firstColumn="1" w:lastColumn="0" w:noHBand="0" w:noVBand="1"/>
      </w:tblPr>
      <w:tblGrid>
        <w:gridCol w:w="2134"/>
        <w:gridCol w:w="1402"/>
        <w:gridCol w:w="1402"/>
        <w:gridCol w:w="1402"/>
      </w:tblGrid>
      <w:tr w:rsidR="000D556F" w:rsidRPr="006C6F80" w14:paraId="7477AE48" w14:textId="77777777" w:rsidTr="000D556F">
        <w:trPr>
          <w:trHeight w:val="260"/>
          <w:jc w:val="center"/>
        </w:trPr>
        <w:tc>
          <w:tcPr>
            <w:tcW w:w="6340" w:type="dxa"/>
            <w:gridSpan w:val="4"/>
            <w:tcBorders>
              <w:top w:val="nil"/>
              <w:left w:val="nil"/>
              <w:bottom w:val="single" w:sz="4" w:space="0" w:color="auto"/>
              <w:right w:val="nil"/>
            </w:tcBorders>
            <w:shd w:val="clear" w:color="auto" w:fill="auto"/>
            <w:noWrap/>
            <w:vAlign w:val="bottom"/>
            <w:hideMark/>
          </w:tcPr>
          <w:p w14:paraId="2C31257B" w14:textId="77777777" w:rsidR="000D556F" w:rsidRPr="006C6F80" w:rsidRDefault="000D556F" w:rsidP="000D556F">
            <w:pPr>
              <w:jc w:val="center"/>
              <w:rPr>
                <w:b/>
                <w:bCs/>
                <w:color w:val="000000" w:themeColor="text1"/>
                <w:sz w:val="20"/>
                <w:szCs w:val="20"/>
              </w:rPr>
            </w:pPr>
            <w:r w:rsidRPr="006C6F80">
              <w:rPr>
                <w:b/>
                <w:bCs/>
                <w:color w:val="000000" w:themeColor="text1"/>
                <w:sz w:val="20"/>
                <w:szCs w:val="20"/>
              </w:rPr>
              <w:lastRenderedPageBreak/>
              <w:t>Table 3: First stage regressions</w:t>
            </w:r>
          </w:p>
        </w:tc>
      </w:tr>
      <w:tr w:rsidR="000D556F" w:rsidRPr="006C6F80" w14:paraId="4F99EA18" w14:textId="77777777" w:rsidTr="000D556F">
        <w:trPr>
          <w:trHeight w:val="260"/>
          <w:jc w:val="center"/>
        </w:trPr>
        <w:tc>
          <w:tcPr>
            <w:tcW w:w="2134" w:type="dxa"/>
            <w:tcBorders>
              <w:top w:val="nil"/>
              <w:left w:val="nil"/>
              <w:bottom w:val="nil"/>
              <w:right w:val="nil"/>
            </w:tcBorders>
            <w:shd w:val="clear" w:color="auto" w:fill="auto"/>
            <w:noWrap/>
            <w:vAlign w:val="bottom"/>
            <w:hideMark/>
          </w:tcPr>
          <w:p w14:paraId="2E65EEC0" w14:textId="77777777" w:rsidR="000D556F" w:rsidRPr="006C6F80" w:rsidRDefault="000D556F" w:rsidP="000D556F">
            <w:pPr>
              <w:rPr>
                <w:color w:val="000000" w:themeColor="text1"/>
                <w:sz w:val="20"/>
                <w:szCs w:val="20"/>
              </w:rPr>
            </w:pPr>
            <w:r w:rsidRPr="006C6F80">
              <w:rPr>
                <w:color w:val="000000" w:themeColor="text1"/>
                <w:sz w:val="20"/>
                <w:szCs w:val="20"/>
              </w:rPr>
              <w:t> </w:t>
            </w:r>
          </w:p>
        </w:tc>
        <w:tc>
          <w:tcPr>
            <w:tcW w:w="1402" w:type="dxa"/>
            <w:tcBorders>
              <w:top w:val="nil"/>
              <w:left w:val="nil"/>
              <w:bottom w:val="nil"/>
              <w:right w:val="nil"/>
            </w:tcBorders>
            <w:shd w:val="clear" w:color="auto" w:fill="auto"/>
            <w:noWrap/>
            <w:vAlign w:val="bottom"/>
            <w:hideMark/>
          </w:tcPr>
          <w:p w14:paraId="1785197D" w14:textId="77777777" w:rsidR="000D556F" w:rsidRPr="006C6F80" w:rsidRDefault="000D556F" w:rsidP="000D556F">
            <w:pPr>
              <w:jc w:val="center"/>
              <w:rPr>
                <w:color w:val="000000" w:themeColor="text1"/>
                <w:sz w:val="20"/>
                <w:szCs w:val="20"/>
              </w:rPr>
            </w:pPr>
            <w:r w:rsidRPr="006C6F80">
              <w:rPr>
                <w:color w:val="000000" w:themeColor="text1"/>
                <w:sz w:val="20"/>
                <w:szCs w:val="20"/>
              </w:rPr>
              <w:t>(1)</w:t>
            </w:r>
          </w:p>
        </w:tc>
        <w:tc>
          <w:tcPr>
            <w:tcW w:w="1402" w:type="dxa"/>
            <w:tcBorders>
              <w:top w:val="nil"/>
              <w:left w:val="nil"/>
              <w:bottom w:val="nil"/>
              <w:right w:val="nil"/>
            </w:tcBorders>
            <w:shd w:val="clear" w:color="auto" w:fill="auto"/>
            <w:noWrap/>
            <w:vAlign w:val="bottom"/>
            <w:hideMark/>
          </w:tcPr>
          <w:p w14:paraId="682F8CCD" w14:textId="77777777" w:rsidR="000D556F" w:rsidRPr="006C6F80" w:rsidRDefault="000D556F" w:rsidP="000D556F">
            <w:pPr>
              <w:jc w:val="center"/>
              <w:rPr>
                <w:color w:val="000000" w:themeColor="text1"/>
                <w:sz w:val="20"/>
                <w:szCs w:val="20"/>
              </w:rPr>
            </w:pPr>
            <w:r w:rsidRPr="006C6F80">
              <w:rPr>
                <w:color w:val="000000" w:themeColor="text1"/>
                <w:sz w:val="20"/>
                <w:szCs w:val="20"/>
              </w:rPr>
              <w:t>(2)</w:t>
            </w:r>
          </w:p>
        </w:tc>
        <w:tc>
          <w:tcPr>
            <w:tcW w:w="1402" w:type="dxa"/>
            <w:tcBorders>
              <w:top w:val="nil"/>
              <w:left w:val="nil"/>
              <w:bottom w:val="nil"/>
              <w:right w:val="nil"/>
            </w:tcBorders>
            <w:shd w:val="clear" w:color="auto" w:fill="auto"/>
            <w:noWrap/>
            <w:vAlign w:val="bottom"/>
            <w:hideMark/>
          </w:tcPr>
          <w:p w14:paraId="03397DC0" w14:textId="77777777" w:rsidR="000D556F" w:rsidRPr="006C6F80" w:rsidRDefault="000D556F" w:rsidP="000D556F">
            <w:pPr>
              <w:jc w:val="center"/>
              <w:rPr>
                <w:color w:val="000000" w:themeColor="text1"/>
                <w:sz w:val="20"/>
                <w:szCs w:val="20"/>
              </w:rPr>
            </w:pPr>
            <w:r w:rsidRPr="006C6F80">
              <w:rPr>
                <w:color w:val="000000" w:themeColor="text1"/>
                <w:sz w:val="20"/>
                <w:szCs w:val="20"/>
              </w:rPr>
              <w:t>(3)</w:t>
            </w:r>
          </w:p>
        </w:tc>
      </w:tr>
      <w:tr w:rsidR="000D556F" w:rsidRPr="006C6F80" w14:paraId="34D69C20" w14:textId="77777777" w:rsidTr="000D556F">
        <w:trPr>
          <w:trHeight w:val="260"/>
          <w:jc w:val="center"/>
        </w:trPr>
        <w:tc>
          <w:tcPr>
            <w:tcW w:w="2134" w:type="dxa"/>
            <w:tcBorders>
              <w:top w:val="nil"/>
              <w:left w:val="nil"/>
              <w:bottom w:val="nil"/>
              <w:right w:val="nil"/>
            </w:tcBorders>
            <w:shd w:val="clear" w:color="auto" w:fill="auto"/>
            <w:noWrap/>
            <w:vAlign w:val="bottom"/>
            <w:hideMark/>
          </w:tcPr>
          <w:p w14:paraId="5EB66F2A" w14:textId="77777777" w:rsidR="000D556F" w:rsidRPr="006C6F80" w:rsidRDefault="000D556F" w:rsidP="000D556F">
            <w:pPr>
              <w:rPr>
                <w:color w:val="000000" w:themeColor="text1"/>
                <w:sz w:val="20"/>
                <w:szCs w:val="20"/>
              </w:rPr>
            </w:pPr>
            <w:r w:rsidRPr="006C6F80">
              <w:rPr>
                <w:color w:val="000000" w:themeColor="text1"/>
                <w:sz w:val="20"/>
                <w:szCs w:val="20"/>
              </w:rPr>
              <w:t>VARIABLES</w:t>
            </w:r>
          </w:p>
        </w:tc>
        <w:tc>
          <w:tcPr>
            <w:tcW w:w="1402" w:type="dxa"/>
            <w:tcBorders>
              <w:top w:val="nil"/>
              <w:left w:val="nil"/>
              <w:bottom w:val="nil"/>
              <w:right w:val="nil"/>
            </w:tcBorders>
            <w:shd w:val="clear" w:color="auto" w:fill="auto"/>
            <w:noWrap/>
            <w:vAlign w:val="center"/>
            <w:hideMark/>
          </w:tcPr>
          <w:p w14:paraId="17D383F0" w14:textId="77777777" w:rsidR="000D556F" w:rsidRPr="006C6F80" w:rsidRDefault="000D556F" w:rsidP="000D556F">
            <w:pPr>
              <w:jc w:val="center"/>
              <w:rPr>
                <w:color w:val="000000" w:themeColor="text1"/>
                <w:sz w:val="20"/>
                <w:szCs w:val="20"/>
              </w:rPr>
            </w:pPr>
            <w:r w:rsidRPr="006C6F80">
              <w:rPr>
                <w:color w:val="000000" w:themeColor="text1"/>
                <w:sz w:val="20"/>
                <w:szCs w:val="20"/>
              </w:rPr>
              <w:t>Return migrant</w:t>
            </w:r>
          </w:p>
        </w:tc>
        <w:tc>
          <w:tcPr>
            <w:tcW w:w="1402" w:type="dxa"/>
            <w:tcBorders>
              <w:top w:val="nil"/>
              <w:left w:val="nil"/>
              <w:bottom w:val="nil"/>
              <w:right w:val="nil"/>
            </w:tcBorders>
            <w:shd w:val="clear" w:color="auto" w:fill="auto"/>
            <w:noWrap/>
            <w:vAlign w:val="center"/>
            <w:hideMark/>
          </w:tcPr>
          <w:p w14:paraId="28795452" w14:textId="77777777" w:rsidR="000D556F" w:rsidRPr="006C6F80" w:rsidRDefault="000D556F" w:rsidP="000D556F">
            <w:pPr>
              <w:jc w:val="center"/>
              <w:rPr>
                <w:color w:val="000000" w:themeColor="text1"/>
                <w:sz w:val="20"/>
                <w:szCs w:val="20"/>
              </w:rPr>
            </w:pPr>
            <w:r w:rsidRPr="006C6F80">
              <w:rPr>
                <w:color w:val="000000" w:themeColor="text1"/>
                <w:sz w:val="20"/>
                <w:szCs w:val="20"/>
              </w:rPr>
              <w:t>Return migrant</w:t>
            </w:r>
          </w:p>
        </w:tc>
        <w:tc>
          <w:tcPr>
            <w:tcW w:w="1402" w:type="dxa"/>
            <w:tcBorders>
              <w:top w:val="nil"/>
              <w:left w:val="nil"/>
              <w:bottom w:val="nil"/>
              <w:right w:val="nil"/>
            </w:tcBorders>
            <w:shd w:val="clear" w:color="auto" w:fill="auto"/>
            <w:noWrap/>
            <w:vAlign w:val="center"/>
            <w:hideMark/>
          </w:tcPr>
          <w:p w14:paraId="51A4A83A" w14:textId="77777777" w:rsidR="000D556F" w:rsidRPr="006C6F80" w:rsidRDefault="000D556F" w:rsidP="000D556F">
            <w:pPr>
              <w:jc w:val="center"/>
              <w:rPr>
                <w:color w:val="000000" w:themeColor="text1"/>
                <w:sz w:val="20"/>
                <w:szCs w:val="20"/>
              </w:rPr>
            </w:pPr>
            <w:r w:rsidRPr="006C6F80">
              <w:rPr>
                <w:color w:val="000000" w:themeColor="text1"/>
                <w:sz w:val="20"/>
                <w:szCs w:val="20"/>
              </w:rPr>
              <w:t>Return migrant</w:t>
            </w:r>
          </w:p>
        </w:tc>
      </w:tr>
      <w:tr w:rsidR="000D556F" w:rsidRPr="006C6F80" w14:paraId="28653835" w14:textId="77777777" w:rsidTr="000D556F">
        <w:trPr>
          <w:trHeight w:val="260"/>
          <w:jc w:val="center"/>
        </w:trPr>
        <w:tc>
          <w:tcPr>
            <w:tcW w:w="2134" w:type="dxa"/>
            <w:tcBorders>
              <w:top w:val="single" w:sz="4" w:space="0" w:color="auto"/>
              <w:left w:val="nil"/>
              <w:bottom w:val="nil"/>
              <w:right w:val="nil"/>
            </w:tcBorders>
            <w:shd w:val="clear" w:color="auto" w:fill="auto"/>
            <w:noWrap/>
            <w:vAlign w:val="bottom"/>
            <w:hideMark/>
          </w:tcPr>
          <w:p w14:paraId="28305669" w14:textId="77777777" w:rsidR="000D556F" w:rsidRPr="006C6F80" w:rsidRDefault="000D556F" w:rsidP="000D556F">
            <w:pPr>
              <w:rPr>
                <w:color w:val="000000" w:themeColor="text1"/>
                <w:sz w:val="20"/>
                <w:szCs w:val="20"/>
              </w:rPr>
            </w:pPr>
            <w:r w:rsidRPr="006C6F80">
              <w:rPr>
                <w:color w:val="000000" w:themeColor="text1"/>
                <w:sz w:val="20"/>
                <w:szCs w:val="20"/>
              </w:rPr>
              <w:t> </w:t>
            </w:r>
          </w:p>
        </w:tc>
        <w:tc>
          <w:tcPr>
            <w:tcW w:w="1402" w:type="dxa"/>
            <w:tcBorders>
              <w:top w:val="single" w:sz="4" w:space="0" w:color="auto"/>
              <w:left w:val="nil"/>
              <w:bottom w:val="nil"/>
              <w:right w:val="nil"/>
            </w:tcBorders>
            <w:shd w:val="clear" w:color="auto" w:fill="auto"/>
            <w:noWrap/>
            <w:vAlign w:val="bottom"/>
            <w:hideMark/>
          </w:tcPr>
          <w:p w14:paraId="616FCB5D" w14:textId="77777777" w:rsidR="000D556F" w:rsidRPr="006C6F80" w:rsidRDefault="000D556F" w:rsidP="000D556F">
            <w:pPr>
              <w:jc w:val="center"/>
              <w:rPr>
                <w:color w:val="000000" w:themeColor="text1"/>
                <w:sz w:val="20"/>
                <w:szCs w:val="20"/>
              </w:rPr>
            </w:pPr>
            <w:r w:rsidRPr="006C6F80">
              <w:rPr>
                <w:color w:val="000000" w:themeColor="text1"/>
                <w:sz w:val="20"/>
                <w:szCs w:val="20"/>
              </w:rPr>
              <w:t> </w:t>
            </w:r>
          </w:p>
        </w:tc>
        <w:tc>
          <w:tcPr>
            <w:tcW w:w="1402" w:type="dxa"/>
            <w:tcBorders>
              <w:top w:val="single" w:sz="4" w:space="0" w:color="auto"/>
              <w:left w:val="nil"/>
              <w:bottom w:val="nil"/>
              <w:right w:val="nil"/>
            </w:tcBorders>
            <w:shd w:val="clear" w:color="auto" w:fill="auto"/>
            <w:noWrap/>
            <w:vAlign w:val="bottom"/>
            <w:hideMark/>
          </w:tcPr>
          <w:p w14:paraId="18D9AB18" w14:textId="77777777" w:rsidR="000D556F" w:rsidRPr="006C6F80" w:rsidRDefault="000D556F" w:rsidP="000D556F">
            <w:pPr>
              <w:jc w:val="center"/>
              <w:rPr>
                <w:color w:val="000000" w:themeColor="text1"/>
                <w:sz w:val="20"/>
                <w:szCs w:val="20"/>
              </w:rPr>
            </w:pPr>
            <w:r w:rsidRPr="006C6F80">
              <w:rPr>
                <w:color w:val="000000" w:themeColor="text1"/>
                <w:sz w:val="20"/>
                <w:szCs w:val="20"/>
              </w:rPr>
              <w:t> </w:t>
            </w:r>
          </w:p>
        </w:tc>
        <w:tc>
          <w:tcPr>
            <w:tcW w:w="1402" w:type="dxa"/>
            <w:tcBorders>
              <w:top w:val="single" w:sz="4" w:space="0" w:color="auto"/>
              <w:left w:val="nil"/>
              <w:bottom w:val="nil"/>
              <w:right w:val="nil"/>
            </w:tcBorders>
            <w:shd w:val="clear" w:color="auto" w:fill="auto"/>
            <w:noWrap/>
            <w:vAlign w:val="bottom"/>
            <w:hideMark/>
          </w:tcPr>
          <w:p w14:paraId="7185784E" w14:textId="77777777" w:rsidR="000D556F" w:rsidRPr="006C6F80" w:rsidRDefault="000D556F" w:rsidP="000D556F">
            <w:pPr>
              <w:jc w:val="center"/>
              <w:rPr>
                <w:color w:val="000000" w:themeColor="text1"/>
                <w:sz w:val="20"/>
                <w:szCs w:val="20"/>
              </w:rPr>
            </w:pPr>
            <w:r w:rsidRPr="006C6F80">
              <w:rPr>
                <w:color w:val="000000" w:themeColor="text1"/>
                <w:sz w:val="20"/>
                <w:szCs w:val="20"/>
              </w:rPr>
              <w:t> </w:t>
            </w:r>
          </w:p>
        </w:tc>
      </w:tr>
      <w:tr w:rsidR="000D556F" w:rsidRPr="006C6F80" w14:paraId="5BBD5287" w14:textId="77777777" w:rsidTr="000D556F">
        <w:trPr>
          <w:trHeight w:val="260"/>
          <w:jc w:val="center"/>
        </w:trPr>
        <w:tc>
          <w:tcPr>
            <w:tcW w:w="2134" w:type="dxa"/>
            <w:tcBorders>
              <w:top w:val="nil"/>
              <w:left w:val="nil"/>
              <w:bottom w:val="nil"/>
              <w:right w:val="nil"/>
            </w:tcBorders>
            <w:shd w:val="clear" w:color="auto" w:fill="auto"/>
            <w:noWrap/>
            <w:vAlign w:val="bottom"/>
            <w:hideMark/>
          </w:tcPr>
          <w:p w14:paraId="4E2A0412" w14:textId="77777777" w:rsidR="000D556F" w:rsidRPr="006C6F80" w:rsidRDefault="000D556F" w:rsidP="000D556F">
            <w:pPr>
              <w:rPr>
                <w:color w:val="000000" w:themeColor="text1"/>
                <w:sz w:val="20"/>
                <w:szCs w:val="20"/>
              </w:rPr>
            </w:pPr>
            <w:r w:rsidRPr="006C6F80">
              <w:rPr>
                <w:color w:val="000000" w:themeColor="text1"/>
                <w:sz w:val="20"/>
                <w:szCs w:val="20"/>
              </w:rPr>
              <w:t>Oil price at age 25</w:t>
            </w:r>
          </w:p>
        </w:tc>
        <w:tc>
          <w:tcPr>
            <w:tcW w:w="1402" w:type="dxa"/>
            <w:tcBorders>
              <w:top w:val="nil"/>
              <w:left w:val="nil"/>
              <w:bottom w:val="nil"/>
              <w:right w:val="nil"/>
            </w:tcBorders>
            <w:shd w:val="clear" w:color="auto" w:fill="auto"/>
            <w:noWrap/>
            <w:vAlign w:val="bottom"/>
            <w:hideMark/>
          </w:tcPr>
          <w:p w14:paraId="3CEB16EF" w14:textId="77777777" w:rsidR="000D556F" w:rsidRPr="006C6F80" w:rsidRDefault="000D556F" w:rsidP="000D556F">
            <w:pPr>
              <w:jc w:val="center"/>
              <w:rPr>
                <w:color w:val="000000" w:themeColor="text1"/>
                <w:sz w:val="20"/>
                <w:szCs w:val="20"/>
              </w:rPr>
            </w:pPr>
            <w:r w:rsidRPr="006C6F80">
              <w:rPr>
                <w:color w:val="000000" w:themeColor="text1"/>
                <w:sz w:val="20"/>
                <w:szCs w:val="20"/>
              </w:rPr>
              <w:t>0.024***</w:t>
            </w:r>
          </w:p>
        </w:tc>
        <w:tc>
          <w:tcPr>
            <w:tcW w:w="1402" w:type="dxa"/>
            <w:tcBorders>
              <w:top w:val="nil"/>
              <w:left w:val="nil"/>
              <w:bottom w:val="nil"/>
              <w:right w:val="nil"/>
            </w:tcBorders>
            <w:shd w:val="clear" w:color="auto" w:fill="auto"/>
            <w:noWrap/>
            <w:vAlign w:val="bottom"/>
            <w:hideMark/>
          </w:tcPr>
          <w:p w14:paraId="21DB93FC" w14:textId="77777777" w:rsidR="000D556F" w:rsidRPr="006C6F80" w:rsidRDefault="000D556F" w:rsidP="000D556F">
            <w:pPr>
              <w:jc w:val="center"/>
              <w:rPr>
                <w:color w:val="000000" w:themeColor="text1"/>
                <w:sz w:val="20"/>
                <w:szCs w:val="20"/>
              </w:rPr>
            </w:pPr>
          </w:p>
        </w:tc>
        <w:tc>
          <w:tcPr>
            <w:tcW w:w="1402" w:type="dxa"/>
            <w:tcBorders>
              <w:top w:val="nil"/>
              <w:left w:val="nil"/>
              <w:bottom w:val="nil"/>
              <w:right w:val="nil"/>
            </w:tcBorders>
            <w:shd w:val="clear" w:color="auto" w:fill="auto"/>
            <w:noWrap/>
            <w:vAlign w:val="bottom"/>
            <w:hideMark/>
          </w:tcPr>
          <w:p w14:paraId="7FC8F71F" w14:textId="77777777" w:rsidR="000D556F" w:rsidRPr="006C6F80" w:rsidRDefault="000D556F" w:rsidP="000D556F">
            <w:pPr>
              <w:jc w:val="center"/>
              <w:rPr>
                <w:color w:val="000000" w:themeColor="text1"/>
                <w:sz w:val="20"/>
                <w:szCs w:val="20"/>
              </w:rPr>
            </w:pPr>
          </w:p>
        </w:tc>
      </w:tr>
      <w:tr w:rsidR="000D556F" w:rsidRPr="006C6F80" w14:paraId="12BBE1F2" w14:textId="77777777" w:rsidTr="000D556F">
        <w:trPr>
          <w:trHeight w:val="260"/>
          <w:jc w:val="center"/>
        </w:trPr>
        <w:tc>
          <w:tcPr>
            <w:tcW w:w="2134" w:type="dxa"/>
            <w:tcBorders>
              <w:top w:val="nil"/>
              <w:left w:val="nil"/>
              <w:bottom w:val="nil"/>
              <w:right w:val="nil"/>
            </w:tcBorders>
            <w:shd w:val="clear" w:color="auto" w:fill="auto"/>
            <w:noWrap/>
            <w:vAlign w:val="bottom"/>
            <w:hideMark/>
          </w:tcPr>
          <w:p w14:paraId="0913DF09" w14:textId="77777777" w:rsidR="000D556F" w:rsidRPr="006C6F80" w:rsidRDefault="000D556F" w:rsidP="000D556F">
            <w:pPr>
              <w:jc w:val="center"/>
              <w:rPr>
                <w:color w:val="000000" w:themeColor="text1"/>
                <w:sz w:val="20"/>
                <w:szCs w:val="20"/>
              </w:rPr>
            </w:pPr>
          </w:p>
        </w:tc>
        <w:tc>
          <w:tcPr>
            <w:tcW w:w="1402" w:type="dxa"/>
            <w:tcBorders>
              <w:top w:val="nil"/>
              <w:left w:val="nil"/>
              <w:bottom w:val="nil"/>
              <w:right w:val="nil"/>
            </w:tcBorders>
            <w:shd w:val="clear" w:color="auto" w:fill="auto"/>
            <w:noWrap/>
            <w:vAlign w:val="bottom"/>
            <w:hideMark/>
          </w:tcPr>
          <w:p w14:paraId="5A601583" w14:textId="77777777" w:rsidR="000D556F" w:rsidRPr="006C6F80" w:rsidRDefault="000D556F" w:rsidP="000D556F">
            <w:pPr>
              <w:jc w:val="center"/>
              <w:rPr>
                <w:color w:val="000000" w:themeColor="text1"/>
                <w:sz w:val="20"/>
                <w:szCs w:val="20"/>
              </w:rPr>
            </w:pPr>
            <w:r w:rsidRPr="006C6F80">
              <w:rPr>
                <w:color w:val="000000" w:themeColor="text1"/>
                <w:sz w:val="20"/>
                <w:szCs w:val="20"/>
              </w:rPr>
              <w:t>[0.001]</w:t>
            </w:r>
          </w:p>
        </w:tc>
        <w:tc>
          <w:tcPr>
            <w:tcW w:w="1402" w:type="dxa"/>
            <w:tcBorders>
              <w:top w:val="nil"/>
              <w:left w:val="nil"/>
              <w:bottom w:val="nil"/>
              <w:right w:val="nil"/>
            </w:tcBorders>
            <w:shd w:val="clear" w:color="auto" w:fill="auto"/>
            <w:noWrap/>
            <w:vAlign w:val="bottom"/>
            <w:hideMark/>
          </w:tcPr>
          <w:p w14:paraId="33263A1A" w14:textId="77777777" w:rsidR="000D556F" w:rsidRPr="006C6F80" w:rsidRDefault="000D556F" w:rsidP="000D556F">
            <w:pPr>
              <w:jc w:val="center"/>
              <w:rPr>
                <w:color w:val="000000" w:themeColor="text1"/>
                <w:sz w:val="20"/>
                <w:szCs w:val="20"/>
              </w:rPr>
            </w:pPr>
          </w:p>
        </w:tc>
        <w:tc>
          <w:tcPr>
            <w:tcW w:w="1402" w:type="dxa"/>
            <w:tcBorders>
              <w:top w:val="nil"/>
              <w:left w:val="nil"/>
              <w:bottom w:val="nil"/>
              <w:right w:val="nil"/>
            </w:tcBorders>
            <w:shd w:val="clear" w:color="auto" w:fill="auto"/>
            <w:noWrap/>
            <w:vAlign w:val="bottom"/>
            <w:hideMark/>
          </w:tcPr>
          <w:p w14:paraId="5C8FC66B" w14:textId="77777777" w:rsidR="000D556F" w:rsidRPr="006C6F80" w:rsidRDefault="000D556F" w:rsidP="000D556F">
            <w:pPr>
              <w:jc w:val="center"/>
              <w:rPr>
                <w:color w:val="000000" w:themeColor="text1"/>
                <w:sz w:val="20"/>
                <w:szCs w:val="20"/>
              </w:rPr>
            </w:pPr>
          </w:p>
        </w:tc>
      </w:tr>
      <w:tr w:rsidR="000D556F" w:rsidRPr="006C6F80" w14:paraId="4015F20E" w14:textId="77777777" w:rsidTr="000D556F">
        <w:trPr>
          <w:trHeight w:val="260"/>
          <w:jc w:val="center"/>
        </w:trPr>
        <w:tc>
          <w:tcPr>
            <w:tcW w:w="2134" w:type="dxa"/>
            <w:tcBorders>
              <w:top w:val="nil"/>
              <w:left w:val="nil"/>
              <w:bottom w:val="nil"/>
              <w:right w:val="nil"/>
            </w:tcBorders>
            <w:shd w:val="clear" w:color="auto" w:fill="auto"/>
            <w:noWrap/>
            <w:vAlign w:val="bottom"/>
            <w:hideMark/>
          </w:tcPr>
          <w:p w14:paraId="4CD7CA0B" w14:textId="77777777" w:rsidR="000D556F" w:rsidRPr="006C6F80" w:rsidRDefault="000D556F" w:rsidP="000D556F">
            <w:pPr>
              <w:rPr>
                <w:color w:val="000000" w:themeColor="text1"/>
                <w:sz w:val="20"/>
                <w:szCs w:val="20"/>
              </w:rPr>
            </w:pPr>
            <w:r w:rsidRPr="006C6F80">
              <w:rPr>
                <w:color w:val="000000" w:themeColor="text1"/>
                <w:sz w:val="20"/>
                <w:szCs w:val="20"/>
              </w:rPr>
              <w:t>Oil price at age 26</w:t>
            </w:r>
          </w:p>
        </w:tc>
        <w:tc>
          <w:tcPr>
            <w:tcW w:w="1402" w:type="dxa"/>
            <w:tcBorders>
              <w:top w:val="nil"/>
              <w:left w:val="nil"/>
              <w:bottom w:val="nil"/>
              <w:right w:val="nil"/>
            </w:tcBorders>
            <w:shd w:val="clear" w:color="auto" w:fill="auto"/>
            <w:noWrap/>
            <w:vAlign w:val="bottom"/>
            <w:hideMark/>
          </w:tcPr>
          <w:p w14:paraId="0D6EECA1" w14:textId="77777777" w:rsidR="000D556F" w:rsidRPr="006C6F80" w:rsidRDefault="000D556F" w:rsidP="000D556F">
            <w:pPr>
              <w:rPr>
                <w:color w:val="000000" w:themeColor="text1"/>
                <w:sz w:val="20"/>
                <w:szCs w:val="20"/>
              </w:rPr>
            </w:pPr>
          </w:p>
        </w:tc>
        <w:tc>
          <w:tcPr>
            <w:tcW w:w="1402" w:type="dxa"/>
            <w:tcBorders>
              <w:top w:val="nil"/>
              <w:left w:val="nil"/>
              <w:bottom w:val="nil"/>
              <w:right w:val="nil"/>
            </w:tcBorders>
            <w:shd w:val="clear" w:color="auto" w:fill="auto"/>
            <w:noWrap/>
            <w:vAlign w:val="bottom"/>
            <w:hideMark/>
          </w:tcPr>
          <w:p w14:paraId="73788DCA" w14:textId="77777777" w:rsidR="000D556F" w:rsidRPr="006C6F80" w:rsidRDefault="000D556F" w:rsidP="000D556F">
            <w:pPr>
              <w:jc w:val="center"/>
              <w:rPr>
                <w:color w:val="000000" w:themeColor="text1"/>
                <w:sz w:val="20"/>
                <w:szCs w:val="20"/>
              </w:rPr>
            </w:pPr>
            <w:r w:rsidRPr="006C6F80">
              <w:rPr>
                <w:color w:val="000000" w:themeColor="text1"/>
                <w:sz w:val="20"/>
                <w:szCs w:val="20"/>
              </w:rPr>
              <w:t>0.029***</w:t>
            </w:r>
          </w:p>
        </w:tc>
        <w:tc>
          <w:tcPr>
            <w:tcW w:w="1402" w:type="dxa"/>
            <w:tcBorders>
              <w:top w:val="nil"/>
              <w:left w:val="nil"/>
              <w:bottom w:val="nil"/>
              <w:right w:val="nil"/>
            </w:tcBorders>
            <w:shd w:val="clear" w:color="auto" w:fill="auto"/>
            <w:noWrap/>
            <w:vAlign w:val="bottom"/>
            <w:hideMark/>
          </w:tcPr>
          <w:p w14:paraId="72E46C26" w14:textId="77777777" w:rsidR="000D556F" w:rsidRPr="006C6F80" w:rsidRDefault="000D556F" w:rsidP="000D556F">
            <w:pPr>
              <w:jc w:val="center"/>
              <w:rPr>
                <w:color w:val="000000" w:themeColor="text1"/>
                <w:sz w:val="20"/>
                <w:szCs w:val="20"/>
              </w:rPr>
            </w:pPr>
          </w:p>
        </w:tc>
      </w:tr>
      <w:tr w:rsidR="000D556F" w:rsidRPr="006C6F80" w14:paraId="6001B92C" w14:textId="77777777" w:rsidTr="000D556F">
        <w:trPr>
          <w:trHeight w:val="260"/>
          <w:jc w:val="center"/>
        </w:trPr>
        <w:tc>
          <w:tcPr>
            <w:tcW w:w="2134" w:type="dxa"/>
            <w:tcBorders>
              <w:top w:val="nil"/>
              <w:left w:val="nil"/>
              <w:bottom w:val="nil"/>
              <w:right w:val="nil"/>
            </w:tcBorders>
            <w:shd w:val="clear" w:color="auto" w:fill="auto"/>
            <w:noWrap/>
            <w:vAlign w:val="bottom"/>
            <w:hideMark/>
          </w:tcPr>
          <w:p w14:paraId="24F3CD7E" w14:textId="77777777" w:rsidR="000D556F" w:rsidRPr="006C6F80" w:rsidRDefault="000D556F" w:rsidP="000D556F">
            <w:pPr>
              <w:jc w:val="center"/>
              <w:rPr>
                <w:color w:val="000000" w:themeColor="text1"/>
                <w:sz w:val="20"/>
                <w:szCs w:val="20"/>
              </w:rPr>
            </w:pPr>
          </w:p>
        </w:tc>
        <w:tc>
          <w:tcPr>
            <w:tcW w:w="1402" w:type="dxa"/>
            <w:tcBorders>
              <w:top w:val="nil"/>
              <w:left w:val="nil"/>
              <w:bottom w:val="nil"/>
              <w:right w:val="nil"/>
            </w:tcBorders>
            <w:shd w:val="clear" w:color="auto" w:fill="auto"/>
            <w:noWrap/>
            <w:vAlign w:val="bottom"/>
            <w:hideMark/>
          </w:tcPr>
          <w:p w14:paraId="381F1C69" w14:textId="77777777" w:rsidR="000D556F" w:rsidRPr="006C6F80" w:rsidRDefault="000D556F" w:rsidP="000D556F">
            <w:pPr>
              <w:rPr>
                <w:color w:val="000000" w:themeColor="text1"/>
                <w:sz w:val="20"/>
                <w:szCs w:val="20"/>
              </w:rPr>
            </w:pPr>
          </w:p>
        </w:tc>
        <w:tc>
          <w:tcPr>
            <w:tcW w:w="1402" w:type="dxa"/>
            <w:tcBorders>
              <w:top w:val="nil"/>
              <w:left w:val="nil"/>
              <w:bottom w:val="nil"/>
              <w:right w:val="nil"/>
            </w:tcBorders>
            <w:shd w:val="clear" w:color="auto" w:fill="auto"/>
            <w:noWrap/>
            <w:vAlign w:val="bottom"/>
            <w:hideMark/>
          </w:tcPr>
          <w:p w14:paraId="1C91C67B" w14:textId="77777777" w:rsidR="000D556F" w:rsidRPr="006C6F80" w:rsidRDefault="000D556F" w:rsidP="000D556F">
            <w:pPr>
              <w:jc w:val="center"/>
              <w:rPr>
                <w:color w:val="000000" w:themeColor="text1"/>
                <w:sz w:val="20"/>
                <w:szCs w:val="20"/>
              </w:rPr>
            </w:pPr>
            <w:r w:rsidRPr="006C6F80">
              <w:rPr>
                <w:color w:val="000000" w:themeColor="text1"/>
                <w:sz w:val="20"/>
                <w:szCs w:val="20"/>
              </w:rPr>
              <w:t>[0.000]</w:t>
            </w:r>
          </w:p>
        </w:tc>
        <w:tc>
          <w:tcPr>
            <w:tcW w:w="1402" w:type="dxa"/>
            <w:tcBorders>
              <w:top w:val="nil"/>
              <w:left w:val="nil"/>
              <w:bottom w:val="nil"/>
              <w:right w:val="nil"/>
            </w:tcBorders>
            <w:shd w:val="clear" w:color="auto" w:fill="auto"/>
            <w:noWrap/>
            <w:vAlign w:val="bottom"/>
            <w:hideMark/>
          </w:tcPr>
          <w:p w14:paraId="1F782A76" w14:textId="77777777" w:rsidR="000D556F" w:rsidRPr="006C6F80" w:rsidRDefault="000D556F" w:rsidP="000D556F">
            <w:pPr>
              <w:jc w:val="center"/>
              <w:rPr>
                <w:color w:val="000000" w:themeColor="text1"/>
                <w:sz w:val="20"/>
                <w:szCs w:val="20"/>
              </w:rPr>
            </w:pPr>
          </w:p>
        </w:tc>
      </w:tr>
      <w:tr w:rsidR="000D556F" w:rsidRPr="006C6F80" w14:paraId="1E6E6277" w14:textId="77777777" w:rsidTr="000D556F">
        <w:trPr>
          <w:trHeight w:val="260"/>
          <w:jc w:val="center"/>
        </w:trPr>
        <w:tc>
          <w:tcPr>
            <w:tcW w:w="2134" w:type="dxa"/>
            <w:tcBorders>
              <w:top w:val="nil"/>
              <w:left w:val="nil"/>
              <w:bottom w:val="nil"/>
              <w:right w:val="nil"/>
            </w:tcBorders>
            <w:shd w:val="clear" w:color="auto" w:fill="auto"/>
            <w:noWrap/>
            <w:vAlign w:val="bottom"/>
            <w:hideMark/>
          </w:tcPr>
          <w:p w14:paraId="3D29B1B0" w14:textId="77777777" w:rsidR="000D556F" w:rsidRPr="006C6F80" w:rsidRDefault="000D556F" w:rsidP="000D556F">
            <w:pPr>
              <w:rPr>
                <w:color w:val="000000" w:themeColor="text1"/>
                <w:sz w:val="20"/>
                <w:szCs w:val="20"/>
              </w:rPr>
            </w:pPr>
            <w:r w:rsidRPr="006C6F80">
              <w:rPr>
                <w:color w:val="000000" w:themeColor="text1"/>
                <w:sz w:val="20"/>
                <w:szCs w:val="20"/>
              </w:rPr>
              <w:t>Oil price at age 27</w:t>
            </w:r>
          </w:p>
        </w:tc>
        <w:tc>
          <w:tcPr>
            <w:tcW w:w="1402" w:type="dxa"/>
            <w:tcBorders>
              <w:top w:val="nil"/>
              <w:left w:val="nil"/>
              <w:bottom w:val="nil"/>
              <w:right w:val="nil"/>
            </w:tcBorders>
            <w:shd w:val="clear" w:color="auto" w:fill="auto"/>
            <w:noWrap/>
            <w:vAlign w:val="bottom"/>
            <w:hideMark/>
          </w:tcPr>
          <w:p w14:paraId="03928B93" w14:textId="77777777" w:rsidR="000D556F" w:rsidRPr="006C6F80" w:rsidRDefault="000D556F" w:rsidP="000D556F">
            <w:pPr>
              <w:rPr>
                <w:color w:val="000000" w:themeColor="text1"/>
                <w:sz w:val="20"/>
                <w:szCs w:val="20"/>
              </w:rPr>
            </w:pPr>
          </w:p>
        </w:tc>
        <w:tc>
          <w:tcPr>
            <w:tcW w:w="1402" w:type="dxa"/>
            <w:tcBorders>
              <w:top w:val="nil"/>
              <w:left w:val="nil"/>
              <w:bottom w:val="nil"/>
              <w:right w:val="nil"/>
            </w:tcBorders>
            <w:shd w:val="clear" w:color="auto" w:fill="auto"/>
            <w:noWrap/>
            <w:vAlign w:val="bottom"/>
            <w:hideMark/>
          </w:tcPr>
          <w:p w14:paraId="280149B1" w14:textId="77777777" w:rsidR="000D556F" w:rsidRPr="006C6F80" w:rsidRDefault="000D556F" w:rsidP="000D556F">
            <w:pPr>
              <w:jc w:val="center"/>
              <w:rPr>
                <w:color w:val="000000" w:themeColor="text1"/>
                <w:sz w:val="20"/>
                <w:szCs w:val="20"/>
              </w:rPr>
            </w:pPr>
          </w:p>
        </w:tc>
        <w:tc>
          <w:tcPr>
            <w:tcW w:w="1402" w:type="dxa"/>
            <w:tcBorders>
              <w:top w:val="nil"/>
              <w:left w:val="nil"/>
              <w:bottom w:val="nil"/>
              <w:right w:val="nil"/>
            </w:tcBorders>
            <w:shd w:val="clear" w:color="auto" w:fill="auto"/>
            <w:noWrap/>
            <w:vAlign w:val="bottom"/>
            <w:hideMark/>
          </w:tcPr>
          <w:p w14:paraId="5474C31F" w14:textId="77777777" w:rsidR="000D556F" w:rsidRPr="006C6F80" w:rsidRDefault="000D556F" w:rsidP="000D556F">
            <w:pPr>
              <w:jc w:val="center"/>
              <w:rPr>
                <w:color w:val="000000" w:themeColor="text1"/>
                <w:sz w:val="20"/>
                <w:szCs w:val="20"/>
              </w:rPr>
            </w:pPr>
            <w:r w:rsidRPr="006C6F80">
              <w:rPr>
                <w:color w:val="000000" w:themeColor="text1"/>
                <w:sz w:val="20"/>
                <w:szCs w:val="20"/>
              </w:rPr>
              <w:t>0.029***</w:t>
            </w:r>
          </w:p>
        </w:tc>
      </w:tr>
      <w:tr w:rsidR="000D556F" w:rsidRPr="006C6F80" w14:paraId="5A51F9B7" w14:textId="77777777" w:rsidTr="000D556F">
        <w:trPr>
          <w:trHeight w:val="260"/>
          <w:jc w:val="center"/>
        </w:trPr>
        <w:tc>
          <w:tcPr>
            <w:tcW w:w="2134" w:type="dxa"/>
            <w:tcBorders>
              <w:top w:val="nil"/>
              <w:left w:val="nil"/>
              <w:bottom w:val="nil"/>
              <w:right w:val="nil"/>
            </w:tcBorders>
            <w:shd w:val="clear" w:color="auto" w:fill="auto"/>
            <w:noWrap/>
            <w:vAlign w:val="bottom"/>
            <w:hideMark/>
          </w:tcPr>
          <w:p w14:paraId="0BC43FC8" w14:textId="77777777" w:rsidR="000D556F" w:rsidRPr="006C6F80" w:rsidRDefault="000D556F" w:rsidP="000D556F">
            <w:pPr>
              <w:jc w:val="center"/>
              <w:rPr>
                <w:color w:val="000000" w:themeColor="text1"/>
                <w:sz w:val="20"/>
                <w:szCs w:val="20"/>
              </w:rPr>
            </w:pPr>
          </w:p>
        </w:tc>
        <w:tc>
          <w:tcPr>
            <w:tcW w:w="1402" w:type="dxa"/>
            <w:tcBorders>
              <w:top w:val="nil"/>
              <w:left w:val="nil"/>
              <w:bottom w:val="nil"/>
              <w:right w:val="nil"/>
            </w:tcBorders>
            <w:shd w:val="clear" w:color="auto" w:fill="auto"/>
            <w:noWrap/>
            <w:vAlign w:val="bottom"/>
            <w:hideMark/>
          </w:tcPr>
          <w:p w14:paraId="02CF9940" w14:textId="77777777" w:rsidR="000D556F" w:rsidRPr="006C6F80" w:rsidRDefault="000D556F" w:rsidP="000D556F">
            <w:pPr>
              <w:rPr>
                <w:color w:val="000000" w:themeColor="text1"/>
                <w:sz w:val="20"/>
                <w:szCs w:val="20"/>
              </w:rPr>
            </w:pPr>
          </w:p>
        </w:tc>
        <w:tc>
          <w:tcPr>
            <w:tcW w:w="1402" w:type="dxa"/>
            <w:tcBorders>
              <w:top w:val="nil"/>
              <w:left w:val="nil"/>
              <w:bottom w:val="nil"/>
              <w:right w:val="nil"/>
            </w:tcBorders>
            <w:shd w:val="clear" w:color="auto" w:fill="auto"/>
            <w:noWrap/>
            <w:vAlign w:val="bottom"/>
            <w:hideMark/>
          </w:tcPr>
          <w:p w14:paraId="7136EB90" w14:textId="77777777" w:rsidR="000D556F" w:rsidRPr="006C6F80" w:rsidRDefault="000D556F" w:rsidP="000D556F">
            <w:pPr>
              <w:jc w:val="center"/>
              <w:rPr>
                <w:color w:val="000000" w:themeColor="text1"/>
                <w:sz w:val="20"/>
                <w:szCs w:val="20"/>
              </w:rPr>
            </w:pPr>
          </w:p>
        </w:tc>
        <w:tc>
          <w:tcPr>
            <w:tcW w:w="1402" w:type="dxa"/>
            <w:tcBorders>
              <w:top w:val="nil"/>
              <w:left w:val="nil"/>
              <w:bottom w:val="nil"/>
              <w:right w:val="nil"/>
            </w:tcBorders>
            <w:shd w:val="clear" w:color="auto" w:fill="auto"/>
            <w:noWrap/>
            <w:vAlign w:val="bottom"/>
            <w:hideMark/>
          </w:tcPr>
          <w:p w14:paraId="62F7DFCF" w14:textId="77777777" w:rsidR="000D556F" w:rsidRPr="006C6F80" w:rsidRDefault="000D556F" w:rsidP="000D556F">
            <w:pPr>
              <w:jc w:val="center"/>
              <w:rPr>
                <w:color w:val="000000" w:themeColor="text1"/>
                <w:sz w:val="20"/>
                <w:szCs w:val="20"/>
              </w:rPr>
            </w:pPr>
            <w:r w:rsidRPr="006C6F80">
              <w:rPr>
                <w:color w:val="000000" w:themeColor="text1"/>
                <w:sz w:val="20"/>
                <w:szCs w:val="20"/>
              </w:rPr>
              <w:t>[0.000]</w:t>
            </w:r>
          </w:p>
        </w:tc>
      </w:tr>
      <w:tr w:rsidR="000D556F" w:rsidRPr="006C6F80" w14:paraId="283026C6" w14:textId="77777777" w:rsidTr="000D556F">
        <w:trPr>
          <w:trHeight w:val="260"/>
          <w:jc w:val="center"/>
        </w:trPr>
        <w:tc>
          <w:tcPr>
            <w:tcW w:w="2134" w:type="dxa"/>
            <w:tcBorders>
              <w:top w:val="nil"/>
              <w:left w:val="nil"/>
              <w:bottom w:val="nil"/>
              <w:right w:val="nil"/>
            </w:tcBorders>
            <w:shd w:val="clear" w:color="auto" w:fill="auto"/>
            <w:noWrap/>
            <w:vAlign w:val="bottom"/>
            <w:hideMark/>
          </w:tcPr>
          <w:p w14:paraId="15E5C271" w14:textId="77777777" w:rsidR="000D556F" w:rsidRPr="006C6F80" w:rsidRDefault="000D556F" w:rsidP="000D556F">
            <w:pPr>
              <w:jc w:val="center"/>
              <w:rPr>
                <w:color w:val="000000" w:themeColor="text1"/>
                <w:sz w:val="20"/>
                <w:szCs w:val="20"/>
              </w:rPr>
            </w:pPr>
          </w:p>
        </w:tc>
        <w:tc>
          <w:tcPr>
            <w:tcW w:w="1402" w:type="dxa"/>
            <w:tcBorders>
              <w:top w:val="nil"/>
              <w:left w:val="nil"/>
              <w:bottom w:val="nil"/>
              <w:right w:val="nil"/>
            </w:tcBorders>
            <w:shd w:val="clear" w:color="auto" w:fill="auto"/>
            <w:noWrap/>
            <w:vAlign w:val="bottom"/>
            <w:hideMark/>
          </w:tcPr>
          <w:p w14:paraId="2A611E2D" w14:textId="77777777" w:rsidR="000D556F" w:rsidRPr="006C6F80" w:rsidRDefault="000D556F" w:rsidP="000D556F">
            <w:pPr>
              <w:rPr>
                <w:color w:val="000000" w:themeColor="text1"/>
                <w:sz w:val="20"/>
                <w:szCs w:val="20"/>
              </w:rPr>
            </w:pPr>
          </w:p>
        </w:tc>
        <w:tc>
          <w:tcPr>
            <w:tcW w:w="1402" w:type="dxa"/>
            <w:tcBorders>
              <w:top w:val="nil"/>
              <w:left w:val="nil"/>
              <w:bottom w:val="nil"/>
              <w:right w:val="nil"/>
            </w:tcBorders>
            <w:shd w:val="clear" w:color="auto" w:fill="auto"/>
            <w:noWrap/>
            <w:vAlign w:val="bottom"/>
            <w:hideMark/>
          </w:tcPr>
          <w:p w14:paraId="6ACF75DE" w14:textId="77777777" w:rsidR="000D556F" w:rsidRPr="006C6F80" w:rsidRDefault="000D556F" w:rsidP="000D556F">
            <w:pPr>
              <w:jc w:val="center"/>
              <w:rPr>
                <w:color w:val="000000" w:themeColor="text1"/>
                <w:sz w:val="20"/>
                <w:szCs w:val="20"/>
              </w:rPr>
            </w:pPr>
          </w:p>
        </w:tc>
        <w:tc>
          <w:tcPr>
            <w:tcW w:w="1402" w:type="dxa"/>
            <w:tcBorders>
              <w:top w:val="nil"/>
              <w:left w:val="nil"/>
              <w:bottom w:val="nil"/>
              <w:right w:val="nil"/>
            </w:tcBorders>
            <w:shd w:val="clear" w:color="auto" w:fill="auto"/>
            <w:noWrap/>
            <w:vAlign w:val="bottom"/>
            <w:hideMark/>
          </w:tcPr>
          <w:p w14:paraId="33E9B777" w14:textId="77777777" w:rsidR="000D556F" w:rsidRPr="006C6F80" w:rsidRDefault="000D556F" w:rsidP="000D556F">
            <w:pPr>
              <w:jc w:val="center"/>
              <w:rPr>
                <w:color w:val="000000" w:themeColor="text1"/>
                <w:sz w:val="20"/>
                <w:szCs w:val="20"/>
              </w:rPr>
            </w:pPr>
          </w:p>
        </w:tc>
      </w:tr>
      <w:tr w:rsidR="000D556F" w:rsidRPr="006C6F80" w14:paraId="29809FC9" w14:textId="77777777" w:rsidTr="000D556F">
        <w:trPr>
          <w:trHeight w:val="260"/>
          <w:jc w:val="center"/>
        </w:trPr>
        <w:tc>
          <w:tcPr>
            <w:tcW w:w="2134" w:type="dxa"/>
            <w:tcBorders>
              <w:top w:val="nil"/>
              <w:left w:val="nil"/>
              <w:bottom w:val="nil"/>
              <w:right w:val="nil"/>
            </w:tcBorders>
            <w:shd w:val="clear" w:color="auto" w:fill="auto"/>
            <w:noWrap/>
            <w:vAlign w:val="bottom"/>
            <w:hideMark/>
          </w:tcPr>
          <w:p w14:paraId="5A4C4BE6" w14:textId="77777777" w:rsidR="000D556F" w:rsidRPr="006C6F80" w:rsidRDefault="000D556F" w:rsidP="000D556F">
            <w:pPr>
              <w:rPr>
                <w:color w:val="000000" w:themeColor="text1"/>
                <w:sz w:val="20"/>
                <w:szCs w:val="20"/>
              </w:rPr>
            </w:pPr>
            <w:r w:rsidRPr="006C6F80">
              <w:rPr>
                <w:color w:val="000000" w:themeColor="text1"/>
                <w:sz w:val="20"/>
                <w:szCs w:val="20"/>
              </w:rPr>
              <w:t>Observations</w:t>
            </w:r>
          </w:p>
        </w:tc>
        <w:tc>
          <w:tcPr>
            <w:tcW w:w="1402" w:type="dxa"/>
            <w:tcBorders>
              <w:top w:val="nil"/>
              <w:left w:val="nil"/>
              <w:bottom w:val="nil"/>
              <w:right w:val="nil"/>
            </w:tcBorders>
            <w:shd w:val="clear" w:color="auto" w:fill="auto"/>
            <w:noWrap/>
            <w:vAlign w:val="bottom"/>
            <w:hideMark/>
          </w:tcPr>
          <w:p w14:paraId="3C08ABD1" w14:textId="77777777" w:rsidR="000D556F" w:rsidRPr="006C6F80" w:rsidRDefault="000D556F" w:rsidP="000D556F">
            <w:pPr>
              <w:jc w:val="center"/>
              <w:rPr>
                <w:color w:val="000000" w:themeColor="text1"/>
                <w:sz w:val="20"/>
                <w:szCs w:val="20"/>
              </w:rPr>
            </w:pPr>
            <w:r w:rsidRPr="006C6F80">
              <w:rPr>
                <w:color w:val="000000" w:themeColor="text1"/>
                <w:sz w:val="20"/>
                <w:szCs w:val="20"/>
              </w:rPr>
              <w:t>1,744</w:t>
            </w:r>
          </w:p>
        </w:tc>
        <w:tc>
          <w:tcPr>
            <w:tcW w:w="1402" w:type="dxa"/>
            <w:tcBorders>
              <w:top w:val="nil"/>
              <w:left w:val="nil"/>
              <w:bottom w:val="nil"/>
              <w:right w:val="nil"/>
            </w:tcBorders>
            <w:shd w:val="clear" w:color="auto" w:fill="auto"/>
            <w:noWrap/>
            <w:vAlign w:val="bottom"/>
            <w:hideMark/>
          </w:tcPr>
          <w:p w14:paraId="33B45508" w14:textId="77777777" w:rsidR="000D556F" w:rsidRPr="006C6F80" w:rsidRDefault="000D556F" w:rsidP="000D556F">
            <w:pPr>
              <w:jc w:val="center"/>
              <w:rPr>
                <w:color w:val="000000" w:themeColor="text1"/>
                <w:sz w:val="20"/>
                <w:szCs w:val="20"/>
              </w:rPr>
            </w:pPr>
            <w:r w:rsidRPr="006C6F80">
              <w:rPr>
                <w:color w:val="000000" w:themeColor="text1"/>
                <w:sz w:val="20"/>
                <w:szCs w:val="20"/>
              </w:rPr>
              <w:t>1,744</w:t>
            </w:r>
          </w:p>
        </w:tc>
        <w:tc>
          <w:tcPr>
            <w:tcW w:w="1402" w:type="dxa"/>
            <w:tcBorders>
              <w:top w:val="nil"/>
              <w:left w:val="nil"/>
              <w:bottom w:val="nil"/>
              <w:right w:val="nil"/>
            </w:tcBorders>
            <w:shd w:val="clear" w:color="auto" w:fill="auto"/>
            <w:noWrap/>
            <w:vAlign w:val="bottom"/>
            <w:hideMark/>
          </w:tcPr>
          <w:p w14:paraId="282EE129" w14:textId="77777777" w:rsidR="000D556F" w:rsidRPr="006C6F80" w:rsidRDefault="000D556F" w:rsidP="000D556F">
            <w:pPr>
              <w:jc w:val="center"/>
              <w:rPr>
                <w:color w:val="000000" w:themeColor="text1"/>
                <w:sz w:val="20"/>
                <w:szCs w:val="20"/>
              </w:rPr>
            </w:pPr>
            <w:r w:rsidRPr="006C6F80">
              <w:rPr>
                <w:color w:val="000000" w:themeColor="text1"/>
                <w:sz w:val="20"/>
                <w:szCs w:val="20"/>
              </w:rPr>
              <w:t>1,744</w:t>
            </w:r>
          </w:p>
        </w:tc>
      </w:tr>
      <w:tr w:rsidR="000D556F" w:rsidRPr="006C6F80" w14:paraId="2C30561A" w14:textId="77777777" w:rsidTr="000D556F">
        <w:trPr>
          <w:trHeight w:val="260"/>
          <w:jc w:val="center"/>
        </w:trPr>
        <w:tc>
          <w:tcPr>
            <w:tcW w:w="2134" w:type="dxa"/>
            <w:tcBorders>
              <w:top w:val="nil"/>
              <w:left w:val="nil"/>
              <w:bottom w:val="nil"/>
              <w:right w:val="nil"/>
            </w:tcBorders>
            <w:shd w:val="clear" w:color="auto" w:fill="auto"/>
            <w:noWrap/>
            <w:vAlign w:val="bottom"/>
            <w:hideMark/>
          </w:tcPr>
          <w:p w14:paraId="467EBD35" w14:textId="77777777" w:rsidR="000D556F" w:rsidRPr="006C6F80" w:rsidRDefault="000D556F" w:rsidP="000D556F">
            <w:pPr>
              <w:rPr>
                <w:color w:val="000000" w:themeColor="text1"/>
                <w:sz w:val="20"/>
                <w:szCs w:val="20"/>
              </w:rPr>
            </w:pPr>
            <w:r w:rsidRPr="006C6F80">
              <w:rPr>
                <w:color w:val="000000" w:themeColor="text1"/>
                <w:sz w:val="20"/>
                <w:szCs w:val="20"/>
              </w:rPr>
              <w:t>Individual controls</w:t>
            </w:r>
          </w:p>
        </w:tc>
        <w:tc>
          <w:tcPr>
            <w:tcW w:w="1402" w:type="dxa"/>
            <w:tcBorders>
              <w:top w:val="nil"/>
              <w:left w:val="nil"/>
              <w:bottom w:val="nil"/>
              <w:right w:val="nil"/>
            </w:tcBorders>
            <w:shd w:val="clear" w:color="auto" w:fill="auto"/>
            <w:noWrap/>
            <w:vAlign w:val="bottom"/>
            <w:hideMark/>
          </w:tcPr>
          <w:p w14:paraId="072D7645"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c>
          <w:tcPr>
            <w:tcW w:w="1402" w:type="dxa"/>
            <w:tcBorders>
              <w:top w:val="nil"/>
              <w:left w:val="nil"/>
              <w:bottom w:val="nil"/>
              <w:right w:val="nil"/>
            </w:tcBorders>
            <w:shd w:val="clear" w:color="auto" w:fill="auto"/>
            <w:noWrap/>
            <w:vAlign w:val="bottom"/>
            <w:hideMark/>
          </w:tcPr>
          <w:p w14:paraId="761EEAA3"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c>
          <w:tcPr>
            <w:tcW w:w="1402" w:type="dxa"/>
            <w:tcBorders>
              <w:top w:val="nil"/>
              <w:left w:val="nil"/>
              <w:bottom w:val="nil"/>
              <w:right w:val="nil"/>
            </w:tcBorders>
            <w:shd w:val="clear" w:color="auto" w:fill="auto"/>
            <w:noWrap/>
            <w:vAlign w:val="bottom"/>
            <w:hideMark/>
          </w:tcPr>
          <w:p w14:paraId="1B1C6A8D"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r>
      <w:tr w:rsidR="000D556F" w:rsidRPr="006C6F80" w14:paraId="633F9577" w14:textId="77777777" w:rsidTr="000D556F">
        <w:trPr>
          <w:trHeight w:val="260"/>
          <w:jc w:val="center"/>
        </w:trPr>
        <w:tc>
          <w:tcPr>
            <w:tcW w:w="2134" w:type="dxa"/>
            <w:tcBorders>
              <w:top w:val="nil"/>
              <w:left w:val="nil"/>
              <w:bottom w:val="nil"/>
              <w:right w:val="nil"/>
            </w:tcBorders>
            <w:shd w:val="clear" w:color="auto" w:fill="auto"/>
            <w:noWrap/>
            <w:vAlign w:val="bottom"/>
            <w:hideMark/>
          </w:tcPr>
          <w:p w14:paraId="5563E3BC" w14:textId="77777777" w:rsidR="000D556F" w:rsidRPr="006C6F80" w:rsidRDefault="000D556F" w:rsidP="000D556F">
            <w:pPr>
              <w:rPr>
                <w:color w:val="000000" w:themeColor="text1"/>
                <w:sz w:val="20"/>
                <w:szCs w:val="20"/>
              </w:rPr>
            </w:pPr>
            <w:r w:rsidRPr="006C6F80">
              <w:rPr>
                <w:color w:val="000000" w:themeColor="text1"/>
                <w:sz w:val="20"/>
                <w:szCs w:val="20"/>
              </w:rPr>
              <w:t>First job characteristics</w:t>
            </w:r>
          </w:p>
        </w:tc>
        <w:tc>
          <w:tcPr>
            <w:tcW w:w="1402" w:type="dxa"/>
            <w:tcBorders>
              <w:top w:val="nil"/>
              <w:left w:val="nil"/>
              <w:bottom w:val="nil"/>
              <w:right w:val="nil"/>
            </w:tcBorders>
            <w:shd w:val="clear" w:color="auto" w:fill="auto"/>
            <w:noWrap/>
            <w:vAlign w:val="bottom"/>
            <w:hideMark/>
          </w:tcPr>
          <w:p w14:paraId="7424774A"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c>
          <w:tcPr>
            <w:tcW w:w="1402" w:type="dxa"/>
            <w:tcBorders>
              <w:top w:val="nil"/>
              <w:left w:val="nil"/>
              <w:bottom w:val="nil"/>
              <w:right w:val="nil"/>
            </w:tcBorders>
            <w:shd w:val="clear" w:color="auto" w:fill="auto"/>
            <w:noWrap/>
            <w:vAlign w:val="bottom"/>
            <w:hideMark/>
          </w:tcPr>
          <w:p w14:paraId="3601437A"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c>
          <w:tcPr>
            <w:tcW w:w="1402" w:type="dxa"/>
            <w:tcBorders>
              <w:top w:val="nil"/>
              <w:left w:val="nil"/>
              <w:bottom w:val="nil"/>
              <w:right w:val="nil"/>
            </w:tcBorders>
            <w:shd w:val="clear" w:color="auto" w:fill="auto"/>
            <w:noWrap/>
            <w:vAlign w:val="bottom"/>
            <w:hideMark/>
          </w:tcPr>
          <w:p w14:paraId="698660E1"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r>
      <w:tr w:rsidR="000D556F" w:rsidRPr="006C6F80" w14:paraId="146FFB35" w14:textId="77777777" w:rsidTr="000D556F">
        <w:trPr>
          <w:trHeight w:val="260"/>
          <w:jc w:val="center"/>
        </w:trPr>
        <w:tc>
          <w:tcPr>
            <w:tcW w:w="2134" w:type="dxa"/>
            <w:tcBorders>
              <w:top w:val="nil"/>
              <w:left w:val="nil"/>
              <w:bottom w:val="single" w:sz="4" w:space="0" w:color="auto"/>
              <w:right w:val="nil"/>
            </w:tcBorders>
            <w:shd w:val="clear" w:color="auto" w:fill="auto"/>
            <w:noWrap/>
            <w:vAlign w:val="bottom"/>
            <w:hideMark/>
          </w:tcPr>
          <w:p w14:paraId="1955EE7E" w14:textId="77777777" w:rsidR="000D556F" w:rsidRPr="006C6F80" w:rsidRDefault="000D556F" w:rsidP="000D556F">
            <w:pPr>
              <w:rPr>
                <w:color w:val="000000" w:themeColor="text1"/>
                <w:sz w:val="20"/>
                <w:szCs w:val="20"/>
              </w:rPr>
            </w:pPr>
            <w:r w:rsidRPr="006C6F80">
              <w:rPr>
                <w:color w:val="000000" w:themeColor="text1"/>
                <w:sz w:val="20"/>
                <w:szCs w:val="20"/>
              </w:rPr>
              <w:t>First occupation</w:t>
            </w:r>
          </w:p>
        </w:tc>
        <w:tc>
          <w:tcPr>
            <w:tcW w:w="1402" w:type="dxa"/>
            <w:tcBorders>
              <w:top w:val="nil"/>
              <w:left w:val="nil"/>
              <w:bottom w:val="single" w:sz="4" w:space="0" w:color="auto"/>
              <w:right w:val="nil"/>
            </w:tcBorders>
            <w:shd w:val="clear" w:color="auto" w:fill="auto"/>
            <w:noWrap/>
            <w:vAlign w:val="bottom"/>
            <w:hideMark/>
          </w:tcPr>
          <w:p w14:paraId="10AB1FB5"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c>
          <w:tcPr>
            <w:tcW w:w="1402" w:type="dxa"/>
            <w:tcBorders>
              <w:top w:val="nil"/>
              <w:left w:val="nil"/>
              <w:bottom w:val="single" w:sz="4" w:space="0" w:color="auto"/>
              <w:right w:val="nil"/>
            </w:tcBorders>
            <w:shd w:val="clear" w:color="auto" w:fill="auto"/>
            <w:noWrap/>
            <w:vAlign w:val="bottom"/>
            <w:hideMark/>
          </w:tcPr>
          <w:p w14:paraId="0FEC249E"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c>
          <w:tcPr>
            <w:tcW w:w="1402" w:type="dxa"/>
            <w:tcBorders>
              <w:top w:val="nil"/>
              <w:left w:val="nil"/>
              <w:bottom w:val="single" w:sz="4" w:space="0" w:color="auto"/>
              <w:right w:val="nil"/>
            </w:tcBorders>
            <w:shd w:val="clear" w:color="auto" w:fill="auto"/>
            <w:noWrap/>
            <w:vAlign w:val="bottom"/>
            <w:hideMark/>
          </w:tcPr>
          <w:p w14:paraId="71458E46"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r>
    </w:tbl>
    <w:p w14:paraId="1B8F388C" w14:textId="4D11DD3F" w:rsidR="00C01BFF" w:rsidRPr="006C6F80" w:rsidRDefault="00C01BFF" w:rsidP="000D556F">
      <w:pPr>
        <w:ind w:left="1530" w:right="634"/>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Robust standard errors in parentheses </w:t>
      </w:r>
    </w:p>
    <w:p w14:paraId="60790CA1" w14:textId="77777777" w:rsidR="00C01BFF" w:rsidRPr="006C6F80" w:rsidRDefault="00C01BFF" w:rsidP="000D556F">
      <w:pPr>
        <w:ind w:left="1530" w:right="634"/>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 p&lt;0.01, ** p&lt;0.05, * p&lt;0.1 </w:t>
      </w:r>
    </w:p>
    <w:p w14:paraId="1EE6580E" w14:textId="53E5731A" w:rsidR="00C01BFF" w:rsidRPr="006C6F80" w:rsidRDefault="00C01BFF" w:rsidP="000D556F">
      <w:pPr>
        <w:tabs>
          <w:tab w:val="left" w:pos="9214"/>
          <w:tab w:val="left" w:pos="9270"/>
        </w:tabs>
        <w:ind w:left="1530" w:right="1530"/>
        <w:jc w:val="both"/>
        <w:rPr>
          <w:rFonts w:asciiTheme="majorBidi" w:hAnsiTheme="majorBidi" w:cstheme="majorBidi"/>
          <w:color w:val="000000" w:themeColor="text1"/>
          <w:sz w:val="18"/>
          <w:szCs w:val="18"/>
        </w:rPr>
      </w:pPr>
      <w:r w:rsidRPr="006C6F80">
        <w:rPr>
          <w:rFonts w:asciiTheme="majorBidi" w:hAnsiTheme="majorBidi" w:cstheme="majorBidi"/>
          <w:i/>
          <w:iCs/>
          <w:color w:val="000000" w:themeColor="text1"/>
          <w:sz w:val="18"/>
          <w:szCs w:val="18"/>
        </w:rPr>
        <w:t>Notes.</w:t>
      </w:r>
      <w:r w:rsidR="009417C8" w:rsidRPr="006C6F80">
        <w:rPr>
          <w:rFonts w:asciiTheme="majorBidi" w:hAnsiTheme="majorBidi" w:cstheme="majorBidi"/>
          <w:i/>
          <w:iCs/>
          <w:color w:val="000000" w:themeColor="text1"/>
          <w:sz w:val="18"/>
          <w:szCs w:val="18"/>
        </w:rPr>
        <w:t xml:space="preserve"> </w:t>
      </w:r>
      <w:r w:rsidRPr="006C6F80">
        <w:rPr>
          <w:rFonts w:asciiTheme="majorBidi" w:hAnsiTheme="majorBidi" w:cstheme="majorBidi"/>
          <w:color w:val="000000" w:themeColor="text1"/>
          <w:sz w:val="18"/>
          <w:szCs w:val="18"/>
        </w:rPr>
        <w:t>Coefficient estimates for first stage IV-regressions</w:t>
      </w:r>
      <w:r w:rsidR="006A2A51" w:rsidRPr="006C6F80">
        <w:rPr>
          <w:rFonts w:asciiTheme="majorBidi" w:hAnsiTheme="majorBidi" w:cstheme="majorBidi"/>
          <w:color w:val="000000" w:themeColor="text1"/>
          <w:sz w:val="18"/>
          <w:szCs w:val="18"/>
        </w:rPr>
        <w:t xml:space="preserve"> are reported. W</w:t>
      </w:r>
      <w:r w:rsidRPr="006C6F80">
        <w:rPr>
          <w:rFonts w:asciiTheme="majorBidi" w:hAnsiTheme="majorBidi" w:cstheme="majorBidi"/>
          <w:color w:val="000000" w:themeColor="text1"/>
          <w:sz w:val="18"/>
          <w:szCs w:val="18"/>
        </w:rPr>
        <w:t>e use the inflation-adjusted oil prices when the individual was 26 years old</w:t>
      </w:r>
      <w:r w:rsidR="00B175E5" w:rsidRPr="006C6F80">
        <w:rPr>
          <w:rFonts w:asciiTheme="majorBidi" w:hAnsiTheme="majorBidi" w:cstheme="majorBidi"/>
          <w:color w:val="000000" w:themeColor="text1"/>
          <w:sz w:val="18"/>
          <w:szCs w:val="18"/>
        </w:rPr>
        <w:t xml:space="preserve"> (</w:t>
      </w:r>
      <w:r w:rsidRPr="006C6F80">
        <w:rPr>
          <w:rFonts w:asciiTheme="majorBidi" w:hAnsiTheme="majorBidi" w:cstheme="majorBidi"/>
          <w:color w:val="000000" w:themeColor="text1"/>
          <w:sz w:val="18"/>
          <w:szCs w:val="18"/>
        </w:rPr>
        <w:t xml:space="preserve">the mean age at migration </w:t>
      </w:r>
      <w:r w:rsidR="00B175E5" w:rsidRPr="006C6F80">
        <w:rPr>
          <w:rFonts w:asciiTheme="majorBidi" w:hAnsiTheme="majorBidi" w:cstheme="majorBidi"/>
          <w:color w:val="000000" w:themeColor="text1"/>
          <w:sz w:val="18"/>
          <w:szCs w:val="18"/>
        </w:rPr>
        <w:t>in</w:t>
      </w:r>
      <w:r w:rsidRPr="006C6F80">
        <w:rPr>
          <w:rFonts w:asciiTheme="majorBidi" w:hAnsiTheme="majorBidi" w:cstheme="majorBidi"/>
          <w:color w:val="000000" w:themeColor="text1"/>
          <w:sz w:val="18"/>
          <w:szCs w:val="18"/>
        </w:rPr>
        <w:t xml:space="preserve"> our </w:t>
      </w:r>
      <w:r w:rsidR="00B175E5" w:rsidRPr="006C6F80">
        <w:rPr>
          <w:rFonts w:asciiTheme="majorBidi" w:hAnsiTheme="majorBidi" w:cstheme="majorBidi"/>
          <w:color w:val="000000" w:themeColor="text1"/>
          <w:sz w:val="18"/>
          <w:szCs w:val="18"/>
        </w:rPr>
        <w:t xml:space="preserve">estimation </w:t>
      </w:r>
      <w:r w:rsidRPr="006C6F80">
        <w:rPr>
          <w:rFonts w:asciiTheme="majorBidi" w:hAnsiTheme="majorBidi" w:cstheme="majorBidi"/>
          <w:color w:val="000000" w:themeColor="text1"/>
          <w:sz w:val="18"/>
          <w:szCs w:val="18"/>
        </w:rPr>
        <w:t>sample</w:t>
      </w:r>
      <w:r w:rsidR="00B175E5" w:rsidRPr="006C6F80">
        <w:rPr>
          <w:rFonts w:asciiTheme="majorBidi" w:hAnsiTheme="majorBidi" w:cstheme="majorBidi"/>
          <w:color w:val="000000" w:themeColor="text1"/>
          <w:sz w:val="18"/>
          <w:szCs w:val="18"/>
        </w:rPr>
        <w:t>)</w:t>
      </w:r>
      <w:r w:rsidRPr="006C6F80">
        <w:rPr>
          <w:rFonts w:asciiTheme="majorBidi" w:hAnsiTheme="majorBidi" w:cstheme="majorBidi"/>
          <w:color w:val="000000" w:themeColor="text1"/>
          <w:sz w:val="18"/>
          <w:szCs w:val="18"/>
        </w:rPr>
        <w:t>. For robustness, we also tried to match the oil prices at age 25 and age 27.</w:t>
      </w:r>
    </w:p>
    <w:p w14:paraId="27E9E04F" w14:textId="77777777" w:rsidR="00A766C5" w:rsidRPr="006C6F80" w:rsidRDefault="00A766C5" w:rsidP="00A766C5">
      <w:pPr>
        <w:tabs>
          <w:tab w:val="left" w:pos="9214"/>
          <w:tab w:val="left" w:pos="9270"/>
        </w:tabs>
        <w:ind w:left="1530" w:right="1530"/>
        <w:jc w:val="both"/>
        <w:rPr>
          <w:rFonts w:asciiTheme="majorBidi" w:hAnsiTheme="majorBidi" w:cstheme="majorBidi"/>
          <w:color w:val="000000" w:themeColor="text1"/>
          <w:sz w:val="18"/>
          <w:szCs w:val="18"/>
        </w:rPr>
      </w:pPr>
    </w:p>
    <w:p w14:paraId="6F2C7E46" w14:textId="77777777" w:rsidR="00C345FE" w:rsidRPr="006C6F80" w:rsidRDefault="00C345FE" w:rsidP="003D62C0">
      <w:pPr>
        <w:tabs>
          <w:tab w:val="left" w:pos="8505"/>
          <w:tab w:val="left" w:pos="9214"/>
        </w:tabs>
        <w:spacing w:line="233" w:lineRule="auto"/>
        <w:ind w:right="855"/>
        <w:jc w:val="both"/>
        <w:rPr>
          <w:rFonts w:asciiTheme="majorBidi" w:hAnsiTheme="majorBidi" w:cstheme="majorBidi"/>
          <w:color w:val="000000" w:themeColor="text1"/>
          <w:sz w:val="18"/>
          <w:szCs w:val="18"/>
        </w:rPr>
      </w:pPr>
    </w:p>
    <w:tbl>
      <w:tblPr>
        <w:tblW w:w="10240" w:type="dxa"/>
        <w:jc w:val="center"/>
        <w:tblLook w:val="04A0" w:firstRow="1" w:lastRow="0" w:firstColumn="1" w:lastColumn="0" w:noHBand="0" w:noVBand="1"/>
      </w:tblPr>
      <w:tblGrid>
        <w:gridCol w:w="2209"/>
        <w:gridCol w:w="2363"/>
        <w:gridCol w:w="1633"/>
        <w:gridCol w:w="2402"/>
        <w:gridCol w:w="1633"/>
      </w:tblGrid>
      <w:tr w:rsidR="000D556F" w:rsidRPr="006C6F80" w14:paraId="306DDF5D" w14:textId="77777777" w:rsidTr="000D556F">
        <w:trPr>
          <w:trHeight w:val="260"/>
          <w:jc w:val="center"/>
        </w:trPr>
        <w:tc>
          <w:tcPr>
            <w:tcW w:w="10240" w:type="dxa"/>
            <w:gridSpan w:val="5"/>
            <w:tcBorders>
              <w:top w:val="nil"/>
              <w:left w:val="nil"/>
              <w:bottom w:val="single" w:sz="4" w:space="0" w:color="auto"/>
              <w:right w:val="nil"/>
            </w:tcBorders>
            <w:shd w:val="clear" w:color="auto" w:fill="auto"/>
            <w:noWrap/>
            <w:vAlign w:val="center"/>
            <w:hideMark/>
          </w:tcPr>
          <w:p w14:paraId="2BE5F828" w14:textId="77777777" w:rsidR="000D556F" w:rsidRPr="006C6F80" w:rsidRDefault="000D556F" w:rsidP="000D556F">
            <w:pPr>
              <w:jc w:val="center"/>
              <w:rPr>
                <w:b/>
                <w:bCs/>
                <w:color w:val="000000" w:themeColor="text1"/>
                <w:sz w:val="20"/>
                <w:szCs w:val="20"/>
              </w:rPr>
            </w:pPr>
            <w:r w:rsidRPr="006C6F80">
              <w:rPr>
                <w:b/>
                <w:bCs/>
                <w:color w:val="000000" w:themeColor="text1"/>
                <w:sz w:val="20"/>
                <w:szCs w:val="20"/>
              </w:rPr>
              <w:t>Table 4: Estimating the effect of return migration on occupational mobility</w:t>
            </w:r>
          </w:p>
        </w:tc>
      </w:tr>
      <w:tr w:rsidR="000D556F" w:rsidRPr="006C6F80" w14:paraId="6A424AE4" w14:textId="77777777" w:rsidTr="000D556F">
        <w:trPr>
          <w:trHeight w:val="260"/>
          <w:jc w:val="center"/>
        </w:trPr>
        <w:tc>
          <w:tcPr>
            <w:tcW w:w="2209" w:type="dxa"/>
            <w:tcBorders>
              <w:top w:val="nil"/>
              <w:left w:val="nil"/>
              <w:bottom w:val="nil"/>
              <w:right w:val="nil"/>
            </w:tcBorders>
            <w:shd w:val="clear" w:color="auto" w:fill="auto"/>
            <w:noWrap/>
            <w:vAlign w:val="center"/>
            <w:hideMark/>
          </w:tcPr>
          <w:p w14:paraId="021EBB8B" w14:textId="77777777" w:rsidR="000D556F" w:rsidRPr="006C6F80" w:rsidRDefault="000D556F" w:rsidP="000D556F">
            <w:pPr>
              <w:rPr>
                <w:color w:val="000000" w:themeColor="text1"/>
                <w:sz w:val="20"/>
                <w:szCs w:val="20"/>
              </w:rPr>
            </w:pPr>
            <w:r w:rsidRPr="006C6F80">
              <w:rPr>
                <w:color w:val="000000" w:themeColor="text1"/>
                <w:sz w:val="20"/>
                <w:szCs w:val="20"/>
              </w:rPr>
              <w:t> </w:t>
            </w:r>
          </w:p>
        </w:tc>
        <w:tc>
          <w:tcPr>
            <w:tcW w:w="2363" w:type="dxa"/>
            <w:tcBorders>
              <w:top w:val="nil"/>
              <w:left w:val="nil"/>
              <w:bottom w:val="nil"/>
              <w:right w:val="nil"/>
            </w:tcBorders>
            <w:shd w:val="clear" w:color="auto" w:fill="auto"/>
            <w:noWrap/>
            <w:vAlign w:val="center"/>
            <w:hideMark/>
          </w:tcPr>
          <w:p w14:paraId="700D8548" w14:textId="77777777" w:rsidR="000D556F" w:rsidRPr="006C6F80" w:rsidRDefault="000D556F" w:rsidP="000D556F">
            <w:pPr>
              <w:jc w:val="center"/>
              <w:rPr>
                <w:color w:val="000000" w:themeColor="text1"/>
                <w:sz w:val="20"/>
                <w:szCs w:val="20"/>
              </w:rPr>
            </w:pPr>
            <w:r w:rsidRPr="006C6F80">
              <w:rPr>
                <w:color w:val="000000" w:themeColor="text1"/>
                <w:sz w:val="20"/>
                <w:szCs w:val="20"/>
              </w:rPr>
              <w:t>(1)</w:t>
            </w:r>
          </w:p>
        </w:tc>
        <w:tc>
          <w:tcPr>
            <w:tcW w:w="1633" w:type="dxa"/>
            <w:tcBorders>
              <w:top w:val="nil"/>
              <w:left w:val="nil"/>
              <w:bottom w:val="nil"/>
              <w:right w:val="nil"/>
            </w:tcBorders>
            <w:shd w:val="clear" w:color="auto" w:fill="auto"/>
            <w:noWrap/>
            <w:vAlign w:val="center"/>
            <w:hideMark/>
          </w:tcPr>
          <w:p w14:paraId="51BF076E" w14:textId="77777777" w:rsidR="000D556F" w:rsidRPr="006C6F80" w:rsidRDefault="000D556F" w:rsidP="000D556F">
            <w:pPr>
              <w:jc w:val="center"/>
              <w:rPr>
                <w:color w:val="000000" w:themeColor="text1"/>
                <w:sz w:val="20"/>
                <w:szCs w:val="20"/>
              </w:rPr>
            </w:pPr>
            <w:r w:rsidRPr="006C6F80">
              <w:rPr>
                <w:color w:val="000000" w:themeColor="text1"/>
                <w:sz w:val="20"/>
                <w:szCs w:val="20"/>
              </w:rPr>
              <w:t>(2)</w:t>
            </w:r>
          </w:p>
        </w:tc>
        <w:tc>
          <w:tcPr>
            <w:tcW w:w="2402" w:type="dxa"/>
            <w:tcBorders>
              <w:top w:val="nil"/>
              <w:left w:val="nil"/>
              <w:bottom w:val="nil"/>
              <w:right w:val="nil"/>
            </w:tcBorders>
            <w:shd w:val="clear" w:color="auto" w:fill="auto"/>
            <w:noWrap/>
            <w:vAlign w:val="center"/>
            <w:hideMark/>
          </w:tcPr>
          <w:p w14:paraId="288CE380" w14:textId="77777777" w:rsidR="000D556F" w:rsidRPr="006C6F80" w:rsidRDefault="000D556F" w:rsidP="000D556F">
            <w:pPr>
              <w:jc w:val="center"/>
              <w:rPr>
                <w:color w:val="000000" w:themeColor="text1"/>
                <w:sz w:val="20"/>
                <w:szCs w:val="20"/>
              </w:rPr>
            </w:pPr>
            <w:r w:rsidRPr="006C6F80">
              <w:rPr>
                <w:color w:val="000000" w:themeColor="text1"/>
                <w:sz w:val="20"/>
                <w:szCs w:val="20"/>
              </w:rPr>
              <w:t>(3)</w:t>
            </w:r>
          </w:p>
        </w:tc>
        <w:tc>
          <w:tcPr>
            <w:tcW w:w="1633" w:type="dxa"/>
            <w:tcBorders>
              <w:top w:val="nil"/>
              <w:left w:val="nil"/>
              <w:bottom w:val="nil"/>
              <w:right w:val="nil"/>
            </w:tcBorders>
            <w:shd w:val="clear" w:color="auto" w:fill="auto"/>
            <w:noWrap/>
            <w:vAlign w:val="center"/>
            <w:hideMark/>
          </w:tcPr>
          <w:p w14:paraId="4000657D" w14:textId="77777777" w:rsidR="000D556F" w:rsidRPr="006C6F80" w:rsidRDefault="000D556F" w:rsidP="000D556F">
            <w:pPr>
              <w:jc w:val="center"/>
              <w:rPr>
                <w:color w:val="000000" w:themeColor="text1"/>
                <w:sz w:val="20"/>
                <w:szCs w:val="20"/>
              </w:rPr>
            </w:pPr>
            <w:r w:rsidRPr="006C6F80">
              <w:rPr>
                <w:color w:val="000000" w:themeColor="text1"/>
                <w:sz w:val="20"/>
                <w:szCs w:val="20"/>
              </w:rPr>
              <w:t>(4)</w:t>
            </w:r>
          </w:p>
        </w:tc>
      </w:tr>
      <w:tr w:rsidR="000D556F" w:rsidRPr="006C6F80" w14:paraId="33A66E13" w14:textId="77777777" w:rsidTr="000D556F">
        <w:trPr>
          <w:trHeight w:val="260"/>
          <w:jc w:val="center"/>
        </w:trPr>
        <w:tc>
          <w:tcPr>
            <w:tcW w:w="2209" w:type="dxa"/>
            <w:tcBorders>
              <w:top w:val="nil"/>
              <w:left w:val="nil"/>
              <w:bottom w:val="nil"/>
              <w:right w:val="nil"/>
            </w:tcBorders>
            <w:shd w:val="clear" w:color="auto" w:fill="auto"/>
            <w:noWrap/>
            <w:vAlign w:val="center"/>
            <w:hideMark/>
          </w:tcPr>
          <w:p w14:paraId="0C400EE8" w14:textId="77777777" w:rsidR="000D556F" w:rsidRPr="006C6F80" w:rsidRDefault="000D556F" w:rsidP="000D556F">
            <w:pPr>
              <w:jc w:val="center"/>
              <w:rPr>
                <w:color w:val="000000" w:themeColor="text1"/>
                <w:sz w:val="20"/>
                <w:szCs w:val="20"/>
              </w:rPr>
            </w:pPr>
          </w:p>
        </w:tc>
        <w:tc>
          <w:tcPr>
            <w:tcW w:w="2363" w:type="dxa"/>
            <w:tcBorders>
              <w:top w:val="nil"/>
              <w:left w:val="nil"/>
              <w:bottom w:val="nil"/>
              <w:right w:val="nil"/>
            </w:tcBorders>
            <w:shd w:val="clear" w:color="auto" w:fill="auto"/>
            <w:noWrap/>
            <w:vAlign w:val="center"/>
            <w:hideMark/>
          </w:tcPr>
          <w:p w14:paraId="10889A59" w14:textId="77777777" w:rsidR="000D556F" w:rsidRPr="006C6F80" w:rsidRDefault="000D556F" w:rsidP="000D556F">
            <w:pPr>
              <w:jc w:val="center"/>
              <w:rPr>
                <w:color w:val="000000" w:themeColor="text1"/>
                <w:sz w:val="20"/>
                <w:szCs w:val="20"/>
              </w:rPr>
            </w:pPr>
            <w:r w:rsidRPr="006C6F80">
              <w:rPr>
                <w:color w:val="000000" w:themeColor="text1"/>
                <w:sz w:val="20"/>
                <w:szCs w:val="20"/>
              </w:rPr>
              <w:t>Linear probability model</w:t>
            </w:r>
          </w:p>
        </w:tc>
        <w:tc>
          <w:tcPr>
            <w:tcW w:w="1633" w:type="dxa"/>
            <w:tcBorders>
              <w:top w:val="nil"/>
              <w:left w:val="nil"/>
              <w:bottom w:val="nil"/>
              <w:right w:val="nil"/>
            </w:tcBorders>
            <w:shd w:val="clear" w:color="auto" w:fill="auto"/>
            <w:noWrap/>
            <w:vAlign w:val="center"/>
            <w:hideMark/>
          </w:tcPr>
          <w:p w14:paraId="6396076B" w14:textId="77777777" w:rsidR="000D556F" w:rsidRPr="006C6F80" w:rsidRDefault="000D556F" w:rsidP="000D556F">
            <w:pPr>
              <w:jc w:val="center"/>
              <w:rPr>
                <w:color w:val="000000" w:themeColor="text1"/>
                <w:sz w:val="20"/>
                <w:szCs w:val="20"/>
              </w:rPr>
            </w:pPr>
            <w:r w:rsidRPr="006C6F80">
              <w:rPr>
                <w:color w:val="000000" w:themeColor="text1"/>
                <w:sz w:val="20"/>
                <w:szCs w:val="20"/>
              </w:rPr>
              <w:t>IV-Regression</w:t>
            </w:r>
          </w:p>
        </w:tc>
        <w:tc>
          <w:tcPr>
            <w:tcW w:w="2402" w:type="dxa"/>
            <w:tcBorders>
              <w:top w:val="nil"/>
              <w:left w:val="nil"/>
              <w:bottom w:val="nil"/>
              <w:right w:val="nil"/>
            </w:tcBorders>
            <w:shd w:val="clear" w:color="auto" w:fill="auto"/>
            <w:noWrap/>
            <w:vAlign w:val="center"/>
            <w:hideMark/>
          </w:tcPr>
          <w:p w14:paraId="0DA791D4" w14:textId="77777777" w:rsidR="000D556F" w:rsidRPr="006C6F80" w:rsidRDefault="000D556F" w:rsidP="000D556F">
            <w:pPr>
              <w:jc w:val="center"/>
              <w:rPr>
                <w:color w:val="000000" w:themeColor="text1"/>
                <w:sz w:val="20"/>
                <w:szCs w:val="20"/>
              </w:rPr>
            </w:pPr>
            <w:r w:rsidRPr="006C6F80">
              <w:rPr>
                <w:color w:val="000000" w:themeColor="text1"/>
                <w:sz w:val="20"/>
                <w:szCs w:val="20"/>
              </w:rPr>
              <w:t>Linear Probability Model</w:t>
            </w:r>
          </w:p>
        </w:tc>
        <w:tc>
          <w:tcPr>
            <w:tcW w:w="1633" w:type="dxa"/>
            <w:tcBorders>
              <w:top w:val="nil"/>
              <w:left w:val="nil"/>
              <w:bottom w:val="nil"/>
              <w:right w:val="nil"/>
            </w:tcBorders>
            <w:shd w:val="clear" w:color="auto" w:fill="auto"/>
            <w:noWrap/>
            <w:vAlign w:val="center"/>
            <w:hideMark/>
          </w:tcPr>
          <w:p w14:paraId="70923274" w14:textId="77777777" w:rsidR="000D556F" w:rsidRPr="006C6F80" w:rsidRDefault="000D556F" w:rsidP="000D556F">
            <w:pPr>
              <w:jc w:val="center"/>
              <w:rPr>
                <w:color w:val="000000" w:themeColor="text1"/>
                <w:sz w:val="20"/>
                <w:szCs w:val="20"/>
              </w:rPr>
            </w:pPr>
            <w:r w:rsidRPr="006C6F80">
              <w:rPr>
                <w:color w:val="000000" w:themeColor="text1"/>
                <w:sz w:val="20"/>
                <w:szCs w:val="20"/>
              </w:rPr>
              <w:t>IV-Regression</w:t>
            </w:r>
          </w:p>
        </w:tc>
      </w:tr>
      <w:tr w:rsidR="000D556F" w:rsidRPr="006C6F80" w14:paraId="1E7D4159" w14:textId="77777777" w:rsidTr="000D556F">
        <w:trPr>
          <w:trHeight w:val="260"/>
          <w:jc w:val="center"/>
        </w:trPr>
        <w:tc>
          <w:tcPr>
            <w:tcW w:w="2209" w:type="dxa"/>
            <w:tcBorders>
              <w:top w:val="nil"/>
              <w:left w:val="nil"/>
              <w:bottom w:val="nil"/>
              <w:right w:val="nil"/>
            </w:tcBorders>
            <w:shd w:val="clear" w:color="auto" w:fill="auto"/>
            <w:noWrap/>
            <w:vAlign w:val="center"/>
            <w:hideMark/>
          </w:tcPr>
          <w:p w14:paraId="12D991F7" w14:textId="77777777" w:rsidR="000D556F" w:rsidRPr="006C6F80" w:rsidRDefault="000D556F" w:rsidP="000D556F">
            <w:pPr>
              <w:rPr>
                <w:color w:val="000000" w:themeColor="text1"/>
                <w:sz w:val="20"/>
                <w:szCs w:val="20"/>
              </w:rPr>
            </w:pPr>
            <w:r w:rsidRPr="006C6F80">
              <w:rPr>
                <w:color w:val="000000" w:themeColor="text1"/>
                <w:sz w:val="20"/>
                <w:szCs w:val="20"/>
              </w:rPr>
              <w:t>VARIABLES</w:t>
            </w:r>
          </w:p>
        </w:tc>
        <w:tc>
          <w:tcPr>
            <w:tcW w:w="2363" w:type="dxa"/>
            <w:tcBorders>
              <w:top w:val="nil"/>
              <w:left w:val="nil"/>
              <w:bottom w:val="nil"/>
              <w:right w:val="nil"/>
            </w:tcBorders>
            <w:shd w:val="clear" w:color="auto" w:fill="auto"/>
            <w:noWrap/>
            <w:vAlign w:val="center"/>
            <w:hideMark/>
          </w:tcPr>
          <w:p w14:paraId="3FC17A03" w14:textId="77777777" w:rsidR="000D556F" w:rsidRPr="006C6F80" w:rsidRDefault="000D556F" w:rsidP="000D556F">
            <w:pPr>
              <w:jc w:val="center"/>
              <w:rPr>
                <w:color w:val="000000" w:themeColor="text1"/>
                <w:sz w:val="20"/>
                <w:szCs w:val="20"/>
              </w:rPr>
            </w:pPr>
            <w:r w:rsidRPr="006C6F80">
              <w:rPr>
                <w:color w:val="000000" w:themeColor="text1"/>
                <w:sz w:val="20"/>
                <w:szCs w:val="20"/>
              </w:rPr>
              <w:t>Upward mobility</w:t>
            </w:r>
          </w:p>
        </w:tc>
        <w:tc>
          <w:tcPr>
            <w:tcW w:w="1633" w:type="dxa"/>
            <w:tcBorders>
              <w:top w:val="nil"/>
              <w:left w:val="nil"/>
              <w:bottom w:val="nil"/>
              <w:right w:val="nil"/>
            </w:tcBorders>
            <w:shd w:val="clear" w:color="auto" w:fill="auto"/>
            <w:noWrap/>
            <w:vAlign w:val="center"/>
            <w:hideMark/>
          </w:tcPr>
          <w:p w14:paraId="7C72914A" w14:textId="77777777" w:rsidR="000D556F" w:rsidRPr="006C6F80" w:rsidRDefault="000D556F" w:rsidP="000D556F">
            <w:pPr>
              <w:jc w:val="center"/>
              <w:rPr>
                <w:color w:val="000000" w:themeColor="text1"/>
                <w:sz w:val="20"/>
                <w:szCs w:val="20"/>
              </w:rPr>
            </w:pPr>
            <w:r w:rsidRPr="006C6F80">
              <w:rPr>
                <w:color w:val="000000" w:themeColor="text1"/>
                <w:sz w:val="20"/>
                <w:szCs w:val="20"/>
              </w:rPr>
              <w:t>Upward mobility</w:t>
            </w:r>
          </w:p>
        </w:tc>
        <w:tc>
          <w:tcPr>
            <w:tcW w:w="2402" w:type="dxa"/>
            <w:tcBorders>
              <w:top w:val="nil"/>
              <w:left w:val="nil"/>
              <w:bottom w:val="nil"/>
              <w:right w:val="nil"/>
            </w:tcBorders>
            <w:shd w:val="clear" w:color="auto" w:fill="auto"/>
            <w:noWrap/>
            <w:vAlign w:val="center"/>
            <w:hideMark/>
          </w:tcPr>
          <w:p w14:paraId="523CB9AB" w14:textId="77777777" w:rsidR="000D556F" w:rsidRPr="006C6F80" w:rsidRDefault="000D556F" w:rsidP="000D556F">
            <w:pPr>
              <w:jc w:val="center"/>
              <w:rPr>
                <w:color w:val="000000" w:themeColor="text1"/>
                <w:sz w:val="20"/>
                <w:szCs w:val="20"/>
              </w:rPr>
            </w:pPr>
            <w:r w:rsidRPr="006C6F80">
              <w:rPr>
                <w:color w:val="000000" w:themeColor="text1"/>
                <w:sz w:val="20"/>
                <w:szCs w:val="20"/>
              </w:rPr>
              <w:t>Upward mobility</w:t>
            </w:r>
          </w:p>
        </w:tc>
        <w:tc>
          <w:tcPr>
            <w:tcW w:w="1633" w:type="dxa"/>
            <w:tcBorders>
              <w:top w:val="nil"/>
              <w:left w:val="nil"/>
              <w:bottom w:val="nil"/>
              <w:right w:val="nil"/>
            </w:tcBorders>
            <w:shd w:val="clear" w:color="auto" w:fill="auto"/>
            <w:noWrap/>
            <w:vAlign w:val="center"/>
            <w:hideMark/>
          </w:tcPr>
          <w:p w14:paraId="7EABC3A3" w14:textId="77777777" w:rsidR="000D556F" w:rsidRPr="006C6F80" w:rsidRDefault="000D556F" w:rsidP="000D556F">
            <w:pPr>
              <w:jc w:val="center"/>
              <w:rPr>
                <w:color w:val="000000" w:themeColor="text1"/>
                <w:sz w:val="20"/>
                <w:szCs w:val="20"/>
              </w:rPr>
            </w:pPr>
            <w:r w:rsidRPr="006C6F80">
              <w:rPr>
                <w:color w:val="000000" w:themeColor="text1"/>
                <w:sz w:val="20"/>
                <w:szCs w:val="20"/>
              </w:rPr>
              <w:t>Upward mobility</w:t>
            </w:r>
          </w:p>
        </w:tc>
      </w:tr>
      <w:tr w:rsidR="000D556F" w:rsidRPr="006C6F80" w14:paraId="17B6662D" w14:textId="77777777" w:rsidTr="000D556F">
        <w:trPr>
          <w:trHeight w:val="260"/>
          <w:jc w:val="center"/>
        </w:trPr>
        <w:tc>
          <w:tcPr>
            <w:tcW w:w="2209" w:type="dxa"/>
            <w:tcBorders>
              <w:top w:val="single" w:sz="4" w:space="0" w:color="auto"/>
              <w:left w:val="nil"/>
              <w:bottom w:val="nil"/>
              <w:right w:val="nil"/>
            </w:tcBorders>
            <w:shd w:val="clear" w:color="auto" w:fill="auto"/>
            <w:noWrap/>
            <w:vAlign w:val="center"/>
            <w:hideMark/>
          </w:tcPr>
          <w:p w14:paraId="4640B3FF" w14:textId="77777777" w:rsidR="000D556F" w:rsidRPr="006C6F80" w:rsidRDefault="000D556F" w:rsidP="000D556F">
            <w:pPr>
              <w:rPr>
                <w:color w:val="000000" w:themeColor="text1"/>
                <w:sz w:val="20"/>
                <w:szCs w:val="20"/>
              </w:rPr>
            </w:pPr>
            <w:r w:rsidRPr="006C6F80">
              <w:rPr>
                <w:color w:val="000000" w:themeColor="text1"/>
                <w:sz w:val="20"/>
                <w:szCs w:val="20"/>
              </w:rPr>
              <w:t> </w:t>
            </w:r>
          </w:p>
        </w:tc>
        <w:tc>
          <w:tcPr>
            <w:tcW w:w="2363" w:type="dxa"/>
            <w:tcBorders>
              <w:top w:val="single" w:sz="4" w:space="0" w:color="auto"/>
              <w:left w:val="nil"/>
              <w:bottom w:val="nil"/>
              <w:right w:val="nil"/>
            </w:tcBorders>
            <w:shd w:val="clear" w:color="auto" w:fill="auto"/>
            <w:noWrap/>
            <w:vAlign w:val="center"/>
            <w:hideMark/>
          </w:tcPr>
          <w:p w14:paraId="3B460E1C" w14:textId="77777777" w:rsidR="000D556F" w:rsidRPr="006C6F80" w:rsidRDefault="000D556F" w:rsidP="000D556F">
            <w:pPr>
              <w:jc w:val="center"/>
              <w:rPr>
                <w:color w:val="000000" w:themeColor="text1"/>
                <w:sz w:val="20"/>
                <w:szCs w:val="20"/>
              </w:rPr>
            </w:pPr>
            <w:r w:rsidRPr="006C6F80">
              <w:rPr>
                <w:color w:val="000000" w:themeColor="text1"/>
                <w:sz w:val="20"/>
                <w:szCs w:val="20"/>
              </w:rPr>
              <w:t> </w:t>
            </w:r>
          </w:p>
        </w:tc>
        <w:tc>
          <w:tcPr>
            <w:tcW w:w="1633" w:type="dxa"/>
            <w:tcBorders>
              <w:top w:val="single" w:sz="4" w:space="0" w:color="auto"/>
              <w:left w:val="nil"/>
              <w:bottom w:val="nil"/>
              <w:right w:val="nil"/>
            </w:tcBorders>
            <w:shd w:val="clear" w:color="auto" w:fill="auto"/>
            <w:noWrap/>
            <w:vAlign w:val="center"/>
            <w:hideMark/>
          </w:tcPr>
          <w:p w14:paraId="09982529" w14:textId="77777777" w:rsidR="000D556F" w:rsidRPr="006C6F80" w:rsidRDefault="000D556F" w:rsidP="000D556F">
            <w:pPr>
              <w:jc w:val="center"/>
              <w:rPr>
                <w:color w:val="000000" w:themeColor="text1"/>
                <w:sz w:val="20"/>
                <w:szCs w:val="20"/>
              </w:rPr>
            </w:pPr>
            <w:r w:rsidRPr="006C6F80">
              <w:rPr>
                <w:color w:val="000000" w:themeColor="text1"/>
                <w:sz w:val="20"/>
                <w:szCs w:val="20"/>
              </w:rPr>
              <w:t> </w:t>
            </w:r>
          </w:p>
        </w:tc>
        <w:tc>
          <w:tcPr>
            <w:tcW w:w="2402" w:type="dxa"/>
            <w:tcBorders>
              <w:top w:val="single" w:sz="4" w:space="0" w:color="auto"/>
              <w:left w:val="nil"/>
              <w:bottom w:val="nil"/>
              <w:right w:val="nil"/>
            </w:tcBorders>
            <w:shd w:val="clear" w:color="auto" w:fill="auto"/>
            <w:noWrap/>
            <w:vAlign w:val="center"/>
            <w:hideMark/>
          </w:tcPr>
          <w:p w14:paraId="2CD65955" w14:textId="77777777" w:rsidR="000D556F" w:rsidRPr="006C6F80" w:rsidRDefault="000D556F" w:rsidP="000D556F">
            <w:pPr>
              <w:jc w:val="center"/>
              <w:rPr>
                <w:color w:val="000000" w:themeColor="text1"/>
                <w:sz w:val="20"/>
                <w:szCs w:val="20"/>
              </w:rPr>
            </w:pPr>
            <w:r w:rsidRPr="006C6F80">
              <w:rPr>
                <w:color w:val="000000" w:themeColor="text1"/>
                <w:sz w:val="20"/>
                <w:szCs w:val="20"/>
              </w:rPr>
              <w:t> </w:t>
            </w:r>
          </w:p>
        </w:tc>
        <w:tc>
          <w:tcPr>
            <w:tcW w:w="1633" w:type="dxa"/>
            <w:tcBorders>
              <w:top w:val="single" w:sz="4" w:space="0" w:color="auto"/>
              <w:left w:val="nil"/>
              <w:bottom w:val="nil"/>
              <w:right w:val="nil"/>
            </w:tcBorders>
            <w:shd w:val="clear" w:color="auto" w:fill="auto"/>
            <w:noWrap/>
            <w:vAlign w:val="center"/>
            <w:hideMark/>
          </w:tcPr>
          <w:p w14:paraId="362DD7A3" w14:textId="77777777" w:rsidR="000D556F" w:rsidRPr="006C6F80" w:rsidRDefault="000D556F" w:rsidP="000D556F">
            <w:pPr>
              <w:jc w:val="center"/>
              <w:rPr>
                <w:color w:val="000000" w:themeColor="text1"/>
                <w:sz w:val="20"/>
                <w:szCs w:val="20"/>
              </w:rPr>
            </w:pPr>
            <w:r w:rsidRPr="006C6F80">
              <w:rPr>
                <w:color w:val="000000" w:themeColor="text1"/>
                <w:sz w:val="20"/>
                <w:szCs w:val="20"/>
              </w:rPr>
              <w:t> </w:t>
            </w:r>
          </w:p>
        </w:tc>
      </w:tr>
      <w:tr w:rsidR="000D556F" w:rsidRPr="006C6F80" w14:paraId="370F03DA" w14:textId="77777777" w:rsidTr="000D556F">
        <w:trPr>
          <w:trHeight w:val="260"/>
          <w:jc w:val="center"/>
        </w:trPr>
        <w:tc>
          <w:tcPr>
            <w:tcW w:w="2209" w:type="dxa"/>
            <w:tcBorders>
              <w:top w:val="nil"/>
              <w:left w:val="nil"/>
              <w:bottom w:val="nil"/>
              <w:right w:val="nil"/>
            </w:tcBorders>
            <w:shd w:val="clear" w:color="auto" w:fill="auto"/>
            <w:noWrap/>
            <w:vAlign w:val="center"/>
            <w:hideMark/>
          </w:tcPr>
          <w:p w14:paraId="4B7A9DA5" w14:textId="77777777" w:rsidR="000D556F" w:rsidRPr="006C6F80" w:rsidRDefault="000D556F" w:rsidP="000D556F">
            <w:pPr>
              <w:rPr>
                <w:color w:val="000000" w:themeColor="text1"/>
                <w:sz w:val="20"/>
                <w:szCs w:val="20"/>
              </w:rPr>
            </w:pPr>
            <w:r w:rsidRPr="006C6F80">
              <w:rPr>
                <w:color w:val="000000" w:themeColor="text1"/>
                <w:sz w:val="20"/>
                <w:szCs w:val="20"/>
              </w:rPr>
              <w:t>Return migrant</w:t>
            </w:r>
          </w:p>
        </w:tc>
        <w:tc>
          <w:tcPr>
            <w:tcW w:w="2363" w:type="dxa"/>
            <w:tcBorders>
              <w:top w:val="nil"/>
              <w:left w:val="nil"/>
              <w:bottom w:val="nil"/>
              <w:right w:val="nil"/>
            </w:tcBorders>
            <w:shd w:val="clear" w:color="auto" w:fill="auto"/>
            <w:noWrap/>
            <w:vAlign w:val="bottom"/>
            <w:hideMark/>
          </w:tcPr>
          <w:p w14:paraId="39FE9FDA" w14:textId="77777777" w:rsidR="000D556F" w:rsidRPr="006C6F80" w:rsidRDefault="000D556F" w:rsidP="000D556F">
            <w:pPr>
              <w:jc w:val="center"/>
              <w:rPr>
                <w:color w:val="000000" w:themeColor="text1"/>
                <w:sz w:val="20"/>
                <w:szCs w:val="20"/>
              </w:rPr>
            </w:pPr>
            <w:r w:rsidRPr="006C6F80">
              <w:rPr>
                <w:color w:val="000000" w:themeColor="text1"/>
                <w:sz w:val="20"/>
                <w:szCs w:val="20"/>
              </w:rPr>
              <w:t>0.152***</w:t>
            </w:r>
          </w:p>
        </w:tc>
        <w:tc>
          <w:tcPr>
            <w:tcW w:w="1633" w:type="dxa"/>
            <w:tcBorders>
              <w:top w:val="nil"/>
              <w:left w:val="nil"/>
              <w:bottom w:val="nil"/>
              <w:right w:val="nil"/>
            </w:tcBorders>
            <w:shd w:val="clear" w:color="auto" w:fill="auto"/>
            <w:noWrap/>
            <w:vAlign w:val="bottom"/>
            <w:hideMark/>
          </w:tcPr>
          <w:p w14:paraId="78475106" w14:textId="77777777" w:rsidR="000D556F" w:rsidRPr="006C6F80" w:rsidRDefault="000D556F" w:rsidP="000D556F">
            <w:pPr>
              <w:jc w:val="center"/>
              <w:rPr>
                <w:color w:val="000000" w:themeColor="text1"/>
                <w:sz w:val="20"/>
                <w:szCs w:val="20"/>
              </w:rPr>
            </w:pPr>
            <w:r w:rsidRPr="006C6F80">
              <w:rPr>
                <w:color w:val="000000" w:themeColor="text1"/>
                <w:sz w:val="20"/>
                <w:szCs w:val="20"/>
              </w:rPr>
              <w:t>0.165***</w:t>
            </w:r>
          </w:p>
        </w:tc>
        <w:tc>
          <w:tcPr>
            <w:tcW w:w="2402" w:type="dxa"/>
            <w:tcBorders>
              <w:top w:val="nil"/>
              <w:left w:val="nil"/>
              <w:bottom w:val="nil"/>
              <w:right w:val="nil"/>
            </w:tcBorders>
            <w:shd w:val="clear" w:color="auto" w:fill="auto"/>
            <w:noWrap/>
            <w:vAlign w:val="bottom"/>
            <w:hideMark/>
          </w:tcPr>
          <w:p w14:paraId="62FC436C" w14:textId="77777777" w:rsidR="000D556F" w:rsidRPr="006C6F80" w:rsidRDefault="000D556F" w:rsidP="000D556F">
            <w:pPr>
              <w:jc w:val="center"/>
              <w:rPr>
                <w:color w:val="000000" w:themeColor="text1"/>
                <w:sz w:val="20"/>
                <w:szCs w:val="20"/>
              </w:rPr>
            </w:pPr>
            <w:r w:rsidRPr="006C6F80">
              <w:rPr>
                <w:color w:val="000000" w:themeColor="text1"/>
                <w:sz w:val="20"/>
                <w:szCs w:val="20"/>
              </w:rPr>
              <w:t>0.144***</w:t>
            </w:r>
          </w:p>
        </w:tc>
        <w:tc>
          <w:tcPr>
            <w:tcW w:w="1633" w:type="dxa"/>
            <w:tcBorders>
              <w:top w:val="nil"/>
              <w:left w:val="nil"/>
              <w:bottom w:val="nil"/>
              <w:right w:val="nil"/>
            </w:tcBorders>
            <w:shd w:val="clear" w:color="auto" w:fill="auto"/>
            <w:noWrap/>
            <w:vAlign w:val="bottom"/>
            <w:hideMark/>
          </w:tcPr>
          <w:p w14:paraId="02B363F9" w14:textId="77777777" w:rsidR="000D556F" w:rsidRPr="006C6F80" w:rsidRDefault="000D556F" w:rsidP="000D556F">
            <w:pPr>
              <w:jc w:val="center"/>
              <w:rPr>
                <w:color w:val="000000" w:themeColor="text1"/>
                <w:sz w:val="20"/>
                <w:szCs w:val="20"/>
              </w:rPr>
            </w:pPr>
            <w:r w:rsidRPr="006C6F80">
              <w:rPr>
                <w:color w:val="000000" w:themeColor="text1"/>
                <w:sz w:val="20"/>
                <w:szCs w:val="20"/>
              </w:rPr>
              <w:t>0.158***</w:t>
            </w:r>
          </w:p>
        </w:tc>
      </w:tr>
      <w:tr w:rsidR="000D556F" w:rsidRPr="006C6F80" w14:paraId="33DE5240" w14:textId="77777777" w:rsidTr="000D556F">
        <w:trPr>
          <w:trHeight w:val="260"/>
          <w:jc w:val="center"/>
        </w:trPr>
        <w:tc>
          <w:tcPr>
            <w:tcW w:w="2209" w:type="dxa"/>
            <w:tcBorders>
              <w:top w:val="nil"/>
              <w:left w:val="nil"/>
              <w:bottom w:val="nil"/>
              <w:right w:val="nil"/>
            </w:tcBorders>
            <w:shd w:val="clear" w:color="auto" w:fill="auto"/>
            <w:noWrap/>
            <w:vAlign w:val="center"/>
            <w:hideMark/>
          </w:tcPr>
          <w:p w14:paraId="5613851C" w14:textId="77777777" w:rsidR="000D556F" w:rsidRPr="006C6F80" w:rsidRDefault="000D556F" w:rsidP="000D556F">
            <w:pPr>
              <w:jc w:val="center"/>
              <w:rPr>
                <w:color w:val="000000" w:themeColor="text1"/>
                <w:sz w:val="20"/>
                <w:szCs w:val="20"/>
              </w:rPr>
            </w:pPr>
          </w:p>
        </w:tc>
        <w:tc>
          <w:tcPr>
            <w:tcW w:w="2363" w:type="dxa"/>
            <w:tcBorders>
              <w:top w:val="nil"/>
              <w:left w:val="nil"/>
              <w:bottom w:val="nil"/>
              <w:right w:val="nil"/>
            </w:tcBorders>
            <w:shd w:val="clear" w:color="auto" w:fill="auto"/>
            <w:noWrap/>
            <w:vAlign w:val="bottom"/>
            <w:hideMark/>
          </w:tcPr>
          <w:p w14:paraId="45E65585" w14:textId="77777777" w:rsidR="000D556F" w:rsidRPr="006C6F80" w:rsidRDefault="000D556F" w:rsidP="000D556F">
            <w:pPr>
              <w:jc w:val="center"/>
              <w:rPr>
                <w:color w:val="000000" w:themeColor="text1"/>
                <w:sz w:val="20"/>
                <w:szCs w:val="20"/>
              </w:rPr>
            </w:pPr>
            <w:r w:rsidRPr="006C6F80">
              <w:rPr>
                <w:color w:val="000000" w:themeColor="text1"/>
                <w:sz w:val="20"/>
                <w:szCs w:val="20"/>
              </w:rPr>
              <w:t>(0.036)</w:t>
            </w:r>
          </w:p>
        </w:tc>
        <w:tc>
          <w:tcPr>
            <w:tcW w:w="1633" w:type="dxa"/>
            <w:tcBorders>
              <w:top w:val="nil"/>
              <w:left w:val="nil"/>
              <w:bottom w:val="nil"/>
              <w:right w:val="nil"/>
            </w:tcBorders>
            <w:shd w:val="clear" w:color="auto" w:fill="auto"/>
            <w:noWrap/>
            <w:vAlign w:val="bottom"/>
            <w:hideMark/>
          </w:tcPr>
          <w:p w14:paraId="306B9AB2" w14:textId="77777777" w:rsidR="000D556F" w:rsidRPr="006C6F80" w:rsidRDefault="000D556F" w:rsidP="000D556F">
            <w:pPr>
              <w:jc w:val="center"/>
              <w:rPr>
                <w:color w:val="000000" w:themeColor="text1"/>
                <w:sz w:val="20"/>
                <w:szCs w:val="20"/>
              </w:rPr>
            </w:pPr>
            <w:r w:rsidRPr="006C6F80">
              <w:rPr>
                <w:color w:val="000000" w:themeColor="text1"/>
                <w:sz w:val="20"/>
                <w:szCs w:val="20"/>
              </w:rPr>
              <w:t>(0.037)</w:t>
            </w:r>
          </w:p>
        </w:tc>
        <w:tc>
          <w:tcPr>
            <w:tcW w:w="2402" w:type="dxa"/>
            <w:tcBorders>
              <w:top w:val="nil"/>
              <w:left w:val="nil"/>
              <w:bottom w:val="nil"/>
              <w:right w:val="nil"/>
            </w:tcBorders>
            <w:shd w:val="clear" w:color="auto" w:fill="auto"/>
            <w:noWrap/>
            <w:vAlign w:val="bottom"/>
            <w:hideMark/>
          </w:tcPr>
          <w:p w14:paraId="2B1A6E2A" w14:textId="77777777" w:rsidR="000D556F" w:rsidRPr="006C6F80" w:rsidRDefault="000D556F" w:rsidP="000D556F">
            <w:pPr>
              <w:jc w:val="center"/>
              <w:rPr>
                <w:color w:val="000000" w:themeColor="text1"/>
                <w:sz w:val="20"/>
                <w:szCs w:val="20"/>
              </w:rPr>
            </w:pPr>
            <w:r w:rsidRPr="006C6F80">
              <w:rPr>
                <w:color w:val="000000" w:themeColor="text1"/>
                <w:sz w:val="20"/>
                <w:szCs w:val="20"/>
              </w:rPr>
              <w:t>(0.034)</w:t>
            </w:r>
          </w:p>
        </w:tc>
        <w:tc>
          <w:tcPr>
            <w:tcW w:w="1633" w:type="dxa"/>
            <w:tcBorders>
              <w:top w:val="nil"/>
              <w:left w:val="nil"/>
              <w:bottom w:val="nil"/>
              <w:right w:val="nil"/>
            </w:tcBorders>
            <w:shd w:val="clear" w:color="auto" w:fill="auto"/>
            <w:noWrap/>
            <w:vAlign w:val="bottom"/>
            <w:hideMark/>
          </w:tcPr>
          <w:p w14:paraId="30011062" w14:textId="77777777" w:rsidR="000D556F" w:rsidRPr="006C6F80" w:rsidRDefault="000D556F" w:rsidP="000D556F">
            <w:pPr>
              <w:jc w:val="center"/>
              <w:rPr>
                <w:color w:val="000000" w:themeColor="text1"/>
                <w:sz w:val="20"/>
                <w:szCs w:val="20"/>
              </w:rPr>
            </w:pPr>
            <w:r w:rsidRPr="006C6F80">
              <w:rPr>
                <w:color w:val="000000" w:themeColor="text1"/>
                <w:sz w:val="20"/>
                <w:szCs w:val="20"/>
              </w:rPr>
              <w:t>(0.035)</w:t>
            </w:r>
          </w:p>
        </w:tc>
      </w:tr>
      <w:tr w:rsidR="000D556F" w:rsidRPr="006C6F80" w14:paraId="446ED5BB" w14:textId="77777777" w:rsidTr="000D556F">
        <w:trPr>
          <w:trHeight w:val="260"/>
          <w:jc w:val="center"/>
        </w:trPr>
        <w:tc>
          <w:tcPr>
            <w:tcW w:w="2209" w:type="dxa"/>
            <w:tcBorders>
              <w:top w:val="nil"/>
              <w:left w:val="nil"/>
              <w:bottom w:val="nil"/>
              <w:right w:val="nil"/>
            </w:tcBorders>
            <w:shd w:val="clear" w:color="auto" w:fill="auto"/>
            <w:noWrap/>
            <w:vAlign w:val="center"/>
            <w:hideMark/>
          </w:tcPr>
          <w:p w14:paraId="73062223" w14:textId="77777777" w:rsidR="000D556F" w:rsidRPr="006C6F80" w:rsidRDefault="000D556F" w:rsidP="000D556F">
            <w:pPr>
              <w:jc w:val="center"/>
              <w:rPr>
                <w:color w:val="000000" w:themeColor="text1"/>
                <w:sz w:val="20"/>
                <w:szCs w:val="20"/>
              </w:rPr>
            </w:pPr>
          </w:p>
        </w:tc>
        <w:tc>
          <w:tcPr>
            <w:tcW w:w="2363" w:type="dxa"/>
            <w:tcBorders>
              <w:top w:val="nil"/>
              <w:left w:val="nil"/>
              <w:bottom w:val="nil"/>
              <w:right w:val="nil"/>
            </w:tcBorders>
            <w:shd w:val="clear" w:color="auto" w:fill="auto"/>
            <w:noWrap/>
            <w:vAlign w:val="bottom"/>
            <w:hideMark/>
          </w:tcPr>
          <w:p w14:paraId="4D587E18" w14:textId="77777777" w:rsidR="000D556F" w:rsidRPr="006C6F80" w:rsidRDefault="000D556F" w:rsidP="000D556F">
            <w:pPr>
              <w:rPr>
                <w:color w:val="000000" w:themeColor="text1"/>
                <w:sz w:val="20"/>
                <w:szCs w:val="20"/>
              </w:rPr>
            </w:pPr>
          </w:p>
        </w:tc>
        <w:tc>
          <w:tcPr>
            <w:tcW w:w="1633" w:type="dxa"/>
            <w:tcBorders>
              <w:top w:val="nil"/>
              <w:left w:val="nil"/>
              <w:bottom w:val="nil"/>
              <w:right w:val="nil"/>
            </w:tcBorders>
            <w:shd w:val="clear" w:color="auto" w:fill="auto"/>
            <w:noWrap/>
            <w:vAlign w:val="bottom"/>
            <w:hideMark/>
          </w:tcPr>
          <w:p w14:paraId="56EA2F6A" w14:textId="77777777" w:rsidR="000D556F" w:rsidRPr="006C6F80" w:rsidRDefault="000D556F" w:rsidP="000D556F">
            <w:pPr>
              <w:jc w:val="center"/>
              <w:rPr>
                <w:color w:val="000000" w:themeColor="text1"/>
                <w:sz w:val="20"/>
                <w:szCs w:val="20"/>
              </w:rPr>
            </w:pPr>
          </w:p>
        </w:tc>
        <w:tc>
          <w:tcPr>
            <w:tcW w:w="2402" w:type="dxa"/>
            <w:tcBorders>
              <w:top w:val="nil"/>
              <w:left w:val="nil"/>
              <w:bottom w:val="nil"/>
              <w:right w:val="nil"/>
            </w:tcBorders>
            <w:shd w:val="clear" w:color="auto" w:fill="auto"/>
            <w:noWrap/>
            <w:vAlign w:val="bottom"/>
            <w:hideMark/>
          </w:tcPr>
          <w:p w14:paraId="7129E765" w14:textId="77777777" w:rsidR="000D556F" w:rsidRPr="006C6F80" w:rsidRDefault="000D556F" w:rsidP="000D556F">
            <w:pPr>
              <w:jc w:val="center"/>
              <w:rPr>
                <w:color w:val="000000" w:themeColor="text1"/>
                <w:sz w:val="20"/>
                <w:szCs w:val="20"/>
              </w:rPr>
            </w:pPr>
          </w:p>
        </w:tc>
        <w:tc>
          <w:tcPr>
            <w:tcW w:w="1633" w:type="dxa"/>
            <w:tcBorders>
              <w:top w:val="nil"/>
              <w:left w:val="nil"/>
              <w:bottom w:val="nil"/>
              <w:right w:val="nil"/>
            </w:tcBorders>
            <w:shd w:val="clear" w:color="auto" w:fill="auto"/>
            <w:noWrap/>
            <w:vAlign w:val="bottom"/>
            <w:hideMark/>
          </w:tcPr>
          <w:p w14:paraId="6F9F117D" w14:textId="77777777" w:rsidR="000D556F" w:rsidRPr="006C6F80" w:rsidRDefault="000D556F" w:rsidP="000D556F">
            <w:pPr>
              <w:jc w:val="center"/>
              <w:rPr>
                <w:color w:val="000000" w:themeColor="text1"/>
                <w:sz w:val="20"/>
                <w:szCs w:val="20"/>
              </w:rPr>
            </w:pPr>
          </w:p>
        </w:tc>
      </w:tr>
      <w:tr w:rsidR="000D556F" w:rsidRPr="006C6F80" w14:paraId="13CA0BF8" w14:textId="77777777" w:rsidTr="000D556F">
        <w:trPr>
          <w:trHeight w:val="260"/>
          <w:jc w:val="center"/>
        </w:trPr>
        <w:tc>
          <w:tcPr>
            <w:tcW w:w="2209" w:type="dxa"/>
            <w:tcBorders>
              <w:top w:val="nil"/>
              <w:left w:val="nil"/>
              <w:bottom w:val="nil"/>
              <w:right w:val="nil"/>
            </w:tcBorders>
            <w:shd w:val="clear" w:color="auto" w:fill="auto"/>
            <w:noWrap/>
            <w:vAlign w:val="center"/>
            <w:hideMark/>
          </w:tcPr>
          <w:p w14:paraId="6B0A415F" w14:textId="77777777" w:rsidR="000D556F" w:rsidRPr="006C6F80" w:rsidRDefault="000D556F" w:rsidP="000D556F">
            <w:pPr>
              <w:rPr>
                <w:color w:val="000000" w:themeColor="text1"/>
                <w:sz w:val="20"/>
                <w:szCs w:val="20"/>
              </w:rPr>
            </w:pPr>
            <w:r w:rsidRPr="006C6F80">
              <w:rPr>
                <w:color w:val="000000" w:themeColor="text1"/>
                <w:sz w:val="20"/>
                <w:szCs w:val="20"/>
              </w:rPr>
              <w:t>Observations</w:t>
            </w:r>
          </w:p>
        </w:tc>
        <w:tc>
          <w:tcPr>
            <w:tcW w:w="2363" w:type="dxa"/>
            <w:tcBorders>
              <w:top w:val="nil"/>
              <w:left w:val="nil"/>
              <w:bottom w:val="nil"/>
              <w:right w:val="nil"/>
            </w:tcBorders>
            <w:shd w:val="clear" w:color="auto" w:fill="auto"/>
            <w:noWrap/>
            <w:vAlign w:val="bottom"/>
            <w:hideMark/>
          </w:tcPr>
          <w:p w14:paraId="037ABC92" w14:textId="77777777" w:rsidR="000D556F" w:rsidRPr="006C6F80" w:rsidRDefault="000D556F" w:rsidP="000D556F">
            <w:pPr>
              <w:jc w:val="center"/>
              <w:rPr>
                <w:color w:val="000000" w:themeColor="text1"/>
                <w:sz w:val="20"/>
                <w:szCs w:val="20"/>
              </w:rPr>
            </w:pPr>
            <w:r w:rsidRPr="006C6F80">
              <w:rPr>
                <w:color w:val="000000" w:themeColor="text1"/>
                <w:sz w:val="20"/>
                <w:szCs w:val="20"/>
              </w:rPr>
              <w:t>1,744</w:t>
            </w:r>
          </w:p>
        </w:tc>
        <w:tc>
          <w:tcPr>
            <w:tcW w:w="1633" w:type="dxa"/>
            <w:tcBorders>
              <w:top w:val="nil"/>
              <w:left w:val="nil"/>
              <w:bottom w:val="nil"/>
              <w:right w:val="nil"/>
            </w:tcBorders>
            <w:shd w:val="clear" w:color="auto" w:fill="auto"/>
            <w:noWrap/>
            <w:vAlign w:val="bottom"/>
            <w:hideMark/>
          </w:tcPr>
          <w:p w14:paraId="16A0E59D" w14:textId="77777777" w:rsidR="000D556F" w:rsidRPr="006C6F80" w:rsidRDefault="000D556F" w:rsidP="000D556F">
            <w:pPr>
              <w:jc w:val="center"/>
              <w:rPr>
                <w:color w:val="000000" w:themeColor="text1"/>
                <w:sz w:val="20"/>
                <w:szCs w:val="20"/>
              </w:rPr>
            </w:pPr>
            <w:r w:rsidRPr="006C6F80">
              <w:rPr>
                <w:color w:val="000000" w:themeColor="text1"/>
                <w:sz w:val="20"/>
                <w:szCs w:val="20"/>
              </w:rPr>
              <w:t>1,744</w:t>
            </w:r>
          </w:p>
        </w:tc>
        <w:tc>
          <w:tcPr>
            <w:tcW w:w="2402" w:type="dxa"/>
            <w:tcBorders>
              <w:top w:val="nil"/>
              <w:left w:val="nil"/>
              <w:bottom w:val="nil"/>
              <w:right w:val="nil"/>
            </w:tcBorders>
            <w:shd w:val="clear" w:color="auto" w:fill="auto"/>
            <w:noWrap/>
            <w:vAlign w:val="bottom"/>
            <w:hideMark/>
          </w:tcPr>
          <w:p w14:paraId="359570D5" w14:textId="77777777" w:rsidR="000D556F" w:rsidRPr="006C6F80" w:rsidRDefault="000D556F" w:rsidP="000D556F">
            <w:pPr>
              <w:jc w:val="center"/>
              <w:rPr>
                <w:color w:val="000000" w:themeColor="text1"/>
                <w:sz w:val="20"/>
                <w:szCs w:val="20"/>
              </w:rPr>
            </w:pPr>
            <w:r w:rsidRPr="006C6F80">
              <w:rPr>
                <w:color w:val="000000" w:themeColor="text1"/>
                <w:sz w:val="20"/>
                <w:szCs w:val="20"/>
              </w:rPr>
              <w:t>1,744</w:t>
            </w:r>
          </w:p>
        </w:tc>
        <w:tc>
          <w:tcPr>
            <w:tcW w:w="1633" w:type="dxa"/>
            <w:tcBorders>
              <w:top w:val="nil"/>
              <w:left w:val="nil"/>
              <w:bottom w:val="nil"/>
              <w:right w:val="nil"/>
            </w:tcBorders>
            <w:shd w:val="clear" w:color="auto" w:fill="auto"/>
            <w:noWrap/>
            <w:vAlign w:val="bottom"/>
            <w:hideMark/>
          </w:tcPr>
          <w:p w14:paraId="41166914" w14:textId="77777777" w:rsidR="000D556F" w:rsidRPr="006C6F80" w:rsidRDefault="000D556F" w:rsidP="000D556F">
            <w:pPr>
              <w:jc w:val="center"/>
              <w:rPr>
                <w:color w:val="000000" w:themeColor="text1"/>
                <w:sz w:val="20"/>
                <w:szCs w:val="20"/>
              </w:rPr>
            </w:pPr>
            <w:r w:rsidRPr="006C6F80">
              <w:rPr>
                <w:color w:val="000000" w:themeColor="text1"/>
                <w:sz w:val="20"/>
                <w:szCs w:val="20"/>
              </w:rPr>
              <w:t>1,744</w:t>
            </w:r>
          </w:p>
        </w:tc>
      </w:tr>
      <w:tr w:rsidR="000D556F" w:rsidRPr="006C6F80" w14:paraId="3308A575" w14:textId="77777777" w:rsidTr="000D556F">
        <w:trPr>
          <w:trHeight w:val="260"/>
          <w:jc w:val="center"/>
        </w:trPr>
        <w:tc>
          <w:tcPr>
            <w:tcW w:w="2209" w:type="dxa"/>
            <w:tcBorders>
              <w:top w:val="nil"/>
              <w:left w:val="nil"/>
              <w:bottom w:val="nil"/>
              <w:right w:val="nil"/>
            </w:tcBorders>
            <w:shd w:val="clear" w:color="auto" w:fill="auto"/>
            <w:noWrap/>
            <w:vAlign w:val="center"/>
            <w:hideMark/>
          </w:tcPr>
          <w:p w14:paraId="4939EB8E" w14:textId="77777777" w:rsidR="000D556F" w:rsidRPr="006C6F80" w:rsidRDefault="000D556F" w:rsidP="000D556F">
            <w:pPr>
              <w:rPr>
                <w:color w:val="000000" w:themeColor="text1"/>
                <w:sz w:val="20"/>
                <w:szCs w:val="20"/>
              </w:rPr>
            </w:pPr>
            <w:r w:rsidRPr="006C6F80">
              <w:rPr>
                <w:color w:val="000000" w:themeColor="text1"/>
                <w:sz w:val="20"/>
                <w:szCs w:val="20"/>
              </w:rPr>
              <w:t>R-squared</w:t>
            </w:r>
          </w:p>
        </w:tc>
        <w:tc>
          <w:tcPr>
            <w:tcW w:w="2363" w:type="dxa"/>
            <w:tcBorders>
              <w:top w:val="nil"/>
              <w:left w:val="nil"/>
              <w:bottom w:val="nil"/>
              <w:right w:val="nil"/>
            </w:tcBorders>
            <w:shd w:val="clear" w:color="auto" w:fill="auto"/>
            <w:noWrap/>
            <w:vAlign w:val="bottom"/>
            <w:hideMark/>
          </w:tcPr>
          <w:p w14:paraId="4E0E84D8" w14:textId="77777777" w:rsidR="000D556F" w:rsidRPr="006C6F80" w:rsidRDefault="000D556F" w:rsidP="000D556F">
            <w:pPr>
              <w:jc w:val="center"/>
              <w:rPr>
                <w:color w:val="000000" w:themeColor="text1"/>
                <w:sz w:val="20"/>
                <w:szCs w:val="20"/>
              </w:rPr>
            </w:pPr>
            <w:r w:rsidRPr="006C6F80">
              <w:rPr>
                <w:color w:val="000000" w:themeColor="text1"/>
                <w:sz w:val="20"/>
                <w:szCs w:val="20"/>
              </w:rPr>
              <w:t>0.131</w:t>
            </w:r>
          </w:p>
        </w:tc>
        <w:tc>
          <w:tcPr>
            <w:tcW w:w="1633" w:type="dxa"/>
            <w:tcBorders>
              <w:top w:val="nil"/>
              <w:left w:val="nil"/>
              <w:bottom w:val="nil"/>
              <w:right w:val="nil"/>
            </w:tcBorders>
            <w:shd w:val="clear" w:color="auto" w:fill="auto"/>
            <w:noWrap/>
            <w:vAlign w:val="bottom"/>
            <w:hideMark/>
          </w:tcPr>
          <w:p w14:paraId="1E0B3FA4" w14:textId="77777777" w:rsidR="000D556F" w:rsidRPr="006C6F80" w:rsidRDefault="000D556F" w:rsidP="000D556F">
            <w:pPr>
              <w:jc w:val="center"/>
              <w:rPr>
                <w:color w:val="000000" w:themeColor="text1"/>
                <w:sz w:val="20"/>
                <w:szCs w:val="20"/>
              </w:rPr>
            </w:pPr>
            <w:r w:rsidRPr="006C6F80">
              <w:rPr>
                <w:color w:val="000000" w:themeColor="text1"/>
                <w:sz w:val="20"/>
                <w:szCs w:val="20"/>
              </w:rPr>
              <w:t>0.130</w:t>
            </w:r>
          </w:p>
        </w:tc>
        <w:tc>
          <w:tcPr>
            <w:tcW w:w="2402" w:type="dxa"/>
            <w:tcBorders>
              <w:top w:val="nil"/>
              <w:left w:val="nil"/>
              <w:bottom w:val="nil"/>
              <w:right w:val="nil"/>
            </w:tcBorders>
            <w:shd w:val="clear" w:color="auto" w:fill="auto"/>
            <w:noWrap/>
            <w:vAlign w:val="bottom"/>
            <w:hideMark/>
          </w:tcPr>
          <w:p w14:paraId="30954302" w14:textId="77777777" w:rsidR="000D556F" w:rsidRPr="006C6F80" w:rsidRDefault="000D556F" w:rsidP="000D556F">
            <w:pPr>
              <w:jc w:val="center"/>
              <w:rPr>
                <w:color w:val="000000" w:themeColor="text1"/>
                <w:sz w:val="20"/>
                <w:szCs w:val="20"/>
              </w:rPr>
            </w:pPr>
            <w:r w:rsidRPr="006C6F80">
              <w:rPr>
                <w:color w:val="000000" w:themeColor="text1"/>
                <w:sz w:val="20"/>
                <w:szCs w:val="20"/>
              </w:rPr>
              <w:t>0.183</w:t>
            </w:r>
          </w:p>
        </w:tc>
        <w:tc>
          <w:tcPr>
            <w:tcW w:w="1633" w:type="dxa"/>
            <w:tcBorders>
              <w:top w:val="nil"/>
              <w:left w:val="nil"/>
              <w:bottom w:val="nil"/>
              <w:right w:val="nil"/>
            </w:tcBorders>
            <w:shd w:val="clear" w:color="auto" w:fill="auto"/>
            <w:noWrap/>
            <w:vAlign w:val="bottom"/>
            <w:hideMark/>
          </w:tcPr>
          <w:p w14:paraId="693861B1" w14:textId="77777777" w:rsidR="000D556F" w:rsidRPr="006C6F80" w:rsidRDefault="000D556F" w:rsidP="000D556F">
            <w:pPr>
              <w:jc w:val="center"/>
              <w:rPr>
                <w:color w:val="000000" w:themeColor="text1"/>
                <w:sz w:val="20"/>
                <w:szCs w:val="20"/>
              </w:rPr>
            </w:pPr>
            <w:r w:rsidRPr="006C6F80">
              <w:rPr>
                <w:color w:val="000000" w:themeColor="text1"/>
                <w:sz w:val="20"/>
                <w:szCs w:val="20"/>
              </w:rPr>
              <w:t>0.183</w:t>
            </w:r>
          </w:p>
        </w:tc>
      </w:tr>
      <w:tr w:rsidR="000D556F" w:rsidRPr="006C6F80" w14:paraId="590AF1E8" w14:textId="77777777" w:rsidTr="000D556F">
        <w:trPr>
          <w:trHeight w:val="260"/>
          <w:jc w:val="center"/>
        </w:trPr>
        <w:tc>
          <w:tcPr>
            <w:tcW w:w="2209" w:type="dxa"/>
            <w:tcBorders>
              <w:top w:val="nil"/>
              <w:left w:val="nil"/>
              <w:bottom w:val="nil"/>
              <w:right w:val="nil"/>
            </w:tcBorders>
            <w:shd w:val="clear" w:color="auto" w:fill="auto"/>
            <w:noWrap/>
            <w:vAlign w:val="center"/>
            <w:hideMark/>
          </w:tcPr>
          <w:p w14:paraId="6DC05164" w14:textId="77777777" w:rsidR="000D556F" w:rsidRPr="006C6F80" w:rsidRDefault="000D556F" w:rsidP="000D556F">
            <w:pPr>
              <w:rPr>
                <w:color w:val="000000" w:themeColor="text1"/>
                <w:sz w:val="20"/>
                <w:szCs w:val="20"/>
              </w:rPr>
            </w:pPr>
            <w:r w:rsidRPr="006C6F80">
              <w:rPr>
                <w:color w:val="000000" w:themeColor="text1"/>
                <w:sz w:val="20"/>
                <w:szCs w:val="20"/>
              </w:rPr>
              <w:t>Individual controls</w:t>
            </w:r>
          </w:p>
        </w:tc>
        <w:tc>
          <w:tcPr>
            <w:tcW w:w="2363" w:type="dxa"/>
            <w:tcBorders>
              <w:top w:val="nil"/>
              <w:left w:val="nil"/>
              <w:bottom w:val="nil"/>
              <w:right w:val="nil"/>
            </w:tcBorders>
            <w:shd w:val="clear" w:color="auto" w:fill="auto"/>
            <w:noWrap/>
            <w:vAlign w:val="center"/>
            <w:hideMark/>
          </w:tcPr>
          <w:p w14:paraId="05FF6C02"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c>
          <w:tcPr>
            <w:tcW w:w="1633" w:type="dxa"/>
            <w:tcBorders>
              <w:top w:val="nil"/>
              <w:left w:val="nil"/>
              <w:bottom w:val="nil"/>
              <w:right w:val="nil"/>
            </w:tcBorders>
            <w:shd w:val="clear" w:color="auto" w:fill="auto"/>
            <w:noWrap/>
            <w:vAlign w:val="center"/>
            <w:hideMark/>
          </w:tcPr>
          <w:p w14:paraId="32DF33D0"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c>
          <w:tcPr>
            <w:tcW w:w="2402" w:type="dxa"/>
            <w:tcBorders>
              <w:top w:val="nil"/>
              <w:left w:val="nil"/>
              <w:bottom w:val="nil"/>
              <w:right w:val="nil"/>
            </w:tcBorders>
            <w:shd w:val="clear" w:color="auto" w:fill="auto"/>
            <w:noWrap/>
            <w:vAlign w:val="center"/>
            <w:hideMark/>
          </w:tcPr>
          <w:p w14:paraId="37D3770C"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c>
          <w:tcPr>
            <w:tcW w:w="1633" w:type="dxa"/>
            <w:tcBorders>
              <w:top w:val="nil"/>
              <w:left w:val="nil"/>
              <w:bottom w:val="nil"/>
              <w:right w:val="nil"/>
            </w:tcBorders>
            <w:shd w:val="clear" w:color="auto" w:fill="auto"/>
            <w:noWrap/>
            <w:vAlign w:val="center"/>
            <w:hideMark/>
          </w:tcPr>
          <w:p w14:paraId="468AE1F3"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r>
      <w:tr w:rsidR="000D556F" w:rsidRPr="006C6F80" w14:paraId="31F024D3" w14:textId="77777777" w:rsidTr="000D556F">
        <w:trPr>
          <w:trHeight w:val="260"/>
          <w:jc w:val="center"/>
        </w:trPr>
        <w:tc>
          <w:tcPr>
            <w:tcW w:w="2209" w:type="dxa"/>
            <w:tcBorders>
              <w:top w:val="nil"/>
              <w:left w:val="nil"/>
              <w:bottom w:val="nil"/>
              <w:right w:val="nil"/>
            </w:tcBorders>
            <w:shd w:val="clear" w:color="auto" w:fill="auto"/>
            <w:noWrap/>
            <w:vAlign w:val="center"/>
            <w:hideMark/>
          </w:tcPr>
          <w:p w14:paraId="13EF27D4" w14:textId="77777777" w:rsidR="000D556F" w:rsidRPr="006C6F80" w:rsidRDefault="000D556F" w:rsidP="000D556F">
            <w:pPr>
              <w:rPr>
                <w:color w:val="000000" w:themeColor="text1"/>
                <w:sz w:val="20"/>
                <w:szCs w:val="20"/>
              </w:rPr>
            </w:pPr>
            <w:r w:rsidRPr="006C6F80">
              <w:rPr>
                <w:color w:val="000000" w:themeColor="text1"/>
                <w:sz w:val="20"/>
                <w:szCs w:val="20"/>
              </w:rPr>
              <w:t>First job characteristics</w:t>
            </w:r>
          </w:p>
        </w:tc>
        <w:tc>
          <w:tcPr>
            <w:tcW w:w="2363" w:type="dxa"/>
            <w:tcBorders>
              <w:top w:val="nil"/>
              <w:left w:val="nil"/>
              <w:bottom w:val="nil"/>
              <w:right w:val="nil"/>
            </w:tcBorders>
            <w:shd w:val="clear" w:color="auto" w:fill="auto"/>
            <w:noWrap/>
            <w:vAlign w:val="center"/>
            <w:hideMark/>
          </w:tcPr>
          <w:p w14:paraId="58D79B9F"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c>
          <w:tcPr>
            <w:tcW w:w="1633" w:type="dxa"/>
            <w:tcBorders>
              <w:top w:val="nil"/>
              <w:left w:val="nil"/>
              <w:bottom w:val="nil"/>
              <w:right w:val="nil"/>
            </w:tcBorders>
            <w:shd w:val="clear" w:color="auto" w:fill="auto"/>
            <w:noWrap/>
            <w:vAlign w:val="center"/>
            <w:hideMark/>
          </w:tcPr>
          <w:p w14:paraId="627A1806"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c>
          <w:tcPr>
            <w:tcW w:w="2402" w:type="dxa"/>
            <w:tcBorders>
              <w:top w:val="nil"/>
              <w:left w:val="nil"/>
              <w:bottom w:val="nil"/>
              <w:right w:val="nil"/>
            </w:tcBorders>
            <w:shd w:val="clear" w:color="auto" w:fill="auto"/>
            <w:noWrap/>
            <w:vAlign w:val="center"/>
            <w:hideMark/>
          </w:tcPr>
          <w:p w14:paraId="00F8824A"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c>
          <w:tcPr>
            <w:tcW w:w="1633" w:type="dxa"/>
            <w:tcBorders>
              <w:top w:val="nil"/>
              <w:left w:val="nil"/>
              <w:bottom w:val="nil"/>
              <w:right w:val="nil"/>
            </w:tcBorders>
            <w:shd w:val="clear" w:color="auto" w:fill="auto"/>
            <w:noWrap/>
            <w:vAlign w:val="center"/>
            <w:hideMark/>
          </w:tcPr>
          <w:p w14:paraId="58AAF7C5"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r>
      <w:tr w:rsidR="000D556F" w:rsidRPr="006C6F80" w14:paraId="53246E8E" w14:textId="77777777" w:rsidTr="000D556F">
        <w:trPr>
          <w:trHeight w:val="260"/>
          <w:jc w:val="center"/>
        </w:trPr>
        <w:tc>
          <w:tcPr>
            <w:tcW w:w="2209" w:type="dxa"/>
            <w:tcBorders>
              <w:top w:val="nil"/>
              <w:left w:val="nil"/>
              <w:bottom w:val="single" w:sz="4" w:space="0" w:color="auto"/>
              <w:right w:val="nil"/>
            </w:tcBorders>
            <w:shd w:val="clear" w:color="auto" w:fill="auto"/>
            <w:noWrap/>
            <w:vAlign w:val="center"/>
            <w:hideMark/>
          </w:tcPr>
          <w:p w14:paraId="64C172F0" w14:textId="77777777" w:rsidR="000D556F" w:rsidRPr="006C6F80" w:rsidRDefault="000D556F" w:rsidP="000D556F">
            <w:pPr>
              <w:rPr>
                <w:color w:val="000000" w:themeColor="text1"/>
                <w:sz w:val="20"/>
                <w:szCs w:val="20"/>
              </w:rPr>
            </w:pPr>
            <w:r w:rsidRPr="006C6F80">
              <w:rPr>
                <w:color w:val="000000" w:themeColor="text1"/>
                <w:sz w:val="20"/>
                <w:szCs w:val="20"/>
              </w:rPr>
              <w:t>First occupation</w:t>
            </w:r>
          </w:p>
        </w:tc>
        <w:tc>
          <w:tcPr>
            <w:tcW w:w="2363" w:type="dxa"/>
            <w:tcBorders>
              <w:top w:val="nil"/>
              <w:left w:val="nil"/>
              <w:bottom w:val="single" w:sz="4" w:space="0" w:color="auto"/>
              <w:right w:val="nil"/>
            </w:tcBorders>
            <w:shd w:val="clear" w:color="auto" w:fill="auto"/>
            <w:noWrap/>
            <w:vAlign w:val="center"/>
            <w:hideMark/>
          </w:tcPr>
          <w:p w14:paraId="6C635B8B" w14:textId="77777777" w:rsidR="000D556F" w:rsidRPr="006C6F80" w:rsidRDefault="000D556F" w:rsidP="000D556F">
            <w:pPr>
              <w:jc w:val="center"/>
              <w:rPr>
                <w:color w:val="000000" w:themeColor="text1"/>
                <w:sz w:val="20"/>
                <w:szCs w:val="20"/>
              </w:rPr>
            </w:pPr>
            <w:r w:rsidRPr="006C6F80">
              <w:rPr>
                <w:color w:val="000000" w:themeColor="text1"/>
                <w:sz w:val="20"/>
                <w:szCs w:val="20"/>
              </w:rPr>
              <w:t>NO</w:t>
            </w:r>
          </w:p>
        </w:tc>
        <w:tc>
          <w:tcPr>
            <w:tcW w:w="1633" w:type="dxa"/>
            <w:tcBorders>
              <w:top w:val="nil"/>
              <w:left w:val="nil"/>
              <w:bottom w:val="single" w:sz="4" w:space="0" w:color="auto"/>
              <w:right w:val="nil"/>
            </w:tcBorders>
            <w:shd w:val="clear" w:color="auto" w:fill="auto"/>
            <w:noWrap/>
            <w:vAlign w:val="center"/>
            <w:hideMark/>
          </w:tcPr>
          <w:p w14:paraId="3ABBD517" w14:textId="77777777" w:rsidR="000D556F" w:rsidRPr="006C6F80" w:rsidRDefault="000D556F" w:rsidP="000D556F">
            <w:pPr>
              <w:jc w:val="center"/>
              <w:rPr>
                <w:color w:val="000000" w:themeColor="text1"/>
                <w:sz w:val="20"/>
                <w:szCs w:val="20"/>
              </w:rPr>
            </w:pPr>
            <w:r w:rsidRPr="006C6F80">
              <w:rPr>
                <w:color w:val="000000" w:themeColor="text1"/>
                <w:sz w:val="20"/>
                <w:szCs w:val="20"/>
              </w:rPr>
              <w:t>NO</w:t>
            </w:r>
          </w:p>
        </w:tc>
        <w:tc>
          <w:tcPr>
            <w:tcW w:w="2402" w:type="dxa"/>
            <w:tcBorders>
              <w:top w:val="nil"/>
              <w:left w:val="nil"/>
              <w:bottom w:val="single" w:sz="4" w:space="0" w:color="auto"/>
              <w:right w:val="nil"/>
            </w:tcBorders>
            <w:shd w:val="clear" w:color="auto" w:fill="auto"/>
            <w:noWrap/>
            <w:vAlign w:val="center"/>
            <w:hideMark/>
          </w:tcPr>
          <w:p w14:paraId="52EA94EB"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c>
          <w:tcPr>
            <w:tcW w:w="1633" w:type="dxa"/>
            <w:tcBorders>
              <w:top w:val="nil"/>
              <w:left w:val="nil"/>
              <w:bottom w:val="single" w:sz="4" w:space="0" w:color="auto"/>
              <w:right w:val="nil"/>
            </w:tcBorders>
            <w:shd w:val="clear" w:color="auto" w:fill="auto"/>
            <w:noWrap/>
            <w:vAlign w:val="center"/>
            <w:hideMark/>
          </w:tcPr>
          <w:p w14:paraId="0C5FD2BE" w14:textId="77777777" w:rsidR="000D556F" w:rsidRPr="006C6F80" w:rsidRDefault="000D556F" w:rsidP="000D556F">
            <w:pPr>
              <w:jc w:val="center"/>
              <w:rPr>
                <w:color w:val="000000" w:themeColor="text1"/>
                <w:sz w:val="20"/>
                <w:szCs w:val="20"/>
              </w:rPr>
            </w:pPr>
            <w:r w:rsidRPr="006C6F80">
              <w:rPr>
                <w:color w:val="000000" w:themeColor="text1"/>
                <w:sz w:val="20"/>
                <w:szCs w:val="20"/>
              </w:rPr>
              <w:t>YES</w:t>
            </w:r>
          </w:p>
        </w:tc>
      </w:tr>
    </w:tbl>
    <w:p w14:paraId="74C45508" w14:textId="154E9BEB" w:rsidR="00A766C5" w:rsidRPr="006C6F80" w:rsidRDefault="00A766C5" w:rsidP="000D556F">
      <w:pPr>
        <w:ind w:left="-360" w:right="72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Robust standard errors in parentheses </w:t>
      </w:r>
    </w:p>
    <w:p w14:paraId="2AFF1083" w14:textId="77777777" w:rsidR="00A766C5" w:rsidRPr="006C6F80" w:rsidRDefault="00A766C5" w:rsidP="000D556F">
      <w:pPr>
        <w:ind w:left="-360" w:right="72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 p&lt;0.01, ** p&lt;0.05, * p&lt;0.1 </w:t>
      </w:r>
    </w:p>
    <w:p w14:paraId="16294E21" w14:textId="1076EA5A" w:rsidR="00A766C5" w:rsidRPr="006C6F80" w:rsidRDefault="00A766C5" w:rsidP="000D556F">
      <w:pPr>
        <w:ind w:left="-360" w:right="90"/>
        <w:jc w:val="both"/>
        <w:rPr>
          <w:rFonts w:asciiTheme="majorBidi" w:hAnsiTheme="majorBidi" w:cstheme="majorBidi"/>
          <w:color w:val="000000" w:themeColor="text1"/>
          <w:sz w:val="18"/>
          <w:szCs w:val="18"/>
        </w:rPr>
      </w:pPr>
      <w:r w:rsidRPr="006C6F80">
        <w:rPr>
          <w:rFonts w:asciiTheme="majorBidi" w:hAnsiTheme="majorBidi" w:cstheme="majorBidi"/>
          <w:i/>
          <w:iCs/>
          <w:color w:val="000000" w:themeColor="text1"/>
          <w:sz w:val="18"/>
          <w:szCs w:val="18"/>
        </w:rPr>
        <w:t>Notes.</w:t>
      </w:r>
      <w:r w:rsidRPr="006C6F80">
        <w:rPr>
          <w:rFonts w:asciiTheme="majorBidi" w:hAnsiTheme="majorBidi" w:cstheme="majorBidi"/>
          <w:color w:val="000000" w:themeColor="text1"/>
          <w:sz w:val="18"/>
          <w:szCs w:val="18"/>
        </w:rPr>
        <w:t xml:space="preserve"> Coefficient estimates are reported </w:t>
      </w:r>
      <w:r w:rsidR="00640896" w:rsidRPr="006C6F80">
        <w:rPr>
          <w:rFonts w:asciiTheme="majorBidi" w:hAnsiTheme="majorBidi" w:cstheme="majorBidi"/>
          <w:color w:val="000000" w:themeColor="text1"/>
          <w:sz w:val="18"/>
          <w:szCs w:val="18"/>
        </w:rPr>
        <w:t>using l</w:t>
      </w:r>
      <w:r w:rsidRPr="006C6F80">
        <w:rPr>
          <w:rFonts w:asciiTheme="majorBidi" w:hAnsiTheme="majorBidi" w:cstheme="majorBidi"/>
          <w:color w:val="000000" w:themeColor="text1"/>
          <w:sz w:val="18"/>
          <w:szCs w:val="18"/>
        </w:rPr>
        <w:t xml:space="preserve">inear </w:t>
      </w:r>
      <w:r w:rsidR="00640896" w:rsidRPr="006C6F80">
        <w:rPr>
          <w:rFonts w:asciiTheme="majorBidi" w:hAnsiTheme="majorBidi" w:cstheme="majorBidi"/>
          <w:color w:val="000000" w:themeColor="text1"/>
          <w:sz w:val="18"/>
          <w:szCs w:val="18"/>
        </w:rPr>
        <w:t>p</w:t>
      </w:r>
      <w:r w:rsidRPr="006C6F80">
        <w:rPr>
          <w:rFonts w:asciiTheme="majorBidi" w:hAnsiTheme="majorBidi" w:cstheme="majorBidi"/>
          <w:color w:val="000000" w:themeColor="text1"/>
          <w:sz w:val="18"/>
          <w:szCs w:val="18"/>
        </w:rPr>
        <w:t>robability and IV regression models.</w:t>
      </w:r>
    </w:p>
    <w:p w14:paraId="7604A019" w14:textId="0D61775A" w:rsidR="00A766C5" w:rsidRPr="006C6F80" w:rsidRDefault="00A766C5" w:rsidP="003D62C0">
      <w:pPr>
        <w:tabs>
          <w:tab w:val="left" w:pos="8505"/>
          <w:tab w:val="left" w:pos="9214"/>
        </w:tabs>
        <w:spacing w:line="233" w:lineRule="auto"/>
        <w:ind w:right="855"/>
        <w:jc w:val="both"/>
        <w:rPr>
          <w:rFonts w:asciiTheme="majorBidi" w:hAnsiTheme="majorBidi" w:cstheme="majorBidi"/>
          <w:color w:val="000000" w:themeColor="text1"/>
          <w:sz w:val="18"/>
          <w:szCs w:val="18"/>
        </w:rPr>
        <w:sectPr w:rsidR="00A766C5" w:rsidRPr="006C6F80" w:rsidSect="00696270">
          <w:pgSz w:w="12240" w:h="15840"/>
          <w:pgMar w:top="1440" w:right="1440" w:bottom="1440" w:left="1440" w:header="720" w:footer="720" w:gutter="0"/>
          <w:cols w:space="720"/>
          <w:docGrid w:linePitch="360"/>
        </w:sectPr>
      </w:pPr>
    </w:p>
    <w:p w14:paraId="0839FD61" w14:textId="77777777" w:rsidR="005104F3" w:rsidRPr="006C6F80" w:rsidRDefault="005104F3" w:rsidP="00117CDA">
      <w:pPr>
        <w:ind w:left="86" w:right="90"/>
        <w:jc w:val="both"/>
        <w:rPr>
          <w:rFonts w:asciiTheme="majorBidi" w:hAnsiTheme="majorBidi" w:cstheme="majorBidi"/>
          <w:color w:val="000000" w:themeColor="text1"/>
          <w:sz w:val="18"/>
          <w:szCs w:val="18"/>
        </w:rPr>
      </w:pPr>
    </w:p>
    <w:p w14:paraId="4C4BCCAC" w14:textId="60F98519" w:rsidR="005104F3" w:rsidRPr="006C6F80" w:rsidRDefault="005104F3" w:rsidP="00A766C5">
      <w:pPr>
        <w:ind w:right="90"/>
        <w:jc w:val="both"/>
        <w:rPr>
          <w:rFonts w:asciiTheme="majorBidi" w:hAnsiTheme="majorBidi" w:cstheme="majorBidi"/>
          <w:color w:val="000000" w:themeColor="text1"/>
          <w:sz w:val="18"/>
          <w:szCs w:val="18"/>
        </w:rPr>
      </w:pPr>
    </w:p>
    <w:tbl>
      <w:tblPr>
        <w:tblW w:w="9988" w:type="dxa"/>
        <w:jc w:val="center"/>
        <w:tblLook w:val="04A0" w:firstRow="1" w:lastRow="0" w:firstColumn="1" w:lastColumn="0" w:noHBand="0" w:noVBand="1"/>
      </w:tblPr>
      <w:tblGrid>
        <w:gridCol w:w="2154"/>
        <w:gridCol w:w="2305"/>
        <w:gridCol w:w="1593"/>
        <w:gridCol w:w="2342"/>
        <w:gridCol w:w="1594"/>
      </w:tblGrid>
      <w:tr w:rsidR="00846F19" w:rsidRPr="006C6F80" w14:paraId="705AE0A8" w14:textId="77777777" w:rsidTr="00846F19">
        <w:trPr>
          <w:trHeight w:val="489"/>
          <w:jc w:val="center"/>
        </w:trPr>
        <w:tc>
          <w:tcPr>
            <w:tcW w:w="9988" w:type="dxa"/>
            <w:gridSpan w:val="5"/>
            <w:tcBorders>
              <w:top w:val="nil"/>
              <w:left w:val="nil"/>
              <w:bottom w:val="single" w:sz="4" w:space="0" w:color="auto"/>
              <w:right w:val="nil"/>
            </w:tcBorders>
            <w:shd w:val="clear" w:color="auto" w:fill="auto"/>
            <w:vAlign w:val="center"/>
            <w:hideMark/>
          </w:tcPr>
          <w:p w14:paraId="259C3B38" w14:textId="77777777" w:rsidR="00846F19" w:rsidRPr="006C6F80" w:rsidRDefault="00846F19" w:rsidP="00846F19">
            <w:pPr>
              <w:jc w:val="center"/>
              <w:rPr>
                <w:b/>
                <w:bCs/>
                <w:color w:val="000000" w:themeColor="text1"/>
                <w:sz w:val="20"/>
                <w:szCs w:val="20"/>
              </w:rPr>
            </w:pPr>
            <w:r w:rsidRPr="006C6F80">
              <w:rPr>
                <w:b/>
                <w:bCs/>
                <w:color w:val="000000" w:themeColor="text1"/>
                <w:sz w:val="20"/>
                <w:szCs w:val="20"/>
              </w:rPr>
              <w:t xml:space="preserve">Table 5: Investigating the heterogeneity of the effect of return migration on upward occupational mobility </w:t>
            </w:r>
          </w:p>
          <w:p w14:paraId="0E586657" w14:textId="3E9CEF7C" w:rsidR="00846F19" w:rsidRPr="006C6F80" w:rsidRDefault="00846F19" w:rsidP="00846F19">
            <w:pPr>
              <w:jc w:val="center"/>
              <w:rPr>
                <w:b/>
                <w:bCs/>
                <w:color w:val="000000" w:themeColor="text1"/>
                <w:sz w:val="20"/>
                <w:szCs w:val="20"/>
              </w:rPr>
            </w:pPr>
            <w:r w:rsidRPr="006C6F80">
              <w:rPr>
                <w:b/>
                <w:bCs/>
                <w:color w:val="000000" w:themeColor="text1"/>
                <w:sz w:val="20"/>
                <w:szCs w:val="20"/>
              </w:rPr>
              <w:t>by educational attainment</w:t>
            </w:r>
          </w:p>
        </w:tc>
      </w:tr>
      <w:tr w:rsidR="00846F19" w:rsidRPr="006C6F80" w14:paraId="18C8ABE6" w14:textId="77777777" w:rsidTr="00846F19">
        <w:trPr>
          <w:trHeight w:val="265"/>
          <w:jc w:val="center"/>
        </w:trPr>
        <w:tc>
          <w:tcPr>
            <w:tcW w:w="2154" w:type="dxa"/>
            <w:tcBorders>
              <w:top w:val="nil"/>
              <w:left w:val="nil"/>
              <w:bottom w:val="single" w:sz="4" w:space="0" w:color="auto"/>
              <w:right w:val="nil"/>
            </w:tcBorders>
            <w:shd w:val="clear" w:color="auto" w:fill="auto"/>
            <w:noWrap/>
            <w:vAlign w:val="bottom"/>
            <w:hideMark/>
          </w:tcPr>
          <w:p w14:paraId="6969910D" w14:textId="77777777" w:rsidR="00846F19" w:rsidRPr="006C6F80" w:rsidRDefault="00846F19" w:rsidP="00846F19">
            <w:pPr>
              <w:rPr>
                <w:color w:val="000000" w:themeColor="text1"/>
                <w:sz w:val="20"/>
                <w:szCs w:val="20"/>
              </w:rPr>
            </w:pPr>
            <w:r w:rsidRPr="006C6F80">
              <w:rPr>
                <w:color w:val="000000" w:themeColor="text1"/>
                <w:sz w:val="20"/>
                <w:szCs w:val="20"/>
              </w:rPr>
              <w:t> </w:t>
            </w:r>
          </w:p>
        </w:tc>
        <w:tc>
          <w:tcPr>
            <w:tcW w:w="3898" w:type="dxa"/>
            <w:gridSpan w:val="2"/>
            <w:tcBorders>
              <w:top w:val="nil"/>
              <w:left w:val="nil"/>
              <w:bottom w:val="single" w:sz="4" w:space="0" w:color="auto"/>
              <w:right w:val="nil"/>
            </w:tcBorders>
            <w:shd w:val="clear" w:color="auto" w:fill="auto"/>
            <w:noWrap/>
            <w:vAlign w:val="bottom"/>
            <w:hideMark/>
          </w:tcPr>
          <w:p w14:paraId="11EEA207" w14:textId="77777777" w:rsidR="00846F19" w:rsidRPr="006C6F80" w:rsidRDefault="00846F19" w:rsidP="00846F19">
            <w:pPr>
              <w:jc w:val="center"/>
              <w:rPr>
                <w:b/>
                <w:bCs/>
                <w:color w:val="000000" w:themeColor="text1"/>
                <w:sz w:val="20"/>
                <w:szCs w:val="20"/>
              </w:rPr>
            </w:pPr>
            <w:r w:rsidRPr="006C6F80">
              <w:rPr>
                <w:b/>
                <w:bCs/>
                <w:color w:val="000000" w:themeColor="text1"/>
                <w:sz w:val="20"/>
                <w:szCs w:val="20"/>
              </w:rPr>
              <w:t>Less educated</w:t>
            </w:r>
          </w:p>
        </w:tc>
        <w:tc>
          <w:tcPr>
            <w:tcW w:w="3935" w:type="dxa"/>
            <w:gridSpan w:val="2"/>
            <w:tcBorders>
              <w:top w:val="nil"/>
              <w:left w:val="nil"/>
              <w:bottom w:val="single" w:sz="4" w:space="0" w:color="auto"/>
              <w:right w:val="nil"/>
            </w:tcBorders>
            <w:shd w:val="clear" w:color="auto" w:fill="auto"/>
            <w:noWrap/>
            <w:vAlign w:val="bottom"/>
            <w:hideMark/>
          </w:tcPr>
          <w:p w14:paraId="0ACA9527" w14:textId="77777777" w:rsidR="00846F19" w:rsidRPr="006C6F80" w:rsidRDefault="00846F19" w:rsidP="00846F19">
            <w:pPr>
              <w:jc w:val="center"/>
              <w:rPr>
                <w:b/>
                <w:bCs/>
                <w:color w:val="000000" w:themeColor="text1"/>
                <w:sz w:val="20"/>
                <w:szCs w:val="20"/>
              </w:rPr>
            </w:pPr>
            <w:r w:rsidRPr="006C6F80">
              <w:rPr>
                <w:b/>
                <w:bCs/>
                <w:color w:val="000000" w:themeColor="text1"/>
                <w:sz w:val="20"/>
                <w:szCs w:val="20"/>
              </w:rPr>
              <w:t>More educated</w:t>
            </w:r>
          </w:p>
        </w:tc>
      </w:tr>
      <w:tr w:rsidR="00846F19" w:rsidRPr="006C6F80" w14:paraId="029E52B0" w14:textId="77777777" w:rsidTr="00846F19">
        <w:trPr>
          <w:trHeight w:val="265"/>
          <w:jc w:val="center"/>
        </w:trPr>
        <w:tc>
          <w:tcPr>
            <w:tcW w:w="2154" w:type="dxa"/>
            <w:tcBorders>
              <w:top w:val="nil"/>
              <w:left w:val="nil"/>
              <w:bottom w:val="nil"/>
              <w:right w:val="nil"/>
            </w:tcBorders>
            <w:shd w:val="clear" w:color="auto" w:fill="auto"/>
            <w:noWrap/>
            <w:vAlign w:val="bottom"/>
            <w:hideMark/>
          </w:tcPr>
          <w:p w14:paraId="657748E8" w14:textId="77777777" w:rsidR="00846F19" w:rsidRPr="006C6F80" w:rsidRDefault="00846F19" w:rsidP="00846F19">
            <w:pPr>
              <w:rPr>
                <w:color w:val="000000" w:themeColor="text1"/>
                <w:sz w:val="20"/>
                <w:szCs w:val="20"/>
              </w:rPr>
            </w:pPr>
            <w:r w:rsidRPr="006C6F80">
              <w:rPr>
                <w:color w:val="000000" w:themeColor="text1"/>
                <w:sz w:val="20"/>
                <w:szCs w:val="20"/>
              </w:rPr>
              <w:t> </w:t>
            </w:r>
          </w:p>
        </w:tc>
        <w:tc>
          <w:tcPr>
            <w:tcW w:w="2305" w:type="dxa"/>
            <w:tcBorders>
              <w:top w:val="nil"/>
              <w:left w:val="nil"/>
              <w:bottom w:val="nil"/>
              <w:right w:val="nil"/>
            </w:tcBorders>
            <w:shd w:val="clear" w:color="auto" w:fill="auto"/>
            <w:noWrap/>
            <w:vAlign w:val="bottom"/>
            <w:hideMark/>
          </w:tcPr>
          <w:p w14:paraId="2C34C885" w14:textId="77777777" w:rsidR="00846F19" w:rsidRPr="006C6F80" w:rsidRDefault="00846F19" w:rsidP="00846F19">
            <w:pPr>
              <w:jc w:val="center"/>
              <w:rPr>
                <w:color w:val="000000" w:themeColor="text1"/>
                <w:sz w:val="20"/>
                <w:szCs w:val="20"/>
              </w:rPr>
            </w:pPr>
            <w:r w:rsidRPr="006C6F80">
              <w:rPr>
                <w:color w:val="000000" w:themeColor="text1"/>
                <w:sz w:val="20"/>
                <w:szCs w:val="20"/>
              </w:rPr>
              <w:t>(1)</w:t>
            </w:r>
          </w:p>
        </w:tc>
        <w:tc>
          <w:tcPr>
            <w:tcW w:w="1593" w:type="dxa"/>
            <w:tcBorders>
              <w:top w:val="nil"/>
              <w:left w:val="nil"/>
              <w:bottom w:val="nil"/>
              <w:right w:val="nil"/>
            </w:tcBorders>
            <w:shd w:val="clear" w:color="auto" w:fill="auto"/>
            <w:noWrap/>
            <w:vAlign w:val="bottom"/>
            <w:hideMark/>
          </w:tcPr>
          <w:p w14:paraId="7FFD60CB" w14:textId="77777777" w:rsidR="00846F19" w:rsidRPr="006C6F80" w:rsidRDefault="00846F19" w:rsidP="00846F19">
            <w:pPr>
              <w:jc w:val="center"/>
              <w:rPr>
                <w:color w:val="000000" w:themeColor="text1"/>
                <w:sz w:val="20"/>
                <w:szCs w:val="20"/>
              </w:rPr>
            </w:pPr>
            <w:r w:rsidRPr="006C6F80">
              <w:rPr>
                <w:color w:val="000000" w:themeColor="text1"/>
                <w:sz w:val="20"/>
                <w:szCs w:val="20"/>
              </w:rPr>
              <w:t>(2)</w:t>
            </w:r>
          </w:p>
        </w:tc>
        <w:tc>
          <w:tcPr>
            <w:tcW w:w="2342" w:type="dxa"/>
            <w:tcBorders>
              <w:top w:val="nil"/>
              <w:left w:val="nil"/>
              <w:bottom w:val="nil"/>
              <w:right w:val="nil"/>
            </w:tcBorders>
            <w:shd w:val="clear" w:color="auto" w:fill="auto"/>
            <w:noWrap/>
            <w:vAlign w:val="bottom"/>
            <w:hideMark/>
          </w:tcPr>
          <w:p w14:paraId="36773AB7" w14:textId="77777777" w:rsidR="00846F19" w:rsidRPr="006C6F80" w:rsidRDefault="00846F19" w:rsidP="00846F19">
            <w:pPr>
              <w:jc w:val="center"/>
              <w:rPr>
                <w:color w:val="000000" w:themeColor="text1"/>
                <w:sz w:val="20"/>
                <w:szCs w:val="20"/>
              </w:rPr>
            </w:pPr>
            <w:r w:rsidRPr="006C6F80">
              <w:rPr>
                <w:color w:val="000000" w:themeColor="text1"/>
                <w:sz w:val="20"/>
                <w:szCs w:val="20"/>
              </w:rPr>
              <w:t>(3)</w:t>
            </w:r>
          </w:p>
        </w:tc>
        <w:tc>
          <w:tcPr>
            <w:tcW w:w="1593" w:type="dxa"/>
            <w:tcBorders>
              <w:top w:val="nil"/>
              <w:left w:val="nil"/>
              <w:bottom w:val="nil"/>
              <w:right w:val="nil"/>
            </w:tcBorders>
            <w:shd w:val="clear" w:color="auto" w:fill="auto"/>
            <w:noWrap/>
            <w:vAlign w:val="bottom"/>
            <w:hideMark/>
          </w:tcPr>
          <w:p w14:paraId="171458C6" w14:textId="77777777" w:rsidR="00846F19" w:rsidRPr="006C6F80" w:rsidRDefault="00846F19" w:rsidP="00846F19">
            <w:pPr>
              <w:jc w:val="center"/>
              <w:rPr>
                <w:color w:val="000000" w:themeColor="text1"/>
                <w:sz w:val="20"/>
                <w:szCs w:val="20"/>
              </w:rPr>
            </w:pPr>
            <w:r w:rsidRPr="006C6F80">
              <w:rPr>
                <w:color w:val="000000" w:themeColor="text1"/>
                <w:sz w:val="20"/>
                <w:szCs w:val="20"/>
              </w:rPr>
              <w:t>(4)</w:t>
            </w:r>
          </w:p>
        </w:tc>
      </w:tr>
      <w:tr w:rsidR="00846F19" w:rsidRPr="006C6F80" w14:paraId="07BEF5ED" w14:textId="77777777" w:rsidTr="00846F19">
        <w:trPr>
          <w:trHeight w:val="265"/>
          <w:jc w:val="center"/>
        </w:trPr>
        <w:tc>
          <w:tcPr>
            <w:tcW w:w="2154" w:type="dxa"/>
            <w:tcBorders>
              <w:top w:val="nil"/>
              <w:left w:val="nil"/>
              <w:bottom w:val="nil"/>
              <w:right w:val="nil"/>
            </w:tcBorders>
            <w:shd w:val="clear" w:color="auto" w:fill="auto"/>
            <w:noWrap/>
            <w:vAlign w:val="center"/>
            <w:hideMark/>
          </w:tcPr>
          <w:p w14:paraId="0ED6EA9B" w14:textId="77777777" w:rsidR="00846F19" w:rsidRPr="006C6F80" w:rsidRDefault="00846F19" w:rsidP="00846F19">
            <w:pPr>
              <w:jc w:val="center"/>
              <w:rPr>
                <w:color w:val="000000" w:themeColor="text1"/>
                <w:sz w:val="20"/>
                <w:szCs w:val="20"/>
              </w:rPr>
            </w:pPr>
          </w:p>
        </w:tc>
        <w:tc>
          <w:tcPr>
            <w:tcW w:w="2305" w:type="dxa"/>
            <w:tcBorders>
              <w:top w:val="nil"/>
              <w:left w:val="nil"/>
              <w:bottom w:val="nil"/>
              <w:right w:val="nil"/>
            </w:tcBorders>
            <w:shd w:val="clear" w:color="auto" w:fill="auto"/>
            <w:noWrap/>
            <w:vAlign w:val="center"/>
            <w:hideMark/>
          </w:tcPr>
          <w:p w14:paraId="65F2E66B" w14:textId="77777777" w:rsidR="00846F19" w:rsidRPr="006C6F80" w:rsidRDefault="00846F19" w:rsidP="00846F19">
            <w:pPr>
              <w:jc w:val="center"/>
              <w:rPr>
                <w:color w:val="000000" w:themeColor="text1"/>
                <w:sz w:val="20"/>
                <w:szCs w:val="20"/>
              </w:rPr>
            </w:pPr>
            <w:r w:rsidRPr="006C6F80">
              <w:rPr>
                <w:color w:val="000000" w:themeColor="text1"/>
                <w:sz w:val="20"/>
                <w:szCs w:val="20"/>
              </w:rPr>
              <w:t>Linear probability model</w:t>
            </w:r>
          </w:p>
        </w:tc>
        <w:tc>
          <w:tcPr>
            <w:tcW w:w="1593" w:type="dxa"/>
            <w:tcBorders>
              <w:top w:val="nil"/>
              <w:left w:val="nil"/>
              <w:bottom w:val="nil"/>
              <w:right w:val="nil"/>
            </w:tcBorders>
            <w:shd w:val="clear" w:color="auto" w:fill="auto"/>
            <w:noWrap/>
            <w:vAlign w:val="center"/>
            <w:hideMark/>
          </w:tcPr>
          <w:p w14:paraId="327E8ADC" w14:textId="77777777" w:rsidR="00846F19" w:rsidRPr="006C6F80" w:rsidRDefault="00846F19" w:rsidP="00846F19">
            <w:pPr>
              <w:jc w:val="center"/>
              <w:rPr>
                <w:color w:val="000000" w:themeColor="text1"/>
                <w:sz w:val="20"/>
                <w:szCs w:val="20"/>
              </w:rPr>
            </w:pPr>
            <w:r w:rsidRPr="006C6F80">
              <w:rPr>
                <w:color w:val="000000" w:themeColor="text1"/>
                <w:sz w:val="20"/>
                <w:szCs w:val="20"/>
              </w:rPr>
              <w:t>IV-Regression</w:t>
            </w:r>
          </w:p>
        </w:tc>
        <w:tc>
          <w:tcPr>
            <w:tcW w:w="2342" w:type="dxa"/>
            <w:tcBorders>
              <w:top w:val="nil"/>
              <w:left w:val="nil"/>
              <w:bottom w:val="nil"/>
              <w:right w:val="nil"/>
            </w:tcBorders>
            <w:shd w:val="clear" w:color="auto" w:fill="auto"/>
            <w:noWrap/>
            <w:vAlign w:val="center"/>
            <w:hideMark/>
          </w:tcPr>
          <w:p w14:paraId="3BA1FAA8" w14:textId="77777777" w:rsidR="00846F19" w:rsidRPr="006C6F80" w:rsidRDefault="00846F19" w:rsidP="00846F19">
            <w:pPr>
              <w:jc w:val="center"/>
              <w:rPr>
                <w:color w:val="000000" w:themeColor="text1"/>
                <w:sz w:val="20"/>
                <w:szCs w:val="20"/>
              </w:rPr>
            </w:pPr>
            <w:r w:rsidRPr="006C6F80">
              <w:rPr>
                <w:color w:val="000000" w:themeColor="text1"/>
                <w:sz w:val="20"/>
                <w:szCs w:val="20"/>
              </w:rPr>
              <w:t>Linear Probability Model</w:t>
            </w:r>
          </w:p>
        </w:tc>
        <w:tc>
          <w:tcPr>
            <w:tcW w:w="1593" w:type="dxa"/>
            <w:tcBorders>
              <w:top w:val="nil"/>
              <w:left w:val="nil"/>
              <w:bottom w:val="nil"/>
              <w:right w:val="nil"/>
            </w:tcBorders>
            <w:shd w:val="clear" w:color="auto" w:fill="auto"/>
            <w:noWrap/>
            <w:vAlign w:val="center"/>
            <w:hideMark/>
          </w:tcPr>
          <w:p w14:paraId="5019C59D" w14:textId="77777777" w:rsidR="00846F19" w:rsidRPr="006C6F80" w:rsidRDefault="00846F19" w:rsidP="00846F19">
            <w:pPr>
              <w:jc w:val="center"/>
              <w:rPr>
                <w:color w:val="000000" w:themeColor="text1"/>
                <w:sz w:val="20"/>
                <w:szCs w:val="20"/>
              </w:rPr>
            </w:pPr>
            <w:r w:rsidRPr="006C6F80">
              <w:rPr>
                <w:color w:val="000000" w:themeColor="text1"/>
                <w:sz w:val="20"/>
                <w:szCs w:val="20"/>
              </w:rPr>
              <w:t>IV-Regression</w:t>
            </w:r>
          </w:p>
        </w:tc>
      </w:tr>
      <w:tr w:rsidR="00846F19" w:rsidRPr="006C6F80" w14:paraId="0E4C033F" w14:textId="77777777" w:rsidTr="00846F19">
        <w:trPr>
          <w:trHeight w:val="265"/>
          <w:jc w:val="center"/>
        </w:trPr>
        <w:tc>
          <w:tcPr>
            <w:tcW w:w="2154" w:type="dxa"/>
            <w:tcBorders>
              <w:top w:val="nil"/>
              <w:left w:val="nil"/>
              <w:bottom w:val="nil"/>
              <w:right w:val="nil"/>
            </w:tcBorders>
            <w:shd w:val="clear" w:color="auto" w:fill="auto"/>
            <w:noWrap/>
            <w:vAlign w:val="bottom"/>
            <w:hideMark/>
          </w:tcPr>
          <w:p w14:paraId="43ED2910" w14:textId="77777777" w:rsidR="00846F19" w:rsidRPr="006C6F80" w:rsidRDefault="00846F19" w:rsidP="00846F19">
            <w:pPr>
              <w:rPr>
                <w:color w:val="000000" w:themeColor="text1"/>
                <w:sz w:val="20"/>
                <w:szCs w:val="20"/>
              </w:rPr>
            </w:pPr>
            <w:r w:rsidRPr="006C6F80">
              <w:rPr>
                <w:color w:val="000000" w:themeColor="text1"/>
                <w:sz w:val="20"/>
                <w:szCs w:val="20"/>
              </w:rPr>
              <w:t>VARIABLES</w:t>
            </w:r>
          </w:p>
        </w:tc>
        <w:tc>
          <w:tcPr>
            <w:tcW w:w="2305" w:type="dxa"/>
            <w:tcBorders>
              <w:top w:val="nil"/>
              <w:left w:val="nil"/>
              <w:bottom w:val="nil"/>
              <w:right w:val="nil"/>
            </w:tcBorders>
            <w:shd w:val="clear" w:color="auto" w:fill="auto"/>
            <w:noWrap/>
            <w:vAlign w:val="bottom"/>
            <w:hideMark/>
          </w:tcPr>
          <w:p w14:paraId="7C4D2BD7" w14:textId="77777777" w:rsidR="00846F19" w:rsidRPr="006C6F80" w:rsidRDefault="00846F19" w:rsidP="00846F19">
            <w:pPr>
              <w:jc w:val="center"/>
              <w:rPr>
                <w:color w:val="000000" w:themeColor="text1"/>
                <w:sz w:val="20"/>
                <w:szCs w:val="20"/>
              </w:rPr>
            </w:pPr>
            <w:r w:rsidRPr="006C6F80">
              <w:rPr>
                <w:color w:val="000000" w:themeColor="text1"/>
                <w:sz w:val="20"/>
                <w:szCs w:val="20"/>
              </w:rPr>
              <w:t>Upward mobility</w:t>
            </w:r>
          </w:p>
        </w:tc>
        <w:tc>
          <w:tcPr>
            <w:tcW w:w="1593" w:type="dxa"/>
            <w:tcBorders>
              <w:top w:val="nil"/>
              <w:left w:val="nil"/>
              <w:bottom w:val="nil"/>
              <w:right w:val="nil"/>
            </w:tcBorders>
            <w:shd w:val="clear" w:color="auto" w:fill="auto"/>
            <w:noWrap/>
            <w:vAlign w:val="bottom"/>
            <w:hideMark/>
          </w:tcPr>
          <w:p w14:paraId="3797DFED" w14:textId="77777777" w:rsidR="00846F19" w:rsidRPr="006C6F80" w:rsidRDefault="00846F19" w:rsidP="00846F19">
            <w:pPr>
              <w:jc w:val="center"/>
              <w:rPr>
                <w:color w:val="000000" w:themeColor="text1"/>
                <w:sz w:val="20"/>
                <w:szCs w:val="20"/>
              </w:rPr>
            </w:pPr>
            <w:r w:rsidRPr="006C6F80">
              <w:rPr>
                <w:color w:val="000000" w:themeColor="text1"/>
                <w:sz w:val="20"/>
                <w:szCs w:val="20"/>
              </w:rPr>
              <w:t>Upward mobility</w:t>
            </w:r>
          </w:p>
        </w:tc>
        <w:tc>
          <w:tcPr>
            <w:tcW w:w="2342" w:type="dxa"/>
            <w:tcBorders>
              <w:top w:val="nil"/>
              <w:left w:val="nil"/>
              <w:bottom w:val="nil"/>
              <w:right w:val="nil"/>
            </w:tcBorders>
            <w:shd w:val="clear" w:color="auto" w:fill="auto"/>
            <w:noWrap/>
            <w:vAlign w:val="bottom"/>
            <w:hideMark/>
          </w:tcPr>
          <w:p w14:paraId="587654A6" w14:textId="77777777" w:rsidR="00846F19" w:rsidRPr="006C6F80" w:rsidRDefault="00846F19" w:rsidP="00846F19">
            <w:pPr>
              <w:jc w:val="center"/>
              <w:rPr>
                <w:color w:val="000000" w:themeColor="text1"/>
                <w:sz w:val="20"/>
                <w:szCs w:val="20"/>
              </w:rPr>
            </w:pPr>
            <w:r w:rsidRPr="006C6F80">
              <w:rPr>
                <w:color w:val="000000" w:themeColor="text1"/>
                <w:sz w:val="20"/>
                <w:szCs w:val="20"/>
              </w:rPr>
              <w:t>Upward mobility</w:t>
            </w:r>
          </w:p>
        </w:tc>
        <w:tc>
          <w:tcPr>
            <w:tcW w:w="1593" w:type="dxa"/>
            <w:tcBorders>
              <w:top w:val="nil"/>
              <w:left w:val="nil"/>
              <w:bottom w:val="nil"/>
              <w:right w:val="nil"/>
            </w:tcBorders>
            <w:shd w:val="clear" w:color="auto" w:fill="auto"/>
            <w:noWrap/>
            <w:vAlign w:val="bottom"/>
            <w:hideMark/>
          </w:tcPr>
          <w:p w14:paraId="4E9A3E11" w14:textId="77777777" w:rsidR="00846F19" w:rsidRPr="006C6F80" w:rsidRDefault="00846F19" w:rsidP="00846F19">
            <w:pPr>
              <w:jc w:val="center"/>
              <w:rPr>
                <w:color w:val="000000" w:themeColor="text1"/>
                <w:sz w:val="20"/>
                <w:szCs w:val="20"/>
              </w:rPr>
            </w:pPr>
            <w:r w:rsidRPr="006C6F80">
              <w:rPr>
                <w:color w:val="000000" w:themeColor="text1"/>
                <w:sz w:val="20"/>
                <w:szCs w:val="20"/>
              </w:rPr>
              <w:t>Upward mobility</w:t>
            </w:r>
          </w:p>
        </w:tc>
      </w:tr>
      <w:tr w:rsidR="00846F19" w:rsidRPr="006C6F80" w14:paraId="1A350485" w14:textId="77777777" w:rsidTr="00846F19">
        <w:trPr>
          <w:trHeight w:val="265"/>
          <w:jc w:val="center"/>
        </w:trPr>
        <w:tc>
          <w:tcPr>
            <w:tcW w:w="2154" w:type="dxa"/>
            <w:tcBorders>
              <w:top w:val="single" w:sz="4" w:space="0" w:color="auto"/>
              <w:left w:val="nil"/>
              <w:bottom w:val="nil"/>
              <w:right w:val="nil"/>
            </w:tcBorders>
            <w:shd w:val="clear" w:color="auto" w:fill="auto"/>
            <w:noWrap/>
            <w:vAlign w:val="bottom"/>
            <w:hideMark/>
          </w:tcPr>
          <w:p w14:paraId="15253F09" w14:textId="77777777" w:rsidR="00846F19" w:rsidRPr="006C6F80" w:rsidRDefault="00846F19" w:rsidP="00846F19">
            <w:pPr>
              <w:rPr>
                <w:color w:val="000000" w:themeColor="text1"/>
                <w:sz w:val="20"/>
                <w:szCs w:val="20"/>
              </w:rPr>
            </w:pPr>
            <w:r w:rsidRPr="006C6F80">
              <w:rPr>
                <w:color w:val="000000" w:themeColor="text1"/>
                <w:sz w:val="20"/>
                <w:szCs w:val="20"/>
              </w:rPr>
              <w:t> </w:t>
            </w:r>
          </w:p>
        </w:tc>
        <w:tc>
          <w:tcPr>
            <w:tcW w:w="2305" w:type="dxa"/>
            <w:tcBorders>
              <w:top w:val="single" w:sz="4" w:space="0" w:color="auto"/>
              <w:left w:val="nil"/>
              <w:bottom w:val="nil"/>
              <w:right w:val="nil"/>
            </w:tcBorders>
            <w:shd w:val="clear" w:color="auto" w:fill="auto"/>
            <w:noWrap/>
            <w:vAlign w:val="bottom"/>
            <w:hideMark/>
          </w:tcPr>
          <w:p w14:paraId="50F00A1F" w14:textId="77777777" w:rsidR="00846F19" w:rsidRPr="006C6F80" w:rsidRDefault="00846F19" w:rsidP="00846F19">
            <w:pPr>
              <w:jc w:val="center"/>
              <w:rPr>
                <w:color w:val="000000" w:themeColor="text1"/>
                <w:sz w:val="20"/>
                <w:szCs w:val="20"/>
              </w:rPr>
            </w:pPr>
            <w:r w:rsidRPr="006C6F80">
              <w:rPr>
                <w:color w:val="000000" w:themeColor="text1"/>
                <w:sz w:val="20"/>
                <w:szCs w:val="20"/>
              </w:rPr>
              <w:t> </w:t>
            </w:r>
          </w:p>
        </w:tc>
        <w:tc>
          <w:tcPr>
            <w:tcW w:w="1593" w:type="dxa"/>
            <w:tcBorders>
              <w:top w:val="single" w:sz="4" w:space="0" w:color="auto"/>
              <w:left w:val="nil"/>
              <w:bottom w:val="nil"/>
              <w:right w:val="nil"/>
            </w:tcBorders>
            <w:shd w:val="clear" w:color="auto" w:fill="auto"/>
            <w:noWrap/>
            <w:vAlign w:val="bottom"/>
            <w:hideMark/>
          </w:tcPr>
          <w:p w14:paraId="23C1168A" w14:textId="77777777" w:rsidR="00846F19" w:rsidRPr="006C6F80" w:rsidRDefault="00846F19" w:rsidP="00846F19">
            <w:pPr>
              <w:jc w:val="center"/>
              <w:rPr>
                <w:color w:val="000000" w:themeColor="text1"/>
                <w:sz w:val="20"/>
                <w:szCs w:val="20"/>
              </w:rPr>
            </w:pPr>
            <w:r w:rsidRPr="006C6F80">
              <w:rPr>
                <w:color w:val="000000" w:themeColor="text1"/>
                <w:sz w:val="20"/>
                <w:szCs w:val="20"/>
              </w:rPr>
              <w:t> </w:t>
            </w:r>
          </w:p>
        </w:tc>
        <w:tc>
          <w:tcPr>
            <w:tcW w:w="2342" w:type="dxa"/>
            <w:tcBorders>
              <w:top w:val="single" w:sz="4" w:space="0" w:color="auto"/>
              <w:left w:val="nil"/>
              <w:bottom w:val="nil"/>
              <w:right w:val="nil"/>
            </w:tcBorders>
            <w:shd w:val="clear" w:color="auto" w:fill="auto"/>
            <w:noWrap/>
            <w:vAlign w:val="bottom"/>
            <w:hideMark/>
          </w:tcPr>
          <w:p w14:paraId="418A665A" w14:textId="77777777" w:rsidR="00846F19" w:rsidRPr="006C6F80" w:rsidRDefault="00846F19" w:rsidP="00846F19">
            <w:pPr>
              <w:jc w:val="center"/>
              <w:rPr>
                <w:color w:val="000000" w:themeColor="text1"/>
                <w:sz w:val="20"/>
                <w:szCs w:val="20"/>
              </w:rPr>
            </w:pPr>
            <w:r w:rsidRPr="006C6F80">
              <w:rPr>
                <w:color w:val="000000" w:themeColor="text1"/>
                <w:sz w:val="20"/>
                <w:szCs w:val="20"/>
              </w:rPr>
              <w:t> </w:t>
            </w:r>
          </w:p>
        </w:tc>
        <w:tc>
          <w:tcPr>
            <w:tcW w:w="1593" w:type="dxa"/>
            <w:tcBorders>
              <w:top w:val="single" w:sz="4" w:space="0" w:color="auto"/>
              <w:left w:val="nil"/>
              <w:bottom w:val="nil"/>
              <w:right w:val="nil"/>
            </w:tcBorders>
            <w:shd w:val="clear" w:color="auto" w:fill="auto"/>
            <w:noWrap/>
            <w:vAlign w:val="bottom"/>
            <w:hideMark/>
          </w:tcPr>
          <w:p w14:paraId="758569B4" w14:textId="77777777" w:rsidR="00846F19" w:rsidRPr="006C6F80" w:rsidRDefault="00846F19" w:rsidP="00846F19">
            <w:pPr>
              <w:jc w:val="center"/>
              <w:rPr>
                <w:color w:val="000000" w:themeColor="text1"/>
                <w:sz w:val="20"/>
                <w:szCs w:val="20"/>
              </w:rPr>
            </w:pPr>
            <w:r w:rsidRPr="006C6F80">
              <w:rPr>
                <w:color w:val="000000" w:themeColor="text1"/>
                <w:sz w:val="20"/>
                <w:szCs w:val="20"/>
              </w:rPr>
              <w:t> </w:t>
            </w:r>
          </w:p>
        </w:tc>
      </w:tr>
      <w:tr w:rsidR="00846F19" w:rsidRPr="006C6F80" w14:paraId="67A032A6" w14:textId="77777777" w:rsidTr="00846F19">
        <w:trPr>
          <w:trHeight w:val="265"/>
          <w:jc w:val="center"/>
        </w:trPr>
        <w:tc>
          <w:tcPr>
            <w:tcW w:w="2154" w:type="dxa"/>
            <w:tcBorders>
              <w:top w:val="nil"/>
              <w:left w:val="nil"/>
              <w:bottom w:val="nil"/>
              <w:right w:val="nil"/>
            </w:tcBorders>
            <w:shd w:val="clear" w:color="auto" w:fill="auto"/>
            <w:noWrap/>
            <w:vAlign w:val="bottom"/>
            <w:hideMark/>
          </w:tcPr>
          <w:p w14:paraId="7EFB2BF8" w14:textId="77777777" w:rsidR="00846F19" w:rsidRPr="006C6F80" w:rsidRDefault="00846F19" w:rsidP="00846F19">
            <w:pPr>
              <w:rPr>
                <w:color w:val="000000" w:themeColor="text1"/>
                <w:sz w:val="20"/>
                <w:szCs w:val="20"/>
              </w:rPr>
            </w:pPr>
            <w:r w:rsidRPr="006C6F80">
              <w:rPr>
                <w:color w:val="000000" w:themeColor="text1"/>
                <w:sz w:val="20"/>
                <w:szCs w:val="20"/>
              </w:rPr>
              <w:t>Return migrant</w:t>
            </w:r>
          </w:p>
        </w:tc>
        <w:tc>
          <w:tcPr>
            <w:tcW w:w="2305" w:type="dxa"/>
            <w:tcBorders>
              <w:top w:val="nil"/>
              <w:left w:val="nil"/>
              <w:bottom w:val="nil"/>
              <w:right w:val="nil"/>
            </w:tcBorders>
            <w:shd w:val="clear" w:color="auto" w:fill="auto"/>
            <w:noWrap/>
            <w:vAlign w:val="bottom"/>
            <w:hideMark/>
          </w:tcPr>
          <w:p w14:paraId="04D2B824" w14:textId="77777777" w:rsidR="00846F19" w:rsidRPr="006C6F80" w:rsidRDefault="00846F19" w:rsidP="00846F19">
            <w:pPr>
              <w:jc w:val="center"/>
              <w:rPr>
                <w:color w:val="000000" w:themeColor="text1"/>
                <w:sz w:val="20"/>
                <w:szCs w:val="20"/>
              </w:rPr>
            </w:pPr>
            <w:r w:rsidRPr="006C6F80">
              <w:rPr>
                <w:color w:val="000000" w:themeColor="text1"/>
                <w:sz w:val="20"/>
                <w:szCs w:val="20"/>
              </w:rPr>
              <w:t>0.107**</w:t>
            </w:r>
          </w:p>
        </w:tc>
        <w:tc>
          <w:tcPr>
            <w:tcW w:w="1593" w:type="dxa"/>
            <w:tcBorders>
              <w:top w:val="nil"/>
              <w:left w:val="nil"/>
              <w:bottom w:val="nil"/>
              <w:right w:val="nil"/>
            </w:tcBorders>
            <w:shd w:val="clear" w:color="auto" w:fill="auto"/>
            <w:noWrap/>
            <w:vAlign w:val="bottom"/>
            <w:hideMark/>
          </w:tcPr>
          <w:p w14:paraId="22EEF80C" w14:textId="77777777" w:rsidR="00846F19" w:rsidRPr="006C6F80" w:rsidRDefault="00846F19" w:rsidP="00846F19">
            <w:pPr>
              <w:jc w:val="center"/>
              <w:rPr>
                <w:color w:val="000000" w:themeColor="text1"/>
                <w:sz w:val="20"/>
                <w:szCs w:val="20"/>
              </w:rPr>
            </w:pPr>
            <w:r w:rsidRPr="006C6F80">
              <w:rPr>
                <w:color w:val="000000" w:themeColor="text1"/>
                <w:sz w:val="20"/>
                <w:szCs w:val="20"/>
              </w:rPr>
              <w:t>0.125**</w:t>
            </w:r>
          </w:p>
        </w:tc>
        <w:tc>
          <w:tcPr>
            <w:tcW w:w="2342" w:type="dxa"/>
            <w:tcBorders>
              <w:top w:val="nil"/>
              <w:left w:val="nil"/>
              <w:bottom w:val="nil"/>
              <w:right w:val="nil"/>
            </w:tcBorders>
            <w:shd w:val="clear" w:color="auto" w:fill="auto"/>
            <w:noWrap/>
            <w:vAlign w:val="bottom"/>
            <w:hideMark/>
          </w:tcPr>
          <w:p w14:paraId="44AEBC53" w14:textId="77777777" w:rsidR="00846F19" w:rsidRPr="006C6F80" w:rsidRDefault="00846F19" w:rsidP="00846F19">
            <w:pPr>
              <w:jc w:val="center"/>
              <w:rPr>
                <w:color w:val="000000" w:themeColor="text1"/>
                <w:sz w:val="20"/>
                <w:szCs w:val="20"/>
              </w:rPr>
            </w:pPr>
            <w:r w:rsidRPr="006C6F80">
              <w:rPr>
                <w:color w:val="000000" w:themeColor="text1"/>
                <w:sz w:val="20"/>
                <w:szCs w:val="20"/>
              </w:rPr>
              <w:t>0.149***</w:t>
            </w:r>
          </w:p>
        </w:tc>
        <w:tc>
          <w:tcPr>
            <w:tcW w:w="1593" w:type="dxa"/>
            <w:tcBorders>
              <w:top w:val="nil"/>
              <w:left w:val="nil"/>
              <w:bottom w:val="nil"/>
              <w:right w:val="nil"/>
            </w:tcBorders>
            <w:shd w:val="clear" w:color="auto" w:fill="auto"/>
            <w:noWrap/>
            <w:vAlign w:val="bottom"/>
            <w:hideMark/>
          </w:tcPr>
          <w:p w14:paraId="7E7B9F6E" w14:textId="77777777" w:rsidR="00846F19" w:rsidRPr="006C6F80" w:rsidRDefault="00846F19" w:rsidP="00846F19">
            <w:pPr>
              <w:jc w:val="center"/>
              <w:rPr>
                <w:color w:val="000000" w:themeColor="text1"/>
                <w:sz w:val="20"/>
                <w:szCs w:val="20"/>
              </w:rPr>
            </w:pPr>
            <w:r w:rsidRPr="006C6F80">
              <w:rPr>
                <w:color w:val="000000" w:themeColor="text1"/>
                <w:sz w:val="20"/>
                <w:szCs w:val="20"/>
              </w:rPr>
              <w:t>0.162***</w:t>
            </w:r>
          </w:p>
        </w:tc>
      </w:tr>
      <w:tr w:rsidR="00846F19" w:rsidRPr="006C6F80" w14:paraId="7C13F98D" w14:textId="77777777" w:rsidTr="00846F19">
        <w:trPr>
          <w:trHeight w:val="265"/>
          <w:jc w:val="center"/>
        </w:trPr>
        <w:tc>
          <w:tcPr>
            <w:tcW w:w="2154" w:type="dxa"/>
            <w:tcBorders>
              <w:top w:val="nil"/>
              <w:left w:val="nil"/>
              <w:bottom w:val="nil"/>
              <w:right w:val="nil"/>
            </w:tcBorders>
            <w:shd w:val="clear" w:color="auto" w:fill="auto"/>
            <w:noWrap/>
            <w:vAlign w:val="bottom"/>
            <w:hideMark/>
          </w:tcPr>
          <w:p w14:paraId="07C3F588" w14:textId="77777777" w:rsidR="00846F19" w:rsidRPr="006C6F80" w:rsidRDefault="00846F19" w:rsidP="00846F19">
            <w:pPr>
              <w:jc w:val="center"/>
              <w:rPr>
                <w:color w:val="000000" w:themeColor="text1"/>
                <w:sz w:val="20"/>
                <w:szCs w:val="20"/>
              </w:rPr>
            </w:pPr>
          </w:p>
        </w:tc>
        <w:tc>
          <w:tcPr>
            <w:tcW w:w="2305" w:type="dxa"/>
            <w:tcBorders>
              <w:top w:val="nil"/>
              <w:left w:val="nil"/>
              <w:bottom w:val="nil"/>
              <w:right w:val="nil"/>
            </w:tcBorders>
            <w:shd w:val="clear" w:color="auto" w:fill="auto"/>
            <w:noWrap/>
            <w:vAlign w:val="bottom"/>
            <w:hideMark/>
          </w:tcPr>
          <w:p w14:paraId="03AF131D" w14:textId="77777777" w:rsidR="00846F19" w:rsidRPr="006C6F80" w:rsidRDefault="00846F19" w:rsidP="00846F19">
            <w:pPr>
              <w:jc w:val="center"/>
              <w:rPr>
                <w:color w:val="000000" w:themeColor="text1"/>
                <w:sz w:val="20"/>
                <w:szCs w:val="20"/>
              </w:rPr>
            </w:pPr>
            <w:r w:rsidRPr="006C6F80">
              <w:rPr>
                <w:color w:val="000000" w:themeColor="text1"/>
                <w:sz w:val="20"/>
                <w:szCs w:val="20"/>
              </w:rPr>
              <w:t>(0.051)</w:t>
            </w:r>
          </w:p>
        </w:tc>
        <w:tc>
          <w:tcPr>
            <w:tcW w:w="1593" w:type="dxa"/>
            <w:tcBorders>
              <w:top w:val="nil"/>
              <w:left w:val="nil"/>
              <w:bottom w:val="nil"/>
              <w:right w:val="nil"/>
            </w:tcBorders>
            <w:shd w:val="clear" w:color="auto" w:fill="auto"/>
            <w:noWrap/>
            <w:vAlign w:val="bottom"/>
            <w:hideMark/>
          </w:tcPr>
          <w:p w14:paraId="6E7CF58E" w14:textId="77777777" w:rsidR="00846F19" w:rsidRPr="006C6F80" w:rsidRDefault="00846F19" w:rsidP="00846F19">
            <w:pPr>
              <w:jc w:val="center"/>
              <w:rPr>
                <w:color w:val="000000" w:themeColor="text1"/>
                <w:sz w:val="20"/>
                <w:szCs w:val="20"/>
              </w:rPr>
            </w:pPr>
            <w:r w:rsidRPr="006C6F80">
              <w:rPr>
                <w:color w:val="000000" w:themeColor="text1"/>
                <w:sz w:val="20"/>
                <w:szCs w:val="20"/>
              </w:rPr>
              <w:t>(0.053)</w:t>
            </w:r>
          </w:p>
        </w:tc>
        <w:tc>
          <w:tcPr>
            <w:tcW w:w="2342" w:type="dxa"/>
            <w:tcBorders>
              <w:top w:val="nil"/>
              <w:left w:val="nil"/>
              <w:bottom w:val="nil"/>
              <w:right w:val="nil"/>
            </w:tcBorders>
            <w:shd w:val="clear" w:color="auto" w:fill="auto"/>
            <w:noWrap/>
            <w:vAlign w:val="bottom"/>
            <w:hideMark/>
          </w:tcPr>
          <w:p w14:paraId="4AE5475D" w14:textId="77777777" w:rsidR="00846F19" w:rsidRPr="006C6F80" w:rsidRDefault="00846F19" w:rsidP="00846F19">
            <w:pPr>
              <w:jc w:val="center"/>
              <w:rPr>
                <w:color w:val="000000" w:themeColor="text1"/>
                <w:sz w:val="20"/>
                <w:szCs w:val="20"/>
              </w:rPr>
            </w:pPr>
            <w:r w:rsidRPr="006C6F80">
              <w:rPr>
                <w:color w:val="000000" w:themeColor="text1"/>
                <w:sz w:val="20"/>
                <w:szCs w:val="20"/>
              </w:rPr>
              <w:t>(0.042)</w:t>
            </w:r>
          </w:p>
        </w:tc>
        <w:tc>
          <w:tcPr>
            <w:tcW w:w="1593" w:type="dxa"/>
            <w:tcBorders>
              <w:top w:val="nil"/>
              <w:left w:val="nil"/>
              <w:bottom w:val="nil"/>
              <w:right w:val="nil"/>
            </w:tcBorders>
            <w:shd w:val="clear" w:color="auto" w:fill="auto"/>
            <w:noWrap/>
            <w:vAlign w:val="bottom"/>
            <w:hideMark/>
          </w:tcPr>
          <w:p w14:paraId="58EFA183" w14:textId="77777777" w:rsidR="00846F19" w:rsidRPr="006C6F80" w:rsidRDefault="00846F19" w:rsidP="00846F19">
            <w:pPr>
              <w:jc w:val="center"/>
              <w:rPr>
                <w:color w:val="000000" w:themeColor="text1"/>
                <w:sz w:val="20"/>
                <w:szCs w:val="20"/>
              </w:rPr>
            </w:pPr>
            <w:r w:rsidRPr="006C6F80">
              <w:rPr>
                <w:color w:val="000000" w:themeColor="text1"/>
                <w:sz w:val="20"/>
                <w:szCs w:val="20"/>
              </w:rPr>
              <w:t>(0.042)</w:t>
            </w:r>
          </w:p>
        </w:tc>
      </w:tr>
      <w:tr w:rsidR="00846F19" w:rsidRPr="006C6F80" w14:paraId="79A0A48B" w14:textId="77777777" w:rsidTr="00846F19">
        <w:trPr>
          <w:trHeight w:val="265"/>
          <w:jc w:val="center"/>
        </w:trPr>
        <w:tc>
          <w:tcPr>
            <w:tcW w:w="2154" w:type="dxa"/>
            <w:tcBorders>
              <w:top w:val="nil"/>
              <w:left w:val="nil"/>
              <w:bottom w:val="nil"/>
              <w:right w:val="nil"/>
            </w:tcBorders>
            <w:shd w:val="clear" w:color="auto" w:fill="auto"/>
            <w:noWrap/>
            <w:vAlign w:val="bottom"/>
            <w:hideMark/>
          </w:tcPr>
          <w:p w14:paraId="255983B2" w14:textId="77777777" w:rsidR="00846F19" w:rsidRPr="006C6F80" w:rsidRDefault="00846F19" w:rsidP="00846F19">
            <w:pPr>
              <w:jc w:val="center"/>
              <w:rPr>
                <w:color w:val="000000" w:themeColor="text1"/>
                <w:sz w:val="20"/>
                <w:szCs w:val="20"/>
              </w:rPr>
            </w:pPr>
          </w:p>
        </w:tc>
        <w:tc>
          <w:tcPr>
            <w:tcW w:w="2305" w:type="dxa"/>
            <w:tcBorders>
              <w:top w:val="nil"/>
              <w:left w:val="nil"/>
              <w:bottom w:val="nil"/>
              <w:right w:val="nil"/>
            </w:tcBorders>
            <w:shd w:val="clear" w:color="auto" w:fill="auto"/>
            <w:noWrap/>
            <w:vAlign w:val="bottom"/>
            <w:hideMark/>
          </w:tcPr>
          <w:p w14:paraId="761E05AC" w14:textId="77777777" w:rsidR="00846F19" w:rsidRPr="006C6F80" w:rsidRDefault="00846F19" w:rsidP="00846F19">
            <w:pPr>
              <w:rPr>
                <w:color w:val="000000" w:themeColor="text1"/>
                <w:sz w:val="20"/>
                <w:szCs w:val="20"/>
              </w:rPr>
            </w:pPr>
          </w:p>
        </w:tc>
        <w:tc>
          <w:tcPr>
            <w:tcW w:w="1593" w:type="dxa"/>
            <w:tcBorders>
              <w:top w:val="nil"/>
              <w:left w:val="nil"/>
              <w:bottom w:val="nil"/>
              <w:right w:val="nil"/>
            </w:tcBorders>
            <w:shd w:val="clear" w:color="auto" w:fill="auto"/>
            <w:noWrap/>
            <w:vAlign w:val="bottom"/>
            <w:hideMark/>
          </w:tcPr>
          <w:p w14:paraId="78CC98A8" w14:textId="77777777" w:rsidR="00846F19" w:rsidRPr="006C6F80" w:rsidRDefault="00846F19" w:rsidP="00846F19">
            <w:pPr>
              <w:jc w:val="center"/>
              <w:rPr>
                <w:color w:val="000000" w:themeColor="text1"/>
                <w:sz w:val="20"/>
                <w:szCs w:val="20"/>
              </w:rPr>
            </w:pPr>
          </w:p>
        </w:tc>
        <w:tc>
          <w:tcPr>
            <w:tcW w:w="2342" w:type="dxa"/>
            <w:tcBorders>
              <w:top w:val="nil"/>
              <w:left w:val="nil"/>
              <w:bottom w:val="nil"/>
              <w:right w:val="nil"/>
            </w:tcBorders>
            <w:shd w:val="clear" w:color="auto" w:fill="auto"/>
            <w:noWrap/>
            <w:vAlign w:val="bottom"/>
            <w:hideMark/>
          </w:tcPr>
          <w:p w14:paraId="5C096AED" w14:textId="77777777" w:rsidR="00846F19" w:rsidRPr="006C6F80" w:rsidRDefault="00846F19" w:rsidP="00846F19">
            <w:pPr>
              <w:jc w:val="center"/>
              <w:rPr>
                <w:color w:val="000000" w:themeColor="text1"/>
                <w:sz w:val="20"/>
                <w:szCs w:val="20"/>
              </w:rPr>
            </w:pPr>
          </w:p>
        </w:tc>
        <w:tc>
          <w:tcPr>
            <w:tcW w:w="1593" w:type="dxa"/>
            <w:tcBorders>
              <w:top w:val="nil"/>
              <w:left w:val="nil"/>
              <w:bottom w:val="nil"/>
              <w:right w:val="nil"/>
            </w:tcBorders>
            <w:shd w:val="clear" w:color="auto" w:fill="auto"/>
            <w:noWrap/>
            <w:vAlign w:val="bottom"/>
            <w:hideMark/>
          </w:tcPr>
          <w:p w14:paraId="7057F6B6" w14:textId="77777777" w:rsidR="00846F19" w:rsidRPr="006C6F80" w:rsidRDefault="00846F19" w:rsidP="00846F19">
            <w:pPr>
              <w:jc w:val="center"/>
              <w:rPr>
                <w:color w:val="000000" w:themeColor="text1"/>
                <w:sz w:val="20"/>
                <w:szCs w:val="20"/>
              </w:rPr>
            </w:pPr>
          </w:p>
        </w:tc>
      </w:tr>
      <w:tr w:rsidR="00846F19" w:rsidRPr="006C6F80" w14:paraId="2DD825D5" w14:textId="77777777" w:rsidTr="00846F19">
        <w:trPr>
          <w:trHeight w:val="265"/>
          <w:jc w:val="center"/>
        </w:trPr>
        <w:tc>
          <w:tcPr>
            <w:tcW w:w="2154" w:type="dxa"/>
            <w:tcBorders>
              <w:top w:val="nil"/>
              <w:left w:val="nil"/>
              <w:bottom w:val="nil"/>
              <w:right w:val="nil"/>
            </w:tcBorders>
            <w:shd w:val="clear" w:color="auto" w:fill="auto"/>
            <w:noWrap/>
            <w:vAlign w:val="bottom"/>
            <w:hideMark/>
          </w:tcPr>
          <w:p w14:paraId="22D54F3A" w14:textId="77777777" w:rsidR="00846F19" w:rsidRPr="006C6F80" w:rsidRDefault="00846F19" w:rsidP="00846F19">
            <w:pPr>
              <w:rPr>
                <w:color w:val="000000" w:themeColor="text1"/>
                <w:sz w:val="20"/>
                <w:szCs w:val="20"/>
              </w:rPr>
            </w:pPr>
            <w:r w:rsidRPr="006C6F80">
              <w:rPr>
                <w:color w:val="000000" w:themeColor="text1"/>
                <w:sz w:val="20"/>
                <w:szCs w:val="20"/>
              </w:rPr>
              <w:t>Observations</w:t>
            </w:r>
          </w:p>
        </w:tc>
        <w:tc>
          <w:tcPr>
            <w:tcW w:w="2305" w:type="dxa"/>
            <w:tcBorders>
              <w:top w:val="nil"/>
              <w:left w:val="nil"/>
              <w:bottom w:val="nil"/>
              <w:right w:val="nil"/>
            </w:tcBorders>
            <w:shd w:val="clear" w:color="auto" w:fill="auto"/>
            <w:noWrap/>
            <w:vAlign w:val="bottom"/>
            <w:hideMark/>
          </w:tcPr>
          <w:p w14:paraId="6C4D18BE" w14:textId="77777777" w:rsidR="00846F19" w:rsidRPr="006C6F80" w:rsidRDefault="00846F19" w:rsidP="00846F19">
            <w:pPr>
              <w:jc w:val="center"/>
              <w:rPr>
                <w:color w:val="000000" w:themeColor="text1"/>
                <w:sz w:val="20"/>
                <w:szCs w:val="20"/>
              </w:rPr>
            </w:pPr>
            <w:r w:rsidRPr="006C6F80">
              <w:rPr>
                <w:color w:val="000000" w:themeColor="text1"/>
                <w:sz w:val="20"/>
                <w:szCs w:val="20"/>
              </w:rPr>
              <w:t>877</w:t>
            </w:r>
          </w:p>
        </w:tc>
        <w:tc>
          <w:tcPr>
            <w:tcW w:w="1593" w:type="dxa"/>
            <w:tcBorders>
              <w:top w:val="nil"/>
              <w:left w:val="nil"/>
              <w:bottom w:val="nil"/>
              <w:right w:val="nil"/>
            </w:tcBorders>
            <w:shd w:val="clear" w:color="auto" w:fill="auto"/>
            <w:noWrap/>
            <w:vAlign w:val="bottom"/>
            <w:hideMark/>
          </w:tcPr>
          <w:p w14:paraId="64BB2576" w14:textId="77777777" w:rsidR="00846F19" w:rsidRPr="006C6F80" w:rsidRDefault="00846F19" w:rsidP="00846F19">
            <w:pPr>
              <w:jc w:val="center"/>
              <w:rPr>
                <w:color w:val="000000" w:themeColor="text1"/>
                <w:sz w:val="20"/>
                <w:szCs w:val="20"/>
              </w:rPr>
            </w:pPr>
            <w:r w:rsidRPr="006C6F80">
              <w:rPr>
                <w:color w:val="000000" w:themeColor="text1"/>
                <w:sz w:val="20"/>
                <w:szCs w:val="20"/>
              </w:rPr>
              <w:t>877</w:t>
            </w:r>
          </w:p>
        </w:tc>
        <w:tc>
          <w:tcPr>
            <w:tcW w:w="2342" w:type="dxa"/>
            <w:tcBorders>
              <w:top w:val="nil"/>
              <w:left w:val="nil"/>
              <w:bottom w:val="nil"/>
              <w:right w:val="nil"/>
            </w:tcBorders>
            <w:shd w:val="clear" w:color="auto" w:fill="auto"/>
            <w:noWrap/>
            <w:vAlign w:val="bottom"/>
            <w:hideMark/>
          </w:tcPr>
          <w:p w14:paraId="7A990431" w14:textId="77777777" w:rsidR="00846F19" w:rsidRPr="006C6F80" w:rsidRDefault="00846F19" w:rsidP="00846F19">
            <w:pPr>
              <w:jc w:val="center"/>
              <w:rPr>
                <w:color w:val="000000" w:themeColor="text1"/>
                <w:sz w:val="20"/>
                <w:szCs w:val="20"/>
              </w:rPr>
            </w:pPr>
            <w:r w:rsidRPr="006C6F80">
              <w:rPr>
                <w:color w:val="000000" w:themeColor="text1"/>
                <w:sz w:val="20"/>
                <w:szCs w:val="20"/>
              </w:rPr>
              <w:t>867</w:t>
            </w:r>
          </w:p>
        </w:tc>
        <w:tc>
          <w:tcPr>
            <w:tcW w:w="1593" w:type="dxa"/>
            <w:tcBorders>
              <w:top w:val="nil"/>
              <w:left w:val="nil"/>
              <w:bottom w:val="nil"/>
              <w:right w:val="nil"/>
            </w:tcBorders>
            <w:shd w:val="clear" w:color="auto" w:fill="auto"/>
            <w:noWrap/>
            <w:vAlign w:val="bottom"/>
            <w:hideMark/>
          </w:tcPr>
          <w:p w14:paraId="5B42D452" w14:textId="77777777" w:rsidR="00846F19" w:rsidRPr="006C6F80" w:rsidRDefault="00846F19" w:rsidP="00846F19">
            <w:pPr>
              <w:jc w:val="center"/>
              <w:rPr>
                <w:color w:val="000000" w:themeColor="text1"/>
                <w:sz w:val="20"/>
                <w:szCs w:val="20"/>
              </w:rPr>
            </w:pPr>
            <w:r w:rsidRPr="006C6F80">
              <w:rPr>
                <w:color w:val="000000" w:themeColor="text1"/>
                <w:sz w:val="20"/>
                <w:szCs w:val="20"/>
              </w:rPr>
              <w:t>867</w:t>
            </w:r>
          </w:p>
        </w:tc>
      </w:tr>
      <w:tr w:rsidR="00846F19" w:rsidRPr="006C6F80" w14:paraId="1ED4BEBA" w14:textId="77777777" w:rsidTr="00846F19">
        <w:trPr>
          <w:trHeight w:val="265"/>
          <w:jc w:val="center"/>
        </w:trPr>
        <w:tc>
          <w:tcPr>
            <w:tcW w:w="2154" w:type="dxa"/>
            <w:tcBorders>
              <w:top w:val="nil"/>
              <w:left w:val="nil"/>
              <w:bottom w:val="nil"/>
              <w:right w:val="nil"/>
            </w:tcBorders>
            <w:shd w:val="clear" w:color="auto" w:fill="auto"/>
            <w:noWrap/>
            <w:vAlign w:val="bottom"/>
            <w:hideMark/>
          </w:tcPr>
          <w:p w14:paraId="58302043" w14:textId="77777777" w:rsidR="00846F19" w:rsidRPr="006C6F80" w:rsidRDefault="00846F19" w:rsidP="00846F19">
            <w:pPr>
              <w:rPr>
                <w:color w:val="000000" w:themeColor="text1"/>
                <w:sz w:val="20"/>
                <w:szCs w:val="20"/>
              </w:rPr>
            </w:pPr>
            <w:r w:rsidRPr="006C6F80">
              <w:rPr>
                <w:color w:val="000000" w:themeColor="text1"/>
                <w:sz w:val="20"/>
                <w:szCs w:val="20"/>
              </w:rPr>
              <w:t>R-squared</w:t>
            </w:r>
          </w:p>
        </w:tc>
        <w:tc>
          <w:tcPr>
            <w:tcW w:w="2305" w:type="dxa"/>
            <w:tcBorders>
              <w:top w:val="nil"/>
              <w:left w:val="nil"/>
              <w:bottom w:val="nil"/>
              <w:right w:val="nil"/>
            </w:tcBorders>
            <w:shd w:val="clear" w:color="auto" w:fill="auto"/>
            <w:noWrap/>
            <w:vAlign w:val="bottom"/>
            <w:hideMark/>
          </w:tcPr>
          <w:p w14:paraId="495299E8" w14:textId="77777777" w:rsidR="00846F19" w:rsidRPr="006C6F80" w:rsidRDefault="00846F19" w:rsidP="00846F19">
            <w:pPr>
              <w:jc w:val="center"/>
              <w:rPr>
                <w:color w:val="000000" w:themeColor="text1"/>
                <w:sz w:val="20"/>
                <w:szCs w:val="20"/>
              </w:rPr>
            </w:pPr>
            <w:r w:rsidRPr="006C6F80">
              <w:rPr>
                <w:color w:val="000000" w:themeColor="text1"/>
                <w:sz w:val="20"/>
                <w:szCs w:val="20"/>
              </w:rPr>
              <w:t>0.064</w:t>
            </w:r>
          </w:p>
        </w:tc>
        <w:tc>
          <w:tcPr>
            <w:tcW w:w="1593" w:type="dxa"/>
            <w:tcBorders>
              <w:top w:val="nil"/>
              <w:left w:val="nil"/>
              <w:bottom w:val="nil"/>
              <w:right w:val="nil"/>
            </w:tcBorders>
            <w:shd w:val="clear" w:color="auto" w:fill="auto"/>
            <w:noWrap/>
            <w:vAlign w:val="bottom"/>
            <w:hideMark/>
          </w:tcPr>
          <w:p w14:paraId="00E744E2" w14:textId="77777777" w:rsidR="00846F19" w:rsidRPr="006C6F80" w:rsidRDefault="00846F19" w:rsidP="00846F19">
            <w:pPr>
              <w:jc w:val="center"/>
              <w:rPr>
                <w:color w:val="000000" w:themeColor="text1"/>
                <w:sz w:val="20"/>
                <w:szCs w:val="20"/>
              </w:rPr>
            </w:pPr>
            <w:r w:rsidRPr="006C6F80">
              <w:rPr>
                <w:color w:val="000000" w:themeColor="text1"/>
                <w:sz w:val="20"/>
                <w:szCs w:val="20"/>
              </w:rPr>
              <w:t>0.064</w:t>
            </w:r>
          </w:p>
        </w:tc>
        <w:tc>
          <w:tcPr>
            <w:tcW w:w="2342" w:type="dxa"/>
            <w:tcBorders>
              <w:top w:val="nil"/>
              <w:left w:val="nil"/>
              <w:bottom w:val="nil"/>
              <w:right w:val="nil"/>
            </w:tcBorders>
            <w:shd w:val="clear" w:color="auto" w:fill="auto"/>
            <w:noWrap/>
            <w:vAlign w:val="bottom"/>
            <w:hideMark/>
          </w:tcPr>
          <w:p w14:paraId="434A3F49" w14:textId="77777777" w:rsidR="00846F19" w:rsidRPr="006C6F80" w:rsidRDefault="00846F19" w:rsidP="00846F19">
            <w:pPr>
              <w:jc w:val="center"/>
              <w:rPr>
                <w:color w:val="000000" w:themeColor="text1"/>
                <w:sz w:val="20"/>
                <w:szCs w:val="20"/>
              </w:rPr>
            </w:pPr>
            <w:r w:rsidRPr="006C6F80">
              <w:rPr>
                <w:color w:val="000000" w:themeColor="text1"/>
                <w:sz w:val="20"/>
                <w:szCs w:val="20"/>
              </w:rPr>
              <w:t>0.436</w:t>
            </w:r>
          </w:p>
        </w:tc>
        <w:tc>
          <w:tcPr>
            <w:tcW w:w="1593" w:type="dxa"/>
            <w:tcBorders>
              <w:top w:val="nil"/>
              <w:left w:val="nil"/>
              <w:bottom w:val="nil"/>
              <w:right w:val="nil"/>
            </w:tcBorders>
            <w:shd w:val="clear" w:color="auto" w:fill="auto"/>
            <w:noWrap/>
            <w:vAlign w:val="bottom"/>
            <w:hideMark/>
          </w:tcPr>
          <w:p w14:paraId="126A9B4E" w14:textId="77777777" w:rsidR="00846F19" w:rsidRPr="006C6F80" w:rsidRDefault="00846F19" w:rsidP="00846F19">
            <w:pPr>
              <w:jc w:val="center"/>
              <w:rPr>
                <w:color w:val="000000" w:themeColor="text1"/>
                <w:sz w:val="20"/>
                <w:szCs w:val="20"/>
              </w:rPr>
            </w:pPr>
            <w:r w:rsidRPr="006C6F80">
              <w:rPr>
                <w:color w:val="000000" w:themeColor="text1"/>
                <w:sz w:val="20"/>
                <w:szCs w:val="20"/>
              </w:rPr>
              <w:t>0.435</w:t>
            </w:r>
          </w:p>
        </w:tc>
      </w:tr>
      <w:tr w:rsidR="00846F19" w:rsidRPr="006C6F80" w14:paraId="17D4D71F" w14:textId="77777777" w:rsidTr="00846F19">
        <w:trPr>
          <w:trHeight w:val="265"/>
          <w:jc w:val="center"/>
        </w:trPr>
        <w:tc>
          <w:tcPr>
            <w:tcW w:w="2154" w:type="dxa"/>
            <w:tcBorders>
              <w:top w:val="nil"/>
              <w:left w:val="nil"/>
              <w:bottom w:val="nil"/>
              <w:right w:val="nil"/>
            </w:tcBorders>
            <w:shd w:val="clear" w:color="auto" w:fill="auto"/>
            <w:noWrap/>
            <w:vAlign w:val="bottom"/>
            <w:hideMark/>
          </w:tcPr>
          <w:p w14:paraId="62A5B2AB" w14:textId="77777777" w:rsidR="00846F19" w:rsidRPr="006C6F80" w:rsidRDefault="00846F19" w:rsidP="00846F19">
            <w:pPr>
              <w:rPr>
                <w:color w:val="000000" w:themeColor="text1"/>
                <w:sz w:val="20"/>
                <w:szCs w:val="20"/>
              </w:rPr>
            </w:pPr>
            <w:r w:rsidRPr="006C6F80">
              <w:rPr>
                <w:color w:val="000000" w:themeColor="text1"/>
                <w:sz w:val="20"/>
                <w:szCs w:val="20"/>
              </w:rPr>
              <w:t>Individual controls</w:t>
            </w:r>
          </w:p>
        </w:tc>
        <w:tc>
          <w:tcPr>
            <w:tcW w:w="2305" w:type="dxa"/>
            <w:tcBorders>
              <w:top w:val="nil"/>
              <w:left w:val="nil"/>
              <w:bottom w:val="nil"/>
              <w:right w:val="nil"/>
            </w:tcBorders>
            <w:shd w:val="clear" w:color="auto" w:fill="auto"/>
            <w:noWrap/>
            <w:vAlign w:val="bottom"/>
            <w:hideMark/>
          </w:tcPr>
          <w:p w14:paraId="09C446CE" w14:textId="77777777" w:rsidR="00846F19" w:rsidRPr="006C6F80" w:rsidRDefault="00846F19" w:rsidP="00846F19">
            <w:pPr>
              <w:jc w:val="center"/>
              <w:rPr>
                <w:color w:val="000000" w:themeColor="text1"/>
                <w:sz w:val="20"/>
                <w:szCs w:val="20"/>
              </w:rPr>
            </w:pPr>
            <w:r w:rsidRPr="006C6F80">
              <w:rPr>
                <w:color w:val="000000" w:themeColor="text1"/>
                <w:sz w:val="20"/>
                <w:szCs w:val="20"/>
              </w:rPr>
              <w:t>YES</w:t>
            </w:r>
          </w:p>
        </w:tc>
        <w:tc>
          <w:tcPr>
            <w:tcW w:w="1593" w:type="dxa"/>
            <w:tcBorders>
              <w:top w:val="nil"/>
              <w:left w:val="nil"/>
              <w:bottom w:val="nil"/>
              <w:right w:val="nil"/>
            </w:tcBorders>
            <w:shd w:val="clear" w:color="auto" w:fill="auto"/>
            <w:noWrap/>
            <w:vAlign w:val="bottom"/>
            <w:hideMark/>
          </w:tcPr>
          <w:p w14:paraId="49DD09E7" w14:textId="77777777" w:rsidR="00846F19" w:rsidRPr="006C6F80" w:rsidRDefault="00846F19" w:rsidP="00846F19">
            <w:pPr>
              <w:jc w:val="center"/>
              <w:rPr>
                <w:color w:val="000000" w:themeColor="text1"/>
                <w:sz w:val="20"/>
                <w:szCs w:val="20"/>
              </w:rPr>
            </w:pPr>
            <w:r w:rsidRPr="006C6F80">
              <w:rPr>
                <w:color w:val="000000" w:themeColor="text1"/>
                <w:sz w:val="20"/>
                <w:szCs w:val="20"/>
              </w:rPr>
              <w:t>YES</w:t>
            </w:r>
          </w:p>
        </w:tc>
        <w:tc>
          <w:tcPr>
            <w:tcW w:w="2342" w:type="dxa"/>
            <w:tcBorders>
              <w:top w:val="nil"/>
              <w:left w:val="nil"/>
              <w:bottom w:val="nil"/>
              <w:right w:val="nil"/>
            </w:tcBorders>
            <w:shd w:val="clear" w:color="auto" w:fill="auto"/>
            <w:noWrap/>
            <w:vAlign w:val="bottom"/>
            <w:hideMark/>
          </w:tcPr>
          <w:p w14:paraId="3FD1BE2E" w14:textId="77777777" w:rsidR="00846F19" w:rsidRPr="006C6F80" w:rsidRDefault="00846F19" w:rsidP="00846F19">
            <w:pPr>
              <w:jc w:val="center"/>
              <w:rPr>
                <w:color w:val="000000" w:themeColor="text1"/>
                <w:sz w:val="20"/>
                <w:szCs w:val="20"/>
              </w:rPr>
            </w:pPr>
            <w:r w:rsidRPr="006C6F80">
              <w:rPr>
                <w:color w:val="000000" w:themeColor="text1"/>
                <w:sz w:val="20"/>
                <w:szCs w:val="20"/>
              </w:rPr>
              <w:t>YES</w:t>
            </w:r>
          </w:p>
        </w:tc>
        <w:tc>
          <w:tcPr>
            <w:tcW w:w="1593" w:type="dxa"/>
            <w:tcBorders>
              <w:top w:val="nil"/>
              <w:left w:val="nil"/>
              <w:bottom w:val="nil"/>
              <w:right w:val="nil"/>
            </w:tcBorders>
            <w:shd w:val="clear" w:color="auto" w:fill="auto"/>
            <w:noWrap/>
            <w:vAlign w:val="bottom"/>
            <w:hideMark/>
          </w:tcPr>
          <w:p w14:paraId="6C79CDB0" w14:textId="77777777" w:rsidR="00846F19" w:rsidRPr="006C6F80" w:rsidRDefault="00846F19" w:rsidP="00846F19">
            <w:pPr>
              <w:jc w:val="center"/>
              <w:rPr>
                <w:color w:val="000000" w:themeColor="text1"/>
                <w:sz w:val="20"/>
                <w:szCs w:val="20"/>
              </w:rPr>
            </w:pPr>
            <w:r w:rsidRPr="006C6F80">
              <w:rPr>
                <w:color w:val="000000" w:themeColor="text1"/>
                <w:sz w:val="20"/>
                <w:szCs w:val="20"/>
              </w:rPr>
              <w:t>YES</w:t>
            </w:r>
          </w:p>
        </w:tc>
      </w:tr>
      <w:tr w:rsidR="00846F19" w:rsidRPr="006C6F80" w14:paraId="748D3897" w14:textId="77777777" w:rsidTr="00846F19">
        <w:trPr>
          <w:trHeight w:val="265"/>
          <w:jc w:val="center"/>
        </w:trPr>
        <w:tc>
          <w:tcPr>
            <w:tcW w:w="2154" w:type="dxa"/>
            <w:tcBorders>
              <w:top w:val="nil"/>
              <w:left w:val="nil"/>
              <w:bottom w:val="nil"/>
              <w:right w:val="nil"/>
            </w:tcBorders>
            <w:shd w:val="clear" w:color="auto" w:fill="auto"/>
            <w:noWrap/>
            <w:vAlign w:val="bottom"/>
            <w:hideMark/>
          </w:tcPr>
          <w:p w14:paraId="5B4D6F3E" w14:textId="77777777" w:rsidR="00846F19" w:rsidRPr="006C6F80" w:rsidRDefault="00846F19" w:rsidP="00846F19">
            <w:pPr>
              <w:rPr>
                <w:color w:val="000000" w:themeColor="text1"/>
                <w:sz w:val="20"/>
                <w:szCs w:val="20"/>
              </w:rPr>
            </w:pPr>
            <w:r w:rsidRPr="006C6F80">
              <w:rPr>
                <w:color w:val="000000" w:themeColor="text1"/>
                <w:sz w:val="20"/>
                <w:szCs w:val="20"/>
              </w:rPr>
              <w:t>First job characteristics</w:t>
            </w:r>
          </w:p>
        </w:tc>
        <w:tc>
          <w:tcPr>
            <w:tcW w:w="2305" w:type="dxa"/>
            <w:tcBorders>
              <w:top w:val="nil"/>
              <w:left w:val="nil"/>
              <w:bottom w:val="nil"/>
              <w:right w:val="nil"/>
            </w:tcBorders>
            <w:shd w:val="clear" w:color="auto" w:fill="auto"/>
            <w:noWrap/>
            <w:vAlign w:val="bottom"/>
            <w:hideMark/>
          </w:tcPr>
          <w:p w14:paraId="44B17317" w14:textId="77777777" w:rsidR="00846F19" w:rsidRPr="006C6F80" w:rsidRDefault="00846F19" w:rsidP="00846F19">
            <w:pPr>
              <w:jc w:val="center"/>
              <w:rPr>
                <w:color w:val="000000" w:themeColor="text1"/>
                <w:sz w:val="20"/>
                <w:szCs w:val="20"/>
              </w:rPr>
            </w:pPr>
            <w:r w:rsidRPr="006C6F80">
              <w:rPr>
                <w:color w:val="000000" w:themeColor="text1"/>
                <w:sz w:val="20"/>
                <w:szCs w:val="20"/>
              </w:rPr>
              <w:t>YES</w:t>
            </w:r>
          </w:p>
        </w:tc>
        <w:tc>
          <w:tcPr>
            <w:tcW w:w="1593" w:type="dxa"/>
            <w:tcBorders>
              <w:top w:val="nil"/>
              <w:left w:val="nil"/>
              <w:bottom w:val="nil"/>
              <w:right w:val="nil"/>
            </w:tcBorders>
            <w:shd w:val="clear" w:color="auto" w:fill="auto"/>
            <w:noWrap/>
            <w:vAlign w:val="bottom"/>
            <w:hideMark/>
          </w:tcPr>
          <w:p w14:paraId="669923D4" w14:textId="77777777" w:rsidR="00846F19" w:rsidRPr="006C6F80" w:rsidRDefault="00846F19" w:rsidP="00846F19">
            <w:pPr>
              <w:jc w:val="center"/>
              <w:rPr>
                <w:color w:val="000000" w:themeColor="text1"/>
                <w:sz w:val="20"/>
                <w:szCs w:val="20"/>
              </w:rPr>
            </w:pPr>
            <w:r w:rsidRPr="006C6F80">
              <w:rPr>
                <w:color w:val="000000" w:themeColor="text1"/>
                <w:sz w:val="20"/>
                <w:szCs w:val="20"/>
              </w:rPr>
              <w:t>YES</w:t>
            </w:r>
          </w:p>
        </w:tc>
        <w:tc>
          <w:tcPr>
            <w:tcW w:w="2342" w:type="dxa"/>
            <w:tcBorders>
              <w:top w:val="nil"/>
              <w:left w:val="nil"/>
              <w:bottom w:val="nil"/>
              <w:right w:val="nil"/>
            </w:tcBorders>
            <w:shd w:val="clear" w:color="auto" w:fill="auto"/>
            <w:noWrap/>
            <w:vAlign w:val="bottom"/>
            <w:hideMark/>
          </w:tcPr>
          <w:p w14:paraId="1C005A21" w14:textId="77777777" w:rsidR="00846F19" w:rsidRPr="006C6F80" w:rsidRDefault="00846F19" w:rsidP="00846F19">
            <w:pPr>
              <w:jc w:val="center"/>
              <w:rPr>
                <w:color w:val="000000" w:themeColor="text1"/>
                <w:sz w:val="20"/>
                <w:szCs w:val="20"/>
              </w:rPr>
            </w:pPr>
            <w:r w:rsidRPr="006C6F80">
              <w:rPr>
                <w:color w:val="000000" w:themeColor="text1"/>
                <w:sz w:val="20"/>
                <w:szCs w:val="20"/>
              </w:rPr>
              <w:t>YES</w:t>
            </w:r>
          </w:p>
        </w:tc>
        <w:tc>
          <w:tcPr>
            <w:tcW w:w="1593" w:type="dxa"/>
            <w:tcBorders>
              <w:top w:val="nil"/>
              <w:left w:val="nil"/>
              <w:bottom w:val="nil"/>
              <w:right w:val="nil"/>
            </w:tcBorders>
            <w:shd w:val="clear" w:color="auto" w:fill="auto"/>
            <w:noWrap/>
            <w:vAlign w:val="bottom"/>
            <w:hideMark/>
          </w:tcPr>
          <w:p w14:paraId="548E5CDC" w14:textId="77777777" w:rsidR="00846F19" w:rsidRPr="006C6F80" w:rsidRDefault="00846F19" w:rsidP="00846F19">
            <w:pPr>
              <w:jc w:val="center"/>
              <w:rPr>
                <w:color w:val="000000" w:themeColor="text1"/>
                <w:sz w:val="20"/>
                <w:szCs w:val="20"/>
              </w:rPr>
            </w:pPr>
            <w:r w:rsidRPr="006C6F80">
              <w:rPr>
                <w:color w:val="000000" w:themeColor="text1"/>
                <w:sz w:val="20"/>
                <w:szCs w:val="20"/>
              </w:rPr>
              <w:t>YES</w:t>
            </w:r>
          </w:p>
        </w:tc>
      </w:tr>
      <w:tr w:rsidR="00846F19" w:rsidRPr="006C6F80" w14:paraId="24248D01" w14:textId="77777777" w:rsidTr="00846F19">
        <w:trPr>
          <w:trHeight w:val="265"/>
          <w:jc w:val="center"/>
        </w:trPr>
        <w:tc>
          <w:tcPr>
            <w:tcW w:w="2154" w:type="dxa"/>
            <w:tcBorders>
              <w:top w:val="nil"/>
              <w:left w:val="nil"/>
              <w:bottom w:val="single" w:sz="4" w:space="0" w:color="auto"/>
              <w:right w:val="nil"/>
            </w:tcBorders>
            <w:shd w:val="clear" w:color="auto" w:fill="auto"/>
            <w:noWrap/>
            <w:vAlign w:val="bottom"/>
            <w:hideMark/>
          </w:tcPr>
          <w:p w14:paraId="68C0DC6F" w14:textId="77777777" w:rsidR="00846F19" w:rsidRPr="006C6F80" w:rsidRDefault="00846F19" w:rsidP="00846F19">
            <w:pPr>
              <w:rPr>
                <w:color w:val="000000" w:themeColor="text1"/>
                <w:sz w:val="20"/>
                <w:szCs w:val="20"/>
              </w:rPr>
            </w:pPr>
            <w:r w:rsidRPr="006C6F80">
              <w:rPr>
                <w:color w:val="000000" w:themeColor="text1"/>
                <w:sz w:val="20"/>
                <w:szCs w:val="20"/>
              </w:rPr>
              <w:t>First occupation</w:t>
            </w:r>
          </w:p>
        </w:tc>
        <w:tc>
          <w:tcPr>
            <w:tcW w:w="2305" w:type="dxa"/>
            <w:tcBorders>
              <w:top w:val="nil"/>
              <w:left w:val="nil"/>
              <w:bottom w:val="single" w:sz="4" w:space="0" w:color="auto"/>
              <w:right w:val="nil"/>
            </w:tcBorders>
            <w:shd w:val="clear" w:color="auto" w:fill="auto"/>
            <w:noWrap/>
            <w:vAlign w:val="bottom"/>
            <w:hideMark/>
          </w:tcPr>
          <w:p w14:paraId="49D57799" w14:textId="77777777" w:rsidR="00846F19" w:rsidRPr="006C6F80" w:rsidRDefault="00846F19" w:rsidP="00846F19">
            <w:pPr>
              <w:jc w:val="center"/>
              <w:rPr>
                <w:color w:val="000000" w:themeColor="text1"/>
                <w:sz w:val="20"/>
                <w:szCs w:val="20"/>
              </w:rPr>
            </w:pPr>
            <w:r w:rsidRPr="006C6F80">
              <w:rPr>
                <w:color w:val="000000" w:themeColor="text1"/>
                <w:sz w:val="20"/>
                <w:szCs w:val="20"/>
              </w:rPr>
              <w:t>YES</w:t>
            </w:r>
          </w:p>
        </w:tc>
        <w:tc>
          <w:tcPr>
            <w:tcW w:w="1593" w:type="dxa"/>
            <w:tcBorders>
              <w:top w:val="nil"/>
              <w:left w:val="nil"/>
              <w:bottom w:val="single" w:sz="4" w:space="0" w:color="auto"/>
              <w:right w:val="nil"/>
            </w:tcBorders>
            <w:shd w:val="clear" w:color="auto" w:fill="auto"/>
            <w:noWrap/>
            <w:vAlign w:val="bottom"/>
            <w:hideMark/>
          </w:tcPr>
          <w:p w14:paraId="1D5A0A4A" w14:textId="77777777" w:rsidR="00846F19" w:rsidRPr="006C6F80" w:rsidRDefault="00846F19" w:rsidP="00846F19">
            <w:pPr>
              <w:jc w:val="center"/>
              <w:rPr>
                <w:color w:val="000000" w:themeColor="text1"/>
                <w:sz w:val="20"/>
                <w:szCs w:val="20"/>
              </w:rPr>
            </w:pPr>
            <w:r w:rsidRPr="006C6F80">
              <w:rPr>
                <w:color w:val="000000" w:themeColor="text1"/>
                <w:sz w:val="20"/>
                <w:szCs w:val="20"/>
              </w:rPr>
              <w:t>YES</w:t>
            </w:r>
          </w:p>
        </w:tc>
        <w:tc>
          <w:tcPr>
            <w:tcW w:w="2342" w:type="dxa"/>
            <w:tcBorders>
              <w:top w:val="nil"/>
              <w:left w:val="nil"/>
              <w:bottom w:val="single" w:sz="4" w:space="0" w:color="auto"/>
              <w:right w:val="nil"/>
            </w:tcBorders>
            <w:shd w:val="clear" w:color="auto" w:fill="auto"/>
            <w:noWrap/>
            <w:vAlign w:val="bottom"/>
            <w:hideMark/>
          </w:tcPr>
          <w:p w14:paraId="22498D54" w14:textId="77777777" w:rsidR="00846F19" w:rsidRPr="006C6F80" w:rsidRDefault="00846F19" w:rsidP="00846F19">
            <w:pPr>
              <w:jc w:val="center"/>
              <w:rPr>
                <w:color w:val="000000" w:themeColor="text1"/>
                <w:sz w:val="20"/>
                <w:szCs w:val="20"/>
              </w:rPr>
            </w:pPr>
            <w:r w:rsidRPr="006C6F80">
              <w:rPr>
                <w:color w:val="000000" w:themeColor="text1"/>
                <w:sz w:val="20"/>
                <w:szCs w:val="20"/>
              </w:rPr>
              <w:t>YES</w:t>
            </w:r>
          </w:p>
        </w:tc>
        <w:tc>
          <w:tcPr>
            <w:tcW w:w="1593" w:type="dxa"/>
            <w:tcBorders>
              <w:top w:val="nil"/>
              <w:left w:val="nil"/>
              <w:bottom w:val="single" w:sz="4" w:space="0" w:color="auto"/>
              <w:right w:val="nil"/>
            </w:tcBorders>
            <w:shd w:val="clear" w:color="auto" w:fill="auto"/>
            <w:noWrap/>
            <w:vAlign w:val="bottom"/>
            <w:hideMark/>
          </w:tcPr>
          <w:p w14:paraId="7ABF9E30" w14:textId="77777777" w:rsidR="00846F19" w:rsidRPr="006C6F80" w:rsidRDefault="00846F19" w:rsidP="00846F19">
            <w:pPr>
              <w:jc w:val="center"/>
              <w:rPr>
                <w:color w:val="000000" w:themeColor="text1"/>
                <w:sz w:val="20"/>
                <w:szCs w:val="20"/>
              </w:rPr>
            </w:pPr>
            <w:r w:rsidRPr="006C6F80">
              <w:rPr>
                <w:color w:val="000000" w:themeColor="text1"/>
                <w:sz w:val="20"/>
                <w:szCs w:val="20"/>
              </w:rPr>
              <w:t>YES</w:t>
            </w:r>
          </w:p>
        </w:tc>
      </w:tr>
    </w:tbl>
    <w:p w14:paraId="138869EB" w14:textId="6DFB651A" w:rsidR="00415BD5" w:rsidRPr="006C6F80" w:rsidRDefault="00245883" w:rsidP="00872807">
      <w:pPr>
        <w:tabs>
          <w:tab w:val="left" w:pos="990"/>
        </w:tabs>
        <w:ind w:left="90" w:right="9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Robust standard errors in parentheses</w:t>
      </w:r>
    </w:p>
    <w:p w14:paraId="58336B96" w14:textId="0AEBCF9D" w:rsidR="00245883" w:rsidRPr="006C6F80" w:rsidRDefault="00245883" w:rsidP="00872807">
      <w:pPr>
        <w:tabs>
          <w:tab w:val="left" w:pos="990"/>
        </w:tabs>
        <w:ind w:left="90" w:right="9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 p&lt;0.01, ** p&lt;0.05, * p&lt;0.1 </w:t>
      </w:r>
    </w:p>
    <w:p w14:paraId="5127142A" w14:textId="1BF10775" w:rsidR="00245883" w:rsidRPr="006C6F80" w:rsidRDefault="00245883" w:rsidP="00872807">
      <w:pPr>
        <w:ind w:left="90" w:right="90"/>
        <w:jc w:val="both"/>
        <w:rPr>
          <w:rFonts w:asciiTheme="majorBidi" w:hAnsiTheme="majorBidi" w:cstheme="majorBidi"/>
          <w:color w:val="000000" w:themeColor="text1"/>
          <w:sz w:val="18"/>
          <w:szCs w:val="18"/>
        </w:rPr>
      </w:pPr>
      <w:r w:rsidRPr="006C6F80">
        <w:rPr>
          <w:rFonts w:asciiTheme="majorBidi" w:hAnsiTheme="majorBidi" w:cstheme="majorBidi"/>
          <w:i/>
          <w:iCs/>
          <w:color w:val="000000" w:themeColor="text1"/>
          <w:sz w:val="18"/>
          <w:szCs w:val="18"/>
        </w:rPr>
        <w:t>Notes.</w:t>
      </w:r>
      <w:r w:rsidRPr="006C6F80">
        <w:rPr>
          <w:rFonts w:asciiTheme="majorBidi" w:hAnsiTheme="majorBidi" w:cstheme="majorBidi"/>
          <w:color w:val="000000" w:themeColor="text1"/>
          <w:sz w:val="18"/>
          <w:szCs w:val="18"/>
        </w:rPr>
        <w:t xml:space="preserve"> Coefficient estimates </w:t>
      </w:r>
      <w:r w:rsidR="00640896" w:rsidRPr="006C6F80">
        <w:rPr>
          <w:rFonts w:asciiTheme="majorBidi" w:hAnsiTheme="majorBidi" w:cstheme="majorBidi"/>
          <w:color w:val="000000" w:themeColor="text1"/>
          <w:sz w:val="18"/>
          <w:szCs w:val="18"/>
        </w:rPr>
        <w:t xml:space="preserve">are reported </w:t>
      </w:r>
      <w:r w:rsidRPr="006C6F80">
        <w:rPr>
          <w:rFonts w:asciiTheme="majorBidi" w:hAnsiTheme="majorBidi" w:cstheme="majorBidi"/>
          <w:color w:val="000000" w:themeColor="text1"/>
          <w:sz w:val="18"/>
          <w:szCs w:val="18"/>
        </w:rPr>
        <w:t>using a linear probability</w:t>
      </w:r>
      <w:r w:rsidR="00AE2BBA" w:rsidRPr="006C6F80">
        <w:rPr>
          <w:rFonts w:asciiTheme="majorBidi" w:hAnsiTheme="majorBidi" w:cstheme="majorBidi"/>
          <w:color w:val="000000" w:themeColor="text1"/>
          <w:sz w:val="18"/>
          <w:szCs w:val="18"/>
        </w:rPr>
        <w:t xml:space="preserve"> </w:t>
      </w:r>
      <w:r w:rsidRPr="006C6F80">
        <w:rPr>
          <w:rFonts w:asciiTheme="majorBidi" w:hAnsiTheme="majorBidi" w:cstheme="majorBidi"/>
          <w:color w:val="000000" w:themeColor="text1"/>
          <w:sz w:val="18"/>
          <w:szCs w:val="18"/>
        </w:rPr>
        <w:t>and IV-regression</w:t>
      </w:r>
      <w:r w:rsidR="00AE2BBA" w:rsidRPr="006C6F80">
        <w:rPr>
          <w:rFonts w:asciiTheme="majorBidi" w:hAnsiTheme="majorBidi" w:cstheme="majorBidi"/>
          <w:color w:val="000000" w:themeColor="text1"/>
          <w:sz w:val="18"/>
          <w:szCs w:val="18"/>
        </w:rPr>
        <w:t xml:space="preserve"> models.</w:t>
      </w:r>
      <w:r w:rsidRPr="006C6F80">
        <w:rPr>
          <w:rFonts w:asciiTheme="majorBidi" w:hAnsiTheme="majorBidi" w:cstheme="majorBidi"/>
          <w:color w:val="000000" w:themeColor="text1"/>
          <w:sz w:val="18"/>
          <w:szCs w:val="18"/>
        </w:rPr>
        <w:t xml:space="preserve"> The less educated individuals are those who have less than secondary education and the </w:t>
      </w:r>
      <w:r w:rsidR="00B628E2" w:rsidRPr="006C6F80">
        <w:rPr>
          <w:rFonts w:asciiTheme="majorBidi" w:hAnsiTheme="majorBidi" w:cstheme="majorBidi"/>
          <w:color w:val="000000" w:themeColor="text1"/>
          <w:sz w:val="18"/>
          <w:szCs w:val="18"/>
        </w:rPr>
        <w:t xml:space="preserve">more </w:t>
      </w:r>
      <w:r w:rsidRPr="006C6F80">
        <w:rPr>
          <w:rFonts w:asciiTheme="majorBidi" w:hAnsiTheme="majorBidi" w:cstheme="majorBidi"/>
          <w:color w:val="000000" w:themeColor="text1"/>
          <w:sz w:val="18"/>
          <w:szCs w:val="18"/>
        </w:rPr>
        <w:t>educated individuals are those who have secondary education and above.</w:t>
      </w:r>
    </w:p>
    <w:p w14:paraId="49540EF5" w14:textId="77777777" w:rsidR="00824A66" w:rsidRPr="006C6F80" w:rsidRDefault="00824A66" w:rsidP="00245883">
      <w:pPr>
        <w:ind w:left="360" w:right="360"/>
        <w:jc w:val="both"/>
        <w:rPr>
          <w:rFonts w:asciiTheme="majorBidi" w:hAnsiTheme="majorBidi" w:cstheme="majorBidi"/>
          <w:color w:val="000000" w:themeColor="text1"/>
          <w:sz w:val="18"/>
          <w:szCs w:val="18"/>
        </w:rPr>
      </w:pPr>
    </w:p>
    <w:p w14:paraId="27E78F4A" w14:textId="77777777" w:rsidR="009C7C86" w:rsidRPr="006C6F80" w:rsidRDefault="009C7C86" w:rsidP="00B905ED">
      <w:pPr>
        <w:tabs>
          <w:tab w:val="left" w:pos="8730"/>
        </w:tabs>
        <w:ind w:left="1530" w:right="1440"/>
        <w:jc w:val="both"/>
        <w:rPr>
          <w:rFonts w:asciiTheme="majorBidi" w:hAnsiTheme="majorBidi" w:cstheme="majorBidi"/>
          <w:i/>
          <w:iCs/>
          <w:color w:val="000000" w:themeColor="text1"/>
          <w:sz w:val="18"/>
          <w:szCs w:val="18"/>
        </w:rPr>
      </w:pPr>
    </w:p>
    <w:tbl>
      <w:tblPr>
        <w:tblW w:w="7120" w:type="dxa"/>
        <w:jc w:val="center"/>
        <w:tblLook w:val="04A0" w:firstRow="1" w:lastRow="0" w:firstColumn="1" w:lastColumn="0" w:noHBand="0" w:noVBand="1"/>
      </w:tblPr>
      <w:tblGrid>
        <w:gridCol w:w="3346"/>
        <w:gridCol w:w="3774"/>
      </w:tblGrid>
      <w:tr w:rsidR="009C7C86" w:rsidRPr="006C6F80" w14:paraId="1A423167" w14:textId="77777777" w:rsidTr="009C7C86">
        <w:trPr>
          <w:trHeight w:val="520"/>
          <w:jc w:val="center"/>
        </w:trPr>
        <w:tc>
          <w:tcPr>
            <w:tcW w:w="7120" w:type="dxa"/>
            <w:gridSpan w:val="2"/>
            <w:tcBorders>
              <w:top w:val="nil"/>
              <w:left w:val="nil"/>
              <w:bottom w:val="single" w:sz="4" w:space="0" w:color="auto"/>
              <w:right w:val="nil"/>
            </w:tcBorders>
            <w:shd w:val="clear" w:color="auto" w:fill="auto"/>
            <w:vAlign w:val="center"/>
            <w:hideMark/>
          </w:tcPr>
          <w:p w14:paraId="05A15B8F" w14:textId="77777777" w:rsidR="009C7C86" w:rsidRPr="006C6F80" w:rsidRDefault="009C7C86" w:rsidP="009C7C86">
            <w:pPr>
              <w:jc w:val="center"/>
              <w:rPr>
                <w:b/>
                <w:bCs/>
                <w:color w:val="000000" w:themeColor="text1"/>
                <w:sz w:val="20"/>
                <w:szCs w:val="20"/>
              </w:rPr>
            </w:pPr>
            <w:r w:rsidRPr="006C6F80">
              <w:rPr>
                <w:b/>
                <w:bCs/>
                <w:color w:val="000000" w:themeColor="text1"/>
                <w:sz w:val="20"/>
                <w:szCs w:val="20"/>
              </w:rPr>
              <w:t>Table 6: Predicted probabilities and standard errors for stayers and returnees, by migration duration</w:t>
            </w:r>
          </w:p>
        </w:tc>
      </w:tr>
      <w:tr w:rsidR="009C7C86" w:rsidRPr="006C6F80" w14:paraId="40046884" w14:textId="77777777" w:rsidTr="009C7C86">
        <w:trPr>
          <w:trHeight w:val="260"/>
          <w:jc w:val="center"/>
        </w:trPr>
        <w:tc>
          <w:tcPr>
            <w:tcW w:w="3346" w:type="dxa"/>
            <w:tcBorders>
              <w:top w:val="nil"/>
              <w:left w:val="nil"/>
              <w:bottom w:val="single" w:sz="4" w:space="0" w:color="auto"/>
              <w:right w:val="nil"/>
            </w:tcBorders>
            <w:shd w:val="clear" w:color="auto" w:fill="auto"/>
            <w:noWrap/>
            <w:vAlign w:val="bottom"/>
            <w:hideMark/>
          </w:tcPr>
          <w:p w14:paraId="786DF596" w14:textId="77777777" w:rsidR="009C7C86" w:rsidRPr="006C6F80" w:rsidRDefault="009C7C86" w:rsidP="009C7C86">
            <w:pPr>
              <w:rPr>
                <w:color w:val="000000" w:themeColor="text1"/>
                <w:sz w:val="20"/>
                <w:szCs w:val="20"/>
              </w:rPr>
            </w:pPr>
            <w:r w:rsidRPr="006C6F80">
              <w:rPr>
                <w:color w:val="000000" w:themeColor="text1"/>
                <w:sz w:val="20"/>
                <w:szCs w:val="20"/>
              </w:rPr>
              <w:t> </w:t>
            </w:r>
          </w:p>
        </w:tc>
        <w:tc>
          <w:tcPr>
            <w:tcW w:w="3774" w:type="dxa"/>
            <w:tcBorders>
              <w:top w:val="nil"/>
              <w:left w:val="nil"/>
              <w:bottom w:val="single" w:sz="4" w:space="0" w:color="auto"/>
              <w:right w:val="nil"/>
            </w:tcBorders>
            <w:shd w:val="clear" w:color="auto" w:fill="auto"/>
            <w:noWrap/>
            <w:vAlign w:val="bottom"/>
            <w:hideMark/>
          </w:tcPr>
          <w:p w14:paraId="2D736C09" w14:textId="77777777" w:rsidR="009C7C86" w:rsidRPr="006C6F80" w:rsidRDefault="009C7C86" w:rsidP="009C7C86">
            <w:pPr>
              <w:jc w:val="center"/>
              <w:rPr>
                <w:color w:val="000000" w:themeColor="text1"/>
                <w:sz w:val="20"/>
                <w:szCs w:val="20"/>
              </w:rPr>
            </w:pPr>
            <w:r w:rsidRPr="006C6F80">
              <w:rPr>
                <w:color w:val="000000" w:themeColor="text1"/>
                <w:sz w:val="20"/>
                <w:szCs w:val="20"/>
              </w:rPr>
              <w:t>Average predicted probabilities</w:t>
            </w:r>
          </w:p>
        </w:tc>
      </w:tr>
      <w:tr w:rsidR="009C7C86" w:rsidRPr="006C6F80" w14:paraId="4EE9B54E" w14:textId="77777777" w:rsidTr="009C7C86">
        <w:trPr>
          <w:trHeight w:val="260"/>
          <w:jc w:val="center"/>
        </w:trPr>
        <w:tc>
          <w:tcPr>
            <w:tcW w:w="3346" w:type="dxa"/>
            <w:tcBorders>
              <w:top w:val="nil"/>
              <w:left w:val="nil"/>
              <w:bottom w:val="nil"/>
              <w:right w:val="nil"/>
            </w:tcBorders>
            <w:shd w:val="clear" w:color="auto" w:fill="auto"/>
            <w:noWrap/>
            <w:vAlign w:val="bottom"/>
            <w:hideMark/>
          </w:tcPr>
          <w:p w14:paraId="042A623A" w14:textId="77777777" w:rsidR="009C7C86" w:rsidRPr="006C6F80" w:rsidRDefault="009C7C86" w:rsidP="009C7C86">
            <w:pPr>
              <w:rPr>
                <w:color w:val="000000" w:themeColor="text1"/>
                <w:sz w:val="20"/>
                <w:szCs w:val="20"/>
              </w:rPr>
            </w:pPr>
            <w:r w:rsidRPr="006C6F80">
              <w:rPr>
                <w:color w:val="000000" w:themeColor="text1"/>
                <w:sz w:val="20"/>
                <w:szCs w:val="20"/>
              </w:rPr>
              <w:t>Stayers</w:t>
            </w:r>
          </w:p>
        </w:tc>
        <w:tc>
          <w:tcPr>
            <w:tcW w:w="3774" w:type="dxa"/>
            <w:tcBorders>
              <w:top w:val="nil"/>
              <w:left w:val="nil"/>
              <w:bottom w:val="nil"/>
              <w:right w:val="nil"/>
            </w:tcBorders>
            <w:shd w:val="clear" w:color="auto" w:fill="auto"/>
            <w:noWrap/>
            <w:vAlign w:val="center"/>
            <w:hideMark/>
          </w:tcPr>
          <w:p w14:paraId="69070F7A" w14:textId="77777777" w:rsidR="009C7C86" w:rsidRPr="006C6F80" w:rsidRDefault="009C7C86" w:rsidP="009C7C86">
            <w:pPr>
              <w:jc w:val="center"/>
              <w:rPr>
                <w:color w:val="000000" w:themeColor="text1"/>
                <w:sz w:val="20"/>
                <w:szCs w:val="20"/>
              </w:rPr>
            </w:pPr>
            <w:r w:rsidRPr="006C6F80">
              <w:rPr>
                <w:color w:val="000000" w:themeColor="text1"/>
                <w:sz w:val="20"/>
                <w:szCs w:val="20"/>
              </w:rPr>
              <w:t>0.296</w:t>
            </w:r>
          </w:p>
        </w:tc>
      </w:tr>
      <w:tr w:rsidR="009C7C86" w:rsidRPr="006C6F80" w14:paraId="40F2948A" w14:textId="77777777" w:rsidTr="009C7C86">
        <w:trPr>
          <w:trHeight w:val="260"/>
          <w:jc w:val="center"/>
        </w:trPr>
        <w:tc>
          <w:tcPr>
            <w:tcW w:w="3346" w:type="dxa"/>
            <w:tcBorders>
              <w:top w:val="nil"/>
              <w:left w:val="nil"/>
              <w:bottom w:val="nil"/>
              <w:right w:val="nil"/>
            </w:tcBorders>
            <w:shd w:val="clear" w:color="auto" w:fill="auto"/>
            <w:noWrap/>
            <w:vAlign w:val="bottom"/>
            <w:hideMark/>
          </w:tcPr>
          <w:p w14:paraId="76DD4015" w14:textId="77777777" w:rsidR="009C7C86" w:rsidRPr="006C6F80" w:rsidRDefault="009C7C86" w:rsidP="009C7C86">
            <w:pPr>
              <w:jc w:val="center"/>
              <w:rPr>
                <w:color w:val="000000" w:themeColor="text1"/>
                <w:sz w:val="20"/>
                <w:szCs w:val="20"/>
              </w:rPr>
            </w:pPr>
          </w:p>
        </w:tc>
        <w:tc>
          <w:tcPr>
            <w:tcW w:w="3774" w:type="dxa"/>
            <w:tcBorders>
              <w:top w:val="nil"/>
              <w:left w:val="nil"/>
              <w:bottom w:val="nil"/>
              <w:right w:val="nil"/>
            </w:tcBorders>
            <w:shd w:val="clear" w:color="auto" w:fill="auto"/>
            <w:noWrap/>
            <w:vAlign w:val="center"/>
            <w:hideMark/>
          </w:tcPr>
          <w:p w14:paraId="20F06229" w14:textId="77777777" w:rsidR="009C7C86" w:rsidRPr="006C6F80" w:rsidRDefault="009C7C86" w:rsidP="009C7C86">
            <w:pPr>
              <w:jc w:val="center"/>
              <w:rPr>
                <w:color w:val="000000" w:themeColor="text1"/>
                <w:sz w:val="20"/>
                <w:szCs w:val="20"/>
              </w:rPr>
            </w:pPr>
            <w:r w:rsidRPr="006C6F80">
              <w:rPr>
                <w:color w:val="000000" w:themeColor="text1"/>
                <w:sz w:val="20"/>
                <w:szCs w:val="20"/>
              </w:rPr>
              <w:t>(0.037)</w:t>
            </w:r>
          </w:p>
        </w:tc>
      </w:tr>
      <w:tr w:rsidR="009C7C86" w:rsidRPr="006C6F80" w14:paraId="1C7F8BEB" w14:textId="77777777" w:rsidTr="009C7C86">
        <w:trPr>
          <w:trHeight w:val="260"/>
          <w:jc w:val="center"/>
        </w:trPr>
        <w:tc>
          <w:tcPr>
            <w:tcW w:w="3346" w:type="dxa"/>
            <w:tcBorders>
              <w:top w:val="nil"/>
              <w:left w:val="nil"/>
              <w:bottom w:val="nil"/>
              <w:right w:val="nil"/>
            </w:tcBorders>
            <w:shd w:val="clear" w:color="auto" w:fill="auto"/>
            <w:noWrap/>
            <w:vAlign w:val="bottom"/>
            <w:hideMark/>
          </w:tcPr>
          <w:p w14:paraId="35393D36" w14:textId="77777777" w:rsidR="009C7C86" w:rsidRPr="006C6F80" w:rsidRDefault="009C7C86" w:rsidP="009C7C86">
            <w:pPr>
              <w:rPr>
                <w:color w:val="000000" w:themeColor="text1"/>
                <w:sz w:val="20"/>
                <w:szCs w:val="20"/>
              </w:rPr>
            </w:pPr>
            <w:r w:rsidRPr="006C6F80">
              <w:rPr>
                <w:color w:val="000000" w:themeColor="text1"/>
                <w:sz w:val="20"/>
                <w:szCs w:val="20"/>
              </w:rPr>
              <w:t>Returnees</w:t>
            </w:r>
          </w:p>
        </w:tc>
        <w:tc>
          <w:tcPr>
            <w:tcW w:w="3774" w:type="dxa"/>
            <w:tcBorders>
              <w:top w:val="nil"/>
              <w:left w:val="nil"/>
              <w:bottom w:val="nil"/>
              <w:right w:val="nil"/>
            </w:tcBorders>
            <w:shd w:val="clear" w:color="auto" w:fill="auto"/>
            <w:noWrap/>
            <w:vAlign w:val="center"/>
            <w:hideMark/>
          </w:tcPr>
          <w:p w14:paraId="6FEE1A9A" w14:textId="77777777" w:rsidR="009C7C86" w:rsidRPr="006C6F80" w:rsidRDefault="009C7C86" w:rsidP="009C7C86">
            <w:pPr>
              <w:jc w:val="center"/>
              <w:rPr>
                <w:color w:val="000000" w:themeColor="text1"/>
                <w:sz w:val="20"/>
                <w:szCs w:val="20"/>
              </w:rPr>
            </w:pPr>
            <w:r w:rsidRPr="006C6F80">
              <w:rPr>
                <w:color w:val="000000" w:themeColor="text1"/>
                <w:sz w:val="20"/>
                <w:szCs w:val="20"/>
              </w:rPr>
              <w:t>0.431</w:t>
            </w:r>
          </w:p>
        </w:tc>
      </w:tr>
      <w:tr w:rsidR="009C7C86" w:rsidRPr="006C6F80" w14:paraId="5CBEA9F4" w14:textId="77777777" w:rsidTr="009C7C86">
        <w:trPr>
          <w:trHeight w:val="260"/>
          <w:jc w:val="center"/>
        </w:trPr>
        <w:tc>
          <w:tcPr>
            <w:tcW w:w="3346" w:type="dxa"/>
            <w:tcBorders>
              <w:top w:val="nil"/>
              <w:left w:val="nil"/>
              <w:bottom w:val="nil"/>
              <w:right w:val="nil"/>
            </w:tcBorders>
            <w:shd w:val="clear" w:color="auto" w:fill="auto"/>
            <w:noWrap/>
            <w:vAlign w:val="bottom"/>
            <w:hideMark/>
          </w:tcPr>
          <w:p w14:paraId="64278784" w14:textId="77777777" w:rsidR="009C7C86" w:rsidRPr="006C6F80" w:rsidRDefault="009C7C86" w:rsidP="009C7C86">
            <w:pPr>
              <w:jc w:val="center"/>
              <w:rPr>
                <w:color w:val="000000" w:themeColor="text1"/>
                <w:sz w:val="20"/>
                <w:szCs w:val="20"/>
              </w:rPr>
            </w:pPr>
          </w:p>
        </w:tc>
        <w:tc>
          <w:tcPr>
            <w:tcW w:w="3774" w:type="dxa"/>
            <w:tcBorders>
              <w:top w:val="nil"/>
              <w:left w:val="nil"/>
              <w:bottom w:val="nil"/>
              <w:right w:val="nil"/>
            </w:tcBorders>
            <w:shd w:val="clear" w:color="auto" w:fill="auto"/>
            <w:noWrap/>
            <w:vAlign w:val="center"/>
            <w:hideMark/>
          </w:tcPr>
          <w:p w14:paraId="5B86C84A" w14:textId="77777777" w:rsidR="009C7C86" w:rsidRPr="006C6F80" w:rsidRDefault="009C7C86" w:rsidP="009C7C86">
            <w:pPr>
              <w:jc w:val="center"/>
              <w:rPr>
                <w:color w:val="000000" w:themeColor="text1"/>
                <w:sz w:val="20"/>
                <w:szCs w:val="20"/>
              </w:rPr>
            </w:pPr>
            <w:r w:rsidRPr="006C6F80">
              <w:rPr>
                <w:color w:val="000000" w:themeColor="text1"/>
                <w:sz w:val="20"/>
                <w:szCs w:val="20"/>
              </w:rPr>
              <w:t>(0.044)</w:t>
            </w:r>
          </w:p>
        </w:tc>
      </w:tr>
      <w:tr w:rsidR="009C7C86" w:rsidRPr="006C6F80" w14:paraId="1041CDDA" w14:textId="77777777" w:rsidTr="009C7C86">
        <w:trPr>
          <w:trHeight w:val="260"/>
          <w:jc w:val="center"/>
        </w:trPr>
        <w:tc>
          <w:tcPr>
            <w:tcW w:w="3346" w:type="dxa"/>
            <w:tcBorders>
              <w:top w:val="nil"/>
              <w:left w:val="nil"/>
              <w:bottom w:val="nil"/>
              <w:right w:val="nil"/>
            </w:tcBorders>
            <w:shd w:val="clear" w:color="auto" w:fill="auto"/>
            <w:noWrap/>
            <w:vAlign w:val="bottom"/>
            <w:hideMark/>
          </w:tcPr>
          <w:p w14:paraId="198AE523" w14:textId="77777777" w:rsidR="009C7C86" w:rsidRPr="006C6F80" w:rsidRDefault="009C7C86" w:rsidP="009C7C86">
            <w:pPr>
              <w:rPr>
                <w:color w:val="000000" w:themeColor="text1"/>
                <w:sz w:val="20"/>
                <w:szCs w:val="20"/>
              </w:rPr>
            </w:pPr>
            <w:r w:rsidRPr="006C6F80">
              <w:rPr>
                <w:color w:val="000000" w:themeColor="text1"/>
                <w:sz w:val="20"/>
                <w:szCs w:val="20"/>
              </w:rPr>
              <w:t>Returnees (1 year or less)</w:t>
            </w:r>
          </w:p>
        </w:tc>
        <w:tc>
          <w:tcPr>
            <w:tcW w:w="3774" w:type="dxa"/>
            <w:tcBorders>
              <w:top w:val="nil"/>
              <w:left w:val="nil"/>
              <w:bottom w:val="nil"/>
              <w:right w:val="nil"/>
            </w:tcBorders>
            <w:shd w:val="clear" w:color="auto" w:fill="auto"/>
            <w:noWrap/>
            <w:vAlign w:val="center"/>
            <w:hideMark/>
          </w:tcPr>
          <w:p w14:paraId="00852DFC" w14:textId="77777777" w:rsidR="009C7C86" w:rsidRPr="006C6F80" w:rsidRDefault="009C7C86" w:rsidP="009C7C86">
            <w:pPr>
              <w:jc w:val="center"/>
              <w:rPr>
                <w:color w:val="000000" w:themeColor="text1"/>
                <w:sz w:val="20"/>
                <w:szCs w:val="20"/>
              </w:rPr>
            </w:pPr>
            <w:r w:rsidRPr="006C6F80">
              <w:rPr>
                <w:color w:val="000000" w:themeColor="text1"/>
                <w:sz w:val="20"/>
                <w:szCs w:val="20"/>
              </w:rPr>
              <w:t>0.410</w:t>
            </w:r>
          </w:p>
        </w:tc>
      </w:tr>
      <w:tr w:rsidR="009C7C86" w:rsidRPr="006C6F80" w14:paraId="710121F2" w14:textId="77777777" w:rsidTr="009C7C86">
        <w:trPr>
          <w:trHeight w:val="260"/>
          <w:jc w:val="center"/>
        </w:trPr>
        <w:tc>
          <w:tcPr>
            <w:tcW w:w="3346" w:type="dxa"/>
            <w:tcBorders>
              <w:top w:val="nil"/>
              <w:left w:val="nil"/>
              <w:bottom w:val="nil"/>
              <w:right w:val="nil"/>
            </w:tcBorders>
            <w:shd w:val="clear" w:color="auto" w:fill="auto"/>
            <w:noWrap/>
            <w:vAlign w:val="bottom"/>
            <w:hideMark/>
          </w:tcPr>
          <w:p w14:paraId="4782EB9A" w14:textId="77777777" w:rsidR="009C7C86" w:rsidRPr="006C6F80" w:rsidRDefault="009C7C86" w:rsidP="009C7C86">
            <w:pPr>
              <w:jc w:val="center"/>
              <w:rPr>
                <w:color w:val="000000" w:themeColor="text1"/>
                <w:sz w:val="20"/>
                <w:szCs w:val="20"/>
              </w:rPr>
            </w:pPr>
          </w:p>
        </w:tc>
        <w:tc>
          <w:tcPr>
            <w:tcW w:w="3774" w:type="dxa"/>
            <w:tcBorders>
              <w:top w:val="nil"/>
              <w:left w:val="nil"/>
              <w:bottom w:val="nil"/>
              <w:right w:val="nil"/>
            </w:tcBorders>
            <w:shd w:val="clear" w:color="auto" w:fill="auto"/>
            <w:noWrap/>
            <w:vAlign w:val="center"/>
            <w:hideMark/>
          </w:tcPr>
          <w:p w14:paraId="04955C43" w14:textId="77777777" w:rsidR="009C7C86" w:rsidRPr="006C6F80" w:rsidRDefault="009C7C86" w:rsidP="009C7C86">
            <w:pPr>
              <w:jc w:val="center"/>
              <w:rPr>
                <w:color w:val="000000" w:themeColor="text1"/>
                <w:sz w:val="20"/>
                <w:szCs w:val="20"/>
              </w:rPr>
            </w:pPr>
            <w:r w:rsidRPr="006C6F80">
              <w:rPr>
                <w:color w:val="000000" w:themeColor="text1"/>
                <w:sz w:val="20"/>
                <w:szCs w:val="20"/>
              </w:rPr>
              <w:t>(0.047)</w:t>
            </w:r>
          </w:p>
        </w:tc>
      </w:tr>
      <w:tr w:rsidR="009C7C86" w:rsidRPr="006C6F80" w14:paraId="5CD74F43" w14:textId="77777777" w:rsidTr="009C7C86">
        <w:trPr>
          <w:trHeight w:val="260"/>
          <w:jc w:val="center"/>
        </w:trPr>
        <w:tc>
          <w:tcPr>
            <w:tcW w:w="3346" w:type="dxa"/>
            <w:tcBorders>
              <w:top w:val="nil"/>
              <w:left w:val="nil"/>
              <w:bottom w:val="nil"/>
              <w:right w:val="nil"/>
            </w:tcBorders>
            <w:shd w:val="clear" w:color="auto" w:fill="auto"/>
            <w:noWrap/>
            <w:vAlign w:val="bottom"/>
            <w:hideMark/>
          </w:tcPr>
          <w:p w14:paraId="5380362D" w14:textId="77777777" w:rsidR="009C7C86" w:rsidRPr="006C6F80" w:rsidRDefault="009C7C86" w:rsidP="009C7C86">
            <w:pPr>
              <w:rPr>
                <w:color w:val="000000" w:themeColor="text1"/>
                <w:sz w:val="20"/>
                <w:szCs w:val="20"/>
              </w:rPr>
            </w:pPr>
            <w:r w:rsidRPr="006C6F80">
              <w:rPr>
                <w:color w:val="000000" w:themeColor="text1"/>
                <w:sz w:val="20"/>
                <w:szCs w:val="20"/>
              </w:rPr>
              <w:t>Returnees (2 to 6 years)</w:t>
            </w:r>
          </w:p>
        </w:tc>
        <w:tc>
          <w:tcPr>
            <w:tcW w:w="3774" w:type="dxa"/>
            <w:tcBorders>
              <w:top w:val="nil"/>
              <w:left w:val="nil"/>
              <w:bottom w:val="nil"/>
              <w:right w:val="nil"/>
            </w:tcBorders>
            <w:shd w:val="clear" w:color="auto" w:fill="auto"/>
            <w:noWrap/>
            <w:vAlign w:val="center"/>
            <w:hideMark/>
          </w:tcPr>
          <w:p w14:paraId="78AB4086" w14:textId="77777777" w:rsidR="009C7C86" w:rsidRPr="006C6F80" w:rsidRDefault="009C7C86" w:rsidP="009C7C86">
            <w:pPr>
              <w:jc w:val="center"/>
              <w:rPr>
                <w:color w:val="000000" w:themeColor="text1"/>
                <w:sz w:val="20"/>
                <w:szCs w:val="20"/>
              </w:rPr>
            </w:pPr>
            <w:r w:rsidRPr="006C6F80">
              <w:rPr>
                <w:color w:val="000000" w:themeColor="text1"/>
                <w:sz w:val="20"/>
                <w:szCs w:val="20"/>
              </w:rPr>
              <w:t>0.428</w:t>
            </w:r>
          </w:p>
        </w:tc>
      </w:tr>
      <w:tr w:rsidR="009C7C86" w:rsidRPr="006C6F80" w14:paraId="779CF4CE" w14:textId="77777777" w:rsidTr="009C7C86">
        <w:trPr>
          <w:trHeight w:val="260"/>
          <w:jc w:val="center"/>
        </w:trPr>
        <w:tc>
          <w:tcPr>
            <w:tcW w:w="3346" w:type="dxa"/>
            <w:tcBorders>
              <w:top w:val="nil"/>
              <w:left w:val="nil"/>
              <w:bottom w:val="nil"/>
              <w:right w:val="nil"/>
            </w:tcBorders>
            <w:shd w:val="clear" w:color="auto" w:fill="auto"/>
            <w:noWrap/>
            <w:vAlign w:val="bottom"/>
            <w:hideMark/>
          </w:tcPr>
          <w:p w14:paraId="4B089D79" w14:textId="77777777" w:rsidR="009C7C86" w:rsidRPr="006C6F80" w:rsidRDefault="009C7C86" w:rsidP="009C7C86">
            <w:pPr>
              <w:jc w:val="center"/>
              <w:rPr>
                <w:color w:val="000000" w:themeColor="text1"/>
                <w:sz w:val="20"/>
                <w:szCs w:val="20"/>
              </w:rPr>
            </w:pPr>
          </w:p>
        </w:tc>
        <w:tc>
          <w:tcPr>
            <w:tcW w:w="3774" w:type="dxa"/>
            <w:tcBorders>
              <w:top w:val="nil"/>
              <w:left w:val="nil"/>
              <w:bottom w:val="nil"/>
              <w:right w:val="nil"/>
            </w:tcBorders>
            <w:shd w:val="clear" w:color="auto" w:fill="auto"/>
            <w:noWrap/>
            <w:vAlign w:val="center"/>
            <w:hideMark/>
          </w:tcPr>
          <w:p w14:paraId="248E0685" w14:textId="77777777" w:rsidR="009C7C86" w:rsidRPr="006C6F80" w:rsidRDefault="009C7C86" w:rsidP="009C7C86">
            <w:pPr>
              <w:jc w:val="center"/>
              <w:rPr>
                <w:color w:val="000000" w:themeColor="text1"/>
                <w:sz w:val="20"/>
                <w:szCs w:val="20"/>
              </w:rPr>
            </w:pPr>
            <w:r w:rsidRPr="006C6F80">
              <w:rPr>
                <w:color w:val="000000" w:themeColor="text1"/>
                <w:sz w:val="20"/>
                <w:szCs w:val="20"/>
              </w:rPr>
              <w:t>(0.043)</w:t>
            </w:r>
          </w:p>
        </w:tc>
      </w:tr>
      <w:tr w:rsidR="009C7C86" w:rsidRPr="006C6F80" w14:paraId="5427A6BB" w14:textId="77777777" w:rsidTr="009C7C86">
        <w:trPr>
          <w:trHeight w:val="260"/>
          <w:jc w:val="center"/>
        </w:trPr>
        <w:tc>
          <w:tcPr>
            <w:tcW w:w="3346" w:type="dxa"/>
            <w:tcBorders>
              <w:top w:val="nil"/>
              <w:left w:val="nil"/>
              <w:bottom w:val="nil"/>
              <w:right w:val="nil"/>
            </w:tcBorders>
            <w:shd w:val="clear" w:color="auto" w:fill="auto"/>
            <w:noWrap/>
            <w:vAlign w:val="bottom"/>
            <w:hideMark/>
          </w:tcPr>
          <w:p w14:paraId="5B687088" w14:textId="77777777" w:rsidR="009C7C86" w:rsidRPr="006C6F80" w:rsidRDefault="009C7C86" w:rsidP="009C7C86">
            <w:pPr>
              <w:rPr>
                <w:color w:val="000000" w:themeColor="text1"/>
                <w:sz w:val="20"/>
                <w:szCs w:val="20"/>
              </w:rPr>
            </w:pPr>
            <w:r w:rsidRPr="006C6F80">
              <w:rPr>
                <w:color w:val="000000" w:themeColor="text1"/>
                <w:sz w:val="20"/>
                <w:szCs w:val="20"/>
              </w:rPr>
              <w:t>Returnees (7 years or more)</w:t>
            </w:r>
          </w:p>
        </w:tc>
        <w:tc>
          <w:tcPr>
            <w:tcW w:w="3774" w:type="dxa"/>
            <w:tcBorders>
              <w:top w:val="nil"/>
              <w:left w:val="nil"/>
              <w:bottom w:val="nil"/>
              <w:right w:val="nil"/>
            </w:tcBorders>
            <w:shd w:val="clear" w:color="auto" w:fill="auto"/>
            <w:noWrap/>
            <w:vAlign w:val="center"/>
            <w:hideMark/>
          </w:tcPr>
          <w:p w14:paraId="50B1E83F" w14:textId="77777777" w:rsidR="009C7C86" w:rsidRPr="006C6F80" w:rsidRDefault="009C7C86" w:rsidP="009C7C86">
            <w:pPr>
              <w:jc w:val="center"/>
              <w:rPr>
                <w:color w:val="000000" w:themeColor="text1"/>
                <w:sz w:val="20"/>
                <w:szCs w:val="20"/>
              </w:rPr>
            </w:pPr>
            <w:r w:rsidRPr="006C6F80">
              <w:rPr>
                <w:color w:val="000000" w:themeColor="text1"/>
                <w:sz w:val="20"/>
                <w:szCs w:val="20"/>
              </w:rPr>
              <w:t>0.463</w:t>
            </w:r>
          </w:p>
        </w:tc>
      </w:tr>
      <w:tr w:rsidR="009C7C86" w:rsidRPr="006C6F80" w14:paraId="7D7A0F5E" w14:textId="77777777" w:rsidTr="009C7C86">
        <w:trPr>
          <w:trHeight w:val="260"/>
          <w:jc w:val="center"/>
        </w:trPr>
        <w:tc>
          <w:tcPr>
            <w:tcW w:w="3346" w:type="dxa"/>
            <w:tcBorders>
              <w:top w:val="nil"/>
              <w:left w:val="nil"/>
              <w:bottom w:val="single" w:sz="4" w:space="0" w:color="auto"/>
              <w:right w:val="nil"/>
            </w:tcBorders>
            <w:shd w:val="clear" w:color="auto" w:fill="auto"/>
            <w:noWrap/>
            <w:vAlign w:val="bottom"/>
            <w:hideMark/>
          </w:tcPr>
          <w:p w14:paraId="103438B7" w14:textId="77777777" w:rsidR="009C7C86" w:rsidRPr="006C6F80" w:rsidRDefault="009C7C86" w:rsidP="009C7C86">
            <w:pPr>
              <w:rPr>
                <w:color w:val="000000" w:themeColor="text1"/>
                <w:sz w:val="20"/>
                <w:szCs w:val="20"/>
              </w:rPr>
            </w:pPr>
            <w:r w:rsidRPr="006C6F80">
              <w:rPr>
                <w:color w:val="000000" w:themeColor="text1"/>
                <w:sz w:val="20"/>
                <w:szCs w:val="20"/>
              </w:rPr>
              <w:t> </w:t>
            </w:r>
          </w:p>
        </w:tc>
        <w:tc>
          <w:tcPr>
            <w:tcW w:w="3774" w:type="dxa"/>
            <w:tcBorders>
              <w:top w:val="nil"/>
              <w:left w:val="nil"/>
              <w:bottom w:val="single" w:sz="4" w:space="0" w:color="auto"/>
              <w:right w:val="nil"/>
            </w:tcBorders>
            <w:shd w:val="clear" w:color="auto" w:fill="auto"/>
            <w:noWrap/>
            <w:vAlign w:val="center"/>
            <w:hideMark/>
          </w:tcPr>
          <w:p w14:paraId="3E7083B8" w14:textId="77777777" w:rsidR="009C7C86" w:rsidRPr="006C6F80" w:rsidRDefault="009C7C86" w:rsidP="009C7C86">
            <w:pPr>
              <w:jc w:val="center"/>
              <w:rPr>
                <w:color w:val="000000" w:themeColor="text1"/>
                <w:sz w:val="20"/>
                <w:szCs w:val="20"/>
              </w:rPr>
            </w:pPr>
            <w:r w:rsidRPr="006C6F80">
              <w:rPr>
                <w:color w:val="000000" w:themeColor="text1"/>
                <w:sz w:val="20"/>
                <w:szCs w:val="20"/>
              </w:rPr>
              <w:t>(0.042)</w:t>
            </w:r>
          </w:p>
        </w:tc>
      </w:tr>
    </w:tbl>
    <w:p w14:paraId="2F3C4316" w14:textId="55116A14" w:rsidR="00824A66" w:rsidRPr="006C6F80" w:rsidRDefault="00B905ED" w:rsidP="002B214A">
      <w:pPr>
        <w:tabs>
          <w:tab w:val="left" w:pos="8730"/>
        </w:tabs>
        <w:ind w:left="1530" w:right="1440"/>
        <w:jc w:val="both"/>
        <w:rPr>
          <w:rFonts w:asciiTheme="majorBidi" w:hAnsiTheme="majorBidi" w:cstheme="majorBidi"/>
          <w:color w:val="000000" w:themeColor="text1"/>
          <w:sz w:val="18"/>
          <w:szCs w:val="18"/>
        </w:rPr>
      </w:pPr>
      <w:r w:rsidRPr="006C6F80">
        <w:rPr>
          <w:rFonts w:asciiTheme="majorBidi" w:hAnsiTheme="majorBidi" w:cstheme="majorBidi"/>
          <w:i/>
          <w:iCs/>
          <w:color w:val="000000" w:themeColor="text1"/>
          <w:sz w:val="18"/>
          <w:szCs w:val="18"/>
        </w:rPr>
        <w:t>Notes.</w:t>
      </w:r>
      <w:r w:rsidRPr="006C6F80">
        <w:rPr>
          <w:rFonts w:asciiTheme="majorBidi" w:hAnsiTheme="majorBidi" w:cstheme="majorBidi"/>
          <w:color w:val="000000" w:themeColor="text1"/>
          <w:sz w:val="18"/>
          <w:szCs w:val="18"/>
        </w:rPr>
        <w:t xml:space="preserve"> Average predicted probabilities and their standard errors are reported for stayers and returnees.</w:t>
      </w:r>
      <w:r w:rsidR="00B628E2" w:rsidRPr="006C6F80">
        <w:rPr>
          <w:rFonts w:asciiTheme="majorBidi" w:hAnsiTheme="majorBidi" w:cstheme="majorBidi"/>
          <w:color w:val="000000" w:themeColor="text1"/>
          <w:sz w:val="18"/>
          <w:szCs w:val="18"/>
        </w:rPr>
        <w:t xml:space="preserve"> We also report average predicted probabilities for returnees by migration duration.</w:t>
      </w:r>
      <w:r w:rsidRPr="006C6F80">
        <w:rPr>
          <w:rFonts w:asciiTheme="majorBidi" w:hAnsiTheme="majorBidi" w:cstheme="majorBidi"/>
          <w:color w:val="000000" w:themeColor="text1"/>
          <w:sz w:val="18"/>
          <w:szCs w:val="18"/>
        </w:rPr>
        <w:t xml:space="preserve"> Predicted probabilities </w:t>
      </w:r>
      <w:r w:rsidR="00B628E2" w:rsidRPr="006C6F80">
        <w:rPr>
          <w:rFonts w:asciiTheme="majorBidi" w:hAnsiTheme="majorBidi" w:cstheme="majorBidi"/>
          <w:color w:val="000000" w:themeColor="text1"/>
          <w:sz w:val="18"/>
          <w:szCs w:val="18"/>
        </w:rPr>
        <w:t xml:space="preserve">are derived </w:t>
      </w:r>
      <w:r w:rsidRPr="006C6F80">
        <w:rPr>
          <w:rFonts w:asciiTheme="majorBidi" w:hAnsiTheme="majorBidi" w:cstheme="majorBidi"/>
          <w:color w:val="000000" w:themeColor="text1"/>
          <w:sz w:val="18"/>
          <w:szCs w:val="18"/>
        </w:rPr>
        <w:t>from IV regression</w:t>
      </w:r>
      <w:r w:rsidR="00B628E2" w:rsidRPr="006C6F80">
        <w:rPr>
          <w:rFonts w:asciiTheme="majorBidi" w:hAnsiTheme="majorBidi" w:cstheme="majorBidi"/>
          <w:color w:val="000000" w:themeColor="text1"/>
          <w:sz w:val="18"/>
          <w:szCs w:val="18"/>
        </w:rPr>
        <w:t>s</w:t>
      </w:r>
      <w:r w:rsidR="00E97F10" w:rsidRPr="006C6F80">
        <w:rPr>
          <w:rFonts w:asciiTheme="majorBidi" w:hAnsiTheme="majorBidi" w:cstheme="majorBidi"/>
          <w:color w:val="000000" w:themeColor="text1"/>
          <w:sz w:val="18"/>
          <w:szCs w:val="18"/>
        </w:rPr>
        <w:t>,</w:t>
      </w:r>
      <w:r w:rsidRPr="006C6F80">
        <w:rPr>
          <w:rFonts w:asciiTheme="majorBidi" w:hAnsiTheme="majorBidi" w:cstheme="majorBidi"/>
          <w:color w:val="000000" w:themeColor="text1"/>
          <w:sz w:val="18"/>
          <w:szCs w:val="18"/>
        </w:rPr>
        <w:t xml:space="preserve"> where oil prices are used to instrument for temporary migration decision. </w:t>
      </w:r>
    </w:p>
    <w:p w14:paraId="6704E0E7" w14:textId="2B947008" w:rsidR="00106E23" w:rsidRPr="006C6F80" w:rsidRDefault="00106E23">
      <w:pPr>
        <w:spacing w:after="200" w:line="276" w:lineRule="auto"/>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br w:type="page"/>
      </w:r>
    </w:p>
    <w:tbl>
      <w:tblPr>
        <w:tblW w:w="8340" w:type="dxa"/>
        <w:jc w:val="center"/>
        <w:tblLook w:val="04A0" w:firstRow="1" w:lastRow="0" w:firstColumn="1" w:lastColumn="0" w:noHBand="0" w:noVBand="1"/>
      </w:tblPr>
      <w:tblGrid>
        <w:gridCol w:w="2088"/>
        <w:gridCol w:w="1563"/>
        <w:gridCol w:w="1563"/>
        <w:gridCol w:w="1563"/>
        <w:gridCol w:w="1563"/>
      </w:tblGrid>
      <w:tr w:rsidR="00106E23" w:rsidRPr="006C6F80" w14:paraId="465A694D" w14:textId="77777777" w:rsidTr="00030C01">
        <w:trPr>
          <w:trHeight w:val="260"/>
          <w:jc w:val="center"/>
        </w:trPr>
        <w:tc>
          <w:tcPr>
            <w:tcW w:w="8340" w:type="dxa"/>
            <w:gridSpan w:val="5"/>
            <w:tcBorders>
              <w:top w:val="nil"/>
              <w:left w:val="nil"/>
              <w:bottom w:val="single" w:sz="4" w:space="0" w:color="auto"/>
              <w:right w:val="nil"/>
            </w:tcBorders>
            <w:shd w:val="clear" w:color="auto" w:fill="auto"/>
            <w:vAlign w:val="center"/>
            <w:hideMark/>
          </w:tcPr>
          <w:p w14:paraId="7C6EEBD6" w14:textId="373ECAF1" w:rsidR="00106E23" w:rsidRPr="006C6F80" w:rsidRDefault="00106E23" w:rsidP="00030C01">
            <w:pPr>
              <w:jc w:val="center"/>
              <w:rPr>
                <w:b/>
                <w:bCs/>
                <w:color w:val="000000" w:themeColor="text1"/>
                <w:sz w:val="20"/>
                <w:szCs w:val="20"/>
              </w:rPr>
            </w:pPr>
            <w:r w:rsidRPr="006C6F80">
              <w:rPr>
                <w:b/>
                <w:bCs/>
                <w:color w:val="000000" w:themeColor="text1"/>
                <w:sz w:val="20"/>
                <w:szCs w:val="20"/>
              </w:rPr>
              <w:lastRenderedPageBreak/>
              <w:t>Table 7: Robustness checks using ordered Probit and IV-ordered Probit Model</w:t>
            </w:r>
          </w:p>
        </w:tc>
      </w:tr>
      <w:tr w:rsidR="00106E23" w:rsidRPr="006C6F80" w14:paraId="4A4E22C5" w14:textId="77777777" w:rsidTr="00030C01">
        <w:trPr>
          <w:trHeight w:val="260"/>
          <w:jc w:val="center"/>
        </w:trPr>
        <w:tc>
          <w:tcPr>
            <w:tcW w:w="2088" w:type="dxa"/>
            <w:tcBorders>
              <w:top w:val="nil"/>
              <w:left w:val="nil"/>
              <w:bottom w:val="nil"/>
              <w:right w:val="nil"/>
            </w:tcBorders>
            <w:shd w:val="clear" w:color="auto" w:fill="auto"/>
            <w:noWrap/>
            <w:vAlign w:val="bottom"/>
            <w:hideMark/>
          </w:tcPr>
          <w:p w14:paraId="158692DB" w14:textId="77777777" w:rsidR="00106E23" w:rsidRPr="006C6F80" w:rsidRDefault="00106E23" w:rsidP="00030C01">
            <w:pPr>
              <w:rPr>
                <w:color w:val="000000" w:themeColor="text1"/>
                <w:sz w:val="20"/>
                <w:szCs w:val="20"/>
              </w:rPr>
            </w:pPr>
            <w:r w:rsidRPr="006C6F80">
              <w:rPr>
                <w:color w:val="000000" w:themeColor="text1"/>
                <w:sz w:val="20"/>
                <w:szCs w:val="20"/>
              </w:rPr>
              <w:t> </w:t>
            </w:r>
          </w:p>
        </w:tc>
        <w:tc>
          <w:tcPr>
            <w:tcW w:w="1563" w:type="dxa"/>
            <w:tcBorders>
              <w:top w:val="nil"/>
              <w:left w:val="nil"/>
              <w:bottom w:val="nil"/>
              <w:right w:val="nil"/>
            </w:tcBorders>
            <w:shd w:val="clear" w:color="auto" w:fill="auto"/>
            <w:noWrap/>
            <w:vAlign w:val="bottom"/>
            <w:hideMark/>
          </w:tcPr>
          <w:p w14:paraId="66BC93E7" w14:textId="77777777" w:rsidR="00106E23" w:rsidRPr="006C6F80" w:rsidRDefault="00106E23" w:rsidP="00030C01">
            <w:pPr>
              <w:jc w:val="center"/>
              <w:rPr>
                <w:color w:val="000000" w:themeColor="text1"/>
                <w:sz w:val="20"/>
                <w:szCs w:val="20"/>
              </w:rPr>
            </w:pPr>
            <w:r w:rsidRPr="006C6F80">
              <w:rPr>
                <w:color w:val="000000" w:themeColor="text1"/>
                <w:sz w:val="20"/>
                <w:szCs w:val="20"/>
              </w:rPr>
              <w:t>(1)</w:t>
            </w:r>
          </w:p>
        </w:tc>
        <w:tc>
          <w:tcPr>
            <w:tcW w:w="1563" w:type="dxa"/>
            <w:tcBorders>
              <w:top w:val="nil"/>
              <w:left w:val="nil"/>
              <w:bottom w:val="nil"/>
              <w:right w:val="nil"/>
            </w:tcBorders>
            <w:shd w:val="clear" w:color="auto" w:fill="auto"/>
            <w:noWrap/>
            <w:vAlign w:val="bottom"/>
            <w:hideMark/>
          </w:tcPr>
          <w:p w14:paraId="6B82F588" w14:textId="77777777" w:rsidR="00106E23" w:rsidRPr="006C6F80" w:rsidRDefault="00106E23" w:rsidP="00030C01">
            <w:pPr>
              <w:jc w:val="center"/>
              <w:rPr>
                <w:color w:val="000000" w:themeColor="text1"/>
                <w:sz w:val="20"/>
                <w:szCs w:val="20"/>
              </w:rPr>
            </w:pPr>
            <w:r w:rsidRPr="006C6F80">
              <w:rPr>
                <w:color w:val="000000" w:themeColor="text1"/>
                <w:sz w:val="20"/>
                <w:szCs w:val="20"/>
              </w:rPr>
              <w:t>(2)</w:t>
            </w:r>
          </w:p>
        </w:tc>
        <w:tc>
          <w:tcPr>
            <w:tcW w:w="1563" w:type="dxa"/>
            <w:tcBorders>
              <w:top w:val="nil"/>
              <w:left w:val="nil"/>
              <w:bottom w:val="nil"/>
              <w:right w:val="nil"/>
            </w:tcBorders>
            <w:shd w:val="clear" w:color="auto" w:fill="auto"/>
            <w:noWrap/>
            <w:vAlign w:val="bottom"/>
            <w:hideMark/>
          </w:tcPr>
          <w:p w14:paraId="1A1262D6" w14:textId="77777777" w:rsidR="00106E23" w:rsidRPr="006C6F80" w:rsidRDefault="00106E23" w:rsidP="00030C01">
            <w:pPr>
              <w:jc w:val="center"/>
              <w:rPr>
                <w:color w:val="000000" w:themeColor="text1"/>
                <w:sz w:val="20"/>
                <w:szCs w:val="20"/>
              </w:rPr>
            </w:pPr>
            <w:r w:rsidRPr="006C6F80">
              <w:rPr>
                <w:color w:val="000000" w:themeColor="text1"/>
                <w:sz w:val="20"/>
                <w:szCs w:val="20"/>
              </w:rPr>
              <w:t>(3)</w:t>
            </w:r>
          </w:p>
        </w:tc>
        <w:tc>
          <w:tcPr>
            <w:tcW w:w="1563" w:type="dxa"/>
            <w:tcBorders>
              <w:top w:val="nil"/>
              <w:left w:val="nil"/>
              <w:bottom w:val="nil"/>
              <w:right w:val="nil"/>
            </w:tcBorders>
            <w:shd w:val="clear" w:color="auto" w:fill="auto"/>
            <w:noWrap/>
            <w:vAlign w:val="bottom"/>
            <w:hideMark/>
          </w:tcPr>
          <w:p w14:paraId="4E666C1B" w14:textId="77777777" w:rsidR="00106E23" w:rsidRPr="006C6F80" w:rsidRDefault="00106E23" w:rsidP="00030C01">
            <w:pPr>
              <w:jc w:val="center"/>
              <w:rPr>
                <w:color w:val="000000" w:themeColor="text1"/>
                <w:sz w:val="20"/>
                <w:szCs w:val="20"/>
              </w:rPr>
            </w:pPr>
            <w:r w:rsidRPr="006C6F80">
              <w:rPr>
                <w:color w:val="000000" w:themeColor="text1"/>
                <w:sz w:val="20"/>
                <w:szCs w:val="20"/>
              </w:rPr>
              <w:t>(4)</w:t>
            </w:r>
          </w:p>
        </w:tc>
      </w:tr>
      <w:tr w:rsidR="00106E23" w:rsidRPr="006C6F80" w14:paraId="2AFEBA92" w14:textId="77777777" w:rsidTr="00030C01">
        <w:trPr>
          <w:trHeight w:val="260"/>
          <w:jc w:val="center"/>
        </w:trPr>
        <w:tc>
          <w:tcPr>
            <w:tcW w:w="8340" w:type="dxa"/>
            <w:gridSpan w:val="5"/>
            <w:tcBorders>
              <w:top w:val="nil"/>
              <w:left w:val="nil"/>
              <w:bottom w:val="single" w:sz="4" w:space="0" w:color="auto"/>
              <w:right w:val="nil"/>
            </w:tcBorders>
            <w:shd w:val="clear" w:color="auto" w:fill="auto"/>
            <w:noWrap/>
            <w:vAlign w:val="bottom"/>
            <w:hideMark/>
          </w:tcPr>
          <w:p w14:paraId="3298CD0A" w14:textId="77777777" w:rsidR="00106E23" w:rsidRPr="006C6F80" w:rsidRDefault="00106E23" w:rsidP="00030C01">
            <w:pPr>
              <w:jc w:val="center"/>
              <w:rPr>
                <w:b/>
                <w:bCs/>
                <w:color w:val="000000" w:themeColor="text1"/>
                <w:sz w:val="20"/>
                <w:szCs w:val="20"/>
              </w:rPr>
            </w:pPr>
            <w:r w:rsidRPr="006C6F80">
              <w:rPr>
                <w:b/>
                <w:bCs/>
                <w:color w:val="000000" w:themeColor="text1"/>
                <w:sz w:val="20"/>
                <w:szCs w:val="20"/>
              </w:rPr>
              <w:t>Panel A: Ordered Probit Model</w:t>
            </w:r>
          </w:p>
        </w:tc>
      </w:tr>
      <w:tr w:rsidR="00106E23" w:rsidRPr="006C6F80" w14:paraId="4FB974CA" w14:textId="77777777" w:rsidTr="00030C01">
        <w:trPr>
          <w:trHeight w:val="660"/>
          <w:jc w:val="center"/>
        </w:trPr>
        <w:tc>
          <w:tcPr>
            <w:tcW w:w="2088" w:type="dxa"/>
            <w:tcBorders>
              <w:top w:val="nil"/>
              <w:left w:val="nil"/>
              <w:bottom w:val="nil"/>
              <w:right w:val="nil"/>
            </w:tcBorders>
            <w:shd w:val="clear" w:color="auto" w:fill="auto"/>
            <w:noWrap/>
            <w:vAlign w:val="bottom"/>
            <w:hideMark/>
          </w:tcPr>
          <w:p w14:paraId="094846E3" w14:textId="77777777" w:rsidR="00106E23" w:rsidRPr="006C6F80" w:rsidRDefault="00106E23" w:rsidP="00030C01">
            <w:pPr>
              <w:rPr>
                <w:color w:val="000000" w:themeColor="text1"/>
                <w:sz w:val="20"/>
                <w:szCs w:val="20"/>
              </w:rPr>
            </w:pPr>
            <w:r w:rsidRPr="006C6F80">
              <w:rPr>
                <w:color w:val="000000" w:themeColor="text1"/>
                <w:sz w:val="20"/>
                <w:szCs w:val="20"/>
              </w:rPr>
              <w:t>VARIABLES</w:t>
            </w:r>
          </w:p>
        </w:tc>
        <w:tc>
          <w:tcPr>
            <w:tcW w:w="1563" w:type="dxa"/>
            <w:tcBorders>
              <w:top w:val="nil"/>
              <w:left w:val="nil"/>
              <w:bottom w:val="nil"/>
              <w:right w:val="nil"/>
            </w:tcBorders>
            <w:shd w:val="clear" w:color="auto" w:fill="auto"/>
            <w:vAlign w:val="center"/>
            <w:hideMark/>
          </w:tcPr>
          <w:p w14:paraId="34D42FC2" w14:textId="77777777" w:rsidR="00106E23" w:rsidRPr="006C6F80" w:rsidRDefault="00106E23" w:rsidP="00030C01">
            <w:pPr>
              <w:jc w:val="center"/>
              <w:rPr>
                <w:color w:val="000000" w:themeColor="text1"/>
                <w:sz w:val="20"/>
                <w:szCs w:val="20"/>
              </w:rPr>
            </w:pPr>
            <w:r w:rsidRPr="006C6F80">
              <w:rPr>
                <w:color w:val="000000" w:themeColor="text1"/>
                <w:sz w:val="20"/>
                <w:szCs w:val="20"/>
              </w:rPr>
              <w:t>Downward mobility (0)</w:t>
            </w:r>
          </w:p>
        </w:tc>
        <w:tc>
          <w:tcPr>
            <w:tcW w:w="1563" w:type="dxa"/>
            <w:tcBorders>
              <w:top w:val="nil"/>
              <w:left w:val="nil"/>
              <w:bottom w:val="nil"/>
              <w:right w:val="nil"/>
            </w:tcBorders>
            <w:shd w:val="clear" w:color="auto" w:fill="auto"/>
            <w:vAlign w:val="center"/>
            <w:hideMark/>
          </w:tcPr>
          <w:p w14:paraId="4B38EF48" w14:textId="77777777" w:rsidR="00106E23" w:rsidRPr="006C6F80" w:rsidRDefault="00106E23" w:rsidP="00030C01">
            <w:pPr>
              <w:jc w:val="center"/>
              <w:rPr>
                <w:color w:val="000000" w:themeColor="text1"/>
                <w:sz w:val="20"/>
                <w:szCs w:val="20"/>
              </w:rPr>
            </w:pPr>
            <w:r w:rsidRPr="006C6F80">
              <w:rPr>
                <w:color w:val="000000" w:themeColor="text1"/>
                <w:sz w:val="20"/>
                <w:szCs w:val="20"/>
              </w:rPr>
              <w:t>Upward mobility (1)</w:t>
            </w:r>
          </w:p>
        </w:tc>
        <w:tc>
          <w:tcPr>
            <w:tcW w:w="1563" w:type="dxa"/>
            <w:tcBorders>
              <w:top w:val="nil"/>
              <w:left w:val="nil"/>
              <w:bottom w:val="nil"/>
              <w:right w:val="nil"/>
            </w:tcBorders>
            <w:shd w:val="clear" w:color="auto" w:fill="auto"/>
            <w:vAlign w:val="center"/>
            <w:hideMark/>
          </w:tcPr>
          <w:p w14:paraId="624073C6" w14:textId="77777777" w:rsidR="00106E23" w:rsidRPr="006C6F80" w:rsidRDefault="00106E23" w:rsidP="00030C01">
            <w:pPr>
              <w:jc w:val="center"/>
              <w:rPr>
                <w:color w:val="000000" w:themeColor="text1"/>
                <w:sz w:val="20"/>
                <w:szCs w:val="20"/>
              </w:rPr>
            </w:pPr>
            <w:r w:rsidRPr="006C6F80">
              <w:rPr>
                <w:color w:val="000000" w:themeColor="text1"/>
                <w:sz w:val="20"/>
                <w:szCs w:val="20"/>
              </w:rPr>
              <w:t>Upward mobility (2)</w:t>
            </w:r>
          </w:p>
        </w:tc>
        <w:tc>
          <w:tcPr>
            <w:tcW w:w="1563" w:type="dxa"/>
            <w:tcBorders>
              <w:top w:val="nil"/>
              <w:left w:val="nil"/>
              <w:bottom w:val="nil"/>
              <w:right w:val="nil"/>
            </w:tcBorders>
            <w:shd w:val="clear" w:color="auto" w:fill="auto"/>
            <w:vAlign w:val="center"/>
            <w:hideMark/>
          </w:tcPr>
          <w:p w14:paraId="5DA64BDE" w14:textId="77777777" w:rsidR="00106E23" w:rsidRPr="006C6F80" w:rsidRDefault="00106E23" w:rsidP="00030C01">
            <w:pPr>
              <w:jc w:val="center"/>
              <w:rPr>
                <w:color w:val="000000" w:themeColor="text1"/>
                <w:sz w:val="20"/>
                <w:szCs w:val="20"/>
              </w:rPr>
            </w:pPr>
            <w:r w:rsidRPr="006C6F80">
              <w:rPr>
                <w:color w:val="000000" w:themeColor="text1"/>
                <w:sz w:val="20"/>
                <w:szCs w:val="20"/>
              </w:rPr>
              <w:t>Upward mobility (3)</w:t>
            </w:r>
          </w:p>
        </w:tc>
      </w:tr>
      <w:tr w:rsidR="00106E23" w:rsidRPr="006C6F80" w14:paraId="334F9388" w14:textId="77777777" w:rsidTr="00030C01">
        <w:trPr>
          <w:trHeight w:val="260"/>
          <w:jc w:val="center"/>
        </w:trPr>
        <w:tc>
          <w:tcPr>
            <w:tcW w:w="2088" w:type="dxa"/>
            <w:tcBorders>
              <w:top w:val="single" w:sz="4" w:space="0" w:color="auto"/>
              <w:left w:val="nil"/>
              <w:bottom w:val="nil"/>
              <w:right w:val="nil"/>
            </w:tcBorders>
            <w:shd w:val="clear" w:color="auto" w:fill="auto"/>
            <w:noWrap/>
            <w:vAlign w:val="bottom"/>
            <w:hideMark/>
          </w:tcPr>
          <w:p w14:paraId="18C24DDD" w14:textId="77777777" w:rsidR="00106E23" w:rsidRPr="006C6F80" w:rsidRDefault="00106E23" w:rsidP="00030C01">
            <w:pPr>
              <w:rPr>
                <w:color w:val="000000" w:themeColor="text1"/>
                <w:sz w:val="20"/>
                <w:szCs w:val="20"/>
              </w:rPr>
            </w:pPr>
            <w:r w:rsidRPr="006C6F80">
              <w:rPr>
                <w:color w:val="000000" w:themeColor="text1"/>
                <w:sz w:val="20"/>
                <w:szCs w:val="20"/>
              </w:rPr>
              <w:t> </w:t>
            </w:r>
          </w:p>
        </w:tc>
        <w:tc>
          <w:tcPr>
            <w:tcW w:w="1563" w:type="dxa"/>
            <w:tcBorders>
              <w:top w:val="single" w:sz="4" w:space="0" w:color="auto"/>
              <w:left w:val="nil"/>
              <w:bottom w:val="nil"/>
              <w:right w:val="nil"/>
            </w:tcBorders>
            <w:shd w:val="clear" w:color="auto" w:fill="auto"/>
            <w:noWrap/>
            <w:vAlign w:val="bottom"/>
            <w:hideMark/>
          </w:tcPr>
          <w:p w14:paraId="7131E103" w14:textId="77777777" w:rsidR="00106E23" w:rsidRPr="006C6F80" w:rsidRDefault="00106E23" w:rsidP="00030C01">
            <w:pPr>
              <w:jc w:val="center"/>
              <w:rPr>
                <w:color w:val="000000" w:themeColor="text1"/>
                <w:sz w:val="20"/>
                <w:szCs w:val="20"/>
              </w:rPr>
            </w:pPr>
            <w:r w:rsidRPr="006C6F80">
              <w:rPr>
                <w:color w:val="000000" w:themeColor="text1"/>
                <w:sz w:val="20"/>
                <w:szCs w:val="20"/>
              </w:rPr>
              <w:t> </w:t>
            </w:r>
          </w:p>
        </w:tc>
        <w:tc>
          <w:tcPr>
            <w:tcW w:w="1563" w:type="dxa"/>
            <w:tcBorders>
              <w:top w:val="single" w:sz="4" w:space="0" w:color="auto"/>
              <w:left w:val="nil"/>
              <w:bottom w:val="nil"/>
              <w:right w:val="nil"/>
            </w:tcBorders>
            <w:shd w:val="clear" w:color="auto" w:fill="auto"/>
            <w:noWrap/>
            <w:vAlign w:val="bottom"/>
            <w:hideMark/>
          </w:tcPr>
          <w:p w14:paraId="2192261B" w14:textId="77777777" w:rsidR="00106E23" w:rsidRPr="006C6F80" w:rsidRDefault="00106E23" w:rsidP="00030C01">
            <w:pPr>
              <w:jc w:val="center"/>
              <w:rPr>
                <w:color w:val="000000" w:themeColor="text1"/>
                <w:sz w:val="20"/>
                <w:szCs w:val="20"/>
              </w:rPr>
            </w:pPr>
            <w:r w:rsidRPr="006C6F80">
              <w:rPr>
                <w:color w:val="000000" w:themeColor="text1"/>
                <w:sz w:val="20"/>
                <w:szCs w:val="20"/>
              </w:rPr>
              <w:t> </w:t>
            </w:r>
          </w:p>
        </w:tc>
        <w:tc>
          <w:tcPr>
            <w:tcW w:w="1563" w:type="dxa"/>
            <w:tcBorders>
              <w:top w:val="single" w:sz="4" w:space="0" w:color="auto"/>
              <w:left w:val="nil"/>
              <w:bottom w:val="nil"/>
              <w:right w:val="nil"/>
            </w:tcBorders>
            <w:shd w:val="clear" w:color="auto" w:fill="auto"/>
            <w:noWrap/>
            <w:vAlign w:val="bottom"/>
            <w:hideMark/>
          </w:tcPr>
          <w:p w14:paraId="7ECC9094" w14:textId="77777777" w:rsidR="00106E23" w:rsidRPr="006C6F80" w:rsidRDefault="00106E23" w:rsidP="00030C01">
            <w:pPr>
              <w:jc w:val="center"/>
              <w:rPr>
                <w:color w:val="000000" w:themeColor="text1"/>
                <w:sz w:val="20"/>
                <w:szCs w:val="20"/>
              </w:rPr>
            </w:pPr>
            <w:r w:rsidRPr="006C6F80">
              <w:rPr>
                <w:color w:val="000000" w:themeColor="text1"/>
                <w:sz w:val="20"/>
                <w:szCs w:val="20"/>
              </w:rPr>
              <w:t> </w:t>
            </w:r>
          </w:p>
        </w:tc>
        <w:tc>
          <w:tcPr>
            <w:tcW w:w="1563" w:type="dxa"/>
            <w:tcBorders>
              <w:top w:val="single" w:sz="4" w:space="0" w:color="auto"/>
              <w:left w:val="nil"/>
              <w:bottom w:val="nil"/>
              <w:right w:val="nil"/>
            </w:tcBorders>
            <w:shd w:val="clear" w:color="auto" w:fill="auto"/>
            <w:noWrap/>
            <w:vAlign w:val="bottom"/>
            <w:hideMark/>
          </w:tcPr>
          <w:p w14:paraId="08D37581" w14:textId="77777777" w:rsidR="00106E23" w:rsidRPr="006C6F80" w:rsidRDefault="00106E23" w:rsidP="00030C01">
            <w:pPr>
              <w:jc w:val="center"/>
              <w:rPr>
                <w:color w:val="000000" w:themeColor="text1"/>
                <w:sz w:val="20"/>
                <w:szCs w:val="20"/>
              </w:rPr>
            </w:pPr>
            <w:r w:rsidRPr="006C6F80">
              <w:rPr>
                <w:color w:val="000000" w:themeColor="text1"/>
                <w:sz w:val="20"/>
                <w:szCs w:val="20"/>
              </w:rPr>
              <w:t> </w:t>
            </w:r>
          </w:p>
        </w:tc>
      </w:tr>
      <w:tr w:rsidR="00106E23" w:rsidRPr="006C6F80" w14:paraId="5F67423F" w14:textId="77777777" w:rsidTr="00030C01">
        <w:trPr>
          <w:trHeight w:val="260"/>
          <w:jc w:val="center"/>
        </w:trPr>
        <w:tc>
          <w:tcPr>
            <w:tcW w:w="2088" w:type="dxa"/>
            <w:tcBorders>
              <w:top w:val="nil"/>
              <w:left w:val="nil"/>
              <w:bottom w:val="nil"/>
              <w:right w:val="nil"/>
            </w:tcBorders>
            <w:shd w:val="clear" w:color="auto" w:fill="auto"/>
            <w:noWrap/>
            <w:vAlign w:val="bottom"/>
            <w:hideMark/>
          </w:tcPr>
          <w:p w14:paraId="0EDB8EB1" w14:textId="77777777" w:rsidR="00106E23" w:rsidRPr="006C6F80" w:rsidRDefault="00106E23" w:rsidP="00030C01">
            <w:pPr>
              <w:rPr>
                <w:color w:val="000000" w:themeColor="text1"/>
                <w:sz w:val="20"/>
                <w:szCs w:val="20"/>
              </w:rPr>
            </w:pPr>
            <w:r w:rsidRPr="006C6F80">
              <w:rPr>
                <w:color w:val="000000" w:themeColor="text1"/>
                <w:sz w:val="20"/>
                <w:szCs w:val="20"/>
              </w:rPr>
              <w:t>Return migrant</w:t>
            </w:r>
          </w:p>
        </w:tc>
        <w:tc>
          <w:tcPr>
            <w:tcW w:w="1563" w:type="dxa"/>
            <w:tcBorders>
              <w:top w:val="nil"/>
              <w:left w:val="nil"/>
              <w:bottom w:val="nil"/>
              <w:right w:val="nil"/>
            </w:tcBorders>
            <w:shd w:val="clear" w:color="auto" w:fill="auto"/>
            <w:noWrap/>
            <w:vAlign w:val="bottom"/>
            <w:hideMark/>
          </w:tcPr>
          <w:p w14:paraId="17FDDE51" w14:textId="77777777" w:rsidR="00106E23" w:rsidRPr="006C6F80" w:rsidRDefault="00106E23" w:rsidP="00030C01">
            <w:pPr>
              <w:jc w:val="center"/>
              <w:rPr>
                <w:color w:val="000000" w:themeColor="text1"/>
                <w:sz w:val="20"/>
                <w:szCs w:val="20"/>
              </w:rPr>
            </w:pPr>
            <w:r w:rsidRPr="006C6F80">
              <w:rPr>
                <w:color w:val="000000" w:themeColor="text1"/>
                <w:sz w:val="20"/>
                <w:szCs w:val="20"/>
              </w:rPr>
              <w:t>-0.155***</w:t>
            </w:r>
          </w:p>
        </w:tc>
        <w:tc>
          <w:tcPr>
            <w:tcW w:w="1563" w:type="dxa"/>
            <w:tcBorders>
              <w:top w:val="nil"/>
              <w:left w:val="nil"/>
              <w:bottom w:val="nil"/>
              <w:right w:val="nil"/>
            </w:tcBorders>
            <w:shd w:val="clear" w:color="auto" w:fill="auto"/>
            <w:noWrap/>
            <w:vAlign w:val="bottom"/>
            <w:hideMark/>
          </w:tcPr>
          <w:p w14:paraId="01467DE1" w14:textId="77777777" w:rsidR="00106E23" w:rsidRPr="006C6F80" w:rsidRDefault="00106E23" w:rsidP="00030C01">
            <w:pPr>
              <w:jc w:val="center"/>
              <w:rPr>
                <w:color w:val="000000" w:themeColor="text1"/>
                <w:sz w:val="20"/>
                <w:szCs w:val="20"/>
              </w:rPr>
            </w:pPr>
            <w:r w:rsidRPr="006C6F80">
              <w:rPr>
                <w:color w:val="000000" w:themeColor="text1"/>
                <w:sz w:val="20"/>
                <w:szCs w:val="20"/>
              </w:rPr>
              <w:t>0.043***</w:t>
            </w:r>
          </w:p>
        </w:tc>
        <w:tc>
          <w:tcPr>
            <w:tcW w:w="1563" w:type="dxa"/>
            <w:tcBorders>
              <w:top w:val="nil"/>
              <w:left w:val="nil"/>
              <w:bottom w:val="nil"/>
              <w:right w:val="nil"/>
            </w:tcBorders>
            <w:shd w:val="clear" w:color="auto" w:fill="auto"/>
            <w:noWrap/>
            <w:vAlign w:val="bottom"/>
            <w:hideMark/>
          </w:tcPr>
          <w:p w14:paraId="0857D9EA" w14:textId="77777777" w:rsidR="00106E23" w:rsidRPr="006C6F80" w:rsidRDefault="00106E23" w:rsidP="00030C01">
            <w:pPr>
              <w:jc w:val="center"/>
              <w:rPr>
                <w:color w:val="000000" w:themeColor="text1"/>
                <w:sz w:val="20"/>
                <w:szCs w:val="20"/>
              </w:rPr>
            </w:pPr>
            <w:r w:rsidRPr="006C6F80">
              <w:rPr>
                <w:color w:val="000000" w:themeColor="text1"/>
                <w:sz w:val="20"/>
                <w:szCs w:val="20"/>
              </w:rPr>
              <w:t>0.044***</w:t>
            </w:r>
          </w:p>
        </w:tc>
        <w:tc>
          <w:tcPr>
            <w:tcW w:w="1563" w:type="dxa"/>
            <w:tcBorders>
              <w:top w:val="nil"/>
              <w:left w:val="nil"/>
              <w:bottom w:val="nil"/>
              <w:right w:val="nil"/>
            </w:tcBorders>
            <w:shd w:val="clear" w:color="auto" w:fill="auto"/>
            <w:noWrap/>
            <w:vAlign w:val="bottom"/>
            <w:hideMark/>
          </w:tcPr>
          <w:p w14:paraId="2D4F89D4" w14:textId="77777777" w:rsidR="00106E23" w:rsidRPr="006C6F80" w:rsidRDefault="00106E23" w:rsidP="00030C01">
            <w:pPr>
              <w:jc w:val="center"/>
              <w:rPr>
                <w:color w:val="000000" w:themeColor="text1"/>
                <w:sz w:val="20"/>
                <w:szCs w:val="20"/>
              </w:rPr>
            </w:pPr>
            <w:r w:rsidRPr="006C6F80">
              <w:rPr>
                <w:color w:val="000000" w:themeColor="text1"/>
                <w:sz w:val="20"/>
                <w:szCs w:val="20"/>
              </w:rPr>
              <w:t>0.069***</w:t>
            </w:r>
          </w:p>
        </w:tc>
      </w:tr>
      <w:tr w:rsidR="00106E23" w:rsidRPr="006C6F80" w14:paraId="3DA9A7AD" w14:textId="77777777" w:rsidTr="00030C01">
        <w:trPr>
          <w:trHeight w:val="260"/>
          <w:jc w:val="center"/>
        </w:trPr>
        <w:tc>
          <w:tcPr>
            <w:tcW w:w="2088" w:type="dxa"/>
            <w:tcBorders>
              <w:top w:val="nil"/>
              <w:left w:val="nil"/>
              <w:bottom w:val="nil"/>
              <w:right w:val="nil"/>
            </w:tcBorders>
            <w:shd w:val="clear" w:color="auto" w:fill="auto"/>
            <w:noWrap/>
            <w:vAlign w:val="bottom"/>
            <w:hideMark/>
          </w:tcPr>
          <w:p w14:paraId="1765643C" w14:textId="77777777" w:rsidR="00106E23" w:rsidRPr="006C6F80" w:rsidRDefault="00106E23" w:rsidP="00030C01">
            <w:pPr>
              <w:jc w:val="center"/>
              <w:rPr>
                <w:color w:val="000000" w:themeColor="text1"/>
                <w:sz w:val="20"/>
                <w:szCs w:val="20"/>
              </w:rPr>
            </w:pPr>
          </w:p>
        </w:tc>
        <w:tc>
          <w:tcPr>
            <w:tcW w:w="1563" w:type="dxa"/>
            <w:tcBorders>
              <w:top w:val="nil"/>
              <w:left w:val="nil"/>
              <w:bottom w:val="nil"/>
              <w:right w:val="nil"/>
            </w:tcBorders>
            <w:shd w:val="clear" w:color="auto" w:fill="auto"/>
            <w:noWrap/>
            <w:vAlign w:val="bottom"/>
            <w:hideMark/>
          </w:tcPr>
          <w:p w14:paraId="27C31ED3" w14:textId="77777777" w:rsidR="00106E23" w:rsidRPr="006C6F80" w:rsidRDefault="00106E23" w:rsidP="00030C01">
            <w:pPr>
              <w:jc w:val="center"/>
              <w:rPr>
                <w:color w:val="000000" w:themeColor="text1"/>
                <w:sz w:val="20"/>
                <w:szCs w:val="20"/>
              </w:rPr>
            </w:pPr>
            <w:r w:rsidRPr="006C6F80">
              <w:rPr>
                <w:color w:val="000000" w:themeColor="text1"/>
                <w:sz w:val="20"/>
                <w:szCs w:val="20"/>
              </w:rPr>
              <w:t>(0.036)</w:t>
            </w:r>
          </w:p>
        </w:tc>
        <w:tc>
          <w:tcPr>
            <w:tcW w:w="1563" w:type="dxa"/>
            <w:tcBorders>
              <w:top w:val="nil"/>
              <w:left w:val="nil"/>
              <w:bottom w:val="nil"/>
              <w:right w:val="nil"/>
            </w:tcBorders>
            <w:shd w:val="clear" w:color="auto" w:fill="auto"/>
            <w:noWrap/>
            <w:vAlign w:val="bottom"/>
            <w:hideMark/>
          </w:tcPr>
          <w:p w14:paraId="03825401" w14:textId="77777777" w:rsidR="00106E23" w:rsidRPr="006C6F80" w:rsidRDefault="00106E23" w:rsidP="00030C01">
            <w:pPr>
              <w:jc w:val="center"/>
              <w:rPr>
                <w:color w:val="000000" w:themeColor="text1"/>
                <w:sz w:val="20"/>
                <w:szCs w:val="20"/>
              </w:rPr>
            </w:pPr>
            <w:r w:rsidRPr="006C6F80">
              <w:rPr>
                <w:color w:val="000000" w:themeColor="text1"/>
                <w:sz w:val="20"/>
                <w:szCs w:val="20"/>
              </w:rPr>
              <w:t>(0.009)</w:t>
            </w:r>
          </w:p>
        </w:tc>
        <w:tc>
          <w:tcPr>
            <w:tcW w:w="1563" w:type="dxa"/>
            <w:tcBorders>
              <w:top w:val="nil"/>
              <w:left w:val="nil"/>
              <w:bottom w:val="nil"/>
              <w:right w:val="nil"/>
            </w:tcBorders>
            <w:shd w:val="clear" w:color="auto" w:fill="auto"/>
            <w:noWrap/>
            <w:vAlign w:val="bottom"/>
            <w:hideMark/>
          </w:tcPr>
          <w:p w14:paraId="39DD6B8D" w14:textId="77777777" w:rsidR="00106E23" w:rsidRPr="006C6F80" w:rsidRDefault="00106E23" w:rsidP="00030C01">
            <w:pPr>
              <w:jc w:val="center"/>
              <w:rPr>
                <w:color w:val="000000" w:themeColor="text1"/>
                <w:sz w:val="20"/>
                <w:szCs w:val="20"/>
              </w:rPr>
            </w:pPr>
            <w:r w:rsidRPr="006C6F80">
              <w:rPr>
                <w:color w:val="000000" w:themeColor="text1"/>
                <w:sz w:val="20"/>
                <w:szCs w:val="20"/>
              </w:rPr>
              <w:t>(0.010)</w:t>
            </w:r>
          </w:p>
        </w:tc>
        <w:tc>
          <w:tcPr>
            <w:tcW w:w="1563" w:type="dxa"/>
            <w:tcBorders>
              <w:top w:val="nil"/>
              <w:left w:val="nil"/>
              <w:bottom w:val="nil"/>
              <w:right w:val="nil"/>
            </w:tcBorders>
            <w:shd w:val="clear" w:color="auto" w:fill="auto"/>
            <w:noWrap/>
            <w:vAlign w:val="bottom"/>
            <w:hideMark/>
          </w:tcPr>
          <w:p w14:paraId="7E73DB1B" w14:textId="77777777" w:rsidR="00106E23" w:rsidRPr="006C6F80" w:rsidRDefault="00106E23" w:rsidP="00030C01">
            <w:pPr>
              <w:jc w:val="center"/>
              <w:rPr>
                <w:color w:val="000000" w:themeColor="text1"/>
                <w:sz w:val="20"/>
                <w:szCs w:val="20"/>
              </w:rPr>
            </w:pPr>
            <w:r w:rsidRPr="006C6F80">
              <w:rPr>
                <w:color w:val="000000" w:themeColor="text1"/>
                <w:sz w:val="20"/>
                <w:szCs w:val="20"/>
              </w:rPr>
              <w:t>(0.018)</w:t>
            </w:r>
          </w:p>
        </w:tc>
      </w:tr>
      <w:tr w:rsidR="00106E23" w:rsidRPr="006C6F80" w14:paraId="1ADDDF89" w14:textId="77777777" w:rsidTr="00030C01">
        <w:trPr>
          <w:trHeight w:val="260"/>
          <w:jc w:val="center"/>
        </w:trPr>
        <w:tc>
          <w:tcPr>
            <w:tcW w:w="2088" w:type="dxa"/>
            <w:tcBorders>
              <w:top w:val="nil"/>
              <w:left w:val="nil"/>
              <w:bottom w:val="single" w:sz="4" w:space="0" w:color="auto"/>
              <w:right w:val="nil"/>
            </w:tcBorders>
            <w:shd w:val="clear" w:color="auto" w:fill="auto"/>
            <w:noWrap/>
            <w:vAlign w:val="bottom"/>
            <w:hideMark/>
          </w:tcPr>
          <w:p w14:paraId="30925DE8" w14:textId="77777777" w:rsidR="00106E23" w:rsidRPr="006C6F80" w:rsidRDefault="00106E23" w:rsidP="00030C01">
            <w:pPr>
              <w:rPr>
                <w:color w:val="000000" w:themeColor="text1"/>
                <w:sz w:val="20"/>
                <w:szCs w:val="20"/>
              </w:rPr>
            </w:pPr>
            <w:r w:rsidRPr="006C6F80">
              <w:rPr>
                <w:color w:val="000000" w:themeColor="text1"/>
                <w:sz w:val="20"/>
                <w:szCs w:val="20"/>
              </w:rPr>
              <w:t> </w:t>
            </w:r>
          </w:p>
        </w:tc>
        <w:tc>
          <w:tcPr>
            <w:tcW w:w="1563" w:type="dxa"/>
            <w:tcBorders>
              <w:top w:val="nil"/>
              <w:left w:val="nil"/>
              <w:bottom w:val="single" w:sz="4" w:space="0" w:color="auto"/>
              <w:right w:val="nil"/>
            </w:tcBorders>
            <w:shd w:val="clear" w:color="auto" w:fill="auto"/>
            <w:noWrap/>
            <w:vAlign w:val="bottom"/>
            <w:hideMark/>
          </w:tcPr>
          <w:p w14:paraId="7A2960C0" w14:textId="77777777" w:rsidR="00106E23" w:rsidRPr="006C6F80" w:rsidRDefault="00106E23" w:rsidP="00030C01">
            <w:pPr>
              <w:jc w:val="center"/>
              <w:rPr>
                <w:color w:val="000000" w:themeColor="text1"/>
                <w:sz w:val="20"/>
                <w:szCs w:val="20"/>
              </w:rPr>
            </w:pPr>
            <w:r w:rsidRPr="006C6F80">
              <w:rPr>
                <w:color w:val="000000" w:themeColor="text1"/>
                <w:sz w:val="20"/>
                <w:szCs w:val="20"/>
              </w:rPr>
              <w:t> </w:t>
            </w:r>
          </w:p>
        </w:tc>
        <w:tc>
          <w:tcPr>
            <w:tcW w:w="1563" w:type="dxa"/>
            <w:tcBorders>
              <w:top w:val="nil"/>
              <w:left w:val="nil"/>
              <w:bottom w:val="single" w:sz="4" w:space="0" w:color="auto"/>
              <w:right w:val="nil"/>
            </w:tcBorders>
            <w:shd w:val="clear" w:color="auto" w:fill="auto"/>
            <w:noWrap/>
            <w:vAlign w:val="bottom"/>
            <w:hideMark/>
          </w:tcPr>
          <w:p w14:paraId="20718CEE" w14:textId="77777777" w:rsidR="00106E23" w:rsidRPr="006C6F80" w:rsidRDefault="00106E23" w:rsidP="00030C01">
            <w:pPr>
              <w:jc w:val="center"/>
              <w:rPr>
                <w:color w:val="000000" w:themeColor="text1"/>
                <w:sz w:val="20"/>
                <w:szCs w:val="20"/>
              </w:rPr>
            </w:pPr>
            <w:r w:rsidRPr="006C6F80">
              <w:rPr>
                <w:color w:val="000000" w:themeColor="text1"/>
                <w:sz w:val="20"/>
                <w:szCs w:val="20"/>
              </w:rPr>
              <w:t> </w:t>
            </w:r>
          </w:p>
        </w:tc>
        <w:tc>
          <w:tcPr>
            <w:tcW w:w="1563" w:type="dxa"/>
            <w:tcBorders>
              <w:top w:val="nil"/>
              <w:left w:val="nil"/>
              <w:bottom w:val="single" w:sz="4" w:space="0" w:color="auto"/>
              <w:right w:val="nil"/>
            </w:tcBorders>
            <w:shd w:val="clear" w:color="auto" w:fill="auto"/>
            <w:noWrap/>
            <w:vAlign w:val="bottom"/>
            <w:hideMark/>
          </w:tcPr>
          <w:p w14:paraId="3F383E95" w14:textId="77777777" w:rsidR="00106E23" w:rsidRPr="006C6F80" w:rsidRDefault="00106E23" w:rsidP="00030C01">
            <w:pPr>
              <w:jc w:val="center"/>
              <w:rPr>
                <w:color w:val="000000" w:themeColor="text1"/>
                <w:sz w:val="20"/>
                <w:szCs w:val="20"/>
              </w:rPr>
            </w:pPr>
            <w:r w:rsidRPr="006C6F80">
              <w:rPr>
                <w:color w:val="000000" w:themeColor="text1"/>
                <w:sz w:val="20"/>
                <w:szCs w:val="20"/>
              </w:rPr>
              <w:t> </w:t>
            </w:r>
          </w:p>
        </w:tc>
        <w:tc>
          <w:tcPr>
            <w:tcW w:w="1563" w:type="dxa"/>
            <w:tcBorders>
              <w:top w:val="nil"/>
              <w:left w:val="nil"/>
              <w:bottom w:val="single" w:sz="4" w:space="0" w:color="auto"/>
              <w:right w:val="nil"/>
            </w:tcBorders>
            <w:shd w:val="clear" w:color="auto" w:fill="auto"/>
            <w:noWrap/>
            <w:vAlign w:val="bottom"/>
            <w:hideMark/>
          </w:tcPr>
          <w:p w14:paraId="6BC5B5D7" w14:textId="77777777" w:rsidR="00106E23" w:rsidRPr="006C6F80" w:rsidRDefault="00106E23" w:rsidP="00030C01">
            <w:pPr>
              <w:jc w:val="center"/>
              <w:rPr>
                <w:color w:val="000000" w:themeColor="text1"/>
                <w:sz w:val="20"/>
                <w:szCs w:val="20"/>
              </w:rPr>
            </w:pPr>
            <w:r w:rsidRPr="006C6F80">
              <w:rPr>
                <w:color w:val="000000" w:themeColor="text1"/>
                <w:sz w:val="20"/>
                <w:szCs w:val="20"/>
              </w:rPr>
              <w:t> </w:t>
            </w:r>
          </w:p>
        </w:tc>
      </w:tr>
      <w:tr w:rsidR="00106E23" w:rsidRPr="006C6F80" w14:paraId="2D823463" w14:textId="77777777" w:rsidTr="00030C01">
        <w:trPr>
          <w:trHeight w:val="260"/>
          <w:jc w:val="center"/>
        </w:trPr>
        <w:tc>
          <w:tcPr>
            <w:tcW w:w="8340" w:type="dxa"/>
            <w:gridSpan w:val="5"/>
            <w:tcBorders>
              <w:top w:val="nil"/>
              <w:left w:val="nil"/>
              <w:bottom w:val="single" w:sz="4" w:space="0" w:color="auto"/>
              <w:right w:val="nil"/>
            </w:tcBorders>
            <w:shd w:val="clear" w:color="auto" w:fill="auto"/>
            <w:noWrap/>
            <w:vAlign w:val="bottom"/>
            <w:hideMark/>
          </w:tcPr>
          <w:p w14:paraId="4CD549EF" w14:textId="77777777" w:rsidR="00106E23" w:rsidRPr="006C6F80" w:rsidRDefault="00106E23" w:rsidP="00030C01">
            <w:pPr>
              <w:jc w:val="center"/>
              <w:rPr>
                <w:b/>
                <w:bCs/>
                <w:color w:val="000000" w:themeColor="text1"/>
                <w:sz w:val="20"/>
                <w:szCs w:val="20"/>
              </w:rPr>
            </w:pPr>
            <w:r w:rsidRPr="006C6F80">
              <w:rPr>
                <w:b/>
                <w:bCs/>
                <w:color w:val="000000" w:themeColor="text1"/>
                <w:sz w:val="20"/>
                <w:szCs w:val="20"/>
              </w:rPr>
              <w:t>Panel B: IV Ordered Probit Model</w:t>
            </w:r>
          </w:p>
        </w:tc>
      </w:tr>
      <w:tr w:rsidR="00106E23" w:rsidRPr="006C6F80" w14:paraId="69B6D951" w14:textId="77777777" w:rsidTr="00030C01">
        <w:trPr>
          <w:trHeight w:val="260"/>
          <w:jc w:val="center"/>
        </w:trPr>
        <w:tc>
          <w:tcPr>
            <w:tcW w:w="2088" w:type="dxa"/>
            <w:tcBorders>
              <w:top w:val="nil"/>
              <w:left w:val="nil"/>
              <w:bottom w:val="nil"/>
              <w:right w:val="nil"/>
            </w:tcBorders>
            <w:shd w:val="clear" w:color="auto" w:fill="auto"/>
            <w:noWrap/>
            <w:vAlign w:val="bottom"/>
            <w:hideMark/>
          </w:tcPr>
          <w:p w14:paraId="77207647" w14:textId="77777777" w:rsidR="00106E23" w:rsidRPr="006C6F80" w:rsidRDefault="00106E23" w:rsidP="00030C01">
            <w:pPr>
              <w:jc w:val="center"/>
              <w:rPr>
                <w:b/>
                <w:bCs/>
                <w:color w:val="000000" w:themeColor="text1"/>
                <w:sz w:val="20"/>
                <w:szCs w:val="20"/>
              </w:rPr>
            </w:pPr>
          </w:p>
        </w:tc>
        <w:tc>
          <w:tcPr>
            <w:tcW w:w="1563" w:type="dxa"/>
            <w:tcBorders>
              <w:top w:val="nil"/>
              <w:left w:val="nil"/>
              <w:bottom w:val="nil"/>
              <w:right w:val="nil"/>
            </w:tcBorders>
            <w:shd w:val="clear" w:color="auto" w:fill="auto"/>
            <w:noWrap/>
            <w:vAlign w:val="bottom"/>
            <w:hideMark/>
          </w:tcPr>
          <w:p w14:paraId="33668A77" w14:textId="77777777" w:rsidR="00106E23" w:rsidRPr="006C6F80" w:rsidRDefault="00106E23" w:rsidP="00030C01">
            <w:pPr>
              <w:rPr>
                <w:color w:val="000000" w:themeColor="text1"/>
                <w:sz w:val="20"/>
                <w:szCs w:val="20"/>
              </w:rPr>
            </w:pPr>
          </w:p>
        </w:tc>
        <w:tc>
          <w:tcPr>
            <w:tcW w:w="1563" w:type="dxa"/>
            <w:tcBorders>
              <w:top w:val="nil"/>
              <w:left w:val="nil"/>
              <w:bottom w:val="nil"/>
              <w:right w:val="nil"/>
            </w:tcBorders>
            <w:shd w:val="clear" w:color="auto" w:fill="auto"/>
            <w:noWrap/>
            <w:vAlign w:val="bottom"/>
            <w:hideMark/>
          </w:tcPr>
          <w:p w14:paraId="7FDAB6B1" w14:textId="77777777" w:rsidR="00106E23" w:rsidRPr="006C6F80" w:rsidRDefault="00106E23" w:rsidP="00030C01">
            <w:pPr>
              <w:jc w:val="center"/>
              <w:rPr>
                <w:color w:val="000000" w:themeColor="text1"/>
                <w:sz w:val="20"/>
                <w:szCs w:val="20"/>
              </w:rPr>
            </w:pPr>
          </w:p>
        </w:tc>
        <w:tc>
          <w:tcPr>
            <w:tcW w:w="1563" w:type="dxa"/>
            <w:tcBorders>
              <w:top w:val="nil"/>
              <w:left w:val="nil"/>
              <w:bottom w:val="nil"/>
              <w:right w:val="nil"/>
            </w:tcBorders>
            <w:shd w:val="clear" w:color="auto" w:fill="auto"/>
            <w:noWrap/>
            <w:vAlign w:val="bottom"/>
            <w:hideMark/>
          </w:tcPr>
          <w:p w14:paraId="049F9EBD" w14:textId="77777777" w:rsidR="00106E23" w:rsidRPr="006C6F80" w:rsidRDefault="00106E23" w:rsidP="00030C01">
            <w:pPr>
              <w:jc w:val="center"/>
              <w:rPr>
                <w:color w:val="000000" w:themeColor="text1"/>
                <w:sz w:val="20"/>
                <w:szCs w:val="20"/>
              </w:rPr>
            </w:pPr>
          </w:p>
        </w:tc>
        <w:tc>
          <w:tcPr>
            <w:tcW w:w="1563" w:type="dxa"/>
            <w:tcBorders>
              <w:top w:val="nil"/>
              <w:left w:val="nil"/>
              <w:bottom w:val="nil"/>
              <w:right w:val="nil"/>
            </w:tcBorders>
            <w:shd w:val="clear" w:color="auto" w:fill="auto"/>
            <w:noWrap/>
            <w:vAlign w:val="bottom"/>
            <w:hideMark/>
          </w:tcPr>
          <w:p w14:paraId="7A9964A4" w14:textId="77777777" w:rsidR="00106E23" w:rsidRPr="006C6F80" w:rsidRDefault="00106E23" w:rsidP="00030C01">
            <w:pPr>
              <w:jc w:val="center"/>
              <w:rPr>
                <w:color w:val="000000" w:themeColor="text1"/>
                <w:sz w:val="20"/>
                <w:szCs w:val="20"/>
              </w:rPr>
            </w:pPr>
          </w:p>
        </w:tc>
      </w:tr>
      <w:tr w:rsidR="00106E23" w:rsidRPr="006C6F80" w14:paraId="2C11D2C8" w14:textId="77777777" w:rsidTr="00030C01">
        <w:trPr>
          <w:trHeight w:val="260"/>
          <w:jc w:val="center"/>
        </w:trPr>
        <w:tc>
          <w:tcPr>
            <w:tcW w:w="2088" w:type="dxa"/>
            <w:tcBorders>
              <w:top w:val="nil"/>
              <w:left w:val="nil"/>
              <w:bottom w:val="nil"/>
              <w:right w:val="nil"/>
            </w:tcBorders>
            <w:shd w:val="clear" w:color="auto" w:fill="auto"/>
            <w:noWrap/>
            <w:vAlign w:val="bottom"/>
            <w:hideMark/>
          </w:tcPr>
          <w:p w14:paraId="26BBEE71" w14:textId="77777777" w:rsidR="00106E23" w:rsidRPr="006C6F80" w:rsidRDefault="00106E23" w:rsidP="00030C01">
            <w:pPr>
              <w:rPr>
                <w:color w:val="000000" w:themeColor="text1"/>
                <w:sz w:val="20"/>
                <w:szCs w:val="20"/>
              </w:rPr>
            </w:pPr>
            <w:r w:rsidRPr="006C6F80">
              <w:rPr>
                <w:color w:val="000000" w:themeColor="text1"/>
                <w:sz w:val="20"/>
                <w:szCs w:val="20"/>
              </w:rPr>
              <w:t>Return migrant</w:t>
            </w:r>
          </w:p>
        </w:tc>
        <w:tc>
          <w:tcPr>
            <w:tcW w:w="1563" w:type="dxa"/>
            <w:tcBorders>
              <w:top w:val="nil"/>
              <w:left w:val="nil"/>
              <w:bottom w:val="nil"/>
              <w:right w:val="nil"/>
            </w:tcBorders>
            <w:shd w:val="clear" w:color="auto" w:fill="auto"/>
            <w:noWrap/>
            <w:vAlign w:val="bottom"/>
            <w:hideMark/>
          </w:tcPr>
          <w:p w14:paraId="12B71BC0" w14:textId="77777777" w:rsidR="00106E23" w:rsidRPr="006C6F80" w:rsidRDefault="00106E23" w:rsidP="00030C01">
            <w:pPr>
              <w:jc w:val="center"/>
              <w:rPr>
                <w:color w:val="000000" w:themeColor="text1"/>
                <w:sz w:val="20"/>
                <w:szCs w:val="20"/>
              </w:rPr>
            </w:pPr>
            <w:r w:rsidRPr="006C6F80">
              <w:rPr>
                <w:color w:val="000000" w:themeColor="text1"/>
                <w:sz w:val="20"/>
                <w:szCs w:val="20"/>
              </w:rPr>
              <w:t>-0.134***</w:t>
            </w:r>
          </w:p>
        </w:tc>
        <w:tc>
          <w:tcPr>
            <w:tcW w:w="1563" w:type="dxa"/>
            <w:tcBorders>
              <w:top w:val="nil"/>
              <w:left w:val="nil"/>
              <w:bottom w:val="nil"/>
              <w:right w:val="nil"/>
            </w:tcBorders>
            <w:shd w:val="clear" w:color="auto" w:fill="auto"/>
            <w:noWrap/>
            <w:vAlign w:val="bottom"/>
            <w:hideMark/>
          </w:tcPr>
          <w:p w14:paraId="15B05F28" w14:textId="77777777" w:rsidR="00106E23" w:rsidRPr="006C6F80" w:rsidRDefault="00106E23" w:rsidP="00030C01">
            <w:pPr>
              <w:jc w:val="center"/>
              <w:rPr>
                <w:color w:val="000000" w:themeColor="text1"/>
                <w:sz w:val="20"/>
                <w:szCs w:val="20"/>
              </w:rPr>
            </w:pPr>
            <w:r w:rsidRPr="006C6F80">
              <w:rPr>
                <w:color w:val="000000" w:themeColor="text1"/>
                <w:sz w:val="20"/>
                <w:szCs w:val="20"/>
              </w:rPr>
              <w:t>0.031***</w:t>
            </w:r>
          </w:p>
        </w:tc>
        <w:tc>
          <w:tcPr>
            <w:tcW w:w="1563" w:type="dxa"/>
            <w:tcBorders>
              <w:top w:val="nil"/>
              <w:left w:val="nil"/>
              <w:bottom w:val="nil"/>
              <w:right w:val="nil"/>
            </w:tcBorders>
            <w:shd w:val="clear" w:color="auto" w:fill="auto"/>
            <w:noWrap/>
            <w:vAlign w:val="bottom"/>
            <w:hideMark/>
          </w:tcPr>
          <w:p w14:paraId="2A3F432C" w14:textId="77777777" w:rsidR="00106E23" w:rsidRPr="006C6F80" w:rsidRDefault="00106E23" w:rsidP="00030C01">
            <w:pPr>
              <w:jc w:val="center"/>
              <w:rPr>
                <w:color w:val="000000" w:themeColor="text1"/>
                <w:sz w:val="20"/>
                <w:szCs w:val="20"/>
              </w:rPr>
            </w:pPr>
            <w:r w:rsidRPr="006C6F80">
              <w:rPr>
                <w:color w:val="000000" w:themeColor="text1"/>
                <w:sz w:val="20"/>
                <w:szCs w:val="20"/>
              </w:rPr>
              <w:t>0.035***</w:t>
            </w:r>
          </w:p>
        </w:tc>
        <w:tc>
          <w:tcPr>
            <w:tcW w:w="1563" w:type="dxa"/>
            <w:tcBorders>
              <w:top w:val="nil"/>
              <w:left w:val="nil"/>
              <w:bottom w:val="nil"/>
              <w:right w:val="nil"/>
            </w:tcBorders>
            <w:shd w:val="clear" w:color="auto" w:fill="auto"/>
            <w:noWrap/>
            <w:vAlign w:val="bottom"/>
            <w:hideMark/>
          </w:tcPr>
          <w:p w14:paraId="5800A6F4" w14:textId="77777777" w:rsidR="00106E23" w:rsidRPr="006C6F80" w:rsidRDefault="00106E23" w:rsidP="00030C01">
            <w:pPr>
              <w:jc w:val="center"/>
              <w:rPr>
                <w:color w:val="000000" w:themeColor="text1"/>
                <w:sz w:val="20"/>
                <w:szCs w:val="20"/>
              </w:rPr>
            </w:pPr>
            <w:r w:rsidRPr="006C6F80">
              <w:rPr>
                <w:color w:val="000000" w:themeColor="text1"/>
                <w:sz w:val="20"/>
                <w:szCs w:val="20"/>
              </w:rPr>
              <w:t>0.069***</w:t>
            </w:r>
          </w:p>
        </w:tc>
      </w:tr>
      <w:tr w:rsidR="00106E23" w:rsidRPr="006C6F80" w14:paraId="7CCC7278" w14:textId="77777777" w:rsidTr="00030C01">
        <w:trPr>
          <w:trHeight w:val="280"/>
          <w:jc w:val="center"/>
        </w:trPr>
        <w:tc>
          <w:tcPr>
            <w:tcW w:w="2088" w:type="dxa"/>
            <w:tcBorders>
              <w:top w:val="nil"/>
              <w:left w:val="nil"/>
              <w:bottom w:val="nil"/>
              <w:right w:val="nil"/>
            </w:tcBorders>
            <w:shd w:val="clear" w:color="auto" w:fill="auto"/>
            <w:noWrap/>
            <w:vAlign w:val="bottom"/>
            <w:hideMark/>
          </w:tcPr>
          <w:p w14:paraId="42D00AF6" w14:textId="77777777" w:rsidR="00106E23" w:rsidRPr="006C6F80" w:rsidRDefault="00106E23" w:rsidP="00030C01">
            <w:pPr>
              <w:jc w:val="center"/>
              <w:rPr>
                <w:color w:val="000000" w:themeColor="text1"/>
                <w:sz w:val="20"/>
                <w:szCs w:val="20"/>
              </w:rPr>
            </w:pPr>
          </w:p>
        </w:tc>
        <w:tc>
          <w:tcPr>
            <w:tcW w:w="1563" w:type="dxa"/>
            <w:tcBorders>
              <w:top w:val="nil"/>
              <w:left w:val="nil"/>
              <w:bottom w:val="nil"/>
              <w:right w:val="nil"/>
            </w:tcBorders>
            <w:shd w:val="clear" w:color="auto" w:fill="auto"/>
            <w:noWrap/>
            <w:vAlign w:val="bottom"/>
            <w:hideMark/>
          </w:tcPr>
          <w:p w14:paraId="42416412" w14:textId="77777777" w:rsidR="00106E23" w:rsidRPr="006C6F80" w:rsidRDefault="00106E23" w:rsidP="00030C01">
            <w:pPr>
              <w:jc w:val="center"/>
              <w:rPr>
                <w:color w:val="000000" w:themeColor="text1"/>
                <w:sz w:val="20"/>
                <w:szCs w:val="20"/>
              </w:rPr>
            </w:pPr>
            <w:r w:rsidRPr="006C6F80">
              <w:rPr>
                <w:color w:val="000000" w:themeColor="text1"/>
                <w:sz w:val="20"/>
                <w:szCs w:val="20"/>
              </w:rPr>
              <w:t>(0.030)</w:t>
            </w:r>
          </w:p>
        </w:tc>
        <w:tc>
          <w:tcPr>
            <w:tcW w:w="1563" w:type="dxa"/>
            <w:tcBorders>
              <w:top w:val="nil"/>
              <w:left w:val="nil"/>
              <w:bottom w:val="nil"/>
              <w:right w:val="nil"/>
            </w:tcBorders>
            <w:shd w:val="clear" w:color="auto" w:fill="auto"/>
            <w:noWrap/>
            <w:vAlign w:val="bottom"/>
            <w:hideMark/>
          </w:tcPr>
          <w:p w14:paraId="61A8E52C" w14:textId="77777777" w:rsidR="00106E23" w:rsidRPr="006C6F80" w:rsidRDefault="00106E23" w:rsidP="00030C01">
            <w:pPr>
              <w:jc w:val="center"/>
              <w:rPr>
                <w:color w:val="000000" w:themeColor="text1"/>
                <w:sz w:val="20"/>
                <w:szCs w:val="20"/>
              </w:rPr>
            </w:pPr>
            <w:r w:rsidRPr="006C6F80">
              <w:rPr>
                <w:color w:val="000000" w:themeColor="text1"/>
                <w:sz w:val="20"/>
                <w:szCs w:val="20"/>
              </w:rPr>
              <w:t>(0.007)</w:t>
            </w:r>
          </w:p>
        </w:tc>
        <w:tc>
          <w:tcPr>
            <w:tcW w:w="1563" w:type="dxa"/>
            <w:tcBorders>
              <w:top w:val="nil"/>
              <w:left w:val="nil"/>
              <w:bottom w:val="nil"/>
              <w:right w:val="nil"/>
            </w:tcBorders>
            <w:shd w:val="clear" w:color="auto" w:fill="auto"/>
            <w:noWrap/>
            <w:vAlign w:val="bottom"/>
            <w:hideMark/>
          </w:tcPr>
          <w:p w14:paraId="276CB2A3" w14:textId="77777777" w:rsidR="00106E23" w:rsidRPr="006C6F80" w:rsidRDefault="00106E23" w:rsidP="00030C01">
            <w:pPr>
              <w:jc w:val="center"/>
              <w:rPr>
                <w:color w:val="000000" w:themeColor="text1"/>
                <w:sz w:val="20"/>
                <w:szCs w:val="20"/>
              </w:rPr>
            </w:pPr>
            <w:r w:rsidRPr="006C6F80">
              <w:rPr>
                <w:color w:val="000000" w:themeColor="text1"/>
                <w:sz w:val="20"/>
                <w:szCs w:val="20"/>
              </w:rPr>
              <w:t>(0.008)</w:t>
            </w:r>
          </w:p>
        </w:tc>
        <w:tc>
          <w:tcPr>
            <w:tcW w:w="1563" w:type="dxa"/>
            <w:tcBorders>
              <w:top w:val="nil"/>
              <w:left w:val="nil"/>
              <w:bottom w:val="nil"/>
              <w:right w:val="nil"/>
            </w:tcBorders>
            <w:shd w:val="clear" w:color="auto" w:fill="auto"/>
            <w:noWrap/>
            <w:vAlign w:val="bottom"/>
            <w:hideMark/>
          </w:tcPr>
          <w:p w14:paraId="100DCF0A" w14:textId="77777777" w:rsidR="00106E23" w:rsidRPr="006C6F80" w:rsidRDefault="00106E23" w:rsidP="00030C01">
            <w:pPr>
              <w:jc w:val="center"/>
              <w:rPr>
                <w:color w:val="000000" w:themeColor="text1"/>
                <w:sz w:val="20"/>
                <w:szCs w:val="20"/>
              </w:rPr>
            </w:pPr>
            <w:r w:rsidRPr="006C6F80">
              <w:rPr>
                <w:color w:val="000000" w:themeColor="text1"/>
                <w:sz w:val="20"/>
                <w:szCs w:val="20"/>
              </w:rPr>
              <w:t>(0.016)</w:t>
            </w:r>
          </w:p>
        </w:tc>
      </w:tr>
      <w:tr w:rsidR="00106E23" w:rsidRPr="006C6F80" w14:paraId="264C71D6" w14:textId="77777777" w:rsidTr="00030C01">
        <w:trPr>
          <w:trHeight w:val="260"/>
          <w:jc w:val="center"/>
        </w:trPr>
        <w:tc>
          <w:tcPr>
            <w:tcW w:w="2088" w:type="dxa"/>
            <w:tcBorders>
              <w:top w:val="nil"/>
              <w:left w:val="nil"/>
              <w:bottom w:val="single" w:sz="4" w:space="0" w:color="auto"/>
              <w:right w:val="nil"/>
            </w:tcBorders>
            <w:shd w:val="clear" w:color="auto" w:fill="auto"/>
            <w:noWrap/>
            <w:vAlign w:val="bottom"/>
            <w:hideMark/>
          </w:tcPr>
          <w:p w14:paraId="4A505C81" w14:textId="77777777" w:rsidR="00106E23" w:rsidRPr="006C6F80" w:rsidRDefault="00106E23" w:rsidP="00030C01">
            <w:pPr>
              <w:rPr>
                <w:color w:val="000000" w:themeColor="text1"/>
                <w:sz w:val="20"/>
                <w:szCs w:val="20"/>
              </w:rPr>
            </w:pPr>
            <w:r w:rsidRPr="006C6F80">
              <w:rPr>
                <w:color w:val="000000" w:themeColor="text1"/>
                <w:sz w:val="20"/>
                <w:szCs w:val="20"/>
              </w:rPr>
              <w:t> </w:t>
            </w:r>
          </w:p>
        </w:tc>
        <w:tc>
          <w:tcPr>
            <w:tcW w:w="1563" w:type="dxa"/>
            <w:tcBorders>
              <w:top w:val="nil"/>
              <w:left w:val="nil"/>
              <w:bottom w:val="single" w:sz="4" w:space="0" w:color="auto"/>
              <w:right w:val="nil"/>
            </w:tcBorders>
            <w:shd w:val="clear" w:color="auto" w:fill="auto"/>
            <w:noWrap/>
            <w:vAlign w:val="bottom"/>
            <w:hideMark/>
          </w:tcPr>
          <w:p w14:paraId="07F9A4E5" w14:textId="77777777" w:rsidR="00106E23" w:rsidRPr="006C6F80" w:rsidRDefault="00106E23" w:rsidP="00030C01">
            <w:pPr>
              <w:rPr>
                <w:color w:val="000000" w:themeColor="text1"/>
                <w:sz w:val="20"/>
                <w:szCs w:val="20"/>
              </w:rPr>
            </w:pPr>
            <w:r w:rsidRPr="006C6F80">
              <w:rPr>
                <w:color w:val="000000" w:themeColor="text1"/>
                <w:sz w:val="20"/>
                <w:szCs w:val="20"/>
              </w:rPr>
              <w:t> </w:t>
            </w:r>
          </w:p>
        </w:tc>
        <w:tc>
          <w:tcPr>
            <w:tcW w:w="1563" w:type="dxa"/>
            <w:tcBorders>
              <w:top w:val="nil"/>
              <w:left w:val="nil"/>
              <w:bottom w:val="single" w:sz="4" w:space="0" w:color="auto"/>
              <w:right w:val="nil"/>
            </w:tcBorders>
            <w:shd w:val="clear" w:color="auto" w:fill="auto"/>
            <w:noWrap/>
            <w:vAlign w:val="bottom"/>
            <w:hideMark/>
          </w:tcPr>
          <w:p w14:paraId="0F37AB7A" w14:textId="77777777" w:rsidR="00106E23" w:rsidRPr="006C6F80" w:rsidRDefault="00106E23" w:rsidP="00030C01">
            <w:pPr>
              <w:rPr>
                <w:color w:val="000000" w:themeColor="text1"/>
                <w:sz w:val="20"/>
                <w:szCs w:val="20"/>
              </w:rPr>
            </w:pPr>
            <w:r w:rsidRPr="006C6F80">
              <w:rPr>
                <w:color w:val="000000" w:themeColor="text1"/>
                <w:sz w:val="20"/>
                <w:szCs w:val="20"/>
              </w:rPr>
              <w:t> </w:t>
            </w:r>
          </w:p>
        </w:tc>
        <w:tc>
          <w:tcPr>
            <w:tcW w:w="1563" w:type="dxa"/>
            <w:tcBorders>
              <w:top w:val="nil"/>
              <w:left w:val="nil"/>
              <w:bottom w:val="single" w:sz="4" w:space="0" w:color="auto"/>
              <w:right w:val="nil"/>
            </w:tcBorders>
            <w:shd w:val="clear" w:color="auto" w:fill="auto"/>
            <w:noWrap/>
            <w:vAlign w:val="bottom"/>
            <w:hideMark/>
          </w:tcPr>
          <w:p w14:paraId="65BA2955" w14:textId="77777777" w:rsidR="00106E23" w:rsidRPr="006C6F80" w:rsidRDefault="00106E23" w:rsidP="00030C01">
            <w:pPr>
              <w:rPr>
                <w:color w:val="000000" w:themeColor="text1"/>
                <w:sz w:val="20"/>
                <w:szCs w:val="20"/>
              </w:rPr>
            </w:pPr>
            <w:r w:rsidRPr="006C6F80">
              <w:rPr>
                <w:color w:val="000000" w:themeColor="text1"/>
                <w:sz w:val="20"/>
                <w:szCs w:val="20"/>
              </w:rPr>
              <w:t> </w:t>
            </w:r>
          </w:p>
        </w:tc>
        <w:tc>
          <w:tcPr>
            <w:tcW w:w="1563" w:type="dxa"/>
            <w:tcBorders>
              <w:top w:val="nil"/>
              <w:left w:val="nil"/>
              <w:bottom w:val="single" w:sz="4" w:space="0" w:color="auto"/>
              <w:right w:val="nil"/>
            </w:tcBorders>
            <w:shd w:val="clear" w:color="auto" w:fill="auto"/>
            <w:noWrap/>
            <w:vAlign w:val="bottom"/>
            <w:hideMark/>
          </w:tcPr>
          <w:p w14:paraId="31D07CB1" w14:textId="77777777" w:rsidR="00106E23" w:rsidRPr="006C6F80" w:rsidRDefault="00106E23" w:rsidP="00030C01">
            <w:pPr>
              <w:rPr>
                <w:color w:val="000000" w:themeColor="text1"/>
                <w:sz w:val="20"/>
                <w:szCs w:val="20"/>
              </w:rPr>
            </w:pPr>
            <w:r w:rsidRPr="006C6F80">
              <w:rPr>
                <w:color w:val="000000" w:themeColor="text1"/>
                <w:sz w:val="20"/>
                <w:szCs w:val="20"/>
              </w:rPr>
              <w:t> </w:t>
            </w:r>
          </w:p>
        </w:tc>
      </w:tr>
      <w:tr w:rsidR="00106E23" w:rsidRPr="006C6F80" w14:paraId="736F78D4" w14:textId="77777777" w:rsidTr="00030C01">
        <w:trPr>
          <w:trHeight w:val="540"/>
          <w:jc w:val="center"/>
        </w:trPr>
        <w:tc>
          <w:tcPr>
            <w:tcW w:w="8340" w:type="dxa"/>
            <w:gridSpan w:val="5"/>
            <w:tcBorders>
              <w:top w:val="single" w:sz="4" w:space="0" w:color="auto"/>
              <w:left w:val="nil"/>
              <w:bottom w:val="single" w:sz="4" w:space="0" w:color="auto"/>
              <w:right w:val="nil"/>
            </w:tcBorders>
            <w:shd w:val="clear" w:color="auto" w:fill="auto"/>
            <w:vAlign w:val="center"/>
            <w:hideMark/>
          </w:tcPr>
          <w:p w14:paraId="5DB7E8EB" w14:textId="77777777" w:rsidR="00106E23" w:rsidRPr="006C6F80" w:rsidRDefault="00106E23" w:rsidP="00030C01">
            <w:pPr>
              <w:jc w:val="center"/>
              <w:rPr>
                <w:b/>
                <w:bCs/>
                <w:color w:val="000000" w:themeColor="text1"/>
                <w:sz w:val="20"/>
                <w:szCs w:val="20"/>
              </w:rPr>
            </w:pPr>
            <w:r w:rsidRPr="006C6F80">
              <w:rPr>
                <w:b/>
                <w:bCs/>
                <w:color w:val="000000" w:themeColor="text1"/>
                <w:sz w:val="20"/>
                <w:szCs w:val="20"/>
              </w:rPr>
              <w:t>Panel C: IV Ordered Probit Model with bootstrapped standard errors                                 Controlling for the first occupation</w:t>
            </w:r>
          </w:p>
        </w:tc>
      </w:tr>
      <w:tr w:rsidR="00106E23" w:rsidRPr="006C6F80" w14:paraId="2F715FB4" w14:textId="77777777" w:rsidTr="00030C01">
        <w:trPr>
          <w:trHeight w:val="260"/>
          <w:jc w:val="center"/>
        </w:trPr>
        <w:tc>
          <w:tcPr>
            <w:tcW w:w="2088" w:type="dxa"/>
            <w:tcBorders>
              <w:top w:val="nil"/>
              <w:left w:val="nil"/>
              <w:bottom w:val="nil"/>
              <w:right w:val="nil"/>
            </w:tcBorders>
            <w:shd w:val="clear" w:color="auto" w:fill="auto"/>
            <w:noWrap/>
            <w:vAlign w:val="bottom"/>
            <w:hideMark/>
          </w:tcPr>
          <w:p w14:paraId="167B47B7" w14:textId="77777777" w:rsidR="00106E23" w:rsidRPr="006C6F80" w:rsidRDefault="00106E23" w:rsidP="00030C01">
            <w:pPr>
              <w:jc w:val="center"/>
              <w:rPr>
                <w:b/>
                <w:bCs/>
                <w:color w:val="000000" w:themeColor="text1"/>
                <w:sz w:val="20"/>
                <w:szCs w:val="20"/>
              </w:rPr>
            </w:pPr>
          </w:p>
        </w:tc>
        <w:tc>
          <w:tcPr>
            <w:tcW w:w="1563" w:type="dxa"/>
            <w:tcBorders>
              <w:top w:val="nil"/>
              <w:left w:val="nil"/>
              <w:bottom w:val="nil"/>
              <w:right w:val="nil"/>
            </w:tcBorders>
            <w:shd w:val="clear" w:color="auto" w:fill="auto"/>
            <w:noWrap/>
            <w:vAlign w:val="bottom"/>
            <w:hideMark/>
          </w:tcPr>
          <w:p w14:paraId="127B0423" w14:textId="77777777" w:rsidR="00106E23" w:rsidRPr="006C6F80" w:rsidRDefault="00106E23" w:rsidP="00030C01">
            <w:pPr>
              <w:rPr>
                <w:color w:val="000000" w:themeColor="text1"/>
                <w:sz w:val="20"/>
                <w:szCs w:val="20"/>
              </w:rPr>
            </w:pPr>
          </w:p>
        </w:tc>
        <w:tc>
          <w:tcPr>
            <w:tcW w:w="1563" w:type="dxa"/>
            <w:tcBorders>
              <w:top w:val="nil"/>
              <w:left w:val="nil"/>
              <w:bottom w:val="nil"/>
              <w:right w:val="nil"/>
            </w:tcBorders>
            <w:shd w:val="clear" w:color="auto" w:fill="auto"/>
            <w:noWrap/>
            <w:vAlign w:val="bottom"/>
            <w:hideMark/>
          </w:tcPr>
          <w:p w14:paraId="145A5F3A" w14:textId="77777777" w:rsidR="00106E23" w:rsidRPr="006C6F80" w:rsidRDefault="00106E23" w:rsidP="00030C01">
            <w:pPr>
              <w:rPr>
                <w:color w:val="000000" w:themeColor="text1"/>
                <w:sz w:val="20"/>
                <w:szCs w:val="20"/>
              </w:rPr>
            </w:pPr>
          </w:p>
        </w:tc>
        <w:tc>
          <w:tcPr>
            <w:tcW w:w="1563" w:type="dxa"/>
            <w:tcBorders>
              <w:top w:val="nil"/>
              <w:left w:val="nil"/>
              <w:bottom w:val="nil"/>
              <w:right w:val="nil"/>
            </w:tcBorders>
            <w:shd w:val="clear" w:color="auto" w:fill="auto"/>
            <w:noWrap/>
            <w:vAlign w:val="bottom"/>
            <w:hideMark/>
          </w:tcPr>
          <w:p w14:paraId="6A03E37F" w14:textId="77777777" w:rsidR="00106E23" w:rsidRPr="006C6F80" w:rsidRDefault="00106E23" w:rsidP="00030C01">
            <w:pPr>
              <w:rPr>
                <w:color w:val="000000" w:themeColor="text1"/>
                <w:sz w:val="20"/>
                <w:szCs w:val="20"/>
              </w:rPr>
            </w:pPr>
          </w:p>
        </w:tc>
        <w:tc>
          <w:tcPr>
            <w:tcW w:w="1563" w:type="dxa"/>
            <w:tcBorders>
              <w:top w:val="nil"/>
              <w:left w:val="nil"/>
              <w:bottom w:val="nil"/>
              <w:right w:val="nil"/>
            </w:tcBorders>
            <w:shd w:val="clear" w:color="auto" w:fill="auto"/>
            <w:noWrap/>
            <w:vAlign w:val="bottom"/>
            <w:hideMark/>
          </w:tcPr>
          <w:p w14:paraId="323B7E84" w14:textId="77777777" w:rsidR="00106E23" w:rsidRPr="006C6F80" w:rsidRDefault="00106E23" w:rsidP="00030C01">
            <w:pPr>
              <w:rPr>
                <w:color w:val="000000" w:themeColor="text1"/>
                <w:sz w:val="20"/>
                <w:szCs w:val="20"/>
              </w:rPr>
            </w:pPr>
          </w:p>
        </w:tc>
      </w:tr>
      <w:tr w:rsidR="00106E23" w:rsidRPr="006C6F80" w14:paraId="35F10A64" w14:textId="77777777" w:rsidTr="00030C01">
        <w:trPr>
          <w:trHeight w:val="260"/>
          <w:jc w:val="center"/>
        </w:trPr>
        <w:tc>
          <w:tcPr>
            <w:tcW w:w="2088" w:type="dxa"/>
            <w:tcBorders>
              <w:top w:val="nil"/>
              <w:left w:val="nil"/>
              <w:bottom w:val="nil"/>
              <w:right w:val="nil"/>
            </w:tcBorders>
            <w:shd w:val="clear" w:color="auto" w:fill="auto"/>
            <w:noWrap/>
            <w:vAlign w:val="bottom"/>
            <w:hideMark/>
          </w:tcPr>
          <w:p w14:paraId="2B713663" w14:textId="77777777" w:rsidR="00106E23" w:rsidRPr="006C6F80" w:rsidRDefault="00106E23" w:rsidP="00030C01">
            <w:pPr>
              <w:rPr>
                <w:color w:val="000000" w:themeColor="text1"/>
                <w:sz w:val="20"/>
                <w:szCs w:val="20"/>
              </w:rPr>
            </w:pPr>
            <w:r w:rsidRPr="006C6F80">
              <w:rPr>
                <w:color w:val="000000" w:themeColor="text1"/>
                <w:sz w:val="20"/>
                <w:szCs w:val="20"/>
              </w:rPr>
              <w:t>Return migrant</w:t>
            </w:r>
          </w:p>
        </w:tc>
        <w:tc>
          <w:tcPr>
            <w:tcW w:w="1563" w:type="dxa"/>
            <w:tcBorders>
              <w:top w:val="nil"/>
              <w:left w:val="nil"/>
              <w:bottom w:val="nil"/>
              <w:right w:val="nil"/>
            </w:tcBorders>
            <w:shd w:val="clear" w:color="auto" w:fill="auto"/>
            <w:noWrap/>
            <w:vAlign w:val="bottom"/>
            <w:hideMark/>
          </w:tcPr>
          <w:p w14:paraId="31403E12" w14:textId="77777777" w:rsidR="00106E23" w:rsidRPr="006C6F80" w:rsidRDefault="00106E23" w:rsidP="00030C01">
            <w:pPr>
              <w:jc w:val="center"/>
              <w:rPr>
                <w:color w:val="000000" w:themeColor="text1"/>
                <w:sz w:val="20"/>
                <w:szCs w:val="20"/>
              </w:rPr>
            </w:pPr>
            <w:r w:rsidRPr="006C6F80">
              <w:rPr>
                <w:color w:val="000000" w:themeColor="text1"/>
                <w:sz w:val="20"/>
                <w:szCs w:val="20"/>
              </w:rPr>
              <w:t>-0.151***</w:t>
            </w:r>
          </w:p>
        </w:tc>
        <w:tc>
          <w:tcPr>
            <w:tcW w:w="1563" w:type="dxa"/>
            <w:tcBorders>
              <w:top w:val="nil"/>
              <w:left w:val="nil"/>
              <w:bottom w:val="nil"/>
              <w:right w:val="nil"/>
            </w:tcBorders>
            <w:shd w:val="clear" w:color="auto" w:fill="auto"/>
            <w:noWrap/>
            <w:vAlign w:val="bottom"/>
            <w:hideMark/>
          </w:tcPr>
          <w:p w14:paraId="089A04AB" w14:textId="77777777" w:rsidR="00106E23" w:rsidRPr="006C6F80" w:rsidRDefault="00106E23" w:rsidP="00030C01">
            <w:pPr>
              <w:jc w:val="center"/>
              <w:rPr>
                <w:color w:val="000000" w:themeColor="text1"/>
                <w:sz w:val="20"/>
                <w:szCs w:val="20"/>
              </w:rPr>
            </w:pPr>
            <w:r w:rsidRPr="006C6F80">
              <w:rPr>
                <w:color w:val="000000" w:themeColor="text1"/>
                <w:sz w:val="20"/>
                <w:szCs w:val="20"/>
              </w:rPr>
              <w:t>0.025***</w:t>
            </w:r>
          </w:p>
        </w:tc>
        <w:tc>
          <w:tcPr>
            <w:tcW w:w="1563" w:type="dxa"/>
            <w:tcBorders>
              <w:top w:val="nil"/>
              <w:left w:val="nil"/>
              <w:bottom w:val="nil"/>
              <w:right w:val="nil"/>
            </w:tcBorders>
            <w:shd w:val="clear" w:color="auto" w:fill="auto"/>
            <w:noWrap/>
            <w:vAlign w:val="bottom"/>
            <w:hideMark/>
          </w:tcPr>
          <w:p w14:paraId="17B1DC94" w14:textId="77777777" w:rsidR="00106E23" w:rsidRPr="006C6F80" w:rsidRDefault="00106E23" w:rsidP="00030C01">
            <w:pPr>
              <w:jc w:val="center"/>
              <w:rPr>
                <w:color w:val="000000" w:themeColor="text1"/>
                <w:sz w:val="20"/>
                <w:szCs w:val="20"/>
              </w:rPr>
            </w:pPr>
            <w:r w:rsidRPr="006C6F80">
              <w:rPr>
                <w:color w:val="000000" w:themeColor="text1"/>
                <w:sz w:val="20"/>
                <w:szCs w:val="20"/>
              </w:rPr>
              <w:t>0.042***</w:t>
            </w:r>
          </w:p>
        </w:tc>
        <w:tc>
          <w:tcPr>
            <w:tcW w:w="1563" w:type="dxa"/>
            <w:tcBorders>
              <w:top w:val="nil"/>
              <w:left w:val="nil"/>
              <w:bottom w:val="nil"/>
              <w:right w:val="nil"/>
            </w:tcBorders>
            <w:shd w:val="clear" w:color="auto" w:fill="auto"/>
            <w:noWrap/>
            <w:vAlign w:val="bottom"/>
            <w:hideMark/>
          </w:tcPr>
          <w:p w14:paraId="1D67E60C" w14:textId="77777777" w:rsidR="00106E23" w:rsidRPr="006C6F80" w:rsidRDefault="00106E23" w:rsidP="00030C01">
            <w:pPr>
              <w:jc w:val="center"/>
              <w:rPr>
                <w:color w:val="000000" w:themeColor="text1"/>
                <w:sz w:val="20"/>
                <w:szCs w:val="20"/>
              </w:rPr>
            </w:pPr>
            <w:r w:rsidRPr="006C6F80">
              <w:rPr>
                <w:color w:val="000000" w:themeColor="text1"/>
                <w:sz w:val="20"/>
                <w:szCs w:val="20"/>
              </w:rPr>
              <w:t>0.072***</w:t>
            </w:r>
          </w:p>
        </w:tc>
      </w:tr>
      <w:tr w:rsidR="00106E23" w:rsidRPr="006C6F80" w14:paraId="695B0B3D" w14:textId="77777777" w:rsidTr="00030C01">
        <w:trPr>
          <w:trHeight w:val="260"/>
          <w:jc w:val="center"/>
        </w:trPr>
        <w:tc>
          <w:tcPr>
            <w:tcW w:w="2088" w:type="dxa"/>
            <w:tcBorders>
              <w:top w:val="nil"/>
              <w:left w:val="nil"/>
              <w:bottom w:val="nil"/>
              <w:right w:val="nil"/>
            </w:tcBorders>
            <w:shd w:val="clear" w:color="auto" w:fill="auto"/>
            <w:noWrap/>
            <w:vAlign w:val="bottom"/>
            <w:hideMark/>
          </w:tcPr>
          <w:p w14:paraId="7B28625C" w14:textId="77777777" w:rsidR="00106E23" w:rsidRPr="006C6F80" w:rsidRDefault="00106E23" w:rsidP="00030C01">
            <w:pPr>
              <w:jc w:val="center"/>
              <w:rPr>
                <w:color w:val="000000" w:themeColor="text1"/>
                <w:sz w:val="20"/>
                <w:szCs w:val="20"/>
              </w:rPr>
            </w:pPr>
          </w:p>
        </w:tc>
        <w:tc>
          <w:tcPr>
            <w:tcW w:w="1563" w:type="dxa"/>
            <w:tcBorders>
              <w:top w:val="nil"/>
              <w:left w:val="nil"/>
              <w:bottom w:val="nil"/>
              <w:right w:val="nil"/>
            </w:tcBorders>
            <w:shd w:val="clear" w:color="auto" w:fill="auto"/>
            <w:noWrap/>
            <w:vAlign w:val="bottom"/>
            <w:hideMark/>
          </w:tcPr>
          <w:p w14:paraId="575260ED" w14:textId="77777777" w:rsidR="00106E23" w:rsidRPr="006C6F80" w:rsidRDefault="00106E23" w:rsidP="00030C01">
            <w:pPr>
              <w:jc w:val="center"/>
              <w:rPr>
                <w:color w:val="000000" w:themeColor="text1"/>
                <w:sz w:val="20"/>
                <w:szCs w:val="20"/>
              </w:rPr>
            </w:pPr>
            <w:r w:rsidRPr="006C6F80">
              <w:rPr>
                <w:color w:val="000000" w:themeColor="text1"/>
                <w:sz w:val="20"/>
                <w:szCs w:val="20"/>
              </w:rPr>
              <w:t>(0.041)</w:t>
            </w:r>
          </w:p>
        </w:tc>
        <w:tc>
          <w:tcPr>
            <w:tcW w:w="1563" w:type="dxa"/>
            <w:tcBorders>
              <w:top w:val="nil"/>
              <w:left w:val="nil"/>
              <w:bottom w:val="nil"/>
              <w:right w:val="nil"/>
            </w:tcBorders>
            <w:shd w:val="clear" w:color="auto" w:fill="auto"/>
            <w:noWrap/>
            <w:vAlign w:val="bottom"/>
            <w:hideMark/>
          </w:tcPr>
          <w:p w14:paraId="0E5D4788" w14:textId="77777777" w:rsidR="00106E23" w:rsidRPr="006C6F80" w:rsidRDefault="00106E23" w:rsidP="00030C01">
            <w:pPr>
              <w:jc w:val="center"/>
              <w:rPr>
                <w:color w:val="000000" w:themeColor="text1"/>
                <w:sz w:val="20"/>
                <w:szCs w:val="20"/>
              </w:rPr>
            </w:pPr>
            <w:r w:rsidRPr="006C6F80">
              <w:rPr>
                <w:color w:val="000000" w:themeColor="text1"/>
                <w:sz w:val="20"/>
                <w:szCs w:val="20"/>
              </w:rPr>
              <w:t>(0.008)</w:t>
            </w:r>
          </w:p>
        </w:tc>
        <w:tc>
          <w:tcPr>
            <w:tcW w:w="1563" w:type="dxa"/>
            <w:tcBorders>
              <w:top w:val="nil"/>
              <w:left w:val="nil"/>
              <w:bottom w:val="nil"/>
              <w:right w:val="nil"/>
            </w:tcBorders>
            <w:shd w:val="clear" w:color="auto" w:fill="auto"/>
            <w:noWrap/>
            <w:vAlign w:val="bottom"/>
            <w:hideMark/>
          </w:tcPr>
          <w:p w14:paraId="2B8DE14F" w14:textId="77777777" w:rsidR="00106E23" w:rsidRPr="006C6F80" w:rsidRDefault="00106E23" w:rsidP="00030C01">
            <w:pPr>
              <w:jc w:val="center"/>
              <w:rPr>
                <w:color w:val="000000" w:themeColor="text1"/>
                <w:sz w:val="20"/>
                <w:szCs w:val="20"/>
              </w:rPr>
            </w:pPr>
            <w:r w:rsidRPr="006C6F80">
              <w:rPr>
                <w:color w:val="000000" w:themeColor="text1"/>
                <w:sz w:val="20"/>
                <w:szCs w:val="20"/>
              </w:rPr>
              <w:t>(0.013)</w:t>
            </w:r>
          </w:p>
        </w:tc>
        <w:tc>
          <w:tcPr>
            <w:tcW w:w="1563" w:type="dxa"/>
            <w:tcBorders>
              <w:top w:val="nil"/>
              <w:left w:val="nil"/>
              <w:bottom w:val="nil"/>
              <w:right w:val="nil"/>
            </w:tcBorders>
            <w:shd w:val="clear" w:color="auto" w:fill="auto"/>
            <w:noWrap/>
            <w:vAlign w:val="bottom"/>
            <w:hideMark/>
          </w:tcPr>
          <w:p w14:paraId="7D095050" w14:textId="77777777" w:rsidR="00106E23" w:rsidRPr="006C6F80" w:rsidRDefault="00106E23" w:rsidP="00030C01">
            <w:pPr>
              <w:jc w:val="center"/>
              <w:rPr>
                <w:color w:val="000000" w:themeColor="text1"/>
                <w:sz w:val="20"/>
                <w:szCs w:val="20"/>
              </w:rPr>
            </w:pPr>
            <w:r w:rsidRPr="006C6F80">
              <w:rPr>
                <w:color w:val="000000" w:themeColor="text1"/>
                <w:sz w:val="20"/>
                <w:szCs w:val="20"/>
              </w:rPr>
              <w:t>(0.022)</w:t>
            </w:r>
          </w:p>
        </w:tc>
      </w:tr>
      <w:tr w:rsidR="00106E23" w:rsidRPr="006C6F80" w14:paraId="09A24FB8" w14:textId="77777777" w:rsidTr="00030C01">
        <w:trPr>
          <w:trHeight w:val="260"/>
          <w:jc w:val="center"/>
        </w:trPr>
        <w:tc>
          <w:tcPr>
            <w:tcW w:w="2088" w:type="dxa"/>
            <w:tcBorders>
              <w:top w:val="nil"/>
              <w:left w:val="nil"/>
              <w:bottom w:val="single" w:sz="4" w:space="0" w:color="auto"/>
              <w:right w:val="nil"/>
            </w:tcBorders>
            <w:shd w:val="clear" w:color="auto" w:fill="auto"/>
            <w:noWrap/>
            <w:vAlign w:val="bottom"/>
            <w:hideMark/>
          </w:tcPr>
          <w:p w14:paraId="64CB1EDD" w14:textId="77777777" w:rsidR="00106E23" w:rsidRPr="006C6F80" w:rsidRDefault="00106E23" w:rsidP="00030C01">
            <w:pPr>
              <w:rPr>
                <w:color w:val="000000" w:themeColor="text1"/>
                <w:sz w:val="20"/>
                <w:szCs w:val="20"/>
              </w:rPr>
            </w:pPr>
            <w:r w:rsidRPr="006C6F80">
              <w:rPr>
                <w:color w:val="000000" w:themeColor="text1"/>
                <w:sz w:val="20"/>
                <w:szCs w:val="20"/>
              </w:rPr>
              <w:t> </w:t>
            </w:r>
          </w:p>
        </w:tc>
        <w:tc>
          <w:tcPr>
            <w:tcW w:w="1563" w:type="dxa"/>
            <w:tcBorders>
              <w:top w:val="nil"/>
              <w:left w:val="nil"/>
              <w:bottom w:val="single" w:sz="4" w:space="0" w:color="auto"/>
              <w:right w:val="nil"/>
            </w:tcBorders>
            <w:shd w:val="clear" w:color="auto" w:fill="auto"/>
            <w:noWrap/>
            <w:vAlign w:val="bottom"/>
            <w:hideMark/>
          </w:tcPr>
          <w:p w14:paraId="5F6C0037" w14:textId="77777777" w:rsidR="00106E23" w:rsidRPr="006C6F80" w:rsidRDefault="00106E23" w:rsidP="00030C01">
            <w:pPr>
              <w:rPr>
                <w:color w:val="000000" w:themeColor="text1"/>
                <w:sz w:val="20"/>
                <w:szCs w:val="20"/>
              </w:rPr>
            </w:pPr>
            <w:r w:rsidRPr="006C6F80">
              <w:rPr>
                <w:color w:val="000000" w:themeColor="text1"/>
                <w:sz w:val="20"/>
                <w:szCs w:val="20"/>
              </w:rPr>
              <w:t> </w:t>
            </w:r>
          </w:p>
        </w:tc>
        <w:tc>
          <w:tcPr>
            <w:tcW w:w="1563" w:type="dxa"/>
            <w:tcBorders>
              <w:top w:val="nil"/>
              <w:left w:val="nil"/>
              <w:bottom w:val="single" w:sz="4" w:space="0" w:color="auto"/>
              <w:right w:val="nil"/>
            </w:tcBorders>
            <w:shd w:val="clear" w:color="auto" w:fill="auto"/>
            <w:noWrap/>
            <w:vAlign w:val="bottom"/>
            <w:hideMark/>
          </w:tcPr>
          <w:p w14:paraId="4D512874" w14:textId="77777777" w:rsidR="00106E23" w:rsidRPr="006C6F80" w:rsidRDefault="00106E23" w:rsidP="00030C01">
            <w:pPr>
              <w:rPr>
                <w:color w:val="000000" w:themeColor="text1"/>
                <w:sz w:val="20"/>
                <w:szCs w:val="20"/>
              </w:rPr>
            </w:pPr>
            <w:r w:rsidRPr="006C6F80">
              <w:rPr>
                <w:color w:val="000000" w:themeColor="text1"/>
                <w:sz w:val="20"/>
                <w:szCs w:val="20"/>
              </w:rPr>
              <w:t> </w:t>
            </w:r>
          </w:p>
        </w:tc>
        <w:tc>
          <w:tcPr>
            <w:tcW w:w="1563" w:type="dxa"/>
            <w:tcBorders>
              <w:top w:val="nil"/>
              <w:left w:val="nil"/>
              <w:bottom w:val="single" w:sz="4" w:space="0" w:color="auto"/>
              <w:right w:val="nil"/>
            </w:tcBorders>
            <w:shd w:val="clear" w:color="auto" w:fill="auto"/>
            <w:noWrap/>
            <w:vAlign w:val="bottom"/>
            <w:hideMark/>
          </w:tcPr>
          <w:p w14:paraId="3D89C840" w14:textId="77777777" w:rsidR="00106E23" w:rsidRPr="006C6F80" w:rsidRDefault="00106E23" w:rsidP="00030C01">
            <w:pPr>
              <w:rPr>
                <w:color w:val="000000" w:themeColor="text1"/>
                <w:sz w:val="20"/>
                <w:szCs w:val="20"/>
              </w:rPr>
            </w:pPr>
            <w:r w:rsidRPr="006C6F80">
              <w:rPr>
                <w:color w:val="000000" w:themeColor="text1"/>
                <w:sz w:val="20"/>
                <w:szCs w:val="20"/>
              </w:rPr>
              <w:t> </w:t>
            </w:r>
          </w:p>
        </w:tc>
        <w:tc>
          <w:tcPr>
            <w:tcW w:w="1563" w:type="dxa"/>
            <w:tcBorders>
              <w:top w:val="nil"/>
              <w:left w:val="nil"/>
              <w:bottom w:val="single" w:sz="4" w:space="0" w:color="auto"/>
              <w:right w:val="nil"/>
            </w:tcBorders>
            <w:shd w:val="clear" w:color="auto" w:fill="auto"/>
            <w:noWrap/>
            <w:vAlign w:val="bottom"/>
            <w:hideMark/>
          </w:tcPr>
          <w:p w14:paraId="69D41E7B" w14:textId="77777777" w:rsidR="00106E23" w:rsidRPr="006C6F80" w:rsidRDefault="00106E23" w:rsidP="00030C01">
            <w:pPr>
              <w:rPr>
                <w:color w:val="000000" w:themeColor="text1"/>
                <w:sz w:val="20"/>
                <w:szCs w:val="20"/>
              </w:rPr>
            </w:pPr>
            <w:r w:rsidRPr="006C6F80">
              <w:rPr>
                <w:color w:val="000000" w:themeColor="text1"/>
                <w:sz w:val="20"/>
                <w:szCs w:val="20"/>
              </w:rPr>
              <w:t> </w:t>
            </w:r>
          </w:p>
        </w:tc>
      </w:tr>
      <w:tr w:rsidR="00106E23" w:rsidRPr="006C6F80" w14:paraId="52FCF7C1" w14:textId="77777777" w:rsidTr="00030C01">
        <w:trPr>
          <w:trHeight w:val="260"/>
          <w:jc w:val="center"/>
        </w:trPr>
        <w:tc>
          <w:tcPr>
            <w:tcW w:w="2088" w:type="dxa"/>
            <w:tcBorders>
              <w:top w:val="nil"/>
              <w:left w:val="nil"/>
              <w:bottom w:val="nil"/>
              <w:right w:val="nil"/>
            </w:tcBorders>
            <w:shd w:val="clear" w:color="auto" w:fill="auto"/>
            <w:noWrap/>
            <w:vAlign w:val="bottom"/>
            <w:hideMark/>
          </w:tcPr>
          <w:p w14:paraId="32D90310" w14:textId="77777777" w:rsidR="00106E23" w:rsidRPr="006C6F80" w:rsidRDefault="00106E23" w:rsidP="00030C01">
            <w:pPr>
              <w:rPr>
                <w:color w:val="000000" w:themeColor="text1"/>
                <w:sz w:val="20"/>
                <w:szCs w:val="20"/>
              </w:rPr>
            </w:pPr>
            <w:r w:rsidRPr="006C6F80">
              <w:rPr>
                <w:color w:val="000000" w:themeColor="text1"/>
                <w:sz w:val="20"/>
                <w:szCs w:val="20"/>
              </w:rPr>
              <w:t>Observations</w:t>
            </w:r>
          </w:p>
        </w:tc>
        <w:tc>
          <w:tcPr>
            <w:tcW w:w="1563" w:type="dxa"/>
            <w:tcBorders>
              <w:top w:val="nil"/>
              <w:left w:val="nil"/>
              <w:bottom w:val="nil"/>
              <w:right w:val="nil"/>
            </w:tcBorders>
            <w:shd w:val="clear" w:color="auto" w:fill="auto"/>
            <w:noWrap/>
            <w:vAlign w:val="center"/>
            <w:hideMark/>
          </w:tcPr>
          <w:p w14:paraId="4A573FA6" w14:textId="77777777" w:rsidR="00106E23" w:rsidRPr="006C6F80" w:rsidRDefault="00106E23" w:rsidP="00030C01">
            <w:pPr>
              <w:jc w:val="center"/>
              <w:rPr>
                <w:color w:val="000000" w:themeColor="text1"/>
                <w:sz w:val="20"/>
                <w:szCs w:val="20"/>
              </w:rPr>
            </w:pPr>
            <w:r w:rsidRPr="006C6F80">
              <w:rPr>
                <w:color w:val="000000" w:themeColor="text1"/>
                <w:sz w:val="20"/>
                <w:szCs w:val="20"/>
              </w:rPr>
              <w:t>1,744</w:t>
            </w:r>
          </w:p>
        </w:tc>
        <w:tc>
          <w:tcPr>
            <w:tcW w:w="1563" w:type="dxa"/>
            <w:tcBorders>
              <w:top w:val="nil"/>
              <w:left w:val="nil"/>
              <w:bottom w:val="nil"/>
              <w:right w:val="nil"/>
            </w:tcBorders>
            <w:shd w:val="clear" w:color="auto" w:fill="auto"/>
            <w:noWrap/>
            <w:vAlign w:val="center"/>
            <w:hideMark/>
          </w:tcPr>
          <w:p w14:paraId="10319E0C" w14:textId="77777777" w:rsidR="00106E23" w:rsidRPr="006C6F80" w:rsidRDefault="00106E23" w:rsidP="00030C01">
            <w:pPr>
              <w:jc w:val="center"/>
              <w:rPr>
                <w:color w:val="000000" w:themeColor="text1"/>
                <w:sz w:val="20"/>
                <w:szCs w:val="20"/>
              </w:rPr>
            </w:pPr>
            <w:r w:rsidRPr="006C6F80">
              <w:rPr>
                <w:color w:val="000000" w:themeColor="text1"/>
                <w:sz w:val="20"/>
                <w:szCs w:val="20"/>
              </w:rPr>
              <w:t>1,744</w:t>
            </w:r>
          </w:p>
        </w:tc>
        <w:tc>
          <w:tcPr>
            <w:tcW w:w="1563" w:type="dxa"/>
            <w:tcBorders>
              <w:top w:val="nil"/>
              <w:left w:val="nil"/>
              <w:bottom w:val="nil"/>
              <w:right w:val="nil"/>
            </w:tcBorders>
            <w:shd w:val="clear" w:color="auto" w:fill="auto"/>
            <w:noWrap/>
            <w:vAlign w:val="center"/>
            <w:hideMark/>
          </w:tcPr>
          <w:p w14:paraId="5A88E48F" w14:textId="77777777" w:rsidR="00106E23" w:rsidRPr="006C6F80" w:rsidRDefault="00106E23" w:rsidP="00030C01">
            <w:pPr>
              <w:jc w:val="center"/>
              <w:rPr>
                <w:color w:val="000000" w:themeColor="text1"/>
                <w:sz w:val="20"/>
                <w:szCs w:val="20"/>
              </w:rPr>
            </w:pPr>
            <w:r w:rsidRPr="006C6F80">
              <w:rPr>
                <w:color w:val="000000" w:themeColor="text1"/>
                <w:sz w:val="20"/>
                <w:szCs w:val="20"/>
              </w:rPr>
              <w:t>1,744</w:t>
            </w:r>
          </w:p>
        </w:tc>
        <w:tc>
          <w:tcPr>
            <w:tcW w:w="1563" w:type="dxa"/>
            <w:tcBorders>
              <w:top w:val="nil"/>
              <w:left w:val="nil"/>
              <w:bottom w:val="nil"/>
              <w:right w:val="nil"/>
            </w:tcBorders>
            <w:shd w:val="clear" w:color="auto" w:fill="auto"/>
            <w:noWrap/>
            <w:vAlign w:val="center"/>
            <w:hideMark/>
          </w:tcPr>
          <w:p w14:paraId="50B5369D" w14:textId="77777777" w:rsidR="00106E23" w:rsidRPr="006C6F80" w:rsidRDefault="00106E23" w:rsidP="00030C01">
            <w:pPr>
              <w:jc w:val="center"/>
              <w:rPr>
                <w:color w:val="000000" w:themeColor="text1"/>
                <w:sz w:val="20"/>
                <w:szCs w:val="20"/>
              </w:rPr>
            </w:pPr>
            <w:r w:rsidRPr="006C6F80">
              <w:rPr>
                <w:color w:val="000000" w:themeColor="text1"/>
                <w:sz w:val="20"/>
                <w:szCs w:val="20"/>
              </w:rPr>
              <w:t>1,744</w:t>
            </w:r>
          </w:p>
        </w:tc>
      </w:tr>
      <w:tr w:rsidR="00106E23" w:rsidRPr="006C6F80" w14:paraId="134A9D74" w14:textId="77777777" w:rsidTr="00030C01">
        <w:trPr>
          <w:trHeight w:val="260"/>
          <w:jc w:val="center"/>
        </w:trPr>
        <w:tc>
          <w:tcPr>
            <w:tcW w:w="2088" w:type="dxa"/>
            <w:tcBorders>
              <w:top w:val="nil"/>
              <w:left w:val="nil"/>
              <w:bottom w:val="nil"/>
              <w:right w:val="nil"/>
            </w:tcBorders>
            <w:shd w:val="clear" w:color="auto" w:fill="auto"/>
            <w:noWrap/>
            <w:vAlign w:val="bottom"/>
            <w:hideMark/>
          </w:tcPr>
          <w:p w14:paraId="4DB99555" w14:textId="77777777" w:rsidR="00106E23" w:rsidRPr="006C6F80" w:rsidRDefault="00106E23" w:rsidP="00030C01">
            <w:pPr>
              <w:rPr>
                <w:color w:val="000000" w:themeColor="text1"/>
                <w:sz w:val="20"/>
                <w:szCs w:val="20"/>
              </w:rPr>
            </w:pPr>
            <w:r w:rsidRPr="006C6F80">
              <w:rPr>
                <w:color w:val="000000" w:themeColor="text1"/>
                <w:sz w:val="20"/>
                <w:szCs w:val="20"/>
              </w:rPr>
              <w:t>Individual controls</w:t>
            </w:r>
          </w:p>
        </w:tc>
        <w:tc>
          <w:tcPr>
            <w:tcW w:w="1563" w:type="dxa"/>
            <w:tcBorders>
              <w:top w:val="nil"/>
              <w:left w:val="nil"/>
              <w:bottom w:val="nil"/>
              <w:right w:val="nil"/>
            </w:tcBorders>
            <w:shd w:val="clear" w:color="auto" w:fill="auto"/>
            <w:noWrap/>
            <w:vAlign w:val="bottom"/>
            <w:hideMark/>
          </w:tcPr>
          <w:p w14:paraId="63A2BF22" w14:textId="77777777" w:rsidR="00106E23" w:rsidRPr="006C6F80" w:rsidRDefault="00106E23" w:rsidP="00030C01">
            <w:pPr>
              <w:jc w:val="center"/>
              <w:rPr>
                <w:color w:val="000000" w:themeColor="text1"/>
                <w:sz w:val="20"/>
                <w:szCs w:val="20"/>
              </w:rPr>
            </w:pPr>
            <w:r w:rsidRPr="006C6F80">
              <w:rPr>
                <w:color w:val="000000" w:themeColor="text1"/>
                <w:sz w:val="20"/>
                <w:szCs w:val="20"/>
              </w:rPr>
              <w:t>YES</w:t>
            </w:r>
          </w:p>
        </w:tc>
        <w:tc>
          <w:tcPr>
            <w:tcW w:w="1563" w:type="dxa"/>
            <w:tcBorders>
              <w:top w:val="nil"/>
              <w:left w:val="nil"/>
              <w:bottom w:val="nil"/>
              <w:right w:val="nil"/>
            </w:tcBorders>
            <w:shd w:val="clear" w:color="auto" w:fill="auto"/>
            <w:noWrap/>
            <w:vAlign w:val="bottom"/>
            <w:hideMark/>
          </w:tcPr>
          <w:p w14:paraId="758B72B6" w14:textId="77777777" w:rsidR="00106E23" w:rsidRPr="006C6F80" w:rsidRDefault="00106E23" w:rsidP="00030C01">
            <w:pPr>
              <w:jc w:val="center"/>
              <w:rPr>
                <w:color w:val="000000" w:themeColor="text1"/>
                <w:sz w:val="20"/>
                <w:szCs w:val="20"/>
              </w:rPr>
            </w:pPr>
            <w:r w:rsidRPr="006C6F80">
              <w:rPr>
                <w:color w:val="000000" w:themeColor="text1"/>
                <w:sz w:val="20"/>
                <w:szCs w:val="20"/>
              </w:rPr>
              <w:t>YES</w:t>
            </w:r>
          </w:p>
        </w:tc>
        <w:tc>
          <w:tcPr>
            <w:tcW w:w="1563" w:type="dxa"/>
            <w:tcBorders>
              <w:top w:val="nil"/>
              <w:left w:val="nil"/>
              <w:bottom w:val="nil"/>
              <w:right w:val="nil"/>
            </w:tcBorders>
            <w:shd w:val="clear" w:color="auto" w:fill="auto"/>
            <w:noWrap/>
            <w:vAlign w:val="bottom"/>
            <w:hideMark/>
          </w:tcPr>
          <w:p w14:paraId="01BC9786" w14:textId="77777777" w:rsidR="00106E23" w:rsidRPr="006C6F80" w:rsidRDefault="00106E23" w:rsidP="00030C01">
            <w:pPr>
              <w:jc w:val="center"/>
              <w:rPr>
                <w:color w:val="000000" w:themeColor="text1"/>
                <w:sz w:val="20"/>
                <w:szCs w:val="20"/>
              </w:rPr>
            </w:pPr>
            <w:r w:rsidRPr="006C6F80">
              <w:rPr>
                <w:color w:val="000000" w:themeColor="text1"/>
                <w:sz w:val="20"/>
                <w:szCs w:val="20"/>
              </w:rPr>
              <w:t>YES</w:t>
            </w:r>
          </w:p>
        </w:tc>
        <w:tc>
          <w:tcPr>
            <w:tcW w:w="1563" w:type="dxa"/>
            <w:tcBorders>
              <w:top w:val="nil"/>
              <w:left w:val="nil"/>
              <w:bottom w:val="nil"/>
              <w:right w:val="nil"/>
            </w:tcBorders>
            <w:shd w:val="clear" w:color="auto" w:fill="auto"/>
            <w:noWrap/>
            <w:vAlign w:val="bottom"/>
            <w:hideMark/>
          </w:tcPr>
          <w:p w14:paraId="3B0D9645" w14:textId="77777777" w:rsidR="00106E23" w:rsidRPr="006C6F80" w:rsidRDefault="00106E23" w:rsidP="00030C01">
            <w:pPr>
              <w:jc w:val="center"/>
              <w:rPr>
                <w:color w:val="000000" w:themeColor="text1"/>
                <w:sz w:val="20"/>
                <w:szCs w:val="20"/>
              </w:rPr>
            </w:pPr>
            <w:r w:rsidRPr="006C6F80">
              <w:rPr>
                <w:color w:val="000000" w:themeColor="text1"/>
                <w:sz w:val="20"/>
                <w:szCs w:val="20"/>
              </w:rPr>
              <w:t>YES</w:t>
            </w:r>
          </w:p>
        </w:tc>
      </w:tr>
      <w:tr w:rsidR="00106E23" w:rsidRPr="006C6F80" w14:paraId="4781F531" w14:textId="77777777" w:rsidTr="00030C01">
        <w:trPr>
          <w:trHeight w:val="260"/>
          <w:jc w:val="center"/>
        </w:trPr>
        <w:tc>
          <w:tcPr>
            <w:tcW w:w="2088" w:type="dxa"/>
            <w:tcBorders>
              <w:top w:val="nil"/>
              <w:left w:val="nil"/>
              <w:bottom w:val="single" w:sz="4" w:space="0" w:color="auto"/>
              <w:right w:val="nil"/>
            </w:tcBorders>
            <w:shd w:val="clear" w:color="auto" w:fill="auto"/>
            <w:noWrap/>
            <w:vAlign w:val="bottom"/>
            <w:hideMark/>
          </w:tcPr>
          <w:p w14:paraId="30872117" w14:textId="77777777" w:rsidR="00106E23" w:rsidRPr="006C6F80" w:rsidRDefault="00106E23" w:rsidP="00030C01">
            <w:pPr>
              <w:rPr>
                <w:color w:val="000000" w:themeColor="text1"/>
                <w:sz w:val="20"/>
                <w:szCs w:val="20"/>
              </w:rPr>
            </w:pPr>
            <w:r w:rsidRPr="006C6F80">
              <w:rPr>
                <w:color w:val="000000" w:themeColor="text1"/>
                <w:sz w:val="20"/>
                <w:szCs w:val="20"/>
              </w:rPr>
              <w:t>First job characteristics</w:t>
            </w:r>
          </w:p>
        </w:tc>
        <w:tc>
          <w:tcPr>
            <w:tcW w:w="1563" w:type="dxa"/>
            <w:tcBorders>
              <w:top w:val="nil"/>
              <w:left w:val="nil"/>
              <w:bottom w:val="single" w:sz="4" w:space="0" w:color="auto"/>
              <w:right w:val="nil"/>
            </w:tcBorders>
            <w:shd w:val="clear" w:color="auto" w:fill="auto"/>
            <w:noWrap/>
            <w:vAlign w:val="bottom"/>
            <w:hideMark/>
          </w:tcPr>
          <w:p w14:paraId="4B0D40CD" w14:textId="77777777" w:rsidR="00106E23" w:rsidRPr="006C6F80" w:rsidRDefault="00106E23" w:rsidP="00030C01">
            <w:pPr>
              <w:jc w:val="center"/>
              <w:rPr>
                <w:color w:val="000000" w:themeColor="text1"/>
                <w:sz w:val="20"/>
                <w:szCs w:val="20"/>
              </w:rPr>
            </w:pPr>
            <w:r w:rsidRPr="006C6F80">
              <w:rPr>
                <w:color w:val="000000" w:themeColor="text1"/>
                <w:sz w:val="20"/>
                <w:szCs w:val="20"/>
              </w:rPr>
              <w:t>YES</w:t>
            </w:r>
          </w:p>
        </w:tc>
        <w:tc>
          <w:tcPr>
            <w:tcW w:w="1563" w:type="dxa"/>
            <w:tcBorders>
              <w:top w:val="nil"/>
              <w:left w:val="nil"/>
              <w:bottom w:val="single" w:sz="4" w:space="0" w:color="auto"/>
              <w:right w:val="nil"/>
            </w:tcBorders>
            <w:shd w:val="clear" w:color="auto" w:fill="auto"/>
            <w:noWrap/>
            <w:vAlign w:val="bottom"/>
            <w:hideMark/>
          </w:tcPr>
          <w:p w14:paraId="567BE352" w14:textId="77777777" w:rsidR="00106E23" w:rsidRPr="006C6F80" w:rsidRDefault="00106E23" w:rsidP="00030C01">
            <w:pPr>
              <w:jc w:val="center"/>
              <w:rPr>
                <w:color w:val="000000" w:themeColor="text1"/>
                <w:sz w:val="20"/>
                <w:szCs w:val="20"/>
              </w:rPr>
            </w:pPr>
            <w:r w:rsidRPr="006C6F80">
              <w:rPr>
                <w:color w:val="000000" w:themeColor="text1"/>
                <w:sz w:val="20"/>
                <w:szCs w:val="20"/>
              </w:rPr>
              <w:t>YES</w:t>
            </w:r>
          </w:p>
        </w:tc>
        <w:tc>
          <w:tcPr>
            <w:tcW w:w="1563" w:type="dxa"/>
            <w:tcBorders>
              <w:top w:val="nil"/>
              <w:left w:val="nil"/>
              <w:bottom w:val="single" w:sz="4" w:space="0" w:color="auto"/>
              <w:right w:val="nil"/>
            </w:tcBorders>
            <w:shd w:val="clear" w:color="auto" w:fill="auto"/>
            <w:noWrap/>
            <w:vAlign w:val="bottom"/>
            <w:hideMark/>
          </w:tcPr>
          <w:p w14:paraId="69CC9B60" w14:textId="77777777" w:rsidR="00106E23" w:rsidRPr="006C6F80" w:rsidRDefault="00106E23" w:rsidP="00030C01">
            <w:pPr>
              <w:jc w:val="center"/>
              <w:rPr>
                <w:color w:val="000000" w:themeColor="text1"/>
                <w:sz w:val="20"/>
                <w:szCs w:val="20"/>
              </w:rPr>
            </w:pPr>
            <w:r w:rsidRPr="006C6F80">
              <w:rPr>
                <w:color w:val="000000" w:themeColor="text1"/>
                <w:sz w:val="20"/>
                <w:szCs w:val="20"/>
              </w:rPr>
              <w:t>YES</w:t>
            </w:r>
          </w:p>
        </w:tc>
        <w:tc>
          <w:tcPr>
            <w:tcW w:w="1563" w:type="dxa"/>
            <w:tcBorders>
              <w:top w:val="nil"/>
              <w:left w:val="nil"/>
              <w:bottom w:val="single" w:sz="4" w:space="0" w:color="auto"/>
              <w:right w:val="nil"/>
            </w:tcBorders>
            <w:shd w:val="clear" w:color="auto" w:fill="auto"/>
            <w:noWrap/>
            <w:vAlign w:val="bottom"/>
            <w:hideMark/>
          </w:tcPr>
          <w:p w14:paraId="6971A2DD" w14:textId="77777777" w:rsidR="00106E23" w:rsidRPr="006C6F80" w:rsidRDefault="00106E23" w:rsidP="00030C01">
            <w:pPr>
              <w:jc w:val="center"/>
              <w:rPr>
                <w:color w:val="000000" w:themeColor="text1"/>
                <w:sz w:val="20"/>
                <w:szCs w:val="20"/>
              </w:rPr>
            </w:pPr>
            <w:r w:rsidRPr="006C6F80">
              <w:rPr>
                <w:color w:val="000000" w:themeColor="text1"/>
                <w:sz w:val="20"/>
                <w:szCs w:val="20"/>
              </w:rPr>
              <w:t>YES</w:t>
            </w:r>
          </w:p>
        </w:tc>
      </w:tr>
    </w:tbl>
    <w:p w14:paraId="5FA82AC5" w14:textId="77777777" w:rsidR="00106E23" w:rsidRPr="006C6F80" w:rsidRDefault="00106E23" w:rsidP="00106E23">
      <w:pPr>
        <w:tabs>
          <w:tab w:val="left" w:pos="9720"/>
        </w:tabs>
        <w:ind w:left="90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Robust standard errors in parentheses </w:t>
      </w:r>
    </w:p>
    <w:p w14:paraId="517DBCD4" w14:textId="77777777" w:rsidR="00106E23" w:rsidRPr="006C6F80" w:rsidRDefault="00106E23" w:rsidP="00106E23">
      <w:pPr>
        <w:tabs>
          <w:tab w:val="left" w:pos="9720"/>
        </w:tabs>
        <w:ind w:left="90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 p&lt;0.01, ** p&lt;0.05, * p&lt;0.1 </w:t>
      </w:r>
    </w:p>
    <w:p w14:paraId="5FC1F51E" w14:textId="77777777" w:rsidR="00106E23" w:rsidRPr="006C6F80" w:rsidRDefault="00106E23" w:rsidP="00106E23">
      <w:pPr>
        <w:tabs>
          <w:tab w:val="left" w:pos="9720"/>
        </w:tabs>
        <w:ind w:left="900" w:right="900"/>
        <w:jc w:val="both"/>
        <w:rPr>
          <w:rFonts w:asciiTheme="majorBidi" w:hAnsiTheme="majorBidi" w:cstheme="majorBidi"/>
          <w:color w:val="000000" w:themeColor="text1"/>
          <w:sz w:val="18"/>
          <w:szCs w:val="18"/>
        </w:rPr>
      </w:pPr>
      <w:r w:rsidRPr="006C6F80">
        <w:rPr>
          <w:rFonts w:asciiTheme="majorBidi" w:hAnsiTheme="majorBidi" w:cstheme="majorBidi"/>
          <w:i/>
          <w:iCs/>
          <w:color w:val="000000" w:themeColor="text1"/>
          <w:sz w:val="18"/>
          <w:szCs w:val="18"/>
        </w:rPr>
        <w:t>Notes.</w:t>
      </w:r>
      <w:r w:rsidRPr="006C6F80">
        <w:rPr>
          <w:rFonts w:asciiTheme="majorBidi" w:hAnsiTheme="majorBidi" w:cstheme="majorBidi"/>
          <w:color w:val="000000" w:themeColor="text1"/>
          <w:sz w:val="18"/>
          <w:szCs w:val="18"/>
        </w:rPr>
        <w:t xml:space="preserve"> Marginal effects are reported for ordered probit and IV-ordered probit models. The (0) category refers to staying in the same occupation between the first job and the 2010 job, or downgrading. The (1) category refers to moving up the occupational ladder one step. The (2) category refers to moving up the occupational ladder two steps. The (3) category refers to moving up the occupational ladder 3 or 4 steps.</w:t>
      </w:r>
    </w:p>
    <w:p w14:paraId="2EE57384" w14:textId="77777777" w:rsidR="00106E23" w:rsidRPr="006C6F80" w:rsidRDefault="00106E23" w:rsidP="00106E23">
      <w:pPr>
        <w:rPr>
          <w:rFonts w:asciiTheme="majorBidi" w:hAnsiTheme="majorBidi" w:cstheme="majorBidi"/>
          <w:color w:val="000000" w:themeColor="text1"/>
          <w:sz w:val="18"/>
          <w:szCs w:val="18"/>
        </w:rPr>
      </w:pPr>
    </w:p>
    <w:p w14:paraId="338D4CD8" w14:textId="77777777" w:rsidR="00106E23" w:rsidRPr="006C6F80" w:rsidRDefault="00106E23" w:rsidP="00106E23">
      <w:pPr>
        <w:ind w:right="90"/>
        <w:jc w:val="both"/>
        <w:rPr>
          <w:rFonts w:asciiTheme="majorBidi" w:hAnsiTheme="majorBidi" w:cstheme="majorBidi"/>
          <w:color w:val="000000" w:themeColor="text1"/>
          <w:sz w:val="18"/>
          <w:szCs w:val="18"/>
        </w:rPr>
      </w:pPr>
    </w:p>
    <w:p w14:paraId="4EC9D5A8" w14:textId="77777777" w:rsidR="00106E23" w:rsidRPr="006C6F80" w:rsidRDefault="00106E23" w:rsidP="00106E23">
      <w:pPr>
        <w:spacing w:line="233" w:lineRule="auto"/>
        <w:ind w:right="180"/>
        <w:jc w:val="both"/>
        <w:rPr>
          <w:rFonts w:asciiTheme="majorBidi" w:hAnsiTheme="majorBidi" w:cstheme="majorBidi"/>
          <w:color w:val="000000" w:themeColor="text1"/>
          <w:sz w:val="18"/>
          <w:szCs w:val="18"/>
        </w:rPr>
      </w:pPr>
    </w:p>
    <w:p w14:paraId="30166A0B" w14:textId="77777777" w:rsidR="00106E23" w:rsidRPr="006C6F80" w:rsidRDefault="00106E23" w:rsidP="00106E23">
      <w:pPr>
        <w:tabs>
          <w:tab w:val="left" w:pos="9720"/>
        </w:tabs>
        <w:spacing w:line="233" w:lineRule="auto"/>
        <w:ind w:left="630" w:right="630"/>
        <w:jc w:val="both"/>
        <w:rPr>
          <w:rFonts w:asciiTheme="majorBidi" w:hAnsiTheme="majorBidi" w:cstheme="majorBidi"/>
          <w:color w:val="000000" w:themeColor="text1"/>
          <w:sz w:val="18"/>
          <w:szCs w:val="18"/>
        </w:rPr>
        <w:sectPr w:rsidR="00106E23" w:rsidRPr="006C6F80" w:rsidSect="003D62C0">
          <w:pgSz w:w="12240" w:h="15840"/>
          <w:pgMar w:top="1080" w:right="1080" w:bottom="1080" w:left="1080" w:header="720" w:footer="720" w:gutter="0"/>
          <w:cols w:space="720"/>
          <w:docGrid w:linePitch="360"/>
        </w:sectPr>
      </w:pPr>
    </w:p>
    <w:tbl>
      <w:tblPr>
        <w:tblW w:w="7120" w:type="dxa"/>
        <w:jc w:val="center"/>
        <w:tblLook w:val="04A0" w:firstRow="1" w:lastRow="0" w:firstColumn="1" w:lastColumn="0" w:noHBand="0" w:noVBand="1"/>
      </w:tblPr>
      <w:tblGrid>
        <w:gridCol w:w="1813"/>
        <w:gridCol w:w="2130"/>
        <w:gridCol w:w="2130"/>
        <w:gridCol w:w="1061"/>
      </w:tblGrid>
      <w:tr w:rsidR="00106E23" w:rsidRPr="006C6F80" w14:paraId="7A76BCCA" w14:textId="77777777" w:rsidTr="00030C01">
        <w:trPr>
          <w:trHeight w:val="520"/>
          <w:jc w:val="center"/>
        </w:trPr>
        <w:tc>
          <w:tcPr>
            <w:tcW w:w="7120" w:type="dxa"/>
            <w:gridSpan w:val="4"/>
            <w:tcBorders>
              <w:top w:val="nil"/>
              <w:left w:val="nil"/>
              <w:bottom w:val="single" w:sz="4" w:space="0" w:color="auto"/>
              <w:right w:val="nil"/>
            </w:tcBorders>
            <w:shd w:val="clear" w:color="auto" w:fill="auto"/>
            <w:vAlign w:val="center"/>
            <w:hideMark/>
          </w:tcPr>
          <w:p w14:paraId="66EF03EE" w14:textId="7EFC521E" w:rsidR="00106E23" w:rsidRPr="006C6F80" w:rsidRDefault="00106E23" w:rsidP="00030C01">
            <w:pPr>
              <w:jc w:val="center"/>
              <w:rPr>
                <w:b/>
                <w:bCs/>
                <w:color w:val="000000" w:themeColor="text1"/>
                <w:sz w:val="20"/>
                <w:szCs w:val="20"/>
              </w:rPr>
            </w:pPr>
            <w:r w:rsidRPr="006C6F80">
              <w:rPr>
                <w:b/>
                <w:bCs/>
                <w:color w:val="000000" w:themeColor="text1"/>
                <w:sz w:val="20"/>
                <w:szCs w:val="20"/>
              </w:rPr>
              <w:lastRenderedPageBreak/>
              <w:t>Table 8: Robustness checks using Propensity Score Matching combined with Difference-in-Differences</w:t>
            </w:r>
          </w:p>
        </w:tc>
      </w:tr>
      <w:tr w:rsidR="00106E23" w:rsidRPr="006C6F80" w14:paraId="7A023A87" w14:textId="77777777" w:rsidTr="00030C01">
        <w:trPr>
          <w:trHeight w:val="260"/>
          <w:jc w:val="center"/>
        </w:trPr>
        <w:tc>
          <w:tcPr>
            <w:tcW w:w="7120" w:type="dxa"/>
            <w:gridSpan w:val="4"/>
            <w:tcBorders>
              <w:top w:val="single" w:sz="4" w:space="0" w:color="auto"/>
              <w:left w:val="nil"/>
              <w:bottom w:val="single" w:sz="4" w:space="0" w:color="auto"/>
              <w:right w:val="nil"/>
            </w:tcBorders>
            <w:shd w:val="clear" w:color="auto" w:fill="auto"/>
            <w:noWrap/>
            <w:vAlign w:val="center"/>
            <w:hideMark/>
          </w:tcPr>
          <w:p w14:paraId="383590D6" w14:textId="77777777" w:rsidR="00106E23" w:rsidRPr="006C6F80" w:rsidRDefault="00106E23" w:rsidP="00030C01">
            <w:pPr>
              <w:jc w:val="center"/>
              <w:rPr>
                <w:b/>
                <w:bCs/>
                <w:color w:val="000000" w:themeColor="text1"/>
                <w:sz w:val="20"/>
                <w:szCs w:val="20"/>
              </w:rPr>
            </w:pPr>
            <w:r w:rsidRPr="006C6F80">
              <w:rPr>
                <w:b/>
                <w:bCs/>
                <w:color w:val="000000" w:themeColor="text1"/>
                <w:sz w:val="20"/>
                <w:szCs w:val="20"/>
              </w:rPr>
              <w:t>Panel A: Propensity score matching combined with Difference-in-Differences</w:t>
            </w:r>
          </w:p>
        </w:tc>
      </w:tr>
      <w:tr w:rsidR="00106E23" w:rsidRPr="006C6F80" w14:paraId="1CE38B65" w14:textId="77777777" w:rsidTr="00030C01">
        <w:trPr>
          <w:trHeight w:val="260"/>
          <w:jc w:val="center"/>
        </w:trPr>
        <w:tc>
          <w:tcPr>
            <w:tcW w:w="7120" w:type="dxa"/>
            <w:gridSpan w:val="4"/>
            <w:tcBorders>
              <w:top w:val="single" w:sz="4" w:space="0" w:color="auto"/>
              <w:left w:val="nil"/>
              <w:bottom w:val="single" w:sz="4" w:space="0" w:color="auto"/>
              <w:right w:val="nil"/>
            </w:tcBorders>
            <w:shd w:val="clear" w:color="auto" w:fill="auto"/>
            <w:noWrap/>
            <w:vAlign w:val="center"/>
            <w:hideMark/>
          </w:tcPr>
          <w:p w14:paraId="428C569D" w14:textId="77777777" w:rsidR="00106E23" w:rsidRPr="006C6F80" w:rsidRDefault="00106E23" w:rsidP="00030C01">
            <w:pPr>
              <w:jc w:val="center"/>
              <w:rPr>
                <w:b/>
                <w:bCs/>
                <w:color w:val="000000" w:themeColor="text1"/>
                <w:sz w:val="20"/>
                <w:szCs w:val="20"/>
              </w:rPr>
            </w:pPr>
            <w:r w:rsidRPr="006C6F80">
              <w:rPr>
                <w:b/>
                <w:bCs/>
                <w:color w:val="000000" w:themeColor="text1"/>
                <w:sz w:val="20"/>
                <w:szCs w:val="20"/>
              </w:rPr>
              <w:t>Sample of Returnees=324, Sample of Stayers=324</w:t>
            </w:r>
          </w:p>
        </w:tc>
      </w:tr>
      <w:tr w:rsidR="00106E23" w:rsidRPr="006C6F80" w14:paraId="192696B5" w14:textId="77777777" w:rsidTr="00030C01">
        <w:trPr>
          <w:trHeight w:val="260"/>
          <w:jc w:val="center"/>
        </w:trPr>
        <w:tc>
          <w:tcPr>
            <w:tcW w:w="1813" w:type="dxa"/>
            <w:tcBorders>
              <w:top w:val="single" w:sz="4" w:space="0" w:color="auto"/>
              <w:left w:val="nil"/>
              <w:bottom w:val="nil"/>
              <w:right w:val="nil"/>
            </w:tcBorders>
            <w:shd w:val="clear" w:color="auto" w:fill="auto"/>
            <w:noWrap/>
            <w:vAlign w:val="center"/>
            <w:hideMark/>
          </w:tcPr>
          <w:p w14:paraId="60676AAB" w14:textId="77777777" w:rsidR="00106E23" w:rsidRPr="006C6F80" w:rsidRDefault="00106E23" w:rsidP="00030C01">
            <w:pPr>
              <w:rPr>
                <w:color w:val="000000" w:themeColor="text1"/>
                <w:sz w:val="20"/>
                <w:szCs w:val="20"/>
              </w:rPr>
            </w:pPr>
            <w:r w:rsidRPr="006C6F80">
              <w:rPr>
                <w:color w:val="000000" w:themeColor="text1"/>
                <w:sz w:val="20"/>
                <w:szCs w:val="20"/>
              </w:rPr>
              <w:t> </w:t>
            </w:r>
          </w:p>
        </w:tc>
        <w:tc>
          <w:tcPr>
            <w:tcW w:w="2130" w:type="dxa"/>
            <w:tcBorders>
              <w:top w:val="single" w:sz="4" w:space="0" w:color="auto"/>
              <w:left w:val="nil"/>
              <w:bottom w:val="nil"/>
              <w:right w:val="nil"/>
            </w:tcBorders>
            <w:shd w:val="clear" w:color="auto" w:fill="auto"/>
            <w:vAlign w:val="center"/>
            <w:hideMark/>
          </w:tcPr>
          <w:p w14:paraId="7A741F2C"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Before the treatment</w:t>
            </w:r>
          </w:p>
        </w:tc>
        <w:tc>
          <w:tcPr>
            <w:tcW w:w="2130" w:type="dxa"/>
            <w:tcBorders>
              <w:top w:val="single" w:sz="4" w:space="0" w:color="auto"/>
              <w:left w:val="nil"/>
              <w:bottom w:val="nil"/>
              <w:right w:val="nil"/>
            </w:tcBorders>
            <w:shd w:val="clear" w:color="auto" w:fill="auto"/>
            <w:vAlign w:val="center"/>
            <w:hideMark/>
          </w:tcPr>
          <w:p w14:paraId="53DCE141"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After the treatment</w:t>
            </w:r>
          </w:p>
        </w:tc>
        <w:tc>
          <w:tcPr>
            <w:tcW w:w="1047" w:type="dxa"/>
            <w:vMerge w:val="restart"/>
            <w:tcBorders>
              <w:top w:val="single" w:sz="4" w:space="0" w:color="auto"/>
              <w:left w:val="nil"/>
              <w:bottom w:val="single" w:sz="4" w:space="0" w:color="000000"/>
              <w:right w:val="nil"/>
            </w:tcBorders>
            <w:shd w:val="clear" w:color="auto" w:fill="auto"/>
            <w:noWrap/>
            <w:vAlign w:val="center"/>
            <w:hideMark/>
          </w:tcPr>
          <w:p w14:paraId="5BBA67A2"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Difference</w:t>
            </w:r>
          </w:p>
        </w:tc>
      </w:tr>
      <w:tr w:rsidR="00106E23" w:rsidRPr="006C6F80" w14:paraId="6AA7AF1D" w14:textId="77777777" w:rsidTr="00030C01">
        <w:trPr>
          <w:trHeight w:val="260"/>
          <w:jc w:val="center"/>
        </w:trPr>
        <w:tc>
          <w:tcPr>
            <w:tcW w:w="1813" w:type="dxa"/>
            <w:tcBorders>
              <w:top w:val="nil"/>
              <w:left w:val="nil"/>
              <w:bottom w:val="single" w:sz="4" w:space="0" w:color="auto"/>
              <w:right w:val="nil"/>
            </w:tcBorders>
            <w:shd w:val="clear" w:color="auto" w:fill="auto"/>
            <w:noWrap/>
            <w:vAlign w:val="center"/>
            <w:hideMark/>
          </w:tcPr>
          <w:p w14:paraId="787063F5" w14:textId="77777777" w:rsidR="00106E23" w:rsidRPr="006C6F80" w:rsidRDefault="00106E23" w:rsidP="00030C01">
            <w:pPr>
              <w:rPr>
                <w:color w:val="000000" w:themeColor="text1"/>
                <w:sz w:val="20"/>
                <w:szCs w:val="20"/>
              </w:rPr>
            </w:pPr>
            <w:r w:rsidRPr="006C6F80">
              <w:rPr>
                <w:color w:val="000000" w:themeColor="text1"/>
                <w:sz w:val="20"/>
                <w:szCs w:val="20"/>
              </w:rPr>
              <w:t> </w:t>
            </w:r>
          </w:p>
        </w:tc>
        <w:tc>
          <w:tcPr>
            <w:tcW w:w="2130" w:type="dxa"/>
            <w:tcBorders>
              <w:top w:val="nil"/>
              <w:left w:val="nil"/>
              <w:bottom w:val="single" w:sz="4" w:space="0" w:color="auto"/>
              <w:right w:val="nil"/>
            </w:tcBorders>
            <w:shd w:val="clear" w:color="auto" w:fill="auto"/>
            <w:vAlign w:val="center"/>
            <w:hideMark/>
          </w:tcPr>
          <w:p w14:paraId="0AB7B5C7"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(t=0)</w:t>
            </w:r>
          </w:p>
        </w:tc>
        <w:tc>
          <w:tcPr>
            <w:tcW w:w="2130" w:type="dxa"/>
            <w:tcBorders>
              <w:top w:val="nil"/>
              <w:left w:val="nil"/>
              <w:bottom w:val="single" w:sz="4" w:space="0" w:color="auto"/>
              <w:right w:val="nil"/>
            </w:tcBorders>
            <w:shd w:val="clear" w:color="auto" w:fill="auto"/>
            <w:noWrap/>
            <w:vAlign w:val="center"/>
            <w:hideMark/>
          </w:tcPr>
          <w:p w14:paraId="44C54BDD"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(t=1)</w:t>
            </w:r>
          </w:p>
        </w:tc>
        <w:tc>
          <w:tcPr>
            <w:tcW w:w="1047" w:type="dxa"/>
            <w:vMerge/>
            <w:tcBorders>
              <w:top w:val="single" w:sz="4" w:space="0" w:color="auto"/>
              <w:left w:val="nil"/>
              <w:bottom w:val="single" w:sz="4" w:space="0" w:color="000000"/>
              <w:right w:val="nil"/>
            </w:tcBorders>
            <w:vAlign w:val="center"/>
            <w:hideMark/>
          </w:tcPr>
          <w:p w14:paraId="5FFC3C71" w14:textId="77777777" w:rsidR="00106E23" w:rsidRPr="006C6F80" w:rsidRDefault="00106E23" w:rsidP="00030C01">
            <w:pPr>
              <w:rPr>
                <w:i/>
                <w:iCs/>
                <w:color w:val="000000" w:themeColor="text1"/>
                <w:sz w:val="20"/>
                <w:szCs w:val="20"/>
              </w:rPr>
            </w:pPr>
          </w:p>
        </w:tc>
      </w:tr>
      <w:tr w:rsidR="00106E23" w:rsidRPr="006C6F80" w14:paraId="3E9FB556" w14:textId="77777777" w:rsidTr="00030C01">
        <w:trPr>
          <w:trHeight w:val="260"/>
          <w:jc w:val="center"/>
        </w:trPr>
        <w:tc>
          <w:tcPr>
            <w:tcW w:w="1813" w:type="dxa"/>
            <w:tcBorders>
              <w:top w:val="nil"/>
              <w:left w:val="nil"/>
              <w:bottom w:val="nil"/>
              <w:right w:val="nil"/>
            </w:tcBorders>
            <w:shd w:val="clear" w:color="auto" w:fill="auto"/>
            <w:noWrap/>
            <w:vAlign w:val="center"/>
            <w:hideMark/>
          </w:tcPr>
          <w:p w14:paraId="3DF5D33D"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Returnees</w:t>
            </w:r>
          </w:p>
        </w:tc>
        <w:tc>
          <w:tcPr>
            <w:tcW w:w="2130" w:type="dxa"/>
            <w:tcBorders>
              <w:top w:val="nil"/>
              <w:left w:val="nil"/>
              <w:bottom w:val="nil"/>
              <w:right w:val="nil"/>
            </w:tcBorders>
            <w:shd w:val="clear" w:color="auto" w:fill="auto"/>
            <w:noWrap/>
            <w:vAlign w:val="center"/>
            <w:hideMark/>
          </w:tcPr>
          <w:p w14:paraId="1AB58DA0" w14:textId="77777777" w:rsidR="00106E23" w:rsidRPr="006C6F80" w:rsidRDefault="00106E23" w:rsidP="00030C01">
            <w:pPr>
              <w:jc w:val="center"/>
              <w:rPr>
                <w:color w:val="000000" w:themeColor="text1"/>
                <w:sz w:val="20"/>
                <w:szCs w:val="20"/>
              </w:rPr>
            </w:pPr>
            <w:r w:rsidRPr="006C6F80">
              <w:rPr>
                <w:color w:val="000000" w:themeColor="text1"/>
                <w:sz w:val="20"/>
                <w:szCs w:val="20"/>
              </w:rPr>
              <w:t>2.346</w:t>
            </w:r>
          </w:p>
        </w:tc>
        <w:tc>
          <w:tcPr>
            <w:tcW w:w="2130" w:type="dxa"/>
            <w:tcBorders>
              <w:top w:val="nil"/>
              <w:left w:val="nil"/>
              <w:bottom w:val="nil"/>
              <w:right w:val="nil"/>
            </w:tcBorders>
            <w:shd w:val="clear" w:color="auto" w:fill="auto"/>
            <w:noWrap/>
            <w:vAlign w:val="center"/>
            <w:hideMark/>
          </w:tcPr>
          <w:p w14:paraId="4206EB06" w14:textId="77777777" w:rsidR="00106E23" w:rsidRPr="006C6F80" w:rsidRDefault="00106E23" w:rsidP="00030C01">
            <w:pPr>
              <w:jc w:val="center"/>
              <w:rPr>
                <w:color w:val="000000" w:themeColor="text1"/>
                <w:sz w:val="20"/>
                <w:szCs w:val="20"/>
              </w:rPr>
            </w:pPr>
            <w:r w:rsidRPr="006C6F80">
              <w:rPr>
                <w:color w:val="000000" w:themeColor="text1"/>
                <w:sz w:val="20"/>
                <w:szCs w:val="20"/>
              </w:rPr>
              <w:t>3.080</w:t>
            </w:r>
          </w:p>
        </w:tc>
        <w:tc>
          <w:tcPr>
            <w:tcW w:w="1047" w:type="dxa"/>
            <w:tcBorders>
              <w:top w:val="nil"/>
              <w:left w:val="nil"/>
              <w:bottom w:val="nil"/>
              <w:right w:val="nil"/>
            </w:tcBorders>
            <w:shd w:val="clear" w:color="auto" w:fill="auto"/>
            <w:noWrap/>
            <w:vAlign w:val="bottom"/>
            <w:hideMark/>
          </w:tcPr>
          <w:p w14:paraId="1E730BFD" w14:textId="77777777" w:rsidR="00106E23" w:rsidRPr="006C6F80" w:rsidRDefault="00106E23" w:rsidP="00030C01">
            <w:pPr>
              <w:jc w:val="center"/>
              <w:rPr>
                <w:color w:val="000000" w:themeColor="text1"/>
                <w:sz w:val="20"/>
                <w:szCs w:val="20"/>
              </w:rPr>
            </w:pPr>
            <w:r w:rsidRPr="006C6F80">
              <w:rPr>
                <w:color w:val="000000" w:themeColor="text1"/>
                <w:sz w:val="20"/>
                <w:szCs w:val="20"/>
              </w:rPr>
              <w:t>0.735***</w:t>
            </w:r>
          </w:p>
        </w:tc>
      </w:tr>
      <w:tr w:rsidR="00106E23" w:rsidRPr="006C6F80" w14:paraId="29477881" w14:textId="77777777" w:rsidTr="00030C01">
        <w:trPr>
          <w:trHeight w:val="260"/>
          <w:jc w:val="center"/>
        </w:trPr>
        <w:tc>
          <w:tcPr>
            <w:tcW w:w="1813" w:type="dxa"/>
            <w:tcBorders>
              <w:top w:val="nil"/>
              <w:left w:val="nil"/>
              <w:bottom w:val="nil"/>
              <w:right w:val="nil"/>
            </w:tcBorders>
            <w:shd w:val="clear" w:color="auto" w:fill="auto"/>
            <w:noWrap/>
            <w:vAlign w:val="center"/>
            <w:hideMark/>
          </w:tcPr>
          <w:p w14:paraId="0FFC8893"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(Treatment group)</w:t>
            </w:r>
          </w:p>
        </w:tc>
        <w:tc>
          <w:tcPr>
            <w:tcW w:w="2130" w:type="dxa"/>
            <w:tcBorders>
              <w:top w:val="nil"/>
              <w:left w:val="nil"/>
              <w:bottom w:val="nil"/>
              <w:right w:val="nil"/>
            </w:tcBorders>
            <w:shd w:val="clear" w:color="auto" w:fill="auto"/>
            <w:noWrap/>
            <w:vAlign w:val="center"/>
            <w:hideMark/>
          </w:tcPr>
          <w:p w14:paraId="66102B31" w14:textId="77777777" w:rsidR="00106E23" w:rsidRPr="006C6F80" w:rsidRDefault="00106E23" w:rsidP="00030C01">
            <w:pPr>
              <w:jc w:val="center"/>
              <w:rPr>
                <w:color w:val="000000" w:themeColor="text1"/>
                <w:sz w:val="20"/>
                <w:szCs w:val="20"/>
              </w:rPr>
            </w:pPr>
            <w:r w:rsidRPr="006C6F80">
              <w:rPr>
                <w:color w:val="000000" w:themeColor="text1"/>
                <w:sz w:val="20"/>
                <w:szCs w:val="20"/>
              </w:rPr>
              <w:t>(0.076)</w:t>
            </w:r>
          </w:p>
        </w:tc>
        <w:tc>
          <w:tcPr>
            <w:tcW w:w="2130" w:type="dxa"/>
            <w:tcBorders>
              <w:top w:val="nil"/>
              <w:left w:val="nil"/>
              <w:bottom w:val="nil"/>
              <w:right w:val="nil"/>
            </w:tcBorders>
            <w:shd w:val="clear" w:color="auto" w:fill="auto"/>
            <w:noWrap/>
            <w:vAlign w:val="center"/>
            <w:hideMark/>
          </w:tcPr>
          <w:p w14:paraId="1555F50F" w14:textId="77777777" w:rsidR="00106E23" w:rsidRPr="006C6F80" w:rsidRDefault="00106E23" w:rsidP="00030C01">
            <w:pPr>
              <w:jc w:val="center"/>
              <w:rPr>
                <w:color w:val="000000" w:themeColor="text1"/>
                <w:sz w:val="20"/>
                <w:szCs w:val="20"/>
              </w:rPr>
            </w:pPr>
            <w:r w:rsidRPr="006C6F80">
              <w:rPr>
                <w:color w:val="000000" w:themeColor="text1"/>
                <w:sz w:val="20"/>
                <w:szCs w:val="20"/>
              </w:rPr>
              <w:t>(0.088)</w:t>
            </w:r>
          </w:p>
        </w:tc>
        <w:tc>
          <w:tcPr>
            <w:tcW w:w="1047" w:type="dxa"/>
            <w:tcBorders>
              <w:top w:val="nil"/>
              <w:left w:val="nil"/>
              <w:bottom w:val="nil"/>
              <w:right w:val="nil"/>
            </w:tcBorders>
            <w:shd w:val="clear" w:color="auto" w:fill="auto"/>
            <w:noWrap/>
            <w:vAlign w:val="bottom"/>
            <w:hideMark/>
          </w:tcPr>
          <w:p w14:paraId="1DA6F666" w14:textId="77777777" w:rsidR="00106E23" w:rsidRPr="006C6F80" w:rsidRDefault="00106E23" w:rsidP="00030C01">
            <w:pPr>
              <w:jc w:val="center"/>
              <w:rPr>
                <w:color w:val="000000" w:themeColor="text1"/>
                <w:sz w:val="20"/>
                <w:szCs w:val="20"/>
              </w:rPr>
            </w:pPr>
            <w:r w:rsidRPr="006C6F80">
              <w:rPr>
                <w:color w:val="000000" w:themeColor="text1"/>
                <w:sz w:val="20"/>
                <w:szCs w:val="20"/>
              </w:rPr>
              <w:t>(0.079)</w:t>
            </w:r>
          </w:p>
        </w:tc>
      </w:tr>
      <w:tr w:rsidR="00106E23" w:rsidRPr="006C6F80" w14:paraId="2B1F2F7D" w14:textId="77777777" w:rsidTr="00030C01">
        <w:trPr>
          <w:trHeight w:val="260"/>
          <w:jc w:val="center"/>
        </w:trPr>
        <w:tc>
          <w:tcPr>
            <w:tcW w:w="1813" w:type="dxa"/>
            <w:tcBorders>
              <w:top w:val="nil"/>
              <w:left w:val="nil"/>
              <w:bottom w:val="nil"/>
              <w:right w:val="nil"/>
            </w:tcBorders>
            <w:shd w:val="clear" w:color="auto" w:fill="auto"/>
            <w:noWrap/>
            <w:vAlign w:val="center"/>
            <w:hideMark/>
          </w:tcPr>
          <w:p w14:paraId="35E6B159" w14:textId="77777777" w:rsidR="00106E23" w:rsidRPr="006C6F80" w:rsidRDefault="00106E23" w:rsidP="00030C01">
            <w:pPr>
              <w:jc w:val="center"/>
              <w:rPr>
                <w:color w:val="000000" w:themeColor="text1"/>
                <w:sz w:val="20"/>
                <w:szCs w:val="20"/>
              </w:rPr>
            </w:pPr>
          </w:p>
        </w:tc>
        <w:tc>
          <w:tcPr>
            <w:tcW w:w="2130" w:type="dxa"/>
            <w:tcBorders>
              <w:top w:val="nil"/>
              <w:left w:val="nil"/>
              <w:bottom w:val="nil"/>
              <w:right w:val="nil"/>
            </w:tcBorders>
            <w:shd w:val="clear" w:color="auto" w:fill="auto"/>
            <w:noWrap/>
            <w:vAlign w:val="center"/>
            <w:hideMark/>
          </w:tcPr>
          <w:p w14:paraId="6E2E7DEB" w14:textId="77777777" w:rsidR="00106E23" w:rsidRPr="006C6F80" w:rsidRDefault="00106E23" w:rsidP="00030C01">
            <w:pPr>
              <w:jc w:val="center"/>
              <w:rPr>
                <w:color w:val="000000" w:themeColor="text1"/>
                <w:sz w:val="20"/>
                <w:szCs w:val="20"/>
              </w:rPr>
            </w:pPr>
          </w:p>
        </w:tc>
        <w:tc>
          <w:tcPr>
            <w:tcW w:w="2130" w:type="dxa"/>
            <w:tcBorders>
              <w:top w:val="nil"/>
              <w:left w:val="nil"/>
              <w:bottom w:val="nil"/>
              <w:right w:val="nil"/>
            </w:tcBorders>
            <w:shd w:val="clear" w:color="auto" w:fill="auto"/>
            <w:noWrap/>
            <w:vAlign w:val="center"/>
            <w:hideMark/>
          </w:tcPr>
          <w:p w14:paraId="08A1915E" w14:textId="77777777" w:rsidR="00106E23" w:rsidRPr="006C6F80" w:rsidRDefault="00106E23" w:rsidP="00030C01">
            <w:pPr>
              <w:jc w:val="center"/>
              <w:rPr>
                <w:color w:val="000000" w:themeColor="text1"/>
                <w:sz w:val="20"/>
                <w:szCs w:val="20"/>
              </w:rPr>
            </w:pPr>
          </w:p>
        </w:tc>
        <w:tc>
          <w:tcPr>
            <w:tcW w:w="1047" w:type="dxa"/>
            <w:tcBorders>
              <w:top w:val="nil"/>
              <w:left w:val="nil"/>
              <w:bottom w:val="nil"/>
              <w:right w:val="nil"/>
            </w:tcBorders>
            <w:shd w:val="clear" w:color="auto" w:fill="auto"/>
            <w:noWrap/>
            <w:vAlign w:val="center"/>
            <w:hideMark/>
          </w:tcPr>
          <w:p w14:paraId="39527354" w14:textId="77777777" w:rsidR="00106E23" w:rsidRPr="006C6F80" w:rsidRDefault="00106E23" w:rsidP="00030C01">
            <w:pPr>
              <w:jc w:val="center"/>
              <w:rPr>
                <w:color w:val="000000" w:themeColor="text1"/>
                <w:sz w:val="20"/>
                <w:szCs w:val="20"/>
              </w:rPr>
            </w:pPr>
          </w:p>
        </w:tc>
      </w:tr>
      <w:tr w:rsidR="00106E23" w:rsidRPr="006C6F80" w14:paraId="3ED19713" w14:textId="77777777" w:rsidTr="00030C01">
        <w:trPr>
          <w:trHeight w:val="260"/>
          <w:jc w:val="center"/>
        </w:trPr>
        <w:tc>
          <w:tcPr>
            <w:tcW w:w="1813" w:type="dxa"/>
            <w:tcBorders>
              <w:top w:val="nil"/>
              <w:left w:val="nil"/>
              <w:bottom w:val="nil"/>
              <w:right w:val="nil"/>
            </w:tcBorders>
            <w:shd w:val="clear" w:color="auto" w:fill="auto"/>
            <w:noWrap/>
            <w:vAlign w:val="center"/>
            <w:hideMark/>
          </w:tcPr>
          <w:p w14:paraId="666D9D4F"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Stayers</w:t>
            </w:r>
          </w:p>
        </w:tc>
        <w:tc>
          <w:tcPr>
            <w:tcW w:w="2130" w:type="dxa"/>
            <w:tcBorders>
              <w:top w:val="nil"/>
              <w:left w:val="nil"/>
              <w:bottom w:val="nil"/>
              <w:right w:val="nil"/>
            </w:tcBorders>
            <w:shd w:val="clear" w:color="auto" w:fill="auto"/>
            <w:noWrap/>
            <w:vAlign w:val="center"/>
            <w:hideMark/>
          </w:tcPr>
          <w:p w14:paraId="1638C3CE" w14:textId="77777777" w:rsidR="00106E23" w:rsidRPr="006C6F80" w:rsidRDefault="00106E23" w:rsidP="00030C01">
            <w:pPr>
              <w:jc w:val="center"/>
              <w:rPr>
                <w:color w:val="000000" w:themeColor="text1"/>
                <w:sz w:val="20"/>
                <w:szCs w:val="20"/>
              </w:rPr>
            </w:pPr>
            <w:r w:rsidRPr="006C6F80">
              <w:rPr>
                <w:color w:val="000000" w:themeColor="text1"/>
                <w:sz w:val="20"/>
                <w:szCs w:val="20"/>
              </w:rPr>
              <w:t>2.528</w:t>
            </w:r>
          </w:p>
        </w:tc>
        <w:tc>
          <w:tcPr>
            <w:tcW w:w="2130" w:type="dxa"/>
            <w:tcBorders>
              <w:top w:val="nil"/>
              <w:left w:val="nil"/>
              <w:bottom w:val="nil"/>
              <w:right w:val="nil"/>
            </w:tcBorders>
            <w:shd w:val="clear" w:color="auto" w:fill="auto"/>
            <w:noWrap/>
            <w:vAlign w:val="center"/>
            <w:hideMark/>
          </w:tcPr>
          <w:p w14:paraId="1ABC8317" w14:textId="77777777" w:rsidR="00106E23" w:rsidRPr="006C6F80" w:rsidRDefault="00106E23" w:rsidP="00030C01">
            <w:pPr>
              <w:jc w:val="center"/>
              <w:rPr>
                <w:color w:val="000000" w:themeColor="text1"/>
                <w:sz w:val="20"/>
                <w:szCs w:val="20"/>
              </w:rPr>
            </w:pPr>
            <w:r w:rsidRPr="006C6F80">
              <w:rPr>
                <w:color w:val="000000" w:themeColor="text1"/>
                <w:sz w:val="20"/>
                <w:szCs w:val="20"/>
              </w:rPr>
              <w:t>3.015</w:t>
            </w:r>
          </w:p>
        </w:tc>
        <w:tc>
          <w:tcPr>
            <w:tcW w:w="1047" w:type="dxa"/>
            <w:tcBorders>
              <w:top w:val="nil"/>
              <w:left w:val="nil"/>
              <w:bottom w:val="nil"/>
              <w:right w:val="nil"/>
            </w:tcBorders>
            <w:shd w:val="clear" w:color="auto" w:fill="auto"/>
            <w:noWrap/>
            <w:vAlign w:val="bottom"/>
            <w:hideMark/>
          </w:tcPr>
          <w:p w14:paraId="4CFDC73F" w14:textId="77777777" w:rsidR="00106E23" w:rsidRPr="006C6F80" w:rsidRDefault="00106E23" w:rsidP="00030C01">
            <w:pPr>
              <w:jc w:val="center"/>
              <w:rPr>
                <w:color w:val="000000" w:themeColor="text1"/>
                <w:sz w:val="20"/>
                <w:szCs w:val="20"/>
              </w:rPr>
            </w:pPr>
            <w:r w:rsidRPr="006C6F80">
              <w:rPr>
                <w:color w:val="000000" w:themeColor="text1"/>
                <w:sz w:val="20"/>
                <w:szCs w:val="20"/>
              </w:rPr>
              <w:t>0.488***</w:t>
            </w:r>
          </w:p>
        </w:tc>
      </w:tr>
      <w:tr w:rsidR="00106E23" w:rsidRPr="006C6F80" w14:paraId="04FA9E43" w14:textId="77777777" w:rsidTr="00030C01">
        <w:trPr>
          <w:trHeight w:val="260"/>
          <w:jc w:val="center"/>
        </w:trPr>
        <w:tc>
          <w:tcPr>
            <w:tcW w:w="1813" w:type="dxa"/>
            <w:tcBorders>
              <w:top w:val="nil"/>
              <w:left w:val="nil"/>
              <w:bottom w:val="nil"/>
              <w:right w:val="nil"/>
            </w:tcBorders>
            <w:shd w:val="clear" w:color="auto" w:fill="auto"/>
            <w:noWrap/>
            <w:vAlign w:val="center"/>
            <w:hideMark/>
          </w:tcPr>
          <w:p w14:paraId="099D8FEB"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(Control group)</w:t>
            </w:r>
          </w:p>
        </w:tc>
        <w:tc>
          <w:tcPr>
            <w:tcW w:w="2130" w:type="dxa"/>
            <w:tcBorders>
              <w:top w:val="nil"/>
              <w:left w:val="nil"/>
              <w:bottom w:val="nil"/>
              <w:right w:val="nil"/>
            </w:tcBorders>
            <w:shd w:val="clear" w:color="auto" w:fill="auto"/>
            <w:noWrap/>
            <w:vAlign w:val="center"/>
            <w:hideMark/>
          </w:tcPr>
          <w:p w14:paraId="7CA6DFF1" w14:textId="77777777" w:rsidR="00106E23" w:rsidRPr="006C6F80" w:rsidRDefault="00106E23" w:rsidP="00030C01">
            <w:pPr>
              <w:jc w:val="center"/>
              <w:rPr>
                <w:color w:val="000000" w:themeColor="text1"/>
                <w:sz w:val="20"/>
                <w:szCs w:val="20"/>
              </w:rPr>
            </w:pPr>
            <w:r w:rsidRPr="006C6F80">
              <w:rPr>
                <w:color w:val="000000" w:themeColor="text1"/>
                <w:sz w:val="20"/>
                <w:szCs w:val="20"/>
              </w:rPr>
              <w:t>(0.078)</w:t>
            </w:r>
          </w:p>
        </w:tc>
        <w:tc>
          <w:tcPr>
            <w:tcW w:w="2130" w:type="dxa"/>
            <w:tcBorders>
              <w:top w:val="nil"/>
              <w:left w:val="nil"/>
              <w:bottom w:val="nil"/>
              <w:right w:val="nil"/>
            </w:tcBorders>
            <w:shd w:val="clear" w:color="auto" w:fill="auto"/>
            <w:noWrap/>
            <w:vAlign w:val="center"/>
            <w:hideMark/>
          </w:tcPr>
          <w:p w14:paraId="28EA1BE2" w14:textId="77777777" w:rsidR="00106E23" w:rsidRPr="006C6F80" w:rsidRDefault="00106E23" w:rsidP="00030C01">
            <w:pPr>
              <w:jc w:val="center"/>
              <w:rPr>
                <w:color w:val="000000" w:themeColor="text1"/>
                <w:sz w:val="20"/>
                <w:szCs w:val="20"/>
              </w:rPr>
            </w:pPr>
            <w:r w:rsidRPr="006C6F80">
              <w:rPr>
                <w:color w:val="000000" w:themeColor="text1"/>
                <w:sz w:val="20"/>
                <w:szCs w:val="20"/>
              </w:rPr>
              <w:t>(0.083)</w:t>
            </w:r>
          </w:p>
        </w:tc>
        <w:tc>
          <w:tcPr>
            <w:tcW w:w="1047" w:type="dxa"/>
            <w:tcBorders>
              <w:top w:val="nil"/>
              <w:left w:val="nil"/>
              <w:bottom w:val="nil"/>
              <w:right w:val="nil"/>
            </w:tcBorders>
            <w:shd w:val="clear" w:color="auto" w:fill="auto"/>
            <w:noWrap/>
            <w:vAlign w:val="bottom"/>
            <w:hideMark/>
          </w:tcPr>
          <w:p w14:paraId="383C8658" w14:textId="77777777" w:rsidR="00106E23" w:rsidRPr="006C6F80" w:rsidRDefault="00106E23" w:rsidP="00030C01">
            <w:pPr>
              <w:jc w:val="center"/>
              <w:rPr>
                <w:color w:val="000000" w:themeColor="text1"/>
                <w:sz w:val="20"/>
                <w:szCs w:val="20"/>
              </w:rPr>
            </w:pPr>
            <w:r w:rsidRPr="006C6F80">
              <w:rPr>
                <w:color w:val="000000" w:themeColor="text1"/>
                <w:sz w:val="20"/>
                <w:szCs w:val="20"/>
              </w:rPr>
              <w:t>(0.072)</w:t>
            </w:r>
          </w:p>
        </w:tc>
      </w:tr>
      <w:tr w:rsidR="00106E23" w:rsidRPr="006C6F80" w14:paraId="25EF048C" w14:textId="77777777" w:rsidTr="00030C01">
        <w:trPr>
          <w:trHeight w:val="260"/>
          <w:jc w:val="center"/>
        </w:trPr>
        <w:tc>
          <w:tcPr>
            <w:tcW w:w="1813" w:type="dxa"/>
            <w:tcBorders>
              <w:top w:val="nil"/>
              <w:left w:val="nil"/>
              <w:bottom w:val="nil"/>
              <w:right w:val="nil"/>
            </w:tcBorders>
            <w:shd w:val="clear" w:color="auto" w:fill="auto"/>
            <w:noWrap/>
            <w:vAlign w:val="center"/>
            <w:hideMark/>
          </w:tcPr>
          <w:p w14:paraId="1D961DF9" w14:textId="77777777" w:rsidR="00106E23" w:rsidRPr="006C6F80" w:rsidRDefault="00106E23" w:rsidP="00030C01">
            <w:pPr>
              <w:jc w:val="center"/>
              <w:rPr>
                <w:color w:val="000000" w:themeColor="text1"/>
                <w:sz w:val="20"/>
                <w:szCs w:val="20"/>
              </w:rPr>
            </w:pPr>
          </w:p>
        </w:tc>
        <w:tc>
          <w:tcPr>
            <w:tcW w:w="2130" w:type="dxa"/>
            <w:tcBorders>
              <w:top w:val="nil"/>
              <w:left w:val="nil"/>
              <w:bottom w:val="nil"/>
              <w:right w:val="nil"/>
            </w:tcBorders>
            <w:shd w:val="clear" w:color="auto" w:fill="auto"/>
            <w:noWrap/>
            <w:vAlign w:val="bottom"/>
            <w:hideMark/>
          </w:tcPr>
          <w:p w14:paraId="2308A4B0" w14:textId="77777777" w:rsidR="00106E23" w:rsidRPr="006C6F80" w:rsidRDefault="00106E23" w:rsidP="00030C01">
            <w:pPr>
              <w:jc w:val="center"/>
              <w:rPr>
                <w:color w:val="000000" w:themeColor="text1"/>
                <w:sz w:val="20"/>
                <w:szCs w:val="20"/>
              </w:rPr>
            </w:pPr>
          </w:p>
        </w:tc>
        <w:tc>
          <w:tcPr>
            <w:tcW w:w="2130" w:type="dxa"/>
            <w:tcBorders>
              <w:top w:val="nil"/>
              <w:left w:val="nil"/>
              <w:bottom w:val="nil"/>
              <w:right w:val="nil"/>
            </w:tcBorders>
            <w:shd w:val="clear" w:color="auto" w:fill="auto"/>
            <w:noWrap/>
            <w:vAlign w:val="bottom"/>
            <w:hideMark/>
          </w:tcPr>
          <w:p w14:paraId="1DA2B581" w14:textId="77777777" w:rsidR="00106E23" w:rsidRPr="006C6F80" w:rsidRDefault="00106E23" w:rsidP="00030C01">
            <w:pPr>
              <w:jc w:val="center"/>
              <w:rPr>
                <w:color w:val="000000" w:themeColor="text1"/>
                <w:sz w:val="20"/>
                <w:szCs w:val="20"/>
              </w:rPr>
            </w:pPr>
          </w:p>
        </w:tc>
        <w:tc>
          <w:tcPr>
            <w:tcW w:w="1047" w:type="dxa"/>
            <w:tcBorders>
              <w:top w:val="nil"/>
              <w:left w:val="nil"/>
              <w:bottom w:val="nil"/>
              <w:right w:val="nil"/>
            </w:tcBorders>
            <w:shd w:val="clear" w:color="auto" w:fill="auto"/>
            <w:noWrap/>
            <w:vAlign w:val="center"/>
            <w:hideMark/>
          </w:tcPr>
          <w:p w14:paraId="0619C6DF" w14:textId="77777777" w:rsidR="00106E23" w:rsidRPr="006C6F80" w:rsidRDefault="00106E23" w:rsidP="00030C01">
            <w:pPr>
              <w:jc w:val="center"/>
              <w:rPr>
                <w:color w:val="000000" w:themeColor="text1"/>
                <w:sz w:val="20"/>
                <w:szCs w:val="20"/>
              </w:rPr>
            </w:pPr>
          </w:p>
        </w:tc>
      </w:tr>
      <w:tr w:rsidR="00106E23" w:rsidRPr="006C6F80" w14:paraId="48749CA5" w14:textId="77777777" w:rsidTr="00030C01">
        <w:trPr>
          <w:trHeight w:val="260"/>
          <w:jc w:val="center"/>
        </w:trPr>
        <w:tc>
          <w:tcPr>
            <w:tcW w:w="1813" w:type="dxa"/>
            <w:vMerge w:val="restart"/>
            <w:tcBorders>
              <w:top w:val="nil"/>
              <w:left w:val="nil"/>
              <w:bottom w:val="single" w:sz="4" w:space="0" w:color="000000"/>
              <w:right w:val="nil"/>
            </w:tcBorders>
            <w:shd w:val="clear" w:color="auto" w:fill="auto"/>
            <w:noWrap/>
            <w:vAlign w:val="center"/>
            <w:hideMark/>
          </w:tcPr>
          <w:p w14:paraId="5D8E36CA"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Difference</w:t>
            </w:r>
          </w:p>
        </w:tc>
        <w:tc>
          <w:tcPr>
            <w:tcW w:w="2130" w:type="dxa"/>
            <w:tcBorders>
              <w:top w:val="nil"/>
              <w:left w:val="nil"/>
              <w:bottom w:val="nil"/>
              <w:right w:val="nil"/>
            </w:tcBorders>
            <w:shd w:val="clear" w:color="auto" w:fill="auto"/>
            <w:noWrap/>
            <w:vAlign w:val="bottom"/>
            <w:hideMark/>
          </w:tcPr>
          <w:p w14:paraId="33D8CB9C" w14:textId="77777777" w:rsidR="00106E23" w:rsidRPr="006C6F80" w:rsidRDefault="00106E23" w:rsidP="00030C01">
            <w:pPr>
              <w:jc w:val="center"/>
              <w:rPr>
                <w:color w:val="000000" w:themeColor="text1"/>
                <w:sz w:val="20"/>
                <w:szCs w:val="20"/>
              </w:rPr>
            </w:pPr>
            <w:r w:rsidRPr="006C6F80">
              <w:rPr>
                <w:color w:val="000000" w:themeColor="text1"/>
                <w:sz w:val="20"/>
                <w:szCs w:val="20"/>
              </w:rPr>
              <w:t>-0.182*</w:t>
            </w:r>
          </w:p>
        </w:tc>
        <w:tc>
          <w:tcPr>
            <w:tcW w:w="2130" w:type="dxa"/>
            <w:tcBorders>
              <w:top w:val="nil"/>
              <w:left w:val="nil"/>
              <w:bottom w:val="nil"/>
              <w:right w:val="nil"/>
            </w:tcBorders>
            <w:shd w:val="clear" w:color="auto" w:fill="auto"/>
            <w:noWrap/>
            <w:vAlign w:val="bottom"/>
            <w:hideMark/>
          </w:tcPr>
          <w:p w14:paraId="1F07EC8D" w14:textId="77777777" w:rsidR="00106E23" w:rsidRPr="006C6F80" w:rsidRDefault="00106E23" w:rsidP="00030C01">
            <w:pPr>
              <w:jc w:val="center"/>
              <w:rPr>
                <w:color w:val="000000" w:themeColor="text1"/>
                <w:sz w:val="20"/>
                <w:szCs w:val="20"/>
              </w:rPr>
            </w:pPr>
            <w:r w:rsidRPr="006C6F80">
              <w:rPr>
                <w:color w:val="000000" w:themeColor="text1"/>
                <w:sz w:val="20"/>
                <w:szCs w:val="20"/>
              </w:rPr>
              <w:t>0.065</w:t>
            </w:r>
          </w:p>
        </w:tc>
        <w:tc>
          <w:tcPr>
            <w:tcW w:w="1047" w:type="dxa"/>
            <w:tcBorders>
              <w:top w:val="nil"/>
              <w:left w:val="nil"/>
              <w:bottom w:val="nil"/>
              <w:right w:val="nil"/>
            </w:tcBorders>
            <w:shd w:val="clear" w:color="auto" w:fill="auto"/>
            <w:noWrap/>
            <w:vAlign w:val="bottom"/>
            <w:hideMark/>
          </w:tcPr>
          <w:p w14:paraId="0E0A9EA3" w14:textId="77777777" w:rsidR="00106E23" w:rsidRPr="006C6F80" w:rsidRDefault="00106E23" w:rsidP="00030C01">
            <w:pPr>
              <w:jc w:val="center"/>
              <w:rPr>
                <w:color w:val="000000" w:themeColor="text1"/>
                <w:sz w:val="20"/>
                <w:szCs w:val="20"/>
              </w:rPr>
            </w:pPr>
            <w:r w:rsidRPr="006C6F80">
              <w:rPr>
                <w:color w:val="000000" w:themeColor="text1"/>
                <w:sz w:val="20"/>
                <w:szCs w:val="20"/>
              </w:rPr>
              <w:t>0.247*</w:t>
            </w:r>
          </w:p>
        </w:tc>
      </w:tr>
      <w:tr w:rsidR="00106E23" w:rsidRPr="006C6F80" w14:paraId="5E7F3674" w14:textId="77777777" w:rsidTr="00030C01">
        <w:trPr>
          <w:trHeight w:val="260"/>
          <w:jc w:val="center"/>
        </w:trPr>
        <w:tc>
          <w:tcPr>
            <w:tcW w:w="1813" w:type="dxa"/>
            <w:vMerge/>
            <w:tcBorders>
              <w:top w:val="nil"/>
              <w:left w:val="nil"/>
              <w:bottom w:val="single" w:sz="4" w:space="0" w:color="000000"/>
              <w:right w:val="nil"/>
            </w:tcBorders>
            <w:vAlign w:val="center"/>
            <w:hideMark/>
          </w:tcPr>
          <w:p w14:paraId="3CAA4015" w14:textId="77777777" w:rsidR="00106E23" w:rsidRPr="006C6F80" w:rsidRDefault="00106E23" w:rsidP="00030C01">
            <w:pPr>
              <w:rPr>
                <w:i/>
                <w:iCs/>
                <w:color w:val="000000" w:themeColor="text1"/>
                <w:sz w:val="20"/>
                <w:szCs w:val="20"/>
              </w:rPr>
            </w:pPr>
          </w:p>
        </w:tc>
        <w:tc>
          <w:tcPr>
            <w:tcW w:w="2130" w:type="dxa"/>
            <w:tcBorders>
              <w:top w:val="nil"/>
              <w:left w:val="nil"/>
              <w:bottom w:val="nil"/>
              <w:right w:val="nil"/>
            </w:tcBorders>
            <w:shd w:val="clear" w:color="auto" w:fill="auto"/>
            <w:noWrap/>
            <w:vAlign w:val="bottom"/>
            <w:hideMark/>
          </w:tcPr>
          <w:p w14:paraId="6A692CCF" w14:textId="77777777" w:rsidR="00106E23" w:rsidRPr="006C6F80" w:rsidRDefault="00106E23" w:rsidP="00030C01">
            <w:pPr>
              <w:jc w:val="center"/>
              <w:rPr>
                <w:color w:val="000000" w:themeColor="text1"/>
                <w:sz w:val="20"/>
                <w:szCs w:val="20"/>
              </w:rPr>
            </w:pPr>
            <w:r w:rsidRPr="006C6F80">
              <w:rPr>
                <w:color w:val="000000" w:themeColor="text1"/>
                <w:sz w:val="20"/>
                <w:szCs w:val="20"/>
              </w:rPr>
              <w:t>(0.105)</w:t>
            </w:r>
          </w:p>
        </w:tc>
        <w:tc>
          <w:tcPr>
            <w:tcW w:w="2130" w:type="dxa"/>
            <w:tcBorders>
              <w:top w:val="nil"/>
              <w:left w:val="nil"/>
              <w:bottom w:val="nil"/>
              <w:right w:val="nil"/>
            </w:tcBorders>
            <w:shd w:val="clear" w:color="auto" w:fill="auto"/>
            <w:noWrap/>
            <w:vAlign w:val="bottom"/>
            <w:hideMark/>
          </w:tcPr>
          <w:p w14:paraId="5FE8F077" w14:textId="77777777" w:rsidR="00106E23" w:rsidRPr="006C6F80" w:rsidRDefault="00106E23" w:rsidP="00030C01">
            <w:pPr>
              <w:jc w:val="center"/>
              <w:rPr>
                <w:color w:val="000000" w:themeColor="text1"/>
                <w:sz w:val="20"/>
                <w:szCs w:val="20"/>
              </w:rPr>
            </w:pPr>
            <w:r w:rsidRPr="006C6F80">
              <w:rPr>
                <w:color w:val="000000" w:themeColor="text1"/>
                <w:sz w:val="20"/>
                <w:szCs w:val="20"/>
              </w:rPr>
              <w:t>(0.115)</w:t>
            </w:r>
          </w:p>
        </w:tc>
        <w:tc>
          <w:tcPr>
            <w:tcW w:w="1047" w:type="dxa"/>
            <w:tcBorders>
              <w:top w:val="nil"/>
              <w:left w:val="nil"/>
              <w:bottom w:val="nil"/>
              <w:right w:val="nil"/>
            </w:tcBorders>
            <w:shd w:val="clear" w:color="auto" w:fill="auto"/>
            <w:noWrap/>
            <w:vAlign w:val="bottom"/>
            <w:hideMark/>
          </w:tcPr>
          <w:p w14:paraId="065DFB52" w14:textId="77777777" w:rsidR="00106E23" w:rsidRPr="006C6F80" w:rsidRDefault="00106E23" w:rsidP="00030C01">
            <w:pPr>
              <w:jc w:val="center"/>
              <w:rPr>
                <w:color w:val="000000" w:themeColor="text1"/>
                <w:sz w:val="20"/>
                <w:szCs w:val="20"/>
              </w:rPr>
            </w:pPr>
            <w:r w:rsidRPr="006C6F80">
              <w:rPr>
                <w:color w:val="000000" w:themeColor="text1"/>
                <w:sz w:val="20"/>
                <w:szCs w:val="20"/>
              </w:rPr>
              <w:t>(0.144)</w:t>
            </w:r>
          </w:p>
        </w:tc>
      </w:tr>
      <w:tr w:rsidR="00106E23" w:rsidRPr="006C6F80" w14:paraId="5B80C365" w14:textId="77777777" w:rsidTr="00030C01">
        <w:trPr>
          <w:trHeight w:val="540"/>
          <w:jc w:val="center"/>
        </w:trPr>
        <w:tc>
          <w:tcPr>
            <w:tcW w:w="7120" w:type="dxa"/>
            <w:gridSpan w:val="4"/>
            <w:tcBorders>
              <w:top w:val="single" w:sz="4" w:space="0" w:color="auto"/>
              <w:left w:val="nil"/>
              <w:bottom w:val="single" w:sz="4" w:space="0" w:color="auto"/>
              <w:right w:val="nil"/>
            </w:tcBorders>
            <w:shd w:val="clear" w:color="auto" w:fill="auto"/>
            <w:vAlign w:val="center"/>
            <w:hideMark/>
          </w:tcPr>
          <w:p w14:paraId="5158ECC9" w14:textId="77777777" w:rsidR="00106E23" w:rsidRPr="006C6F80" w:rsidRDefault="00106E23" w:rsidP="00030C01">
            <w:pPr>
              <w:jc w:val="center"/>
              <w:rPr>
                <w:b/>
                <w:bCs/>
                <w:color w:val="000000" w:themeColor="text1"/>
                <w:sz w:val="20"/>
                <w:szCs w:val="20"/>
              </w:rPr>
            </w:pPr>
            <w:r w:rsidRPr="006C6F80">
              <w:rPr>
                <w:b/>
                <w:bCs/>
                <w:color w:val="000000" w:themeColor="text1"/>
                <w:sz w:val="20"/>
                <w:szCs w:val="20"/>
              </w:rPr>
              <w:t>Panel B: Propensity score matching combined with Difference-in-Differences, Matching on the first occupation</w:t>
            </w:r>
          </w:p>
        </w:tc>
      </w:tr>
      <w:tr w:rsidR="00106E23" w:rsidRPr="006C6F80" w14:paraId="00E93867" w14:textId="77777777" w:rsidTr="00030C01">
        <w:trPr>
          <w:trHeight w:val="260"/>
          <w:jc w:val="center"/>
        </w:trPr>
        <w:tc>
          <w:tcPr>
            <w:tcW w:w="7120" w:type="dxa"/>
            <w:gridSpan w:val="4"/>
            <w:tcBorders>
              <w:top w:val="single" w:sz="4" w:space="0" w:color="auto"/>
              <w:left w:val="nil"/>
              <w:bottom w:val="single" w:sz="4" w:space="0" w:color="auto"/>
              <w:right w:val="nil"/>
            </w:tcBorders>
            <w:shd w:val="clear" w:color="auto" w:fill="auto"/>
            <w:noWrap/>
            <w:vAlign w:val="center"/>
            <w:hideMark/>
          </w:tcPr>
          <w:p w14:paraId="75D4D480" w14:textId="77777777" w:rsidR="00106E23" w:rsidRPr="006C6F80" w:rsidRDefault="00106E23" w:rsidP="00030C01">
            <w:pPr>
              <w:jc w:val="center"/>
              <w:rPr>
                <w:b/>
                <w:bCs/>
                <w:color w:val="000000" w:themeColor="text1"/>
                <w:sz w:val="20"/>
                <w:szCs w:val="20"/>
              </w:rPr>
            </w:pPr>
            <w:r w:rsidRPr="006C6F80">
              <w:rPr>
                <w:b/>
                <w:bCs/>
                <w:color w:val="000000" w:themeColor="text1"/>
                <w:sz w:val="20"/>
                <w:szCs w:val="20"/>
              </w:rPr>
              <w:t>Sample of Returnees=325, Sample of Stayers=325</w:t>
            </w:r>
          </w:p>
        </w:tc>
      </w:tr>
      <w:tr w:rsidR="00106E23" w:rsidRPr="006C6F80" w14:paraId="450AB80E" w14:textId="77777777" w:rsidTr="00030C01">
        <w:trPr>
          <w:trHeight w:val="260"/>
          <w:jc w:val="center"/>
        </w:trPr>
        <w:tc>
          <w:tcPr>
            <w:tcW w:w="1813" w:type="dxa"/>
            <w:tcBorders>
              <w:top w:val="single" w:sz="4" w:space="0" w:color="auto"/>
              <w:left w:val="nil"/>
              <w:bottom w:val="nil"/>
              <w:right w:val="nil"/>
            </w:tcBorders>
            <w:shd w:val="clear" w:color="auto" w:fill="auto"/>
            <w:noWrap/>
            <w:vAlign w:val="center"/>
            <w:hideMark/>
          </w:tcPr>
          <w:p w14:paraId="0E256B50" w14:textId="77777777" w:rsidR="00106E23" w:rsidRPr="006C6F80" w:rsidRDefault="00106E23" w:rsidP="00030C01">
            <w:pPr>
              <w:rPr>
                <w:color w:val="000000" w:themeColor="text1"/>
                <w:sz w:val="20"/>
                <w:szCs w:val="20"/>
              </w:rPr>
            </w:pPr>
            <w:r w:rsidRPr="006C6F80">
              <w:rPr>
                <w:color w:val="000000" w:themeColor="text1"/>
                <w:sz w:val="20"/>
                <w:szCs w:val="20"/>
              </w:rPr>
              <w:t> </w:t>
            </w:r>
          </w:p>
        </w:tc>
        <w:tc>
          <w:tcPr>
            <w:tcW w:w="2130" w:type="dxa"/>
            <w:tcBorders>
              <w:top w:val="single" w:sz="4" w:space="0" w:color="auto"/>
              <w:left w:val="nil"/>
              <w:bottom w:val="nil"/>
              <w:right w:val="nil"/>
            </w:tcBorders>
            <w:shd w:val="clear" w:color="auto" w:fill="auto"/>
            <w:vAlign w:val="center"/>
            <w:hideMark/>
          </w:tcPr>
          <w:p w14:paraId="4C928FC4"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Before the treatment</w:t>
            </w:r>
          </w:p>
        </w:tc>
        <w:tc>
          <w:tcPr>
            <w:tcW w:w="2130" w:type="dxa"/>
            <w:tcBorders>
              <w:top w:val="single" w:sz="4" w:space="0" w:color="auto"/>
              <w:left w:val="nil"/>
              <w:bottom w:val="nil"/>
              <w:right w:val="nil"/>
            </w:tcBorders>
            <w:shd w:val="clear" w:color="auto" w:fill="auto"/>
            <w:vAlign w:val="center"/>
            <w:hideMark/>
          </w:tcPr>
          <w:p w14:paraId="2DA21DEB"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After the treatment</w:t>
            </w:r>
          </w:p>
        </w:tc>
        <w:tc>
          <w:tcPr>
            <w:tcW w:w="1047" w:type="dxa"/>
            <w:vMerge w:val="restart"/>
            <w:tcBorders>
              <w:top w:val="single" w:sz="4" w:space="0" w:color="auto"/>
              <w:left w:val="nil"/>
              <w:bottom w:val="single" w:sz="4" w:space="0" w:color="000000"/>
              <w:right w:val="nil"/>
            </w:tcBorders>
            <w:shd w:val="clear" w:color="auto" w:fill="auto"/>
            <w:noWrap/>
            <w:vAlign w:val="center"/>
            <w:hideMark/>
          </w:tcPr>
          <w:p w14:paraId="3F629C15"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Difference</w:t>
            </w:r>
          </w:p>
        </w:tc>
      </w:tr>
      <w:tr w:rsidR="00106E23" w:rsidRPr="006C6F80" w14:paraId="24D4BB62" w14:textId="77777777" w:rsidTr="00030C01">
        <w:trPr>
          <w:trHeight w:val="260"/>
          <w:jc w:val="center"/>
        </w:trPr>
        <w:tc>
          <w:tcPr>
            <w:tcW w:w="1813" w:type="dxa"/>
            <w:tcBorders>
              <w:top w:val="nil"/>
              <w:left w:val="nil"/>
              <w:bottom w:val="single" w:sz="4" w:space="0" w:color="auto"/>
              <w:right w:val="nil"/>
            </w:tcBorders>
            <w:shd w:val="clear" w:color="auto" w:fill="auto"/>
            <w:noWrap/>
            <w:vAlign w:val="center"/>
            <w:hideMark/>
          </w:tcPr>
          <w:p w14:paraId="4743D68A" w14:textId="77777777" w:rsidR="00106E23" w:rsidRPr="006C6F80" w:rsidRDefault="00106E23" w:rsidP="00030C01">
            <w:pPr>
              <w:rPr>
                <w:color w:val="000000" w:themeColor="text1"/>
                <w:sz w:val="20"/>
                <w:szCs w:val="20"/>
              </w:rPr>
            </w:pPr>
            <w:r w:rsidRPr="006C6F80">
              <w:rPr>
                <w:color w:val="000000" w:themeColor="text1"/>
                <w:sz w:val="20"/>
                <w:szCs w:val="20"/>
              </w:rPr>
              <w:t> </w:t>
            </w:r>
          </w:p>
        </w:tc>
        <w:tc>
          <w:tcPr>
            <w:tcW w:w="2130" w:type="dxa"/>
            <w:tcBorders>
              <w:top w:val="nil"/>
              <w:left w:val="nil"/>
              <w:bottom w:val="single" w:sz="4" w:space="0" w:color="auto"/>
              <w:right w:val="nil"/>
            </w:tcBorders>
            <w:shd w:val="clear" w:color="auto" w:fill="auto"/>
            <w:vAlign w:val="center"/>
            <w:hideMark/>
          </w:tcPr>
          <w:p w14:paraId="108A43BA"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(t=0)</w:t>
            </w:r>
          </w:p>
        </w:tc>
        <w:tc>
          <w:tcPr>
            <w:tcW w:w="2130" w:type="dxa"/>
            <w:tcBorders>
              <w:top w:val="nil"/>
              <w:left w:val="nil"/>
              <w:bottom w:val="single" w:sz="4" w:space="0" w:color="auto"/>
              <w:right w:val="nil"/>
            </w:tcBorders>
            <w:shd w:val="clear" w:color="auto" w:fill="auto"/>
            <w:noWrap/>
            <w:vAlign w:val="center"/>
            <w:hideMark/>
          </w:tcPr>
          <w:p w14:paraId="2354F703"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(t=1)</w:t>
            </w:r>
          </w:p>
        </w:tc>
        <w:tc>
          <w:tcPr>
            <w:tcW w:w="1047" w:type="dxa"/>
            <w:vMerge/>
            <w:tcBorders>
              <w:top w:val="single" w:sz="4" w:space="0" w:color="auto"/>
              <w:left w:val="nil"/>
              <w:bottom w:val="single" w:sz="4" w:space="0" w:color="000000"/>
              <w:right w:val="nil"/>
            </w:tcBorders>
            <w:vAlign w:val="center"/>
            <w:hideMark/>
          </w:tcPr>
          <w:p w14:paraId="0D94E9A9" w14:textId="77777777" w:rsidR="00106E23" w:rsidRPr="006C6F80" w:rsidRDefault="00106E23" w:rsidP="00030C01">
            <w:pPr>
              <w:rPr>
                <w:i/>
                <w:iCs/>
                <w:color w:val="000000" w:themeColor="text1"/>
                <w:sz w:val="20"/>
                <w:szCs w:val="20"/>
              </w:rPr>
            </w:pPr>
          </w:p>
        </w:tc>
      </w:tr>
      <w:tr w:rsidR="00106E23" w:rsidRPr="006C6F80" w14:paraId="1FB8F03D" w14:textId="77777777" w:rsidTr="00030C01">
        <w:trPr>
          <w:trHeight w:val="260"/>
          <w:jc w:val="center"/>
        </w:trPr>
        <w:tc>
          <w:tcPr>
            <w:tcW w:w="1813" w:type="dxa"/>
            <w:tcBorders>
              <w:top w:val="nil"/>
              <w:left w:val="nil"/>
              <w:bottom w:val="nil"/>
              <w:right w:val="nil"/>
            </w:tcBorders>
            <w:shd w:val="clear" w:color="auto" w:fill="auto"/>
            <w:noWrap/>
            <w:vAlign w:val="center"/>
            <w:hideMark/>
          </w:tcPr>
          <w:p w14:paraId="102560EB"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Returnees</w:t>
            </w:r>
          </w:p>
        </w:tc>
        <w:tc>
          <w:tcPr>
            <w:tcW w:w="2130" w:type="dxa"/>
            <w:tcBorders>
              <w:top w:val="nil"/>
              <w:left w:val="nil"/>
              <w:bottom w:val="nil"/>
              <w:right w:val="nil"/>
            </w:tcBorders>
            <w:shd w:val="clear" w:color="auto" w:fill="auto"/>
            <w:noWrap/>
            <w:vAlign w:val="center"/>
            <w:hideMark/>
          </w:tcPr>
          <w:p w14:paraId="0503C156" w14:textId="77777777" w:rsidR="00106E23" w:rsidRPr="006C6F80" w:rsidRDefault="00106E23" w:rsidP="00030C01">
            <w:pPr>
              <w:jc w:val="center"/>
              <w:rPr>
                <w:color w:val="000000" w:themeColor="text1"/>
                <w:sz w:val="20"/>
                <w:szCs w:val="20"/>
              </w:rPr>
            </w:pPr>
            <w:r w:rsidRPr="006C6F80">
              <w:rPr>
                <w:color w:val="000000" w:themeColor="text1"/>
                <w:sz w:val="20"/>
                <w:szCs w:val="20"/>
              </w:rPr>
              <w:t>2.348</w:t>
            </w:r>
          </w:p>
        </w:tc>
        <w:tc>
          <w:tcPr>
            <w:tcW w:w="2130" w:type="dxa"/>
            <w:tcBorders>
              <w:top w:val="nil"/>
              <w:left w:val="nil"/>
              <w:bottom w:val="nil"/>
              <w:right w:val="nil"/>
            </w:tcBorders>
            <w:shd w:val="clear" w:color="auto" w:fill="auto"/>
            <w:noWrap/>
            <w:vAlign w:val="center"/>
            <w:hideMark/>
          </w:tcPr>
          <w:p w14:paraId="7C1CA8ED" w14:textId="77777777" w:rsidR="00106E23" w:rsidRPr="006C6F80" w:rsidRDefault="00106E23" w:rsidP="00030C01">
            <w:pPr>
              <w:jc w:val="center"/>
              <w:rPr>
                <w:color w:val="000000" w:themeColor="text1"/>
                <w:sz w:val="20"/>
                <w:szCs w:val="20"/>
              </w:rPr>
            </w:pPr>
            <w:r w:rsidRPr="006C6F80">
              <w:rPr>
                <w:color w:val="000000" w:themeColor="text1"/>
                <w:sz w:val="20"/>
                <w:szCs w:val="20"/>
              </w:rPr>
              <w:t>3.083</w:t>
            </w:r>
          </w:p>
        </w:tc>
        <w:tc>
          <w:tcPr>
            <w:tcW w:w="1047" w:type="dxa"/>
            <w:tcBorders>
              <w:top w:val="nil"/>
              <w:left w:val="nil"/>
              <w:bottom w:val="nil"/>
              <w:right w:val="nil"/>
            </w:tcBorders>
            <w:shd w:val="clear" w:color="auto" w:fill="auto"/>
            <w:noWrap/>
            <w:vAlign w:val="center"/>
            <w:hideMark/>
          </w:tcPr>
          <w:p w14:paraId="72897E23" w14:textId="77777777" w:rsidR="00106E23" w:rsidRPr="006C6F80" w:rsidRDefault="00106E23" w:rsidP="00030C01">
            <w:pPr>
              <w:jc w:val="center"/>
              <w:rPr>
                <w:color w:val="000000" w:themeColor="text1"/>
                <w:sz w:val="20"/>
                <w:szCs w:val="20"/>
              </w:rPr>
            </w:pPr>
            <w:r w:rsidRPr="006C6F80">
              <w:rPr>
                <w:color w:val="000000" w:themeColor="text1"/>
                <w:sz w:val="20"/>
                <w:szCs w:val="20"/>
              </w:rPr>
              <w:t>0.735***</w:t>
            </w:r>
          </w:p>
        </w:tc>
      </w:tr>
      <w:tr w:rsidR="00106E23" w:rsidRPr="006C6F80" w14:paraId="165CCBC2" w14:textId="77777777" w:rsidTr="00030C01">
        <w:trPr>
          <w:trHeight w:val="260"/>
          <w:jc w:val="center"/>
        </w:trPr>
        <w:tc>
          <w:tcPr>
            <w:tcW w:w="1813" w:type="dxa"/>
            <w:tcBorders>
              <w:top w:val="nil"/>
              <w:left w:val="nil"/>
              <w:bottom w:val="nil"/>
              <w:right w:val="nil"/>
            </w:tcBorders>
            <w:shd w:val="clear" w:color="auto" w:fill="auto"/>
            <w:noWrap/>
            <w:vAlign w:val="center"/>
            <w:hideMark/>
          </w:tcPr>
          <w:p w14:paraId="14E520D1"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(Treatment group)</w:t>
            </w:r>
          </w:p>
        </w:tc>
        <w:tc>
          <w:tcPr>
            <w:tcW w:w="2130" w:type="dxa"/>
            <w:tcBorders>
              <w:top w:val="nil"/>
              <w:left w:val="nil"/>
              <w:bottom w:val="nil"/>
              <w:right w:val="nil"/>
            </w:tcBorders>
            <w:shd w:val="clear" w:color="auto" w:fill="auto"/>
            <w:noWrap/>
            <w:vAlign w:val="center"/>
            <w:hideMark/>
          </w:tcPr>
          <w:p w14:paraId="35289E6F" w14:textId="77777777" w:rsidR="00106E23" w:rsidRPr="006C6F80" w:rsidRDefault="00106E23" w:rsidP="00030C01">
            <w:pPr>
              <w:jc w:val="center"/>
              <w:rPr>
                <w:color w:val="000000" w:themeColor="text1"/>
                <w:sz w:val="20"/>
                <w:szCs w:val="20"/>
              </w:rPr>
            </w:pPr>
            <w:r w:rsidRPr="006C6F80">
              <w:rPr>
                <w:color w:val="000000" w:themeColor="text1"/>
                <w:sz w:val="20"/>
                <w:szCs w:val="20"/>
              </w:rPr>
              <w:t>(0.075)</w:t>
            </w:r>
          </w:p>
        </w:tc>
        <w:tc>
          <w:tcPr>
            <w:tcW w:w="2130" w:type="dxa"/>
            <w:tcBorders>
              <w:top w:val="nil"/>
              <w:left w:val="nil"/>
              <w:bottom w:val="nil"/>
              <w:right w:val="nil"/>
            </w:tcBorders>
            <w:shd w:val="clear" w:color="auto" w:fill="auto"/>
            <w:noWrap/>
            <w:vAlign w:val="center"/>
            <w:hideMark/>
          </w:tcPr>
          <w:p w14:paraId="7252DE1D" w14:textId="77777777" w:rsidR="00106E23" w:rsidRPr="006C6F80" w:rsidRDefault="00106E23" w:rsidP="00030C01">
            <w:pPr>
              <w:jc w:val="center"/>
              <w:rPr>
                <w:color w:val="000000" w:themeColor="text1"/>
                <w:sz w:val="20"/>
                <w:szCs w:val="20"/>
              </w:rPr>
            </w:pPr>
            <w:r w:rsidRPr="006C6F80">
              <w:rPr>
                <w:color w:val="000000" w:themeColor="text1"/>
                <w:sz w:val="20"/>
                <w:szCs w:val="20"/>
              </w:rPr>
              <w:t>(0.087)</w:t>
            </w:r>
          </w:p>
        </w:tc>
        <w:tc>
          <w:tcPr>
            <w:tcW w:w="1047" w:type="dxa"/>
            <w:tcBorders>
              <w:top w:val="nil"/>
              <w:left w:val="nil"/>
              <w:bottom w:val="nil"/>
              <w:right w:val="nil"/>
            </w:tcBorders>
            <w:shd w:val="clear" w:color="auto" w:fill="auto"/>
            <w:noWrap/>
            <w:vAlign w:val="center"/>
            <w:hideMark/>
          </w:tcPr>
          <w:p w14:paraId="701FFDE9" w14:textId="77777777" w:rsidR="00106E23" w:rsidRPr="006C6F80" w:rsidRDefault="00106E23" w:rsidP="00030C01">
            <w:pPr>
              <w:jc w:val="center"/>
              <w:rPr>
                <w:color w:val="000000" w:themeColor="text1"/>
                <w:sz w:val="20"/>
                <w:szCs w:val="20"/>
              </w:rPr>
            </w:pPr>
            <w:r w:rsidRPr="006C6F80">
              <w:rPr>
                <w:color w:val="000000" w:themeColor="text1"/>
                <w:sz w:val="20"/>
                <w:szCs w:val="20"/>
              </w:rPr>
              <w:t>(0.079)</w:t>
            </w:r>
          </w:p>
        </w:tc>
      </w:tr>
      <w:tr w:rsidR="00106E23" w:rsidRPr="006C6F80" w14:paraId="50934A85" w14:textId="77777777" w:rsidTr="00030C01">
        <w:trPr>
          <w:trHeight w:val="260"/>
          <w:jc w:val="center"/>
        </w:trPr>
        <w:tc>
          <w:tcPr>
            <w:tcW w:w="1813" w:type="dxa"/>
            <w:tcBorders>
              <w:top w:val="nil"/>
              <w:left w:val="nil"/>
              <w:bottom w:val="nil"/>
              <w:right w:val="nil"/>
            </w:tcBorders>
            <w:shd w:val="clear" w:color="auto" w:fill="auto"/>
            <w:noWrap/>
            <w:vAlign w:val="center"/>
            <w:hideMark/>
          </w:tcPr>
          <w:p w14:paraId="01018B8D" w14:textId="77777777" w:rsidR="00106E23" w:rsidRPr="006C6F80" w:rsidRDefault="00106E23" w:rsidP="00030C01">
            <w:pPr>
              <w:jc w:val="center"/>
              <w:rPr>
                <w:color w:val="000000" w:themeColor="text1"/>
                <w:sz w:val="20"/>
                <w:szCs w:val="20"/>
              </w:rPr>
            </w:pPr>
          </w:p>
        </w:tc>
        <w:tc>
          <w:tcPr>
            <w:tcW w:w="2130" w:type="dxa"/>
            <w:tcBorders>
              <w:top w:val="nil"/>
              <w:left w:val="nil"/>
              <w:bottom w:val="nil"/>
              <w:right w:val="nil"/>
            </w:tcBorders>
            <w:shd w:val="clear" w:color="auto" w:fill="auto"/>
            <w:noWrap/>
            <w:vAlign w:val="center"/>
            <w:hideMark/>
          </w:tcPr>
          <w:p w14:paraId="33534AEF" w14:textId="77777777" w:rsidR="00106E23" w:rsidRPr="006C6F80" w:rsidRDefault="00106E23" w:rsidP="00030C01">
            <w:pPr>
              <w:jc w:val="center"/>
              <w:rPr>
                <w:color w:val="000000" w:themeColor="text1"/>
                <w:sz w:val="20"/>
                <w:szCs w:val="20"/>
              </w:rPr>
            </w:pPr>
          </w:p>
        </w:tc>
        <w:tc>
          <w:tcPr>
            <w:tcW w:w="2130" w:type="dxa"/>
            <w:tcBorders>
              <w:top w:val="nil"/>
              <w:left w:val="nil"/>
              <w:bottom w:val="nil"/>
              <w:right w:val="nil"/>
            </w:tcBorders>
            <w:shd w:val="clear" w:color="auto" w:fill="auto"/>
            <w:noWrap/>
            <w:vAlign w:val="center"/>
            <w:hideMark/>
          </w:tcPr>
          <w:p w14:paraId="1D6E7AD5" w14:textId="77777777" w:rsidR="00106E23" w:rsidRPr="006C6F80" w:rsidRDefault="00106E23" w:rsidP="00030C01">
            <w:pPr>
              <w:jc w:val="center"/>
              <w:rPr>
                <w:color w:val="000000" w:themeColor="text1"/>
                <w:sz w:val="20"/>
                <w:szCs w:val="20"/>
              </w:rPr>
            </w:pPr>
          </w:p>
        </w:tc>
        <w:tc>
          <w:tcPr>
            <w:tcW w:w="1047" w:type="dxa"/>
            <w:tcBorders>
              <w:top w:val="nil"/>
              <w:left w:val="nil"/>
              <w:bottom w:val="nil"/>
              <w:right w:val="nil"/>
            </w:tcBorders>
            <w:shd w:val="clear" w:color="auto" w:fill="auto"/>
            <w:noWrap/>
            <w:vAlign w:val="center"/>
            <w:hideMark/>
          </w:tcPr>
          <w:p w14:paraId="326B11B6" w14:textId="77777777" w:rsidR="00106E23" w:rsidRPr="006C6F80" w:rsidRDefault="00106E23" w:rsidP="00030C01">
            <w:pPr>
              <w:jc w:val="center"/>
              <w:rPr>
                <w:color w:val="000000" w:themeColor="text1"/>
                <w:sz w:val="20"/>
                <w:szCs w:val="20"/>
              </w:rPr>
            </w:pPr>
          </w:p>
        </w:tc>
      </w:tr>
      <w:tr w:rsidR="00106E23" w:rsidRPr="006C6F80" w14:paraId="33227943" w14:textId="77777777" w:rsidTr="00030C01">
        <w:trPr>
          <w:trHeight w:val="260"/>
          <w:jc w:val="center"/>
        </w:trPr>
        <w:tc>
          <w:tcPr>
            <w:tcW w:w="1813" w:type="dxa"/>
            <w:tcBorders>
              <w:top w:val="nil"/>
              <w:left w:val="nil"/>
              <w:bottom w:val="nil"/>
              <w:right w:val="nil"/>
            </w:tcBorders>
            <w:shd w:val="clear" w:color="auto" w:fill="auto"/>
            <w:noWrap/>
            <w:vAlign w:val="center"/>
            <w:hideMark/>
          </w:tcPr>
          <w:p w14:paraId="3D9EB8E1"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Stayers</w:t>
            </w:r>
          </w:p>
        </w:tc>
        <w:tc>
          <w:tcPr>
            <w:tcW w:w="2130" w:type="dxa"/>
            <w:tcBorders>
              <w:top w:val="nil"/>
              <w:left w:val="nil"/>
              <w:bottom w:val="nil"/>
              <w:right w:val="nil"/>
            </w:tcBorders>
            <w:shd w:val="clear" w:color="auto" w:fill="auto"/>
            <w:noWrap/>
            <w:vAlign w:val="center"/>
            <w:hideMark/>
          </w:tcPr>
          <w:p w14:paraId="0D2768C2" w14:textId="77777777" w:rsidR="00106E23" w:rsidRPr="006C6F80" w:rsidRDefault="00106E23" w:rsidP="00030C01">
            <w:pPr>
              <w:jc w:val="center"/>
              <w:rPr>
                <w:color w:val="000000" w:themeColor="text1"/>
                <w:sz w:val="20"/>
                <w:szCs w:val="20"/>
              </w:rPr>
            </w:pPr>
            <w:r w:rsidRPr="006C6F80">
              <w:rPr>
                <w:color w:val="000000" w:themeColor="text1"/>
                <w:sz w:val="20"/>
                <w:szCs w:val="20"/>
              </w:rPr>
              <w:t>2.511</w:t>
            </w:r>
          </w:p>
        </w:tc>
        <w:tc>
          <w:tcPr>
            <w:tcW w:w="2130" w:type="dxa"/>
            <w:tcBorders>
              <w:top w:val="nil"/>
              <w:left w:val="nil"/>
              <w:bottom w:val="nil"/>
              <w:right w:val="nil"/>
            </w:tcBorders>
            <w:shd w:val="clear" w:color="auto" w:fill="auto"/>
            <w:noWrap/>
            <w:vAlign w:val="center"/>
            <w:hideMark/>
          </w:tcPr>
          <w:p w14:paraId="3BEA85DC" w14:textId="77777777" w:rsidR="00106E23" w:rsidRPr="006C6F80" w:rsidRDefault="00106E23" w:rsidP="00030C01">
            <w:pPr>
              <w:jc w:val="center"/>
              <w:rPr>
                <w:color w:val="000000" w:themeColor="text1"/>
                <w:sz w:val="20"/>
                <w:szCs w:val="20"/>
              </w:rPr>
            </w:pPr>
            <w:r w:rsidRPr="006C6F80">
              <w:rPr>
                <w:color w:val="000000" w:themeColor="text1"/>
                <w:sz w:val="20"/>
                <w:szCs w:val="20"/>
              </w:rPr>
              <w:t>2.969</w:t>
            </w:r>
          </w:p>
        </w:tc>
        <w:tc>
          <w:tcPr>
            <w:tcW w:w="1047" w:type="dxa"/>
            <w:tcBorders>
              <w:top w:val="nil"/>
              <w:left w:val="nil"/>
              <w:bottom w:val="nil"/>
              <w:right w:val="nil"/>
            </w:tcBorders>
            <w:shd w:val="clear" w:color="auto" w:fill="auto"/>
            <w:noWrap/>
            <w:vAlign w:val="center"/>
            <w:hideMark/>
          </w:tcPr>
          <w:p w14:paraId="2F1E2948" w14:textId="77777777" w:rsidR="00106E23" w:rsidRPr="006C6F80" w:rsidRDefault="00106E23" w:rsidP="00030C01">
            <w:pPr>
              <w:jc w:val="center"/>
              <w:rPr>
                <w:color w:val="000000" w:themeColor="text1"/>
                <w:sz w:val="20"/>
                <w:szCs w:val="20"/>
              </w:rPr>
            </w:pPr>
            <w:r w:rsidRPr="006C6F80">
              <w:rPr>
                <w:color w:val="000000" w:themeColor="text1"/>
                <w:sz w:val="20"/>
                <w:szCs w:val="20"/>
              </w:rPr>
              <w:t>0.458***</w:t>
            </w:r>
          </w:p>
        </w:tc>
      </w:tr>
      <w:tr w:rsidR="00106E23" w:rsidRPr="006C6F80" w14:paraId="095F2ACE" w14:textId="77777777" w:rsidTr="00030C01">
        <w:trPr>
          <w:trHeight w:val="260"/>
          <w:jc w:val="center"/>
        </w:trPr>
        <w:tc>
          <w:tcPr>
            <w:tcW w:w="1813" w:type="dxa"/>
            <w:tcBorders>
              <w:top w:val="nil"/>
              <w:left w:val="nil"/>
              <w:bottom w:val="nil"/>
              <w:right w:val="nil"/>
            </w:tcBorders>
            <w:shd w:val="clear" w:color="auto" w:fill="auto"/>
            <w:noWrap/>
            <w:vAlign w:val="center"/>
            <w:hideMark/>
          </w:tcPr>
          <w:p w14:paraId="4C92CB77"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(Control group)</w:t>
            </w:r>
          </w:p>
        </w:tc>
        <w:tc>
          <w:tcPr>
            <w:tcW w:w="2130" w:type="dxa"/>
            <w:tcBorders>
              <w:top w:val="nil"/>
              <w:left w:val="nil"/>
              <w:bottom w:val="nil"/>
              <w:right w:val="nil"/>
            </w:tcBorders>
            <w:shd w:val="clear" w:color="auto" w:fill="auto"/>
            <w:noWrap/>
            <w:vAlign w:val="center"/>
            <w:hideMark/>
          </w:tcPr>
          <w:p w14:paraId="3694830D" w14:textId="77777777" w:rsidR="00106E23" w:rsidRPr="006C6F80" w:rsidRDefault="00106E23" w:rsidP="00030C01">
            <w:pPr>
              <w:jc w:val="center"/>
              <w:rPr>
                <w:color w:val="000000" w:themeColor="text1"/>
                <w:sz w:val="20"/>
                <w:szCs w:val="20"/>
              </w:rPr>
            </w:pPr>
            <w:r w:rsidRPr="006C6F80">
              <w:rPr>
                <w:color w:val="000000" w:themeColor="text1"/>
                <w:sz w:val="20"/>
                <w:szCs w:val="20"/>
              </w:rPr>
              <w:t>(0.077)</w:t>
            </w:r>
          </w:p>
        </w:tc>
        <w:tc>
          <w:tcPr>
            <w:tcW w:w="2130" w:type="dxa"/>
            <w:tcBorders>
              <w:top w:val="nil"/>
              <w:left w:val="nil"/>
              <w:bottom w:val="nil"/>
              <w:right w:val="nil"/>
            </w:tcBorders>
            <w:shd w:val="clear" w:color="auto" w:fill="auto"/>
            <w:noWrap/>
            <w:vAlign w:val="center"/>
            <w:hideMark/>
          </w:tcPr>
          <w:p w14:paraId="7A7455FF" w14:textId="77777777" w:rsidR="00106E23" w:rsidRPr="006C6F80" w:rsidRDefault="00106E23" w:rsidP="00030C01">
            <w:pPr>
              <w:jc w:val="center"/>
              <w:rPr>
                <w:color w:val="000000" w:themeColor="text1"/>
                <w:sz w:val="20"/>
                <w:szCs w:val="20"/>
              </w:rPr>
            </w:pPr>
            <w:r w:rsidRPr="006C6F80">
              <w:rPr>
                <w:color w:val="000000" w:themeColor="text1"/>
                <w:sz w:val="20"/>
                <w:szCs w:val="20"/>
              </w:rPr>
              <w:t>(0.082)</w:t>
            </w:r>
          </w:p>
        </w:tc>
        <w:tc>
          <w:tcPr>
            <w:tcW w:w="1047" w:type="dxa"/>
            <w:tcBorders>
              <w:top w:val="nil"/>
              <w:left w:val="nil"/>
              <w:bottom w:val="nil"/>
              <w:right w:val="nil"/>
            </w:tcBorders>
            <w:shd w:val="clear" w:color="auto" w:fill="auto"/>
            <w:noWrap/>
            <w:vAlign w:val="center"/>
            <w:hideMark/>
          </w:tcPr>
          <w:p w14:paraId="5C141464" w14:textId="77777777" w:rsidR="00106E23" w:rsidRPr="006C6F80" w:rsidRDefault="00106E23" w:rsidP="00030C01">
            <w:pPr>
              <w:jc w:val="center"/>
              <w:rPr>
                <w:color w:val="000000" w:themeColor="text1"/>
                <w:sz w:val="20"/>
                <w:szCs w:val="20"/>
              </w:rPr>
            </w:pPr>
            <w:r w:rsidRPr="006C6F80">
              <w:rPr>
                <w:color w:val="000000" w:themeColor="text1"/>
                <w:sz w:val="20"/>
                <w:szCs w:val="20"/>
              </w:rPr>
              <w:t>(0.072)</w:t>
            </w:r>
          </w:p>
        </w:tc>
      </w:tr>
      <w:tr w:rsidR="00106E23" w:rsidRPr="006C6F80" w14:paraId="5E86C80B" w14:textId="77777777" w:rsidTr="00030C01">
        <w:trPr>
          <w:trHeight w:val="260"/>
          <w:jc w:val="center"/>
        </w:trPr>
        <w:tc>
          <w:tcPr>
            <w:tcW w:w="1813" w:type="dxa"/>
            <w:tcBorders>
              <w:top w:val="nil"/>
              <w:left w:val="nil"/>
              <w:bottom w:val="nil"/>
              <w:right w:val="nil"/>
            </w:tcBorders>
            <w:shd w:val="clear" w:color="auto" w:fill="auto"/>
            <w:noWrap/>
            <w:vAlign w:val="center"/>
            <w:hideMark/>
          </w:tcPr>
          <w:p w14:paraId="22F9D896" w14:textId="77777777" w:rsidR="00106E23" w:rsidRPr="006C6F80" w:rsidRDefault="00106E23" w:rsidP="00030C01">
            <w:pPr>
              <w:jc w:val="center"/>
              <w:rPr>
                <w:color w:val="000000" w:themeColor="text1"/>
                <w:sz w:val="20"/>
                <w:szCs w:val="20"/>
              </w:rPr>
            </w:pPr>
          </w:p>
        </w:tc>
        <w:tc>
          <w:tcPr>
            <w:tcW w:w="2130" w:type="dxa"/>
            <w:tcBorders>
              <w:top w:val="nil"/>
              <w:left w:val="nil"/>
              <w:bottom w:val="nil"/>
              <w:right w:val="nil"/>
            </w:tcBorders>
            <w:shd w:val="clear" w:color="auto" w:fill="auto"/>
            <w:noWrap/>
            <w:vAlign w:val="center"/>
            <w:hideMark/>
          </w:tcPr>
          <w:p w14:paraId="65F6AB5C" w14:textId="77777777" w:rsidR="00106E23" w:rsidRPr="006C6F80" w:rsidRDefault="00106E23" w:rsidP="00030C01">
            <w:pPr>
              <w:jc w:val="center"/>
              <w:rPr>
                <w:color w:val="000000" w:themeColor="text1"/>
                <w:sz w:val="20"/>
                <w:szCs w:val="20"/>
              </w:rPr>
            </w:pPr>
          </w:p>
        </w:tc>
        <w:tc>
          <w:tcPr>
            <w:tcW w:w="2130" w:type="dxa"/>
            <w:tcBorders>
              <w:top w:val="nil"/>
              <w:left w:val="nil"/>
              <w:bottom w:val="nil"/>
              <w:right w:val="nil"/>
            </w:tcBorders>
            <w:shd w:val="clear" w:color="auto" w:fill="auto"/>
            <w:noWrap/>
            <w:vAlign w:val="center"/>
            <w:hideMark/>
          </w:tcPr>
          <w:p w14:paraId="4318E374" w14:textId="77777777" w:rsidR="00106E23" w:rsidRPr="006C6F80" w:rsidRDefault="00106E23" w:rsidP="00030C01">
            <w:pPr>
              <w:jc w:val="center"/>
              <w:rPr>
                <w:color w:val="000000" w:themeColor="text1"/>
                <w:sz w:val="20"/>
                <w:szCs w:val="20"/>
              </w:rPr>
            </w:pPr>
          </w:p>
        </w:tc>
        <w:tc>
          <w:tcPr>
            <w:tcW w:w="1047" w:type="dxa"/>
            <w:tcBorders>
              <w:top w:val="nil"/>
              <w:left w:val="nil"/>
              <w:bottom w:val="nil"/>
              <w:right w:val="nil"/>
            </w:tcBorders>
            <w:shd w:val="clear" w:color="auto" w:fill="auto"/>
            <w:noWrap/>
            <w:vAlign w:val="center"/>
            <w:hideMark/>
          </w:tcPr>
          <w:p w14:paraId="2CDABCB9" w14:textId="77777777" w:rsidR="00106E23" w:rsidRPr="006C6F80" w:rsidRDefault="00106E23" w:rsidP="00030C01">
            <w:pPr>
              <w:jc w:val="center"/>
              <w:rPr>
                <w:color w:val="000000" w:themeColor="text1"/>
                <w:sz w:val="20"/>
                <w:szCs w:val="20"/>
              </w:rPr>
            </w:pPr>
          </w:p>
        </w:tc>
      </w:tr>
      <w:tr w:rsidR="00106E23" w:rsidRPr="006C6F80" w14:paraId="1C17DAC5" w14:textId="77777777" w:rsidTr="00030C01">
        <w:trPr>
          <w:trHeight w:val="260"/>
          <w:jc w:val="center"/>
        </w:trPr>
        <w:tc>
          <w:tcPr>
            <w:tcW w:w="1813" w:type="dxa"/>
            <w:vMerge w:val="restart"/>
            <w:tcBorders>
              <w:top w:val="nil"/>
              <w:left w:val="nil"/>
              <w:bottom w:val="single" w:sz="4" w:space="0" w:color="000000"/>
              <w:right w:val="nil"/>
            </w:tcBorders>
            <w:shd w:val="clear" w:color="auto" w:fill="auto"/>
            <w:noWrap/>
            <w:vAlign w:val="center"/>
            <w:hideMark/>
          </w:tcPr>
          <w:p w14:paraId="73B528BB" w14:textId="77777777" w:rsidR="00106E23" w:rsidRPr="006C6F80" w:rsidRDefault="00106E23" w:rsidP="00030C01">
            <w:pPr>
              <w:jc w:val="center"/>
              <w:rPr>
                <w:i/>
                <w:iCs/>
                <w:color w:val="000000" w:themeColor="text1"/>
                <w:sz w:val="20"/>
                <w:szCs w:val="20"/>
              </w:rPr>
            </w:pPr>
            <w:r w:rsidRPr="006C6F80">
              <w:rPr>
                <w:i/>
                <w:iCs/>
                <w:color w:val="000000" w:themeColor="text1"/>
                <w:sz w:val="20"/>
                <w:szCs w:val="20"/>
              </w:rPr>
              <w:t>Difference</w:t>
            </w:r>
          </w:p>
        </w:tc>
        <w:tc>
          <w:tcPr>
            <w:tcW w:w="2130" w:type="dxa"/>
            <w:tcBorders>
              <w:top w:val="nil"/>
              <w:left w:val="nil"/>
              <w:bottom w:val="nil"/>
              <w:right w:val="nil"/>
            </w:tcBorders>
            <w:shd w:val="clear" w:color="auto" w:fill="auto"/>
            <w:noWrap/>
            <w:vAlign w:val="center"/>
            <w:hideMark/>
          </w:tcPr>
          <w:p w14:paraId="07E88CDE" w14:textId="77777777" w:rsidR="00106E23" w:rsidRPr="006C6F80" w:rsidRDefault="00106E23" w:rsidP="00030C01">
            <w:pPr>
              <w:jc w:val="center"/>
              <w:rPr>
                <w:color w:val="000000" w:themeColor="text1"/>
                <w:sz w:val="20"/>
                <w:szCs w:val="20"/>
              </w:rPr>
            </w:pPr>
            <w:r w:rsidRPr="006C6F80">
              <w:rPr>
                <w:color w:val="000000" w:themeColor="text1"/>
                <w:sz w:val="20"/>
                <w:szCs w:val="20"/>
              </w:rPr>
              <w:t>-0.163</w:t>
            </w:r>
          </w:p>
        </w:tc>
        <w:tc>
          <w:tcPr>
            <w:tcW w:w="2130" w:type="dxa"/>
            <w:tcBorders>
              <w:top w:val="nil"/>
              <w:left w:val="nil"/>
              <w:bottom w:val="nil"/>
              <w:right w:val="nil"/>
            </w:tcBorders>
            <w:shd w:val="clear" w:color="auto" w:fill="auto"/>
            <w:noWrap/>
            <w:vAlign w:val="center"/>
            <w:hideMark/>
          </w:tcPr>
          <w:p w14:paraId="7F70C8BB" w14:textId="77777777" w:rsidR="00106E23" w:rsidRPr="006C6F80" w:rsidRDefault="00106E23" w:rsidP="00030C01">
            <w:pPr>
              <w:jc w:val="center"/>
              <w:rPr>
                <w:color w:val="000000" w:themeColor="text1"/>
                <w:sz w:val="20"/>
                <w:szCs w:val="20"/>
              </w:rPr>
            </w:pPr>
            <w:r w:rsidRPr="006C6F80">
              <w:rPr>
                <w:color w:val="000000" w:themeColor="text1"/>
                <w:sz w:val="20"/>
                <w:szCs w:val="20"/>
              </w:rPr>
              <w:t>0.114</w:t>
            </w:r>
          </w:p>
        </w:tc>
        <w:tc>
          <w:tcPr>
            <w:tcW w:w="1047" w:type="dxa"/>
            <w:tcBorders>
              <w:top w:val="nil"/>
              <w:left w:val="nil"/>
              <w:bottom w:val="nil"/>
              <w:right w:val="nil"/>
            </w:tcBorders>
            <w:shd w:val="clear" w:color="auto" w:fill="auto"/>
            <w:noWrap/>
            <w:vAlign w:val="center"/>
            <w:hideMark/>
          </w:tcPr>
          <w:p w14:paraId="24D1B4F5" w14:textId="77777777" w:rsidR="00106E23" w:rsidRPr="006C6F80" w:rsidRDefault="00106E23" w:rsidP="00030C01">
            <w:pPr>
              <w:jc w:val="center"/>
              <w:rPr>
                <w:color w:val="000000" w:themeColor="text1"/>
                <w:sz w:val="20"/>
                <w:szCs w:val="20"/>
              </w:rPr>
            </w:pPr>
            <w:r w:rsidRPr="006C6F80">
              <w:rPr>
                <w:color w:val="000000" w:themeColor="text1"/>
                <w:sz w:val="20"/>
                <w:szCs w:val="20"/>
              </w:rPr>
              <w:t>0.277*</w:t>
            </w:r>
          </w:p>
        </w:tc>
      </w:tr>
      <w:tr w:rsidR="00106E23" w:rsidRPr="006C6F80" w14:paraId="4F254D88" w14:textId="77777777" w:rsidTr="00030C01">
        <w:trPr>
          <w:trHeight w:val="260"/>
          <w:jc w:val="center"/>
        </w:trPr>
        <w:tc>
          <w:tcPr>
            <w:tcW w:w="1813" w:type="dxa"/>
            <w:vMerge/>
            <w:tcBorders>
              <w:top w:val="nil"/>
              <w:left w:val="nil"/>
              <w:bottom w:val="single" w:sz="4" w:space="0" w:color="000000"/>
              <w:right w:val="nil"/>
            </w:tcBorders>
            <w:vAlign w:val="center"/>
            <w:hideMark/>
          </w:tcPr>
          <w:p w14:paraId="5A308125" w14:textId="77777777" w:rsidR="00106E23" w:rsidRPr="006C6F80" w:rsidRDefault="00106E23" w:rsidP="00030C01">
            <w:pPr>
              <w:rPr>
                <w:i/>
                <w:iCs/>
                <w:color w:val="000000" w:themeColor="text1"/>
                <w:sz w:val="20"/>
                <w:szCs w:val="20"/>
              </w:rPr>
            </w:pPr>
          </w:p>
        </w:tc>
        <w:tc>
          <w:tcPr>
            <w:tcW w:w="2130" w:type="dxa"/>
            <w:tcBorders>
              <w:top w:val="nil"/>
              <w:left w:val="nil"/>
              <w:bottom w:val="single" w:sz="4" w:space="0" w:color="auto"/>
              <w:right w:val="nil"/>
            </w:tcBorders>
            <w:shd w:val="clear" w:color="auto" w:fill="auto"/>
            <w:noWrap/>
            <w:vAlign w:val="center"/>
            <w:hideMark/>
          </w:tcPr>
          <w:p w14:paraId="11D75085" w14:textId="77777777" w:rsidR="00106E23" w:rsidRPr="006C6F80" w:rsidRDefault="00106E23" w:rsidP="00030C01">
            <w:pPr>
              <w:jc w:val="center"/>
              <w:rPr>
                <w:color w:val="000000" w:themeColor="text1"/>
                <w:sz w:val="20"/>
                <w:szCs w:val="20"/>
              </w:rPr>
            </w:pPr>
            <w:r w:rsidRPr="006C6F80">
              <w:rPr>
                <w:color w:val="000000" w:themeColor="text1"/>
                <w:sz w:val="20"/>
                <w:szCs w:val="20"/>
              </w:rPr>
              <w:t>(0.100)</w:t>
            </w:r>
          </w:p>
        </w:tc>
        <w:tc>
          <w:tcPr>
            <w:tcW w:w="2130" w:type="dxa"/>
            <w:tcBorders>
              <w:top w:val="nil"/>
              <w:left w:val="nil"/>
              <w:bottom w:val="single" w:sz="4" w:space="0" w:color="auto"/>
              <w:right w:val="nil"/>
            </w:tcBorders>
            <w:shd w:val="clear" w:color="auto" w:fill="auto"/>
            <w:noWrap/>
            <w:vAlign w:val="center"/>
            <w:hideMark/>
          </w:tcPr>
          <w:p w14:paraId="0C38BD42" w14:textId="77777777" w:rsidR="00106E23" w:rsidRPr="006C6F80" w:rsidRDefault="00106E23" w:rsidP="00030C01">
            <w:pPr>
              <w:jc w:val="center"/>
              <w:rPr>
                <w:color w:val="000000" w:themeColor="text1"/>
                <w:sz w:val="20"/>
                <w:szCs w:val="20"/>
              </w:rPr>
            </w:pPr>
            <w:r w:rsidRPr="006C6F80">
              <w:rPr>
                <w:color w:val="000000" w:themeColor="text1"/>
                <w:sz w:val="20"/>
                <w:szCs w:val="20"/>
              </w:rPr>
              <w:t>(0.119)</w:t>
            </w:r>
          </w:p>
        </w:tc>
        <w:tc>
          <w:tcPr>
            <w:tcW w:w="1047" w:type="dxa"/>
            <w:tcBorders>
              <w:top w:val="nil"/>
              <w:left w:val="nil"/>
              <w:bottom w:val="single" w:sz="4" w:space="0" w:color="auto"/>
              <w:right w:val="nil"/>
            </w:tcBorders>
            <w:shd w:val="clear" w:color="auto" w:fill="auto"/>
            <w:noWrap/>
            <w:vAlign w:val="center"/>
            <w:hideMark/>
          </w:tcPr>
          <w:p w14:paraId="77C156A1" w14:textId="77777777" w:rsidR="00106E23" w:rsidRPr="006C6F80" w:rsidRDefault="00106E23" w:rsidP="00030C01">
            <w:pPr>
              <w:jc w:val="center"/>
              <w:rPr>
                <w:color w:val="000000" w:themeColor="text1"/>
                <w:sz w:val="20"/>
                <w:szCs w:val="20"/>
              </w:rPr>
            </w:pPr>
            <w:r w:rsidRPr="006C6F80">
              <w:rPr>
                <w:color w:val="000000" w:themeColor="text1"/>
                <w:sz w:val="20"/>
                <w:szCs w:val="20"/>
              </w:rPr>
              <w:t>(0.142)</w:t>
            </w:r>
          </w:p>
        </w:tc>
      </w:tr>
    </w:tbl>
    <w:p w14:paraId="651C3BBC" w14:textId="77777777" w:rsidR="00106E23" w:rsidRPr="006C6F80" w:rsidRDefault="00106E23" w:rsidP="00106E23">
      <w:pPr>
        <w:ind w:left="171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Robust standard errors in parentheses </w:t>
      </w:r>
    </w:p>
    <w:p w14:paraId="072C99A1" w14:textId="77777777" w:rsidR="00106E23" w:rsidRPr="006C6F80" w:rsidRDefault="00106E23" w:rsidP="00106E23">
      <w:pPr>
        <w:ind w:left="171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 p&lt;0.01, ** p&lt;0.05, * p&lt;0.1 </w:t>
      </w:r>
    </w:p>
    <w:p w14:paraId="550E7267" w14:textId="04C2B290" w:rsidR="00106E23" w:rsidRPr="006C6F80" w:rsidRDefault="00106E23" w:rsidP="00106E23">
      <w:pPr>
        <w:tabs>
          <w:tab w:val="left" w:pos="8460"/>
        </w:tabs>
        <w:ind w:left="1710" w:right="1606"/>
        <w:jc w:val="both"/>
        <w:rPr>
          <w:color w:val="000000" w:themeColor="text1"/>
        </w:rPr>
      </w:pPr>
      <w:r w:rsidRPr="006C6F80">
        <w:rPr>
          <w:rFonts w:asciiTheme="majorBidi" w:hAnsiTheme="majorBidi" w:cstheme="majorBidi"/>
          <w:i/>
          <w:iCs/>
          <w:color w:val="000000" w:themeColor="text1"/>
          <w:sz w:val="18"/>
          <w:szCs w:val="18"/>
        </w:rPr>
        <w:t>Notes.</w:t>
      </w:r>
      <w:r w:rsidRPr="006C6F80">
        <w:rPr>
          <w:rFonts w:asciiTheme="majorBidi" w:hAnsiTheme="majorBidi" w:cstheme="majorBidi"/>
          <w:color w:val="000000" w:themeColor="text1"/>
          <w:sz w:val="18"/>
          <w:szCs w:val="18"/>
        </w:rPr>
        <w:t xml:space="preserve"> Panel A</w:t>
      </w:r>
      <w:r w:rsidR="00E97F10" w:rsidRPr="006C6F80">
        <w:rPr>
          <w:rFonts w:asciiTheme="majorBidi" w:hAnsiTheme="majorBidi" w:cstheme="majorBidi"/>
          <w:color w:val="000000" w:themeColor="text1"/>
          <w:sz w:val="18"/>
          <w:szCs w:val="18"/>
        </w:rPr>
        <w:t xml:space="preserve"> provides estimates from</w:t>
      </w:r>
      <w:r w:rsidRPr="006C6F80">
        <w:rPr>
          <w:rFonts w:asciiTheme="majorBidi" w:hAnsiTheme="majorBidi" w:cstheme="majorBidi"/>
          <w:color w:val="000000" w:themeColor="text1"/>
          <w:sz w:val="18"/>
          <w:szCs w:val="18"/>
        </w:rPr>
        <w:t xml:space="preserve"> Propensity Score Matching, using the nearest neighbor estimator combined with Difference-in-Differences. Individuals are matched based on their age at first job, educational attainment, rural at birth, and first job characteristics</w:t>
      </w:r>
      <w:r w:rsidR="00E97F10" w:rsidRPr="006C6F80">
        <w:rPr>
          <w:rFonts w:asciiTheme="majorBidi" w:hAnsiTheme="majorBidi" w:cstheme="majorBidi"/>
          <w:color w:val="000000" w:themeColor="text1"/>
          <w:sz w:val="18"/>
          <w:szCs w:val="18"/>
        </w:rPr>
        <w:t>,</w:t>
      </w:r>
      <w:r w:rsidRPr="006C6F80">
        <w:rPr>
          <w:rFonts w:asciiTheme="majorBidi" w:hAnsiTheme="majorBidi" w:cstheme="majorBidi"/>
          <w:color w:val="000000" w:themeColor="text1"/>
          <w:sz w:val="18"/>
          <w:szCs w:val="18"/>
        </w:rPr>
        <w:t xml:space="preserve"> including economic activities, sector of employment, incidence of work contract</w:t>
      </w:r>
      <w:r w:rsidR="00E97F10" w:rsidRPr="006C6F80">
        <w:rPr>
          <w:rFonts w:asciiTheme="majorBidi" w:hAnsiTheme="majorBidi" w:cstheme="majorBidi"/>
          <w:color w:val="000000" w:themeColor="text1"/>
          <w:sz w:val="18"/>
          <w:szCs w:val="18"/>
        </w:rPr>
        <w:t>,</w:t>
      </w:r>
      <w:r w:rsidRPr="006C6F80">
        <w:rPr>
          <w:rFonts w:asciiTheme="majorBidi" w:hAnsiTheme="majorBidi" w:cstheme="majorBidi"/>
          <w:color w:val="000000" w:themeColor="text1"/>
          <w:sz w:val="18"/>
          <w:szCs w:val="18"/>
        </w:rPr>
        <w:t xml:space="preserve"> and social security. In Panel B, we additionally match individuals based on their first job occupation. In both Panel A and Panel B, the regressions include a dummy variable for each pair of matched stayer and returnee. Before the treatment refers to the first occupation and after the treatment refers to the occupation in 2010. The dependent variable is the individual’s occupation ranking. It takes values from 1 to 5 for the following categories</w:t>
      </w:r>
      <w:r w:rsidR="00E97F10" w:rsidRPr="006C6F80">
        <w:rPr>
          <w:rFonts w:asciiTheme="majorBidi" w:hAnsiTheme="majorBidi" w:cstheme="majorBidi"/>
          <w:color w:val="000000" w:themeColor="text1"/>
          <w:sz w:val="18"/>
          <w:szCs w:val="18"/>
        </w:rPr>
        <w:t>,</w:t>
      </w:r>
      <w:r w:rsidRPr="006C6F80">
        <w:rPr>
          <w:rFonts w:asciiTheme="majorBidi" w:hAnsiTheme="majorBidi" w:cstheme="majorBidi"/>
          <w:color w:val="000000" w:themeColor="text1"/>
          <w:sz w:val="18"/>
          <w:szCs w:val="18"/>
        </w:rPr>
        <w:t xml:space="preserve"> respectively: agriculture, low-skilled blue-collar, high-skilled blue-collar, low-skilled white-collar</w:t>
      </w:r>
      <w:r w:rsidR="00E97F10" w:rsidRPr="006C6F80">
        <w:rPr>
          <w:rFonts w:asciiTheme="majorBidi" w:hAnsiTheme="majorBidi" w:cstheme="majorBidi"/>
          <w:color w:val="000000" w:themeColor="text1"/>
          <w:sz w:val="18"/>
          <w:szCs w:val="18"/>
        </w:rPr>
        <w:t>,</w:t>
      </w:r>
      <w:r w:rsidRPr="006C6F80">
        <w:rPr>
          <w:rFonts w:asciiTheme="majorBidi" w:hAnsiTheme="majorBidi" w:cstheme="majorBidi"/>
          <w:color w:val="000000" w:themeColor="text1"/>
          <w:sz w:val="18"/>
          <w:szCs w:val="18"/>
        </w:rPr>
        <w:t xml:space="preserve"> and high-skilled white-collar.</w:t>
      </w:r>
      <w:r w:rsidRPr="006C6F80">
        <w:rPr>
          <w:color w:val="000000" w:themeColor="text1"/>
        </w:rPr>
        <w:t xml:space="preserve"> </w:t>
      </w:r>
    </w:p>
    <w:p w14:paraId="248AD089" w14:textId="77777777" w:rsidR="00106E23" w:rsidRPr="006C6F80" w:rsidRDefault="00106E23" w:rsidP="002B214A">
      <w:pPr>
        <w:tabs>
          <w:tab w:val="left" w:pos="8730"/>
        </w:tabs>
        <w:ind w:left="1530" w:right="1440"/>
        <w:jc w:val="both"/>
        <w:rPr>
          <w:rFonts w:asciiTheme="majorBidi" w:hAnsiTheme="majorBidi" w:cstheme="majorBidi"/>
          <w:color w:val="000000" w:themeColor="text1"/>
          <w:sz w:val="18"/>
          <w:szCs w:val="18"/>
        </w:rPr>
        <w:sectPr w:rsidR="00106E23" w:rsidRPr="006C6F80" w:rsidSect="002543FC">
          <w:pgSz w:w="12240" w:h="15840"/>
          <w:pgMar w:top="1080" w:right="1080" w:bottom="1080" w:left="1080" w:header="720" w:footer="720" w:gutter="0"/>
          <w:cols w:space="720"/>
          <w:docGrid w:linePitch="360"/>
        </w:sectPr>
      </w:pPr>
    </w:p>
    <w:tbl>
      <w:tblPr>
        <w:tblW w:w="15210" w:type="dxa"/>
        <w:jc w:val="center"/>
        <w:tblLayout w:type="fixed"/>
        <w:tblLook w:val="04A0" w:firstRow="1" w:lastRow="0" w:firstColumn="1" w:lastColumn="0" w:noHBand="0" w:noVBand="1"/>
      </w:tblPr>
      <w:tblGrid>
        <w:gridCol w:w="2067"/>
        <w:gridCol w:w="1443"/>
        <w:gridCol w:w="1440"/>
        <w:gridCol w:w="1440"/>
        <w:gridCol w:w="1440"/>
        <w:gridCol w:w="1440"/>
        <w:gridCol w:w="1530"/>
        <w:gridCol w:w="1440"/>
        <w:gridCol w:w="1530"/>
        <w:gridCol w:w="1440"/>
      </w:tblGrid>
      <w:tr w:rsidR="00B13EEB" w:rsidRPr="006C6F80" w14:paraId="1510FE83" w14:textId="77777777" w:rsidTr="000532E9">
        <w:trPr>
          <w:trHeight w:val="276"/>
          <w:jc w:val="center"/>
        </w:trPr>
        <w:tc>
          <w:tcPr>
            <w:tcW w:w="15205" w:type="dxa"/>
            <w:gridSpan w:val="10"/>
            <w:tcBorders>
              <w:top w:val="nil"/>
              <w:left w:val="nil"/>
              <w:bottom w:val="single" w:sz="4" w:space="0" w:color="auto"/>
              <w:right w:val="nil"/>
            </w:tcBorders>
            <w:shd w:val="clear" w:color="auto" w:fill="auto"/>
            <w:vAlign w:val="center"/>
            <w:hideMark/>
          </w:tcPr>
          <w:p w14:paraId="2C24A66A" w14:textId="30E74F8C" w:rsidR="00806EFC" w:rsidRPr="006C6F80" w:rsidRDefault="00806EFC" w:rsidP="00806EFC">
            <w:pPr>
              <w:jc w:val="center"/>
              <w:rPr>
                <w:b/>
                <w:bCs/>
                <w:color w:val="000000" w:themeColor="text1"/>
                <w:sz w:val="20"/>
                <w:szCs w:val="20"/>
              </w:rPr>
            </w:pPr>
            <w:r w:rsidRPr="006C6F80">
              <w:rPr>
                <w:b/>
                <w:bCs/>
                <w:color w:val="000000" w:themeColor="text1"/>
                <w:sz w:val="20"/>
                <w:szCs w:val="20"/>
              </w:rPr>
              <w:lastRenderedPageBreak/>
              <w:t xml:space="preserve">Table </w:t>
            </w:r>
            <w:r w:rsidR="00106E23" w:rsidRPr="006C6F80">
              <w:rPr>
                <w:b/>
                <w:bCs/>
                <w:color w:val="000000" w:themeColor="text1"/>
                <w:sz w:val="20"/>
                <w:szCs w:val="20"/>
              </w:rPr>
              <w:t>9</w:t>
            </w:r>
            <w:r w:rsidRPr="006C6F80">
              <w:rPr>
                <w:b/>
                <w:bCs/>
                <w:color w:val="000000" w:themeColor="text1"/>
                <w:sz w:val="20"/>
                <w:szCs w:val="20"/>
              </w:rPr>
              <w:t>: Robustness checks, estimating the effects of return migration on upward occupational mobility</w:t>
            </w:r>
          </w:p>
        </w:tc>
      </w:tr>
      <w:tr w:rsidR="00B13EEB" w:rsidRPr="006C6F80" w14:paraId="037916FB" w14:textId="77777777" w:rsidTr="000532E9">
        <w:trPr>
          <w:trHeight w:val="810"/>
          <w:jc w:val="center"/>
        </w:trPr>
        <w:tc>
          <w:tcPr>
            <w:tcW w:w="2067" w:type="dxa"/>
            <w:tcBorders>
              <w:top w:val="nil"/>
              <w:left w:val="nil"/>
              <w:bottom w:val="nil"/>
              <w:right w:val="nil"/>
            </w:tcBorders>
            <w:shd w:val="clear" w:color="auto" w:fill="auto"/>
            <w:noWrap/>
            <w:vAlign w:val="bottom"/>
            <w:hideMark/>
          </w:tcPr>
          <w:p w14:paraId="48009E70" w14:textId="77777777" w:rsidR="00806EFC" w:rsidRPr="006C6F80" w:rsidRDefault="00806EFC" w:rsidP="00806EFC">
            <w:pPr>
              <w:jc w:val="center"/>
              <w:rPr>
                <w:b/>
                <w:bCs/>
                <w:color w:val="000000" w:themeColor="text1"/>
                <w:sz w:val="20"/>
                <w:szCs w:val="20"/>
              </w:rPr>
            </w:pPr>
          </w:p>
        </w:tc>
        <w:tc>
          <w:tcPr>
            <w:tcW w:w="1443" w:type="dxa"/>
            <w:tcBorders>
              <w:top w:val="nil"/>
              <w:left w:val="nil"/>
              <w:bottom w:val="nil"/>
              <w:right w:val="nil"/>
            </w:tcBorders>
            <w:shd w:val="clear" w:color="auto" w:fill="auto"/>
            <w:vAlign w:val="center"/>
            <w:hideMark/>
          </w:tcPr>
          <w:p w14:paraId="5ACB0707" w14:textId="77777777" w:rsidR="00806EFC" w:rsidRPr="006C6F80" w:rsidRDefault="00806EFC" w:rsidP="00806EFC">
            <w:pPr>
              <w:jc w:val="center"/>
              <w:rPr>
                <w:i/>
                <w:iCs/>
                <w:color w:val="000000" w:themeColor="text1"/>
                <w:sz w:val="20"/>
                <w:szCs w:val="20"/>
              </w:rPr>
            </w:pPr>
            <w:r w:rsidRPr="006C6F80">
              <w:rPr>
                <w:i/>
                <w:iCs/>
                <w:color w:val="000000" w:themeColor="text1"/>
                <w:sz w:val="20"/>
                <w:szCs w:val="20"/>
              </w:rPr>
              <w:t>Eliminating the vector of first job controls</w:t>
            </w:r>
          </w:p>
        </w:tc>
        <w:tc>
          <w:tcPr>
            <w:tcW w:w="1440" w:type="dxa"/>
            <w:tcBorders>
              <w:top w:val="single" w:sz="4" w:space="0" w:color="auto"/>
              <w:left w:val="nil"/>
              <w:bottom w:val="single" w:sz="4" w:space="0" w:color="auto"/>
              <w:right w:val="nil"/>
            </w:tcBorders>
            <w:shd w:val="clear" w:color="auto" w:fill="auto"/>
            <w:vAlign w:val="center"/>
            <w:hideMark/>
          </w:tcPr>
          <w:p w14:paraId="39D9774D" w14:textId="77777777" w:rsidR="00806EFC" w:rsidRPr="006C6F80" w:rsidRDefault="00806EFC" w:rsidP="00806EFC">
            <w:pPr>
              <w:jc w:val="center"/>
              <w:rPr>
                <w:i/>
                <w:iCs/>
                <w:color w:val="000000" w:themeColor="text1"/>
                <w:sz w:val="20"/>
                <w:szCs w:val="20"/>
              </w:rPr>
            </w:pPr>
            <w:r w:rsidRPr="006C6F80">
              <w:rPr>
                <w:i/>
                <w:iCs/>
                <w:color w:val="000000" w:themeColor="text1"/>
                <w:sz w:val="20"/>
                <w:szCs w:val="20"/>
              </w:rPr>
              <w:t>Controlling for years of entry fixed effects</w:t>
            </w:r>
          </w:p>
        </w:tc>
        <w:tc>
          <w:tcPr>
            <w:tcW w:w="1440" w:type="dxa"/>
            <w:tcBorders>
              <w:top w:val="single" w:sz="4" w:space="0" w:color="auto"/>
              <w:left w:val="nil"/>
              <w:bottom w:val="single" w:sz="4" w:space="0" w:color="auto"/>
              <w:right w:val="nil"/>
            </w:tcBorders>
            <w:shd w:val="clear" w:color="auto" w:fill="auto"/>
            <w:vAlign w:val="center"/>
            <w:hideMark/>
          </w:tcPr>
          <w:p w14:paraId="53ACA916" w14:textId="77777777" w:rsidR="00A0045A" w:rsidRPr="006C6F80" w:rsidRDefault="00806EFC" w:rsidP="00806EFC">
            <w:pPr>
              <w:jc w:val="center"/>
              <w:rPr>
                <w:i/>
                <w:iCs/>
                <w:color w:val="000000" w:themeColor="text1"/>
                <w:sz w:val="20"/>
                <w:szCs w:val="20"/>
              </w:rPr>
            </w:pPr>
            <w:r w:rsidRPr="006C6F80">
              <w:rPr>
                <w:i/>
                <w:iCs/>
                <w:color w:val="000000" w:themeColor="text1"/>
                <w:sz w:val="20"/>
                <w:szCs w:val="20"/>
              </w:rPr>
              <w:t xml:space="preserve">Clustering </w:t>
            </w:r>
          </w:p>
          <w:p w14:paraId="66C2A40E" w14:textId="20756B93" w:rsidR="00806EFC" w:rsidRPr="006C6F80" w:rsidRDefault="00806EFC" w:rsidP="00806EFC">
            <w:pPr>
              <w:jc w:val="center"/>
              <w:rPr>
                <w:i/>
                <w:iCs/>
                <w:color w:val="000000" w:themeColor="text1"/>
                <w:sz w:val="20"/>
                <w:szCs w:val="20"/>
              </w:rPr>
            </w:pPr>
            <w:r w:rsidRPr="006C6F80">
              <w:rPr>
                <w:i/>
                <w:iCs/>
                <w:color w:val="000000" w:themeColor="text1"/>
                <w:sz w:val="20"/>
                <w:szCs w:val="20"/>
              </w:rPr>
              <w:t>at community level</w:t>
            </w:r>
          </w:p>
        </w:tc>
        <w:tc>
          <w:tcPr>
            <w:tcW w:w="1440" w:type="dxa"/>
            <w:tcBorders>
              <w:top w:val="single" w:sz="4" w:space="0" w:color="auto"/>
              <w:left w:val="nil"/>
              <w:bottom w:val="single" w:sz="4" w:space="0" w:color="auto"/>
              <w:right w:val="nil"/>
            </w:tcBorders>
            <w:shd w:val="clear" w:color="auto" w:fill="auto"/>
            <w:vAlign w:val="center"/>
            <w:hideMark/>
          </w:tcPr>
          <w:p w14:paraId="1BA97357" w14:textId="77777777" w:rsidR="00A0045A" w:rsidRPr="006C6F80" w:rsidRDefault="00806EFC" w:rsidP="00806EFC">
            <w:pPr>
              <w:jc w:val="center"/>
              <w:rPr>
                <w:i/>
                <w:iCs/>
                <w:color w:val="000000" w:themeColor="text1"/>
                <w:sz w:val="20"/>
                <w:szCs w:val="20"/>
              </w:rPr>
            </w:pPr>
            <w:r w:rsidRPr="006C6F80">
              <w:rPr>
                <w:i/>
                <w:iCs/>
                <w:color w:val="000000" w:themeColor="text1"/>
                <w:sz w:val="20"/>
                <w:szCs w:val="20"/>
              </w:rPr>
              <w:t xml:space="preserve">Clustering </w:t>
            </w:r>
          </w:p>
          <w:p w14:paraId="541C9A2E" w14:textId="79835B40" w:rsidR="00806EFC" w:rsidRPr="006C6F80" w:rsidRDefault="00806EFC" w:rsidP="00806EFC">
            <w:pPr>
              <w:jc w:val="center"/>
              <w:rPr>
                <w:i/>
                <w:iCs/>
                <w:color w:val="000000" w:themeColor="text1"/>
                <w:sz w:val="20"/>
                <w:szCs w:val="20"/>
              </w:rPr>
            </w:pPr>
            <w:r w:rsidRPr="006C6F80">
              <w:rPr>
                <w:i/>
                <w:iCs/>
                <w:color w:val="000000" w:themeColor="text1"/>
                <w:sz w:val="20"/>
                <w:szCs w:val="20"/>
              </w:rPr>
              <w:t xml:space="preserve">at year of birth </w:t>
            </w:r>
            <w:r w:rsidR="00A0045A" w:rsidRPr="006C6F80">
              <w:rPr>
                <w:i/>
                <w:iCs/>
                <w:color w:val="000000" w:themeColor="text1"/>
                <w:sz w:val="20"/>
                <w:szCs w:val="20"/>
              </w:rPr>
              <w:t>level</w:t>
            </w:r>
          </w:p>
        </w:tc>
        <w:tc>
          <w:tcPr>
            <w:tcW w:w="1440" w:type="dxa"/>
            <w:tcBorders>
              <w:top w:val="nil"/>
              <w:left w:val="nil"/>
              <w:bottom w:val="single" w:sz="4" w:space="0" w:color="auto"/>
              <w:right w:val="nil"/>
            </w:tcBorders>
            <w:shd w:val="clear" w:color="auto" w:fill="auto"/>
            <w:vAlign w:val="center"/>
            <w:hideMark/>
          </w:tcPr>
          <w:p w14:paraId="6853C288" w14:textId="77777777" w:rsidR="00806EFC" w:rsidRPr="006C6F80" w:rsidRDefault="00806EFC" w:rsidP="00806EFC">
            <w:pPr>
              <w:jc w:val="center"/>
              <w:rPr>
                <w:i/>
                <w:iCs/>
                <w:color w:val="000000" w:themeColor="text1"/>
                <w:sz w:val="20"/>
                <w:szCs w:val="20"/>
              </w:rPr>
            </w:pPr>
            <w:r w:rsidRPr="006C6F80">
              <w:rPr>
                <w:i/>
                <w:iCs/>
                <w:color w:val="000000" w:themeColor="text1"/>
                <w:sz w:val="20"/>
                <w:szCs w:val="20"/>
              </w:rPr>
              <w:t>Aggregating occupational categories</w:t>
            </w:r>
          </w:p>
        </w:tc>
        <w:tc>
          <w:tcPr>
            <w:tcW w:w="1530" w:type="dxa"/>
            <w:tcBorders>
              <w:top w:val="nil"/>
              <w:left w:val="nil"/>
              <w:bottom w:val="single" w:sz="4" w:space="0" w:color="auto"/>
              <w:right w:val="nil"/>
            </w:tcBorders>
            <w:shd w:val="clear" w:color="auto" w:fill="auto"/>
            <w:vAlign w:val="center"/>
            <w:hideMark/>
          </w:tcPr>
          <w:p w14:paraId="705AC3DB" w14:textId="77777777" w:rsidR="00806EFC" w:rsidRPr="006C6F80" w:rsidRDefault="00806EFC" w:rsidP="00806EFC">
            <w:pPr>
              <w:jc w:val="center"/>
              <w:rPr>
                <w:i/>
                <w:iCs/>
                <w:color w:val="000000" w:themeColor="text1"/>
                <w:sz w:val="20"/>
                <w:szCs w:val="20"/>
              </w:rPr>
            </w:pPr>
            <w:r w:rsidRPr="006C6F80">
              <w:rPr>
                <w:i/>
                <w:iCs/>
                <w:color w:val="000000" w:themeColor="text1"/>
                <w:sz w:val="20"/>
                <w:szCs w:val="20"/>
              </w:rPr>
              <w:t xml:space="preserve">Disaggregating occupational categories </w:t>
            </w:r>
          </w:p>
        </w:tc>
        <w:tc>
          <w:tcPr>
            <w:tcW w:w="1440" w:type="dxa"/>
            <w:tcBorders>
              <w:top w:val="nil"/>
              <w:left w:val="nil"/>
              <w:bottom w:val="single" w:sz="4" w:space="0" w:color="auto"/>
              <w:right w:val="nil"/>
            </w:tcBorders>
            <w:shd w:val="clear" w:color="auto" w:fill="auto"/>
            <w:vAlign w:val="center"/>
            <w:hideMark/>
          </w:tcPr>
          <w:p w14:paraId="65188A57" w14:textId="77777777" w:rsidR="00806EFC" w:rsidRPr="006C6F80" w:rsidRDefault="00806EFC" w:rsidP="00806EFC">
            <w:pPr>
              <w:jc w:val="center"/>
              <w:rPr>
                <w:i/>
                <w:iCs/>
                <w:color w:val="000000" w:themeColor="text1"/>
                <w:sz w:val="20"/>
                <w:szCs w:val="20"/>
              </w:rPr>
            </w:pPr>
            <w:r w:rsidRPr="006C6F80">
              <w:rPr>
                <w:i/>
                <w:iCs/>
                <w:color w:val="000000" w:themeColor="text1"/>
                <w:sz w:val="20"/>
                <w:szCs w:val="20"/>
              </w:rPr>
              <w:t>Eliminating high-skilled white collar at first job</w:t>
            </w:r>
          </w:p>
        </w:tc>
        <w:tc>
          <w:tcPr>
            <w:tcW w:w="1530" w:type="dxa"/>
            <w:tcBorders>
              <w:top w:val="nil"/>
              <w:left w:val="nil"/>
              <w:bottom w:val="nil"/>
              <w:right w:val="nil"/>
            </w:tcBorders>
            <w:shd w:val="clear" w:color="auto" w:fill="auto"/>
            <w:vAlign w:val="center"/>
            <w:hideMark/>
          </w:tcPr>
          <w:p w14:paraId="79800717" w14:textId="77777777" w:rsidR="00806EFC" w:rsidRPr="006C6F80" w:rsidRDefault="00806EFC" w:rsidP="00806EFC">
            <w:pPr>
              <w:jc w:val="center"/>
              <w:rPr>
                <w:i/>
                <w:iCs/>
                <w:color w:val="000000" w:themeColor="text1"/>
                <w:sz w:val="20"/>
                <w:szCs w:val="20"/>
              </w:rPr>
            </w:pPr>
            <w:r w:rsidRPr="006C6F80">
              <w:rPr>
                <w:i/>
                <w:iCs/>
                <w:color w:val="000000" w:themeColor="text1"/>
                <w:sz w:val="20"/>
                <w:szCs w:val="20"/>
              </w:rPr>
              <w:t>Focusing on wage workers in the 2010 occupation</w:t>
            </w:r>
          </w:p>
        </w:tc>
        <w:tc>
          <w:tcPr>
            <w:tcW w:w="1440" w:type="dxa"/>
            <w:tcBorders>
              <w:top w:val="single" w:sz="4" w:space="0" w:color="auto"/>
              <w:left w:val="nil"/>
              <w:bottom w:val="single" w:sz="4" w:space="0" w:color="auto"/>
              <w:right w:val="nil"/>
            </w:tcBorders>
            <w:shd w:val="clear" w:color="auto" w:fill="auto"/>
            <w:vAlign w:val="center"/>
            <w:hideMark/>
          </w:tcPr>
          <w:p w14:paraId="127C13FF" w14:textId="77777777" w:rsidR="00A0045A" w:rsidRPr="006C6F80" w:rsidRDefault="00806EFC" w:rsidP="00806EFC">
            <w:pPr>
              <w:jc w:val="center"/>
              <w:rPr>
                <w:i/>
                <w:iCs/>
                <w:color w:val="000000" w:themeColor="text1"/>
                <w:sz w:val="20"/>
                <w:szCs w:val="20"/>
              </w:rPr>
            </w:pPr>
            <w:r w:rsidRPr="006C6F80">
              <w:rPr>
                <w:i/>
                <w:iCs/>
                <w:color w:val="000000" w:themeColor="text1"/>
                <w:sz w:val="20"/>
                <w:szCs w:val="20"/>
              </w:rPr>
              <w:t xml:space="preserve">Focusing on wage workers in first job </w:t>
            </w:r>
          </w:p>
          <w:p w14:paraId="3F9CF53E" w14:textId="3F509BF6" w:rsidR="00806EFC" w:rsidRPr="006C6F80" w:rsidRDefault="00806EFC" w:rsidP="00806EFC">
            <w:pPr>
              <w:jc w:val="center"/>
              <w:rPr>
                <w:i/>
                <w:iCs/>
                <w:color w:val="000000" w:themeColor="text1"/>
                <w:sz w:val="20"/>
                <w:szCs w:val="20"/>
              </w:rPr>
            </w:pPr>
            <w:r w:rsidRPr="006C6F80">
              <w:rPr>
                <w:i/>
                <w:iCs/>
                <w:color w:val="000000" w:themeColor="text1"/>
                <w:sz w:val="20"/>
                <w:szCs w:val="20"/>
              </w:rPr>
              <w:t>&amp; in 2010 occupation</w:t>
            </w:r>
          </w:p>
        </w:tc>
      </w:tr>
      <w:tr w:rsidR="00B13EEB" w:rsidRPr="006C6F80" w14:paraId="4DEA53E0" w14:textId="77777777" w:rsidTr="000532E9">
        <w:trPr>
          <w:trHeight w:val="256"/>
          <w:jc w:val="center"/>
        </w:trPr>
        <w:tc>
          <w:tcPr>
            <w:tcW w:w="2067" w:type="dxa"/>
            <w:tcBorders>
              <w:top w:val="single" w:sz="4" w:space="0" w:color="auto"/>
              <w:left w:val="nil"/>
              <w:bottom w:val="nil"/>
              <w:right w:val="nil"/>
            </w:tcBorders>
            <w:shd w:val="clear" w:color="auto" w:fill="auto"/>
            <w:noWrap/>
            <w:vAlign w:val="bottom"/>
            <w:hideMark/>
          </w:tcPr>
          <w:p w14:paraId="57734B49" w14:textId="77777777" w:rsidR="00806EFC" w:rsidRPr="006C6F80" w:rsidRDefault="00806EFC" w:rsidP="00806EFC">
            <w:pPr>
              <w:rPr>
                <w:color w:val="000000" w:themeColor="text1"/>
                <w:sz w:val="20"/>
                <w:szCs w:val="20"/>
              </w:rPr>
            </w:pPr>
            <w:r w:rsidRPr="006C6F80">
              <w:rPr>
                <w:color w:val="000000" w:themeColor="text1"/>
                <w:sz w:val="20"/>
                <w:szCs w:val="20"/>
              </w:rPr>
              <w:t> </w:t>
            </w:r>
          </w:p>
        </w:tc>
        <w:tc>
          <w:tcPr>
            <w:tcW w:w="1443" w:type="dxa"/>
            <w:tcBorders>
              <w:top w:val="single" w:sz="4" w:space="0" w:color="auto"/>
              <w:left w:val="nil"/>
              <w:bottom w:val="nil"/>
              <w:right w:val="nil"/>
            </w:tcBorders>
            <w:shd w:val="clear" w:color="auto" w:fill="auto"/>
            <w:noWrap/>
            <w:vAlign w:val="bottom"/>
            <w:hideMark/>
          </w:tcPr>
          <w:p w14:paraId="7D1C20E2" w14:textId="77777777" w:rsidR="00806EFC" w:rsidRPr="006C6F80" w:rsidRDefault="00806EFC" w:rsidP="00806EFC">
            <w:pPr>
              <w:jc w:val="center"/>
              <w:rPr>
                <w:color w:val="000000" w:themeColor="text1"/>
                <w:sz w:val="20"/>
                <w:szCs w:val="20"/>
              </w:rPr>
            </w:pPr>
            <w:r w:rsidRPr="006C6F80">
              <w:rPr>
                <w:color w:val="000000" w:themeColor="text1"/>
                <w:sz w:val="20"/>
                <w:szCs w:val="20"/>
              </w:rPr>
              <w:t>(1)</w:t>
            </w:r>
          </w:p>
        </w:tc>
        <w:tc>
          <w:tcPr>
            <w:tcW w:w="1440" w:type="dxa"/>
            <w:tcBorders>
              <w:top w:val="nil"/>
              <w:left w:val="nil"/>
              <w:bottom w:val="nil"/>
              <w:right w:val="nil"/>
            </w:tcBorders>
            <w:shd w:val="clear" w:color="auto" w:fill="auto"/>
            <w:noWrap/>
            <w:vAlign w:val="bottom"/>
            <w:hideMark/>
          </w:tcPr>
          <w:p w14:paraId="3B26777C" w14:textId="77777777" w:rsidR="00806EFC" w:rsidRPr="006C6F80" w:rsidRDefault="00806EFC" w:rsidP="00806EFC">
            <w:pPr>
              <w:jc w:val="center"/>
              <w:rPr>
                <w:color w:val="000000" w:themeColor="text1"/>
                <w:sz w:val="20"/>
                <w:szCs w:val="20"/>
              </w:rPr>
            </w:pPr>
            <w:r w:rsidRPr="006C6F80">
              <w:rPr>
                <w:color w:val="000000" w:themeColor="text1"/>
                <w:sz w:val="20"/>
                <w:szCs w:val="20"/>
              </w:rPr>
              <w:t>(2)</w:t>
            </w:r>
          </w:p>
        </w:tc>
        <w:tc>
          <w:tcPr>
            <w:tcW w:w="1440" w:type="dxa"/>
            <w:tcBorders>
              <w:top w:val="nil"/>
              <w:left w:val="nil"/>
              <w:bottom w:val="nil"/>
              <w:right w:val="nil"/>
            </w:tcBorders>
            <w:shd w:val="clear" w:color="auto" w:fill="auto"/>
            <w:noWrap/>
            <w:vAlign w:val="bottom"/>
            <w:hideMark/>
          </w:tcPr>
          <w:p w14:paraId="4DC2B3C7" w14:textId="77777777" w:rsidR="00806EFC" w:rsidRPr="006C6F80" w:rsidRDefault="00806EFC" w:rsidP="00806EFC">
            <w:pPr>
              <w:jc w:val="center"/>
              <w:rPr>
                <w:color w:val="000000" w:themeColor="text1"/>
                <w:sz w:val="20"/>
                <w:szCs w:val="20"/>
              </w:rPr>
            </w:pPr>
            <w:r w:rsidRPr="006C6F80">
              <w:rPr>
                <w:color w:val="000000" w:themeColor="text1"/>
                <w:sz w:val="20"/>
                <w:szCs w:val="20"/>
              </w:rPr>
              <w:t>(3)</w:t>
            </w:r>
          </w:p>
        </w:tc>
        <w:tc>
          <w:tcPr>
            <w:tcW w:w="1440" w:type="dxa"/>
            <w:tcBorders>
              <w:top w:val="nil"/>
              <w:left w:val="nil"/>
              <w:bottom w:val="nil"/>
              <w:right w:val="nil"/>
            </w:tcBorders>
            <w:shd w:val="clear" w:color="auto" w:fill="auto"/>
            <w:noWrap/>
            <w:vAlign w:val="bottom"/>
            <w:hideMark/>
          </w:tcPr>
          <w:p w14:paraId="4177AA11" w14:textId="77777777" w:rsidR="00806EFC" w:rsidRPr="006C6F80" w:rsidRDefault="00806EFC" w:rsidP="00806EFC">
            <w:pPr>
              <w:jc w:val="center"/>
              <w:rPr>
                <w:color w:val="000000" w:themeColor="text1"/>
                <w:sz w:val="20"/>
                <w:szCs w:val="20"/>
              </w:rPr>
            </w:pPr>
            <w:r w:rsidRPr="006C6F80">
              <w:rPr>
                <w:color w:val="000000" w:themeColor="text1"/>
                <w:sz w:val="20"/>
                <w:szCs w:val="20"/>
              </w:rPr>
              <w:t>(4)</w:t>
            </w:r>
          </w:p>
        </w:tc>
        <w:tc>
          <w:tcPr>
            <w:tcW w:w="1440" w:type="dxa"/>
            <w:tcBorders>
              <w:top w:val="nil"/>
              <w:left w:val="nil"/>
              <w:bottom w:val="nil"/>
              <w:right w:val="nil"/>
            </w:tcBorders>
            <w:shd w:val="clear" w:color="auto" w:fill="auto"/>
            <w:noWrap/>
            <w:vAlign w:val="bottom"/>
            <w:hideMark/>
          </w:tcPr>
          <w:p w14:paraId="26C420AC" w14:textId="77777777" w:rsidR="00806EFC" w:rsidRPr="006C6F80" w:rsidRDefault="00806EFC" w:rsidP="00806EFC">
            <w:pPr>
              <w:jc w:val="center"/>
              <w:rPr>
                <w:color w:val="000000" w:themeColor="text1"/>
                <w:sz w:val="20"/>
                <w:szCs w:val="20"/>
              </w:rPr>
            </w:pPr>
            <w:r w:rsidRPr="006C6F80">
              <w:rPr>
                <w:color w:val="000000" w:themeColor="text1"/>
                <w:sz w:val="20"/>
                <w:szCs w:val="20"/>
              </w:rPr>
              <w:t>(5)</w:t>
            </w:r>
          </w:p>
        </w:tc>
        <w:tc>
          <w:tcPr>
            <w:tcW w:w="1530" w:type="dxa"/>
            <w:tcBorders>
              <w:top w:val="nil"/>
              <w:left w:val="nil"/>
              <w:bottom w:val="nil"/>
              <w:right w:val="nil"/>
            </w:tcBorders>
            <w:shd w:val="clear" w:color="auto" w:fill="auto"/>
            <w:noWrap/>
            <w:vAlign w:val="bottom"/>
            <w:hideMark/>
          </w:tcPr>
          <w:p w14:paraId="4D263FCC" w14:textId="77777777" w:rsidR="00806EFC" w:rsidRPr="006C6F80" w:rsidRDefault="00806EFC" w:rsidP="00806EFC">
            <w:pPr>
              <w:jc w:val="center"/>
              <w:rPr>
                <w:color w:val="000000" w:themeColor="text1"/>
                <w:sz w:val="20"/>
                <w:szCs w:val="20"/>
              </w:rPr>
            </w:pPr>
            <w:r w:rsidRPr="006C6F80">
              <w:rPr>
                <w:color w:val="000000" w:themeColor="text1"/>
                <w:sz w:val="20"/>
                <w:szCs w:val="20"/>
              </w:rPr>
              <w:t>(6)</w:t>
            </w:r>
          </w:p>
        </w:tc>
        <w:tc>
          <w:tcPr>
            <w:tcW w:w="1440" w:type="dxa"/>
            <w:tcBorders>
              <w:top w:val="nil"/>
              <w:left w:val="nil"/>
              <w:bottom w:val="nil"/>
              <w:right w:val="nil"/>
            </w:tcBorders>
            <w:shd w:val="clear" w:color="auto" w:fill="auto"/>
            <w:noWrap/>
            <w:vAlign w:val="bottom"/>
            <w:hideMark/>
          </w:tcPr>
          <w:p w14:paraId="4F6A62BB" w14:textId="77777777" w:rsidR="00806EFC" w:rsidRPr="006C6F80" w:rsidRDefault="00806EFC" w:rsidP="00806EFC">
            <w:pPr>
              <w:jc w:val="center"/>
              <w:rPr>
                <w:color w:val="000000" w:themeColor="text1"/>
                <w:sz w:val="20"/>
                <w:szCs w:val="20"/>
              </w:rPr>
            </w:pPr>
            <w:r w:rsidRPr="006C6F80">
              <w:rPr>
                <w:color w:val="000000" w:themeColor="text1"/>
                <w:sz w:val="20"/>
                <w:szCs w:val="20"/>
              </w:rPr>
              <w:t>(7)</w:t>
            </w:r>
          </w:p>
        </w:tc>
        <w:tc>
          <w:tcPr>
            <w:tcW w:w="1530" w:type="dxa"/>
            <w:tcBorders>
              <w:top w:val="single" w:sz="4" w:space="0" w:color="auto"/>
              <w:left w:val="nil"/>
              <w:bottom w:val="nil"/>
              <w:right w:val="nil"/>
            </w:tcBorders>
            <w:shd w:val="clear" w:color="auto" w:fill="auto"/>
            <w:noWrap/>
            <w:vAlign w:val="bottom"/>
            <w:hideMark/>
          </w:tcPr>
          <w:p w14:paraId="3F5A6FCF" w14:textId="77777777" w:rsidR="00806EFC" w:rsidRPr="006C6F80" w:rsidRDefault="00806EFC" w:rsidP="00806EFC">
            <w:pPr>
              <w:jc w:val="center"/>
              <w:rPr>
                <w:color w:val="000000" w:themeColor="text1"/>
                <w:sz w:val="20"/>
                <w:szCs w:val="20"/>
              </w:rPr>
            </w:pPr>
            <w:r w:rsidRPr="006C6F80">
              <w:rPr>
                <w:color w:val="000000" w:themeColor="text1"/>
                <w:sz w:val="20"/>
                <w:szCs w:val="20"/>
              </w:rPr>
              <w:t>(8)</w:t>
            </w:r>
          </w:p>
        </w:tc>
        <w:tc>
          <w:tcPr>
            <w:tcW w:w="1440" w:type="dxa"/>
            <w:tcBorders>
              <w:top w:val="nil"/>
              <w:left w:val="nil"/>
              <w:bottom w:val="nil"/>
              <w:right w:val="nil"/>
            </w:tcBorders>
            <w:shd w:val="clear" w:color="auto" w:fill="auto"/>
            <w:noWrap/>
            <w:vAlign w:val="bottom"/>
            <w:hideMark/>
          </w:tcPr>
          <w:p w14:paraId="0B8023CE" w14:textId="77777777" w:rsidR="00806EFC" w:rsidRPr="006C6F80" w:rsidRDefault="00806EFC" w:rsidP="00806EFC">
            <w:pPr>
              <w:jc w:val="center"/>
              <w:rPr>
                <w:color w:val="000000" w:themeColor="text1"/>
                <w:sz w:val="20"/>
                <w:szCs w:val="20"/>
              </w:rPr>
            </w:pPr>
            <w:r w:rsidRPr="006C6F80">
              <w:rPr>
                <w:color w:val="000000" w:themeColor="text1"/>
                <w:sz w:val="20"/>
                <w:szCs w:val="20"/>
              </w:rPr>
              <w:t>(9)</w:t>
            </w:r>
          </w:p>
        </w:tc>
      </w:tr>
      <w:tr w:rsidR="00B13EEB" w:rsidRPr="006C6F80" w14:paraId="4BEC1292" w14:textId="77777777" w:rsidTr="000532E9">
        <w:trPr>
          <w:trHeight w:val="256"/>
          <w:jc w:val="center"/>
        </w:trPr>
        <w:tc>
          <w:tcPr>
            <w:tcW w:w="2067" w:type="dxa"/>
            <w:tcBorders>
              <w:top w:val="nil"/>
              <w:left w:val="nil"/>
              <w:bottom w:val="nil"/>
              <w:right w:val="nil"/>
            </w:tcBorders>
            <w:shd w:val="clear" w:color="auto" w:fill="auto"/>
            <w:noWrap/>
            <w:vAlign w:val="bottom"/>
            <w:hideMark/>
          </w:tcPr>
          <w:p w14:paraId="31A0A180" w14:textId="77777777" w:rsidR="00806EFC" w:rsidRPr="006C6F80" w:rsidRDefault="00806EFC" w:rsidP="00806EFC">
            <w:pPr>
              <w:jc w:val="center"/>
              <w:rPr>
                <w:color w:val="000000" w:themeColor="text1"/>
                <w:sz w:val="20"/>
                <w:szCs w:val="20"/>
              </w:rPr>
            </w:pPr>
          </w:p>
        </w:tc>
        <w:tc>
          <w:tcPr>
            <w:tcW w:w="1443" w:type="dxa"/>
            <w:tcBorders>
              <w:top w:val="nil"/>
              <w:left w:val="nil"/>
              <w:bottom w:val="nil"/>
              <w:right w:val="nil"/>
            </w:tcBorders>
            <w:shd w:val="clear" w:color="auto" w:fill="auto"/>
            <w:noWrap/>
            <w:vAlign w:val="bottom"/>
            <w:hideMark/>
          </w:tcPr>
          <w:p w14:paraId="7A607F44" w14:textId="77777777" w:rsidR="00806EFC" w:rsidRPr="006C6F80" w:rsidRDefault="00806EFC" w:rsidP="00806EFC">
            <w:pPr>
              <w:jc w:val="center"/>
              <w:rPr>
                <w:color w:val="000000" w:themeColor="text1"/>
                <w:sz w:val="20"/>
                <w:szCs w:val="20"/>
              </w:rPr>
            </w:pPr>
            <w:r w:rsidRPr="006C6F80">
              <w:rPr>
                <w:color w:val="000000" w:themeColor="text1"/>
                <w:sz w:val="20"/>
                <w:szCs w:val="20"/>
              </w:rPr>
              <w:t>IV-Regression</w:t>
            </w:r>
          </w:p>
        </w:tc>
        <w:tc>
          <w:tcPr>
            <w:tcW w:w="1440" w:type="dxa"/>
            <w:tcBorders>
              <w:top w:val="nil"/>
              <w:left w:val="nil"/>
              <w:bottom w:val="nil"/>
              <w:right w:val="nil"/>
            </w:tcBorders>
            <w:shd w:val="clear" w:color="auto" w:fill="auto"/>
            <w:noWrap/>
            <w:vAlign w:val="bottom"/>
            <w:hideMark/>
          </w:tcPr>
          <w:p w14:paraId="62FF56C0" w14:textId="77777777" w:rsidR="00806EFC" w:rsidRPr="006C6F80" w:rsidRDefault="00806EFC" w:rsidP="00806EFC">
            <w:pPr>
              <w:jc w:val="center"/>
              <w:rPr>
                <w:color w:val="000000" w:themeColor="text1"/>
                <w:sz w:val="20"/>
                <w:szCs w:val="20"/>
              </w:rPr>
            </w:pPr>
            <w:r w:rsidRPr="006C6F80">
              <w:rPr>
                <w:color w:val="000000" w:themeColor="text1"/>
                <w:sz w:val="20"/>
                <w:szCs w:val="20"/>
              </w:rPr>
              <w:t>IV-Regression</w:t>
            </w:r>
          </w:p>
        </w:tc>
        <w:tc>
          <w:tcPr>
            <w:tcW w:w="1440" w:type="dxa"/>
            <w:tcBorders>
              <w:top w:val="nil"/>
              <w:left w:val="nil"/>
              <w:bottom w:val="nil"/>
              <w:right w:val="nil"/>
            </w:tcBorders>
            <w:shd w:val="clear" w:color="auto" w:fill="auto"/>
            <w:noWrap/>
            <w:vAlign w:val="bottom"/>
            <w:hideMark/>
          </w:tcPr>
          <w:p w14:paraId="78AFF81C" w14:textId="77777777" w:rsidR="00806EFC" w:rsidRPr="006C6F80" w:rsidRDefault="00806EFC" w:rsidP="00806EFC">
            <w:pPr>
              <w:jc w:val="center"/>
              <w:rPr>
                <w:color w:val="000000" w:themeColor="text1"/>
                <w:sz w:val="20"/>
                <w:szCs w:val="20"/>
              </w:rPr>
            </w:pPr>
            <w:r w:rsidRPr="006C6F80">
              <w:rPr>
                <w:color w:val="000000" w:themeColor="text1"/>
                <w:sz w:val="20"/>
                <w:szCs w:val="20"/>
              </w:rPr>
              <w:t>IV-Regression</w:t>
            </w:r>
          </w:p>
        </w:tc>
        <w:tc>
          <w:tcPr>
            <w:tcW w:w="1440" w:type="dxa"/>
            <w:tcBorders>
              <w:top w:val="nil"/>
              <w:left w:val="nil"/>
              <w:bottom w:val="nil"/>
              <w:right w:val="nil"/>
            </w:tcBorders>
            <w:shd w:val="clear" w:color="auto" w:fill="auto"/>
            <w:noWrap/>
            <w:vAlign w:val="bottom"/>
            <w:hideMark/>
          </w:tcPr>
          <w:p w14:paraId="11CE4DC0" w14:textId="77777777" w:rsidR="00806EFC" w:rsidRPr="006C6F80" w:rsidRDefault="00806EFC" w:rsidP="00806EFC">
            <w:pPr>
              <w:jc w:val="center"/>
              <w:rPr>
                <w:color w:val="000000" w:themeColor="text1"/>
                <w:sz w:val="20"/>
                <w:szCs w:val="20"/>
              </w:rPr>
            </w:pPr>
            <w:r w:rsidRPr="006C6F80">
              <w:rPr>
                <w:color w:val="000000" w:themeColor="text1"/>
                <w:sz w:val="20"/>
                <w:szCs w:val="20"/>
              </w:rPr>
              <w:t>IV-Regression</w:t>
            </w:r>
          </w:p>
        </w:tc>
        <w:tc>
          <w:tcPr>
            <w:tcW w:w="1440" w:type="dxa"/>
            <w:tcBorders>
              <w:top w:val="nil"/>
              <w:left w:val="nil"/>
              <w:bottom w:val="nil"/>
              <w:right w:val="nil"/>
            </w:tcBorders>
            <w:shd w:val="clear" w:color="auto" w:fill="auto"/>
            <w:noWrap/>
            <w:vAlign w:val="bottom"/>
            <w:hideMark/>
          </w:tcPr>
          <w:p w14:paraId="328970BA" w14:textId="77777777" w:rsidR="00806EFC" w:rsidRPr="006C6F80" w:rsidRDefault="00806EFC" w:rsidP="00806EFC">
            <w:pPr>
              <w:jc w:val="center"/>
              <w:rPr>
                <w:color w:val="000000" w:themeColor="text1"/>
                <w:sz w:val="20"/>
                <w:szCs w:val="20"/>
              </w:rPr>
            </w:pPr>
            <w:r w:rsidRPr="006C6F80">
              <w:rPr>
                <w:color w:val="000000" w:themeColor="text1"/>
                <w:sz w:val="20"/>
                <w:szCs w:val="20"/>
              </w:rPr>
              <w:t>IV-Regression</w:t>
            </w:r>
          </w:p>
        </w:tc>
        <w:tc>
          <w:tcPr>
            <w:tcW w:w="1530" w:type="dxa"/>
            <w:tcBorders>
              <w:top w:val="nil"/>
              <w:left w:val="nil"/>
              <w:bottom w:val="nil"/>
              <w:right w:val="nil"/>
            </w:tcBorders>
            <w:shd w:val="clear" w:color="auto" w:fill="auto"/>
            <w:noWrap/>
            <w:vAlign w:val="bottom"/>
            <w:hideMark/>
          </w:tcPr>
          <w:p w14:paraId="5DB66F54" w14:textId="77777777" w:rsidR="00806EFC" w:rsidRPr="006C6F80" w:rsidRDefault="00806EFC" w:rsidP="00806EFC">
            <w:pPr>
              <w:jc w:val="center"/>
              <w:rPr>
                <w:color w:val="000000" w:themeColor="text1"/>
                <w:sz w:val="20"/>
                <w:szCs w:val="20"/>
              </w:rPr>
            </w:pPr>
            <w:r w:rsidRPr="006C6F80">
              <w:rPr>
                <w:color w:val="000000" w:themeColor="text1"/>
                <w:sz w:val="20"/>
                <w:szCs w:val="20"/>
              </w:rPr>
              <w:t>IV-Regression</w:t>
            </w:r>
          </w:p>
        </w:tc>
        <w:tc>
          <w:tcPr>
            <w:tcW w:w="1440" w:type="dxa"/>
            <w:tcBorders>
              <w:top w:val="nil"/>
              <w:left w:val="nil"/>
              <w:bottom w:val="nil"/>
              <w:right w:val="nil"/>
            </w:tcBorders>
            <w:shd w:val="clear" w:color="auto" w:fill="auto"/>
            <w:noWrap/>
            <w:vAlign w:val="bottom"/>
            <w:hideMark/>
          </w:tcPr>
          <w:p w14:paraId="3AD9C89A" w14:textId="77777777" w:rsidR="00806EFC" w:rsidRPr="006C6F80" w:rsidRDefault="00806EFC" w:rsidP="00806EFC">
            <w:pPr>
              <w:jc w:val="center"/>
              <w:rPr>
                <w:color w:val="000000" w:themeColor="text1"/>
                <w:sz w:val="20"/>
                <w:szCs w:val="20"/>
              </w:rPr>
            </w:pPr>
            <w:r w:rsidRPr="006C6F80">
              <w:rPr>
                <w:color w:val="000000" w:themeColor="text1"/>
                <w:sz w:val="20"/>
                <w:szCs w:val="20"/>
              </w:rPr>
              <w:t>IV-Regression</w:t>
            </w:r>
          </w:p>
        </w:tc>
        <w:tc>
          <w:tcPr>
            <w:tcW w:w="1530" w:type="dxa"/>
            <w:tcBorders>
              <w:top w:val="nil"/>
              <w:left w:val="nil"/>
              <w:bottom w:val="nil"/>
              <w:right w:val="nil"/>
            </w:tcBorders>
            <w:shd w:val="clear" w:color="auto" w:fill="auto"/>
            <w:noWrap/>
            <w:vAlign w:val="bottom"/>
            <w:hideMark/>
          </w:tcPr>
          <w:p w14:paraId="4FF182AD" w14:textId="77777777" w:rsidR="00806EFC" w:rsidRPr="006C6F80" w:rsidRDefault="00806EFC" w:rsidP="00806EFC">
            <w:pPr>
              <w:jc w:val="center"/>
              <w:rPr>
                <w:color w:val="000000" w:themeColor="text1"/>
                <w:sz w:val="20"/>
                <w:szCs w:val="20"/>
              </w:rPr>
            </w:pPr>
            <w:r w:rsidRPr="006C6F80">
              <w:rPr>
                <w:color w:val="000000" w:themeColor="text1"/>
                <w:sz w:val="20"/>
                <w:szCs w:val="20"/>
              </w:rPr>
              <w:t>IV-Regression</w:t>
            </w:r>
          </w:p>
        </w:tc>
        <w:tc>
          <w:tcPr>
            <w:tcW w:w="1440" w:type="dxa"/>
            <w:tcBorders>
              <w:top w:val="nil"/>
              <w:left w:val="nil"/>
              <w:bottom w:val="nil"/>
              <w:right w:val="nil"/>
            </w:tcBorders>
            <w:shd w:val="clear" w:color="auto" w:fill="auto"/>
            <w:noWrap/>
            <w:vAlign w:val="bottom"/>
            <w:hideMark/>
          </w:tcPr>
          <w:p w14:paraId="7F2F12AA" w14:textId="77777777" w:rsidR="00806EFC" w:rsidRPr="006C6F80" w:rsidRDefault="00806EFC" w:rsidP="00806EFC">
            <w:pPr>
              <w:jc w:val="center"/>
              <w:rPr>
                <w:color w:val="000000" w:themeColor="text1"/>
                <w:sz w:val="20"/>
                <w:szCs w:val="20"/>
              </w:rPr>
            </w:pPr>
            <w:r w:rsidRPr="006C6F80">
              <w:rPr>
                <w:color w:val="000000" w:themeColor="text1"/>
                <w:sz w:val="20"/>
                <w:szCs w:val="20"/>
              </w:rPr>
              <w:t>IV-Regression</w:t>
            </w:r>
          </w:p>
        </w:tc>
      </w:tr>
      <w:tr w:rsidR="00B13EEB" w:rsidRPr="006C6F80" w14:paraId="4631C199" w14:textId="77777777" w:rsidTr="000532E9">
        <w:trPr>
          <w:trHeight w:val="256"/>
          <w:jc w:val="center"/>
        </w:trPr>
        <w:tc>
          <w:tcPr>
            <w:tcW w:w="2067" w:type="dxa"/>
            <w:tcBorders>
              <w:top w:val="nil"/>
              <w:left w:val="nil"/>
              <w:bottom w:val="nil"/>
              <w:right w:val="nil"/>
            </w:tcBorders>
            <w:shd w:val="clear" w:color="auto" w:fill="auto"/>
            <w:noWrap/>
            <w:vAlign w:val="bottom"/>
            <w:hideMark/>
          </w:tcPr>
          <w:p w14:paraId="3A914CF9" w14:textId="77777777" w:rsidR="00806EFC" w:rsidRPr="006C6F80" w:rsidRDefault="00806EFC" w:rsidP="00806EFC">
            <w:pPr>
              <w:rPr>
                <w:color w:val="000000" w:themeColor="text1"/>
                <w:sz w:val="20"/>
                <w:szCs w:val="20"/>
              </w:rPr>
            </w:pPr>
            <w:r w:rsidRPr="006C6F80">
              <w:rPr>
                <w:color w:val="000000" w:themeColor="text1"/>
                <w:sz w:val="20"/>
                <w:szCs w:val="20"/>
              </w:rPr>
              <w:t>VARIABLES</w:t>
            </w:r>
          </w:p>
        </w:tc>
        <w:tc>
          <w:tcPr>
            <w:tcW w:w="1443" w:type="dxa"/>
            <w:tcBorders>
              <w:top w:val="nil"/>
              <w:left w:val="nil"/>
              <w:bottom w:val="single" w:sz="4" w:space="0" w:color="auto"/>
              <w:right w:val="nil"/>
            </w:tcBorders>
            <w:shd w:val="clear" w:color="auto" w:fill="auto"/>
            <w:noWrap/>
            <w:vAlign w:val="bottom"/>
            <w:hideMark/>
          </w:tcPr>
          <w:p w14:paraId="7342AF71" w14:textId="77777777" w:rsidR="00806EFC" w:rsidRPr="006C6F80" w:rsidRDefault="00806EFC" w:rsidP="00806EFC">
            <w:pPr>
              <w:jc w:val="center"/>
              <w:rPr>
                <w:color w:val="000000" w:themeColor="text1"/>
                <w:sz w:val="20"/>
                <w:szCs w:val="20"/>
              </w:rPr>
            </w:pPr>
            <w:r w:rsidRPr="006C6F80">
              <w:rPr>
                <w:color w:val="000000" w:themeColor="text1"/>
                <w:sz w:val="20"/>
                <w:szCs w:val="20"/>
              </w:rPr>
              <w:t>Upward mobility</w:t>
            </w:r>
          </w:p>
        </w:tc>
        <w:tc>
          <w:tcPr>
            <w:tcW w:w="1440" w:type="dxa"/>
            <w:tcBorders>
              <w:top w:val="nil"/>
              <w:left w:val="nil"/>
              <w:bottom w:val="single" w:sz="4" w:space="0" w:color="auto"/>
              <w:right w:val="nil"/>
            </w:tcBorders>
            <w:shd w:val="clear" w:color="auto" w:fill="auto"/>
            <w:noWrap/>
            <w:vAlign w:val="bottom"/>
            <w:hideMark/>
          </w:tcPr>
          <w:p w14:paraId="60516AB9" w14:textId="77777777" w:rsidR="00806EFC" w:rsidRPr="006C6F80" w:rsidRDefault="00806EFC" w:rsidP="00806EFC">
            <w:pPr>
              <w:jc w:val="center"/>
              <w:rPr>
                <w:color w:val="000000" w:themeColor="text1"/>
                <w:sz w:val="20"/>
                <w:szCs w:val="20"/>
              </w:rPr>
            </w:pPr>
            <w:r w:rsidRPr="006C6F80">
              <w:rPr>
                <w:color w:val="000000" w:themeColor="text1"/>
                <w:sz w:val="20"/>
                <w:szCs w:val="20"/>
              </w:rPr>
              <w:t>Upward mobility</w:t>
            </w:r>
          </w:p>
        </w:tc>
        <w:tc>
          <w:tcPr>
            <w:tcW w:w="1440" w:type="dxa"/>
            <w:tcBorders>
              <w:top w:val="nil"/>
              <w:left w:val="nil"/>
              <w:bottom w:val="single" w:sz="4" w:space="0" w:color="auto"/>
              <w:right w:val="nil"/>
            </w:tcBorders>
            <w:shd w:val="clear" w:color="auto" w:fill="auto"/>
            <w:noWrap/>
            <w:vAlign w:val="bottom"/>
            <w:hideMark/>
          </w:tcPr>
          <w:p w14:paraId="2E7831F8" w14:textId="77777777" w:rsidR="00806EFC" w:rsidRPr="006C6F80" w:rsidRDefault="00806EFC" w:rsidP="00806EFC">
            <w:pPr>
              <w:jc w:val="center"/>
              <w:rPr>
                <w:color w:val="000000" w:themeColor="text1"/>
                <w:sz w:val="20"/>
                <w:szCs w:val="20"/>
              </w:rPr>
            </w:pPr>
            <w:r w:rsidRPr="006C6F80">
              <w:rPr>
                <w:color w:val="000000" w:themeColor="text1"/>
                <w:sz w:val="20"/>
                <w:szCs w:val="20"/>
              </w:rPr>
              <w:t>Upward mobility</w:t>
            </w:r>
          </w:p>
        </w:tc>
        <w:tc>
          <w:tcPr>
            <w:tcW w:w="1440" w:type="dxa"/>
            <w:tcBorders>
              <w:top w:val="nil"/>
              <w:left w:val="nil"/>
              <w:bottom w:val="single" w:sz="4" w:space="0" w:color="auto"/>
              <w:right w:val="nil"/>
            </w:tcBorders>
            <w:shd w:val="clear" w:color="auto" w:fill="auto"/>
            <w:noWrap/>
            <w:vAlign w:val="bottom"/>
            <w:hideMark/>
          </w:tcPr>
          <w:p w14:paraId="5421CD1C" w14:textId="77777777" w:rsidR="00806EFC" w:rsidRPr="006C6F80" w:rsidRDefault="00806EFC" w:rsidP="00806EFC">
            <w:pPr>
              <w:jc w:val="center"/>
              <w:rPr>
                <w:color w:val="000000" w:themeColor="text1"/>
                <w:sz w:val="20"/>
                <w:szCs w:val="20"/>
              </w:rPr>
            </w:pPr>
            <w:r w:rsidRPr="006C6F80">
              <w:rPr>
                <w:color w:val="000000" w:themeColor="text1"/>
                <w:sz w:val="20"/>
                <w:szCs w:val="20"/>
              </w:rPr>
              <w:t>Upward mobility</w:t>
            </w:r>
          </w:p>
        </w:tc>
        <w:tc>
          <w:tcPr>
            <w:tcW w:w="1440" w:type="dxa"/>
            <w:tcBorders>
              <w:top w:val="nil"/>
              <w:left w:val="nil"/>
              <w:bottom w:val="single" w:sz="4" w:space="0" w:color="auto"/>
              <w:right w:val="nil"/>
            </w:tcBorders>
            <w:shd w:val="clear" w:color="auto" w:fill="auto"/>
            <w:noWrap/>
            <w:vAlign w:val="bottom"/>
            <w:hideMark/>
          </w:tcPr>
          <w:p w14:paraId="2FC69918" w14:textId="77777777" w:rsidR="00806EFC" w:rsidRPr="006C6F80" w:rsidRDefault="00806EFC" w:rsidP="00806EFC">
            <w:pPr>
              <w:jc w:val="center"/>
              <w:rPr>
                <w:color w:val="000000" w:themeColor="text1"/>
                <w:sz w:val="20"/>
                <w:szCs w:val="20"/>
              </w:rPr>
            </w:pPr>
            <w:r w:rsidRPr="006C6F80">
              <w:rPr>
                <w:color w:val="000000" w:themeColor="text1"/>
                <w:sz w:val="20"/>
                <w:szCs w:val="20"/>
              </w:rPr>
              <w:t>Upward mobility</w:t>
            </w:r>
          </w:p>
        </w:tc>
        <w:tc>
          <w:tcPr>
            <w:tcW w:w="1530" w:type="dxa"/>
            <w:tcBorders>
              <w:top w:val="nil"/>
              <w:left w:val="nil"/>
              <w:bottom w:val="single" w:sz="4" w:space="0" w:color="auto"/>
              <w:right w:val="nil"/>
            </w:tcBorders>
            <w:shd w:val="clear" w:color="auto" w:fill="auto"/>
            <w:noWrap/>
            <w:vAlign w:val="bottom"/>
            <w:hideMark/>
          </w:tcPr>
          <w:p w14:paraId="70EBF31A" w14:textId="77777777" w:rsidR="00806EFC" w:rsidRPr="006C6F80" w:rsidRDefault="00806EFC" w:rsidP="00806EFC">
            <w:pPr>
              <w:jc w:val="center"/>
              <w:rPr>
                <w:color w:val="000000" w:themeColor="text1"/>
                <w:sz w:val="20"/>
                <w:szCs w:val="20"/>
              </w:rPr>
            </w:pPr>
            <w:r w:rsidRPr="006C6F80">
              <w:rPr>
                <w:color w:val="000000" w:themeColor="text1"/>
                <w:sz w:val="20"/>
                <w:szCs w:val="20"/>
              </w:rPr>
              <w:t>Upward mobility</w:t>
            </w:r>
          </w:p>
        </w:tc>
        <w:tc>
          <w:tcPr>
            <w:tcW w:w="1440" w:type="dxa"/>
            <w:tcBorders>
              <w:top w:val="nil"/>
              <w:left w:val="nil"/>
              <w:bottom w:val="single" w:sz="4" w:space="0" w:color="auto"/>
              <w:right w:val="nil"/>
            </w:tcBorders>
            <w:shd w:val="clear" w:color="auto" w:fill="auto"/>
            <w:noWrap/>
            <w:vAlign w:val="bottom"/>
            <w:hideMark/>
          </w:tcPr>
          <w:p w14:paraId="26DA0DEE" w14:textId="77777777" w:rsidR="00806EFC" w:rsidRPr="006C6F80" w:rsidRDefault="00806EFC" w:rsidP="00806EFC">
            <w:pPr>
              <w:jc w:val="center"/>
              <w:rPr>
                <w:color w:val="000000" w:themeColor="text1"/>
                <w:sz w:val="20"/>
                <w:szCs w:val="20"/>
              </w:rPr>
            </w:pPr>
            <w:r w:rsidRPr="006C6F80">
              <w:rPr>
                <w:color w:val="000000" w:themeColor="text1"/>
                <w:sz w:val="20"/>
                <w:szCs w:val="20"/>
              </w:rPr>
              <w:t>Upward mobility</w:t>
            </w:r>
          </w:p>
        </w:tc>
        <w:tc>
          <w:tcPr>
            <w:tcW w:w="1530" w:type="dxa"/>
            <w:tcBorders>
              <w:top w:val="nil"/>
              <w:left w:val="nil"/>
              <w:bottom w:val="single" w:sz="4" w:space="0" w:color="auto"/>
              <w:right w:val="nil"/>
            </w:tcBorders>
            <w:shd w:val="clear" w:color="auto" w:fill="auto"/>
            <w:noWrap/>
            <w:vAlign w:val="bottom"/>
            <w:hideMark/>
          </w:tcPr>
          <w:p w14:paraId="16552314" w14:textId="77777777" w:rsidR="00806EFC" w:rsidRPr="006C6F80" w:rsidRDefault="00806EFC" w:rsidP="00806EFC">
            <w:pPr>
              <w:jc w:val="center"/>
              <w:rPr>
                <w:color w:val="000000" w:themeColor="text1"/>
                <w:sz w:val="20"/>
                <w:szCs w:val="20"/>
              </w:rPr>
            </w:pPr>
            <w:r w:rsidRPr="006C6F80">
              <w:rPr>
                <w:color w:val="000000" w:themeColor="text1"/>
                <w:sz w:val="20"/>
                <w:szCs w:val="20"/>
              </w:rPr>
              <w:t>Upward mobility</w:t>
            </w:r>
          </w:p>
        </w:tc>
        <w:tc>
          <w:tcPr>
            <w:tcW w:w="1440" w:type="dxa"/>
            <w:tcBorders>
              <w:top w:val="nil"/>
              <w:left w:val="nil"/>
              <w:bottom w:val="single" w:sz="4" w:space="0" w:color="auto"/>
              <w:right w:val="nil"/>
            </w:tcBorders>
            <w:shd w:val="clear" w:color="auto" w:fill="auto"/>
            <w:noWrap/>
            <w:vAlign w:val="bottom"/>
            <w:hideMark/>
          </w:tcPr>
          <w:p w14:paraId="5B2F71E8" w14:textId="77777777" w:rsidR="00806EFC" w:rsidRPr="006C6F80" w:rsidRDefault="00806EFC" w:rsidP="00806EFC">
            <w:pPr>
              <w:jc w:val="center"/>
              <w:rPr>
                <w:color w:val="000000" w:themeColor="text1"/>
                <w:sz w:val="20"/>
                <w:szCs w:val="20"/>
              </w:rPr>
            </w:pPr>
            <w:r w:rsidRPr="006C6F80">
              <w:rPr>
                <w:color w:val="000000" w:themeColor="text1"/>
                <w:sz w:val="20"/>
                <w:szCs w:val="20"/>
              </w:rPr>
              <w:t>Upward mobility</w:t>
            </w:r>
          </w:p>
        </w:tc>
      </w:tr>
      <w:tr w:rsidR="00B13EEB" w:rsidRPr="006C6F80" w14:paraId="7B3B1CCE" w14:textId="77777777" w:rsidTr="000532E9">
        <w:trPr>
          <w:trHeight w:val="256"/>
          <w:jc w:val="center"/>
        </w:trPr>
        <w:tc>
          <w:tcPr>
            <w:tcW w:w="2067" w:type="dxa"/>
            <w:tcBorders>
              <w:top w:val="single" w:sz="4" w:space="0" w:color="auto"/>
              <w:left w:val="nil"/>
              <w:bottom w:val="nil"/>
              <w:right w:val="nil"/>
            </w:tcBorders>
            <w:shd w:val="clear" w:color="auto" w:fill="auto"/>
            <w:noWrap/>
            <w:vAlign w:val="bottom"/>
            <w:hideMark/>
          </w:tcPr>
          <w:p w14:paraId="7DDCEF22" w14:textId="77777777" w:rsidR="00806EFC" w:rsidRPr="006C6F80" w:rsidRDefault="00806EFC" w:rsidP="00806EFC">
            <w:pPr>
              <w:rPr>
                <w:color w:val="000000" w:themeColor="text1"/>
                <w:sz w:val="20"/>
                <w:szCs w:val="20"/>
              </w:rPr>
            </w:pPr>
            <w:r w:rsidRPr="006C6F80">
              <w:rPr>
                <w:color w:val="000000" w:themeColor="text1"/>
                <w:sz w:val="20"/>
                <w:szCs w:val="20"/>
              </w:rPr>
              <w:t> </w:t>
            </w:r>
          </w:p>
        </w:tc>
        <w:tc>
          <w:tcPr>
            <w:tcW w:w="1443" w:type="dxa"/>
            <w:tcBorders>
              <w:top w:val="nil"/>
              <w:left w:val="nil"/>
              <w:bottom w:val="nil"/>
              <w:right w:val="nil"/>
            </w:tcBorders>
            <w:shd w:val="clear" w:color="auto" w:fill="auto"/>
            <w:noWrap/>
            <w:vAlign w:val="bottom"/>
            <w:hideMark/>
          </w:tcPr>
          <w:p w14:paraId="1FCEE26A" w14:textId="77777777" w:rsidR="00806EFC" w:rsidRPr="006C6F80" w:rsidRDefault="00806EFC" w:rsidP="00806EFC">
            <w:pPr>
              <w:rPr>
                <w:color w:val="000000" w:themeColor="text1"/>
                <w:sz w:val="20"/>
                <w:szCs w:val="20"/>
              </w:rPr>
            </w:pPr>
          </w:p>
        </w:tc>
        <w:tc>
          <w:tcPr>
            <w:tcW w:w="1440" w:type="dxa"/>
            <w:tcBorders>
              <w:top w:val="nil"/>
              <w:left w:val="nil"/>
              <w:bottom w:val="nil"/>
              <w:right w:val="nil"/>
            </w:tcBorders>
            <w:shd w:val="clear" w:color="auto" w:fill="auto"/>
            <w:noWrap/>
            <w:vAlign w:val="bottom"/>
            <w:hideMark/>
          </w:tcPr>
          <w:p w14:paraId="5ED0C81C" w14:textId="77777777" w:rsidR="00806EFC" w:rsidRPr="006C6F80" w:rsidRDefault="00806EFC" w:rsidP="00806EFC">
            <w:pPr>
              <w:jc w:val="center"/>
              <w:rPr>
                <w:color w:val="000000" w:themeColor="text1"/>
                <w:sz w:val="20"/>
                <w:szCs w:val="20"/>
              </w:rPr>
            </w:pPr>
          </w:p>
        </w:tc>
        <w:tc>
          <w:tcPr>
            <w:tcW w:w="1440" w:type="dxa"/>
            <w:tcBorders>
              <w:top w:val="nil"/>
              <w:left w:val="nil"/>
              <w:bottom w:val="nil"/>
              <w:right w:val="nil"/>
            </w:tcBorders>
            <w:shd w:val="clear" w:color="auto" w:fill="auto"/>
            <w:noWrap/>
            <w:vAlign w:val="bottom"/>
            <w:hideMark/>
          </w:tcPr>
          <w:p w14:paraId="0A99BE94" w14:textId="77777777" w:rsidR="00806EFC" w:rsidRPr="006C6F80" w:rsidRDefault="00806EFC" w:rsidP="00806EFC">
            <w:pPr>
              <w:rPr>
                <w:color w:val="000000" w:themeColor="text1"/>
                <w:sz w:val="20"/>
                <w:szCs w:val="20"/>
              </w:rPr>
            </w:pPr>
          </w:p>
        </w:tc>
        <w:tc>
          <w:tcPr>
            <w:tcW w:w="1440" w:type="dxa"/>
            <w:tcBorders>
              <w:top w:val="nil"/>
              <w:left w:val="nil"/>
              <w:bottom w:val="nil"/>
              <w:right w:val="nil"/>
            </w:tcBorders>
            <w:shd w:val="clear" w:color="auto" w:fill="auto"/>
            <w:noWrap/>
            <w:vAlign w:val="bottom"/>
            <w:hideMark/>
          </w:tcPr>
          <w:p w14:paraId="4730F687" w14:textId="77777777" w:rsidR="00806EFC" w:rsidRPr="006C6F80" w:rsidRDefault="00806EFC" w:rsidP="00806EFC">
            <w:pPr>
              <w:rPr>
                <w:color w:val="000000" w:themeColor="text1"/>
                <w:sz w:val="20"/>
                <w:szCs w:val="20"/>
              </w:rPr>
            </w:pPr>
          </w:p>
        </w:tc>
        <w:tc>
          <w:tcPr>
            <w:tcW w:w="1440" w:type="dxa"/>
            <w:tcBorders>
              <w:top w:val="nil"/>
              <w:left w:val="nil"/>
              <w:bottom w:val="nil"/>
              <w:right w:val="nil"/>
            </w:tcBorders>
            <w:shd w:val="clear" w:color="auto" w:fill="auto"/>
            <w:noWrap/>
            <w:vAlign w:val="bottom"/>
            <w:hideMark/>
          </w:tcPr>
          <w:p w14:paraId="3C6E6CD0" w14:textId="77777777" w:rsidR="00806EFC" w:rsidRPr="006C6F80" w:rsidRDefault="00806EFC" w:rsidP="00806EFC">
            <w:pPr>
              <w:rPr>
                <w:color w:val="000000" w:themeColor="text1"/>
                <w:sz w:val="20"/>
                <w:szCs w:val="20"/>
              </w:rPr>
            </w:pPr>
          </w:p>
        </w:tc>
        <w:tc>
          <w:tcPr>
            <w:tcW w:w="1530" w:type="dxa"/>
            <w:tcBorders>
              <w:top w:val="nil"/>
              <w:left w:val="nil"/>
              <w:bottom w:val="nil"/>
              <w:right w:val="nil"/>
            </w:tcBorders>
            <w:shd w:val="clear" w:color="auto" w:fill="auto"/>
            <w:noWrap/>
            <w:vAlign w:val="bottom"/>
            <w:hideMark/>
          </w:tcPr>
          <w:p w14:paraId="7351443F" w14:textId="77777777" w:rsidR="00806EFC" w:rsidRPr="006C6F80" w:rsidRDefault="00806EFC" w:rsidP="00806EFC">
            <w:pPr>
              <w:rPr>
                <w:color w:val="000000" w:themeColor="text1"/>
                <w:sz w:val="20"/>
                <w:szCs w:val="20"/>
              </w:rPr>
            </w:pPr>
          </w:p>
        </w:tc>
        <w:tc>
          <w:tcPr>
            <w:tcW w:w="1440" w:type="dxa"/>
            <w:tcBorders>
              <w:top w:val="nil"/>
              <w:left w:val="nil"/>
              <w:bottom w:val="nil"/>
              <w:right w:val="nil"/>
            </w:tcBorders>
            <w:shd w:val="clear" w:color="auto" w:fill="auto"/>
            <w:noWrap/>
            <w:vAlign w:val="bottom"/>
            <w:hideMark/>
          </w:tcPr>
          <w:p w14:paraId="0FB4192E" w14:textId="77777777" w:rsidR="00806EFC" w:rsidRPr="006C6F80" w:rsidRDefault="00806EFC" w:rsidP="00806EFC">
            <w:pPr>
              <w:jc w:val="center"/>
              <w:rPr>
                <w:color w:val="000000" w:themeColor="text1"/>
                <w:sz w:val="20"/>
                <w:szCs w:val="20"/>
              </w:rPr>
            </w:pPr>
          </w:p>
        </w:tc>
        <w:tc>
          <w:tcPr>
            <w:tcW w:w="1530" w:type="dxa"/>
            <w:tcBorders>
              <w:top w:val="nil"/>
              <w:left w:val="nil"/>
              <w:bottom w:val="nil"/>
              <w:right w:val="nil"/>
            </w:tcBorders>
            <w:shd w:val="clear" w:color="auto" w:fill="auto"/>
            <w:noWrap/>
            <w:vAlign w:val="bottom"/>
            <w:hideMark/>
          </w:tcPr>
          <w:p w14:paraId="0B36A998" w14:textId="77777777" w:rsidR="00806EFC" w:rsidRPr="006C6F80" w:rsidRDefault="00806EFC" w:rsidP="00806EFC">
            <w:pPr>
              <w:rPr>
                <w:color w:val="000000" w:themeColor="text1"/>
                <w:sz w:val="20"/>
                <w:szCs w:val="20"/>
              </w:rPr>
            </w:pPr>
          </w:p>
        </w:tc>
        <w:tc>
          <w:tcPr>
            <w:tcW w:w="1440" w:type="dxa"/>
            <w:tcBorders>
              <w:top w:val="nil"/>
              <w:left w:val="nil"/>
              <w:bottom w:val="nil"/>
              <w:right w:val="nil"/>
            </w:tcBorders>
            <w:shd w:val="clear" w:color="auto" w:fill="auto"/>
            <w:noWrap/>
            <w:vAlign w:val="bottom"/>
            <w:hideMark/>
          </w:tcPr>
          <w:p w14:paraId="4B14E251" w14:textId="77777777" w:rsidR="00806EFC" w:rsidRPr="006C6F80" w:rsidRDefault="00806EFC" w:rsidP="00806EFC">
            <w:pPr>
              <w:jc w:val="center"/>
              <w:rPr>
                <w:color w:val="000000" w:themeColor="text1"/>
                <w:sz w:val="20"/>
                <w:szCs w:val="20"/>
              </w:rPr>
            </w:pPr>
          </w:p>
        </w:tc>
      </w:tr>
      <w:tr w:rsidR="000532E9" w:rsidRPr="006C6F80" w14:paraId="1D9EFDA9" w14:textId="77777777" w:rsidTr="000532E9">
        <w:trPr>
          <w:trHeight w:val="256"/>
          <w:jc w:val="center"/>
        </w:trPr>
        <w:tc>
          <w:tcPr>
            <w:tcW w:w="2067" w:type="dxa"/>
            <w:tcBorders>
              <w:top w:val="nil"/>
              <w:left w:val="nil"/>
              <w:bottom w:val="nil"/>
              <w:right w:val="nil"/>
            </w:tcBorders>
            <w:shd w:val="clear" w:color="auto" w:fill="auto"/>
            <w:noWrap/>
            <w:vAlign w:val="bottom"/>
            <w:hideMark/>
          </w:tcPr>
          <w:p w14:paraId="25CD13CF" w14:textId="77777777" w:rsidR="000532E9" w:rsidRPr="006C6F80" w:rsidRDefault="000532E9" w:rsidP="000532E9">
            <w:pPr>
              <w:rPr>
                <w:color w:val="000000" w:themeColor="text1"/>
                <w:sz w:val="20"/>
                <w:szCs w:val="20"/>
              </w:rPr>
            </w:pPr>
            <w:r w:rsidRPr="006C6F80">
              <w:rPr>
                <w:color w:val="000000" w:themeColor="text1"/>
                <w:sz w:val="20"/>
                <w:szCs w:val="20"/>
              </w:rPr>
              <w:t>Return migrant</w:t>
            </w:r>
          </w:p>
        </w:tc>
        <w:tc>
          <w:tcPr>
            <w:tcW w:w="1443" w:type="dxa"/>
            <w:tcBorders>
              <w:top w:val="nil"/>
              <w:left w:val="nil"/>
              <w:bottom w:val="nil"/>
              <w:right w:val="nil"/>
            </w:tcBorders>
            <w:shd w:val="clear" w:color="auto" w:fill="auto"/>
            <w:noWrap/>
            <w:vAlign w:val="bottom"/>
            <w:hideMark/>
          </w:tcPr>
          <w:p w14:paraId="477DA12C" w14:textId="77777777" w:rsidR="000532E9" w:rsidRPr="006C6F80" w:rsidRDefault="000532E9" w:rsidP="000532E9">
            <w:pPr>
              <w:jc w:val="center"/>
              <w:rPr>
                <w:color w:val="000000" w:themeColor="text1"/>
                <w:sz w:val="20"/>
                <w:szCs w:val="20"/>
              </w:rPr>
            </w:pPr>
            <w:r w:rsidRPr="006C6F80">
              <w:rPr>
                <w:color w:val="000000" w:themeColor="text1"/>
                <w:sz w:val="20"/>
                <w:szCs w:val="20"/>
              </w:rPr>
              <w:t>0.107***</w:t>
            </w:r>
          </w:p>
        </w:tc>
        <w:tc>
          <w:tcPr>
            <w:tcW w:w="1440" w:type="dxa"/>
            <w:tcBorders>
              <w:top w:val="nil"/>
              <w:left w:val="nil"/>
              <w:bottom w:val="nil"/>
              <w:right w:val="nil"/>
            </w:tcBorders>
            <w:shd w:val="clear" w:color="auto" w:fill="auto"/>
            <w:noWrap/>
            <w:vAlign w:val="bottom"/>
            <w:hideMark/>
          </w:tcPr>
          <w:p w14:paraId="399CFEEF" w14:textId="77777777" w:rsidR="000532E9" w:rsidRPr="006C6F80" w:rsidRDefault="000532E9" w:rsidP="000532E9">
            <w:pPr>
              <w:jc w:val="center"/>
              <w:rPr>
                <w:color w:val="000000" w:themeColor="text1"/>
                <w:sz w:val="20"/>
                <w:szCs w:val="20"/>
              </w:rPr>
            </w:pPr>
            <w:r w:rsidRPr="006C6F80">
              <w:rPr>
                <w:color w:val="000000" w:themeColor="text1"/>
                <w:sz w:val="20"/>
                <w:szCs w:val="20"/>
              </w:rPr>
              <w:t>0.156***</w:t>
            </w:r>
          </w:p>
        </w:tc>
        <w:tc>
          <w:tcPr>
            <w:tcW w:w="1440" w:type="dxa"/>
            <w:tcBorders>
              <w:top w:val="nil"/>
              <w:left w:val="nil"/>
              <w:bottom w:val="nil"/>
              <w:right w:val="nil"/>
            </w:tcBorders>
            <w:shd w:val="clear" w:color="auto" w:fill="auto"/>
            <w:noWrap/>
            <w:vAlign w:val="bottom"/>
            <w:hideMark/>
          </w:tcPr>
          <w:p w14:paraId="56ECEA85" w14:textId="77777777" w:rsidR="000532E9" w:rsidRPr="006C6F80" w:rsidRDefault="000532E9" w:rsidP="000532E9">
            <w:pPr>
              <w:jc w:val="center"/>
              <w:rPr>
                <w:color w:val="000000" w:themeColor="text1"/>
                <w:sz w:val="20"/>
                <w:szCs w:val="20"/>
              </w:rPr>
            </w:pPr>
            <w:r w:rsidRPr="006C6F80">
              <w:rPr>
                <w:color w:val="000000" w:themeColor="text1"/>
                <w:sz w:val="20"/>
                <w:szCs w:val="20"/>
              </w:rPr>
              <w:t>0.158***</w:t>
            </w:r>
          </w:p>
        </w:tc>
        <w:tc>
          <w:tcPr>
            <w:tcW w:w="1440" w:type="dxa"/>
            <w:tcBorders>
              <w:top w:val="nil"/>
              <w:left w:val="nil"/>
              <w:bottom w:val="nil"/>
              <w:right w:val="nil"/>
            </w:tcBorders>
            <w:shd w:val="clear" w:color="auto" w:fill="auto"/>
            <w:noWrap/>
            <w:vAlign w:val="bottom"/>
            <w:hideMark/>
          </w:tcPr>
          <w:p w14:paraId="59EDC608" w14:textId="77777777" w:rsidR="000532E9" w:rsidRPr="006C6F80" w:rsidRDefault="000532E9" w:rsidP="000532E9">
            <w:pPr>
              <w:jc w:val="center"/>
              <w:rPr>
                <w:color w:val="000000" w:themeColor="text1"/>
                <w:sz w:val="20"/>
                <w:szCs w:val="20"/>
              </w:rPr>
            </w:pPr>
            <w:r w:rsidRPr="006C6F80">
              <w:rPr>
                <w:color w:val="000000" w:themeColor="text1"/>
                <w:sz w:val="20"/>
                <w:szCs w:val="20"/>
              </w:rPr>
              <w:t>0.158***</w:t>
            </w:r>
          </w:p>
        </w:tc>
        <w:tc>
          <w:tcPr>
            <w:tcW w:w="1440" w:type="dxa"/>
            <w:tcBorders>
              <w:top w:val="nil"/>
              <w:left w:val="nil"/>
              <w:bottom w:val="nil"/>
              <w:right w:val="nil"/>
            </w:tcBorders>
            <w:shd w:val="clear" w:color="auto" w:fill="auto"/>
            <w:noWrap/>
            <w:vAlign w:val="bottom"/>
            <w:hideMark/>
          </w:tcPr>
          <w:p w14:paraId="11D31952" w14:textId="77777777" w:rsidR="000532E9" w:rsidRPr="006C6F80" w:rsidRDefault="000532E9" w:rsidP="000532E9">
            <w:pPr>
              <w:jc w:val="center"/>
              <w:rPr>
                <w:color w:val="000000" w:themeColor="text1"/>
                <w:sz w:val="20"/>
                <w:szCs w:val="20"/>
              </w:rPr>
            </w:pPr>
            <w:r w:rsidRPr="006C6F80">
              <w:rPr>
                <w:color w:val="000000" w:themeColor="text1"/>
                <w:sz w:val="20"/>
                <w:szCs w:val="20"/>
              </w:rPr>
              <w:t>0.123***</w:t>
            </w:r>
          </w:p>
        </w:tc>
        <w:tc>
          <w:tcPr>
            <w:tcW w:w="1530" w:type="dxa"/>
            <w:tcBorders>
              <w:top w:val="nil"/>
              <w:left w:val="nil"/>
              <w:bottom w:val="nil"/>
              <w:right w:val="nil"/>
            </w:tcBorders>
            <w:shd w:val="clear" w:color="auto" w:fill="auto"/>
            <w:noWrap/>
            <w:vAlign w:val="bottom"/>
            <w:hideMark/>
          </w:tcPr>
          <w:p w14:paraId="6A7F0E4B" w14:textId="03233254" w:rsidR="000532E9" w:rsidRPr="006C6F80" w:rsidRDefault="000532E9" w:rsidP="000532E9">
            <w:pPr>
              <w:jc w:val="center"/>
              <w:rPr>
                <w:color w:val="000000" w:themeColor="text1"/>
                <w:sz w:val="20"/>
                <w:szCs w:val="20"/>
              </w:rPr>
            </w:pPr>
            <w:r w:rsidRPr="006C6F80">
              <w:rPr>
                <w:color w:val="000000" w:themeColor="text1"/>
                <w:sz w:val="20"/>
                <w:szCs w:val="20"/>
              </w:rPr>
              <w:t>0.052**</w:t>
            </w:r>
          </w:p>
        </w:tc>
        <w:tc>
          <w:tcPr>
            <w:tcW w:w="1440" w:type="dxa"/>
            <w:tcBorders>
              <w:top w:val="nil"/>
              <w:left w:val="nil"/>
              <w:bottom w:val="nil"/>
              <w:right w:val="nil"/>
            </w:tcBorders>
            <w:shd w:val="clear" w:color="auto" w:fill="auto"/>
            <w:noWrap/>
            <w:vAlign w:val="bottom"/>
            <w:hideMark/>
          </w:tcPr>
          <w:p w14:paraId="2754333B" w14:textId="77777777" w:rsidR="000532E9" w:rsidRPr="006C6F80" w:rsidRDefault="000532E9" w:rsidP="000532E9">
            <w:pPr>
              <w:jc w:val="center"/>
              <w:rPr>
                <w:color w:val="000000" w:themeColor="text1"/>
                <w:sz w:val="20"/>
                <w:szCs w:val="20"/>
              </w:rPr>
            </w:pPr>
            <w:r w:rsidRPr="006C6F80">
              <w:rPr>
                <w:color w:val="000000" w:themeColor="text1"/>
                <w:sz w:val="20"/>
                <w:szCs w:val="20"/>
              </w:rPr>
              <w:t>0.187***</w:t>
            </w:r>
          </w:p>
        </w:tc>
        <w:tc>
          <w:tcPr>
            <w:tcW w:w="1530" w:type="dxa"/>
            <w:tcBorders>
              <w:top w:val="nil"/>
              <w:left w:val="nil"/>
              <w:bottom w:val="nil"/>
              <w:right w:val="nil"/>
            </w:tcBorders>
            <w:shd w:val="clear" w:color="auto" w:fill="auto"/>
            <w:noWrap/>
            <w:vAlign w:val="bottom"/>
            <w:hideMark/>
          </w:tcPr>
          <w:p w14:paraId="643E2C0F" w14:textId="77777777" w:rsidR="000532E9" w:rsidRPr="006C6F80" w:rsidRDefault="000532E9" w:rsidP="000532E9">
            <w:pPr>
              <w:jc w:val="center"/>
              <w:rPr>
                <w:color w:val="000000" w:themeColor="text1"/>
                <w:sz w:val="20"/>
                <w:szCs w:val="20"/>
              </w:rPr>
            </w:pPr>
            <w:r w:rsidRPr="006C6F80">
              <w:rPr>
                <w:color w:val="000000" w:themeColor="text1"/>
                <w:sz w:val="20"/>
                <w:szCs w:val="20"/>
              </w:rPr>
              <w:t>0.152***</w:t>
            </w:r>
          </w:p>
        </w:tc>
        <w:tc>
          <w:tcPr>
            <w:tcW w:w="1440" w:type="dxa"/>
            <w:tcBorders>
              <w:top w:val="nil"/>
              <w:left w:val="nil"/>
              <w:bottom w:val="nil"/>
              <w:right w:val="nil"/>
            </w:tcBorders>
            <w:shd w:val="clear" w:color="auto" w:fill="auto"/>
            <w:noWrap/>
            <w:vAlign w:val="bottom"/>
            <w:hideMark/>
          </w:tcPr>
          <w:p w14:paraId="402D1C2F" w14:textId="77777777" w:rsidR="000532E9" w:rsidRPr="006C6F80" w:rsidRDefault="000532E9" w:rsidP="000532E9">
            <w:pPr>
              <w:jc w:val="center"/>
              <w:rPr>
                <w:color w:val="000000" w:themeColor="text1"/>
                <w:sz w:val="20"/>
                <w:szCs w:val="20"/>
              </w:rPr>
            </w:pPr>
            <w:r w:rsidRPr="006C6F80">
              <w:rPr>
                <w:color w:val="000000" w:themeColor="text1"/>
                <w:sz w:val="20"/>
                <w:szCs w:val="20"/>
              </w:rPr>
              <w:t>0.150***</w:t>
            </w:r>
          </w:p>
        </w:tc>
      </w:tr>
      <w:tr w:rsidR="000532E9" w:rsidRPr="006C6F80" w14:paraId="41466C5B" w14:textId="77777777" w:rsidTr="000532E9">
        <w:trPr>
          <w:trHeight w:val="256"/>
          <w:jc w:val="center"/>
        </w:trPr>
        <w:tc>
          <w:tcPr>
            <w:tcW w:w="2067" w:type="dxa"/>
            <w:tcBorders>
              <w:top w:val="nil"/>
              <w:left w:val="nil"/>
              <w:bottom w:val="nil"/>
              <w:right w:val="nil"/>
            </w:tcBorders>
            <w:shd w:val="clear" w:color="auto" w:fill="auto"/>
            <w:noWrap/>
            <w:vAlign w:val="bottom"/>
            <w:hideMark/>
          </w:tcPr>
          <w:p w14:paraId="7775F3EA" w14:textId="77777777" w:rsidR="000532E9" w:rsidRPr="006C6F80" w:rsidRDefault="000532E9" w:rsidP="000532E9">
            <w:pPr>
              <w:jc w:val="center"/>
              <w:rPr>
                <w:color w:val="000000" w:themeColor="text1"/>
                <w:sz w:val="20"/>
                <w:szCs w:val="20"/>
              </w:rPr>
            </w:pPr>
          </w:p>
        </w:tc>
        <w:tc>
          <w:tcPr>
            <w:tcW w:w="1443" w:type="dxa"/>
            <w:tcBorders>
              <w:top w:val="nil"/>
              <w:left w:val="nil"/>
              <w:bottom w:val="nil"/>
              <w:right w:val="nil"/>
            </w:tcBorders>
            <w:shd w:val="clear" w:color="auto" w:fill="auto"/>
            <w:noWrap/>
            <w:vAlign w:val="bottom"/>
            <w:hideMark/>
          </w:tcPr>
          <w:p w14:paraId="031B48B4" w14:textId="77777777" w:rsidR="000532E9" w:rsidRPr="006C6F80" w:rsidRDefault="000532E9" w:rsidP="000532E9">
            <w:pPr>
              <w:jc w:val="center"/>
              <w:rPr>
                <w:color w:val="000000" w:themeColor="text1"/>
                <w:sz w:val="20"/>
                <w:szCs w:val="20"/>
              </w:rPr>
            </w:pPr>
            <w:r w:rsidRPr="006C6F80">
              <w:rPr>
                <w:color w:val="000000" w:themeColor="text1"/>
                <w:sz w:val="20"/>
                <w:szCs w:val="20"/>
              </w:rPr>
              <w:t>(0.031)</w:t>
            </w:r>
          </w:p>
        </w:tc>
        <w:tc>
          <w:tcPr>
            <w:tcW w:w="1440" w:type="dxa"/>
            <w:tcBorders>
              <w:top w:val="nil"/>
              <w:left w:val="nil"/>
              <w:bottom w:val="nil"/>
              <w:right w:val="nil"/>
            </w:tcBorders>
            <w:shd w:val="clear" w:color="auto" w:fill="auto"/>
            <w:noWrap/>
            <w:vAlign w:val="bottom"/>
            <w:hideMark/>
          </w:tcPr>
          <w:p w14:paraId="48C0DC0F" w14:textId="77777777" w:rsidR="000532E9" w:rsidRPr="006C6F80" w:rsidRDefault="000532E9" w:rsidP="000532E9">
            <w:pPr>
              <w:jc w:val="center"/>
              <w:rPr>
                <w:color w:val="000000" w:themeColor="text1"/>
                <w:sz w:val="20"/>
                <w:szCs w:val="20"/>
              </w:rPr>
            </w:pPr>
            <w:r w:rsidRPr="006C6F80">
              <w:rPr>
                <w:color w:val="000000" w:themeColor="text1"/>
                <w:sz w:val="20"/>
                <w:szCs w:val="20"/>
              </w:rPr>
              <w:t>(0.041)</w:t>
            </w:r>
          </w:p>
        </w:tc>
        <w:tc>
          <w:tcPr>
            <w:tcW w:w="1440" w:type="dxa"/>
            <w:tcBorders>
              <w:top w:val="nil"/>
              <w:left w:val="nil"/>
              <w:bottom w:val="nil"/>
              <w:right w:val="nil"/>
            </w:tcBorders>
            <w:shd w:val="clear" w:color="auto" w:fill="auto"/>
            <w:noWrap/>
            <w:vAlign w:val="bottom"/>
            <w:hideMark/>
          </w:tcPr>
          <w:p w14:paraId="29C70DE9" w14:textId="77777777" w:rsidR="000532E9" w:rsidRPr="006C6F80" w:rsidRDefault="000532E9" w:rsidP="000532E9">
            <w:pPr>
              <w:jc w:val="center"/>
              <w:rPr>
                <w:color w:val="000000" w:themeColor="text1"/>
                <w:sz w:val="20"/>
                <w:szCs w:val="20"/>
              </w:rPr>
            </w:pPr>
            <w:r w:rsidRPr="006C6F80">
              <w:rPr>
                <w:color w:val="000000" w:themeColor="text1"/>
                <w:sz w:val="20"/>
                <w:szCs w:val="20"/>
              </w:rPr>
              <w:t>(0.034)</w:t>
            </w:r>
          </w:p>
        </w:tc>
        <w:tc>
          <w:tcPr>
            <w:tcW w:w="1440" w:type="dxa"/>
            <w:tcBorders>
              <w:top w:val="nil"/>
              <w:left w:val="nil"/>
              <w:bottom w:val="nil"/>
              <w:right w:val="nil"/>
            </w:tcBorders>
            <w:shd w:val="clear" w:color="auto" w:fill="auto"/>
            <w:noWrap/>
            <w:vAlign w:val="bottom"/>
            <w:hideMark/>
          </w:tcPr>
          <w:p w14:paraId="546D61AF" w14:textId="77777777" w:rsidR="000532E9" w:rsidRPr="006C6F80" w:rsidRDefault="000532E9" w:rsidP="000532E9">
            <w:pPr>
              <w:jc w:val="center"/>
              <w:rPr>
                <w:color w:val="000000" w:themeColor="text1"/>
                <w:sz w:val="20"/>
                <w:szCs w:val="20"/>
              </w:rPr>
            </w:pPr>
            <w:r w:rsidRPr="006C6F80">
              <w:rPr>
                <w:color w:val="000000" w:themeColor="text1"/>
                <w:sz w:val="20"/>
                <w:szCs w:val="20"/>
              </w:rPr>
              <w:t>(0.031)</w:t>
            </w:r>
          </w:p>
        </w:tc>
        <w:tc>
          <w:tcPr>
            <w:tcW w:w="1440" w:type="dxa"/>
            <w:tcBorders>
              <w:top w:val="nil"/>
              <w:left w:val="nil"/>
              <w:bottom w:val="nil"/>
              <w:right w:val="nil"/>
            </w:tcBorders>
            <w:shd w:val="clear" w:color="auto" w:fill="auto"/>
            <w:noWrap/>
            <w:vAlign w:val="bottom"/>
            <w:hideMark/>
          </w:tcPr>
          <w:p w14:paraId="03495FB4" w14:textId="77777777" w:rsidR="000532E9" w:rsidRPr="006C6F80" w:rsidRDefault="000532E9" w:rsidP="000532E9">
            <w:pPr>
              <w:jc w:val="center"/>
              <w:rPr>
                <w:color w:val="000000" w:themeColor="text1"/>
                <w:sz w:val="20"/>
                <w:szCs w:val="20"/>
              </w:rPr>
            </w:pPr>
            <w:r w:rsidRPr="006C6F80">
              <w:rPr>
                <w:color w:val="000000" w:themeColor="text1"/>
                <w:sz w:val="20"/>
                <w:szCs w:val="20"/>
              </w:rPr>
              <w:t>(0.032)</w:t>
            </w:r>
          </w:p>
        </w:tc>
        <w:tc>
          <w:tcPr>
            <w:tcW w:w="1530" w:type="dxa"/>
            <w:tcBorders>
              <w:top w:val="nil"/>
              <w:left w:val="nil"/>
              <w:bottom w:val="nil"/>
              <w:right w:val="nil"/>
            </w:tcBorders>
            <w:shd w:val="clear" w:color="auto" w:fill="auto"/>
            <w:noWrap/>
            <w:vAlign w:val="bottom"/>
            <w:hideMark/>
          </w:tcPr>
          <w:p w14:paraId="30E929CC" w14:textId="71CDCB16" w:rsidR="000532E9" w:rsidRPr="006C6F80" w:rsidRDefault="000532E9" w:rsidP="000532E9">
            <w:pPr>
              <w:jc w:val="center"/>
              <w:rPr>
                <w:color w:val="000000" w:themeColor="text1"/>
                <w:sz w:val="20"/>
                <w:szCs w:val="20"/>
              </w:rPr>
            </w:pPr>
            <w:r w:rsidRPr="006C6F80">
              <w:rPr>
                <w:color w:val="000000" w:themeColor="text1"/>
                <w:sz w:val="20"/>
                <w:szCs w:val="20"/>
              </w:rPr>
              <w:t>(0.023)</w:t>
            </w:r>
          </w:p>
        </w:tc>
        <w:tc>
          <w:tcPr>
            <w:tcW w:w="1440" w:type="dxa"/>
            <w:tcBorders>
              <w:top w:val="nil"/>
              <w:left w:val="nil"/>
              <w:bottom w:val="nil"/>
              <w:right w:val="nil"/>
            </w:tcBorders>
            <w:shd w:val="clear" w:color="auto" w:fill="auto"/>
            <w:noWrap/>
            <w:vAlign w:val="bottom"/>
            <w:hideMark/>
          </w:tcPr>
          <w:p w14:paraId="7BF553CB" w14:textId="77777777" w:rsidR="000532E9" w:rsidRPr="006C6F80" w:rsidRDefault="000532E9" w:rsidP="000532E9">
            <w:pPr>
              <w:jc w:val="center"/>
              <w:rPr>
                <w:color w:val="000000" w:themeColor="text1"/>
                <w:sz w:val="20"/>
                <w:szCs w:val="20"/>
              </w:rPr>
            </w:pPr>
            <w:r w:rsidRPr="006C6F80">
              <w:rPr>
                <w:color w:val="000000" w:themeColor="text1"/>
                <w:sz w:val="20"/>
                <w:szCs w:val="20"/>
              </w:rPr>
              <w:t>(0.040)</w:t>
            </w:r>
          </w:p>
        </w:tc>
        <w:tc>
          <w:tcPr>
            <w:tcW w:w="1530" w:type="dxa"/>
            <w:tcBorders>
              <w:top w:val="nil"/>
              <w:left w:val="nil"/>
              <w:bottom w:val="nil"/>
              <w:right w:val="nil"/>
            </w:tcBorders>
            <w:shd w:val="clear" w:color="auto" w:fill="auto"/>
            <w:noWrap/>
            <w:vAlign w:val="bottom"/>
            <w:hideMark/>
          </w:tcPr>
          <w:p w14:paraId="0D9C9E0B" w14:textId="77777777" w:rsidR="000532E9" w:rsidRPr="006C6F80" w:rsidRDefault="000532E9" w:rsidP="000532E9">
            <w:pPr>
              <w:jc w:val="center"/>
              <w:rPr>
                <w:color w:val="000000" w:themeColor="text1"/>
                <w:sz w:val="20"/>
                <w:szCs w:val="20"/>
              </w:rPr>
            </w:pPr>
            <w:r w:rsidRPr="006C6F80">
              <w:rPr>
                <w:color w:val="000000" w:themeColor="text1"/>
                <w:sz w:val="20"/>
                <w:szCs w:val="20"/>
              </w:rPr>
              <w:t>(0.039)</w:t>
            </w:r>
          </w:p>
        </w:tc>
        <w:tc>
          <w:tcPr>
            <w:tcW w:w="1440" w:type="dxa"/>
            <w:tcBorders>
              <w:top w:val="nil"/>
              <w:left w:val="nil"/>
              <w:bottom w:val="nil"/>
              <w:right w:val="nil"/>
            </w:tcBorders>
            <w:shd w:val="clear" w:color="auto" w:fill="auto"/>
            <w:noWrap/>
            <w:vAlign w:val="bottom"/>
            <w:hideMark/>
          </w:tcPr>
          <w:p w14:paraId="4C67B2E2" w14:textId="77777777" w:rsidR="000532E9" w:rsidRPr="006C6F80" w:rsidRDefault="000532E9" w:rsidP="000532E9">
            <w:pPr>
              <w:jc w:val="center"/>
              <w:rPr>
                <w:color w:val="000000" w:themeColor="text1"/>
                <w:sz w:val="20"/>
                <w:szCs w:val="20"/>
              </w:rPr>
            </w:pPr>
            <w:r w:rsidRPr="006C6F80">
              <w:rPr>
                <w:color w:val="000000" w:themeColor="text1"/>
                <w:sz w:val="20"/>
                <w:szCs w:val="20"/>
              </w:rPr>
              <w:t>(0.045)</w:t>
            </w:r>
          </w:p>
        </w:tc>
      </w:tr>
      <w:tr w:rsidR="00B13EEB" w:rsidRPr="006C6F80" w14:paraId="50F9057C" w14:textId="77777777" w:rsidTr="000532E9">
        <w:trPr>
          <w:trHeight w:val="256"/>
          <w:jc w:val="center"/>
        </w:trPr>
        <w:tc>
          <w:tcPr>
            <w:tcW w:w="2067" w:type="dxa"/>
            <w:tcBorders>
              <w:top w:val="nil"/>
              <w:left w:val="nil"/>
              <w:bottom w:val="nil"/>
              <w:right w:val="nil"/>
            </w:tcBorders>
            <w:shd w:val="clear" w:color="auto" w:fill="auto"/>
            <w:noWrap/>
            <w:vAlign w:val="bottom"/>
            <w:hideMark/>
          </w:tcPr>
          <w:p w14:paraId="45B7BA3F" w14:textId="77777777" w:rsidR="00806EFC" w:rsidRPr="006C6F80" w:rsidRDefault="00806EFC" w:rsidP="00806EFC">
            <w:pPr>
              <w:jc w:val="center"/>
              <w:rPr>
                <w:color w:val="000000" w:themeColor="text1"/>
                <w:sz w:val="20"/>
                <w:szCs w:val="20"/>
              </w:rPr>
            </w:pPr>
          </w:p>
        </w:tc>
        <w:tc>
          <w:tcPr>
            <w:tcW w:w="1443" w:type="dxa"/>
            <w:tcBorders>
              <w:top w:val="nil"/>
              <w:left w:val="nil"/>
              <w:bottom w:val="nil"/>
              <w:right w:val="nil"/>
            </w:tcBorders>
            <w:shd w:val="clear" w:color="auto" w:fill="auto"/>
            <w:noWrap/>
            <w:vAlign w:val="bottom"/>
            <w:hideMark/>
          </w:tcPr>
          <w:p w14:paraId="3470DEE6" w14:textId="77777777" w:rsidR="00806EFC" w:rsidRPr="006C6F80" w:rsidRDefault="00806EFC" w:rsidP="00806EFC">
            <w:pPr>
              <w:rPr>
                <w:color w:val="000000" w:themeColor="text1"/>
                <w:sz w:val="20"/>
                <w:szCs w:val="20"/>
              </w:rPr>
            </w:pPr>
          </w:p>
        </w:tc>
        <w:tc>
          <w:tcPr>
            <w:tcW w:w="1440" w:type="dxa"/>
            <w:tcBorders>
              <w:top w:val="nil"/>
              <w:left w:val="nil"/>
              <w:bottom w:val="nil"/>
              <w:right w:val="nil"/>
            </w:tcBorders>
            <w:shd w:val="clear" w:color="auto" w:fill="auto"/>
            <w:noWrap/>
            <w:vAlign w:val="bottom"/>
            <w:hideMark/>
          </w:tcPr>
          <w:p w14:paraId="6923F97D" w14:textId="77777777" w:rsidR="00806EFC" w:rsidRPr="006C6F80" w:rsidRDefault="00806EFC" w:rsidP="00806EFC">
            <w:pPr>
              <w:jc w:val="center"/>
              <w:rPr>
                <w:color w:val="000000" w:themeColor="text1"/>
                <w:sz w:val="20"/>
                <w:szCs w:val="20"/>
              </w:rPr>
            </w:pPr>
          </w:p>
        </w:tc>
        <w:tc>
          <w:tcPr>
            <w:tcW w:w="1440" w:type="dxa"/>
            <w:tcBorders>
              <w:top w:val="nil"/>
              <w:left w:val="nil"/>
              <w:bottom w:val="nil"/>
              <w:right w:val="nil"/>
            </w:tcBorders>
            <w:shd w:val="clear" w:color="auto" w:fill="auto"/>
            <w:noWrap/>
            <w:vAlign w:val="bottom"/>
            <w:hideMark/>
          </w:tcPr>
          <w:p w14:paraId="24272BBF" w14:textId="77777777" w:rsidR="00806EFC" w:rsidRPr="006C6F80" w:rsidRDefault="00806EFC" w:rsidP="00806EFC">
            <w:pPr>
              <w:jc w:val="center"/>
              <w:rPr>
                <w:color w:val="000000" w:themeColor="text1"/>
                <w:sz w:val="20"/>
                <w:szCs w:val="20"/>
              </w:rPr>
            </w:pPr>
          </w:p>
        </w:tc>
        <w:tc>
          <w:tcPr>
            <w:tcW w:w="1440" w:type="dxa"/>
            <w:tcBorders>
              <w:top w:val="nil"/>
              <w:left w:val="nil"/>
              <w:bottom w:val="nil"/>
              <w:right w:val="nil"/>
            </w:tcBorders>
            <w:shd w:val="clear" w:color="auto" w:fill="auto"/>
            <w:noWrap/>
            <w:vAlign w:val="bottom"/>
            <w:hideMark/>
          </w:tcPr>
          <w:p w14:paraId="0DC5F11E" w14:textId="77777777" w:rsidR="00806EFC" w:rsidRPr="006C6F80" w:rsidRDefault="00806EFC" w:rsidP="00806EFC">
            <w:pPr>
              <w:jc w:val="center"/>
              <w:rPr>
                <w:color w:val="000000" w:themeColor="text1"/>
                <w:sz w:val="20"/>
                <w:szCs w:val="20"/>
              </w:rPr>
            </w:pPr>
          </w:p>
        </w:tc>
        <w:tc>
          <w:tcPr>
            <w:tcW w:w="1440" w:type="dxa"/>
            <w:tcBorders>
              <w:top w:val="nil"/>
              <w:left w:val="nil"/>
              <w:bottom w:val="nil"/>
              <w:right w:val="nil"/>
            </w:tcBorders>
            <w:shd w:val="clear" w:color="auto" w:fill="auto"/>
            <w:noWrap/>
            <w:vAlign w:val="bottom"/>
            <w:hideMark/>
          </w:tcPr>
          <w:p w14:paraId="7DBFBE3F" w14:textId="77777777" w:rsidR="00806EFC" w:rsidRPr="006C6F80" w:rsidRDefault="00806EFC" w:rsidP="00806EFC">
            <w:pPr>
              <w:jc w:val="center"/>
              <w:rPr>
                <w:color w:val="000000" w:themeColor="text1"/>
                <w:sz w:val="20"/>
                <w:szCs w:val="20"/>
              </w:rPr>
            </w:pPr>
          </w:p>
        </w:tc>
        <w:tc>
          <w:tcPr>
            <w:tcW w:w="1530" w:type="dxa"/>
            <w:tcBorders>
              <w:top w:val="nil"/>
              <w:left w:val="nil"/>
              <w:bottom w:val="nil"/>
              <w:right w:val="nil"/>
            </w:tcBorders>
            <w:shd w:val="clear" w:color="auto" w:fill="auto"/>
            <w:noWrap/>
            <w:vAlign w:val="bottom"/>
            <w:hideMark/>
          </w:tcPr>
          <w:p w14:paraId="3FF2797D" w14:textId="77777777" w:rsidR="00806EFC" w:rsidRPr="006C6F80" w:rsidRDefault="00806EFC" w:rsidP="00806EFC">
            <w:pPr>
              <w:jc w:val="center"/>
              <w:rPr>
                <w:color w:val="000000" w:themeColor="text1"/>
                <w:sz w:val="20"/>
                <w:szCs w:val="20"/>
              </w:rPr>
            </w:pPr>
          </w:p>
        </w:tc>
        <w:tc>
          <w:tcPr>
            <w:tcW w:w="1440" w:type="dxa"/>
            <w:tcBorders>
              <w:top w:val="nil"/>
              <w:left w:val="nil"/>
              <w:bottom w:val="nil"/>
              <w:right w:val="nil"/>
            </w:tcBorders>
            <w:shd w:val="clear" w:color="auto" w:fill="auto"/>
            <w:noWrap/>
            <w:vAlign w:val="bottom"/>
            <w:hideMark/>
          </w:tcPr>
          <w:p w14:paraId="542B7AF7" w14:textId="77777777" w:rsidR="00806EFC" w:rsidRPr="006C6F80" w:rsidRDefault="00806EFC" w:rsidP="00806EFC">
            <w:pPr>
              <w:jc w:val="center"/>
              <w:rPr>
                <w:color w:val="000000" w:themeColor="text1"/>
                <w:sz w:val="20"/>
                <w:szCs w:val="20"/>
              </w:rPr>
            </w:pPr>
          </w:p>
        </w:tc>
        <w:tc>
          <w:tcPr>
            <w:tcW w:w="1530" w:type="dxa"/>
            <w:tcBorders>
              <w:top w:val="nil"/>
              <w:left w:val="nil"/>
              <w:bottom w:val="nil"/>
              <w:right w:val="nil"/>
            </w:tcBorders>
            <w:shd w:val="clear" w:color="auto" w:fill="auto"/>
            <w:noWrap/>
            <w:vAlign w:val="bottom"/>
            <w:hideMark/>
          </w:tcPr>
          <w:p w14:paraId="2319254E" w14:textId="77777777" w:rsidR="00806EFC" w:rsidRPr="006C6F80" w:rsidRDefault="00806EFC" w:rsidP="00806EFC">
            <w:pPr>
              <w:jc w:val="center"/>
              <w:rPr>
                <w:color w:val="000000" w:themeColor="text1"/>
                <w:sz w:val="20"/>
                <w:szCs w:val="20"/>
              </w:rPr>
            </w:pPr>
          </w:p>
        </w:tc>
        <w:tc>
          <w:tcPr>
            <w:tcW w:w="1440" w:type="dxa"/>
            <w:tcBorders>
              <w:top w:val="nil"/>
              <w:left w:val="nil"/>
              <w:bottom w:val="nil"/>
              <w:right w:val="nil"/>
            </w:tcBorders>
            <w:shd w:val="clear" w:color="auto" w:fill="auto"/>
            <w:noWrap/>
            <w:vAlign w:val="bottom"/>
            <w:hideMark/>
          </w:tcPr>
          <w:p w14:paraId="16B8F76E" w14:textId="77777777" w:rsidR="00806EFC" w:rsidRPr="006C6F80" w:rsidRDefault="00806EFC" w:rsidP="00806EFC">
            <w:pPr>
              <w:jc w:val="center"/>
              <w:rPr>
                <w:color w:val="000000" w:themeColor="text1"/>
                <w:sz w:val="20"/>
                <w:szCs w:val="20"/>
              </w:rPr>
            </w:pPr>
          </w:p>
        </w:tc>
      </w:tr>
      <w:tr w:rsidR="00B13EEB" w:rsidRPr="006C6F80" w14:paraId="3E7A995A" w14:textId="77777777" w:rsidTr="000532E9">
        <w:trPr>
          <w:trHeight w:val="256"/>
          <w:jc w:val="center"/>
        </w:trPr>
        <w:tc>
          <w:tcPr>
            <w:tcW w:w="2067" w:type="dxa"/>
            <w:tcBorders>
              <w:top w:val="nil"/>
              <w:left w:val="nil"/>
              <w:bottom w:val="nil"/>
              <w:right w:val="nil"/>
            </w:tcBorders>
            <w:shd w:val="clear" w:color="auto" w:fill="auto"/>
            <w:noWrap/>
            <w:vAlign w:val="bottom"/>
            <w:hideMark/>
          </w:tcPr>
          <w:p w14:paraId="7C544DAB" w14:textId="77777777" w:rsidR="00806EFC" w:rsidRPr="006C6F80" w:rsidRDefault="00806EFC" w:rsidP="00806EFC">
            <w:pPr>
              <w:rPr>
                <w:color w:val="000000" w:themeColor="text1"/>
                <w:sz w:val="20"/>
                <w:szCs w:val="20"/>
              </w:rPr>
            </w:pPr>
            <w:r w:rsidRPr="006C6F80">
              <w:rPr>
                <w:color w:val="000000" w:themeColor="text1"/>
                <w:sz w:val="20"/>
                <w:szCs w:val="20"/>
              </w:rPr>
              <w:t>Observations</w:t>
            </w:r>
          </w:p>
        </w:tc>
        <w:tc>
          <w:tcPr>
            <w:tcW w:w="1443" w:type="dxa"/>
            <w:tcBorders>
              <w:top w:val="nil"/>
              <w:left w:val="nil"/>
              <w:bottom w:val="nil"/>
              <w:right w:val="nil"/>
            </w:tcBorders>
            <w:shd w:val="clear" w:color="auto" w:fill="auto"/>
            <w:noWrap/>
            <w:vAlign w:val="bottom"/>
            <w:hideMark/>
          </w:tcPr>
          <w:p w14:paraId="4934A157" w14:textId="77777777" w:rsidR="00806EFC" w:rsidRPr="006C6F80" w:rsidRDefault="00806EFC" w:rsidP="00806EFC">
            <w:pPr>
              <w:jc w:val="center"/>
              <w:rPr>
                <w:color w:val="000000" w:themeColor="text1"/>
                <w:sz w:val="20"/>
                <w:szCs w:val="20"/>
              </w:rPr>
            </w:pPr>
            <w:r w:rsidRPr="006C6F80">
              <w:rPr>
                <w:color w:val="000000" w:themeColor="text1"/>
                <w:sz w:val="20"/>
                <w:szCs w:val="20"/>
              </w:rPr>
              <w:t>1,744</w:t>
            </w:r>
          </w:p>
        </w:tc>
        <w:tc>
          <w:tcPr>
            <w:tcW w:w="1440" w:type="dxa"/>
            <w:tcBorders>
              <w:top w:val="nil"/>
              <w:left w:val="nil"/>
              <w:bottom w:val="nil"/>
              <w:right w:val="nil"/>
            </w:tcBorders>
            <w:shd w:val="clear" w:color="auto" w:fill="auto"/>
            <w:noWrap/>
            <w:vAlign w:val="bottom"/>
            <w:hideMark/>
          </w:tcPr>
          <w:p w14:paraId="031E6924" w14:textId="77777777" w:rsidR="00806EFC" w:rsidRPr="006C6F80" w:rsidRDefault="00806EFC" w:rsidP="00806EFC">
            <w:pPr>
              <w:jc w:val="center"/>
              <w:rPr>
                <w:color w:val="000000" w:themeColor="text1"/>
                <w:sz w:val="20"/>
                <w:szCs w:val="20"/>
              </w:rPr>
            </w:pPr>
            <w:r w:rsidRPr="006C6F80">
              <w:rPr>
                <w:color w:val="000000" w:themeColor="text1"/>
                <w:sz w:val="20"/>
                <w:szCs w:val="20"/>
              </w:rPr>
              <w:t>1,744</w:t>
            </w:r>
          </w:p>
        </w:tc>
        <w:tc>
          <w:tcPr>
            <w:tcW w:w="1440" w:type="dxa"/>
            <w:tcBorders>
              <w:top w:val="nil"/>
              <w:left w:val="nil"/>
              <w:bottom w:val="nil"/>
              <w:right w:val="nil"/>
            </w:tcBorders>
            <w:shd w:val="clear" w:color="auto" w:fill="auto"/>
            <w:noWrap/>
            <w:vAlign w:val="bottom"/>
            <w:hideMark/>
          </w:tcPr>
          <w:p w14:paraId="40B43816" w14:textId="77777777" w:rsidR="00806EFC" w:rsidRPr="006C6F80" w:rsidRDefault="00806EFC" w:rsidP="00806EFC">
            <w:pPr>
              <w:jc w:val="center"/>
              <w:rPr>
                <w:color w:val="000000" w:themeColor="text1"/>
                <w:sz w:val="20"/>
                <w:szCs w:val="20"/>
              </w:rPr>
            </w:pPr>
            <w:r w:rsidRPr="006C6F80">
              <w:rPr>
                <w:color w:val="000000" w:themeColor="text1"/>
                <w:sz w:val="20"/>
                <w:szCs w:val="20"/>
              </w:rPr>
              <w:t>1,744</w:t>
            </w:r>
          </w:p>
        </w:tc>
        <w:tc>
          <w:tcPr>
            <w:tcW w:w="1440" w:type="dxa"/>
            <w:tcBorders>
              <w:top w:val="nil"/>
              <w:left w:val="nil"/>
              <w:bottom w:val="nil"/>
              <w:right w:val="nil"/>
            </w:tcBorders>
            <w:shd w:val="clear" w:color="auto" w:fill="auto"/>
            <w:noWrap/>
            <w:vAlign w:val="bottom"/>
            <w:hideMark/>
          </w:tcPr>
          <w:p w14:paraId="5CD86BB3" w14:textId="77777777" w:rsidR="00806EFC" w:rsidRPr="006C6F80" w:rsidRDefault="00806EFC" w:rsidP="00806EFC">
            <w:pPr>
              <w:jc w:val="center"/>
              <w:rPr>
                <w:color w:val="000000" w:themeColor="text1"/>
                <w:sz w:val="20"/>
                <w:szCs w:val="20"/>
              </w:rPr>
            </w:pPr>
            <w:r w:rsidRPr="006C6F80">
              <w:rPr>
                <w:color w:val="000000" w:themeColor="text1"/>
                <w:sz w:val="20"/>
                <w:szCs w:val="20"/>
              </w:rPr>
              <w:t>1,744</w:t>
            </w:r>
          </w:p>
        </w:tc>
        <w:tc>
          <w:tcPr>
            <w:tcW w:w="1440" w:type="dxa"/>
            <w:tcBorders>
              <w:top w:val="nil"/>
              <w:left w:val="nil"/>
              <w:bottom w:val="nil"/>
              <w:right w:val="nil"/>
            </w:tcBorders>
            <w:shd w:val="clear" w:color="auto" w:fill="auto"/>
            <w:noWrap/>
            <w:vAlign w:val="bottom"/>
            <w:hideMark/>
          </w:tcPr>
          <w:p w14:paraId="75A89C59" w14:textId="77777777" w:rsidR="00806EFC" w:rsidRPr="006C6F80" w:rsidRDefault="00806EFC" w:rsidP="00806EFC">
            <w:pPr>
              <w:jc w:val="center"/>
              <w:rPr>
                <w:color w:val="000000" w:themeColor="text1"/>
                <w:sz w:val="20"/>
                <w:szCs w:val="20"/>
              </w:rPr>
            </w:pPr>
            <w:r w:rsidRPr="006C6F80">
              <w:rPr>
                <w:color w:val="000000" w:themeColor="text1"/>
                <w:sz w:val="20"/>
                <w:szCs w:val="20"/>
              </w:rPr>
              <w:t>1,744</w:t>
            </w:r>
          </w:p>
        </w:tc>
        <w:tc>
          <w:tcPr>
            <w:tcW w:w="1530" w:type="dxa"/>
            <w:tcBorders>
              <w:top w:val="nil"/>
              <w:left w:val="nil"/>
              <w:bottom w:val="nil"/>
              <w:right w:val="nil"/>
            </w:tcBorders>
            <w:shd w:val="clear" w:color="auto" w:fill="auto"/>
            <w:noWrap/>
            <w:vAlign w:val="bottom"/>
            <w:hideMark/>
          </w:tcPr>
          <w:p w14:paraId="6082F8DE" w14:textId="77777777" w:rsidR="00806EFC" w:rsidRPr="006C6F80" w:rsidRDefault="00806EFC" w:rsidP="00806EFC">
            <w:pPr>
              <w:jc w:val="center"/>
              <w:rPr>
                <w:color w:val="000000" w:themeColor="text1"/>
                <w:sz w:val="20"/>
                <w:szCs w:val="20"/>
              </w:rPr>
            </w:pPr>
            <w:r w:rsidRPr="006C6F80">
              <w:rPr>
                <w:color w:val="000000" w:themeColor="text1"/>
                <w:sz w:val="20"/>
                <w:szCs w:val="20"/>
              </w:rPr>
              <w:t>1,744</w:t>
            </w:r>
          </w:p>
        </w:tc>
        <w:tc>
          <w:tcPr>
            <w:tcW w:w="1440" w:type="dxa"/>
            <w:tcBorders>
              <w:top w:val="nil"/>
              <w:left w:val="nil"/>
              <w:bottom w:val="nil"/>
              <w:right w:val="nil"/>
            </w:tcBorders>
            <w:shd w:val="clear" w:color="auto" w:fill="auto"/>
            <w:noWrap/>
            <w:vAlign w:val="bottom"/>
            <w:hideMark/>
          </w:tcPr>
          <w:p w14:paraId="1B924447" w14:textId="77777777" w:rsidR="00806EFC" w:rsidRPr="006C6F80" w:rsidRDefault="00806EFC" w:rsidP="00806EFC">
            <w:pPr>
              <w:jc w:val="center"/>
              <w:rPr>
                <w:color w:val="000000" w:themeColor="text1"/>
                <w:sz w:val="20"/>
                <w:szCs w:val="20"/>
              </w:rPr>
            </w:pPr>
            <w:r w:rsidRPr="006C6F80">
              <w:rPr>
                <w:color w:val="000000" w:themeColor="text1"/>
                <w:sz w:val="20"/>
                <w:szCs w:val="20"/>
              </w:rPr>
              <w:t>1,362</w:t>
            </w:r>
          </w:p>
        </w:tc>
        <w:tc>
          <w:tcPr>
            <w:tcW w:w="1530" w:type="dxa"/>
            <w:tcBorders>
              <w:top w:val="nil"/>
              <w:left w:val="nil"/>
              <w:bottom w:val="nil"/>
              <w:right w:val="nil"/>
            </w:tcBorders>
            <w:shd w:val="clear" w:color="auto" w:fill="auto"/>
            <w:noWrap/>
            <w:vAlign w:val="bottom"/>
            <w:hideMark/>
          </w:tcPr>
          <w:p w14:paraId="55521349" w14:textId="77777777" w:rsidR="00806EFC" w:rsidRPr="006C6F80" w:rsidRDefault="00806EFC" w:rsidP="00806EFC">
            <w:pPr>
              <w:jc w:val="center"/>
              <w:rPr>
                <w:color w:val="000000" w:themeColor="text1"/>
                <w:sz w:val="20"/>
                <w:szCs w:val="20"/>
              </w:rPr>
            </w:pPr>
            <w:r w:rsidRPr="006C6F80">
              <w:rPr>
                <w:color w:val="000000" w:themeColor="text1"/>
                <w:sz w:val="20"/>
                <w:szCs w:val="20"/>
              </w:rPr>
              <w:t>1,223</w:t>
            </w:r>
          </w:p>
        </w:tc>
        <w:tc>
          <w:tcPr>
            <w:tcW w:w="1440" w:type="dxa"/>
            <w:tcBorders>
              <w:top w:val="nil"/>
              <w:left w:val="nil"/>
              <w:bottom w:val="nil"/>
              <w:right w:val="nil"/>
            </w:tcBorders>
            <w:shd w:val="clear" w:color="auto" w:fill="auto"/>
            <w:noWrap/>
            <w:vAlign w:val="bottom"/>
            <w:hideMark/>
          </w:tcPr>
          <w:p w14:paraId="48BAB9E6" w14:textId="77777777" w:rsidR="00806EFC" w:rsidRPr="006C6F80" w:rsidRDefault="00806EFC" w:rsidP="00806EFC">
            <w:pPr>
              <w:jc w:val="center"/>
              <w:rPr>
                <w:color w:val="000000" w:themeColor="text1"/>
                <w:sz w:val="20"/>
                <w:szCs w:val="20"/>
              </w:rPr>
            </w:pPr>
            <w:r w:rsidRPr="006C6F80">
              <w:rPr>
                <w:color w:val="000000" w:themeColor="text1"/>
                <w:sz w:val="20"/>
                <w:szCs w:val="20"/>
              </w:rPr>
              <w:t>1,041</w:t>
            </w:r>
          </w:p>
        </w:tc>
      </w:tr>
      <w:tr w:rsidR="00B13EEB" w:rsidRPr="006C6F80" w14:paraId="6173A5DB" w14:textId="77777777" w:rsidTr="000532E9">
        <w:trPr>
          <w:trHeight w:val="256"/>
          <w:jc w:val="center"/>
        </w:trPr>
        <w:tc>
          <w:tcPr>
            <w:tcW w:w="2067" w:type="dxa"/>
            <w:tcBorders>
              <w:top w:val="nil"/>
              <w:left w:val="nil"/>
              <w:bottom w:val="nil"/>
              <w:right w:val="nil"/>
            </w:tcBorders>
            <w:shd w:val="clear" w:color="auto" w:fill="auto"/>
            <w:noWrap/>
            <w:vAlign w:val="bottom"/>
            <w:hideMark/>
          </w:tcPr>
          <w:p w14:paraId="0059E1A6" w14:textId="77777777" w:rsidR="00806EFC" w:rsidRPr="006C6F80" w:rsidRDefault="00806EFC" w:rsidP="00806EFC">
            <w:pPr>
              <w:rPr>
                <w:color w:val="000000" w:themeColor="text1"/>
                <w:sz w:val="20"/>
                <w:szCs w:val="20"/>
              </w:rPr>
            </w:pPr>
            <w:r w:rsidRPr="006C6F80">
              <w:rPr>
                <w:color w:val="000000" w:themeColor="text1"/>
                <w:sz w:val="20"/>
                <w:szCs w:val="20"/>
              </w:rPr>
              <w:t>R-squared</w:t>
            </w:r>
          </w:p>
        </w:tc>
        <w:tc>
          <w:tcPr>
            <w:tcW w:w="1443" w:type="dxa"/>
            <w:tcBorders>
              <w:top w:val="nil"/>
              <w:left w:val="nil"/>
              <w:bottom w:val="nil"/>
              <w:right w:val="nil"/>
            </w:tcBorders>
            <w:shd w:val="clear" w:color="auto" w:fill="auto"/>
            <w:noWrap/>
            <w:vAlign w:val="bottom"/>
            <w:hideMark/>
          </w:tcPr>
          <w:p w14:paraId="13324984" w14:textId="77777777" w:rsidR="00806EFC" w:rsidRPr="006C6F80" w:rsidRDefault="00806EFC" w:rsidP="00806EFC">
            <w:pPr>
              <w:jc w:val="center"/>
              <w:rPr>
                <w:color w:val="000000" w:themeColor="text1"/>
                <w:sz w:val="20"/>
                <w:szCs w:val="20"/>
              </w:rPr>
            </w:pPr>
            <w:r w:rsidRPr="006C6F80">
              <w:rPr>
                <w:color w:val="000000" w:themeColor="text1"/>
                <w:sz w:val="20"/>
                <w:szCs w:val="20"/>
              </w:rPr>
              <w:t>0.030</w:t>
            </w:r>
          </w:p>
        </w:tc>
        <w:tc>
          <w:tcPr>
            <w:tcW w:w="1440" w:type="dxa"/>
            <w:tcBorders>
              <w:top w:val="nil"/>
              <w:left w:val="nil"/>
              <w:bottom w:val="nil"/>
              <w:right w:val="nil"/>
            </w:tcBorders>
            <w:shd w:val="clear" w:color="auto" w:fill="auto"/>
            <w:noWrap/>
            <w:vAlign w:val="bottom"/>
            <w:hideMark/>
          </w:tcPr>
          <w:p w14:paraId="0B3B06E1" w14:textId="77777777" w:rsidR="00806EFC" w:rsidRPr="006C6F80" w:rsidRDefault="00806EFC" w:rsidP="00806EFC">
            <w:pPr>
              <w:jc w:val="center"/>
              <w:rPr>
                <w:color w:val="000000" w:themeColor="text1"/>
                <w:sz w:val="20"/>
                <w:szCs w:val="20"/>
              </w:rPr>
            </w:pPr>
            <w:r w:rsidRPr="006C6F80">
              <w:rPr>
                <w:color w:val="000000" w:themeColor="text1"/>
                <w:sz w:val="20"/>
                <w:szCs w:val="20"/>
              </w:rPr>
              <w:t>0.197</w:t>
            </w:r>
          </w:p>
        </w:tc>
        <w:tc>
          <w:tcPr>
            <w:tcW w:w="1440" w:type="dxa"/>
            <w:tcBorders>
              <w:top w:val="nil"/>
              <w:left w:val="nil"/>
              <w:bottom w:val="nil"/>
              <w:right w:val="nil"/>
            </w:tcBorders>
            <w:shd w:val="clear" w:color="auto" w:fill="auto"/>
            <w:noWrap/>
            <w:vAlign w:val="bottom"/>
            <w:hideMark/>
          </w:tcPr>
          <w:p w14:paraId="728390E0" w14:textId="77777777" w:rsidR="00806EFC" w:rsidRPr="006C6F80" w:rsidRDefault="00806EFC" w:rsidP="00806EFC">
            <w:pPr>
              <w:jc w:val="center"/>
              <w:rPr>
                <w:color w:val="000000" w:themeColor="text1"/>
                <w:sz w:val="20"/>
                <w:szCs w:val="20"/>
              </w:rPr>
            </w:pPr>
            <w:r w:rsidRPr="006C6F80">
              <w:rPr>
                <w:color w:val="000000" w:themeColor="text1"/>
                <w:sz w:val="20"/>
                <w:szCs w:val="20"/>
              </w:rPr>
              <w:t>0.183</w:t>
            </w:r>
          </w:p>
        </w:tc>
        <w:tc>
          <w:tcPr>
            <w:tcW w:w="1440" w:type="dxa"/>
            <w:tcBorders>
              <w:top w:val="nil"/>
              <w:left w:val="nil"/>
              <w:bottom w:val="nil"/>
              <w:right w:val="nil"/>
            </w:tcBorders>
            <w:shd w:val="clear" w:color="auto" w:fill="auto"/>
            <w:noWrap/>
            <w:vAlign w:val="bottom"/>
            <w:hideMark/>
          </w:tcPr>
          <w:p w14:paraId="3C59DB0A" w14:textId="77777777" w:rsidR="00806EFC" w:rsidRPr="006C6F80" w:rsidRDefault="00806EFC" w:rsidP="00806EFC">
            <w:pPr>
              <w:jc w:val="center"/>
              <w:rPr>
                <w:color w:val="000000" w:themeColor="text1"/>
                <w:sz w:val="20"/>
                <w:szCs w:val="20"/>
              </w:rPr>
            </w:pPr>
            <w:r w:rsidRPr="006C6F80">
              <w:rPr>
                <w:color w:val="000000" w:themeColor="text1"/>
                <w:sz w:val="20"/>
                <w:szCs w:val="20"/>
              </w:rPr>
              <w:t>0.183</w:t>
            </w:r>
          </w:p>
        </w:tc>
        <w:tc>
          <w:tcPr>
            <w:tcW w:w="1440" w:type="dxa"/>
            <w:tcBorders>
              <w:top w:val="nil"/>
              <w:left w:val="nil"/>
              <w:bottom w:val="nil"/>
              <w:right w:val="nil"/>
            </w:tcBorders>
            <w:shd w:val="clear" w:color="auto" w:fill="auto"/>
            <w:noWrap/>
            <w:vAlign w:val="bottom"/>
            <w:hideMark/>
          </w:tcPr>
          <w:p w14:paraId="5E34EFD0" w14:textId="77777777" w:rsidR="00806EFC" w:rsidRPr="006C6F80" w:rsidRDefault="00806EFC" w:rsidP="00806EFC">
            <w:pPr>
              <w:jc w:val="center"/>
              <w:rPr>
                <w:color w:val="000000" w:themeColor="text1"/>
                <w:sz w:val="20"/>
                <w:szCs w:val="20"/>
              </w:rPr>
            </w:pPr>
            <w:r w:rsidRPr="006C6F80">
              <w:rPr>
                <w:color w:val="000000" w:themeColor="text1"/>
                <w:sz w:val="20"/>
                <w:szCs w:val="20"/>
              </w:rPr>
              <w:t>0.229</w:t>
            </w:r>
          </w:p>
        </w:tc>
        <w:tc>
          <w:tcPr>
            <w:tcW w:w="1530" w:type="dxa"/>
            <w:tcBorders>
              <w:top w:val="nil"/>
              <w:left w:val="nil"/>
              <w:bottom w:val="nil"/>
              <w:right w:val="nil"/>
            </w:tcBorders>
            <w:shd w:val="clear" w:color="auto" w:fill="auto"/>
            <w:noWrap/>
            <w:vAlign w:val="bottom"/>
            <w:hideMark/>
          </w:tcPr>
          <w:p w14:paraId="2FE0EEF5" w14:textId="77777777" w:rsidR="00806EFC" w:rsidRPr="006C6F80" w:rsidRDefault="00806EFC" w:rsidP="00806EFC">
            <w:pPr>
              <w:jc w:val="center"/>
              <w:rPr>
                <w:color w:val="000000" w:themeColor="text1"/>
                <w:sz w:val="20"/>
                <w:szCs w:val="20"/>
              </w:rPr>
            </w:pPr>
            <w:r w:rsidRPr="006C6F80">
              <w:rPr>
                <w:color w:val="000000" w:themeColor="text1"/>
                <w:sz w:val="20"/>
                <w:szCs w:val="20"/>
              </w:rPr>
              <w:t>0.636</w:t>
            </w:r>
          </w:p>
        </w:tc>
        <w:tc>
          <w:tcPr>
            <w:tcW w:w="1440" w:type="dxa"/>
            <w:tcBorders>
              <w:top w:val="nil"/>
              <w:left w:val="nil"/>
              <w:bottom w:val="nil"/>
              <w:right w:val="nil"/>
            </w:tcBorders>
            <w:shd w:val="clear" w:color="auto" w:fill="auto"/>
            <w:noWrap/>
            <w:vAlign w:val="bottom"/>
            <w:hideMark/>
          </w:tcPr>
          <w:p w14:paraId="633BF229" w14:textId="77777777" w:rsidR="00806EFC" w:rsidRPr="006C6F80" w:rsidRDefault="00806EFC" w:rsidP="00806EFC">
            <w:pPr>
              <w:jc w:val="center"/>
              <w:rPr>
                <w:color w:val="000000" w:themeColor="text1"/>
                <w:sz w:val="20"/>
                <w:szCs w:val="20"/>
              </w:rPr>
            </w:pPr>
            <w:r w:rsidRPr="006C6F80">
              <w:rPr>
                <w:color w:val="000000" w:themeColor="text1"/>
                <w:sz w:val="20"/>
                <w:szCs w:val="20"/>
              </w:rPr>
              <w:t>0.080</w:t>
            </w:r>
          </w:p>
        </w:tc>
        <w:tc>
          <w:tcPr>
            <w:tcW w:w="1530" w:type="dxa"/>
            <w:tcBorders>
              <w:top w:val="nil"/>
              <w:left w:val="nil"/>
              <w:bottom w:val="nil"/>
              <w:right w:val="nil"/>
            </w:tcBorders>
            <w:shd w:val="clear" w:color="auto" w:fill="auto"/>
            <w:noWrap/>
            <w:vAlign w:val="bottom"/>
            <w:hideMark/>
          </w:tcPr>
          <w:p w14:paraId="0DC601D7" w14:textId="77777777" w:rsidR="00806EFC" w:rsidRPr="006C6F80" w:rsidRDefault="00806EFC" w:rsidP="00806EFC">
            <w:pPr>
              <w:jc w:val="center"/>
              <w:rPr>
                <w:color w:val="000000" w:themeColor="text1"/>
                <w:sz w:val="20"/>
                <w:szCs w:val="20"/>
              </w:rPr>
            </w:pPr>
            <w:r w:rsidRPr="006C6F80">
              <w:rPr>
                <w:color w:val="000000" w:themeColor="text1"/>
                <w:sz w:val="20"/>
                <w:szCs w:val="20"/>
              </w:rPr>
              <w:t>0.341</w:t>
            </w:r>
          </w:p>
        </w:tc>
        <w:tc>
          <w:tcPr>
            <w:tcW w:w="1440" w:type="dxa"/>
            <w:tcBorders>
              <w:top w:val="nil"/>
              <w:left w:val="nil"/>
              <w:bottom w:val="nil"/>
              <w:right w:val="nil"/>
            </w:tcBorders>
            <w:shd w:val="clear" w:color="auto" w:fill="auto"/>
            <w:noWrap/>
            <w:vAlign w:val="bottom"/>
            <w:hideMark/>
          </w:tcPr>
          <w:p w14:paraId="00413AA6" w14:textId="77777777" w:rsidR="00806EFC" w:rsidRPr="006C6F80" w:rsidRDefault="00806EFC" w:rsidP="00806EFC">
            <w:pPr>
              <w:jc w:val="center"/>
              <w:rPr>
                <w:color w:val="000000" w:themeColor="text1"/>
                <w:sz w:val="20"/>
                <w:szCs w:val="20"/>
              </w:rPr>
            </w:pPr>
            <w:r w:rsidRPr="006C6F80">
              <w:rPr>
                <w:color w:val="000000" w:themeColor="text1"/>
                <w:sz w:val="20"/>
                <w:szCs w:val="20"/>
              </w:rPr>
              <w:t>0.265</w:t>
            </w:r>
          </w:p>
        </w:tc>
      </w:tr>
      <w:tr w:rsidR="00B13EEB" w:rsidRPr="006C6F80" w14:paraId="26EA0DDB" w14:textId="77777777" w:rsidTr="000532E9">
        <w:trPr>
          <w:trHeight w:val="256"/>
          <w:jc w:val="center"/>
        </w:trPr>
        <w:tc>
          <w:tcPr>
            <w:tcW w:w="2067" w:type="dxa"/>
            <w:tcBorders>
              <w:top w:val="nil"/>
              <w:left w:val="nil"/>
              <w:bottom w:val="nil"/>
              <w:right w:val="nil"/>
            </w:tcBorders>
            <w:shd w:val="clear" w:color="auto" w:fill="auto"/>
            <w:noWrap/>
            <w:vAlign w:val="bottom"/>
            <w:hideMark/>
          </w:tcPr>
          <w:p w14:paraId="2CAE9B34" w14:textId="77777777" w:rsidR="00806EFC" w:rsidRPr="006C6F80" w:rsidRDefault="00806EFC" w:rsidP="00806EFC">
            <w:pPr>
              <w:rPr>
                <w:color w:val="000000" w:themeColor="text1"/>
                <w:sz w:val="20"/>
                <w:szCs w:val="20"/>
              </w:rPr>
            </w:pPr>
            <w:r w:rsidRPr="006C6F80">
              <w:rPr>
                <w:color w:val="000000" w:themeColor="text1"/>
                <w:sz w:val="20"/>
                <w:szCs w:val="20"/>
              </w:rPr>
              <w:t>Individual controls</w:t>
            </w:r>
          </w:p>
        </w:tc>
        <w:tc>
          <w:tcPr>
            <w:tcW w:w="1443" w:type="dxa"/>
            <w:tcBorders>
              <w:top w:val="nil"/>
              <w:left w:val="nil"/>
              <w:bottom w:val="nil"/>
              <w:right w:val="nil"/>
            </w:tcBorders>
            <w:shd w:val="clear" w:color="auto" w:fill="auto"/>
            <w:noWrap/>
            <w:vAlign w:val="bottom"/>
            <w:hideMark/>
          </w:tcPr>
          <w:p w14:paraId="4184D72F"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nil"/>
              <w:right w:val="nil"/>
            </w:tcBorders>
            <w:shd w:val="clear" w:color="auto" w:fill="auto"/>
            <w:noWrap/>
            <w:vAlign w:val="bottom"/>
            <w:hideMark/>
          </w:tcPr>
          <w:p w14:paraId="203FEFE1"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nil"/>
              <w:right w:val="nil"/>
            </w:tcBorders>
            <w:shd w:val="clear" w:color="auto" w:fill="auto"/>
            <w:noWrap/>
            <w:vAlign w:val="bottom"/>
            <w:hideMark/>
          </w:tcPr>
          <w:p w14:paraId="4FE2615B"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nil"/>
              <w:right w:val="nil"/>
            </w:tcBorders>
            <w:shd w:val="clear" w:color="auto" w:fill="auto"/>
            <w:noWrap/>
            <w:vAlign w:val="bottom"/>
            <w:hideMark/>
          </w:tcPr>
          <w:p w14:paraId="3ABDB900"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nil"/>
              <w:right w:val="nil"/>
            </w:tcBorders>
            <w:shd w:val="clear" w:color="auto" w:fill="auto"/>
            <w:noWrap/>
            <w:vAlign w:val="bottom"/>
            <w:hideMark/>
          </w:tcPr>
          <w:p w14:paraId="1B6EFFC8"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530" w:type="dxa"/>
            <w:tcBorders>
              <w:top w:val="nil"/>
              <w:left w:val="nil"/>
              <w:bottom w:val="nil"/>
              <w:right w:val="nil"/>
            </w:tcBorders>
            <w:shd w:val="clear" w:color="auto" w:fill="auto"/>
            <w:noWrap/>
            <w:vAlign w:val="bottom"/>
            <w:hideMark/>
          </w:tcPr>
          <w:p w14:paraId="0C5759C6"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nil"/>
              <w:right w:val="nil"/>
            </w:tcBorders>
            <w:shd w:val="clear" w:color="auto" w:fill="auto"/>
            <w:noWrap/>
            <w:vAlign w:val="bottom"/>
            <w:hideMark/>
          </w:tcPr>
          <w:p w14:paraId="0E1BCAAA"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530" w:type="dxa"/>
            <w:tcBorders>
              <w:top w:val="nil"/>
              <w:left w:val="nil"/>
              <w:bottom w:val="nil"/>
              <w:right w:val="nil"/>
            </w:tcBorders>
            <w:shd w:val="clear" w:color="auto" w:fill="auto"/>
            <w:noWrap/>
            <w:vAlign w:val="bottom"/>
            <w:hideMark/>
          </w:tcPr>
          <w:p w14:paraId="5B3A850B"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nil"/>
              <w:right w:val="nil"/>
            </w:tcBorders>
            <w:shd w:val="clear" w:color="auto" w:fill="auto"/>
            <w:noWrap/>
            <w:vAlign w:val="bottom"/>
            <w:hideMark/>
          </w:tcPr>
          <w:p w14:paraId="6F0ED40E"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r>
      <w:tr w:rsidR="00B13EEB" w:rsidRPr="006C6F80" w14:paraId="240556B2" w14:textId="77777777" w:rsidTr="000532E9">
        <w:trPr>
          <w:trHeight w:val="256"/>
          <w:jc w:val="center"/>
        </w:trPr>
        <w:tc>
          <w:tcPr>
            <w:tcW w:w="2067" w:type="dxa"/>
            <w:tcBorders>
              <w:top w:val="nil"/>
              <w:left w:val="nil"/>
              <w:bottom w:val="nil"/>
              <w:right w:val="nil"/>
            </w:tcBorders>
            <w:shd w:val="clear" w:color="auto" w:fill="auto"/>
            <w:noWrap/>
            <w:vAlign w:val="bottom"/>
            <w:hideMark/>
          </w:tcPr>
          <w:p w14:paraId="7C224C44" w14:textId="5B00493B" w:rsidR="00806EFC" w:rsidRPr="006C6F80" w:rsidRDefault="00806EFC" w:rsidP="00B13EEB">
            <w:pPr>
              <w:ind w:right="-434"/>
              <w:rPr>
                <w:color w:val="000000" w:themeColor="text1"/>
                <w:sz w:val="20"/>
                <w:szCs w:val="20"/>
              </w:rPr>
            </w:pPr>
            <w:r w:rsidRPr="006C6F80">
              <w:rPr>
                <w:color w:val="000000" w:themeColor="text1"/>
                <w:sz w:val="20"/>
                <w:szCs w:val="20"/>
              </w:rPr>
              <w:t>First job c</w:t>
            </w:r>
            <w:r w:rsidR="00B13EEB" w:rsidRPr="006C6F80">
              <w:rPr>
                <w:color w:val="000000" w:themeColor="text1"/>
                <w:sz w:val="20"/>
                <w:szCs w:val="20"/>
              </w:rPr>
              <w:t>haracteristics</w:t>
            </w:r>
          </w:p>
        </w:tc>
        <w:tc>
          <w:tcPr>
            <w:tcW w:w="1443" w:type="dxa"/>
            <w:tcBorders>
              <w:top w:val="nil"/>
              <w:left w:val="nil"/>
              <w:bottom w:val="nil"/>
              <w:right w:val="nil"/>
            </w:tcBorders>
            <w:shd w:val="clear" w:color="auto" w:fill="auto"/>
            <w:noWrap/>
            <w:vAlign w:val="bottom"/>
            <w:hideMark/>
          </w:tcPr>
          <w:p w14:paraId="4AD4D85E" w14:textId="77777777" w:rsidR="00806EFC" w:rsidRPr="006C6F80" w:rsidRDefault="00806EFC" w:rsidP="00806EFC">
            <w:pPr>
              <w:jc w:val="center"/>
              <w:rPr>
                <w:color w:val="000000" w:themeColor="text1"/>
                <w:sz w:val="20"/>
                <w:szCs w:val="20"/>
              </w:rPr>
            </w:pPr>
            <w:r w:rsidRPr="006C6F80">
              <w:rPr>
                <w:color w:val="000000" w:themeColor="text1"/>
                <w:sz w:val="20"/>
                <w:szCs w:val="20"/>
              </w:rPr>
              <w:t>NO</w:t>
            </w:r>
          </w:p>
        </w:tc>
        <w:tc>
          <w:tcPr>
            <w:tcW w:w="1440" w:type="dxa"/>
            <w:tcBorders>
              <w:top w:val="nil"/>
              <w:left w:val="nil"/>
              <w:bottom w:val="nil"/>
              <w:right w:val="nil"/>
            </w:tcBorders>
            <w:shd w:val="clear" w:color="auto" w:fill="auto"/>
            <w:noWrap/>
            <w:vAlign w:val="bottom"/>
            <w:hideMark/>
          </w:tcPr>
          <w:p w14:paraId="627D7E2A"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nil"/>
              <w:right w:val="nil"/>
            </w:tcBorders>
            <w:shd w:val="clear" w:color="auto" w:fill="auto"/>
            <w:noWrap/>
            <w:vAlign w:val="bottom"/>
            <w:hideMark/>
          </w:tcPr>
          <w:p w14:paraId="035E004E"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nil"/>
              <w:right w:val="nil"/>
            </w:tcBorders>
            <w:shd w:val="clear" w:color="auto" w:fill="auto"/>
            <w:noWrap/>
            <w:vAlign w:val="bottom"/>
            <w:hideMark/>
          </w:tcPr>
          <w:p w14:paraId="483E6B28"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nil"/>
              <w:right w:val="nil"/>
            </w:tcBorders>
            <w:shd w:val="clear" w:color="auto" w:fill="auto"/>
            <w:noWrap/>
            <w:vAlign w:val="bottom"/>
            <w:hideMark/>
          </w:tcPr>
          <w:p w14:paraId="1DA1A790"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530" w:type="dxa"/>
            <w:tcBorders>
              <w:top w:val="nil"/>
              <w:left w:val="nil"/>
              <w:bottom w:val="nil"/>
              <w:right w:val="nil"/>
            </w:tcBorders>
            <w:shd w:val="clear" w:color="auto" w:fill="auto"/>
            <w:noWrap/>
            <w:vAlign w:val="bottom"/>
            <w:hideMark/>
          </w:tcPr>
          <w:p w14:paraId="5DA60478"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nil"/>
              <w:right w:val="nil"/>
            </w:tcBorders>
            <w:shd w:val="clear" w:color="auto" w:fill="auto"/>
            <w:noWrap/>
            <w:vAlign w:val="bottom"/>
            <w:hideMark/>
          </w:tcPr>
          <w:p w14:paraId="45066289"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530" w:type="dxa"/>
            <w:tcBorders>
              <w:top w:val="nil"/>
              <w:left w:val="nil"/>
              <w:bottom w:val="nil"/>
              <w:right w:val="nil"/>
            </w:tcBorders>
            <w:shd w:val="clear" w:color="auto" w:fill="auto"/>
            <w:noWrap/>
            <w:vAlign w:val="bottom"/>
            <w:hideMark/>
          </w:tcPr>
          <w:p w14:paraId="20FEEDAD"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nil"/>
              <w:right w:val="nil"/>
            </w:tcBorders>
            <w:shd w:val="clear" w:color="auto" w:fill="auto"/>
            <w:noWrap/>
            <w:vAlign w:val="bottom"/>
            <w:hideMark/>
          </w:tcPr>
          <w:p w14:paraId="6EF0B965"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r>
      <w:tr w:rsidR="00B13EEB" w:rsidRPr="006C6F80" w14:paraId="062319E9" w14:textId="77777777" w:rsidTr="000532E9">
        <w:trPr>
          <w:trHeight w:val="256"/>
          <w:jc w:val="center"/>
        </w:trPr>
        <w:tc>
          <w:tcPr>
            <w:tcW w:w="2067" w:type="dxa"/>
            <w:tcBorders>
              <w:top w:val="nil"/>
              <w:left w:val="nil"/>
              <w:bottom w:val="single" w:sz="4" w:space="0" w:color="auto"/>
              <w:right w:val="nil"/>
            </w:tcBorders>
            <w:shd w:val="clear" w:color="auto" w:fill="auto"/>
            <w:noWrap/>
            <w:vAlign w:val="bottom"/>
            <w:hideMark/>
          </w:tcPr>
          <w:p w14:paraId="7BDBC001" w14:textId="77777777" w:rsidR="00806EFC" w:rsidRPr="006C6F80" w:rsidRDefault="00806EFC" w:rsidP="00806EFC">
            <w:pPr>
              <w:rPr>
                <w:color w:val="000000" w:themeColor="text1"/>
                <w:sz w:val="20"/>
                <w:szCs w:val="20"/>
              </w:rPr>
            </w:pPr>
            <w:r w:rsidRPr="006C6F80">
              <w:rPr>
                <w:color w:val="000000" w:themeColor="text1"/>
                <w:sz w:val="20"/>
                <w:szCs w:val="20"/>
              </w:rPr>
              <w:t>First occupation</w:t>
            </w:r>
          </w:p>
        </w:tc>
        <w:tc>
          <w:tcPr>
            <w:tcW w:w="1443" w:type="dxa"/>
            <w:tcBorders>
              <w:top w:val="nil"/>
              <w:left w:val="nil"/>
              <w:bottom w:val="single" w:sz="4" w:space="0" w:color="auto"/>
              <w:right w:val="nil"/>
            </w:tcBorders>
            <w:shd w:val="clear" w:color="auto" w:fill="auto"/>
            <w:noWrap/>
            <w:vAlign w:val="bottom"/>
            <w:hideMark/>
          </w:tcPr>
          <w:p w14:paraId="3861E24C" w14:textId="77777777" w:rsidR="00806EFC" w:rsidRPr="006C6F80" w:rsidRDefault="00806EFC" w:rsidP="00806EFC">
            <w:pPr>
              <w:jc w:val="center"/>
              <w:rPr>
                <w:color w:val="000000" w:themeColor="text1"/>
                <w:sz w:val="20"/>
                <w:szCs w:val="20"/>
              </w:rPr>
            </w:pPr>
            <w:r w:rsidRPr="006C6F80">
              <w:rPr>
                <w:color w:val="000000" w:themeColor="text1"/>
                <w:sz w:val="20"/>
                <w:szCs w:val="20"/>
              </w:rPr>
              <w:t>NO</w:t>
            </w:r>
          </w:p>
        </w:tc>
        <w:tc>
          <w:tcPr>
            <w:tcW w:w="1440" w:type="dxa"/>
            <w:tcBorders>
              <w:top w:val="nil"/>
              <w:left w:val="nil"/>
              <w:bottom w:val="single" w:sz="4" w:space="0" w:color="auto"/>
              <w:right w:val="nil"/>
            </w:tcBorders>
            <w:shd w:val="clear" w:color="auto" w:fill="auto"/>
            <w:noWrap/>
            <w:vAlign w:val="bottom"/>
            <w:hideMark/>
          </w:tcPr>
          <w:p w14:paraId="1E3341DF"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single" w:sz="4" w:space="0" w:color="auto"/>
              <w:right w:val="nil"/>
            </w:tcBorders>
            <w:shd w:val="clear" w:color="auto" w:fill="auto"/>
            <w:noWrap/>
            <w:vAlign w:val="bottom"/>
            <w:hideMark/>
          </w:tcPr>
          <w:p w14:paraId="2F72CDB2"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single" w:sz="4" w:space="0" w:color="auto"/>
              <w:right w:val="nil"/>
            </w:tcBorders>
            <w:shd w:val="clear" w:color="auto" w:fill="auto"/>
            <w:noWrap/>
            <w:vAlign w:val="bottom"/>
            <w:hideMark/>
          </w:tcPr>
          <w:p w14:paraId="6249FCA7"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single" w:sz="4" w:space="0" w:color="auto"/>
              <w:right w:val="nil"/>
            </w:tcBorders>
            <w:shd w:val="clear" w:color="auto" w:fill="auto"/>
            <w:noWrap/>
            <w:vAlign w:val="bottom"/>
            <w:hideMark/>
          </w:tcPr>
          <w:p w14:paraId="4B6E8E73"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530" w:type="dxa"/>
            <w:tcBorders>
              <w:top w:val="nil"/>
              <w:left w:val="nil"/>
              <w:bottom w:val="single" w:sz="4" w:space="0" w:color="auto"/>
              <w:right w:val="nil"/>
            </w:tcBorders>
            <w:shd w:val="clear" w:color="auto" w:fill="auto"/>
            <w:noWrap/>
            <w:vAlign w:val="bottom"/>
            <w:hideMark/>
          </w:tcPr>
          <w:p w14:paraId="6B5BAE50"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single" w:sz="4" w:space="0" w:color="auto"/>
              <w:right w:val="nil"/>
            </w:tcBorders>
            <w:shd w:val="clear" w:color="auto" w:fill="auto"/>
            <w:noWrap/>
            <w:vAlign w:val="bottom"/>
            <w:hideMark/>
          </w:tcPr>
          <w:p w14:paraId="373B196A"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530" w:type="dxa"/>
            <w:tcBorders>
              <w:top w:val="nil"/>
              <w:left w:val="nil"/>
              <w:bottom w:val="single" w:sz="4" w:space="0" w:color="auto"/>
              <w:right w:val="nil"/>
            </w:tcBorders>
            <w:shd w:val="clear" w:color="auto" w:fill="auto"/>
            <w:noWrap/>
            <w:vAlign w:val="bottom"/>
            <w:hideMark/>
          </w:tcPr>
          <w:p w14:paraId="714AD624"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c>
          <w:tcPr>
            <w:tcW w:w="1440" w:type="dxa"/>
            <w:tcBorders>
              <w:top w:val="nil"/>
              <w:left w:val="nil"/>
              <w:bottom w:val="single" w:sz="4" w:space="0" w:color="auto"/>
              <w:right w:val="nil"/>
            </w:tcBorders>
            <w:shd w:val="clear" w:color="auto" w:fill="auto"/>
            <w:noWrap/>
            <w:vAlign w:val="bottom"/>
            <w:hideMark/>
          </w:tcPr>
          <w:p w14:paraId="5F060CBA" w14:textId="77777777" w:rsidR="00806EFC" w:rsidRPr="006C6F80" w:rsidRDefault="00806EFC" w:rsidP="00806EFC">
            <w:pPr>
              <w:jc w:val="center"/>
              <w:rPr>
                <w:color w:val="000000" w:themeColor="text1"/>
                <w:sz w:val="20"/>
                <w:szCs w:val="20"/>
              </w:rPr>
            </w:pPr>
            <w:r w:rsidRPr="006C6F80">
              <w:rPr>
                <w:color w:val="000000" w:themeColor="text1"/>
                <w:sz w:val="20"/>
                <w:szCs w:val="20"/>
              </w:rPr>
              <w:t>YES</w:t>
            </w:r>
          </w:p>
        </w:tc>
      </w:tr>
    </w:tbl>
    <w:p w14:paraId="160FAD81" w14:textId="393DBC75" w:rsidR="00415BD5" w:rsidRPr="006C6F80" w:rsidRDefault="00415BD5" w:rsidP="008D557D">
      <w:pPr>
        <w:tabs>
          <w:tab w:val="left" w:pos="990"/>
        </w:tabs>
        <w:ind w:left="-540" w:right="-54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Robust standard errors in parentheses</w:t>
      </w:r>
    </w:p>
    <w:p w14:paraId="21CD9918" w14:textId="77777777" w:rsidR="00415BD5" w:rsidRPr="006C6F80" w:rsidRDefault="00415BD5" w:rsidP="008D557D">
      <w:pPr>
        <w:tabs>
          <w:tab w:val="left" w:pos="990"/>
        </w:tabs>
        <w:ind w:left="-540" w:right="-54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 p&lt;0.01, ** p&lt;0.05, * p&lt;0.1 </w:t>
      </w:r>
    </w:p>
    <w:p w14:paraId="22F29E78" w14:textId="77777777" w:rsidR="00FC1D0D" w:rsidRDefault="00415BD5" w:rsidP="008D557D">
      <w:pPr>
        <w:tabs>
          <w:tab w:val="left" w:pos="990"/>
        </w:tabs>
        <w:ind w:left="-540" w:right="-540"/>
        <w:jc w:val="both"/>
        <w:rPr>
          <w:rFonts w:asciiTheme="majorBidi" w:hAnsiTheme="majorBidi" w:cstheme="majorBidi"/>
          <w:color w:val="000000" w:themeColor="text1"/>
          <w:sz w:val="18"/>
          <w:szCs w:val="18"/>
        </w:rPr>
      </w:pPr>
      <w:r w:rsidRPr="006C6F80">
        <w:rPr>
          <w:rFonts w:asciiTheme="majorBidi" w:hAnsiTheme="majorBidi" w:cstheme="majorBidi"/>
          <w:i/>
          <w:iCs/>
          <w:color w:val="000000" w:themeColor="text1"/>
          <w:sz w:val="18"/>
          <w:szCs w:val="18"/>
        </w:rPr>
        <w:t>Notes.</w:t>
      </w:r>
      <w:r w:rsidRPr="006C6F80">
        <w:rPr>
          <w:rFonts w:asciiTheme="majorBidi" w:hAnsiTheme="majorBidi" w:cstheme="majorBidi"/>
          <w:color w:val="000000" w:themeColor="text1"/>
          <w:sz w:val="18"/>
          <w:szCs w:val="18"/>
        </w:rPr>
        <w:t xml:space="preserve"> Coefficient estimates are reported using IV-regression models. In column (1), we eliminate the vectors of first job characteristics including economic activities, sectors of employment, incidence of work contract</w:t>
      </w:r>
      <w:r w:rsidR="00E97F10" w:rsidRPr="006C6F80">
        <w:rPr>
          <w:rFonts w:asciiTheme="majorBidi" w:hAnsiTheme="majorBidi" w:cstheme="majorBidi"/>
          <w:color w:val="000000" w:themeColor="text1"/>
          <w:sz w:val="18"/>
          <w:szCs w:val="18"/>
        </w:rPr>
        <w:t>,</w:t>
      </w:r>
      <w:r w:rsidRPr="006C6F80">
        <w:rPr>
          <w:rFonts w:asciiTheme="majorBidi" w:hAnsiTheme="majorBidi" w:cstheme="majorBidi"/>
          <w:color w:val="000000" w:themeColor="text1"/>
          <w:sz w:val="18"/>
          <w:szCs w:val="18"/>
        </w:rPr>
        <w:t xml:space="preserve"> and social security, as well as first occupation dummies. In column (2), we additionally control for years of entry in the labor market fixed effects.  In column</w:t>
      </w:r>
      <w:r w:rsidR="00173AF3" w:rsidRPr="006C6F80">
        <w:rPr>
          <w:rFonts w:asciiTheme="majorBidi" w:hAnsiTheme="majorBidi" w:cstheme="majorBidi"/>
          <w:color w:val="000000" w:themeColor="text1"/>
          <w:sz w:val="18"/>
          <w:szCs w:val="18"/>
        </w:rPr>
        <w:t>s</w:t>
      </w:r>
      <w:r w:rsidRPr="006C6F80">
        <w:rPr>
          <w:rFonts w:asciiTheme="majorBidi" w:hAnsiTheme="majorBidi" w:cstheme="majorBidi"/>
          <w:color w:val="000000" w:themeColor="text1"/>
          <w:sz w:val="18"/>
          <w:szCs w:val="18"/>
        </w:rPr>
        <w:t xml:space="preserve"> (3) and (4), we cluster our regressions at the community level and by year of birth, respectively. In column (5),  we aggregate occupational categories into agriculture, blue-collar occupations</w:t>
      </w:r>
      <w:r w:rsidR="00E97F10" w:rsidRPr="006C6F80">
        <w:rPr>
          <w:rFonts w:asciiTheme="majorBidi" w:hAnsiTheme="majorBidi" w:cstheme="majorBidi"/>
          <w:color w:val="000000" w:themeColor="text1"/>
          <w:sz w:val="18"/>
          <w:szCs w:val="18"/>
        </w:rPr>
        <w:t>,</w:t>
      </w:r>
      <w:r w:rsidRPr="006C6F80">
        <w:rPr>
          <w:rFonts w:asciiTheme="majorBidi" w:hAnsiTheme="majorBidi" w:cstheme="majorBidi"/>
          <w:color w:val="000000" w:themeColor="text1"/>
          <w:sz w:val="18"/>
          <w:szCs w:val="18"/>
        </w:rPr>
        <w:t xml:space="preserve"> and white-collar occupations. In column (6),  we disaggregate occupational categories into 6 occupations: </w:t>
      </w:r>
      <w:r w:rsidR="00153185" w:rsidRPr="006C6F80">
        <w:rPr>
          <w:color w:val="000000" w:themeColor="text1"/>
          <w:sz w:val="18"/>
          <w:szCs w:val="18"/>
        </w:rPr>
        <w:t xml:space="preserve">agriculture, blue-collar, low-skilled white-collar, technicians and associate professionals, legislators and managers, and professionals (ranked 1 to 6 respectively). </w:t>
      </w:r>
      <w:r w:rsidR="00050216" w:rsidRPr="006C6F80">
        <w:rPr>
          <w:rFonts w:asciiTheme="majorBidi" w:hAnsiTheme="majorBidi" w:cstheme="majorBidi"/>
          <w:color w:val="000000" w:themeColor="text1"/>
          <w:sz w:val="18"/>
          <w:szCs w:val="18"/>
        </w:rPr>
        <w:t xml:space="preserve">In column (7),  we eliminate high-skilled white-collar occupations at first job. </w:t>
      </w:r>
      <w:r w:rsidR="00F644BB" w:rsidRPr="006C6F80">
        <w:rPr>
          <w:rFonts w:asciiTheme="majorBidi" w:hAnsiTheme="majorBidi" w:cstheme="majorBidi"/>
          <w:color w:val="000000" w:themeColor="text1"/>
          <w:sz w:val="18"/>
          <w:szCs w:val="18"/>
        </w:rPr>
        <w:t>In column (</w:t>
      </w:r>
      <w:r w:rsidR="00050216" w:rsidRPr="006C6F80">
        <w:rPr>
          <w:rFonts w:asciiTheme="majorBidi" w:hAnsiTheme="majorBidi" w:cstheme="majorBidi"/>
          <w:color w:val="000000" w:themeColor="text1"/>
          <w:sz w:val="18"/>
          <w:szCs w:val="18"/>
        </w:rPr>
        <w:t>8</w:t>
      </w:r>
      <w:r w:rsidR="00F644BB" w:rsidRPr="006C6F80">
        <w:rPr>
          <w:rFonts w:asciiTheme="majorBidi" w:hAnsiTheme="majorBidi" w:cstheme="majorBidi"/>
          <w:color w:val="000000" w:themeColor="text1"/>
          <w:sz w:val="18"/>
          <w:szCs w:val="18"/>
        </w:rPr>
        <w:t>), we focus on wage workers in 2010. In column (</w:t>
      </w:r>
      <w:r w:rsidR="00050216" w:rsidRPr="006C6F80">
        <w:rPr>
          <w:rFonts w:asciiTheme="majorBidi" w:hAnsiTheme="majorBidi" w:cstheme="majorBidi"/>
          <w:color w:val="000000" w:themeColor="text1"/>
          <w:sz w:val="18"/>
          <w:szCs w:val="18"/>
        </w:rPr>
        <w:t>9</w:t>
      </w:r>
      <w:r w:rsidR="00F644BB" w:rsidRPr="006C6F80">
        <w:rPr>
          <w:rFonts w:asciiTheme="majorBidi" w:hAnsiTheme="majorBidi" w:cstheme="majorBidi"/>
          <w:color w:val="000000" w:themeColor="text1"/>
          <w:sz w:val="18"/>
          <w:szCs w:val="18"/>
        </w:rPr>
        <w:t>), we restrict our analysis to wage workers at first job but also in the 2010 job.</w:t>
      </w:r>
    </w:p>
    <w:p w14:paraId="02876DEB" w14:textId="50B61EE2" w:rsidR="00866FEE" w:rsidRPr="006C6F80" w:rsidRDefault="00866FEE" w:rsidP="008D557D">
      <w:pPr>
        <w:tabs>
          <w:tab w:val="left" w:pos="990"/>
        </w:tabs>
        <w:ind w:left="-540" w:right="-540"/>
        <w:jc w:val="both"/>
        <w:rPr>
          <w:color w:val="000000" w:themeColor="text1"/>
        </w:rPr>
        <w:sectPr w:rsidR="00866FEE" w:rsidRPr="006C6F80" w:rsidSect="008D557D">
          <w:pgSz w:w="15840" w:h="12240" w:orient="landscape"/>
          <w:pgMar w:top="907" w:right="907" w:bottom="907" w:left="907" w:header="720" w:footer="720" w:gutter="0"/>
          <w:cols w:space="720"/>
          <w:docGrid w:linePitch="360"/>
        </w:sectPr>
      </w:pPr>
    </w:p>
    <w:p w14:paraId="16547078" w14:textId="08F4B102" w:rsidR="00004D2F" w:rsidRPr="006C6F80" w:rsidRDefault="00AA43C1" w:rsidP="00004D2F">
      <w:pPr>
        <w:tabs>
          <w:tab w:val="left" w:pos="6361"/>
        </w:tabs>
        <w:ind w:right="-138"/>
        <w:rPr>
          <w:rFonts w:asciiTheme="majorBidi" w:hAnsiTheme="majorBidi" w:cstheme="majorBidi"/>
          <w:color w:val="000000" w:themeColor="text1"/>
          <w:sz w:val="20"/>
          <w:szCs w:val="20"/>
        </w:rPr>
      </w:pPr>
      <w:r w:rsidRPr="006C6F80">
        <w:rPr>
          <w:noProof/>
          <w:color w:val="000000" w:themeColor="text1"/>
        </w:rPr>
        <w:lastRenderedPageBreak/>
        <w:drawing>
          <wp:inline distT="0" distB="0" distL="0" distR="0" wp14:anchorId="2E3750F3" wp14:editId="34055A0C">
            <wp:extent cx="6620510" cy="3152775"/>
            <wp:effectExtent l="0" t="0" r="8890" b="9525"/>
            <wp:docPr id="3" name="Chart 3">
              <a:extLst xmlns:a="http://schemas.openxmlformats.org/drawingml/2006/main">
                <a:ext uri="{FF2B5EF4-FFF2-40B4-BE49-F238E27FC236}">
                  <a16:creationId xmlns:a16="http://schemas.microsoft.com/office/drawing/2014/main" id="{614224AF-E0ED-224E-A62F-FB43E7B121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6B6404" w14:textId="50AC0888" w:rsidR="00004D2F" w:rsidRPr="006C6F80" w:rsidRDefault="00004D2F" w:rsidP="00AA43C1">
      <w:pPr>
        <w:pStyle w:val="Footnotes"/>
        <w:jc w:val="center"/>
        <w:rPr>
          <w:b/>
          <w:color w:val="000000" w:themeColor="text1"/>
          <w:lang w:val="en-US"/>
        </w:rPr>
      </w:pPr>
      <w:r w:rsidRPr="006C6F80">
        <w:rPr>
          <w:b/>
          <w:color w:val="000000" w:themeColor="text1"/>
          <w:lang w:val="en-US"/>
        </w:rPr>
        <w:t xml:space="preserve">Figure </w:t>
      </w:r>
      <w:r w:rsidR="00596FFA" w:rsidRPr="006C6F80">
        <w:rPr>
          <w:b/>
          <w:color w:val="000000" w:themeColor="text1"/>
          <w:lang w:val="en-US"/>
        </w:rPr>
        <w:t>A1</w:t>
      </w:r>
      <w:r w:rsidRPr="006C6F80">
        <w:rPr>
          <w:b/>
          <w:i/>
          <w:iCs/>
          <w:color w:val="000000" w:themeColor="text1"/>
          <w:lang w:val="en-US"/>
        </w:rPr>
        <w:t xml:space="preserve">. </w:t>
      </w:r>
      <w:r w:rsidRPr="006C6F80">
        <w:rPr>
          <w:b/>
          <w:color w:val="000000" w:themeColor="text1"/>
          <w:lang w:val="en-US"/>
        </w:rPr>
        <w:t>Oil prices versus aggregate indicators.</w:t>
      </w:r>
    </w:p>
    <w:p w14:paraId="71AD098E" w14:textId="02C94C89" w:rsidR="00004D2F" w:rsidRPr="006C6F80" w:rsidRDefault="00004D2F" w:rsidP="0081148C">
      <w:pPr>
        <w:pStyle w:val="Footnotes"/>
        <w:ind w:right="346"/>
        <w:rPr>
          <w:color w:val="000000" w:themeColor="text1"/>
          <w:lang w:val="en-US"/>
        </w:rPr>
      </w:pPr>
      <w:r w:rsidRPr="006C6F80">
        <w:rPr>
          <w:i/>
          <w:iCs/>
          <w:color w:val="000000" w:themeColor="text1"/>
          <w:lang w:val="en-US"/>
        </w:rPr>
        <w:t>Notes.</w:t>
      </w:r>
      <w:r w:rsidRPr="006C6F80">
        <w:rPr>
          <w:color w:val="000000" w:themeColor="text1"/>
          <w:lang w:val="en-US"/>
        </w:rPr>
        <w:t xml:space="preserve"> Oil prices are inflation adjusted and expressed in $ per Barrel. Labor Force participation rate, Employment in agriculture, industry and services are from International Labor Organization, Key indicators of the Labor Market Database. GDP growth rates are from the World Bank National accounts data files.</w:t>
      </w:r>
    </w:p>
    <w:p w14:paraId="35643A06" w14:textId="6112BF96" w:rsidR="00B50DF5" w:rsidRPr="006C6F80" w:rsidRDefault="00B50DF5">
      <w:pPr>
        <w:rPr>
          <w:color w:val="000000" w:themeColor="text1"/>
        </w:rPr>
      </w:pPr>
    </w:p>
    <w:p w14:paraId="74454FFD" w14:textId="0CB2440F" w:rsidR="00590AFF" w:rsidRPr="006C6F80" w:rsidRDefault="00F06B21" w:rsidP="00590AFF">
      <w:pPr>
        <w:pStyle w:val="Footnotes"/>
        <w:rPr>
          <w:color w:val="000000" w:themeColor="text1"/>
          <w:lang w:val="en-US"/>
        </w:rPr>
      </w:pPr>
      <w:r w:rsidRPr="006C6F80">
        <w:rPr>
          <w:noProof/>
          <w:color w:val="000000" w:themeColor="text1"/>
        </w:rPr>
        <w:drawing>
          <wp:anchor distT="0" distB="0" distL="114300" distR="114300" simplePos="0" relativeHeight="251658240" behindDoc="1" locked="0" layoutInCell="1" allowOverlap="1" wp14:anchorId="2DE9A979" wp14:editId="331B35B6">
            <wp:simplePos x="0" y="0"/>
            <wp:positionH relativeFrom="margin">
              <wp:align>center</wp:align>
            </wp:positionH>
            <wp:positionV relativeFrom="paragraph">
              <wp:posOffset>1905</wp:posOffset>
            </wp:positionV>
            <wp:extent cx="4643562" cy="3393817"/>
            <wp:effectExtent l="0" t="0" r="5080" b="0"/>
            <wp:wrapTight wrapText="bothSides">
              <wp:wrapPolygon edited="0">
                <wp:start x="0" y="0"/>
                <wp:lineTo x="0" y="21503"/>
                <wp:lineTo x="21565" y="21503"/>
                <wp:lineTo x="21565" y="0"/>
                <wp:lineTo x="0" y="0"/>
              </wp:wrapPolygon>
            </wp:wrapTight>
            <wp:docPr id="8" name="Picture 2">
              <a:extLst xmlns:a="http://schemas.openxmlformats.org/drawingml/2006/main">
                <a:ext uri="{FF2B5EF4-FFF2-40B4-BE49-F238E27FC236}">
                  <a16:creationId xmlns:a16="http://schemas.microsoft.com/office/drawing/2014/main" id="{51A69B7B-E1DF-2749-BC48-1BA03CF67A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1A69B7B-E1DF-2749-BC48-1BA03CF67AEE}"/>
                        </a:ext>
                      </a:extLst>
                    </pic:cNvPr>
                    <pic:cNvPicPr>
                      <a:picLocks noChangeAspect="1"/>
                    </pic:cNvPicPr>
                  </pic:nvPicPr>
                  <pic:blipFill>
                    <a:blip r:embed="rId14"/>
                    <a:stretch>
                      <a:fillRect/>
                    </a:stretch>
                  </pic:blipFill>
                  <pic:spPr>
                    <a:xfrm>
                      <a:off x="0" y="0"/>
                      <a:ext cx="4643562" cy="3393817"/>
                    </a:xfrm>
                    <a:prstGeom prst="rect">
                      <a:avLst/>
                    </a:prstGeom>
                  </pic:spPr>
                </pic:pic>
              </a:graphicData>
            </a:graphic>
            <wp14:sizeRelH relativeFrom="page">
              <wp14:pctWidth>0</wp14:pctWidth>
            </wp14:sizeRelH>
            <wp14:sizeRelV relativeFrom="page">
              <wp14:pctHeight>0</wp14:pctHeight>
            </wp14:sizeRelV>
          </wp:anchor>
        </w:drawing>
      </w:r>
    </w:p>
    <w:p w14:paraId="6E9A9ADA" w14:textId="77777777" w:rsidR="00590AFF" w:rsidRPr="006C6F80" w:rsidRDefault="00590AFF" w:rsidP="00590AFF">
      <w:pPr>
        <w:pStyle w:val="Footnotes"/>
        <w:rPr>
          <w:color w:val="000000" w:themeColor="text1"/>
          <w:lang w:val="en-US"/>
        </w:rPr>
      </w:pPr>
    </w:p>
    <w:p w14:paraId="23668103" w14:textId="77777777" w:rsidR="00590AFF" w:rsidRPr="006C6F80" w:rsidRDefault="00590AFF" w:rsidP="00590AFF">
      <w:pPr>
        <w:pStyle w:val="Footnotes"/>
        <w:rPr>
          <w:color w:val="000000" w:themeColor="text1"/>
          <w:lang w:val="en-US"/>
        </w:rPr>
      </w:pPr>
    </w:p>
    <w:p w14:paraId="1E7B92DA" w14:textId="77777777" w:rsidR="00590AFF" w:rsidRPr="006C6F80" w:rsidRDefault="00590AFF" w:rsidP="00590AFF">
      <w:pPr>
        <w:pStyle w:val="Footnotes"/>
        <w:rPr>
          <w:color w:val="000000" w:themeColor="text1"/>
          <w:lang w:val="en-US"/>
        </w:rPr>
      </w:pPr>
    </w:p>
    <w:p w14:paraId="52731178" w14:textId="77777777" w:rsidR="00590AFF" w:rsidRPr="006C6F80" w:rsidRDefault="00590AFF" w:rsidP="00590AFF">
      <w:pPr>
        <w:pStyle w:val="Footnotes"/>
        <w:rPr>
          <w:color w:val="000000" w:themeColor="text1"/>
          <w:lang w:val="en-US"/>
        </w:rPr>
      </w:pPr>
    </w:p>
    <w:p w14:paraId="6907C028" w14:textId="77777777" w:rsidR="00590AFF" w:rsidRPr="006C6F80" w:rsidRDefault="00590AFF" w:rsidP="00590AFF">
      <w:pPr>
        <w:pStyle w:val="Footnotes"/>
        <w:rPr>
          <w:color w:val="000000" w:themeColor="text1"/>
          <w:lang w:val="en-US"/>
        </w:rPr>
      </w:pPr>
    </w:p>
    <w:p w14:paraId="2FB08577" w14:textId="77777777" w:rsidR="00590AFF" w:rsidRPr="006C6F80" w:rsidRDefault="00590AFF" w:rsidP="00590AFF">
      <w:pPr>
        <w:pStyle w:val="Footnotes"/>
        <w:rPr>
          <w:color w:val="000000" w:themeColor="text1"/>
          <w:lang w:val="en-US"/>
        </w:rPr>
      </w:pPr>
    </w:p>
    <w:p w14:paraId="00E1B0C2" w14:textId="77777777" w:rsidR="00590AFF" w:rsidRPr="006C6F80" w:rsidRDefault="00590AFF" w:rsidP="00590AFF">
      <w:pPr>
        <w:pStyle w:val="Footnotes"/>
        <w:rPr>
          <w:color w:val="000000" w:themeColor="text1"/>
          <w:lang w:val="en-US"/>
        </w:rPr>
      </w:pPr>
    </w:p>
    <w:p w14:paraId="4F17E849" w14:textId="77777777" w:rsidR="00590AFF" w:rsidRPr="006C6F80" w:rsidRDefault="00590AFF" w:rsidP="00590AFF">
      <w:pPr>
        <w:pStyle w:val="Footnotes"/>
        <w:rPr>
          <w:color w:val="000000" w:themeColor="text1"/>
          <w:lang w:val="en-US"/>
        </w:rPr>
      </w:pPr>
    </w:p>
    <w:p w14:paraId="51DC6FB3" w14:textId="77777777" w:rsidR="00590AFF" w:rsidRPr="006C6F80" w:rsidRDefault="00590AFF" w:rsidP="00590AFF">
      <w:pPr>
        <w:pStyle w:val="Footnotes"/>
        <w:rPr>
          <w:color w:val="000000" w:themeColor="text1"/>
          <w:lang w:val="en-US"/>
        </w:rPr>
      </w:pPr>
    </w:p>
    <w:p w14:paraId="2FFAC6C5" w14:textId="77777777" w:rsidR="00590AFF" w:rsidRPr="006C6F80" w:rsidRDefault="00590AFF" w:rsidP="00590AFF">
      <w:pPr>
        <w:pStyle w:val="Footnotes"/>
        <w:rPr>
          <w:color w:val="000000" w:themeColor="text1"/>
          <w:lang w:val="en-US"/>
        </w:rPr>
      </w:pPr>
    </w:p>
    <w:p w14:paraId="4E9A15D9" w14:textId="77777777" w:rsidR="00590AFF" w:rsidRPr="006C6F80" w:rsidRDefault="00590AFF" w:rsidP="00590AFF">
      <w:pPr>
        <w:pStyle w:val="Footnotes"/>
        <w:rPr>
          <w:color w:val="000000" w:themeColor="text1"/>
          <w:lang w:val="en-US"/>
        </w:rPr>
      </w:pPr>
    </w:p>
    <w:p w14:paraId="5B19AF42" w14:textId="77777777" w:rsidR="00590AFF" w:rsidRPr="006C6F80" w:rsidRDefault="00590AFF" w:rsidP="00590AFF">
      <w:pPr>
        <w:pStyle w:val="Footnotes"/>
        <w:rPr>
          <w:color w:val="000000" w:themeColor="text1"/>
          <w:lang w:val="en-US"/>
        </w:rPr>
      </w:pPr>
    </w:p>
    <w:p w14:paraId="61756C9D" w14:textId="77777777" w:rsidR="00590AFF" w:rsidRPr="006C6F80" w:rsidRDefault="00590AFF" w:rsidP="00590AFF">
      <w:pPr>
        <w:pStyle w:val="Footnotes"/>
        <w:rPr>
          <w:color w:val="000000" w:themeColor="text1"/>
          <w:lang w:val="en-US"/>
        </w:rPr>
      </w:pPr>
    </w:p>
    <w:p w14:paraId="28A702A2" w14:textId="77777777" w:rsidR="00590AFF" w:rsidRPr="006C6F80" w:rsidRDefault="00590AFF" w:rsidP="00590AFF">
      <w:pPr>
        <w:pStyle w:val="Footnotes"/>
        <w:rPr>
          <w:color w:val="000000" w:themeColor="text1"/>
          <w:lang w:val="en-US"/>
        </w:rPr>
      </w:pPr>
    </w:p>
    <w:p w14:paraId="2E271F2F" w14:textId="77777777" w:rsidR="00590AFF" w:rsidRPr="006C6F80" w:rsidRDefault="00590AFF" w:rsidP="00590AFF">
      <w:pPr>
        <w:pStyle w:val="Footnotes"/>
        <w:rPr>
          <w:color w:val="000000" w:themeColor="text1"/>
          <w:lang w:val="en-US"/>
        </w:rPr>
      </w:pPr>
    </w:p>
    <w:p w14:paraId="229767CE" w14:textId="77777777" w:rsidR="00590AFF" w:rsidRPr="006C6F80" w:rsidRDefault="00590AFF" w:rsidP="00590AFF">
      <w:pPr>
        <w:pStyle w:val="Footnotes"/>
        <w:rPr>
          <w:color w:val="000000" w:themeColor="text1"/>
          <w:lang w:val="en-US"/>
        </w:rPr>
      </w:pPr>
    </w:p>
    <w:p w14:paraId="3E778A36" w14:textId="77777777" w:rsidR="00590AFF" w:rsidRPr="006C6F80" w:rsidRDefault="00590AFF" w:rsidP="00590AFF">
      <w:pPr>
        <w:pStyle w:val="Footnotes"/>
        <w:rPr>
          <w:color w:val="000000" w:themeColor="text1"/>
          <w:lang w:val="en-US"/>
        </w:rPr>
      </w:pPr>
    </w:p>
    <w:p w14:paraId="513FF589" w14:textId="77777777" w:rsidR="00590AFF" w:rsidRPr="006C6F80" w:rsidRDefault="00590AFF" w:rsidP="00590AFF">
      <w:pPr>
        <w:pStyle w:val="Footnotes"/>
        <w:rPr>
          <w:color w:val="000000" w:themeColor="text1"/>
          <w:lang w:val="en-US"/>
        </w:rPr>
      </w:pPr>
    </w:p>
    <w:p w14:paraId="3A9A3723" w14:textId="77777777" w:rsidR="00590AFF" w:rsidRPr="006C6F80" w:rsidRDefault="00590AFF" w:rsidP="00590AFF">
      <w:pPr>
        <w:pStyle w:val="Footnotes"/>
        <w:rPr>
          <w:color w:val="000000" w:themeColor="text1"/>
          <w:lang w:val="en-US"/>
        </w:rPr>
      </w:pPr>
    </w:p>
    <w:p w14:paraId="035769E8" w14:textId="77777777" w:rsidR="00590AFF" w:rsidRPr="006C6F80" w:rsidRDefault="00590AFF" w:rsidP="00590AFF">
      <w:pPr>
        <w:pStyle w:val="Footnotes"/>
        <w:rPr>
          <w:color w:val="000000" w:themeColor="text1"/>
          <w:lang w:val="en-US"/>
        </w:rPr>
      </w:pPr>
    </w:p>
    <w:p w14:paraId="03CBAC16" w14:textId="77777777" w:rsidR="00590AFF" w:rsidRPr="006C6F80" w:rsidRDefault="00590AFF" w:rsidP="00590AFF">
      <w:pPr>
        <w:pStyle w:val="Footnotes"/>
        <w:rPr>
          <w:color w:val="000000" w:themeColor="text1"/>
          <w:lang w:val="en-US"/>
        </w:rPr>
      </w:pPr>
    </w:p>
    <w:p w14:paraId="7DC82F97" w14:textId="77777777" w:rsidR="00590AFF" w:rsidRPr="006C6F80" w:rsidRDefault="00590AFF" w:rsidP="00590AFF">
      <w:pPr>
        <w:pStyle w:val="Footnotes"/>
        <w:rPr>
          <w:color w:val="000000" w:themeColor="text1"/>
          <w:lang w:val="en-US"/>
        </w:rPr>
      </w:pPr>
    </w:p>
    <w:p w14:paraId="5BAD18E3" w14:textId="77777777" w:rsidR="00590AFF" w:rsidRPr="006C6F80" w:rsidRDefault="00590AFF" w:rsidP="00590AFF">
      <w:pPr>
        <w:pStyle w:val="Footnotes"/>
        <w:rPr>
          <w:color w:val="000000" w:themeColor="text1"/>
          <w:lang w:val="en-US"/>
        </w:rPr>
      </w:pPr>
    </w:p>
    <w:p w14:paraId="226769D3" w14:textId="77777777" w:rsidR="00590AFF" w:rsidRPr="006C6F80" w:rsidRDefault="00590AFF" w:rsidP="00590AFF">
      <w:pPr>
        <w:pStyle w:val="Footnotes"/>
        <w:rPr>
          <w:color w:val="000000" w:themeColor="text1"/>
          <w:lang w:val="en-US"/>
        </w:rPr>
      </w:pPr>
    </w:p>
    <w:p w14:paraId="2B939E81" w14:textId="77777777" w:rsidR="00F06B21" w:rsidRPr="006C6F80" w:rsidRDefault="00F06B21" w:rsidP="00A0210D">
      <w:pPr>
        <w:pStyle w:val="Footnotes"/>
        <w:tabs>
          <w:tab w:val="left" w:pos="10080"/>
        </w:tabs>
        <w:ind w:right="346"/>
        <w:jc w:val="center"/>
        <w:rPr>
          <w:b/>
          <w:color w:val="000000" w:themeColor="text1"/>
          <w:lang w:val="en-US"/>
        </w:rPr>
      </w:pPr>
    </w:p>
    <w:p w14:paraId="22EEDABC" w14:textId="35E84B0A" w:rsidR="00590AFF" w:rsidRPr="006C6F80" w:rsidRDefault="00590AFF" w:rsidP="00A0210D">
      <w:pPr>
        <w:pStyle w:val="Footnotes"/>
        <w:tabs>
          <w:tab w:val="left" w:pos="10080"/>
        </w:tabs>
        <w:ind w:right="346"/>
        <w:jc w:val="center"/>
        <w:rPr>
          <w:b/>
          <w:color w:val="000000" w:themeColor="text1"/>
          <w:lang w:val="en-US"/>
        </w:rPr>
      </w:pPr>
      <w:r w:rsidRPr="006C6F80">
        <w:rPr>
          <w:b/>
          <w:color w:val="000000" w:themeColor="text1"/>
          <w:lang w:val="en-US"/>
        </w:rPr>
        <w:t>Figure A2</w:t>
      </w:r>
      <w:r w:rsidRPr="006C6F80">
        <w:rPr>
          <w:b/>
          <w:i/>
          <w:iCs/>
          <w:color w:val="000000" w:themeColor="text1"/>
          <w:lang w:val="en-US"/>
        </w:rPr>
        <w:t xml:space="preserve">. </w:t>
      </w:r>
      <w:r w:rsidRPr="006C6F80">
        <w:rPr>
          <w:b/>
          <w:color w:val="000000" w:themeColor="text1"/>
          <w:lang w:val="en-US"/>
        </w:rPr>
        <w:t>Balance plot of the propensity score.</w:t>
      </w:r>
    </w:p>
    <w:p w14:paraId="404A2435" w14:textId="66F17A17" w:rsidR="00590AFF" w:rsidRPr="006C6F80" w:rsidRDefault="00590AFF" w:rsidP="00A0210D">
      <w:pPr>
        <w:pStyle w:val="Footnotes"/>
        <w:tabs>
          <w:tab w:val="left" w:pos="10080"/>
        </w:tabs>
        <w:ind w:right="346"/>
        <w:rPr>
          <w:color w:val="000000" w:themeColor="text1"/>
          <w:lang w:val="en-US"/>
        </w:rPr>
      </w:pPr>
      <w:r w:rsidRPr="006C6F80">
        <w:rPr>
          <w:i/>
          <w:iCs/>
          <w:color w:val="000000" w:themeColor="text1"/>
          <w:lang w:val="en-US"/>
        </w:rPr>
        <w:t>Notes.</w:t>
      </w:r>
      <w:r w:rsidRPr="006C6F80">
        <w:rPr>
          <w:color w:val="000000" w:themeColor="text1"/>
          <w:lang w:val="en-US"/>
        </w:rPr>
        <w:t xml:space="preserve"> This figure reports the density of the propensity score between control (non-migrants) and treated units (return migrants). The left panel reports the density of the propensity score in the raw data, while the right panel reports the density of the propensity score after the matching</w:t>
      </w:r>
      <w:r w:rsidR="00A0210D" w:rsidRPr="006C6F80">
        <w:rPr>
          <w:color w:val="000000" w:themeColor="text1"/>
          <w:lang w:val="en-US"/>
        </w:rPr>
        <w:t xml:space="preserve"> using the nearest neighbor estimator. </w:t>
      </w:r>
    </w:p>
    <w:p w14:paraId="487E2C5C" w14:textId="320B9E6B" w:rsidR="00B01A30" w:rsidRPr="006C6F80" w:rsidRDefault="00590AFF" w:rsidP="006C2DD0">
      <w:pPr>
        <w:spacing w:after="200" w:line="276" w:lineRule="auto"/>
        <w:ind w:right="346"/>
        <w:rPr>
          <w:rFonts w:eastAsiaTheme="minorEastAsia"/>
          <w:color w:val="000000" w:themeColor="text1"/>
          <w:sz w:val="18"/>
          <w:szCs w:val="18"/>
          <w:lang w:eastAsia="fr-FR"/>
        </w:rPr>
      </w:pPr>
      <w:r w:rsidRPr="006C6F80">
        <w:rPr>
          <w:color w:val="000000" w:themeColor="text1"/>
        </w:rPr>
        <w:br w:type="page"/>
      </w:r>
    </w:p>
    <w:tbl>
      <w:tblPr>
        <w:tblW w:w="8213" w:type="dxa"/>
        <w:jc w:val="center"/>
        <w:tblLook w:val="04A0" w:firstRow="1" w:lastRow="0" w:firstColumn="1" w:lastColumn="0" w:noHBand="0" w:noVBand="1"/>
      </w:tblPr>
      <w:tblGrid>
        <w:gridCol w:w="3903"/>
        <w:gridCol w:w="2038"/>
        <w:gridCol w:w="2272"/>
      </w:tblGrid>
      <w:tr w:rsidR="00324B93" w:rsidRPr="006C6F80" w14:paraId="2910401C" w14:textId="77777777" w:rsidTr="00324B93">
        <w:trPr>
          <w:trHeight w:val="263"/>
          <w:jc w:val="center"/>
        </w:trPr>
        <w:tc>
          <w:tcPr>
            <w:tcW w:w="8213" w:type="dxa"/>
            <w:gridSpan w:val="3"/>
            <w:tcBorders>
              <w:top w:val="nil"/>
              <w:left w:val="nil"/>
              <w:bottom w:val="single" w:sz="4" w:space="0" w:color="auto"/>
              <w:right w:val="nil"/>
            </w:tcBorders>
            <w:shd w:val="clear" w:color="auto" w:fill="auto"/>
            <w:noWrap/>
            <w:vAlign w:val="bottom"/>
            <w:hideMark/>
          </w:tcPr>
          <w:p w14:paraId="540A4545" w14:textId="77777777" w:rsidR="00324B93" w:rsidRPr="006C6F80" w:rsidRDefault="00324B93" w:rsidP="00324B93">
            <w:pPr>
              <w:jc w:val="center"/>
              <w:rPr>
                <w:b/>
                <w:bCs/>
                <w:color w:val="000000" w:themeColor="text1"/>
                <w:sz w:val="20"/>
                <w:szCs w:val="20"/>
              </w:rPr>
            </w:pPr>
            <w:r w:rsidRPr="006C6F80">
              <w:rPr>
                <w:b/>
                <w:bCs/>
                <w:color w:val="000000" w:themeColor="text1"/>
                <w:sz w:val="20"/>
                <w:szCs w:val="20"/>
              </w:rPr>
              <w:lastRenderedPageBreak/>
              <w:t>Table A1: Mean hourly and monthly wage by occupation</w:t>
            </w:r>
          </w:p>
        </w:tc>
      </w:tr>
      <w:tr w:rsidR="00324B93" w:rsidRPr="006C6F80" w14:paraId="030D2433" w14:textId="77777777" w:rsidTr="00324B93">
        <w:trPr>
          <w:trHeight w:val="263"/>
          <w:jc w:val="center"/>
        </w:trPr>
        <w:tc>
          <w:tcPr>
            <w:tcW w:w="3903" w:type="dxa"/>
            <w:tcBorders>
              <w:top w:val="nil"/>
              <w:left w:val="nil"/>
              <w:bottom w:val="nil"/>
              <w:right w:val="nil"/>
            </w:tcBorders>
            <w:shd w:val="clear" w:color="auto" w:fill="auto"/>
            <w:noWrap/>
            <w:vAlign w:val="bottom"/>
            <w:hideMark/>
          </w:tcPr>
          <w:p w14:paraId="6F78360E" w14:textId="77777777" w:rsidR="00324B93" w:rsidRPr="006C6F80" w:rsidRDefault="00324B93" w:rsidP="00324B93">
            <w:pPr>
              <w:jc w:val="center"/>
              <w:rPr>
                <w:b/>
                <w:bCs/>
                <w:color w:val="000000" w:themeColor="text1"/>
                <w:sz w:val="20"/>
                <w:szCs w:val="20"/>
              </w:rPr>
            </w:pPr>
          </w:p>
        </w:tc>
        <w:tc>
          <w:tcPr>
            <w:tcW w:w="2038" w:type="dxa"/>
            <w:tcBorders>
              <w:top w:val="nil"/>
              <w:left w:val="nil"/>
              <w:bottom w:val="nil"/>
              <w:right w:val="nil"/>
            </w:tcBorders>
            <w:shd w:val="clear" w:color="auto" w:fill="auto"/>
            <w:noWrap/>
            <w:vAlign w:val="bottom"/>
            <w:hideMark/>
          </w:tcPr>
          <w:p w14:paraId="71BEA6A7" w14:textId="77777777" w:rsidR="00324B93" w:rsidRPr="006C6F80" w:rsidRDefault="00324B93" w:rsidP="00324B93">
            <w:pPr>
              <w:jc w:val="center"/>
              <w:rPr>
                <w:color w:val="000000" w:themeColor="text1"/>
                <w:sz w:val="20"/>
                <w:szCs w:val="20"/>
              </w:rPr>
            </w:pPr>
            <w:r w:rsidRPr="006C6F80">
              <w:rPr>
                <w:color w:val="000000" w:themeColor="text1"/>
                <w:sz w:val="20"/>
                <w:szCs w:val="20"/>
              </w:rPr>
              <w:t>(1)</w:t>
            </w:r>
          </w:p>
        </w:tc>
        <w:tc>
          <w:tcPr>
            <w:tcW w:w="2271" w:type="dxa"/>
            <w:tcBorders>
              <w:top w:val="nil"/>
              <w:left w:val="nil"/>
              <w:bottom w:val="nil"/>
              <w:right w:val="nil"/>
            </w:tcBorders>
            <w:shd w:val="clear" w:color="auto" w:fill="auto"/>
            <w:noWrap/>
            <w:vAlign w:val="bottom"/>
            <w:hideMark/>
          </w:tcPr>
          <w:p w14:paraId="3A0C4057" w14:textId="77777777" w:rsidR="00324B93" w:rsidRPr="006C6F80" w:rsidRDefault="00324B93" w:rsidP="00324B93">
            <w:pPr>
              <w:jc w:val="center"/>
              <w:rPr>
                <w:color w:val="000000" w:themeColor="text1"/>
                <w:sz w:val="20"/>
                <w:szCs w:val="20"/>
              </w:rPr>
            </w:pPr>
            <w:r w:rsidRPr="006C6F80">
              <w:rPr>
                <w:color w:val="000000" w:themeColor="text1"/>
                <w:sz w:val="20"/>
                <w:szCs w:val="20"/>
              </w:rPr>
              <w:t>(2)</w:t>
            </w:r>
          </w:p>
        </w:tc>
      </w:tr>
      <w:tr w:rsidR="00324B93" w:rsidRPr="006C6F80" w14:paraId="044BFEC2" w14:textId="77777777" w:rsidTr="00324B93">
        <w:trPr>
          <w:trHeight w:val="263"/>
          <w:jc w:val="center"/>
        </w:trPr>
        <w:tc>
          <w:tcPr>
            <w:tcW w:w="3903" w:type="dxa"/>
            <w:tcBorders>
              <w:top w:val="nil"/>
              <w:left w:val="nil"/>
              <w:bottom w:val="single" w:sz="4" w:space="0" w:color="auto"/>
              <w:right w:val="nil"/>
            </w:tcBorders>
            <w:shd w:val="clear" w:color="auto" w:fill="auto"/>
            <w:noWrap/>
            <w:vAlign w:val="bottom"/>
            <w:hideMark/>
          </w:tcPr>
          <w:p w14:paraId="2A325CCB" w14:textId="77777777" w:rsidR="00324B93" w:rsidRPr="006C6F80" w:rsidRDefault="00324B93" w:rsidP="00324B93">
            <w:pPr>
              <w:rPr>
                <w:color w:val="000000" w:themeColor="text1"/>
                <w:sz w:val="20"/>
                <w:szCs w:val="20"/>
              </w:rPr>
            </w:pPr>
            <w:r w:rsidRPr="006C6F80">
              <w:rPr>
                <w:color w:val="000000" w:themeColor="text1"/>
                <w:sz w:val="20"/>
                <w:szCs w:val="20"/>
              </w:rPr>
              <w:t>Occupation</w:t>
            </w:r>
          </w:p>
        </w:tc>
        <w:tc>
          <w:tcPr>
            <w:tcW w:w="2038" w:type="dxa"/>
            <w:tcBorders>
              <w:top w:val="nil"/>
              <w:left w:val="nil"/>
              <w:bottom w:val="single" w:sz="4" w:space="0" w:color="auto"/>
              <w:right w:val="nil"/>
            </w:tcBorders>
            <w:shd w:val="clear" w:color="auto" w:fill="auto"/>
            <w:noWrap/>
            <w:vAlign w:val="bottom"/>
            <w:hideMark/>
          </w:tcPr>
          <w:p w14:paraId="691EAE4A" w14:textId="77777777" w:rsidR="00324B93" w:rsidRPr="006C6F80" w:rsidRDefault="00324B93" w:rsidP="00324B93">
            <w:pPr>
              <w:jc w:val="center"/>
              <w:rPr>
                <w:color w:val="000000" w:themeColor="text1"/>
                <w:sz w:val="20"/>
                <w:szCs w:val="20"/>
              </w:rPr>
            </w:pPr>
            <w:r w:rsidRPr="006C6F80">
              <w:rPr>
                <w:color w:val="000000" w:themeColor="text1"/>
                <w:sz w:val="20"/>
                <w:szCs w:val="20"/>
              </w:rPr>
              <w:t>Hourly wage</w:t>
            </w:r>
          </w:p>
        </w:tc>
        <w:tc>
          <w:tcPr>
            <w:tcW w:w="2271" w:type="dxa"/>
            <w:tcBorders>
              <w:top w:val="nil"/>
              <w:left w:val="nil"/>
              <w:bottom w:val="single" w:sz="4" w:space="0" w:color="auto"/>
              <w:right w:val="nil"/>
            </w:tcBorders>
            <w:shd w:val="clear" w:color="auto" w:fill="auto"/>
            <w:noWrap/>
            <w:vAlign w:val="bottom"/>
            <w:hideMark/>
          </w:tcPr>
          <w:p w14:paraId="591135DB" w14:textId="77777777" w:rsidR="00324B93" w:rsidRPr="006C6F80" w:rsidRDefault="00324B93" w:rsidP="00324B93">
            <w:pPr>
              <w:jc w:val="center"/>
              <w:rPr>
                <w:color w:val="000000" w:themeColor="text1"/>
                <w:sz w:val="20"/>
                <w:szCs w:val="20"/>
              </w:rPr>
            </w:pPr>
            <w:r w:rsidRPr="006C6F80">
              <w:rPr>
                <w:color w:val="000000" w:themeColor="text1"/>
                <w:sz w:val="20"/>
                <w:szCs w:val="20"/>
              </w:rPr>
              <w:t>Monthly wage</w:t>
            </w:r>
          </w:p>
        </w:tc>
      </w:tr>
      <w:tr w:rsidR="00324B93" w:rsidRPr="006C6F80" w14:paraId="5621351E" w14:textId="77777777" w:rsidTr="00324B93">
        <w:trPr>
          <w:trHeight w:val="263"/>
          <w:jc w:val="center"/>
        </w:trPr>
        <w:tc>
          <w:tcPr>
            <w:tcW w:w="3903" w:type="dxa"/>
            <w:tcBorders>
              <w:top w:val="nil"/>
              <w:left w:val="nil"/>
              <w:bottom w:val="nil"/>
              <w:right w:val="nil"/>
            </w:tcBorders>
            <w:shd w:val="clear" w:color="auto" w:fill="auto"/>
            <w:noWrap/>
            <w:vAlign w:val="bottom"/>
            <w:hideMark/>
          </w:tcPr>
          <w:p w14:paraId="7279170A" w14:textId="77777777" w:rsidR="00324B93" w:rsidRPr="006C6F80" w:rsidRDefault="00324B93" w:rsidP="00324B93">
            <w:pPr>
              <w:rPr>
                <w:color w:val="000000" w:themeColor="text1"/>
                <w:sz w:val="20"/>
                <w:szCs w:val="20"/>
              </w:rPr>
            </w:pPr>
            <w:r w:rsidRPr="006C6F80">
              <w:rPr>
                <w:color w:val="000000" w:themeColor="text1"/>
                <w:sz w:val="20"/>
                <w:szCs w:val="20"/>
              </w:rPr>
              <w:t>Agriculture</w:t>
            </w:r>
          </w:p>
        </w:tc>
        <w:tc>
          <w:tcPr>
            <w:tcW w:w="2038" w:type="dxa"/>
            <w:tcBorders>
              <w:top w:val="nil"/>
              <w:left w:val="nil"/>
              <w:bottom w:val="nil"/>
              <w:right w:val="nil"/>
            </w:tcBorders>
            <w:shd w:val="clear" w:color="auto" w:fill="auto"/>
            <w:noWrap/>
            <w:vAlign w:val="center"/>
            <w:hideMark/>
          </w:tcPr>
          <w:p w14:paraId="2A75CE2D" w14:textId="77777777" w:rsidR="00324B93" w:rsidRPr="006C6F80" w:rsidRDefault="00324B93" w:rsidP="00324B93">
            <w:pPr>
              <w:jc w:val="center"/>
              <w:rPr>
                <w:color w:val="000000" w:themeColor="text1"/>
                <w:sz w:val="20"/>
                <w:szCs w:val="20"/>
              </w:rPr>
            </w:pPr>
            <w:r w:rsidRPr="006C6F80">
              <w:rPr>
                <w:color w:val="000000" w:themeColor="text1"/>
                <w:sz w:val="20"/>
                <w:szCs w:val="20"/>
              </w:rPr>
              <w:t>4.636</w:t>
            </w:r>
          </w:p>
        </w:tc>
        <w:tc>
          <w:tcPr>
            <w:tcW w:w="2271" w:type="dxa"/>
            <w:tcBorders>
              <w:top w:val="nil"/>
              <w:left w:val="nil"/>
              <w:bottom w:val="nil"/>
              <w:right w:val="nil"/>
            </w:tcBorders>
            <w:shd w:val="clear" w:color="auto" w:fill="auto"/>
            <w:noWrap/>
            <w:vAlign w:val="center"/>
            <w:hideMark/>
          </w:tcPr>
          <w:p w14:paraId="04734B6D" w14:textId="77777777" w:rsidR="00324B93" w:rsidRPr="006C6F80" w:rsidRDefault="00324B93" w:rsidP="00324B93">
            <w:pPr>
              <w:jc w:val="center"/>
              <w:rPr>
                <w:color w:val="000000" w:themeColor="text1"/>
                <w:sz w:val="20"/>
                <w:szCs w:val="20"/>
              </w:rPr>
            </w:pPr>
            <w:r w:rsidRPr="006C6F80">
              <w:rPr>
                <w:color w:val="000000" w:themeColor="text1"/>
                <w:sz w:val="20"/>
                <w:szCs w:val="20"/>
              </w:rPr>
              <w:t>762.954</w:t>
            </w:r>
          </w:p>
        </w:tc>
      </w:tr>
      <w:tr w:rsidR="00324B93" w:rsidRPr="006C6F80" w14:paraId="1C6AF2DB" w14:textId="77777777" w:rsidTr="00324B93">
        <w:trPr>
          <w:trHeight w:val="263"/>
          <w:jc w:val="center"/>
        </w:trPr>
        <w:tc>
          <w:tcPr>
            <w:tcW w:w="3903" w:type="dxa"/>
            <w:tcBorders>
              <w:top w:val="nil"/>
              <w:left w:val="nil"/>
              <w:bottom w:val="nil"/>
              <w:right w:val="nil"/>
            </w:tcBorders>
            <w:shd w:val="clear" w:color="auto" w:fill="auto"/>
            <w:noWrap/>
            <w:vAlign w:val="bottom"/>
            <w:hideMark/>
          </w:tcPr>
          <w:p w14:paraId="52FF934B" w14:textId="77777777" w:rsidR="00324B93" w:rsidRPr="006C6F80" w:rsidRDefault="00324B93" w:rsidP="00324B93">
            <w:pPr>
              <w:jc w:val="center"/>
              <w:rPr>
                <w:color w:val="000000" w:themeColor="text1"/>
                <w:sz w:val="20"/>
                <w:szCs w:val="20"/>
              </w:rPr>
            </w:pPr>
          </w:p>
        </w:tc>
        <w:tc>
          <w:tcPr>
            <w:tcW w:w="2038" w:type="dxa"/>
            <w:tcBorders>
              <w:top w:val="nil"/>
              <w:left w:val="nil"/>
              <w:bottom w:val="nil"/>
              <w:right w:val="nil"/>
            </w:tcBorders>
            <w:shd w:val="clear" w:color="auto" w:fill="auto"/>
            <w:noWrap/>
            <w:vAlign w:val="center"/>
            <w:hideMark/>
          </w:tcPr>
          <w:p w14:paraId="31C28475" w14:textId="77777777" w:rsidR="00324B93" w:rsidRPr="006C6F80" w:rsidRDefault="00324B93" w:rsidP="00324B93">
            <w:pPr>
              <w:jc w:val="center"/>
              <w:rPr>
                <w:color w:val="000000" w:themeColor="text1"/>
                <w:sz w:val="20"/>
                <w:szCs w:val="20"/>
              </w:rPr>
            </w:pPr>
            <w:r w:rsidRPr="006C6F80">
              <w:rPr>
                <w:color w:val="000000" w:themeColor="text1"/>
                <w:sz w:val="20"/>
                <w:szCs w:val="20"/>
              </w:rPr>
              <w:t>(0.317)</w:t>
            </w:r>
          </w:p>
        </w:tc>
        <w:tc>
          <w:tcPr>
            <w:tcW w:w="2271" w:type="dxa"/>
            <w:tcBorders>
              <w:top w:val="nil"/>
              <w:left w:val="nil"/>
              <w:bottom w:val="nil"/>
              <w:right w:val="nil"/>
            </w:tcBorders>
            <w:shd w:val="clear" w:color="auto" w:fill="auto"/>
            <w:noWrap/>
            <w:vAlign w:val="center"/>
            <w:hideMark/>
          </w:tcPr>
          <w:p w14:paraId="0E6038AD" w14:textId="77777777" w:rsidR="00324B93" w:rsidRPr="006C6F80" w:rsidRDefault="00324B93" w:rsidP="00324B93">
            <w:pPr>
              <w:jc w:val="center"/>
              <w:rPr>
                <w:color w:val="000000" w:themeColor="text1"/>
                <w:sz w:val="20"/>
                <w:szCs w:val="20"/>
              </w:rPr>
            </w:pPr>
            <w:r w:rsidRPr="006C6F80">
              <w:rPr>
                <w:color w:val="000000" w:themeColor="text1"/>
                <w:sz w:val="20"/>
                <w:szCs w:val="20"/>
              </w:rPr>
              <w:t>(50.052)</w:t>
            </w:r>
          </w:p>
        </w:tc>
      </w:tr>
      <w:tr w:rsidR="00324B93" w:rsidRPr="006C6F80" w14:paraId="75950585" w14:textId="77777777" w:rsidTr="00324B93">
        <w:trPr>
          <w:trHeight w:val="263"/>
          <w:jc w:val="center"/>
        </w:trPr>
        <w:tc>
          <w:tcPr>
            <w:tcW w:w="3903" w:type="dxa"/>
            <w:tcBorders>
              <w:top w:val="nil"/>
              <w:left w:val="nil"/>
              <w:bottom w:val="nil"/>
              <w:right w:val="nil"/>
            </w:tcBorders>
            <w:shd w:val="clear" w:color="auto" w:fill="auto"/>
            <w:noWrap/>
            <w:vAlign w:val="bottom"/>
            <w:hideMark/>
          </w:tcPr>
          <w:p w14:paraId="4DF38344" w14:textId="77777777" w:rsidR="00324B93" w:rsidRPr="006C6F80" w:rsidRDefault="00324B93" w:rsidP="00324B93">
            <w:pPr>
              <w:rPr>
                <w:color w:val="000000" w:themeColor="text1"/>
                <w:sz w:val="20"/>
                <w:szCs w:val="20"/>
              </w:rPr>
            </w:pPr>
            <w:r w:rsidRPr="006C6F80">
              <w:rPr>
                <w:color w:val="000000" w:themeColor="text1"/>
                <w:sz w:val="20"/>
                <w:szCs w:val="20"/>
              </w:rPr>
              <w:t>Low-skilled blue-collar</w:t>
            </w:r>
          </w:p>
        </w:tc>
        <w:tc>
          <w:tcPr>
            <w:tcW w:w="2038" w:type="dxa"/>
            <w:tcBorders>
              <w:top w:val="nil"/>
              <w:left w:val="nil"/>
              <w:bottom w:val="nil"/>
              <w:right w:val="nil"/>
            </w:tcBorders>
            <w:shd w:val="clear" w:color="auto" w:fill="auto"/>
            <w:noWrap/>
            <w:vAlign w:val="center"/>
            <w:hideMark/>
          </w:tcPr>
          <w:p w14:paraId="11FF9B07" w14:textId="77777777" w:rsidR="00324B93" w:rsidRPr="006C6F80" w:rsidRDefault="00324B93" w:rsidP="00324B93">
            <w:pPr>
              <w:jc w:val="center"/>
              <w:rPr>
                <w:color w:val="000000" w:themeColor="text1"/>
                <w:sz w:val="20"/>
                <w:szCs w:val="20"/>
              </w:rPr>
            </w:pPr>
            <w:r w:rsidRPr="006C6F80">
              <w:rPr>
                <w:color w:val="000000" w:themeColor="text1"/>
                <w:sz w:val="20"/>
                <w:szCs w:val="20"/>
              </w:rPr>
              <w:t>6.867</w:t>
            </w:r>
          </w:p>
        </w:tc>
        <w:tc>
          <w:tcPr>
            <w:tcW w:w="2271" w:type="dxa"/>
            <w:tcBorders>
              <w:top w:val="nil"/>
              <w:left w:val="nil"/>
              <w:bottom w:val="nil"/>
              <w:right w:val="nil"/>
            </w:tcBorders>
            <w:shd w:val="clear" w:color="auto" w:fill="auto"/>
            <w:noWrap/>
            <w:vAlign w:val="center"/>
            <w:hideMark/>
          </w:tcPr>
          <w:p w14:paraId="15EB0E6C" w14:textId="77777777" w:rsidR="00324B93" w:rsidRPr="006C6F80" w:rsidRDefault="00324B93" w:rsidP="00324B93">
            <w:pPr>
              <w:jc w:val="center"/>
              <w:rPr>
                <w:color w:val="000000" w:themeColor="text1"/>
                <w:sz w:val="20"/>
                <w:szCs w:val="20"/>
              </w:rPr>
            </w:pPr>
            <w:r w:rsidRPr="006C6F80">
              <w:rPr>
                <w:color w:val="000000" w:themeColor="text1"/>
                <w:sz w:val="20"/>
                <w:szCs w:val="20"/>
              </w:rPr>
              <w:t>1120.927</w:t>
            </w:r>
          </w:p>
        </w:tc>
      </w:tr>
      <w:tr w:rsidR="00324B93" w:rsidRPr="006C6F80" w14:paraId="6C7DBB24" w14:textId="77777777" w:rsidTr="00324B93">
        <w:trPr>
          <w:trHeight w:val="263"/>
          <w:jc w:val="center"/>
        </w:trPr>
        <w:tc>
          <w:tcPr>
            <w:tcW w:w="3903" w:type="dxa"/>
            <w:tcBorders>
              <w:top w:val="nil"/>
              <w:left w:val="nil"/>
              <w:bottom w:val="nil"/>
              <w:right w:val="nil"/>
            </w:tcBorders>
            <w:shd w:val="clear" w:color="auto" w:fill="auto"/>
            <w:noWrap/>
            <w:vAlign w:val="bottom"/>
            <w:hideMark/>
          </w:tcPr>
          <w:p w14:paraId="7101B9AC" w14:textId="77777777" w:rsidR="00324B93" w:rsidRPr="006C6F80" w:rsidRDefault="00324B93" w:rsidP="00324B93">
            <w:pPr>
              <w:jc w:val="center"/>
              <w:rPr>
                <w:color w:val="000000" w:themeColor="text1"/>
                <w:sz w:val="20"/>
                <w:szCs w:val="20"/>
              </w:rPr>
            </w:pPr>
          </w:p>
        </w:tc>
        <w:tc>
          <w:tcPr>
            <w:tcW w:w="2038" w:type="dxa"/>
            <w:tcBorders>
              <w:top w:val="nil"/>
              <w:left w:val="nil"/>
              <w:bottom w:val="nil"/>
              <w:right w:val="nil"/>
            </w:tcBorders>
            <w:shd w:val="clear" w:color="auto" w:fill="auto"/>
            <w:noWrap/>
            <w:vAlign w:val="center"/>
            <w:hideMark/>
          </w:tcPr>
          <w:p w14:paraId="6A3CED26" w14:textId="77777777" w:rsidR="00324B93" w:rsidRPr="006C6F80" w:rsidRDefault="00324B93" w:rsidP="00324B93">
            <w:pPr>
              <w:jc w:val="center"/>
              <w:rPr>
                <w:color w:val="000000" w:themeColor="text1"/>
                <w:sz w:val="20"/>
                <w:szCs w:val="20"/>
              </w:rPr>
            </w:pPr>
            <w:r w:rsidRPr="006C6F80">
              <w:rPr>
                <w:color w:val="000000" w:themeColor="text1"/>
                <w:sz w:val="20"/>
                <w:szCs w:val="20"/>
              </w:rPr>
              <w:t>(0.880)</w:t>
            </w:r>
          </w:p>
        </w:tc>
        <w:tc>
          <w:tcPr>
            <w:tcW w:w="2271" w:type="dxa"/>
            <w:tcBorders>
              <w:top w:val="nil"/>
              <w:left w:val="nil"/>
              <w:bottom w:val="nil"/>
              <w:right w:val="nil"/>
            </w:tcBorders>
            <w:shd w:val="clear" w:color="auto" w:fill="auto"/>
            <w:noWrap/>
            <w:vAlign w:val="center"/>
            <w:hideMark/>
          </w:tcPr>
          <w:p w14:paraId="3E62B9C6" w14:textId="77777777" w:rsidR="00324B93" w:rsidRPr="006C6F80" w:rsidRDefault="00324B93" w:rsidP="00324B93">
            <w:pPr>
              <w:jc w:val="center"/>
              <w:rPr>
                <w:color w:val="000000" w:themeColor="text1"/>
                <w:sz w:val="20"/>
                <w:szCs w:val="20"/>
              </w:rPr>
            </w:pPr>
            <w:r w:rsidRPr="006C6F80">
              <w:rPr>
                <w:color w:val="000000" w:themeColor="text1"/>
                <w:sz w:val="20"/>
                <w:szCs w:val="20"/>
              </w:rPr>
              <w:t>(104.618)</w:t>
            </w:r>
          </w:p>
        </w:tc>
      </w:tr>
      <w:tr w:rsidR="00324B93" w:rsidRPr="006C6F80" w14:paraId="0BA9AB45" w14:textId="77777777" w:rsidTr="00324B93">
        <w:trPr>
          <w:trHeight w:val="263"/>
          <w:jc w:val="center"/>
        </w:trPr>
        <w:tc>
          <w:tcPr>
            <w:tcW w:w="3903" w:type="dxa"/>
            <w:tcBorders>
              <w:top w:val="nil"/>
              <w:left w:val="nil"/>
              <w:bottom w:val="nil"/>
              <w:right w:val="nil"/>
            </w:tcBorders>
            <w:shd w:val="clear" w:color="auto" w:fill="auto"/>
            <w:noWrap/>
            <w:vAlign w:val="bottom"/>
            <w:hideMark/>
          </w:tcPr>
          <w:p w14:paraId="2E814898" w14:textId="77777777" w:rsidR="00324B93" w:rsidRPr="006C6F80" w:rsidRDefault="00324B93" w:rsidP="00324B93">
            <w:pPr>
              <w:rPr>
                <w:color w:val="000000" w:themeColor="text1"/>
                <w:sz w:val="20"/>
                <w:szCs w:val="20"/>
              </w:rPr>
            </w:pPr>
            <w:r w:rsidRPr="006C6F80">
              <w:rPr>
                <w:color w:val="000000" w:themeColor="text1"/>
                <w:sz w:val="20"/>
                <w:szCs w:val="20"/>
              </w:rPr>
              <w:t>High-skilled blue-collar</w:t>
            </w:r>
          </w:p>
        </w:tc>
        <w:tc>
          <w:tcPr>
            <w:tcW w:w="2038" w:type="dxa"/>
            <w:tcBorders>
              <w:top w:val="nil"/>
              <w:left w:val="nil"/>
              <w:bottom w:val="nil"/>
              <w:right w:val="nil"/>
            </w:tcBorders>
            <w:shd w:val="clear" w:color="auto" w:fill="auto"/>
            <w:noWrap/>
            <w:vAlign w:val="center"/>
            <w:hideMark/>
          </w:tcPr>
          <w:p w14:paraId="30CAB414" w14:textId="77777777" w:rsidR="00324B93" w:rsidRPr="006C6F80" w:rsidRDefault="00324B93" w:rsidP="00324B93">
            <w:pPr>
              <w:jc w:val="center"/>
              <w:rPr>
                <w:color w:val="000000" w:themeColor="text1"/>
                <w:sz w:val="20"/>
                <w:szCs w:val="20"/>
              </w:rPr>
            </w:pPr>
            <w:r w:rsidRPr="006C6F80">
              <w:rPr>
                <w:color w:val="000000" w:themeColor="text1"/>
                <w:sz w:val="20"/>
                <w:szCs w:val="20"/>
              </w:rPr>
              <w:t>7.401</w:t>
            </w:r>
          </w:p>
        </w:tc>
        <w:tc>
          <w:tcPr>
            <w:tcW w:w="2271" w:type="dxa"/>
            <w:tcBorders>
              <w:top w:val="nil"/>
              <w:left w:val="nil"/>
              <w:bottom w:val="nil"/>
              <w:right w:val="nil"/>
            </w:tcBorders>
            <w:shd w:val="clear" w:color="auto" w:fill="auto"/>
            <w:noWrap/>
            <w:vAlign w:val="center"/>
            <w:hideMark/>
          </w:tcPr>
          <w:p w14:paraId="6B6B3A54" w14:textId="77777777" w:rsidR="00324B93" w:rsidRPr="006C6F80" w:rsidRDefault="00324B93" w:rsidP="00324B93">
            <w:pPr>
              <w:jc w:val="center"/>
              <w:rPr>
                <w:color w:val="000000" w:themeColor="text1"/>
                <w:sz w:val="20"/>
                <w:szCs w:val="20"/>
              </w:rPr>
            </w:pPr>
            <w:r w:rsidRPr="006C6F80">
              <w:rPr>
                <w:color w:val="000000" w:themeColor="text1"/>
                <w:sz w:val="20"/>
                <w:szCs w:val="20"/>
              </w:rPr>
              <w:t>1159.705</w:t>
            </w:r>
          </w:p>
        </w:tc>
      </w:tr>
      <w:tr w:rsidR="00324B93" w:rsidRPr="006C6F80" w14:paraId="0061FFAB" w14:textId="77777777" w:rsidTr="00324B93">
        <w:trPr>
          <w:trHeight w:val="263"/>
          <w:jc w:val="center"/>
        </w:trPr>
        <w:tc>
          <w:tcPr>
            <w:tcW w:w="3903" w:type="dxa"/>
            <w:tcBorders>
              <w:top w:val="nil"/>
              <w:left w:val="nil"/>
              <w:bottom w:val="nil"/>
              <w:right w:val="nil"/>
            </w:tcBorders>
            <w:shd w:val="clear" w:color="auto" w:fill="auto"/>
            <w:noWrap/>
            <w:vAlign w:val="bottom"/>
            <w:hideMark/>
          </w:tcPr>
          <w:p w14:paraId="071C2832" w14:textId="77777777" w:rsidR="00324B93" w:rsidRPr="006C6F80" w:rsidRDefault="00324B93" w:rsidP="00324B93">
            <w:pPr>
              <w:jc w:val="center"/>
              <w:rPr>
                <w:color w:val="000000" w:themeColor="text1"/>
                <w:sz w:val="20"/>
                <w:szCs w:val="20"/>
              </w:rPr>
            </w:pPr>
          </w:p>
        </w:tc>
        <w:tc>
          <w:tcPr>
            <w:tcW w:w="2038" w:type="dxa"/>
            <w:tcBorders>
              <w:top w:val="nil"/>
              <w:left w:val="nil"/>
              <w:bottom w:val="nil"/>
              <w:right w:val="nil"/>
            </w:tcBorders>
            <w:shd w:val="clear" w:color="auto" w:fill="auto"/>
            <w:noWrap/>
            <w:vAlign w:val="center"/>
            <w:hideMark/>
          </w:tcPr>
          <w:p w14:paraId="5E3ECD7F" w14:textId="77777777" w:rsidR="00324B93" w:rsidRPr="006C6F80" w:rsidRDefault="00324B93" w:rsidP="00324B93">
            <w:pPr>
              <w:jc w:val="center"/>
              <w:rPr>
                <w:color w:val="000000" w:themeColor="text1"/>
                <w:sz w:val="20"/>
                <w:szCs w:val="20"/>
              </w:rPr>
            </w:pPr>
            <w:r w:rsidRPr="006C6F80">
              <w:rPr>
                <w:color w:val="000000" w:themeColor="text1"/>
                <w:sz w:val="20"/>
                <w:szCs w:val="20"/>
              </w:rPr>
              <w:t>(0.938)</w:t>
            </w:r>
          </w:p>
        </w:tc>
        <w:tc>
          <w:tcPr>
            <w:tcW w:w="2271" w:type="dxa"/>
            <w:tcBorders>
              <w:top w:val="nil"/>
              <w:left w:val="nil"/>
              <w:bottom w:val="nil"/>
              <w:right w:val="nil"/>
            </w:tcBorders>
            <w:shd w:val="clear" w:color="auto" w:fill="auto"/>
            <w:noWrap/>
            <w:vAlign w:val="center"/>
            <w:hideMark/>
          </w:tcPr>
          <w:p w14:paraId="2A5E57FB" w14:textId="77777777" w:rsidR="00324B93" w:rsidRPr="006C6F80" w:rsidRDefault="00324B93" w:rsidP="00324B93">
            <w:pPr>
              <w:jc w:val="center"/>
              <w:rPr>
                <w:color w:val="000000" w:themeColor="text1"/>
                <w:sz w:val="20"/>
                <w:szCs w:val="20"/>
              </w:rPr>
            </w:pPr>
            <w:r w:rsidRPr="006C6F80">
              <w:rPr>
                <w:color w:val="000000" w:themeColor="text1"/>
                <w:sz w:val="20"/>
                <w:szCs w:val="20"/>
              </w:rPr>
              <w:t>(85.194)</w:t>
            </w:r>
          </w:p>
        </w:tc>
      </w:tr>
      <w:tr w:rsidR="00324B93" w:rsidRPr="006C6F80" w14:paraId="639F395C" w14:textId="77777777" w:rsidTr="00324B93">
        <w:trPr>
          <w:trHeight w:val="263"/>
          <w:jc w:val="center"/>
        </w:trPr>
        <w:tc>
          <w:tcPr>
            <w:tcW w:w="3903" w:type="dxa"/>
            <w:tcBorders>
              <w:top w:val="nil"/>
              <w:left w:val="nil"/>
              <w:bottom w:val="nil"/>
              <w:right w:val="nil"/>
            </w:tcBorders>
            <w:shd w:val="clear" w:color="auto" w:fill="auto"/>
            <w:noWrap/>
            <w:vAlign w:val="bottom"/>
            <w:hideMark/>
          </w:tcPr>
          <w:p w14:paraId="4A9A0189" w14:textId="77777777" w:rsidR="00324B93" w:rsidRPr="006C6F80" w:rsidRDefault="00324B93" w:rsidP="00324B93">
            <w:pPr>
              <w:rPr>
                <w:color w:val="000000" w:themeColor="text1"/>
                <w:sz w:val="20"/>
                <w:szCs w:val="20"/>
              </w:rPr>
            </w:pPr>
            <w:r w:rsidRPr="006C6F80">
              <w:rPr>
                <w:color w:val="000000" w:themeColor="text1"/>
                <w:sz w:val="20"/>
                <w:szCs w:val="20"/>
              </w:rPr>
              <w:t>Low-skilled white-collar</w:t>
            </w:r>
          </w:p>
        </w:tc>
        <w:tc>
          <w:tcPr>
            <w:tcW w:w="2038" w:type="dxa"/>
            <w:tcBorders>
              <w:top w:val="nil"/>
              <w:left w:val="nil"/>
              <w:bottom w:val="nil"/>
              <w:right w:val="nil"/>
            </w:tcBorders>
            <w:shd w:val="clear" w:color="auto" w:fill="auto"/>
            <w:noWrap/>
            <w:vAlign w:val="center"/>
            <w:hideMark/>
          </w:tcPr>
          <w:p w14:paraId="1139CA60" w14:textId="77777777" w:rsidR="00324B93" w:rsidRPr="006C6F80" w:rsidRDefault="00324B93" w:rsidP="00324B93">
            <w:pPr>
              <w:jc w:val="center"/>
              <w:rPr>
                <w:color w:val="000000" w:themeColor="text1"/>
                <w:sz w:val="20"/>
                <w:szCs w:val="20"/>
              </w:rPr>
            </w:pPr>
            <w:r w:rsidRPr="006C6F80">
              <w:rPr>
                <w:color w:val="000000" w:themeColor="text1"/>
                <w:sz w:val="20"/>
                <w:szCs w:val="20"/>
              </w:rPr>
              <w:t>8.776</w:t>
            </w:r>
          </w:p>
        </w:tc>
        <w:tc>
          <w:tcPr>
            <w:tcW w:w="2271" w:type="dxa"/>
            <w:tcBorders>
              <w:top w:val="nil"/>
              <w:left w:val="nil"/>
              <w:bottom w:val="nil"/>
              <w:right w:val="nil"/>
            </w:tcBorders>
            <w:shd w:val="clear" w:color="auto" w:fill="auto"/>
            <w:noWrap/>
            <w:vAlign w:val="center"/>
            <w:hideMark/>
          </w:tcPr>
          <w:p w14:paraId="7115926C" w14:textId="77777777" w:rsidR="00324B93" w:rsidRPr="006C6F80" w:rsidRDefault="00324B93" w:rsidP="00324B93">
            <w:pPr>
              <w:jc w:val="center"/>
              <w:rPr>
                <w:color w:val="000000" w:themeColor="text1"/>
                <w:sz w:val="20"/>
                <w:szCs w:val="20"/>
              </w:rPr>
            </w:pPr>
            <w:r w:rsidRPr="006C6F80">
              <w:rPr>
                <w:color w:val="000000" w:themeColor="text1"/>
                <w:sz w:val="20"/>
                <w:szCs w:val="20"/>
              </w:rPr>
              <w:t>1238.527</w:t>
            </w:r>
          </w:p>
        </w:tc>
      </w:tr>
      <w:tr w:rsidR="00324B93" w:rsidRPr="006C6F80" w14:paraId="6B6BCBE9" w14:textId="77777777" w:rsidTr="00324B93">
        <w:trPr>
          <w:trHeight w:val="263"/>
          <w:jc w:val="center"/>
        </w:trPr>
        <w:tc>
          <w:tcPr>
            <w:tcW w:w="3903" w:type="dxa"/>
            <w:tcBorders>
              <w:top w:val="nil"/>
              <w:left w:val="nil"/>
              <w:bottom w:val="nil"/>
              <w:right w:val="nil"/>
            </w:tcBorders>
            <w:shd w:val="clear" w:color="auto" w:fill="auto"/>
            <w:noWrap/>
            <w:vAlign w:val="bottom"/>
            <w:hideMark/>
          </w:tcPr>
          <w:p w14:paraId="6E686FA3" w14:textId="77777777" w:rsidR="00324B93" w:rsidRPr="006C6F80" w:rsidRDefault="00324B93" w:rsidP="00324B93">
            <w:pPr>
              <w:jc w:val="center"/>
              <w:rPr>
                <w:color w:val="000000" w:themeColor="text1"/>
                <w:sz w:val="20"/>
                <w:szCs w:val="20"/>
              </w:rPr>
            </w:pPr>
          </w:p>
        </w:tc>
        <w:tc>
          <w:tcPr>
            <w:tcW w:w="2038" w:type="dxa"/>
            <w:tcBorders>
              <w:top w:val="nil"/>
              <w:left w:val="nil"/>
              <w:bottom w:val="nil"/>
              <w:right w:val="nil"/>
            </w:tcBorders>
            <w:shd w:val="clear" w:color="auto" w:fill="auto"/>
            <w:noWrap/>
            <w:vAlign w:val="center"/>
            <w:hideMark/>
          </w:tcPr>
          <w:p w14:paraId="378FABAA" w14:textId="77777777" w:rsidR="00324B93" w:rsidRPr="006C6F80" w:rsidRDefault="00324B93" w:rsidP="00324B93">
            <w:pPr>
              <w:jc w:val="center"/>
              <w:rPr>
                <w:color w:val="000000" w:themeColor="text1"/>
                <w:sz w:val="20"/>
                <w:szCs w:val="20"/>
              </w:rPr>
            </w:pPr>
            <w:r w:rsidRPr="006C6F80">
              <w:rPr>
                <w:color w:val="000000" w:themeColor="text1"/>
                <w:sz w:val="20"/>
                <w:szCs w:val="20"/>
              </w:rPr>
              <w:t>(1.583)</w:t>
            </w:r>
          </w:p>
        </w:tc>
        <w:tc>
          <w:tcPr>
            <w:tcW w:w="2271" w:type="dxa"/>
            <w:tcBorders>
              <w:top w:val="nil"/>
              <w:left w:val="nil"/>
              <w:bottom w:val="nil"/>
              <w:right w:val="nil"/>
            </w:tcBorders>
            <w:shd w:val="clear" w:color="auto" w:fill="auto"/>
            <w:noWrap/>
            <w:vAlign w:val="center"/>
            <w:hideMark/>
          </w:tcPr>
          <w:p w14:paraId="1DB95E85" w14:textId="77777777" w:rsidR="00324B93" w:rsidRPr="006C6F80" w:rsidRDefault="00324B93" w:rsidP="00324B93">
            <w:pPr>
              <w:jc w:val="center"/>
              <w:rPr>
                <w:color w:val="000000" w:themeColor="text1"/>
                <w:sz w:val="20"/>
                <w:szCs w:val="20"/>
              </w:rPr>
            </w:pPr>
            <w:r w:rsidRPr="006C6F80">
              <w:rPr>
                <w:color w:val="000000" w:themeColor="text1"/>
                <w:sz w:val="20"/>
                <w:szCs w:val="20"/>
              </w:rPr>
              <w:t>(96.934)</w:t>
            </w:r>
          </w:p>
        </w:tc>
      </w:tr>
      <w:tr w:rsidR="00324B93" w:rsidRPr="006C6F80" w14:paraId="7269C79C" w14:textId="77777777" w:rsidTr="00324B93">
        <w:trPr>
          <w:trHeight w:val="263"/>
          <w:jc w:val="center"/>
        </w:trPr>
        <w:tc>
          <w:tcPr>
            <w:tcW w:w="3903" w:type="dxa"/>
            <w:tcBorders>
              <w:top w:val="nil"/>
              <w:left w:val="nil"/>
              <w:bottom w:val="nil"/>
              <w:right w:val="nil"/>
            </w:tcBorders>
            <w:shd w:val="clear" w:color="auto" w:fill="auto"/>
            <w:noWrap/>
            <w:vAlign w:val="bottom"/>
            <w:hideMark/>
          </w:tcPr>
          <w:p w14:paraId="217AA14F" w14:textId="77777777" w:rsidR="00324B93" w:rsidRPr="006C6F80" w:rsidRDefault="00324B93" w:rsidP="00324B93">
            <w:pPr>
              <w:rPr>
                <w:color w:val="000000" w:themeColor="text1"/>
                <w:sz w:val="20"/>
                <w:szCs w:val="20"/>
              </w:rPr>
            </w:pPr>
            <w:r w:rsidRPr="006C6F80">
              <w:rPr>
                <w:color w:val="000000" w:themeColor="text1"/>
                <w:sz w:val="20"/>
                <w:szCs w:val="20"/>
              </w:rPr>
              <w:t>High-skilled white-collar</w:t>
            </w:r>
          </w:p>
        </w:tc>
        <w:tc>
          <w:tcPr>
            <w:tcW w:w="2038" w:type="dxa"/>
            <w:tcBorders>
              <w:top w:val="nil"/>
              <w:left w:val="nil"/>
              <w:bottom w:val="nil"/>
              <w:right w:val="nil"/>
            </w:tcBorders>
            <w:shd w:val="clear" w:color="auto" w:fill="auto"/>
            <w:noWrap/>
            <w:vAlign w:val="center"/>
            <w:hideMark/>
          </w:tcPr>
          <w:p w14:paraId="788B0A52" w14:textId="77777777" w:rsidR="00324B93" w:rsidRPr="006C6F80" w:rsidRDefault="00324B93" w:rsidP="00324B93">
            <w:pPr>
              <w:jc w:val="center"/>
              <w:rPr>
                <w:color w:val="000000" w:themeColor="text1"/>
                <w:sz w:val="20"/>
                <w:szCs w:val="20"/>
              </w:rPr>
            </w:pPr>
            <w:r w:rsidRPr="006C6F80">
              <w:rPr>
                <w:color w:val="000000" w:themeColor="text1"/>
                <w:sz w:val="20"/>
                <w:szCs w:val="20"/>
              </w:rPr>
              <w:t>11.354</w:t>
            </w:r>
          </w:p>
        </w:tc>
        <w:tc>
          <w:tcPr>
            <w:tcW w:w="2271" w:type="dxa"/>
            <w:tcBorders>
              <w:top w:val="nil"/>
              <w:left w:val="nil"/>
              <w:bottom w:val="nil"/>
              <w:right w:val="nil"/>
            </w:tcBorders>
            <w:shd w:val="clear" w:color="auto" w:fill="auto"/>
            <w:noWrap/>
            <w:vAlign w:val="center"/>
            <w:hideMark/>
          </w:tcPr>
          <w:p w14:paraId="0917D597" w14:textId="77777777" w:rsidR="00324B93" w:rsidRPr="006C6F80" w:rsidRDefault="00324B93" w:rsidP="00324B93">
            <w:pPr>
              <w:jc w:val="center"/>
              <w:rPr>
                <w:color w:val="000000" w:themeColor="text1"/>
                <w:sz w:val="20"/>
                <w:szCs w:val="20"/>
              </w:rPr>
            </w:pPr>
            <w:r w:rsidRPr="006C6F80">
              <w:rPr>
                <w:color w:val="000000" w:themeColor="text1"/>
                <w:sz w:val="20"/>
                <w:szCs w:val="20"/>
              </w:rPr>
              <w:t>1990.873</w:t>
            </w:r>
          </w:p>
        </w:tc>
      </w:tr>
      <w:tr w:rsidR="00324B93" w:rsidRPr="006C6F80" w14:paraId="0B90A5EA" w14:textId="77777777" w:rsidTr="00324B93">
        <w:trPr>
          <w:trHeight w:val="263"/>
          <w:jc w:val="center"/>
        </w:trPr>
        <w:tc>
          <w:tcPr>
            <w:tcW w:w="3903" w:type="dxa"/>
            <w:tcBorders>
              <w:top w:val="nil"/>
              <w:left w:val="nil"/>
              <w:bottom w:val="single" w:sz="4" w:space="0" w:color="auto"/>
              <w:right w:val="nil"/>
            </w:tcBorders>
            <w:shd w:val="clear" w:color="auto" w:fill="auto"/>
            <w:noWrap/>
            <w:vAlign w:val="bottom"/>
            <w:hideMark/>
          </w:tcPr>
          <w:p w14:paraId="5F1BAFFE" w14:textId="77777777" w:rsidR="00324B93" w:rsidRPr="006C6F80" w:rsidRDefault="00324B93" w:rsidP="00324B93">
            <w:pPr>
              <w:rPr>
                <w:color w:val="000000" w:themeColor="text1"/>
                <w:sz w:val="20"/>
                <w:szCs w:val="20"/>
              </w:rPr>
            </w:pPr>
            <w:r w:rsidRPr="006C6F80">
              <w:rPr>
                <w:color w:val="000000" w:themeColor="text1"/>
                <w:sz w:val="20"/>
                <w:szCs w:val="20"/>
              </w:rPr>
              <w:t> </w:t>
            </w:r>
          </w:p>
        </w:tc>
        <w:tc>
          <w:tcPr>
            <w:tcW w:w="2038" w:type="dxa"/>
            <w:tcBorders>
              <w:top w:val="nil"/>
              <w:left w:val="nil"/>
              <w:bottom w:val="single" w:sz="4" w:space="0" w:color="auto"/>
              <w:right w:val="nil"/>
            </w:tcBorders>
            <w:shd w:val="clear" w:color="auto" w:fill="auto"/>
            <w:noWrap/>
            <w:vAlign w:val="center"/>
            <w:hideMark/>
          </w:tcPr>
          <w:p w14:paraId="443B9B15" w14:textId="77777777" w:rsidR="00324B93" w:rsidRPr="006C6F80" w:rsidRDefault="00324B93" w:rsidP="00324B93">
            <w:pPr>
              <w:jc w:val="center"/>
              <w:rPr>
                <w:color w:val="000000" w:themeColor="text1"/>
                <w:sz w:val="20"/>
                <w:szCs w:val="20"/>
              </w:rPr>
            </w:pPr>
            <w:r w:rsidRPr="006C6F80">
              <w:rPr>
                <w:color w:val="000000" w:themeColor="text1"/>
                <w:sz w:val="20"/>
                <w:szCs w:val="20"/>
              </w:rPr>
              <w:t>(0.620)</w:t>
            </w:r>
          </w:p>
        </w:tc>
        <w:tc>
          <w:tcPr>
            <w:tcW w:w="2271" w:type="dxa"/>
            <w:tcBorders>
              <w:top w:val="nil"/>
              <w:left w:val="nil"/>
              <w:bottom w:val="single" w:sz="4" w:space="0" w:color="auto"/>
              <w:right w:val="nil"/>
            </w:tcBorders>
            <w:shd w:val="clear" w:color="auto" w:fill="auto"/>
            <w:noWrap/>
            <w:vAlign w:val="center"/>
            <w:hideMark/>
          </w:tcPr>
          <w:p w14:paraId="3DB95F7A" w14:textId="77777777" w:rsidR="00324B93" w:rsidRPr="006C6F80" w:rsidRDefault="00324B93" w:rsidP="00324B93">
            <w:pPr>
              <w:jc w:val="center"/>
              <w:rPr>
                <w:color w:val="000000" w:themeColor="text1"/>
                <w:sz w:val="20"/>
                <w:szCs w:val="20"/>
              </w:rPr>
            </w:pPr>
            <w:r w:rsidRPr="006C6F80">
              <w:rPr>
                <w:color w:val="000000" w:themeColor="text1"/>
                <w:sz w:val="20"/>
                <w:szCs w:val="20"/>
              </w:rPr>
              <w:t>(96.893)</w:t>
            </w:r>
          </w:p>
        </w:tc>
      </w:tr>
    </w:tbl>
    <w:p w14:paraId="211C0D68" w14:textId="0C22FFE8" w:rsidR="00B01A30" w:rsidRPr="006C6F80" w:rsidRDefault="00B01A30" w:rsidP="00324B93">
      <w:pPr>
        <w:pStyle w:val="FootnoteText"/>
        <w:tabs>
          <w:tab w:val="left" w:pos="8222"/>
          <w:tab w:val="left" w:pos="8820"/>
          <w:tab w:val="left" w:pos="8910"/>
        </w:tabs>
        <w:ind w:left="1170" w:right="1156"/>
        <w:jc w:val="both"/>
        <w:rPr>
          <w:rFonts w:asciiTheme="majorBidi" w:hAnsiTheme="majorBidi" w:cstheme="majorBidi"/>
          <w:color w:val="000000" w:themeColor="text1"/>
          <w:sz w:val="18"/>
          <w:szCs w:val="18"/>
          <w:lang w:val="en-US"/>
        </w:rPr>
      </w:pPr>
      <w:r w:rsidRPr="006C6F80">
        <w:rPr>
          <w:rFonts w:asciiTheme="majorBidi" w:hAnsiTheme="majorBidi" w:cstheme="majorBidi"/>
          <w:i/>
          <w:iCs/>
          <w:color w:val="000000" w:themeColor="text1"/>
          <w:sz w:val="18"/>
          <w:szCs w:val="18"/>
          <w:lang w:val="en-US"/>
        </w:rPr>
        <w:t>Notes.</w:t>
      </w:r>
      <w:r w:rsidRPr="006C6F80">
        <w:rPr>
          <w:rFonts w:asciiTheme="majorBidi" w:hAnsiTheme="majorBidi" w:cstheme="majorBidi"/>
          <w:color w:val="000000" w:themeColor="text1"/>
          <w:sz w:val="18"/>
          <w:szCs w:val="18"/>
          <w:lang w:val="en-US"/>
        </w:rPr>
        <w:t xml:space="preserve"> Hourly and monthly wages in 2012 are reported in Egyptian Pounds, by occupation. Standard errors are reported between brackets. </w:t>
      </w:r>
    </w:p>
    <w:p w14:paraId="7438DC2F" w14:textId="77777777" w:rsidR="000E4D9F" w:rsidRPr="006C6F80" w:rsidRDefault="000E4D9F" w:rsidP="00C236AB">
      <w:pPr>
        <w:pStyle w:val="FootnoteText"/>
        <w:tabs>
          <w:tab w:val="left" w:pos="8222"/>
          <w:tab w:val="left" w:pos="8789"/>
          <w:tab w:val="left" w:pos="8820"/>
        </w:tabs>
        <w:ind w:left="1620" w:right="1613"/>
        <w:jc w:val="both"/>
        <w:rPr>
          <w:rFonts w:asciiTheme="majorBidi" w:hAnsiTheme="majorBidi" w:cstheme="majorBidi"/>
          <w:color w:val="000000" w:themeColor="text1"/>
          <w:sz w:val="18"/>
          <w:szCs w:val="18"/>
          <w:lang w:val="en-US"/>
        </w:rPr>
      </w:pPr>
    </w:p>
    <w:tbl>
      <w:tblPr>
        <w:tblW w:w="8146" w:type="dxa"/>
        <w:jc w:val="center"/>
        <w:tblLook w:val="04A0" w:firstRow="1" w:lastRow="0" w:firstColumn="1" w:lastColumn="0" w:noHBand="0" w:noVBand="1"/>
      </w:tblPr>
      <w:tblGrid>
        <w:gridCol w:w="2739"/>
        <w:gridCol w:w="1802"/>
        <w:gridCol w:w="1802"/>
        <w:gridCol w:w="1803"/>
      </w:tblGrid>
      <w:tr w:rsidR="00D60817" w:rsidRPr="006C6F80" w14:paraId="5848DFC7" w14:textId="77777777" w:rsidTr="00D60817">
        <w:trPr>
          <w:trHeight w:val="262"/>
          <w:jc w:val="center"/>
        </w:trPr>
        <w:tc>
          <w:tcPr>
            <w:tcW w:w="8146" w:type="dxa"/>
            <w:gridSpan w:val="4"/>
            <w:tcBorders>
              <w:top w:val="nil"/>
              <w:left w:val="nil"/>
              <w:bottom w:val="single" w:sz="4" w:space="0" w:color="auto"/>
              <w:right w:val="nil"/>
            </w:tcBorders>
            <w:shd w:val="clear" w:color="auto" w:fill="auto"/>
            <w:vAlign w:val="center"/>
            <w:hideMark/>
          </w:tcPr>
          <w:p w14:paraId="1EFC8361" w14:textId="77777777" w:rsidR="00D60817" w:rsidRPr="006C6F80" w:rsidRDefault="00D60817" w:rsidP="00D60817">
            <w:pPr>
              <w:jc w:val="center"/>
              <w:rPr>
                <w:b/>
                <w:bCs/>
                <w:color w:val="000000" w:themeColor="text1"/>
                <w:sz w:val="20"/>
                <w:szCs w:val="20"/>
              </w:rPr>
            </w:pPr>
            <w:r w:rsidRPr="006C6F80">
              <w:rPr>
                <w:b/>
                <w:bCs/>
                <w:color w:val="000000" w:themeColor="text1"/>
                <w:sz w:val="20"/>
                <w:szCs w:val="20"/>
              </w:rPr>
              <w:t>Table A2: Robustness checks to clustering, first stage regressions for the 1960s cohort</w:t>
            </w:r>
          </w:p>
        </w:tc>
      </w:tr>
      <w:tr w:rsidR="00D60817" w:rsidRPr="006C6F80" w14:paraId="4E227AF4" w14:textId="77777777" w:rsidTr="00D60817">
        <w:trPr>
          <w:trHeight w:val="262"/>
          <w:jc w:val="center"/>
        </w:trPr>
        <w:tc>
          <w:tcPr>
            <w:tcW w:w="8146" w:type="dxa"/>
            <w:gridSpan w:val="4"/>
            <w:tcBorders>
              <w:top w:val="single" w:sz="4" w:space="0" w:color="auto"/>
              <w:left w:val="nil"/>
              <w:bottom w:val="single" w:sz="4" w:space="0" w:color="auto"/>
              <w:right w:val="nil"/>
            </w:tcBorders>
            <w:shd w:val="clear" w:color="auto" w:fill="auto"/>
            <w:noWrap/>
            <w:vAlign w:val="bottom"/>
            <w:hideMark/>
          </w:tcPr>
          <w:p w14:paraId="7EBDB054" w14:textId="77777777" w:rsidR="00D60817" w:rsidRPr="006C6F80" w:rsidRDefault="00D60817" w:rsidP="00D60817">
            <w:pPr>
              <w:jc w:val="center"/>
              <w:rPr>
                <w:b/>
                <w:bCs/>
                <w:color w:val="000000" w:themeColor="text1"/>
                <w:sz w:val="20"/>
                <w:szCs w:val="20"/>
              </w:rPr>
            </w:pPr>
            <w:r w:rsidRPr="006C6F80">
              <w:rPr>
                <w:b/>
                <w:bCs/>
                <w:color w:val="000000" w:themeColor="text1"/>
                <w:sz w:val="20"/>
                <w:szCs w:val="20"/>
              </w:rPr>
              <w:t>Panel A: Community level clustering</w:t>
            </w:r>
          </w:p>
        </w:tc>
      </w:tr>
      <w:tr w:rsidR="00D60817" w:rsidRPr="006C6F80" w14:paraId="7DDC73C6" w14:textId="77777777" w:rsidTr="00D60817">
        <w:trPr>
          <w:trHeight w:val="262"/>
          <w:jc w:val="center"/>
        </w:trPr>
        <w:tc>
          <w:tcPr>
            <w:tcW w:w="2739" w:type="dxa"/>
            <w:tcBorders>
              <w:top w:val="single" w:sz="4" w:space="0" w:color="auto"/>
              <w:left w:val="nil"/>
              <w:bottom w:val="nil"/>
              <w:right w:val="nil"/>
            </w:tcBorders>
            <w:shd w:val="clear" w:color="auto" w:fill="auto"/>
            <w:noWrap/>
            <w:vAlign w:val="bottom"/>
            <w:hideMark/>
          </w:tcPr>
          <w:p w14:paraId="1BD3C6F9" w14:textId="77777777" w:rsidR="00D60817" w:rsidRPr="006C6F80" w:rsidRDefault="00D60817" w:rsidP="00D60817">
            <w:pPr>
              <w:rPr>
                <w:color w:val="000000" w:themeColor="text1"/>
                <w:sz w:val="20"/>
                <w:szCs w:val="20"/>
              </w:rPr>
            </w:pPr>
            <w:r w:rsidRPr="006C6F80">
              <w:rPr>
                <w:color w:val="000000" w:themeColor="text1"/>
                <w:sz w:val="20"/>
                <w:szCs w:val="20"/>
              </w:rPr>
              <w:t> </w:t>
            </w:r>
          </w:p>
        </w:tc>
        <w:tc>
          <w:tcPr>
            <w:tcW w:w="1802" w:type="dxa"/>
            <w:tcBorders>
              <w:top w:val="single" w:sz="4" w:space="0" w:color="auto"/>
              <w:left w:val="nil"/>
              <w:bottom w:val="nil"/>
              <w:right w:val="nil"/>
            </w:tcBorders>
            <w:shd w:val="clear" w:color="auto" w:fill="auto"/>
            <w:noWrap/>
            <w:vAlign w:val="bottom"/>
            <w:hideMark/>
          </w:tcPr>
          <w:p w14:paraId="2684FA40" w14:textId="77777777" w:rsidR="00D60817" w:rsidRPr="006C6F80" w:rsidRDefault="00D60817" w:rsidP="00D60817">
            <w:pPr>
              <w:jc w:val="center"/>
              <w:rPr>
                <w:color w:val="000000" w:themeColor="text1"/>
                <w:sz w:val="20"/>
                <w:szCs w:val="20"/>
              </w:rPr>
            </w:pPr>
            <w:r w:rsidRPr="006C6F80">
              <w:rPr>
                <w:color w:val="000000" w:themeColor="text1"/>
                <w:sz w:val="20"/>
                <w:szCs w:val="20"/>
              </w:rPr>
              <w:t>(1)</w:t>
            </w:r>
          </w:p>
        </w:tc>
        <w:tc>
          <w:tcPr>
            <w:tcW w:w="1802" w:type="dxa"/>
            <w:tcBorders>
              <w:top w:val="single" w:sz="4" w:space="0" w:color="auto"/>
              <w:left w:val="nil"/>
              <w:bottom w:val="nil"/>
              <w:right w:val="nil"/>
            </w:tcBorders>
            <w:shd w:val="clear" w:color="auto" w:fill="auto"/>
            <w:noWrap/>
            <w:vAlign w:val="bottom"/>
            <w:hideMark/>
          </w:tcPr>
          <w:p w14:paraId="56814124" w14:textId="77777777" w:rsidR="00D60817" w:rsidRPr="006C6F80" w:rsidRDefault="00D60817" w:rsidP="00D60817">
            <w:pPr>
              <w:jc w:val="center"/>
              <w:rPr>
                <w:color w:val="000000" w:themeColor="text1"/>
                <w:sz w:val="20"/>
                <w:szCs w:val="20"/>
              </w:rPr>
            </w:pPr>
            <w:r w:rsidRPr="006C6F80">
              <w:rPr>
                <w:color w:val="000000" w:themeColor="text1"/>
                <w:sz w:val="20"/>
                <w:szCs w:val="20"/>
              </w:rPr>
              <w:t>(2)</w:t>
            </w:r>
          </w:p>
        </w:tc>
        <w:tc>
          <w:tcPr>
            <w:tcW w:w="1802" w:type="dxa"/>
            <w:tcBorders>
              <w:top w:val="single" w:sz="4" w:space="0" w:color="auto"/>
              <w:left w:val="nil"/>
              <w:bottom w:val="nil"/>
              <w:right w:val="nil"/>
            </w:tcBorders>
            <w:shd w:val="clear" w:color="auto" w:fill="auto"/>
            <w:noWrap/>
            <w:vAlign w:val="bottom"/>
            <w:hideMark/>
          </w:tcPr>
          <w:p w14:paraId="37ACDE64" w14:textId="77777777" w:rsidR="00D60817" w:rsidRPr="006C6F80" w:rsidRDefault="00D60817" w:rsidP="00D60817">
            <w:pPr>
              <w:jc w:val="center"/>
              <w:rPr>
                <w:color w:val="000000" w:themeColor="text1"/>
                <w:sz w:val="20"/>
                <w:szCs w:val="20"/>
              </w:rPr>
            </w:pPr>
            <w:r w:rsidRPr="006C6F80">
              <w:rPr>
                <w:color w:val="000000" w:themeColor="text1"/>
                <w:sz w:val="20"/>
                <w:szCs w:val="20"/>
              </w:rPr>
              <w:t>(3)</w:t>
            </w:r>
          </w:p>
        </w:tc>
      </w:tr>
      <w:tr w:rsidR="00D60817" w:rsidRPr="006C6F80" w14:paraId="77BFD7C5" w14:textId="77777777" w:rsidTr="00D60817">
        <w:trPr>
          <w:trHeight w:val="262"/>
          <w:jc w:val="center"/>
        </w:trPr>
        <w:tc>
          <w:tcPr>
            <w:tcW w:w="2739" w:type="dxa"/>
            <w:tcBorders>
              <w:top w:val="nil"/>
              <w:left w:val="nil"/>
              <w:bottom w:val="single" w:sz="4" w:space="0" w:color="auto"/>
              <w:right w:val="nil"/>
            </w:tcBorders>
            <w:shd w:val="clear" w:color="auto" w:fill="auto"/>
            <w:noWrap/>
            <w:vAlign w:val="bottom"/>
            <w:hideMark/>
          </w:tcPr>
          <w:p w14:paraId="0D525DC8" w14:textId="77777777" w:rsidR="00D60817" w:rsidRPr="006C6F80" w:rsidRDefault="00D60817" w:rsidP="00D60817">
            <w:pPr>
              <w:rPr>
                <w:color w:val="000000" w:themeColor="text1"/>
                <w:sz w:val="20"/>
                <w:szCs w:val="20"/>
              </w:rPr>
            </w:pPr>
            <w:r w:rsidRPr="006C6F80">
              <w:rPr>
                <w:color w:val="000000" w:themeColor="text1"/>
                <w:sz w:val="20"/>
                <w:szCs w:val="20"/>
              </w:rPr>
              <w:t>VARIABLES</w:t>
            </w:r>
          </w:p>
        </w:tc>
        <w:tc>
          <w:tcPr>
            <w:tcW w:w="1802" w:type="dxa"/>
            <w:tcBorders>
              <w:top w:val="nil"/>
              <w:left w:val="nil"/>
              <w:bottom w:val="single" w:sz="4" w:space="0" w:color="auto"/>
              <w:right w:val="nil"/>
            </w:tcBorders>
            <w:shd w:val="clear" w:color="auto" w:fill="auto"/>
            <w:noWrap/>
            <w:vAlign w:val="center"/>
            <w:hideMark/>
          </w:tcPr>
          <w:p w14:paraId="2BE47608" w14:textId="77777777" w:rsidR="00D60817" w:rsidRPr="006C6F80" w:rsidRDefault="00D60817" w:rsidP="00D60817">
            <w:pPr>
              <w:jc w:val="center"/>
              <w:rPr>
                <w:color w:val="000000" w:themeColor="text1"/>
                <w:sz w:val="20"/>
                <w:szCs w:val="20"/>
              </w:rPr>
            </w:pPr>
            <w:r w:rsidRPr="006C6F80">
              <w:rPr>
                <w:color w:val="000000" w:themeColor="text1"/>
                <w:sz w:val="20"/>
                <w:szCs w:val="20"/>
              </w:rPr>
              <w:t>Return migrant</w:t>
            </w:r>
          </w:p>
        </w:tc>
        <w:tc>
          <w:tcPr>
            <w:tcW w:w="1802" w:type="dxa"/>
            <w:tcBorders>
              <w:top w:val="nil"/>
              <w:left w:val="nil"/>
              <w:bottom w:val="single" w:sz="4" w:space="0" w:color="auto"/>
              <w:right w:val="nil"/>
            </w:tcBorders>
            <w:shd w:val="clear" w:color="auto" w:fill="auto"/>
            <w:noWrap/>
            <w:vAlign w:val="center"/>
            <w:hideMark/>
          </w:tcPr>
          <w:p w14:paraId="7690E978" w14:textId="77777777" w:rsidR="00D60817" w:rsidRPr="006C6F80" w:rsidRDefault="00D60817" w:rsidP="00D60817">
            <w:pPr>
              <w:jc w:val="center"/>
              <w:rPr>
                <w:color w:val="000000" w:themeColor="text1"/>
                <w:sz w:val="20"/>
                <w:szCs w:val="20"/>
              </w:rPr>
            </w:pPr>
            <w:r w:rsidRPr="006C6F80">
              <w:rPr>
                <w:color w:val="000000" w:themeColor="text1"/>
                <w:sz w:val="20"/>
                <w:szCs w:val="20"/>
              </w:rPr>
              <w:t>Return migrant</w:t>
            </w:r>
          </w:p>
        </w:tc>
        <w:tc>
          <w:tcPr>
            <w:tcW w:w="1802" w:type="dxa"/>
            <w:tcBorders>
              <w:top w:val="nil"/>
              <w:left w:val="nil"/>
              <w:bottom w:val="single" w:sz="4" w:space="0" w:color="auto"/>
              <w:right w:val="nil"/>
            </w:tcBorders>
            <w:shd w:val="clear" w:color="auto" w:fill="auto"/>
            <w:noWrap/>
            <w:vAlign w:val="center"/>
            <w:hideMark/>
          </w:tcPr>
          <w:p w14:paraId="30599542" w14:textId="77777777" w:rsidR="00D60817" w:rsidRPr="006C6F80" w:rsidRDefault="00D60817" w:rsidP="00D60817">
            <w:pPr>
              <w:jc w:val="center"/>
              <w:rPr>
                <w:color w:val="000000" w:themeColor="text1"/>
                <w:sz w:val="20"/>
                <w:szCs w:val="20"/>
              </w:rPr>
            </w:pPr>
            <w:r w:rsidRPr="006C6F80">
              <w:rPr>
                <w:color w:val="000000" w:themeColor="text1"/>
                <w:sz w:val="20"/>
                <w:szCs w:val="20"/>
              </w:rPr>
              <w:t>Return migrant</w:t>
            </w:r>
          </w:p>
        </w:tc>
      </w:tr>
      <w:tr w:rsidR="00D60817" w:rsidRPr="006C6F80" w14:paraId="0F20274A"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15C595C2"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580EEA3F" w14:textId="77777777" w:rsidR="00D60817" w:rsidRPr="006C6F80" w:rsidRDefault="00D60817" w:rsidP="00D60817">
            <w:pP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4F3D6A9F"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023039A5" w14:textId="77777777" w:rsidR="00D60817" w:rsidRPr="006C6F80" w:rsidRDefault="00D60817" w:rsidP="00D60817">
            <w:pPr>
              <w:jc w:val="center"/>
              <w:rPr>
                <w:color w:val="000000" w:themeColor="text1"/>
                <w:sz w:val="20"/>
                <w:szCs w:val="20"/>
              </w:rPr>
            </w:pPr>
          </w:p>
        </w:tc>
      </w:tr>
      <w:tr w:rsidR="00D60817" w:rsidRPr="006C6F80" w14:paraId="5D97914E"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5F900C23" w14:textId="77777777" w:rsidR="00D60817" w:rsidRPr="006C6F80" w:rsidRDefault="00D60817" w:rsidP="00D60817">
            <w:pPr>
              <w:rPr>
                <w:color w:val="000000" w:themeColor="text1"/>
                <w:sz w:val="20"/>
                <w:szCs w:val="20"/>
              </w:rPr>
            </w:pPr>
            <w:r w:rsidRPr="006C6F80">
              <w:rPr>
                <w:color w:val="000000" w:themeColor="text1"/>
                <w:sz w:val="20"/>
                <w:szCs w:val="20"/>
              </w:rPr>
              <w:t>Oil price at age 25</w:t>
            </w:r>
          </w:p>
        </w:tc>
        <w:tc>
          <w:tcPr>
            <w:tcW w:w="1802" w:type="dxa"/>
            <w:tcBorders>
              <w:top w:val="nil"/>
              <w:left w:val="nil"/>
              <w:bottom w:val="nil"/>
              <w:right w:val="nil"/>
            </w:tcBorders>
            <w:shd w:val="clear" w:color="auto" w:fill="auto"/>
            <w:noWrap/>
            <w:vAlign w:val="center"/>
            <w:hideMark/>
          </w:tcPr>
          <w:p w14:paraId="342E8BC8" w14:textId="77777777" w:rsidR="00D60817" w:rsidRPr="006C6F80" w:rsidRDefault="00D60817" w:rsidP="00D60817">
            <w:pPr>
              <w:jc w:val="center"/>
              <w:rPr>
                <w:color w:val="000000" w:themeColor="text1"/>
                <w:sz w:val="20"/>
                <w:szCs w:val="20"/>
              </w:rPr>
            </w:pPr>
            <w:r w:rsidRPr="006C6F80">
              <w:rPr>
                <w:color w:val="000000" w:themeColor="text1"/>
                <w:sz w:val="20"/>
                <w:szCs w:val="20"/>
              </w:rPr>
              <w:t>0.024***</w:t>
            </w:r>
          </w:p>
        </w:tc>
        <w:tc>
          <w:tcPr>
            <w:tcW w:w="1802" w:type="dxa"/>
            <w:tcBorders>
              <w:top w:val="nil"/>
              <w:left w:val="nil"/>
              <w:bottom w:val="nil"/>
              <w:right w:val="nil"/>
            </w:tcBorders>
            <w:shd w:val="clear" w:color="auto" w:fill="auto"/>
            <w:noWrap/>
            <w:vAlign w:val="center"/>
            <w:hideMark/>
          </w:tcPr>
          <w:p w14:paraId="78B5552A"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5F912078" w14:textId="77777777" w:rsidR="00D60817" w:rsidRPr="006C6F80" w:rsidRDefault="00D60817" w:rsidP="00D60817">
            <w:pPr>
              <w:jc w:val="center"/>
              <w:rPr>
                <w:color w:val="000000" w:themeColor="text1"/>
                <w:sz w:val="20"/>
                <w:szCs w:val="20"/>
              </w:rPr>
            </w:pPr>
          </w:p>
        </w:tc>
      </w:tr>
      <w:tr w:rsidR="00D60817" w:rsidRPr="006C6F80" w14:paraId="71DC69F6"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1AAE44E4"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2A95935B" w14:textId="77777777" w:rsidR="00D60817" w:rsidRPr="006C6F80" w:rsidRDefault="00D60817" w:rsidP="00D60817">
            <w:pPr>
              <w:jc w:val="center"/>
              <w:rPr>
                <w:color w:val="000000" w:themeColor="text1"/>
                <w:sz w:val="20"/>
                <w:szCs w:val="20"/>
              </w:rPr>
            </w:pPr>
            <w:r w:rsidRPr="006C6F80">
              <w:rPr>
                <w:color w:val="000000" w:themeColor="text1"/>
                <w:sz w:val="20"/>
                <w:szCs w:val="20"/>
              </w:rPr>
              <w:t>[0.001]</w:t>
            </w:r>
          </w:p>
        </w:tc>
        <w:tc>
          <w:tcPr>
            <w:tcW w:w="1802" w:type="dxa"/>
            <w:tcBorders>
              <w:top w:val="nil"/>
              <w:left w:val="nil"/>
              <w:bottom w:val="nil"/>
              <w:right w:val="nil"/>
            </w:tcBorders>
            <w:shd w:val="clear" w:color="auto" w:fill="auto"/>
            <w:noWrap/>
            <w:vAlign w:val="center"/>
            <w:hideMark/>
          </w:tcPr>
          <w:p w14:paraId="4742CA32"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6853CC95" w14:textId="77777777" w:rsidR="00D60817" w:rsidRPr="006C6F80" w:rsidRDefault="00D60817" w:rsidP="00D60817">
            <w:pPr>
              <w:jc w:val="center"/>
              <w:rPr>
                <w:color w:val="000000" w:themeColor="text1"/>
                <w:sz w:val="20"/>
                <w:szCs w:val="20"/>
              </w:rPr>
            </w:pPr>
          </w:p>
        </w:tc>
      </w:tr>
      <w:tr w:rsidR="00D60817" w:rsidRPr="006C6F80" w14:paraId="110C78DB"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2FD9E98B" w14:textId="77777777" w:rsidR="00D60817" w:rsidRPr="006C6F80" w:rsidRDefault="00D60817" w:rsidP="00D60817">
            <w:pPr>
              <w:rPr>
                <w:color w:val="000000" w:themeColor="text1"/>
                <w:sz w:val="20"/>
                <w:szCs w:val="20"/>
              </w:rPr>
            </w:pPr>
            <w:r w:rsidRPr="006C6F80">
              <w:rPr>
                <w:color w:val="000000" w:themeColor="text1"/>
                <w:sz w:val="20"/>
                <w:szCs w:val="20"/>
              </w:rPr>
              <w:t>Oil price at age 26</w:t>
            </w:r>
          </w:p>
        </w:tc>
        <w:tc>
          <w:tcPr>
            <w:tcW w:w="1802" w:type="dxa"/>
            <w:tcBorders>
              <w:top w:val="nil"/>
              <w:left w:val="nil"/>
              <w:bottom w:val="nil"/>
              <w:right w:val="nil"/>
            </w:tcBorders>
            <w:shd w:val="clear" w:color="auto" w:fill="auto"/>
            <w:noWrap/>
            <w:vAlign w:val="center"/>
            <w:hideMark/>
          </w:tcPr>
          <w:p w14:paraId="55E157FB" w14:textId="77777777" w:rsidR="00D60817" w:rsidRPr="006C6F80" w:rsidRDefault="00D60817" w:rsidP="00D60817">
            <w:pP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40F913E5" w14:textId="77777777" w:rsidR="00D60817" w:rsidRPr="006C6F80" w:rsidRDefault="00D60817" w:rsidP="00D60817">
            <w:pPr>
              <w:jc w:val="center"/>
              <w:rPr>
                <w:color w:val="000000" w:themeColor="text1"/>
                <w:sz w:val="20"/>
                <w:szCs w:val="20"/>
              </w:rPr>
            </w:pPr>
            <w:r w:rsidRPr="006C6F80">
              <w:rPr>
                <w:color w:val="000000" w:themeColor="text1"/>
                <w:sz w:val="20"/>
                <w:szCs w:val="20"/>
              </w:rPr>
              <w:t>0.029***</w:t>
            </w:r>
          </w:p>
        </w:tc>
        <w:tc>
          <w:tcPr>
            <w:tcW w:w="1802" w:type="dxa"/>
            <w:tcBorders>
              <w:top w:val="nil"/>
              <w:left w:val="nil"/>
              <w:bottom w:val="nil"/>
              <w:right w:val="nil"/>
            </w:tcBorders>
            <w:shd w:val="clear" w:color="auto" w:fill="auto"/>
            <w:noWrap/>
            <w:vAlign w:val="center"/>
            <w:hideMark/>
          </w:tcPr>
          <w:p w14:paraId="2E7D1E9F" w14:textId="77777777" w:rsidR="00D60817" w:rsidRPr="006C6F80" w:rsidRDefault="00D60817" w:rsidP="00D60817">
            <w:pPr>
              <w:jc w:val="center"/>
              <w:rPr>
                <w:color w:val="000000" w:themeColor="text1"/>
                <w:sz w:val="20"/>
                <w:szCs w:val="20"/>
              </w:rPr>
            </w:pPr>
          </w:p>
        </w:tc>
      </w:tr>
      <w:tr w:rsidR="00D60817" w:rsidRPr="006C6F80" w14:paraId="587664F9"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26851ACA"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5B6177D2" w14:textId="77777777" w:rsidR="00D60817" w:rsidRPr="006C6F80" w:rsidRDefault="00D60817" w:rsidP="00D60817">
            <w:pP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453E9538" w14:textId="77777777" w:rsidR="00D60817" w:rsidRPr="006C6F80" w:rsidRDefault="00D60817" w:rsidP="00D60817">
            <w:pPr>
              <w:jc w:val="center"/>
              <w:rPr>
                <w:color w:val="000000" w:themeColor="text1"/>
                <w:sz w:val="20"/>
                <w:szCs w:val="20"/>
              </w:rPr>
            </w:pPr>
            <w:r w:rsidRPr="006C6F80">
              <w:rPr>
                <w:color w:val="000000" w:themeColor="text1"/>
                <w:sz w:val="20"/>
                <w:szCs w:val="20"/>
              </w:rPr>
              <w:t>[0.000]</w:t>
            </w:r>
          </w:p>
        </w:tc>
        <w:tc>
          <w:tcPr>
            <w:tcW w:w="1802" w:type="dxa"/>
            <w:tcBorders>
              <w:top w:val="nil"/>
              <w:left w:val="nil"/>
              <w:bottom w:val="nil"/>
              <w:right w:val="nil"/>
            </w:tcBorders>
            <w:shd w:val="clear" w:color="auto" w:fill="auto"/>
            <w:noWrap/>
            <w:vAlign w:val="center"/>
            <w:hideMark/>
          </w:tcPr>
          <w:p w14:paraId="0CEF6EB2" w14:textId="77777777" w:rsidR="00D60817" w:rsidRPr="006C6F80" w:rsidRDefault="00D60817" w:rsidP="00D60817">
            <w:pPr>
              <w:jc w:val="center"/>
              <w:rPr>
                <w:color w:val="000000" w:themeColor="text1"/>
                <w:sz w:val="20"/>
                <w:szCs w:val="20"/>
              </w:rPr>
            </w:pPr>
          </w:p>
        </w:tc>
      </w:tr>
      <w:tr w:rsidR="00D60817" w:rsidRPr="006C6F80" w14:paraId="59C1A38C"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510C9B25" w14:textId="77777777" w:rsidR="00D60817" w:rsidRPr="006C6F80" w:rsidRDefault="00D60817" w:rsidP="00D60817">
            <w:pPr>
              <w:rPr>
                <w:color w:val="000000" w:themeColor="text1"/>
                <w:sz w:val="20"/>
                <w:szCs w:val="20"/>
              </w:rPr>
            </w:pPr>
            <w:r w:rsidRPr="006C6F80">
              <w:rPr>
                <w:color w:val="000000" w:themeColor="text1"/>
                <w:sz w:val="20"/>
                <w:szCs w:val="20"/>
              </w:rPr>
              <w:t>Oil price at age 27</w:t>
            </w:r>
          </w:p>
        </w:tc>
        <w:tc>
          <w:tcPr>
            <w:tcW w:w="1802" w:type="dxa"/>
            <w:tcBorders>
              <w:top w:val="nil"/>
              <w:left w:val="nil"/>
              <w:bottom w:val="nil"/>
              <w:right w:val="nil"/>
            </w:tcBorders>
            <w:shd w:val="clear" w:color="auto" w:fill="auto"/>
            <w:noWrap/>
            <w:vAlign w:val="center"/>
            <w:hideMark/>
          </w:tcPr>
          <w:p w14:paraId="6BA8A97D" w14:textId="77777777" w:rsidR="00D60817" w:rsidRPr="006C6F80" w:rsidRDefault="00D60817" w:rsidP="00D60817">
            <w:pP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407B1274"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4C7FB14D" w14:textId="77777777" w:rsidR="00D60817" w:rsidRPr="006C6F80" w:rsidRDefault="00D60817" w:rsidP="00D60817">
            <w:pPr>
              <w:jc w:val="center"/>
              <w:rPr>
                <w:color w:val="000000" w:themeColor="text1"/>
                <w:sz w:val="20"/>
                <w:szCs w:val="20"/>
              </w:rPr>
            </w:pPr>
            <w:r w:rsidRPr="006C6F80">
              <w:rPr>
                <w:color w:val="000000" w:themeColor="text1"/>
                <w:sz w:val="20"/>
                <w:szCs w:val="20"/>
              </w:rPr>
              <w:t>0.029***</w:t>
            </w:r>
          </w:p>
        </w:tc>
      </w:tr>
      <w:tr w:rsidR="00D60817" w:rsidRPr="006C6F80" w14:paraId="22312321"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74AC241F"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0AF2B98B" w14:textId="77777777" w:rsidR="00D60817" w:rsidRPr="006C6F80" w:rsidRDefault="00D60817" w:rsidP="00D60817">
            <w:pP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1CC4BBC7"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42647033" w14:textId="77777777" w:rsidR="00D60817" w:rsidRPr="006C6F80" w:rsidRDefault="00D60817" w:rsidP="00D60817">
            <w:pPr>
              <w:jc w:val="center"/>
              <w:rPr>
                <w:color w:val="000000" w:themeColor="text1"/>
                <w:sz w:val="20"/>
                <w:szCs w:val="20"/>
              </w:rPr>
            </w:pPr>
            <w:r w:rsidRPr="006C6F80">
              <w:rPr>
                <w:color w:val="000000" w:themeColor="text1"/>
                <w:sz w:val="20"/>
                <w:szCs w:val="20"/>
              </w:rPr>
              <w:t>[0.000]</w:t>
            </w:r>
          </w:p>
        </w:tc>
      </w:tr>
      <w:tr w:rsidR="00D60817" w:rsidRPr="006C6F80" w14:paraId="18E9B611"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521D7138"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4E8D4F14" w14:textId="77777777" w:rsidR="00D60817" w:rsidRPr="006C6F80" w:rsidRDefault="00D60817" w:rsidP="00D60817">
            <w:pP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1E1F9506"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3CA4CA17" w14:textId="77777777" w:rsidR="00D60817" w:rsidRPr="006C6F80" w:rsidRDefault="00D60817" w:rsidP="00D60817">
            <w:pPr>
              <w:jc w:val="center"/>
              <w:rPr>
                <w:color w:val="000000" w:themeColor="text1"/>
                <w:sz w:val="20"/>
                <w:szCs w:val="20"/>
              </w:rPr>
            </w:pPr>
          </w:p>
        </w:tc>
      </w:tr>
      <w:tr w:rsidR="00D60817" w:rsidRPr="006C6F80" w14:paraId="538C6278"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58FA5841" w14:textId="77777777" w:rsidR="00D60817" w:rsidRPr="006C6F80" w:rsidRDefault="00D60817" w:rsidP="00D60817">
            <w:pPr>
              <w:rPr>
                <w:color w:val="000000" w:themeColor="text1"/>
                <w:sz w:val="20"/>
                <w:szCs w:val="20"/>
              </w:rPr>
            </w:pPr>
            <w:r w:rsidRPr="006C6F80">
              <w:rPr>
                <w:color w:val="000000" w:themeColor="text1"/>
                <w:sz w:val="20"/>
                <w:szCs w:val="20"/>
              </w:rPr>
              <w:t>Observations</w:t>
            </w:r>
          </w:p>
        </w:tc>
        <w:tc>
          <w:tcPr>
            <w:tcW w:w="1802" w:type="dxa"/>
            <w:tcBorders>
              <w:top w:val="nil"/>
              <w:left w:val="nil"/>
              <w:bottom w:val="nil"/>
              <w:right w:val="nil"/>
            </w:tcBorders>
            <w:shd w:val="clear" w:color="auto" w:fill="auto"/>
            <w:noWrap/>
            <w:vAlign w:val="center"/>
            <w:hideMark/>
          </w:tcPr>
          <w:p w14:paraId="1718AAA7" w14:textId="77777777" w:rsidR="00D60817" w:rsidRPr="006C6F80" w:rsidRDefault="00D60817" w:rsidP="00D60817">
            <w:pPr>
              <w:jc w:val="center"/>
              <w:rPr>
                <w:color w:val="000000" w:themeColor="text1"/>
                <w:sz w:val="20"/>
                <w:szCs w:val="20"/>
              </w:rPr>
            </w:pPr>
            <w:r w:rsidRPr="006C6F80">
              <w:rPr>
                <w:color w:val="000000" w:themeColor="text1"/>
                <w:sz w:val="20"/>
                <w:szCs w:val="20"/>
              </w:rPr>
              <w:t>1,744</w:t>
            </w:r>
          </w:p>
        </w:tc>
        <w:tc>
          <w:tcPr>
            <w:tcW w:w="1802" w:type="dxa"/>
            <w:tcBorders>
              <w:top w:val="nil"/>
              <w:left w:val="nil"/>
              <w:bottom w:val="nil"/>
              <w:right w:val="nil"/>
            </w:tcBorders>
            <w:shd w:val="clear" w:color="auto" w:fill="auto"/>
            <w:noWrap/>
            <w:vAlign w:val="center"/>
            <w:hideMark/>
          </w:tcPr>
          <w:p w14:paraId="285797DE" w14:textId="77777777" w:rsidR="00D60817" w:rsidRPr="006C6F80" w:rsidRDefault="00D60817" w:rsidP="00D60817">
            <w:pPr>
              <w:jc w:val="center"/>
              <w:rPr>
                <w:color w:val="000000" w:themeColor="text1"/>
                <w:sz w:val="20"/>
                <w:szCs w:val="20"/>
              </w:rPr>
            </w:pPr>
            <w:r w:rsidRPr="006C6F80">
              <w:rPr>
                <w:color w:val="000000" w:themeColor="text1"/>
                <w:sz w:val="20"/>
                <w:szCs w:val="20"/>
              </w:rPr>
              <w:t>1,744</w:t>
            </w:r>
          </w:p>
        </w:tc>
        <w:tc>
          <w:tcPr>
            <w:tcW w:w="1802" w:type="dxa"/>
            <w:tcBorders>
              <w:top w:val="nil"/>
              <w:left w:val="nil"/>
              <w:bottom w:val="nil"/>
              <w:right w:val="nil"/>
            </w:tcBorders>
            <w:shd w:val="clear" w:color="auto" w:fill="auto"/>
            <w:noWrap/>
            <w:vAlign w:val="center"/>
            <w:hideMark/>
          </w:tcPr>
          <w:p w14:paraId="4369F943" w14:textId="77777777" w:rsidR="00D60817" w:rsidRPr="006C6F80" w:rsidRDefault="00D60817" w:rsidP="00D60817">
            <w:pPr>
              <w:jc w:val="center"/>
              <w:rPr>
                <w:color w:val="000000" w:themeColor="text1"/>
                <w:sz w:val="20"/>
                <w:szCs w:val="20"/>
              </w:rPr>
            </w:pPr>
            <w:r w:rsidRPr="006C6F80">
              <w:rPr>
                <w:color w:val="000000" w:themeColor="text1"/>
                <w:sz w:val="20"/>
                <w:szCs w:val="20"/>
              </w:rPr>
              <w:t>1,744</w:t>
            </w:r>
          </w:p>
        </w:tc>
      </w:tr>
      <w:tr w:rsidR="00D60817" w:rsidRPr="006C6F80" w14:paraId="664AD26E" w14:textId="77777777" w:rsidTr="00D60817">
        <w:trPr>
          <w:trHeight w:val="262"/>
          <w:jc w:val="center"/>
        </w:trPr>
        <w:tc>
          <w:tcPr>
            <w:tcW w:w="8146" w:type="dxa"/>
            <w:gridSpan w:val="4"/>
            <w:tcBorders>
              <w:top w:val="single" w:sz="4" w:space="0" w:color="auto"/>
              <w:left w:val="nil"/>
              <w:bottom w:val="single" w:sz="4" w:space="0" w:color="auto"/>
              <w:right w:val="nil"/>
            </w:tcBorders>
            <w:shd w:val="clear" w:color="auto" w:fill="auto"/>
            <w:noWrap/>
            <w:vAlign w:val="bottom"/>
            <w:hideMark/>
          </w:tcPr>
          <w:p w14:paraId="4BAA7B59" w14:textId="77777777" w:rsidR="00D60817" w:rsidRPr="006C6F80" w:rsidRDefault="00D60817" w:rsidP="00D60817">
            <w:pPr>
              <w:jc w:val="center"/>
              <w:rPr>
                <w:b/>
                <w:bCs/>
                <w:color w:val="000000" w:themeColor="text1"/>
                <w:sz w:val="20"/>
                <w:szCs w:val="20"/>
              </w:rPr>
            </w:pPr>
            <w:r w:rsidRPr="006C6F80">
              <w:rPr>
                <w:b/>
                <w:bCs/>
                <w:color w:val="000000" w:themeColor="text1"/>
                <w:sz w:val="20"/>
                <w:szCs w:val="20"/>
              </w:rPr>
              <w:t>Panel B: Year of birth clustering</w:t>
            </w:r>
          </w:p>
        </w:tc>
      </w:tr>
      <w:tr w:rsidR="00D60817" w:rsidRPr="006C6F80" w14:paraId="549072A5"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5F77C2A4" w14:textId="77777777" w:rsidR="00D60817" w:rsidRPr="006C6F80" w:rsidRDefault="00D60817" w:rsidP="00D60817">
            <w:pPr>
              <w:jc w:val="center"/>
              <w:rPr>
                <w:b/>
                <w:bCs/>
                <w:color w:val="000000" w:themeColor="text1"/>
                <w:sz w:val="20"/>
                <w:szCs w:val="20"/>
              </w:rPr>
            </w:pPr>
          </w:p>
        </w:tc>
        <w:tc>
          <w:tcPr>
            <w:tcW w:w="1802" w:type="dxa"/>
            <w:tcBorders>
              <w:top w:val="nil"/>
              <w:left w:val="nil"/>
              <w:bottom w:val="nil"/>
              <w:right w:val="nil"/>
            </w:tcBorders>
            <w:shd w:val="clear" w:color="auto" w:fill="auto"/>
            <w:noWrap/>
            <w:vAlign w:val="bottom"/>
            <w:hideMark/>
          </w:tcPr>
          <w:p w14:paraId="1072F103"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bottom"/>
            <w:hideMark/>
          </w:tcPr>
          <w:p w14:paraId="2494B4FE"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bottom"/>
            <w:hideMark/>
          </w:tcPr>
          <w:p w14:paraId="77F030E3" w14:textId="77777777" w:rsidR="00D60817" w:rsidRPr="006C6F80" w:rsidRDefault="00D60817" w:rsidP="00D60817">
            <w:pPr>
              <w:jc w:val="center"/>
              <w:rPr>
                <w:color w:val="000000" w:themeColor="text1"/>
                <w:sz w:val="20"/>
                <w:szCs w:val="20"/>
              </w:rPr>
            </w:pPr>
          </w:p>
        </w:tc>
      </w:tr>
      <w:tr w:rsidR="00D60817" w:rsidRPr="006C6F80" w14:paraId="51367CD7"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448AF949" w14:textId="77777777" w:rsidR="00D60817" w:rsidRPr="006C6F80" w:rsidRDefault="00D60817" w:rsidP="00D60817">
            <w:pPr>
              <w:rPr>
                <w:color w:val="000000" w:themeColor="text1"/>
                <w:sz w:val="20"/>
                <w:szCs w:val="20"/>
              </w:rPr>
            </w:pPr>
            <w:r w:rsidRPr="006C6F80">
              <w:rPr>
                <w:color w:val="000000" w:themeColor="text1"/>
                <w:sz w:val="20"/>
                <w:szCs w:val="20"/>
              </w:rPr>
              <w:t>Oil price at age 25</w:t>
            </w:r>
          </w:p>
        </w:tc>
        <w:tc>
          <w:tcPr>
            <w:tcW w:w="1802" w:type="dxa"/>
            <w:tcBorders>
              <w:top w:val="nil"/>
              <w:left w:val="nil"/>
              <w:bottom w:val="nil"/>
              <w:right w:val="nil"/>
            </w:tcBorders>
            <w:shd w:val="clear" w:color="auto" w:fill="auto"/>
            <w:noWrap/>
            <w:vAlign w:val="center"/>
            <w:hideMark/>
          </w:tcPr>
          <w:p w14:paraId="228A3B17" w14:textId="77777777" w:rsidR="00D60817" w:rsidRPr="006C6F80" w:rsidRDefault="00D60817" w:rsidP="00D60817">
            <w:pPr>
              <w:jc w:val="center"/>
              <w:rPr>
                <w:color w:val="000000" w:themeColor="text1"/>
                <w:sz w:val="20"/>
                <w:szCs w:val="20"/>
              </w:rPr>
            </w:pPr>
            <w:r w:rsidRPr="006C6F80">
              <w:rPr>
                <w:color w:val="000000" w:themeColor="text1"/>
                <w:sz w:val="20"/>
                <w:szCs w:val="20"/>
              </w:rPr>
              <w:t>0.024***</w:t>
            </w:r>
          </w:p>
        </w:tc>
        <w:tc>
          <w:tcPr>
            <w:tcW w:w="1802" w:type="dxa"/>
            <w:tcBorders>
              <w:top w:val="nil"/>
              <w:left w:val="nil"/>
              <w:bottom w:val="nil"/>
              <w:right w:val="nil"/>
            </w:tcBorders>
            <w:shd w:val="clear" w:color="auto" w:fill="auto"/>
            <w:noWrap/>
            <w:vAlign w:val="center"/>
            <w:hideMark/>
          </w:tcPr>
          <w:p w14:paraId="2C09A578"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091DA458" w14:textId="77777777" w:rsidR="00D60817" w:rsidRPr="006C6F80" w:rsidRDefault="00D60817" w:rsidP="00D60817">
            <w:pPr>
              <w:jc w:val="center"/>
              <w:rPr>
                <w:color w:val="000000" w:themeColor="text1"/>
                <w:sz w:val="20"/>
                <w:szCs w:val="20"/>
              </w:rPr>
            </w:pPr>
          </w:p>
        </w:tc>
      </w:tr>
      <w:tr w:rsidR="00D60817" w:rsidRPr="006C6F80" w14:paraId="0ABF12D0"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326018C7"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2BA34783" w14:textId="77777777" w:rsidR="00D60817" w:rsidRPr="006C6F80" w:rsidRDefault="00D60817" w:rsidP="00D60817">
            <w:pPr>
              <w:jc w:val="center"/>
              <w:rPr>
                <w:color w:val="000000" w:themeColor="text1"/>
                <w:sz w:val="20"/>
                <w:szCs w:val="20"/>
              </w:rPr>
            </w:pPr>
            <w:r w:rsidRPr="006C6F80">
              <w:rPr>
                <w:color w:val="000000" w:themeColor="text1"/>
                <w:sz w:val="20"/>
                <w:szCs w:val="20"/>
              </w:rPr>
              <w:t>[0.003]</w:t>
            </w:r>
          </w:p>
        </w:tc>
        <w:tc>
          <w:tcPr>
            <w:tcW w:w="1802" w:type="dxa"/>
            <w:tcBorders>
              <w:top w:val="nil"/>
              <w:left w:val="nil"/>
              <w:bottom w:val="nil"/>
              <w:right w:val="nil"/>
            </w:tcBorders>
            <w:shd w:val="clear" w:color="auto" w:fill="auto"/>
            <w:noWrap/>
            <w:vAlign w:val="center"/>
            <w:hideMark/>
          </w:tcPr>
          <w:p w14:paraId="31FB2F6D"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0C574357" w14:textId="77777777" w:rsidR="00D60817" w:rsidRPr="006C6F80" w:rsidRDefault="00D60817" w:rsidP="00D60817">
            <w:pPr>
              <w:jc w:val="center"/>
              <w:rPr>
                <w:color w:val="000000" w:themeColor="text1"/>
                <w:sz w:val="20"/>
                <w:szCs w:val="20"/>
              </w:rPr>
            </w:pPr>
          </w:p>
        </w:tc>
      </w:tr>
      <w:tr w:rsidR="00D60817" w:rsidRPr="006C6F80" w14:paraId="4F7C8709"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5F415D7F" w14:textId="77777777" w:rsidR="00D60817" w:rsidRPr="006C6F80" w:rsidRDefault="00D60817" w:rsidP="00D60817">
            <w:pPr>
              <w:rPr>
                <w:color w:val="000000" w:themeColor="text1"/>
                <w:sz w:val="20"/>
                <w:szCs w:val="20"/>
              </w:rPr>
            </w:pPr>
            <w:r w:rsidRPr="006C6F80">
              <w:rPr>
                <w:color w:val="000000" w:themeColor="text1"/>
                <w:sz w:val="20"/>
                <w:szCs w:val="20"/>
              </w:rPr>
              <w:t>Oil price at age 26</w:t>
            </w:r>
          </w:p>
        </w:tc>
        <w:tc>
          <w:tcPr>
            <w:tcW w:w="1802" w:type="dxa"/>
            <w:tcBorders>
              <w:top w:val="nil"/>
              <w:left w:val="nil"/>
              <w:bottom w:val="nil"/>
              <w:right w:val="nil"/>
            </w:tcBorders>
            <w:shd w:val="clear" w:color="auto" w:fill="auto"/>
            <w:noWrap/>
            <w:vAlign w:val="center"/>
            <w:hideMark/>
          </w:tcPr>
          <w:p w14:paraId="69ACCA38" w14:textId="77777777" w:rsidR="00D60817" w:rsidRPr="006C6F80" w:rsidRDefault="00D60817" w:rsidP="00D60817">
            <w:pP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24D6B491" w14:textId="77777777" w:rsidR="00D60817" w:rsidRPr="006C6F80" w:rsidRDefault="00D60817" w:rsidP="00D60817">
            <w:pPr>
              <w:jc w:val="center"/>
              <w:rPr>
                <w:color w:val="000000" w:themeColor="text1"/>
                <w:sz w:val="20"/>
                <w:szCs w:val="20"/>
              </w:rPr>
            </w:pPr>
            <w:r w:rsidRPr="006C6F80">
              <w:rPr>
                <w:color w:val="000000" w:themeColor="text1"/>
                <w:sz w:val="20"/>
                <w:szCs w:val="20"/>
              </w:rPr>
              <w:t>0.029***</w:t>
            </w:r>
          </w:p>
        </w:tc>
        <w:tc>
          <w:tcPr>
            <w:tcW w:w="1802" w:type="dxa"/>
            <w:tcBorders>
              <w:top w:val="nil"/>
              <w:left w:val="nil"/>
              <w:bottom w:val="nil"/>
              <w:right w:val="nil"/>
            </w:tcBorders>
            <w:shd w:val="clear" w:color="auto" w:fill="auto"/>
            <w:noWrap/>
            <w:vAlign w:val="center"/>
            <w:hideMark/>
          </w:tcPr>
          <w:p w14:paraId="5BD9D991" w14:textId="77777777" w:rsidR="00D60817" w:rsidRPr="006C6F80" w:rsidRDefault="00D60817" w:rsidP="00D60817">
            <w:pPr>
              <w:jc w:val="center"/>
              <w:rPr>
                <w:color w:val="000000" w:themeColor="text1"/>
                <w:sz w:val="20"/>
                <w:szCs w:val="20"/>
              </w:rPr>
            </w:pPr>
          </w:p>
        </w:tc>
      </w:tr>
      <w:tr w:rsidR="00D60817" w:rsidRPr="006C6F80" w14:paraId="6867F73C"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77554BAB"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1E44D270" w14:textId="77777777" w:rsidR="00D60817" w:rsidRPr="006C6F80" w:rsidRDefault="00D60817" w:rsidP="00D60817">
            <w:pP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5149DB24" w14:textId="77777777" w:rsidR="00D60817" w:rsidRPr="006C6F80" w:rsidRDefault="00D60817" w:rsidP="00D60817">
            <w:pPr>
              <w:jc w:val="center"/>
              <w:rPr>
                <w:color w:val="000000" w:themeColor="text1"/>
                <w:sz w:val="20"/>
                <w:szCs w:val="20"/>
              </w:rPr>
            </w:pPr>
            <w:r w:rsidRPr="006C6F80">
              <w:rPr>
                <w:color w:val="000000" w:themeColor="text1"/>
                <w:sz w:val="20"/>
                <w:szCs w:val="20"/>
              </w:rPr>
              <w:t>[0.002]</w:t>
            </w:r>
          </w:p>
        </w:tc>
        <w:tc>
          <w:tcPr>
            <w:tcW w:w="1802" w:type="dxa"/>
            <w:tcBorders>
              <w:top w:val="nil"/>
              <w:left w:val="nil"/>
              <w:bottom w:val="nil"/>
              <w:right w:val="nil"/>
            </w:tcBorders>
            <w:shd w:val="clear" w:color="auto" w:fill="auto"/>
            <w:noWrap/>
            <w:vAlign w:val="center"/>
            <w:hideMark/>
          </w:tcPr>
          <w:p w14:paraId="1968E6B9" w14:textId="77777777" w:rsidR="00D60817" w:rsidRPr="006C6F80" w:rsidRDefault="00D60817" w:rsidP="00D60817">
            <w:pPr>
              <w:jc w:val="center"/>
              <w:rPr>
                <w:color w:val="000000" w:themeColor="text1"/>
                <w:sz w:val="20"/>
                <w:szCs w:val="20"/>
              </w:rPr>
            </w:pPr>
          </w:p>
        </w:tc>
      </w:tr>
      <w:tr w:rsidR="00D60817" w:rsidRPr="006C6F80" w14:paraId="1F8FF137"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7784A331" w14:textId="77777777" w:rsidR="00D60817" w:rsidRPr="006C6F80" w:rsidRDefault="00D60817" w:rsidP="00D60817">
            <w:pPr>
              <w:rPr>
                <w:color w:val="000000" w:themeColor="text1"/>
                <w:sz w:val="20"/>
                <w:szCs w:val="20"/>
              </w:rPr>
            </w:pPr>
            <w:r w:rsidRPr="006C6F80">
              <w:rPr>
                <w:color w:val="000000" w:themeColor="text1"/>
                <w:sz w:val="20"/>
                <w:szCs w:val="20"/>
              </w:rPr>
              <w:t>Oil price at age 27</w:t>
            </w:r>
          </w:p>
        </w:tc>
        <w:tc>
          <w:tcPr>
            <w:tcW w:w="1802" w:type="dxa"/>
            <w:tcBorders>
              <w:top w:val="nil"/>
              <w:left w:val="nil"/>
              <w:bottom w:val="nil"/>
              <w:right w:val="nil"/>
            </w:tcBorders>
            <w:shd w:val="clear" w:color="auto" w:fill="auto"/>
            <w:noWrap/>
            <w:vAlign w:val="center"/>
            <w:hideMark/>
          </w:tcPr>
          <w:p w14:paraId="36758C4E" w14:textId="77777777" w:rsidR="00D60817" w:rsidRPr="006C6F80" w:rsidRDefault="00D60817" w:rsidP="00D60817">
            <w:pP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56946FC4"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17908D78" w14:textId="77777777" w:rsidR="00D60817" w:rsidRPr="006C6F80" w:rsidRDefault="00D60817" w:rsidP="00D60817">
            <w:pPr>
              <w:jc w:val="center"/>
              <w:rPr>
                <w:color w:val="000000" w:themeColor="text1"/>
                <w:sz w:val="20"/>
                <w:szCs w:val="20"/>
              </w:rPr>
            </w:pPr>
            <w:r w:rsidRPr="006C6F80">
              <w:rPr>
                <w:color w:val="000000" w:themeColor="text1"/>
                <w:sz w:val="20"/>
                <w:szCs w:val="20"/>
              </w:rPr>
              <w:t>0.029***</w:t>
            </w:r>
          </w:p>
        </w:tc>
      </w:tr>
      <w:tr w:rsidR="00D60817" w:rsidRPr="006C6F80" w14:paraId="01415226"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70257C6E"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692383AA" w14:textId="77777777" w:rsidR="00D60817" w:rsidRPr="006C6F80" w:rsidRDefault="00D60817" w:rsidP="00D60817">
            <w:pP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127F0CC4"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2F198648" w14:textId="77777777" w:rsidR="00D60817" w:rsidRPr="006C6F80" w:rsidRDefault="00D60817" w:rsidP="00D60817">
            <w:pPr>
              <w:jc w:val="center"/>
              <w:rPr>
                <w:color w:val="000000" w:themeColor="text1"/>
                <w:sz w:val="20"/>
                <w:szCs w:val="20"/>
              </w:rPr>
            </w:pPr>
            <w:r w:rsidRPr="006C6F80">
              <w:rPr>
                <w:color w:val="000000" w:themeColor="text1"/>
                <w:sz w:val="20"/>
                <w:szCs w:val="20"/>
              </w:rPr>
              <w:t>[0.001]</w:t>
            </w:r>
          </w:p>
        </w:tc>
      </w:tr>
      <w:tr w:rsidR="00D60817" w:rsidRPr="006C6F80" w14:paraId="723FF14F"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41F9350D"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107504E0" w14:textId="77777777" w:rsidR="00D60817" w:rsidRPr="006C6F80" w:rsidRDefault="00D60817" w:rsidP="00D60817">
            <w:pP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7448B973" w14:textId="77777777" w:rsidR="00D60817" w:rsidRPr="006C6F80" w:rsidRDefault="00D60817" w:rsidP="00D60817">
            <w:pPr>
              <w:jc w:val="center"/>
              <w:rPr>
                <w:color w:val="000000" w:themeColor="text1"/>
                <w:sz w:val="20"/>
                <w:szCs w:val="20"/>
              </w:rPr>
            </w:pPr>
          </w:p>
        </w:tc>
        <w:tc>
          <w:tcPr>
            <w:tcW w:w="1802" w:type="dxa"/>
            <w:tcBorders>
              <w:top w:val="nil"/>
              <w:left w:val="nil"/>
              <w:bottom w:val="nil"/>
              <w:right w:val="nil"/>
            </w:tcBorders>
            <w:shd w:val="clear" w:color="auto" w:fill="auto"/>
            <w:noWrap/>
            <w:vAlign w:val="center"/>
            <w:hideMark/>
          </w:tcPr>
          <w:p w14:paraId="24FF53D6" w14:textId="77777777" w:rsidR="00D60817" w:rsidRPr="006C6F80" w:rsidRDefault="00D60817" w:rsidP="00D60817">
            <w:pPr>
              <w:jc w:val="center"/>
              <w:rPr>
                <w:color w:val="000000" w:themeColor="text1"/>
                <w:sz w:val="20"/>
                <w:szCs w:val="20"/>
              </w:rPr>
            </w:pPr>
          </w:p>
        </w:tc>
      </w:tr>
      <w:tr w:rsidR="00D60817" w:rsidRPr="006C6F80" w14:paraId="1BD52AE5"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1A196939" w14:textId="77777777" w:rsidR="00D60817" w:rsidRPr="006C6F80" w:rsidRDefault="00D60817" w:rsidP="00D60817">
            <w:pPr>
              <w:rPr>
                <w:color w:val="000000" w:themeColor="text1"/>
                <w:sz w:val="20"/>
                <w:szCs w:val="20"/>
              </w:rPr>
            </w:pPr>
            <w:r w:rsidRPr="006C6F80">
              <w:rPr>
                <w:color w:val="000000" w:themeColor="text1"/>
                <w:sz w:val="20"/>
                <w:szCs w:val="20"/>
              </w:rPr>
              <w:t>Observations</w:t>
            </w:r>
          </w:p>
        </w:tc>
        <w:tc>
          <w:tcPr>
            <w:tcW w:w="1802" w:type="dxa"/>
            <w:tcBorders>
              <w:top w:val="nil"/>
              <w:left w:val="nil"/>
              <w:bottom w:val="nil"/>
              <w:right w:val="nil"/>
            </w:tcBorders>
            <w:shd w:val="clear" w:color="auto" w:fill="auto"/>
            <w:noWrap/>
            <w:vAlign w:val="center"/>
            <w:hideMark/>
          </w:tcPr>
          <w:p w14:paraId="5BE67D8E" w14:textId="77777777" w:rsidR="00D60817" w:rsidRPr="006C6F80" w:rsidRDefault="00D60817" w:rsidP="00D60817">
            <w:pPr>
              <w:jc w:val="center"/>
              <w:rPr>
                <w:color w:val="000000" w:themeColor="text1"/>
                <w:sz w:val="20"/>
                <w:szCs w:val="20"/>
              </w:rPr>
            </w:pPr>
            <w:r w:rsidRPr="006C6F80">
              <w:rPr>
                <w:color w:val="000000" w:themeColor="text1"/>
                <w:sz w:val="20"/>
                <w:szCs w:val="20"/>
              </w:rPr>
              <w:t>1,744</w:t>
            </w:r>
          </w:p>
        </w:tc>
        <w:tc>
          <w:tcPr>
            <w:tcW w:w="1802" w:type="dxa"/>
            <w:tcBorders>
              <w:top w:val="nil"/>
              <w:left w:val="nil"/>
              <w:bottom w:val="nil"/>
              <w:right w:val="nil"/>
            </w:tcBorders>
            <w:shd w:val="clear" w:color="auto" w:fill="auto"/>
            <w:noWrap/>
            <w:vAlign w:val="center"/>
            <w:hideMark/>
          </w:tcPr>
          <w:p w14:paraId="346BA639" w14:textId="77777777" w:rsidR="00D60817" w:rsidRPr="006C6F80" w:rsidRDefault="00D60817" w:rsidP="00D60817">
            <w:pPr>
              <w:jc w:val="center"/>
              <w:rPr>
                <w:color w:val="000000" w:themeColor="text1"/>
                <w:sz w:val="20"/>
                <w:szCs w:val="20"/>
              </w:rPr>
            </w:pPr>
            <w:r w:rsidRPr="006C6F80">
              <w:rPr>
                <w:color w:val="000000" w:themeColor="text1"/>
                <w:sz w:val="20"/>
                <w:szCs w:val="20"/>
              </w:rPr>
              <w:t>1,744</w:t>
            </w:r>
          </w:p>
        </w:tc>
        <w:tc>
          <w:tcPr>
            <w:tcW w:w="1802" w:type="dxa"/>
            <w:tcBorders>
              <w:top w:val="nil"/>
              <w:left w:val="nil"/>
              <w:bottom w:val="nil"/>
              <w:right w:val="nil"/>
            </w:tcBorders>
            <w:shd w:val="clear" w:color="auto" w:fill="auto"/>
            <w:noWrap/>
            <w:vAlign w:val="center"/>
            <w:hideMark/>
          </w:tcPr>
          <w:p w14:paraId="20D4B94B" w14:textId="77777777" w:rsidR="00D60817" w:rsidRPr="006C6F80" w:rsidRDefault="00D60817" w:rsidP="00D60817">
            <w:pPr>
              <w:jc w:val="center"/>
              <w:rPr>
                <w:color w:val="000000" w:themeColor="text1"/>
                <w:sz w:val="20"/>
                <w:szCs w:val="20"/>
              </w:rPr>
            </w:pPr>
            <w:r w:rsidRPr="006C6F80">
              <w:rPr>
                <w:color w:val="000000" w:themeColor="text1"/>
                <w:sz w:val="20"/>
                <w:szCs w:val="20"/>
              </w:rPr>
              <w:t>1,744</w:t>
            </w:r>
          </w:p>
        </w:tc>
      </w:tr>
      <w:tr w:rsidR="00D60817" w:rsidRPr="006C6F80" w14:paraId="49B1C5D1"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5BDB52F4" w14:textId="77777777" w:rsidR="00D60817" w:rsidRPr="006C6F80" w:rsidRDefault="00D60817" w:rsidP="00D60817">
            <w:pPr>
              <w:rPr>
                <w:color w:val="000000" w:themeColor="text1"/>
                <w:sz w:val="20"/>
                <w:szCs w:val="20"/>
              </w:rPr>
            </w:pPr>
            <w:r w:rsidRPr="006C6F80">
              <w:rPr>
                <w:color w:val="000000" w:themeColor="text1"/>
                <w:sz w:val="20"/>
                <w:szCs w:val="20"/>
              </w:rPr>
              <w:t>Individual controls</w:t>
            </w:r>
          </w:p>
        </w:tc>
        <w:tc>
          <w:tcPr>
            <w:tcW w:w="1802" w:type="dxa"/>
            <w:tcBorders>
              <w:top w:val="nil"/>
              <w:left w:val="nil"/>
              <w:bottom w:val="nil"/>
              <w:right w:val="nil"/>
            </w:tcBorders>
            <w:shd w:val="clear" w:color="auto" w:fill="auto"/>
            <w:noWrap/>
            <w:vAlign w:val="bottom"/>
            <w:hideMark/>
          </w:tcPr>
          <w:p w14:paraId="080A4A96" w14:textId="77777777" w:rsidR="00D60817" w:rsidRPr="006C6F80" w:rsidRDefault="00D60817" w:rsidP="00D60817">
            <w:pPr>
              <w:jc w:val="center"/>
              <w:rPr>
                <w:color w:val="000000" w:themeColor="text1"/>
                <w:sz w:val="20"/>
                <w:szCs w:val="20"/>
              </w:rPr>
            </w:pPr>
            <w:r w:rsidRPr="006C6F80">
              <w:rPr>
                <w:color w:val="000000" w:themeColor="text1"/>
                <w:sz w:val="20"/>
                <w:szCs w:val="20"/>
              </w:rPr>
              <w:t>YES</w:t>
            </w:r>
          </w:p>
        </w:tc>
        <w:tc>
          <w:tcPr>
            <w:tcW w:w="1802" w:type="dxa"/>
            <w:tcBorders>
              <w:top w:val="nil"/>
              <w:left w:val="nil"/>
              <w:bottom w:val="nil"/>
              <w:right w:val="nil"/>
            </w:tcBorders>
            <w:shd w:val="clear" w:color="auto" w:fill="auto"/>
            <w:noWrap/>
            <w:vAlign w:val="bottom"/>
            <w:hideMark/>
          </w:tcPr>
          <w:p w14:paraId="0DDC1E35" w14:textId="77777777" w:rsidR="00D60817" w:rsidRPr="006C6F80" w:rsidRDefault="00D60817" w:rsidP="00D60817">
            <w:pPr>
              <w:jc w:val="center"/>
              <w:rPr>
                <w:color w:val="000000" w:themeColor="text1"/>
                <w:sz w:val="20"/>
                <w:szCs w:val="20"/>
              </w:rPr>
            </w:pPr>
            <w:r w:rsidRPr="006C6F80">
              <w:rPr>
                <w:color w:val="000000" w:themeColor="text1"/>
                <w:sz w:val="20"/>
                <w:szCs w:val="20"/>
              </w:rPr>
              <w:t>YES</w:t>
            </w:r>
          </w:p>
        </w:tc>
        <w:tc>
          <w:tcPr>
            <w:tcW w:w="1802" w:type="dxa"/>
            <w:tcBorders>
              <w:top w:val="nil"/>
              <w:left w:val="nil"/>
              <w:bottom w:val="nil"/>
              <w:right w:val="nil"/>
            </w:tcBorders>
            <w:shd w:val="clear" w:color="auto" w:fill="auto"/>
            <w:noWrap/>
            <w:vAlign w:val="bottom"/>
            <w:hideMark/>
          </w:tcPr>
          <w:p w14:paraId="507F9631" w14:textId="77777777" w:rsidR="00D60817" w:rsidRPr="006C6F80" w:rsidRDefault="00D60817" w:rsidP="00D60817">
            <w:pPr>
              <w:jc w:val="center"/>
              <w:rPr>
                <w:color w:val="000000" w:themeColor="text1"/>
                <w:sz w:val="20"/>
                <w:szCs w:val="20"/>
              </w:rPr>
            </w:pPr>
            <w:r w:rsidRPr="006C6F80">
              <w:rPr>
                <w:color w:val="000000" w:themeColor="text1"/>
                <w:sz w:val="20"/>
                <w:szCs w:val="20"/>
              </w:rPr>
              <w:t>YES</w:t>
            </w:r>
          </w:p>
        </w:tc>
      </w:tr>
      <w:tr w:rsidR="00D60817" w:rsidRPr="006C6F80" w14:paraId="4F8D5C23" w14:textId="77777777" w:rsidTr="00D60817">
        <w:trPr>
          <w:trHeight w:val="262"/>
          <w:jc w:val="center"/>
        </w:trPr>
        <w:tc>
          <w:tcPr>
            <w:tcW w:w="2739" w:type="dxa"/>
            <w:tcBorders>
              <w:top w:val="nil"/>
              <w:left w:val="nil"/>
              <w:bottom w:val="nil"/>
              <w:right w:val="nil"/>
            </w:tcBorders>
            <w:shd w:val="clear" w:color="auto" w:fill="auto"/>
            <w:noWrap/>
            <w:vAlign w:val="bottom"/>
            <w:hideMark/>
          </w:tcPr>
          <w:p w14:paraId="43FED1F8" w14:textId="77777777" w:rsidR="00D60817" w:rsidRPr="006C6F80" w:rsidRDefault="00D60817" w:rsidP="00D60817">
            <w:pPr>
              <w:rPr>
                <w:color w:val="000000" w:themeColor="text1"/>
                <w:sz w:val="20"/>
                <w:szCs w:val="20"/>
              </w:rPr>
            </w:pPr>
            <w:r w:rsidRPr="006C6F80">
              <w:rPr>
                <w:color w:val="000000" w:themeColor="text1"/>
                <w:sz w:val="20"/>
                <w:szCs w:val="20"/>
              </w:rPr>
              <w:t>First job characteristics</w:t>
            </w:r>
          </w:p>
        </w:tc>
        <w:tc>
          <w:tcPr>
            <w:tcW w:w="1802" w:type="dxa"/>
            <w:tcBorders>
              <w:top w:val="nil"/>
              <w:left w:val="nil"/>
              <w:bottom w:val="nil"/>
              <w:right w:val="nil"/>
            </w:tcBorders>
            <w:shd w:val="clear" w:color="auto" w:fill="auto"/>
            <w:noWrap/>
            <w:vAlign w:val="bottom"/>
            <w:hideMark/>
          </w:tcPr>
          <w:p w14:paraId="21C9F847" w14:textId="77777777" w:rsidR="00D60817" w:rsidRPr="006C6F80" w:rsidRDefault="00D60817" w:rsidP="00D60817">
            <w:pPr>
              <w:jc w:val="center"/>
              <w:rPr>
                <w:color w:val="000000" w:themeColor="text1"/>
                <w:sz w:val="20"/>
                <w:szCs w:val="20"/>
              </w:rPr>
            </w:pPr>
            <w:r w:rsidRPr="006C6F80">
              <w:rPr>
                <w:color w:val="000000" w:themeColor="text1"/>
                <w:sz w:val="20"/>
                <w:szCs w:val="20"/>
              </w:rPr>
              <w:t>YES</w:t>
            </w:r>
          </w:p>
        </w:tc>
        <w:tc>
          <w:tcPr>
            <w:tcW w:w="1802" w:type="dxa"/>
            <w:tcBorders>
              <w:top w:val="nil"/>
              <w:left w:val="nil"/>
              <w:bottom w:val="nil"/>
              <w:right w:val="nil"/>
            </w:tcBorders>
            <w:shd w:val="clear" w:color="auto" w:fill="auto"/>
            <w:noWrap/>
            <w:vAlign w:val="bottom"/>
            <w:hideMark/>
          </w:tcPr>
          <w:p w14:paraId="5C4685D2" w14:textId="77777777" w:rsidR="00D60817" w:rsidRPr="006C6F80" w:rsidRDefault="00D60817" w:rsidP="00D60817">
            <w:pPr>
              <w:jc w:val="center"/>
              <w:rPr>
                <w:color w:val="000000" w:themeColor="text1"/>
                <w:sz w:val="20"/>
                <w:szCs w:val="20"/>
              </w:rPr>
            </w:pPr>
            <w:r w:rsidRPr="006C6F80">
              <w:rPr>
                <w:color w:val="000000" w:themeColor="text1"/>
                <w:sz w:val="20"/>
                <w:szCs w:val="20"/>
              </w:rPr>
              <w:t>YES</w:t>
            </w:r>
          </w:p>
        </w:tc>
        <w:tc>
          <w:tcPr>
            <w:tcW w:w="1802" w:type="dxa"/>
            <w:tcBorders>
              <w:top w:val="nil"/>
              <w:left w:val="nil"/>
              <w:bottom w:val="nil"/>
              <w:right w:val="nil"/>
            </w:tcBorders>
            <w:shd w:val="clear" w:color="auto" w:fill="auto"/>
            <w:noWrap/>
            <w:vAlign w:val="bottom"/>
            <w:hideMark/>
          </w:tcPr>
          <w:p w14:paraId="1888B4D0" w14:textId="77777777" w:rsidR="00D60817" w:rsidRPr="006C6F80" w:rsidRDefault="00D60817" w:rsidP="00D60817">
            <w:pPr>
              <w:jc w:val="center"/>
              <w:rPr>
                <w:color w:val="000000" w:themeColor="text1"/>
                <w:sz w:val="20"/>
                <w:szCs w:val="20"/>
              </w:rPr>
            </w:pPr>
            <w:r w:rsidRPr="006C6F80">
              <w:rPr>
                <w:color w:val="000000" w:themeColor="text1"/>
                <w:sz w:val="20"/>
                <w:szCs w:val="20"/>
              </w:rPr>
              <w:t>YES</w:t>
            </w:r>
          </w:p>
        </w:tc>
      </w:tr>
      <w:tr w:rsidR="00D60817" w:rsidRPr="006C6F80" w14:paraId="18FBEAEC" w14:textId="77777777" w:rsidTr="00D60817">
        <w:trPr>
          <w:trHeight w:val="262"/>
          <w:jc w:val="center"/>
        </w:trPr>
        <w:tc>
          <w:tcPr>
            <w:tcW w:w="2739" w:type="dxa"/>
            <w:tcBorders>
              <w:top w:val="nil"/>
              <w:left w:val="nil"/>
              <w:bottom w:val="single" w:sz="4" w:space="0" w:color="auto"/>
              <w:right w:val="nil"/>
            </w:tcBorders>
            <w:shd w:val="clear" w:color="auto" w:fill="auto"/>
            <w:noWrap/>
            <w:vAlign w:val="bottom"/>
            <w:hideMark/>
          </w:tcPr>
          <w:p w14:paraId="7D149CFA" w14:textId="77777777" w:rsidR="00D60817" w:rsidRPr="006C6F80" w:rsidRDefault="00D60817" w:rsidP="00D60817">
            <w:pPr>
              <w:rPr>
                <w:color w:val="000000" w:themeColor="text1"/>
                <w:sz w:val="20"/>
                <w:szCs w:val="20"/>
              </w:rPr>
            </w:pPr>
            <w:r w:rsidRPr="006C6F80">
              <w:rPr>
                <w:color w:val="000000" w:themeColor="text1"/>
                <w:sz w:val="20"/>
                <w:szCs w:val="20"/>
              </w:rPr>
              <w:t>First occupation</w:t>
            </w:r>
          </w:p>
        </w:tc>
        <w:tc>
          <w:tcPr>
            <w:tcW w:w="1802" w:type="dxa"/>
            <w:tcBorders>
              <w:top w:val="nil"/>
              <w:left w:val="nil"/>
              <w:bottom w:val="single" w:sz="4" w:space="0" w:color="auto"/>
              <w:right w:val="nil"/>
            </w:tcBorders>
            <w:shd w:val="clear" w:color="auto" w:fill="auto"/>
            <w:noWrap/>
            <w:vAlign w:val="bottom"/>
            <w:hideMark/>
          </w:tcPr>
          <w:p w14:paraId="1AD7231A" w14:textId="77777777" w:rsidR="00D60817" w:rsidRPr="006C6F80" w:rsidRDefault="00D60817" w:rsidP="00D60817">
            <w:pPr>
              <w:jc w:val="center"/>
              <w:rPr>
                <w:color w:val="000000" w:themeColor="text1"/>
                <w:sz w:val="20"/>
                <w:szCs w:val="20"/>
              </w:rPr>
            </w:pPr>
            <w:r w:rsidRPr="006C6F80">
              <w:rPr>
                <w:color w:val="000000" w:themeColor="text1"/>
                <w:sz w:val="20"/>
                <w:szCs w:val="20"/>
              </w:rPr>
              <w:t>YES</w:t>
            </w:r>
          </w:p>
        </w:tc>
        <w:tc>
          <w:tcPr>
            <w:tcW w:w="1802" w:type="dxa"/>
            <w:tcBorders>
              <w:top w:val="nil"/>
              <w:left w:val="nil"/>
              <w:bottom w:val="single" w:sz="4" w:space="0" w:color="auto"/>
              <w:right w:val="nil"/>
            </w:tcBorders>
            <w:shd w:val="clear" w:color="auto" w:fill="auto"/>
            <w:noWrap/>
            <w:vAlign w:val="bottom"/>
            <w:hideMark/>
          </w:tcPr>
          <w:p w14:paraId="4A6A4EB9" w14:textId="77777777" w:rsidR="00D60817" w:rsidRPr="006C6F80" w:rsidRDefault="00D60817" w:rsidP="00D60817">
            <w:pPr>
              <w:jc w:val="center"/>
              <w:rPr>
                <w:color w:val="000000" w:themeColor="text1"/>
                <w:sz w:val="20"/>
                <w:szCs w:val="20"/>
              </w:rPr>
            </w:pPr>
            <w:r w:rsidRPr="006C6F80">
              <w:rPr>
                <w:color w:val="000000" w:themeColor="text1"/>
                <w:sz w:val="20"/>
                <w:szCs w:val="20"/>
              </w:rPr>
              <w:t>YES</w:t>
            </w:r>
          </w:p>
        </w:tc>
        <w:tc>
          <w:tcPr>
            <w:tcW w:w="1802" w:type="dxa"/>
            <w:tcBorders>
              <w:top w:val="nil"/>
              <w:left w:val="nil"/>
              <w:bottom w:val="single" w:sz="4" w:space="0" w:color="auto"/>
              <w:right w:val="nil"/>
            </w:tcBorders>
            <w:shd w:val="clear" w:color="auto" w:fill="auto"/>
            <w:noWrap/>
            <w:vAlign w:val="bottom"/>
            <w:hideMark/>
          </w:tcPr>
          <w:p w14:paraId="6B5AE479" w14:textId="77777777" w:rsidR="00D60817" w:rsidRPr="006C6F80" w:rsidRDefault="00D60817" w:rsidP="00D60817">
            <w:pPr>
              <w:jc w:val="center"/>
              <w:rPr>
                <w:color w:val="000000" w:themeColor="text1"/>
                <w:sz w:val="20"/>
                <w:szCs w:val="20"/>
              </w:rPr>
            </w:pPr>
            <w:r w:rsidRPr="006C6F80">
              <w:rPr>
                <w:color w:val="000000" w:themeColor="text1"/>
                <w:sz w:val="20"/>
                <w:szCs w:val="20"/>
              </w:rPr>
              <w:t>YES</w:t>
            </w:r>
          </w:p>
        </w:tc>
      </w:tr>
    </w:tbl>
    <w:p w14:paraId="6F762276" w14:textId="6442A6D4" w:rsidR="0087359C" w:rsidRPr="006C6F80" w:rsidRDefault="0087359C" w:rsidP="00D60817">
      <w:pPr>
        <w:ind w:left="1170" w:right="1156"/>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Robust standard errors in parentheses</w:t>
      </w:r>
    </w:p>
    <w:p w14:paraId="2215034D" w14:textId="77777777" w:rsidR="0087359C" w:rsidRPr="006C6F80" w:rsidRDefault="0087359C" w:rsidP="00D60817">
      <w:pPr>
        <w:ind w:left="1170" w:right="1156"/>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 p&lt;0.01, ** p&lt;0.05, * p&lt;0.1 </w:t>
      </w:r>
    </w:p>
    <w:p w14:paraId="009709D5" w14:textId="2C2E40C9" w:rsidR="00CE2A1C" w:rsidRPr="006C6F80" w:rsidRDefault="0087359C" w:rsidP="00D60817">
      <w:pPr>
        <w:tabs>
          <w:tab w:val="left" w:pos="9214"/>
          <w:tab w:val="left" w:pos="9270"/>
        </w:tabs>
        <w:ind w:left="1170" w:right="1156"/>
        <w:jc w:val="both"/>
        <w:rPr>
          <w:rFonts w:asciiTheme="majorBidi" w:hAnsiTheme="majorBidi" w:cstheme="majorBidi"/>
          <w:color w:val="000000" w:themeColor="text1"/>
          <w:sz w:val="18"/>
          <w:szCs w:val="18"/>
        </w:rPr>
      </w:pPr>
      <w:r w:rsidRPr="006C6F80">
        <w:rPr>
          <w:rFonts w:asciiTheme="majorBidi" w:hAnsiTheme="majorBidi" w:cstheme="majorBidi"/>
          <w:i/>
          <w:iCs/>
          <w:color w:val="000000" w:themeColor="text1"/>
          <w:sz w:val="18"/>
          <w:szCs w:val="18"/>
        </w:rPr>
        <w:t xml:space="preserve">Notes. </w:t>
      </w:r>
      <w:r w:rsidRPr="006C6F80">
        <w:rPr>
          <w:rFonts w:asciiTheme="majorBidi" w:hAnsiTheme="majorBidi" w:cstheme="majorBidi"/>
          <w:color w:val="000000" w:themeColor="text1"/>
          <w:sz w:val="18"/>
          <w:szCs w:val="18"/>
        </w:rPr>
        <w:t xml:space="preserve">Coefficient estimates for first stage IV-regressions </w:t>
      </w:r>
      <w:r w:rsidR="00C622A3" w:rsidRPr="006C6F80">
        <w:rPr>
          <w:rFonts w:asciiTheme="majorBidi" w:hAnsiTheme="majorBidi" w:cstheme="majorBidi"/>
          <w:color w:val="000000" w:themeColor="text1"/>
          <w:sz w:val="18"/>
          <w:szCs w:val="18"/>
        </w:rPr>
        <w:t>are reported. In Panel A, we cluster our regressions at the community level. In Panel B, we cluster our regressions by year of birth (Panel B). W</w:t>
      </w:r>
      <w:r w:rsidRPr="006C6F80">
        <w:rPr>
          <w:rFonts w:asciiTheme="majorBidi" w:hAnsiTheme="majorBidi" w:cstheme="majorBidi"/>
          <w:color w:val="000000" w:themeColor="text1"/>
          <w:sz w:val="18"/>
          <w:szCs w:val="18"/>
        </w:rPr>
        <w:t>e use the inflation-adjusted oil prices when the individual was 26 years old</w:t>
      </w:r>
      <w:r w:rsidR="00500927" w:rsidRPr="006C6F80">
        <w:rPr>
          <w:rFonts w:asciiTheme="majorBidi" w:hAnsiTheme="majorBidi" w:cstheme="majorBidi"/>
          <w:color w:val="000000" w:themeColor="text1"/>
          <w:sz w:val="18"/>
          <w:szCs w:val="18"/>
        </w:rPr>
        <w:t xml:space="preserve"> (the mean age at migration in our estimation sample). For robustness, we also tried to match the oil prices at age 25 and age 27.</w:t>
      </w:r>
    </w:p>
    <w:p w14:paraId="057831F8" w14:textId="6F21B8FE" w:rsidR="00B975F1" w:rsidRPr="006C6F80" w:rsidRDefault="00B975F1" w:rsidP="00D60817">
      <w:pPr>
        <w:tabs>
          <w:tab w:val="left" w:pos="9214"/>
          <w:tab w:val="left" w:pos="9270"/>
        </w:tabs>
        <w:ind w:left="1170" w:right="1156"/>
        <w:jc w:val="both"/>
        <w:rPr>
          <w:rFonts w:asciiTheme="majorBidi" w:hAnsiTheme="majorBidi" w:cstheme="majorBidi"/>
          <w:color w:val="000000" w:themeColor="text1"/>
          <w:sz w:val="18"/>
          <w:szCs w:val="18"/>
        </w:rPr>
      </w:pPr>
    </w:p>
    <w:p w14:paraId="7BC2CBD0" w14:textId="7B11E392" w:rsidR="00B975F1" w:rsidRPr="006C6F80" w:rsidRDefault="00B975F1" w:rsidP="00D60817">
      <w:pPr>
        <w:tabs>
          <w:tab w:val="left" w:pos="9214"/>
          <w:tab w:val="left" w:pos="9270"/>
        </w:tabs>
        <w:ind w:left="1170" w:right="1156"/>
        <w:jc w:val="both"/>
        <w:rPr>
          <w:rFonts w:asciiTheme="majorBidi" w:hAnsiTheme="majorBidi" w:cstheme="majorBidi"/>
          <w:color w:val="000000" w:themeColor="text1"/>
          <w:sz w:val="18"/>
          <w:szCs w:val="18"/>
        </w:rPr>
      </w:pPr>
    </w:p>
    <w:p w14:paraId="78543F5D" w14:textId="530FBF35" w:rsidR="00B975F1" w:rsidRPr="006C6F80" w:rsidRDefault="00B975F1" w:rsidP="00D60817">
      <w:pPr>
        <w:tabs>
          <w:tab w:val="left" w:pos="9214"/>
          <w:tab w:val="left" w:pos="9270"/>
        </w:tabs>
        <w:ind w:left="1170" w:right="1156"/>
        <w:jc w:val="both"/>
        <w:rPr>
          <w:rFonts w:asciiTheme="majorBidi" w:hAnsiTheme="majorBidi" w:cstheme="majorBidi"/>
          <w:color w:val="000000" w:themeColor="text1"/>
          <w:sz w:val="18"/>
          <w:szCs w:val="18"/>
        </w:rPr>
      </w:pPr>
    </w:p>
    <w:p w14:paraId="1E2727CD" w14:textId="5F2EAB41" w:rsidR="00B975F1" w:rsidRPr="006C6F80" w:rsidRDefault="00B975F1" w:rsidP="00D60817">
      <w:pPr>
        <w:tabs>
          <w:tab w:val="left" w:pos="9214"/>
          <w:tab w:val="left" w:pos="9270"/>
        </w:tabs>
        <w:ind w:left="1170" w:right="1156"/>
        <w:jc w:val="both"/>
        <w:rPr>
          <w:rFonts w:asciiTheme="majorBidi" w:hAnsiTheme="majorBidi" w:cstheme="majorBidi"/>
          <w:color w:val="000000" w:themeColor="text1"/>
          <w:sz w:val="18"/>
          <w:szCs w:val="18"/>
        </w:rPr>
      </w:pPr>
    </w:p>
    <w:p w14:paraId="1C6CB6E8" w14:textId="11B1910A" w:rsidR="00B975F1" w:rsidRPr="006C6F80" w:rsidRDefault="00B975F1" w:rsidP="00D60817">
      <w:pPr>
        <w:tabs>
          <w:tab w:val="left" w:pos="9214"/>
          <w:tab w:val="left" w:pos="9270"/>
        </w:tabs>
        <w:ind w:left="1170" w:right="1156"/>
        <w:jc w:val="both"/>
        <w:rPr>
          <w:rFonts w:asciiTheme="majorBidi" w:hAnsiTheme="majorBidi" w:cstheme="majorBidi"/>
          <w:color w:val="000000" w:themeColor="text1"/>
          <w:sz w:val="18"/>
          <w:szCs w:val="18"/>
        </w:rPr>
      </w:pPr>
    </w:p>
    <w:tbl>
      <w:tblPr>
        <w:tblW w:w="10988" w:type="dxa"/>
        <w:jc w:val="center"/>
        <w:tblLayout w:type="fixed"/>
        <w:tblLook w:val="04A0" w:firstRow="1" w:lastRow="0" w:firstColumn="1" w:lastColumn="0" w:noHBand="0" w:noVBand="1"/>
      </w:tblPr>
      <w:tblGrid>
        <w:gridCol w:w="1080"/>
        <w:gridCol w:w="3780"/>
        <w:gridCol w:w="1080"/>
        <w:gridCol w:w="900"/>
        <w:gridCol w:w="1080"/>
        <w:gridCol w:w="8"/>
        <w:gridCol w:w="1072"/>
        <w:gridCol w:w="900"/>
        <w:gridCol w:w="1066"/>
        <w:gridCol w:w="22"/>
      </w:tblGrid>
      <w:tr w:rsidR="00B975F1" w:rsidRPr="006C6F80" w14:paraId="22C2FB9E" w14:textId="77777777" w:rsidTr="00B87104">
        <w:trPr>
          <w:gridAfter w:val="1"/>
          <w:wAfter w:w="22" w:type="dxa"/>
          <w:trHeight w:val="260"/>
          <w:jc w:val="center"/>
        </w:trPr>
        <w:tc>
          <w:tcPr>
            <w:tcW w:w="10966" w:type="dxa"/>
            <w:gridSpan w:val="9"/>
            <w:tcBorders>
              <w:top w:val="nil"/>
              <w:left w:val="nil"/>
              <w:bottom w:val="single" w:sz="4" w:space="0" w:color="auto"/>
              <w:right w:val="nil"/>
            </w:tcBorders>
            <w:shd w:val="clear" w:color="auto" w:fill="auto"/>
            <w:noWrap/>
            <w:vAlign w:val="bottom"/>
            <w:hideMark/>
          </w:tcPr>
          <w:p w14:paraId="383D4D15" w14:textId="77777777" w:rsidR="00B975F1" w:rsidRPr="006C6F80" w:rsidRDefault="00B975F1" w:rsidP="00B87104">
            <w:pPr>
              <w:jc w:val="center"/>
              <w:rPr>
                <w:b/>
                <w:bCs/>
                <w:color w:val="000000" w:themeColor="text1"/>
                <w:sz w:val="20"/>
                <w:szCs w:val="20"/>
              </w:rPr>
            </w:pPr>
            <w:r w:rsidRPr="006C6F80">
              <w:rPr>
                <w:b/>
                <w:bCs/>
                <w:color w:val="000000" w:themeColor="text1"/>
                <w:sz w:val="20"/>
                <w:szCs w:val="20"/>
              </w:rPr>
              <w:lastRenderedPageBreak/>
              <w:t>Table A3: Covariate balance before and after the matching</w:t>
            </w:r>
          </w:p>
        </w:tc>
      </w:tr>
      <w:tr w:rsidR="00B975F1" w:rsidRPr="006C6F80" w14:paraId="3546DB46" w14:textId="77777777" w:rsidTr="00B87104">
        <w:trPr>
          <w:trHeight w:val="260"/>
          <w:jc w:val="center"/>
        </w:trPr>
        <w:tc>
          <w:tcPr>
            <w:tcW w:w="4860" w:type="dxa"/>
            <w:gridSpan w:val="2"/>
            <w:tcBorders>
              <w:top w:val="single" w:sz="4" w:space="0" w:color="auto"/>
              <w:left w:val="nil"/>
              <w:bottom w:val="single" w:sz="4" w:space="0" w:color="auto"/>
              <w:right w:val="nil"/>
            </w:tcBorders>
            <w:shd w:val="clear" w:color="auto" w:fill="auto"/>
            <w:noWrap/>
            <w:vAlign w:val="bottom"/>
            <w:hideMark/>
          </w:tcPr>
          <w:p w14:paraId="2D3B9FD6" w14:textId="77777777" w:rsidR="00B975F1" w:rsidRPr="006C6F80" w:rsidRDefault="00B975F1" w:rsidP="00B87104">
            <w:pPr>
              <w:jc w:val="center"/>
              <w:rPr>
                <w:color w:val="000000" w:themeColor="text1"/>
                <w:sz w:val="20"/>
                <w:szCs w:val="20"/>
              </w:rPr>
            </w:pPr>
            <w:r w:rsidRPr="006C6F80">
              <w:rPr>
                <w:color w:val="000000" w:themeColor="text1"/>
                <w:sz w:val="20"/>
                <w:szCs w:val="20"/>
              </w:rPr>
              <w:t> </w:t>
            </w:r>
          </w:p>
        </w:tc>
        <w:tc>
          <w:tcPr>
            <w:tcW w:w="1080" w:type="dxa"/>
            <w:tcBorders>
              <w:top w:val="nil"/>
              <w:left w:val="nil"/>
              <w:bottom w:val="single" w:sz="4" w:space="0" w:color="auto"/>
              <w:right w:val="nil"/>
            </w:tcBorders>
            <w:shd w:val="clear" w:color="auto" w:fill="auto"/>
            <w:noWrap/>
            <w:vAlign w:val="bottom"/>
            <w:hideMark/>
          </w:tcPr>
          <w:p w14:paraId="636F9A80" w14:textId="77777777" w:rsidR="00B975F1" w:rsidRPr="006C6F80" w:rsidRDefault="00B975F1" w:rsidP="00B87104">
            <w:pPr>
              <w:jc w:val="center"/>
              <w:rPr>
                <w:color w:val="000000" w:themeColor="text1"/>
                <w:sz w:val="20"/>
                <w:szCs w:val="20"/>
              </w:rPr>
            </w:pPr>
            <w:r w:rsidRPr="006C6F80">
              <w:rPr>
                <w:color w:val="000000" w:themeColor="text1"/>
                <w:sz w:val="20"/>
                <w:szCs w:val="20"/>
              </w:rPr>
              <w:t>(1)</w:t>
            </w:r>
          </w:p>
        </w:tc>
        <w:tc>
          <w:tcPr>
            <w:tcW w:w="900" w:type="dxa"/>
            <w:tcBorders>
              <w:top w:val="nil"/>
              <w:left w:val="nil"/>
              <w:bottom w:val="single" w:sz="4" w:space="0" w:color="auto"/>
              <w:right w:val="nil"/>
            </w:tcBorders>
            <w:shd w:val="clear" w:color="auto" w:fill="auto"/>
            <w:noWrap/>
            <w:vAlign w:val="bottom"/>
            <w:hideMark/>
          </w:tcPr>
          <w:p w14:paraId="4B86FE76" w14:textId="77777777" w:rsidR="00B975F1" w:rsidRPr="006C6F80" w:rsidRDefault="00B975F1" w:rsidP="00B87104">
            <w:pPr>
              <w:jc w:val="center"/>
              <w:rPr>
                <w:color w:val="000000" w:themeColor="text1"/>
                <w:sz w:val="20"/>
                <w:szCs w:val="20"/>
              </w:rPr>
            </w:pPr>
            <w:r w:rsidRPr="006C6F80">
              <w:rPr>
                <w:color w:val="000000" w:themeColor="text1"/>
                <w:sz w:val="20"/>
                <w:szCs w:val="20"/>
              </w:rPr>
              <w:t>(2)</w:t>
            </w:r>
          </w:p>
        </w:tc>
        <w:tc>
          <w:tcPr>
            <w:tcW w:w="1080" w:type="dxa"/>
            <w:tcBorders>
              <w:top w:val="nil"/>
              <w:left w:val="nil"/>
              <w:bottom w:val="single" w:sz="4" w:space="0" w:color="auto"/>
              <w:right w:val="nil"/>
            </w:tcBorders>
            <w:shd w:val="clear" w:color="auto" w:fill="auto"/>
            <w:noWrap/>
            <w:vAlign w:val="bottom"/>
            <w:hideMark/>
          </w:tcPr>
          <w:p w14:paraId="14DCC62B" w14:textId="77777777" w:rsidR="00B975F1" w:rsidRPr="006C6F80" w:rsidRDefault="00B975F1" w:rsidP="00B87104">
            <w:pPr>
              <w:jc w:val="center"/>
              <w:rPr>
                <w:color w:val="000000" w:themeColor="text1"/>
                <w:sz w:val="20"/>
                <w:szCs w:val="20"/>
              </w:rPr>
            </w:pPr>
            <w:r w:rsidRPr="006C6F80">
              <w:rPr>
                <w:color w:val="000000" w:themeColor="text1"/>
                <w:sz w:val="20"/>
                <w:szCs w:val="20"/>
              </w:rPr>
              <w:t>(3)</w:t>
            </w:r>
          </w:p>
        </w:tc>
        <w:tc>
          <w:tcPr>
            <w:tcW w:w="1080" w:type="dxa"/>
            <w:gridSpan w:val="2"/>
            <w:tcBorders>
              <w:top w:val="nil"/>
              <w:left w:val="nil"/>
              <w:bottom w:val="single" w:sz="4" w:space="0" w:color="auto"/>
              <w:right w:val="nil"/>
            </w:tcBorders>
            <w:shd w:val="clear" w:color="auto" w:fill="auto"/>
            <w:noWrap/>
            <w:vAlign w:val="bottom"/>
            <w:hideMark/>
          </w:tcPr>
          <w:p w14:paraId="74AB162A" w14:textId="77777777" w:rsidR="00B975F1" w:rsidRPr="006C6F80" w:rsidRDefault="00B975F1" w:rsidP="00B87104">
            <w:pPr>
              <w:jc w:val="center"/>
              <w:rPr>
                <w:color w:val="000000" w:themeColor="text1"/>
                <w:sz w:val="20"/>
                <w:szCs w:val="20"/>
              </w:rPr>
            </w:pPr>
            <w:r w:rsidRPr="006C6F80">
              <w:rPr>
                <w:color w:val="000000" w:themeColor="text1"/>
                <w:sz w:val="20"/>
                <w:szCs w:val="20"/>
              </w:rPr>
              <w:t>(4)</w:t>
            </w:r>
          </w:p>
        </w:tc>
        <w:tc>
          <w:tcPr>
            <w:tcW w:w="900" w:type="dxa"/>
            <w:tcBorders>
              <w:top w:val="nil"/>
              <w:left w:val="nil"/>
              <w:bottom w:val="single" w:sz="4" w:space="0" w:color="auto"/>
              <w:right w:val="nil"/>
            </w:tcBorders>
            <w:shd w:val="clear" w:color="auto" w:fill="auto"/>
            <w:noWrap/>
            <w:vAlign w:val="bottom"/>
            <w:hideMark/>
          </w:tcPr>
          <w:p w14:paraId="627E5273" w14:textId="77777777" w:rsidR="00B975F1" w:rsidRPr="006C6F80" w:rsidRDefault="00B975F1" w:rsidP="00B87104">
            <w:pPr>
              <w:jc w:val="center"/>
              <w:rPr>
                <w:color w:val="000000" w:themeColor="text1"/>
                <w:sz w:val="20"/>
                <w:szCs w:val="20"/>
              </w:rPr>
            </w:pPr>
            <w:r w:rsidRPr="006C6F80">
              <w:rPr>
                <w:color w:val="000000" w:themeColor="text1"/>
                <w:sz w:val="20"/>
                <w:szCs w:val="20"/>
              </w:rPr>
              <w:t>(5)</w:t>
            </w:r>
          </w:p>
        </w:tc>
        <w:tc>
          <w:tcPr>
            <w:tcW w:w="1083" w:type="dxa"/>
            <w:gridSpan w:val="2"/>
            <w:tcBorders>
              <w:top w:val="nil"/>
              <w:left w:val="nil"/>
              <w:bottom w:val="single" w:sz="4" w:space="0" w:color="auto"/>
              <w:right w:val="nil"/>
            </w:tcBorders>
            <w:shd w:val="clear" w:color="auto" w:fill="auto"/>
            <w:noWrap/>
            <w:vAlign w:val="bottom"/>
            <w:hideMark/>
          </w:tcPr>
          <w:p w14:paraId="232DF619" w14:textId="77777777" w:rsidR="00B975F1" w:rsidRPr="006C6F80" w:rsidRDefault="00B975F1" w:rsidP="00B87104">
            <w:pPr>
              <w:jc w:val="center"/>
              <w:rPr>
                <w:color w:val="000000" w:themeColor="text1"/>
                <w:sz w:val="20"/>
                <w:szCs w:val="20"/>
              </w:rPr>
            </w:pPr>
            <w:r w:rsidRPr="006C6F80">
              <w:rPr>
                <w:color w:val="000000" w:themeColor="text1"/>
                <w:sz w:val="20"/>
                <w:szCs w:val="20"/>
              </w:rPr>
              <w:t>(6)</w:t>
            </w:r>
          </w:p>
        </w:tc>
      </w:tr>
      <w:tr w:rsidR="00B975F1" w:rsidRPr="006C6F80" w14:paraId="12466A4A" w14:textId="77777777" w:rsidTr="00B87104">
        <w:trPr>
          <w:trHeight w:val="260"/>
          <w:jc w:val="center"/>
        </w:trPr>
        <w:tc>
          <w:tcPr>
            <w:tcW w:w="4860" w:type="dxa"/>
            <w:gridSpan w:val="2"/>
            <w:tcBorders>
              <w:top w:val="single" w:sz="4" w:space="0" w:color="auto"/>
              <w:left w:val="nil"/>
              <w:bottom w:val="single" w:sz="4" w:space="0" w:color="auto"/>
              <w:right w:val="nil"/>
            </w:tcBorders>
            <w:shd w:val="clear" w:color="auto" w:fill="auto"/>
            <w:noWrap/>
            <w:vAlign w:val="bottom"/>
            <w:hideMark/>
          </w:tcPr>
          <w:p w14:paraId="7A56DD20" w14:textId="77777777" w:rsidR="00B975F1" w:rsidRPr="006C6F80" w:rsidRDefault="00B975F1" w:rsidP="00B87104">
            <w:pPr>
              <w:jc w:val="center"/>
              <w:rPr>
                <w:color w:val="000000" w:themeColor="text1"/>
                <w:sz w:val="20"/>
                <w:szCs w:val="20"/>
              </w:rPr>
            </w:pPr>
            <w:r w:rsidRPr="006C6F80">
              <w:rPr>
                <w:color w:val="000000" w:themeColor="text1"/>
                <w:sz w:val="20"/>
                <w:szCs w:val="20"/>
              </w:rPr>
              <w:t> </w:t>
            </w:r>
          </w:p>
        </w:tc>
        <w:tc>
          <w:tcPr>
            <w:tcW w:w="3068" w:type="dxa"/>
            <w:gridSpan w:val="4"/>
            <w:tcBorders>
              <w:top w:val="single" w:sz="4" w:space="0" w:color="auto"/>
              <w:left w:val="nil"/>
              <w:bottom w:val="nil"/>
              <w:right w:val="nil"/>
            </w:tcBorders>
            <w:shd w:val="clear" w:color="auto" w:fill="auto"/>
            <w:noWrap/>
            <w:vAlign w:val="bottom"/>
            <w:hideMark/>
          </w:tcPr>
          <w:p w14:paraId="716E0683" w14:textId="77777777" w:rsidR="00B975F1" w:rsidRPr="006C6F80" w:rsidRDefault="00B975F1" w:rsidP="00B87104">
            <w:pPr>
              <w:jc w:val="center"/>
              <w:rPr>
                <w:b/>
                <w:bCs/>
                <w:color w:val="000000" w:themeColor="text1"/>
                <w:sz w:val="20"/>
                <w:szCs w:val="20"/>
              </w:rPr>
            </w:pPr>
            <w:r w:rsidRPr="006C6F80">
              <w:rPr>
                <w:b/>
                <w:bCs/>
                <w:color w:val="000000" w:themeColor="text1"/>
                <w:sz w:val="20"/>
                <w:szCs w:val="20"/>
              </w:rPr>
              <w:t>Before matching</w:t>
            </w:r>
          </w:p>
        </w:tc>
        <w:tc>
          <w:tcPr>
            <w:tcW w:w="3060" w:type="dxa"/>
            <w:gridSpan w:val="4"/>
            <w:tcBorders>
              <w:top w:val="single" w:sz="4" w:space="0" w:color="auto"/>
              <w:left w:val="nil"/>
              <w:bottom w:val="nil"/>
              <w:right w:val="nil"/>
            </w:tcBorders>
            <w:shd w:val="clear" w:color="auto" w:fill="auto"/>
            <w:noWrap/>
            <w:vAlign w:val="bottom"/>
            <w:hideMark/>
          </w:tcPr>
          <w:p w14:paraId="24FCD364" w14:textId="77777777" w:rsidR="00B975F1" w:rsidRPr="006C6F80" w:rsidRDefault="00B975F1" w:rsidP="00B87104">
            <w:pPr>
              <w:jc w:val="center"/>
              <w:rPr>
                <w:b/>
                <w:bCs/>
                <w:color w:val="000000" w:themeColor="text1"/>
                <w:sz w:val="20"/>
                <w:szCs w:val="20"/>
              </w:rPr>
            </w:pPr>
            <w:r w:rsidRPr="006C6F80">
              <w:rPr>
                <w:b/>
                <w:bCs/>
                <w:color w:val="000000" w:themeColor="text1"/>
                <w:sz w:val="20"/>
                <w:szCs w:val="20"/>
              </w:rPr>
              <w:t>After matching</w:t>
            </w:r>
          </w:p>
        </w:tc>
      </w:tr>
      <w:tr w:rsidR="00B975F1" w:rsidRPr="006C6F80" w14:paraId="237C8F6B" w14:textId="77777777" w:rsidTr="00B87104">
        <w:trPr>
          <w:trHeight w:val="260"/>
          <w:jc w:val="center"/>
        </w:trPr>
        <w:tc>
          <w:tcPr>
            <w:tcW w:w="4860" w:type="dxa"/>
            <w:gridSpan w:val="2"/>
            <w:tcBorders>
              <w:top w:val="single" w:sz="4" w:space="0" w:color="auto"/>
              <w:left w:val="nil"/>
              <w:bottom w:val="nil"/>
              <w:right w:val="nil"/>
            </w:tcBorders>
            <w:shd w:val="clear" w:color="auto" w:fill="auto"/>
            <w:noWrap/>
            <w:vAlign w:val="bottom"/>
            <w:hideMark/>
          </w:tcPr>
          <w:p w14:paraId="32684CE2" w14:textId="77777777" w:rsidR="00B975F1" w:rsidRPr="006C6F80" w:rsidRDefault="00B975F1" w:rsidP="00B87104">
            <w:pPr>
              <w:jc w:val="center"/>
              <w:rPr>
                <w:color w:val="000000" w:themeColor="text1"/>
                <w:sz w:val="20"/>
                <w:szCs w:val="20"/>
              </w:rPr>
            </w:pPr>
            <w:r w:rsidRPr="006C6F80">
              <w:rPr>
                <w:color w:val="000000" w:themeColor="text1"/>
                <w:sz w:val="20"/>
                <w:szCs w:val="20"/>
              </w:rPr>
              <w:t> </w:t>
            </w:r>
          </w:p>
        </w:tc>
        <w:tc>
          <w:tcPr>
            <w:tcW w:w="1080" w:type="dxa"/>
            <w:tcBorders>
              <w:top w:val="single" w:sz="4" w:space="0" w:color="auto"/>
              <w:left w:val="nil"/>
              <w:bottom w:val="nil"/>
              <w:right w:val="nil"/>
            </w:tcBorders>
            <w:shd w:val="clear" w:color="auto" w:fill="auto"/>
            <w:noWrap/>
            <w:vAlign w:val="bottom"/>
            <w:hideMark/>
          </w:tcPr>
          <w:p w14:paraId="665A5630" w14:textId="77777777" w:rsidR="00B975F1" w:rsidRPr="006C6F80" w:rsidRDefault="00B975F1" w:rsidP="00B87104">
            <w:pPr>
              <w:jc w:val="center"/>
              <w:rPr>
                <w:color w:val="000000" w:themeColor="text1"/>
                <w:sz w:val="20"/>
                <w:szCs w:val="20"/>
              </w:rPr>
            </w:pPr>
            <w:r w:rsidRPr="006C6F80">
              <w:rPr>
                <w:color w:val="000000" w:themeColor="text1"/>
                <w:sz w:val="20"/>
                <w:szCs w:val="20"/>
              </w:rPr>
              <w:t>Untreated</w:t>
            </w:r>
          </w:p>
        </w:tc>
        <w:tc>
          <w:tcPr>
            <w:tcW w:w="900" w:type="dxa"/>
            <w:tcBorders>
              <w:top w:val="single" w:sz="4" w:space="0" w:color="auto"/>
              <w:left w:val="nil"/>
              <w:bottom w:val="nil"/>
              <w:right w:val="nil"/>
            </w:tcBorders>
            <w:shd w:val="clear" w:color="auto" w:fill="auto"/>
            <w:noWrap/>
            <w:vAlign w:val="bottom"/>
            <w:hideMark/>
          </w:tcPr>
          <w:p w14:paraId="32A95258" w14:textId="77777777" w:rsidR="00B975F1" w:rsidRPr="006C6F80" w:rsidRDefault="00B975F1" w:rsidP="00B87104">
            <w:pPr>
              <w:jc w:val="center"/>
              <w:rPr>
                <w:color w:val="000000" w:themeColor="text1"/>
                <w:sz w:val="20"/>
                <w:szCs w:val="20"/>
              </w:rPr>
            </w:pPr>
            <w:r w:rsidRPr="006C6F80">
              <w:rPr>
                <w:color w:val="000000" w:themeColor="text1"/>
                <w:sz w:val="20"/>
                <w:szCs w:val="20"/>
              </w:rPr>
              <w:t>Treated</w:t>
            </w:r>
          </w:p>
        </w:tc>
        <w:tc>
          <w:tcPr>
            <w:tcW w:w="1080" w:type="dxa"/>
            <w:vMerge w:val="restart"/>
            <w:tcBorders>
              <w:top w:val="single" w:sz="4" w:space="0" w:color="auto"/>
              <w:left w:val="nil"/>
              <w:bottom w:val="single" w:sz="4" w:space="0" w:color="000000"/>
              <w:right w:val="nil"/>
            </w:tcBorders>
            <w:shd w:val="clear" w:color="auto" w:fill="auto"/>
            <w:vAlign w:val="center"/>
            <w:hideMark/>
          </w:tcPr>
          <w:p w14:paraId="24C8CAD2" w14:textId="77777777" w:rsidR="00B975F1" w:rsidRPr="006C6F80" w:rsidRDefault="00B975F1" w:rsidP="00B87104">
            <w:pPr>
              <w:jc w:val="center"/>
              <w:rPr>
                <w:color w:val="000000" w:themeColor="text1"/>
                <w:sz w:val="20"/>
                <w:szCs w:val="20"/>
              </w:rPr>
            </w:pPr>
            <w:r w:rsidRPr="006C6F80">
              <w:rPr>
                <w:color w:val="000000" w:themeColor="text1"/>
                <w:sz w:val="20"/>
                <w:szCs w:val="20"/>
              </w:rPr>
              <w:t>Difference</w:t>
            </w:r>
          </w:p>
        </w:tc>
        <w:tc>
          <w:tcPr>
            <w:tcW w:w="1080" w:type="dxa"/>
            <w:gridSpan w:val="2"/>
            <w:tcBorders>
              <w:top w:val="single" w:sz="4" w:space="0" w:color="auto"/>
              <w:left w:val="nil"/>
              <w:bottom w:val="nil"/>
              <w:right w:val="nil"/>
            </w:tcBorders>
            <w:shd w:val="clear" w:color="auto" w:fill="auto"/>
            <w:noWrap/>
            <w:vAlign w:val="bottom"/>
            <w:hideMark/>
          </w:tcPr>
          <w:p w14:paraId="46198D64" w14:textId="77777777" w:rsidR="00B975F1" w:rsidRPr="006C6F80" w:rsidRDefault="00B975F1" w:rsidP="00B87104">
            <w:pPr>
              <w:jc w:val="center"/>
              <w:rPr>
                <w:color w:val="000000" w:themeColor="text1"/>
                <w:sz w:val="20"/>
                <w:szCs w:val="20"/>
              </w:rPr>
            </w:pPr>
            <w:r w:rsidRPr="006C6F80">
              <w:rPr>
                <w:color w:val="000000" w:themeColor="text1"/>
                <w:sz w:val="20"/>
                <w:szCs w:val="20"/>
              </w:rPr>
              <w:t>Untreated</w:t>
            </w:r>
          </w:p>
        </w:tc>
        <w:tc>
          <w:tcPr>
            <w:tcW w:w="900" w:type="dxa"/>
            <w:tcBorders>
              <w:top w:val="single" w:sz="4" w:space="0" w:color="auto"/>
              <w:left w:val="nil"/>
              <w:bottom w:val="nil"/>
              <w:right w:val="nil"/>
            </w:tcBorders>
            <w:shd w:val="clear" w:color="auto" w:fill="auto"/>
            <w:noWrap/>
            <w:vAlign w:val="bottom"/>
            <w:hideMark/>
          </w:tcPr>
          <w:p w14:paraId="5D520A85" w14:textId="77777777" w:rsidR="00B975F1" w:rsidRPr="006C6F80" w:rsidRDefault="00B975F1" w:rsidP="00B87104">
            <w:pPr>
              <w:jc w:val="center"/>
              <w:rPr>
                <w:color w:val="000000" w:themeColor="text1"/>
                <w:sz w:val="20"/>
                <w:szCs w:val="20"/>
              </w:rPr>
            </w:pPr>
            <w:r w:rsidRPr="006C6F80">
              <w:rPr>
                <w:color w:val="000000" w:themeColor="text1"/>
                <w:sz w:val="20"/>
                <w:szCs w:val="20"/>
              </w:rPr>
              <w:t>Treated</w:t>
            </w:r>
          </w:p>
        </w:tc>
        <w:tc>
          <w:tcPr>
            <w:tcW w:w="1083" w:type="dxa"/>
            <w:gridSpan w:val="2"/>
            <w:vMerge w:val="restart"/>
            <w:tcBorders>
              <w:top w:val="single" w:sz="4" w:space="0" w:color="auto"/>
              <w:left w:val="nil"/>
              <w:bottom w:val="single" w:sz="4" w:space="0" w:color="000000"/>
              <w:right w:val="nil"/>
            </w:tcBorders>
            <w:shd w:val="clear" w:color="auto" w:fill="auto"/>
            <w:vAlign w:val="center"/>
            <w:hideMark/>
          </w:tcPr>
          <w:p w14:paraId="2F6A7E50" w14:textId="77777777" w:rsidR="00B975F1" w:rsidRPr="006C6F80" w:rsidRDefault="00B975F1" w:rsidP="00B87104">
            <w:pPr>
              <w:jc w:val="center"/>
              <w:rPr>
                <w:color w:val="000000" w:themeColor="text1"/>
                <w:sz w:val="20"/>
                <w:szCs w:val="20"/>
              </w:rPr>
            </w:pPr>
            <w:r w:rsidRPr="006C6F80">
              <w:rPr>
                <w:color w:val="000000" w:themeColor="text1"/>
                <w:sz w:val="20"/>
                <w:szCs w:val="20"/>
              </w:rPr>
              <w:t>Difference</w:t>
            </w:r>
          </w:p>
        </w:tc>
      </w:tr>
      <w:tr w:rsidR="00B975F1" w:rsidRPr="006C6F80" w14:paraId="10300914" w14:textId="77777777" w:rsidTr="00B87104">
        <w:trPr>
          <w:trHeight w:val="260"/>
          <w:jc w:val="center"/>
        </w:trPr>
        <w:tc>
          <w:tcPr>
            <w:tcW w:w="4860" w:type="dxa"/>
            <w:gridSpan w:val="2"/>
            <w:tcBorders>
              <w:top w:val="nil"/>
              <w:left w:val="nil"/>
              <w:bottom w:val="single" w:sz="4" w:space="0" w:color="auto"/>
              <w:right w:val="nil"/>
            </w:tcBorders>
            <w:shd w:val="clear" w:color="auto" w:fill="auto"/>
            <w:vAlign w:val="center"/>
            <w:hideMark/>
          </w:tcPr>
          <w:p w14:paraId="7C96B2DD" w14:textId="77777777" w:rsidR="00B975F1" w:rsidRPr="006C6F80" w:rsidRDefault="00B975F1" w:rsidP="00B87104">
            <w:pPr>
              <w:rPr>
                <w:color w:val="000000" w:themeColor="text1"/>
                <w:sz w:val="20"/>
                <w:szCs w:val="20"/>
              </w:rPr>
            </w:pPr>
            <w:r w:rsidRPr="006C6F80">
              <w:rPr>
                <w:color w:val="000000" w:themeColor="text1"/>
                <w:sz w:val="20"/>
                <w:szCs w:val="20"/>
              </w:rPr>
              <w:t>VARIABLES</w:t>
            </w:r>
          </w:p>
        </w:tc>
        <w:tc>
          <w:tcPr>
            <w:tcW w:w="1080" w:type="dxa"/>
            <w:tcBorders>
              <w:top w:val="nil"/>
              <w:left w:val="nil"/>
              <w:bottom w:val="single" w:sz="4" w:space="0" w:color="auto"/>
              <w:right w:val="nil"/>
            </w:tcBorders>
            <w:shd w:val="clear" w:color="auto" w:fill="auto"/>
            <w:vAlign w:val="center"/>
            <w:hideMark/>
          </w:tcPr>
          <w:p w14:paraId="3C58D4ED" w14:textId="77777777" w:rsidR="00B975F1" w:rsidRPr="006C6F80" w:rsidRDefault="00B975F1" w:rsidP="00B87104">
            <w:pPr>
              <w:jc w:val="center"/>
              <w:rPr>
                <w:color w:val="000000" w:themeColor="text1"/>
                <w:sz w:val="20"/>
                <w:szCs w:val="20"/>
              </w:rPr>
            </w:pPr>
            <w:r w:rsidRPr="006C6F80">
              <w:rPr>
                <w:color w:val="000000" w:themeColor="text1"/>
                <w:sz w:val="20"/>
                <w:szCs w:val="20"/>
              </w:rPr>
              <w:t xml:space="preserve">Mean </w:t>
            </w:r>
          </w:p>
        </w:tc>
        <w:tc>
          <w:tcPr>
            <w:tcW w:w="900" w:type="dxa"/>
            <w:tcBorders>
              <w:top w:val="nil"/>
              <w:left w:val="nil"/>
              <w:bottom w:val="single" w:sz="4" w:space="0" w:color="auto"/>
              <w:right w:val="nil"/>
            </w:tcBorders>
            <w:shd w:val="clear" w:color="auto" w:fill="auto"/>
            <w:vAlign w:val="center"/>
            <w:hideMark/>
          </w:tcPr>
          <w:p w14:paraId="36ED5FB1" w14:textId="77777777" w:rsidR="00B975F1" w:rsidRPr="006C6F80" w:rsidRDefault="00B975F1" w:rsidP="00B87104">
            <w:pPr>
              <w:jc w:val="center"/>
              <w:rPr>
                <w:color w:val="000000" w:themeColor="text1"/>
                <w:sz w:val="20"/>
                <w:szCs w:val="20"/>
              </w:rPr>
            </w:pPr>
            <w:r w:rsidRPr="006C6F80">
              <w:rPr>
                <w:color w:val="000000" w:themeColor="text1"/>
                <w:sz w:val="20"/>
                <w:szCs w:val="20"/>
              </w:rPr>
              <w:t xml:space="preserve">Mean </w:t>
            </w:r>
          </w:p>
        </w:tc>
        <w:tc>
          <w:tcPr>
            <w:tcW w:w="1080" w:type="dxa"/>
            <w:vMerge/>
            <w:tcBorders>
              <w:top w:val="single" w:sz="4" w:space="0" w:color="auto"/>
              <w:left w:val="nil"/>
              <w:bottom w:val="single" w:sz="4" w:space="0" w:color="000000"/>
              <w:right w:val="nil"/>
            </w:tcBorders>
            <w:vAlign w:val="center"/>
            <w:hideMark/>
          </w:tcPr>
          <w:p w14:paraId="4B7CC9BD" w14:textId="77777777" w:rsidR="00B975F1" w:rsidRPr="006C6F80" w:rsidRDefault="00B975F1" w:rsidP="00B87104">
            <w:pPr>
              <w:rPr>
                <w:color w:val="000000" w:themeColor="text1"/>
                <w:sz w:val="20"/>
                <w:szCs w:val="20"/>
              </w:rPr>
            </w:pPr>
          </w:p>
        </w:tc>
        <w:tc>
          <w:tcPr>
            <w:tcW w:w="1080" w:type="dxa"/>
            <w:gridSpan w:val="2"/>
            <w:tcBorders>
              <w:top w:val="nil"/>
              <w:left w:val="nil"/>
              <w:bottom w:val="single" w:sz="4" w:space="0" w:color="auto"/>
              <w:right w:val="nil"/>
            </w:tcBorders>
            <w:shd w:val="clear" w:color="auto" w:fill="auto"/>
            <w:vAlign w:val="center"/>
            <w:hideMark/>
          </w:tcPr>
          <w:p w14:paraId="0D543998" w14:textId="77777777" w:rsidR="00B975F1" w:rsidRPr="006C6F80" w:rsidRDefault="00B975F1" w:rsidP="00B87104">
            <w:pPr>
              <w:jc w:val="center"/>
              <w:rPr>
                <w:color w:val="000000" w:themeColor="text1"/>
                <w:sz w:val="20"/>
                <w:szCs w:val="20"/>
              </w:rPr>
            </w:pPr>
            <w:r w:rsidRPr="006C6F80">
              <w:rPr>
                <w:color w:val="000000" w:themeColor="text1"/>
                <w:sz w:val="20"/>
                <w:szCs w:val="20"/>
              </w:rPr>
              <w:t xml:space="preserve">Mean </w:t>
            </w:r>
          </w:p>
        </w:tc>
        <w:tc>
          <w:tcPr>
            <w:tcW w:w="900" w:type="dxa"/>
            <w:tcBorders>
              <w:top w:val="nil"/>
              <w:left w:val="nil"/>
              <w:bottom w:val="single" w:sz="4" w:space="0" w:color="auto"/>
              <w:right w:val="nil"/>
            </w:tcBorders>
            <w:shd w:val="clear" w:color="auto" w:fill="auto"/>
            <w:vAlign w:val="center"/>
            <w:hideMark/>
          </w:tcPr>
          <w:p w14:paraId="73323F34" w14:textId="77777777" w:rsidR="00B975F1" w:rsidRPr="006C6F80" w:rsidRDefault="00B975F1" w:rsidP="00B87104">
            <w:pPr>
              <w:jc w:val="center"/>
              <w:rPr>
                <w:color w:val="000000" w:themeColor="text1"/>
                <w:sz w:val="20"/>
                <w:szCs w:val="20"/>
              </w:rPr>
            </w:pPr>
            <w:r w:rsidRPr="006C6F80">
              <w:rPr>
                <w:color w:val="000000" w:themeColor="text1"/>
                <w:sz w:val="20"/>
                <w:szCs w:val="20"/>
              </w:rPr>
              <w:t xml:space="preserve">Mean </w:t>
            </w:r>
          </w:p>
        </w:tc>
        <w:tc>
          <w:tcPr>
            <w:tcW w:w="1083" w:type="dxa"/>
            <w:gridSpan w:val="2"/>
            <w:vMerge/>
            <w:tcBorders>
              <w:top w:val="single" w:sz="4" w:space="0" w:color="auto"/>
              <w:left w:val="nil"/>
              <w:bottom w:val="single" w:sz="4" w:space="0" w:color="000000"/>
              <w:right w:val="nil"/>
            </w:tcBorders>
            <w:vAlign w:val="center"/>
            <w:hideMark/>
          </w:tcPr>
          <w:p w14:paraId="69AF9690" w14:textId="77777777" w:rsidR="00B975F1" w:rsidRPr="006C6F80" w:rsidRDefault="00B975F1" w:rsidP="00B87104">
            <w:pPr>
              <w:rPr>
                <w:color w:val="000000" w:themeColor="text1"/>
                <w:sz w:val="20"/>
                <w:szCs w:val="20"/>
              </w:rPr>
            </w:pPr>
          </w:p>
        </w:tc>
      </w:tr>
      <w:tr w:rsidR="00B975F1" w:rsidRPr="006C6F80" w14:paraId="1A10AEEB"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1DD8F3EC" w14:textId="77777777" w:rsidR="00B975F1" w:rsidRPr="006C6F80" w:rsidRDefault="00B975F1" w:rsidP="00B87104">
            <w:pPr>
              <w:rPr>
                <w:b/>
                <w:bCs/>
                <w:i/>
                <w:iCs/>
                <w:color w:val="000000" w:themeColor="text1"/>
                <w:sz w:val="20"/>
                <w:szCs w:val="20"/>
              </w:rPr>
            </w:pPr>
            <w:r w:rsidRPr="006C6F80">
              <w:rPr>
                <w:b/>
                <w:bCs/>
                <w:i/>
                <w:iCs/>
                <w:color w:val="000000" w:themeColor="text1"/>
                <w:sz w:val="20"/>
                <w:szCs w:val="20"/>
              </w:rPr>
              <w:t>Individual characteristics</w:t>
            </w:r>
          </w:p>
        </w:tc>
        <w:tc>
          <w:tcPr>
            <w:tcW w:w="1080" w:type="dxa"/>
            <w:tcBorders>
              <w:top w:val="nil"/>
              <w:left w:val="nil"/>
              <w:bottom w:val="nil"/>
              <w:right w:val="nil"/>
            </w:tcBorders>
            <w:shd w:val="clear" w:color="auto" w:fill="auto"/>
            <w:vAlign w:val="center"/>
            <w:hideMark/>
          </w:tcPr>
          <w:p w14:paraId="27126C4B" w14:textId="77777777" w:rsidR="00B975F1" w:rsidRPr="006C6F80" w:rsidRDefault="00B975F1" w:rsidP="00B87104">
            <w:pPr>
              <w:rPr>
                <w:b/>
                <w:bCs/>
                <w:i/>
                <w:iCs/>
                <w:color w:val="000000" w:themeColor="text1"/>
                <w:sz w:val="20"/>
                <w:szCs w:val="20"/>
              </w:rPr>
            </w:pPr>
          </w:p>
        </w:tc>
        <w:tc>
          <w:tcPr>
            <w:tcW w:w="900" w:type="dxa"/>
            <w:tcBorders>
              <w:top w:val="nil"/>
              <w:left w:val="nil"/>
              <w:bottom w:val="nil"/>
              <w:right w:val="nil"/>
            </w:tcBorders>
            <w:shd w:val="clear" w:color="auto" w:fill="auto"/>
            <w:vAlign w:val="center"/>
            <w:hideMark/>
          </w:tcPr>
          <w:p w14:paraId="08D13EA2" w14:textId="77777777" w:rsidR="00B975F1" w:rsidRPr="006C6F80" w:rsidRDefault="00B975F1" w:rsidP="00B87104">
            <w:pPr>
              <w:jc w:val="right"/>
              <w:rPr>
                <w:color w:val="000000" w:themeColor="text1"/>
                <w:sz w:val="20"/>
                <w:szCs w:val="20"/>
              </w:rPr>
            </w:pPr>
          </w:p>
        </w:tc>
        <w:tc>
          <w:tcPr>
            <w:tcW w:w="1080" w:type="dxa"/>
            <w:tcBorders>
              <w:top w:val="nil"/>
              <w:left w:val="nil"/>
              <w:bottom w:val="nil"/>
              <w:right w:val="nil"/>
            </w:tcBorders>
            <w:shd w:val="clear" w:color="auto" w:fill="auto"/>
            <w:vAlign w:val="center"/>
            <w:hideMark/>
          </w:tcPr>
          <w:p w14:paraId="5E5C87F8" w14:textId="77777777" w:rsidR="00B975F1" w:rsidRPr="006C6F80" w:rsidRDefault="00B975F1" w:rsidP="00B87104">
            <w:pPr>
              <w:jc w:val="right"/>
              <w:rPr>
                <w:color w:val="000000" w:themeColor="text1"/>
                <w:sz w:val="20"/>
                <w:szCs w:val="20"/>
              </w:rPr>
            </w:pPr>
          </w:p>
        </w:tc>
        <w:tc>
          <w:tcPr>
            <w:tcW w:w="1080" w:type="dxa"/>
            <w:gridSpan w:val="2"/>
            <w:tcBorders>
              <w:top w:val="nil"/>
              <w:left w:val="nil"/>
              <w:bottom w:val="nil"/>
              <w:right w:val="nil"/>
            </w:tcBorders>
            <w:shd w:val="clear" w:color="auto" w:fill="auto"/>
            <w:noWrap/>
            <w:vAlign w:val="bottom"/>
            <w:hideMark/>
          </w:tcPr>
          <w:p w14:paraId="1ED91B00" w14:textId="77777777" w:rsidR="00B975F1" w:rsidRPr="006C6F80" w:rsidRDefault="00B975F1" w:rsidP="00B87104">
            <w:pPr>
              <w:rPr>
                <w:color w:val="000000" w:themeColor="text1"/>
                <w:sz w:val="20"/>
                <w:szCs w:val="20"/>
              </w:rPr>
            </w:pPr>
          </w:p>
        </w:tc>
        <w:tc>
          <w:tcPr>
            <w:tcW w:w="900" w:type="dxa"/>
            <w:tcBorders>
              <w:top w:val="nil"/>
              <w:left w:val="nil"/>
              <w:bottom w:val="nil"/>
              <w:right w:val="nil"/>
            </w:tcBorders>
            <w:shd w:val="clear" w:color="auto" w:fill="auto"/>
            <w:noWrap/>
            <w:vAlign w:val="bottom"/>
            <w:hideMark/>
          </w:tcPr>
          <w:p w14:paraId="09ED83AE" w14:textId="77777777" w:rsidR="00B975F1" w:rsidRPr="006C6F80" w:rsidRDefault="00B975F1" w:rsidP="00B87104">
            <w:pPr>
              <w:rPr>
                <w:color w:val="000000" w:themeColor="text1"/>
                <w:sz w:val="20"/>
                <w:szCs w:val="20"/>
              </w:rPr>
            </w:pPr>
          </w:p>
        </w:tc>
        <w:tc>
          <w:tcPr>
            <w:tcW w:w="1083" w:type="dxa"/>
            <w:gridSpan w:val="2"/>
            <w:tcBorders>
              <w:top w:val="nil"/>
              <w:left w:val="nil"/>
              <w:bottom w:val="nil"/>
              <w:right w:val="nil"/>
            </w:tcBorders>
            <w:shd w:val="clear" w:color="auto" w:fill="auto"/>
            <w:noWrap/>
            <w:vAlign w:val="bottom"/>
            <w:hideMark/>
          </w:tcPr>
          <w:p w14:paraId="77E151EB" w14:textId="77777777" w:rsidR="00B975F1" w:rsidRPr="006C6F80" w:rsidRDefault="00B975F1" w:rsidP="00B87104">
            <w:pPr>
              <w:rPr>
                <w:color w:val="000000" w:themeColor="text1"/>
                <w:sz w:val="20"/>
                <w:szCs w:val="20"/>
              </w:rPr>
            </w:pPr>
          </w:p>
        </w:tc>
      </w:tr>
      <w:tr w:rsidR="00B975F1" w:rsidRPr="006C6F80" w14:paraId="4E9CD9E6"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0D131B4E" w14:textId="77777777" w:rsidR="00B975F1" w:rsidRPr="006C6F80" w:rsidRDefault="00B975F1" w:rsidP="00B87104">
            <w:pPr>
              <w:rPr>
                <w:color w:val="000000" w:themeColor="text1"/>
                <w:sz w:val="20"/>
                <w:szCs w:val="20"/>
              </w:rPr>
            </w:pPr>
            <w:r w:rsidRPr="006C6F80">
              <w:rPr>
                <w:color w:val="000000" w:themeColor="text1"/>
                <w:sz w:val="20"/>
                <w:szCs w:val="20"/>
              </w:rPr>
              <w:t>Age at first job</w:t>
            </w:r>
          </w:p>
        </w:tc>
        <w:tc>
          <w:tcPr>
            <w:tcW w:w="1080" w:type="dxa"/>
            <w:tcBorders>
              <w:top w:val="nil"/>
              <w:left w:val="nil"/>
              <w:bottom w:val="nil"/>
              <w:right w:val="nil"/>
            </w:tcBorders>
            <w:shd w:val="clear" w:color="auto" w:fill="auto"/>
            <w:vAlign w:val="center"/>
            <w:hideMark/>
          </w:tcPr>
          <w:p w14:paraId="310B4013" w14:textId="77777777" w:rsidR="00B975F1" w:rsidRPr="006C6F80" w:rsidRDefault="00B975F1" w:rsidP="00B87104">
            <w:pPr>
              <w:jc w:val="center"/>
              <w:rPr>
                <w:color w:val="000000" w:themeColor="text1"/>
                <w:sz w:val="20"/>
                <w:szCs w:val="20"/>
              </w:rPr>
            </w:pPr>
            <w:r w:rsidRPr="006C6F80">
              <w:rPr>
                <w:color w:val="000000" w:themeColor="text1"/>
                <w:sz w:val="20"/>
                <w:szCs w:val="20"/>
              </w:rPr>
              <w:t>17.744</w:t>
            </w:r>
          </w:p>
        </w:tc>
        <w:tc>
          <w:tcPr>
            <w:tcW w:w="900" w:type="dxa"/>
            <w:tcBorders>
              <w:top w:val="nil"/>
              <w:left w:val="nil"/>
              <w:bottom w:val="nil"/>
              <w:right w:val="nil"/>
            </w:tcBorders>
            <w:shd w:val="clear" w:color="auto" w:fill="auto"/>
            <w:vAlign w:val="center"/>
            <w:hideMark/>
          </w:tcPr>
          <w:p w14:paraId="17A5F059" w14:textId="77777777" w:rsidR="00B975F1" w:rsidRPr="006C6F80" w:rsidRDefault="00B975F1" w:rsidP="00B87104">
            <w:pPr>
              <w:jc w:val="center"/>
              <w:rPr>
                <w:color w:val="000000" w:themeColor="text1"/>
                <w:sz w:val="20"/>
                <w:szCs w:val="20"/>
              </w:rPr>
            </w:pPr>
            <w:r w:rsidRPr="006C6F80">
              <w:rPr>
                <w:color w:val="000000" w:themeColor="text1"/>
                <w:sz w:val="20"/>
                <w:szCs w:val="20"/>
              </w:rPr>
              <w:t>15.375</w:t>
            </w:r>
          </w:p>
        </w:tc>
        <w:tc>
          <w:tcPr>
            <w:tcW w:w="1080" w:type="dxa"/>
            <w:tcBorders>
              <w:top w:val="nil"/>
              <w:left w:val="nil"/>
              <w:bottom w:val="nil"/>
              <w:right w:val="nil"/>
            </w:tcBorders>
            <w:shd w:val="clear" w:color="auto" w:fill="auto"/>
            <w:vAlign w:val="center"/>
            <w:hideMark/>
          </w:tcPr>
          <w:p w14:paraId="540238D5" w14:textId="77777777" w:rsidR="00B975F1" w:rsidRPr="006C6F80" w:rsidRDefault="00B975F1" w:rsidP="00B87104">
            <w:pPr>
              <w:jc w:val="center"/>
              <w:rPr>
                <w:color w:val="000000" w:themeColor="text1"/>
                <w:sz w:val="20"/>
                <w:szCs w:val="20"/>
              </w:rPr>
            </w:pPr>
            <w:r w:rsidRPr="006C6F80">
              <w:rPr>
                <w:color w:val="000000" w:themeColor="text1"/>
                <w:sz w:val="20"/>
                <w:szCs w:val="20"/>
              </w:rPr>
              <w:t>2.369***</w:t>
            </w:r>
          </w:p>
        </w:tc>
        <w:tc>
          <w:tcPr>
            <w:tcW w:w="1080" w:type="dxa"/>
            <w:gridSpan w:val="2"/>
            <w:tcBorders>
              <w:top w:val="nil"/>
              <w:left w:val="nil"/>
              <w:bottom w:val="nil"/>
              <w:right w:val="nil"/>
            </w:tcBorders>
            <w:shd w:val="clear" w:color="auto" w:fill="auto"/>
            <w:vAlign w:val="center"/>
            <w:hideMark/>
          </w:tcPr>
          <w:p w14:paraId="744B2D8D" w14:textId="77777777" w:rsidR="00B975F1" w:rsidRPr="006C6F80" w:rsidRDefault="00B975F1" w:rsidP="00B87104">
            <w:pPr>
              <w:jc w:val="center"/>
              <w:rPr>
                <w:color w:val="000000" w:themeColor="text1"/>
                <w:sz w:val="20"/>
                <w:szCs w:val="20"/>
              </w:rPr>
            </w:pPr>
            <w:r w:rsidRPr="006C6F80">
              <w:rPr>
                <w:color w:val="000000" w:themeColor="text1"/>
                <w:sz w:val="20"/>
                <w:szCs w:val="20"/>
              </w:rPr>
              <w:t>17.378</w:t>
            </w:r>
          </w:p>
        </w:tc>
        <w:tc>
          <w:tcPr>
            <w:tcW w:w="900" w:type="dxa"/>
            <w:tcBorders>
              <w:top w:val="nil"/>
              <w:left w:val="nil"/>
              <w:bottom w:val="nil"/>
              <w:right w:val="nil"/>
            </w:tcBorders>
            <w:shd w:val="clear" w:color="auto" w:fill="auto"/>
            <w:vAlign w:val="center"/>
            <w:hideMark/>
          </w:tcPr>
          <w:p w14:paraId="031F62D4" w14:textId="77777777" w:rsidR="00B975F1" w:rsidRPr="006C6F80" w:rsidRDefault="00B975F1" w:rsidP="00B87104">
            <w:pPr>
              <w:jc w:val="center"/>
              <w:rPr>
                <w:color w:val="000000" w:themeColor="text1"/>
                <w:sz w:val="20"/>
                <w:szCs w:val="20"/>
              </w:rPr>
            </w:pPr>
            <w:r w:rsidRPr="006C6F80">
              <w:rPr>
                <w:color w:val="000000" w:themeColor="text1"/>
                <w:sz w:val="20"/>
                <w:szCs w:val="20"/>
              </w:rPr>
              <w:t>15.372</w:t>
            </w:r>
          </w:p>
        </w:tc>
        <w:tc>
          <w:tcPr>
            <w:tcW w:w="1083" w:type="dxa"/>
            <w:gridSpan w:val="2"/>
            <w:tcBorders>
              <w:top w:val="nil"/>
              <w:left w:val="nil"/>
              <w:bottom w:val="nil"/>
              <w:right w:val="nil"/>
            </w:tcBorders>
            <w:shd w:val="clear" w:color="auto" w:fill="auto"/>
            <w:vAlign w:val="center"/>
            <w:hideMark/>
          </w:tcPr>
          <w:p w14:paraId="661F0201" w14:textId="77777777" w:rsidR="00B975F1" w:rsidRPr="006C6F80" w:rsidRDefault="00B975F1" w:rsidP="00B87104">
            <w:pPr>
              <w:jc w:val="center"/>
              <w:rPr>
                <w:color w:val="000000" w:themeColor="text1"/>
                <w:sz w:val="20"/>
                <w:szCs w:val="20"/>
              </w:rPr>
            </w:pPr>
            <w:r w:rsidRPr="006C6F80">
              <w:rPr>
                <w:color w:val="000000" w:themeColor="text1"/>
                <w:sz w:val="20"/>
                <w:szCs w:val="20"/>
              </w:rPr>
              <w:t>2.006***</w:t>
            </w:r>
          </w:p>
        </w:tc>
      </w:tr>
      <w:tr w:rsidR="00B975F1" w:rsidRPr="006C6F80" w14:paraId="3B6B547A"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72602EDC" w14:textId="77777777" w:rsidR="00B975F1" w:rsidRPr="006C6F80" w:rsidRDefault="00B975F1" w:rsidP="00B87104">
            <w:pPr>
              <w:rPr>
                <w:color w:val="000000" w:themeColor="text1"/>
                <w:sz w:val="20"/>
                <w:szCs w:val="20"/>
              </w:rPr>
            </w:pPr>
            <w:r w:rsidRPr="006C6F80">
              <w:rPr>
                <w:color w:val="000000" w:themeColor="text1"/>
                <w:sz w:val="20"/>
                <w:szCs w:val="20"/>
              </w:rPr>
              <w:t>Secondary or less education</w:t>
            </w:r>
          </w:p>
        </w:tc>
        <w:tc>
          <w:tcPr>
            <w:tcW w:w="1080" w:type="dxa"/>
            <w:tcBorders>
              <w:top w:val="nil"/>
              <w:left w:val="nil"/>
              <w:bottom w:val="nil"/>
              <w:right w:val="nil"/>
            </w:tcBorders>
            <w:shd w:val="clear" w:color="auto" w:fill="auto"/>
            <w:vAlign w:val="center"/>
            <w:hideMark/>
          </w:tcPr>
          <w:p w14:paraId="6EF293BF" w14:textId="77777777" w:rsidR="00B975F1" w:rsidRPr="006C6F80" w:rsidRDefault="00B975F1" w:rsidP="00B87104">
            <w:pPr>
              <w:jc w:val="center"/>
              <w:rPr>
                <w:color w:val="000000" w:themeColor="text1"/>
                <w:sz w:val="20"/>
                <w:szCs w:val="20"/>
              </w:rPr>
            </w:pPr>
            <w:r w:rsidRPr="006C6F80">
              <w:rPr>
                <w:color w:val="000000" w:themeColor="text1"/>
                <w:sz w:val="20"/>
                <w:szCs w:val="20"/>
              </w:rPr>
              <w:t>0.763</w:t>
            </w:r>
          </w:p>
        </w:tc>
        <w:tc>
          <w:tcPr>
            <w:tcW w:w="900" w:type="dxa"/>
            <w:tcBorders>
              <w:top w:val="nil"/>
              <w:left w:val="nil"/>
              <w:bottom w:val="nil"/>
              <w:right w:val="nil"/>
            </w:tcBorders>
            <w:shd w:val="clear" w:color="auto" w:fill="auto"/>
            <w:vAlign w:val="center"/>
            <w:hideMark/>
          </w:tcPr>
          <w:p w14:paraId="6B1B00E4" w14:textId="77777777" w:rsidR="00B975F1" w:rsidRPr="006C6F80" w:rsidRDefault="00B975F1" w:rsidP="00B87104">
            <w:pPr>
              <w:jc w:val="center"/>
              <w:rPr>
                <w:color w:val="000000" w:themeColor="text1"/>
                <w:sz w:val="20"/>
                <w:szCs w:val="20"/>
              </w:rPr>
            </w:pPr>
            <w:r w:rsidRPr="006C6F80">
              <w:rPr>
                <w:color w:val="000000" w:themeColor="text1"/>
                <w:sz w:val="20"/>
                <w:szCs w:val="20"/>
              </w:rPr>
              <w:t>0.896</w:t>
            </w:r>
          </w:p>
        </w:tc>
        <w:tc>
          <w:tcPr>
            <w:tcW w:w="1080" w:type="dxa"/>
            <w:tcBorders>
              <w:top w:val="nil"/>
              <w:left w:val="nil"/>
              <w:bottom w:val="nil"/>
              <w:right w:val="nil"/>
            </w:tcBorders>
            <w:shd w:val="clear" w:color="auto" w:fill="auto"/>
            <w:vAlign w:val="center"/>
            <w:hideMark/>
          </w:tcPr>
          <w:p w14:paraId="05FE2A6F" w14:textId="77777777" w:rsidR="00B975F1" w:rsidRPr="006C6F80" w:rsidRDefault="00B975F1" w:rsidP="00B87104">
            <w:pPr>
              <w:jc w:val="center"/>
              <w:rPr>
                <w:color w:val="000000" w:themeColor="text1"/>
                <w:sz w:val="20"/>
                <w:szCs w:val="20"/>
              </w:rPr>
            </w:pPr>
            <w:r w:rsidRPr="006C6F80">
              <w:rPr>
                <w:color w:val="000000" w:themeColor="text1"/>
                <w:sz w:val="20"/>
                <w:szCs w:val="20"/>
              </w:rPr>
              <w:t>-0.134***</w:t>
            </w:r>
          </w:p>
        </w:tc>
        <w:tc>
          <w:tcPr>
            <w:tcW w:w="1080" w:type="dxa"/>
            <w:gridSpan w:val="2"/>
            <w:tcBorders>
              <w:top w:val="nil"/>
              <w:left w:val="nil"/>
              <w:bottom w:val="nil"/>
              <w:right w:val="nil"/>
            </w:tcBorders>
            <w:shd w:val="clear" w:color="auto" w:fill="auto"/>
            <w:vAlign w:val="center"/>
            <w:hideMark/>
          </w:tcPr>
          <w:p w14:paraId="02AEA4B1" w14:textId="77777777" w:rsidR="00B975F1" w:rsidRPr="006C6F80" w:rsidRDefault="00B975F1" w:rsidP="00B87104">
            <w:pPr>
              <w:jc w:val="center"/>
              <w:rPr>
                <w:color w:val="000000" w:themeColor="text1"/>
                <w:sz w:val="20"/>
                <w:szCs w:val="20"/>
              </w:rPr>
            </w:pPr>
            <w:r w:rsidRPr="006C6F80">
              <w:rPr>
                <w:color w:val="000000" w:themeColor="text1"/>
                <w:sz w:val="20"/>
                <w:szCs w:val="20"/>
              </w:rPr>
              <w:t>0.883</w:t>
            </w:r>
          </w:p>
        </w:tc>
        <w:tc>
          <w:tcPr>
            <w:tcW w:w="900" w:type="dxa"/>
            <w:tcBorders>
              <w:top w:val="nil"/>
              <w:left w:val="nil"/>
              <w:bottom w:val="nil"/>
              <w:right w:val="nil"/>
            </w:tcBorders>
            <w:shd w:val="clear" w:color="auto" w:fill="auto"/>
            <w:vAlign w:val="center"/>
            <w:hideMark/>
          </w:tcPr>
          <w:p w14:paraId="00F0CEE8" w14:textId="77777777" w:rsidR="00B975F1" w:rsidRPr="006C6F80" w:rsidRDefault="00B975F1" w:rsidP="00B87104">
            <w:pPr>
              <w:jc w:val="center"/>
              <w:rPr>
                <w:color w:val="000000" w:themeColor="text1"/>
                <w:sz w:val="20"/>
                <w:szCs w:val="20"/>
              </w:rPr>
            </w:pPr>
            <w:r w:rsidRPr="006C6F80">
              <w:rPr>
                <w:color w:val="000000" w:themeColor="text1"/>
                <w:sz w:val="20"/>
                <w:szCs w:val="20"/>
              </w:rPr>
              <w:t>0.895</w:t>
            </w:r>
          </w:p>
        </w:tc>
        <w:tc>
          <w:tcPr>
            <w:tcW w:w="1083" w:type="dxa"/>
            <w:gridSpan w:val="2"/>
            <w:tcBorders>
              <w:top w:val="nil"/>
              <w:left w:val="nil"/>
              <w:bottom w:val="nil"/>
              <w:right w:val="nil"/>
            </w:tcBorders>
            <w:shd w:val="clear" w:color="auto" w:fill="auto"/>
            <w:vAlign w:val="center"/>
            <w:hideMark/>
          </w:tcPr>
          <w:p w14:paraId="313E3B07" w14:textId="77777777" w:rsidR="00B975F1" w:rsidRPr="006C6F80" w:rsidRDefault="00B975F1" w:rsidP="00B87104">
            <w:pPr>
              <w:jc w:val="center"/>
              <w:rPr>
                <w:color w:val="000000" w:themeColor="text1"/>
                <w:sz w:val="20"/>
                <w:szCs w:val="20"/>
              </w:rPr>
            </w:pPr>
            <w:r w:rsidRPr="006C6F80">
              <w:rPr>
                <w:color w:val="000000" w:themeColor="text1"/>
                <w:sz w:val="20"/>
                <w:szCs w:val="20"/>
              </w:rPr>
              <w:t>-0.012</w:t>
            </w:r>
          </w:p>
        </w:tc>
      </w:tr>
      <w:tr w:rsidR="00B975F1" w:rsidRPr="006C6F80" w14:paraId="3958D314"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1F94AA52" w14:textId="77777777" w:rsidR="00B975F1" w:rsidRPr="006C6F80" w:rsidRDefault="00B975F1" w:rsidP="00B87104">
            <w:pPr>
              <w:rPr>
                <w:color w:val="000000" w:themeColor="text1"/>
                <w:sz w:val="20"/>
                <w:szCs w:val="20"/>
              </w:rPr>
            </w:pPr>
            <w:r w:rsidRPr="006C6F80">
              <w:rPr>
                <w:color w:val="000000" w:themeColor="text1"/>
                <w:sz w:val="20"/>
                <w:szCs w:val="20"/>
              </w:rPr>
              <w:t>Above secondary education</w:t>
            </w:r>
          </w:p>
        </w:tc>
        <w:tc>
          <w:tcPr>
            <w:tcW w:w="1080" w:type="dxa"/>
            <w:tcBorders>
              <w:top w:val="nil"/>
              <w:left w:val="nil"/>
              <w:bottom w:val="nil"/>
              <w:right w:val="nil"/>
            </w:tcBorders>
            <w:shd w:val="clear" w:color="auto" w:fill="auto"/>
            <w:vAlign w:val="center"/>
            <w:hideMark/>
          </w:tcPr>
          <w:p w14:paraId="2556CD6E" w14:textId="77777777" w:rsidR="00B975F1" w:rsidRPr="006C6F80" w:rsidRDefault="00B975F1" w:rsidP="00B87104">
            <w:pPr>
              <w:jc w:val="center"/>
              <w:rPr>
                <w:color w:val="000000" w:themeColor="text1"/>
                <w:sz w:val="20"/>
                <w:szCs w:val="20"/>
              </w:rPr>
            </w:pPr>
            <w:r w:rsidRPr="006C6F80">
              <w:rPr>
                <w:color w:val="000000" w:themeColor="text1"/>
                <w:sz w:val="20"/>
                <w:szCs w:val="20"/>
              </w:rPr>
              <w:t>0.237</w:t>
            </w:r>
          </w:p>
        </w:tc>
        <w:tc>
          <w:tcPr>
            <w:tcW w:w="900" w:type="dxa"/>
            <w:tcBorders>
              <w:top w:val="nil"/>
              <w:left w:val="nil"/>
              <w:bottom w:val="nil"/>
              <w:right w:val="nil"/>
            </w:tcBorders>
            <w:shd w:val="clear" w:color="auto" w:fill="auto"/>
            <w:vAlign w:val="center"/>
            <w:hideMark/>
          </w:tcPr>
          <w:p w14:paraId="0E13ACF0" w14:textId="77777777" w:rsidR="00B975F1" w:rsidRPr="006C6F80" w:rsidRDefault="00B975F1" w:rsidP="00B87104">
            <w:pPr>
              <w:jc w:val="center"/>
              <w:rPr>
                <w:color w:val="000000" w:themeColor="text1"/>
                <w:sz w:val="20"/>
                <w:szCs w:val="20"/>
              </w:rPr>
            </w:pPr>
            <w:r w:rsidRPr="006C6F80">
              <w:rPr>
                <w:color w:val="000000" w:themeColor="text1"/>
                <w:sz w:val="20"/>
                <w:szCs w:val="20"/>
              </w:rPr>
              <w:t>0.104</w:t>
            </w:r>
          </w:p>
        </w:tc>
        <w:tc>
          <w:tcPr>
            <w:tcW w:w="1080" w:type="dxa"/>
            <w:tcBorders>
              <w:top w:val="nil"/>
              <w:left w:val="nil"/>
              <w:bottom w:val="nil"/>
              <w:right w:val="nil"/>
            </w:tcBorders>
            <w:shd w:val="clear" w:color="auto" w:fill="auto"/>
            <w:vAlign w:val="center"/>
            <w:hideMark/>
          </w:tcPr>
          <w:p w14:paraId="23DE1A9A" w14:textId="77777777" w:rsidR="00B975F1" w:rsidRPr="006C6F80" w:rsidRDefault="00B975F1" w:rsidP="00B87104">
            <w:pPr>
              <w:jc w:val="center"/>
              <w:rPr>
                <w:color w:val="000000" w:themeColor="text1"/>
                <w:sz w:val="20"/>
                <w:szCs w:val="20"/>
              </w:rPr>
            </w:pPr>
            <w:r w:rsidRPr="006C6F80">
              <w:rPr>
                <w:color w:val="000000" w:themeColor="text1"/>
                <w:sz w:val="20"/>
                <w:szCs w:val="20"/>
              </w:rPr>
              <w:t>0.134***</w:t>
            </w:r>
          </w:p>
        </w:tc>
        <w:tc>
          <w:tcPr>
            <w:tcW w:w="1080" w:type="dxa"/>
            <w:gridSpan w:val="2"/>
            <w:tcBorders>
              <w:top w:val="nil"/>
              <w:left w:val="nil"/>
              <w:bottom w:val="nil"/>
              <w:right w:val="nil"/>
            </w:tcBorders>
            <w:shd w:val="clear" w:color="auto" w:fill="auto"/>
            <w:vAlign w:val="center"/>
            <w:hideMark/>
          </w:tcPr>
          <w:p w14:paraId="1AAF4E41" w14:textId="77777777" w:rsidR="00B975F1" w:rsidRPr="006C6F80" w:rsidRDefault="00B975F1" w:rsidP="00B87104">
            <w:pPr>
              <w:jc w:val="center"/>
              <w:rPr>
                <w:color w:val="000000" w:themeColor="text1"/>
                <w:sz w:val="20"/>
                <w:szCs w:val="20"/>
              </w:rPr>
            </w:pPr>
            <w:r w:rsidRPr="006C6F80">
              <w:rPr>
                <w:color w:val="000000" w:themeColor="text1"/>
                <w:sz w:val="20"/>
                <w:szCs w:val="20"/>
              </w:rPr>
              <w:t>0.117</w:t>
            </w:r>
          </w:p>
        </w:tc>
        <w:tc>
          <w:tcPr>
            <w:tcW w:w="900" w:type="dxa"/>
            <w:tcBorders>
              <w:top w:val="nil"/>
              <w:left w:val="nil"/>
              <w:bottom w:val="nil"/>
              <w:right w:val="nil"/>
            </w:tcBorders>
            <w:shd w:val="clear" w:color="auto" w:fill="auto"/>
            <w:vAlign w:val="center"/>
            <w:hideMark/>
          </w:tcPr>
          <w:p w14:paraId="5259D1F4" w14:textId="77777777" w:rsidR="00B975F1" w:rsidRPr="006C6F80" w:rsidRDefault="00B975F1" w:rsidP="00B87104">
            <w:pPr>
              <w:jc w:val="center"/>
              <w:rPr>
                <w:color w:val="000000" w:themeColor="text1"/>
                <w:sz w:val="20"/>
                <w:szCs w:val="20"/>
              </w:rPr>
            </w:pPr>
            <w:r w:rsidRPr="006C6F80">
              <w:rPr>
                <w:color w:val="000000" w:themeColor="text1"/>
                <w:sz w:val="20"/>
                <w:szCs w:val="20"/>
              </w:rPr>
              <w:t>0.105</w:t>
            </w:r>
          </w:p>
        </w:tc>
        <w:tc>
          <w:tcPr>
            <w:tcW w:w="1083" w:type="dxa"/>
            <w:gridSpan w:val="2"/>
            <w:tcBorders>
              <w:top w:val="nil"/>
              <w:left w:val="nil"/>
              <w:bottom w:val="nil"/>
              <w:right w:val="nil"/>
            </w:tcBorders>
            <w:shd w:val="clear" w:color="auto" w:fill="auto"/>
            <w:vAlign w:val="center"/>
            <w:hideMark/>
          </w:tcPr>
          <w:p w14:paraId="5AD85C46" w14:textId="77777777" w:rsidR="00B975F1" w:rsidRPr="006C6F80" w:rsidRDefault="00B975F1" w:rsidP="00B87104">
            <w:pPr>
              <w:jc w:val="center"/>
              <w:rPr>
                <w:color w:val="000000" w:themeColor="text1"/>
                <w:sz w:val="20"/>
                <w:szCs w:val="20"/>
              </w:rPr>
            </w:pPr>
            <w:r w:rsidRPr="006C6F80">
              <w:rPr>
                <w:color w:val="000000" w:themeColor="text1"/>
                <w:sz w:val="20"/>
                <w:szCs w:val="20"/>
              </w:rPr>
              <w:t>0.012</w:t>
            </w:r>
          </w:p>
        </w:tc>
      </w:tr>
      <w:tr w:rsidR="00B975F1" w:rsidRPr="006C6F80" w14:paraId="362E3229"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1FA68474" w14:textId="77777777" w:rsidR="00B975F1" w:rsidRPr="006C6F80" w:rsidRDefault="00B975F1" w:rsidP="00B87104">
            <w:pPr>
              <w:rPr>
                <w:color w:val="000000" w:themeColor="text1"/>
                <w:sz w:val="20"/>
                <w:szCs w:val="20"/>
              </w:rPr>
            </w:pPr>
            <w:r w:rsidRPr="006C6F80">
              <w:rPr>
                <w:color w:val="000000" w:themeColor="text1"/>
                <w:sz w:val="20"/>
                <w:szCs w:val="20"/>
              </w:rPr>
              <w:t>Rural at birth</w:t>
            </w:r>
          </w:p>
        </w:tc>
        <w:tc>
          <w:tcPr>
            <w:tcW w:w="1080" w:type="dxa"/>
            <w:tcBorders>
              <w:top w:val="nil"/>
              <w:left w:val="nil"/>
              <w:bottom w:val="nil"/>
              <w:right w:val="nil"/>
            </w:tcBorders>
            <w:shd w:val="clear" w:color="auto" w:fill="auto"/>
            <w:vAlign w:val="center"/>
            <w:hideMark/>
          </w:tcPr>
          <w:p w14:paraId="523415FB" w14:textId="77777777" w:rsidR="00B975F1" w:rsidRPr="006C6F80" w:rsidRDefault="00B975F1" w:rsidP="00B87104">
            <w:pPr>
              <w:jc w:val="center"/>
              <w:rPr>
                <w:color w:val="000000" w:themeColor="text1"/>
                <w:sz w:val="20"/>
                <w:szCs w:val="20"/>
              </w:rPr>
            </w:pPr>
            <w:r w:rsidRPr="006C6F80">
              <w:rPr>
                <w:color w:val="000000" w:themeColor="text1"/>
                <w:sz w:val="20"/>
                <w:szCs w:val="20"/>
              </w:rPr>
              <w:t>0.520</w:t>
            </w:r>
          </w:p>
        </w:tc>
        <w:tc>
          <w:tcPr>
            <w:tcW w:w="900" w:type="dxa"/>
            <w:tcBorders>
              <w:top w:val="nil"/>
              <w:left w:val="nil"/>
              <w:bottom w:val="nil"/>
              <w:right w:val="nil"/>
            </w:tcBorders>
            <w:shd w:val="clear" w:color="auto" w:fill="auto"/>
            <w:vAlign w:val="center"/>
            <w:hideMark/>
          </w:tcPr>
          <w:p w14:paraId="333C0EBC" w14:textId="77777777" w:rsidR="00B975F1" w:rsidRPr="006C6F80" w:rsidRDefault="00B975F1" w:rsidP="00B87104">
            <w:pPr>
              <w:jc w:val="center"/>
              <w:rPr>
                <w:color w:val="000000" w:themeColor="text1"/>
                <w:sz w:val="20"/>
                <w:szCs w:val="20"/>
              </w:rPr>
            </w:pPr>
            <w:r w:rsidRPr="006C6F80">
              <w:rPr>
                <w:color w:val="000000" w:themeColor="text1"/>
                <w:sz w:val="20"/>
                <w:szCs w:val="20"/>
              </w:rPr>
              <w:t>0.665</w:t>
            </w:r>
          </w:p>
        </w:tc>
        <w:tc>
          <w:tcPr>
            <w:tcW w:w="1080" w:type="dxa"/>
            <w:tcBorders>
              <w:top w:val="nil"/>
              <w:left w:val="nil"/>
              <w:bottom w:val="nil"/>
              <w:right w:val="nil"/>
            </w:tcBorders>
            <w:shd w:val="clear" w:color="auto" w:fill="auto"/>
            <w:vAlign w:val="center"/>
            <w:hideMark/>
          </w:tcPr>
          <w:p w14:paraId="220DFFE4" w14:textId="77777777" w:rsidR="00B975F1" w:rsidRPr="006C6F80" w:rsidRDefault="00B975F1" w:rsidP="00B87104">
            <w:pPr>
              <w:jc w:val="center"/>
              <w:rPr>
                <w:color w:val="000000" w:themeColor="text1"/>
                <w:sz w:val="20"/>
                <w:szCs w:val="20"/>
              </w:rPr>
            </w:pPr>
            <w:r w:rsidRPr="006C6F80">
              <w:rPr>
                <w:color w:val="000000" w:themeColor="text1"/>
                <w:sz w:val="20"/>
                <w:szCs w:val="20"/>
              </w:rPr>
              <w:t>-0.145***</w:t>
            </w:r>
          </w:p>
        </w:tc>
        <w:tc>
          <w:tcPr>
            <w:tcW w:w="1080" w:type="dxa"/>
            <w:gridSpan w:val="2"/>
            <w:tcBorders>
              <w:top w:val="nil"/>
              <w:left w:val="nil"/>
              <w:bottom w:val="nil"/>
              <w:right w:val="nil"/>
            </w:tcBorders>
            <w:shd w:val="clear" w:color="auto" w:fill="auto"/>
            <w:vAlign w:val="center"/>
            <w:hideMark/>
          </w:tcPr>
          <w:p w14:paraId="0E1E8D25" w14:textId="77777777" w:rsidR="00B975F1" w:rsidRPr="006C6F80" w:rsidRDefault="00B975F1" w:rsidP="00B87104">
            <w:pPr>
              <w:jc w:val="center"/>
              <w:rPr>
                <w:color w:val="000000" w:themeColor="text1"/>
                <w:sz w:val="20"/>
                <w:szCs w:val="20"/>
              </w:rPr>
            </w:pPr>
            <w:r w:rsidRPr="006C6F80">
              <w:rPr>
                <w:color w:val="000000" w:themeColor="text1"/>
                <w:sz w:val="20"/>
                <w:szCs w:val="20"/>
              </w:rPr>
              <w:t>0.631</w:t>
            </w:r>
          </w:p>
        </w:tc>
        <w:tc>
          <w:tcPr>
            <w:tcW w:w="900" w:type="dxa"/>
            <w:tcBorders>
              <w:top w:val="nil"/>
              <w:left w:val="nil"/>
              <w:bottom w:val="nil"/>
              <w:right w:val="nil"/>
            </w:tcBorders>
            <w:shd w:val="clear" w:color="auto" w:fill="auto"/>
            <w:vAlign w:val="center"/>
            <w:hideMark/>
          </w:tcPr>
          <w:p w14:paraId="45198A93" w14:textId="77777777" w:rsidR="00B975F1" w:rsidRPr="006C6F80" w:rsidRDefault="00B975F1" w:rsidP="00B87104">
            <w:pPr>
              <w:jc w:val="center"/>
              <w:rPr>
                <w:color w:val="000000" w:themeColor="text1"/>
                <w:sz w:val="20"/>
                <w:szCs w:val="20"/>
              </w:rPr>
            </w:pPr>
            <w:r w:rsidRPr="006C6F80">
              <w:rPr>
                <w:color w:val="000000" w:themeColor="text1"/>
                <w:sz w:val="20"/>
                <w:szCs w:val="20"/>
              </w:rPr>
              <w:t>0.665</w:t>
            </w:r>
          </w:p>
        </w:tc>
        <w:tc>
          <w:tcPr>
            <w:tcW w:w="1083" w:type="dxa"/>
            <w:gridSpan w:val="2"/>
            <w:tcBorders>
              <w:top w:val="nil"/>
              <w:left w:val="nil"/>
              <w:bottom w:val="nil"/>
              <w:right w:val="nil"/>
            </w:tcBorders>
            <w:shd w:val="clear" w:color="auto" w:fill="auto"/>
            <w:vAlign w:val="center"/>
            <w:hideMark/>
          </w:tcPr>
          <w:p w14:paraId="7FE603D6" w14:textId="77777777" w:rsidR="00B975F1" w:rsidRPr="006C6F80" w:rsidRDefault="00B975F1" w:rsidP="00B87104">
            <w:pPr>
              <w:jc w:val="center"/>
              <w:rPr>
                <w:color w:val="000000" w:themeColor="text1"/>
                <w:sz w:val="20"/>
                <w:szCs w:val="20"/>
              </w:rPr>
            </w:pPr>
            <w:r w:rsidRPr="006C6F80">
              <w:rPr>
                <w:color w:val="000000" w:themeColor="text1"/>
                <w:sz w:val="20"/>
                <w:szCs w:val="20"/>
              </w:rPr>
              <w:t>-0.034</w:t>
            </w:r>
          </w:p>
        </w:tc>
      </w:tr>
      <w:tr w:rsidR="00B975F1" w:rsidRPr="006C6F80" w14:paraId="36C8E17E"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25472DD5" w14:textId="77777777" w:rsidR="00B975F1" w:rsidRPr="006C6F80" w:rsidRDefault="00B975F1" w:rsidP="00B87104">
            <w:pPr>
              <w:rPr>
                <w:color w:val="000000" w:themeColor="text1"/>
                <w:sz w:val="20"/>
                <w:szCs w:val="20"/>
              </w:rPr>
            </w:pPr>
            <w:r w:rsidRPr="006C6F80">
              <w:rPr>
                <w:color w:val="000000" w:themeColor="text1"/>
                <w:sz w:val="20"/>
                <w:szCs w:val="20"/>
              </w:rPr>
              <w:t>Above intermediate parental education</w:t>
            </w:r>
          </w:p>
        </w:tc>
        <w:tc>
          <w:tcPr>
            <w:tcW w:w="1080" w:type="dxa"/>
            <w:tcBorders>
              <w:top w:val="nil"/>
              <w:left w:val="nil"/>
              <w:bottom w:val="nil"/>
              <w:right w:val="nil"/>
            </w:tcBorders>
            <w:shd w:val="clear" w:color="auto" w:fill="auto"/>
            <w:vAlign w:val="center"/>
            <w:hideMark/>
          </w:tcPr>
          <w:p w14:paraId="36B5FD2D" w14:textId="77777777" w:rsidR="00B975F1" w:rsidRPr="006C6F80" w:rsidRDefault="00B975F1" w:rsidP="00B87104">
            <w:pPr>
              <w:jc w:val="center"/>
              <w:rPr>
                <w:color w:val="000000" w:themeColor="text1"/>
                <w:sz w:val="20"/>
                <w:szCs w:val="20"/>
              </w:rPr>
            </w:pPr>
            <w:r w:rsidRPr="006C6F80">
              <w:rPr>
                <w:color w:val="000000" w:themeColor="text1"/>
                <w:sz w:val="20"/>
                <w:szCs w:val="20"/>
              </w:rPr>
              <w:t>0.024</w:t>
            </w:r>
          </w:p>
        </w:tc>
        <w:tc>
          <w:tcPr>
            <w:tcW w:w="900" w:type="dxa"/>
            <w:tcBorders>
              <w:top w:val="nil"/>
              <w:left w:val="nil"/>
              <w:bottom w:val="nil"/>
              <w:right w:val="nil"/>
            </w:tcBorders>
            <w:shd w:val="clear" w:color="auto" w:fill="auto"/>
            <w:vAlign w:val="center"/>
            <w:hideMark/>
          </w:tcPr>
          <w:p w14:paraId="7EBE750B" w14:textId="77777777" w:rsidR="00B975F1" w:rsidRPr="006C6F80" w:rsidRDefault="00B975F1" w:rsidP="00B87104">
            <w:pPr>
              <w:jc w:val="center"/>
              <w:rPr>
                <w:color w:val="000000" w:themeColor="text1"/>
                <w:sz w:val="20"/>
                <w:szCs w:val="20"/>
              </w:rPr>
            </w:pPr>
            <w:r w:rsidRPr="006C6F80">
              <w:rPr>
                <w:color w:val="000000" w:themeColor="text1"/>
                <w:sz w:val="20"/>
                <w:szCs w:val="20"/>
              </w:rPr>
              <w:t>0.006</w:t>
            </w:r>
          </w:p>
        </w:tc>
        <w:tc>
          <w:tcPr>
            <w:tcW w:w="1080" w:type="dxa"/>
            <w:tcBorders>
              <w:top w:val="nil"/>
              <w:left w:val="nil"/>
              <w:bottom w:val="nil"/>
              <w:right w:val="nil"/>
            </w:tcBorders>
            <w:shd w:val="clear" w:color="auto" w:fill="auto"/>
            <w:vAlign w:val="center"/>
            <w:hideMark/>
          </w:tcPr>
          <w:p w14:paraId="6B9D350F" w14:textId="77777777" w:rsidR="00B975F1" w:rsidRPr="006C6F80" w:rsidRDefault="00B975F1" w:rsidP="00B87104">
            <w:pPr>
              <w:jc w:val="center"/>
              <w:rPr>
                <w:color w:val="000000" w:themeColor="text1"/>
                <w:sz w:val="20"/>
                <w:szCs w:val="20"/>
              </w:rPr>
            </w:pPr>
            <w:r w:rsidRPr="006C6F80">
              <w:rPr>
                <w:color w:val="000000" w:themeColor="text1"/>
                <w:sz w:val="20"/>
                <w:szCs w:val="20"/>
              </w:rPr>
              <w:t>0.018**</w:t>
            </w:r>
          </w:p>
        </w:tc>
        <w:tc>
          <w:tcPr>
            <w:tcW w:w="1080" w:type="dxa"/>
            <w:gridSpan w:val="2"/>
            <w:tcBorders>
              <w:top w:val="nil"/>
              <w:left w:val="nil"/>
              <w:bottom w:val="nil"/>
              <w:right w:val="nil"/>
            </w:tcBorders>
            <w:shd w:val="clear" w:color="auto" w:fill="auto"/>
            <w:vAlign w:val="center"/>
            <w:hideMark/>
          </w:tcPr>
          <w:p w14:paraId="09096947" w14:textId="77777777" w:rsidR="00B975F1" w:rsidRPr="006C6F80" w:rsidRDefault="00B975F1" w:rsidP="00B87104">
            <w:pPr>
              <w:jc w:val="center"/>
              <w:rPr>
                <w:color w:val="000000" w:themeColor="text1"/>
                <w:sz w:val="20"/>
                <w:szCs w:val="20"/>
              </w:rPr>
            </w:pPr>
            <w:r w:rsidRPr="006C6F80">
              <w:rPr>
                <w:color w:val="000000" w:themeColor="text1"/>
                <w:sz w:val="20"/>
                <w:szCs w:val="20"/>
              </w:rPr>
              <w:t>0.009</w:t>
            </w:r>
          </w:p>
        </w:tc>
        <w:tc>
          <w:tcPr>
            <w:tcW w:w="900" w:type="dxa"/>
            <w:tcBorders>
              <w:top w:val="nil"/>
              <w:left w:val="nil"/>
              <w:bottom w:val="nil"/>
              <w:right w:val="nil"/>
            </w:tcBorders>
            <w:shd w:val="clear" w:color="auto" w:fill="auto"/>
            <w:vAlign w:val="center"/>
            <w:hideMark/>
          </w:tcPr>
          <w:p w14:paraId="491880C4" w14:textId="77777777" w:rsidR="00B975F1" w:rsidRPr="006C6F80" w:rsidRDefault="00B975F1" w:rsidP="00B87104">
            <w:pPr>
              <w:jc w:val="center"/>
              <w:rPr>
                <w:color w:val="000000" w:themeColor="text1"/>
                <w:sz w:val="20"/>
                <w:szCs w:val="20"/>
              </w:rPr>
            </w:pPr>
            <w:r w:rsidRPr="006C6F80">
              <w:rPr>
                <w:color w:val="000000" w:themeColor="text1"/>
                <w:sz w:val="20"/>
                <w:szCs w:val="20"/>
              </w:rPr>
              <w:t>0.006</w:t>
            </w:r>
          </w:p>
        </w:tc>
        <w:tc>
          <w:tcPr>
            <w:tcW w:w="1083" w:type="dxa"/>
            <w:gridSpan w:val="2"/>
            <w:tcBorders>
              <w:top w:val="nil"/>
              <w:left w:val="nil"/>
              <w:bottom w:val="nil"/>
              <w:right w:val="nil"/>
            </w:tcBorders>
            <w:shd w:val="clear" w:color="auto" w:fill="auto"/>
            <w:vAlign w:val="center"/>
            <w:hideMark/>
          </w:tcPr>
          <w:p w14:paraId="4C10ACFA" w14:textId="77777777" w:rsidR="00B975F1" w:rsidRPr="006C6F80" w:rsidRDefault="00B975F1" w:rsidP="00B87104">
            <w:pPr>
              <w:jc w:val="center"/>
              <w:rPr>
                <w:color w:val="000000" w:themeColor="text1"/>
                <w:sz w:val="20"/>
                <w:szCs w:val="20"/>
              </w:rPr>
            </w:pPr>
            <w:r w:rsidRPr="006C6F80">
              <w:rPr>
                <w:color w:val="000000" w:themeColor="text1"/>
                <w:sz w:val="20"/>
                <w:szCs w:val="20"/>
              </w:rPr>
              <w:t>0.003</w:t>
            </w:r>
          </w:p>
        </w:tc>
      </w:tr>
      <w:tr w:rsidR="00B975F1" w:rsidRPr="006C6F80" w14:paraId="64F0EEB5"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537F5D1D" w14:textId="77777777" w:rsidR="00B975F1" w:rsidRPr="006C6F80" w:rsidRDefault="00B975F1" w:rsidP="00B87104">
            <w:pPr>
              <w:jc w:val="center"/>
              <w:rPr>
                <w:color w:val="000000" w:themeColor="text1"/>
                <w:sz w:val="20"/>
                <w:szCs w:val="20"/>
              </w:rPr>
            </w:pPr>
          </w:p>
        </w:tc>
        <w:tc>
          <w:tcPr>
            <w:tcW w:w="1080" w:type="dxa"/>
            <w:tcBorders>
              <w:top w:val="nil"/>
              <w:left w:val="nil"/>
              <w:bottom w:val="nil"/>
              <w:right w:val="nil"/>
            </w:tcBorders>
            <w:shd w:val="clear" w:color="auto" w:fill="auto"/>
            <w:vAlign w:val="center"/>
            <w:hideMark/>
          </w:tcPr>
          <w:p w14:paraId="5824002B" w14:textId="77777777" w:rsidR="00B975F1" w:rsidRPr="006C6F80" w:rsidRDefault="00B975F1" w:rsidP="00B87104">
            <w:pPr>
              <w:jc w:val="center"/>
              <w:rPr>
                <w:color w:val="000000" w:themeColor="text1"/>
                <w:sz w:val="20"/>
                <w:szCs w:val="20"/>
              </w:rPr>
            </w:pPr>
          </w:p>
        </w:tc>
        <w:tc>
          <w:tcPr>
            <w:tcW w:w="900" w:type="dxa"/>
            <w:tcBorders>
              <w:top w:val="nil"/>
              <w:left w:val="nil"/>
              <w:bottom w:val="nil"/>
              <w:right w:val="nil"/>
            </w:tcBorders>
            <w:shd w:val="clear" w:color="auto" w:fill="auto"/>
            <w:vAlign w:val="center"/>
            <w:hideMark/>
          </w:tcPr>
          <w:p w14:paraId="78275B44" w14:textId="77777777" w:rsidR="00B975F1" w:rsidRPr="006C6F80" w:rsidRDefault="00B975F1" w:rsidP="00B87104">
            <w:pPr>
              <w:jc w:val="center"/>
              <w:rPr>
                <w:color w:val="000000" w:themeColor="text1"/>
                <w:sz w:val="20"/>
                <w:szCs w:val="20"/>
              </w:rPr>
            </w:pPr>
          </w:p>
        </w:tc>
        <w:tc>
          <w:tcPr>
            <w:tcW w:w="1080" w:type="dxa"/>
            <w:tcBorders>
              <w:top w:val="nil"/>
              <w:left w:val="nil"/>
              <w:bottom w:val="nil"/>
              <w:right w:val="nil"/>
            </w:tcBorders>
            <w:shd w:val="clear" w:color="auto" w:fill="auto"/>
            <w:vAlign w:val="center"/>
            <w:hideMark/>
          </w:tcPr>
          <w:p w14:paraId="18E54441" w14:textId="77777777" w:rsidR="00B975F1" w:rsidRPr="006C6F80" w:rsidRDefault="00B975F1" w:rsidP="00B87104">
            <w:pPr>
              <w:jc w:val="center"/>
              <w:rPr>
                <w:color w:val="000000" w:themeColor="text1"/>
                <w:sz w:val="20"/>
                <w:szCs w:val="20"/>
              </w:rPr>
            </w:pPr>
          </w:p>
        </w:tc>
        <w:tc>
          <w:tcPr>
            <w:tcW w:w="1080" w:type="dxa"/>
            <w:gridSpan w:val="2"/>
            <w:tcBorders>
              <w:top w:val="nil"/>
              <w:left w:val="nil"/>
              <w:bottom w:val="nil"/>
              <w:right w:val="nil"/>
            </w:tcBorders>
            <w:shd w:val="clear" w:color="auto" w:fill="auto"/>
            <w:vAlign w:val="bottom"/>
            <w:hideMark/>
          </w:tcPr>
          <w:p w14:paraId="2E783187" w14:textId="77777777" w:rsidR="00B975F1" w:rsidRPr="006C6F80" w:rsidRDefault="00B975F1" w:rsidP="00B87104">
            <w:pPr>
              <w:jc w:val="center"/>
              <w:rPr>
                <w:color w:val="000000" w:themeColor="text1"/>
                <w:sz w:val="20"/>
                <w:szCs w:val="20"/>
              </w:rPr>
            </w:pPr>
          </w:p>
        </w:tc>
        <w:tc>
          <w:tcPr>
            <w:tcW w:w="900" w:type="dxa"/>
            <w:tcBorders>
              <w:top w:val="nil"/>
              <w:left w:val="nil"/>
              <w:bottom w:val="nil"/>
              <w:right w:val="nil"/>
            </w:tcBorders>
            <w:shd w:val="clear" w:color="auto" w:fill="auto"/>
            <w:noWrap/>
            <w:vAlign w:val="bottom"/>
            <w:hideMark/>
          </w:tcPr>
          <w:p w14:paraId="5410DF8F" w14:textId="77777777" w:rsidR="00B975F1" w:rsidRPr="006C6F80" w:rsidRDefault="00B975F1" w:rsidP="00B87104">
            <w:pPr>
              <w:jc w:val="center"/>
              <w:rPr>
                <w:color w:val="000000" w:themeColor="text1"/>
                <w:sz w:val="20"/>
                <w:szCs w:val="20"/>
              </w:rPr>
            </w:pPr>
          </w:p>
        </w:tc>
        <w:tc>
          <w:tcPr>
            <w:tcW w:w="1083" w:type="dxa"/>
            <w:gridSpan w:val="2"/>
            <w:tcBorders>
              <w:top w:val="nil"/>
              <w:left w:val="nil"/>
              <w:bottom w:val="nil"/>
              <w:right w:val="nil"/>
            </w:tcBorders>
            <w:shd w:val="clear" w:color="auto" w:fill="auto"/>
            <w:noWrap/>
            <w:vAlign w:val="bottom"/>
            <w:hideMark/>
          </w:tcPr>
          <w:p w14:paraId="265D50C9" w14:textId="77777777" w:rsidR="00B975F1" w:rsidRPr="006C6F80" w:rsidRDefault="00B975F1" w:rsidP="00B87104">
            <w:pPr>
              <w:jc w:val="center"/>
              <w:rPr>
                <w:color w:val="000000" w:themeColor="text1"/>
                <w:sz w:val="20"/>
                <w:szCs w:val="20"/>
              </w:rPr>
            </w:pPr>
          </w:p>
        </w:tc>
      </w:tr>
      <w:tr w:rsidR="00B975F1" w:rsidRPr="006C6F80" w14:paraId="4AF1BAF4"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0A027EBB" w14:textId="77777777" w:rsidR="00B975F1" w:rsidRPr="006C6F80" w:rsidRDefault="00B975F1" w:rsidP="00B87104">
            <w:pPr>
              <w:rPr>
                <w:b/>
                <w:bCs/>
                <w:i/>
                <w:iCs/>
                <w:color w:val="000000" w:themeColor="text1"/>
                <w:sz w:val="20"/>
                <w:szCs w:val="20"/>
              </w:rPr>
            </w:pPr>
            <w:r w:rsidRPr="006C6F80">
              <w:rPr>
                <w:b/>
                <w:bCs/>
                <w:i/>
                <w:iCs/>
                <w:color w:val="000000" w:themeColor="text1"/>
                <w:sz w:val="20"/>
                <w:szCs w:val="20"/>
              </w:rPr>
              <w:t>First job characteristics</w:t>
            </w:r>
          </w:p>
        </w:tc>
        <w:tc>
          <w:tcPr>
            <w:tcW w:w="1080" w:type="dxa"/>
            <w:tcBorders>
              <w:top w:val="nil"/>
              <w:left w:val="nil"/>
              <w:bottom w:val="nil"/>
              <w:right w:val="nil"/>
            </w:tcBorders>
            <w:shd w:val="clear" w:color="auto" w:fill="auto"/>
            <w:vAlign w:val="center"/>
            <w:hideMark/>
          </w:tcPr>
          <w:p w14:paraId="1CC491C5" w14:textId="77777777" w:rsidR="00B975F1" w:rsidRPr="006C6F80" w:rsidRDefault="00B975F1" w:rsidP="00B87104">
            <w:pPr>
              <w:rPr>
                <w:b/>
                <w:bCs/>
                <w:i/>
                <w:iCs/>
                <w:color w:val="000000" w:themeColor="text1"/>
                <w:sz w:val="20"/>
                <w:szCs w:val="20"/>
              </w:rPr>
            </w:pPr>
          </w:p>
        </w:tc>
        <w:tc>
          <w:tcPr>
            <w:tcW w:w="900" w:type="dxa"/>
            <w:tcBorders>
              <w:top w:val="nil"/>
              <w:left w:val="nil"/>
              <w:bottom w:val="nil"/>
              <w:right w:val="nil"/>
            </w:tcBorders>
            <w:shd w:val="clear" w:color="auto" w:fill="auto"/>
            <w:vAlign w:val="center"/>
            <w:hideMark/>
          </w:tcPr>
          <w:p w14:paraId="3C18F122" w14:textId="77777777" w:rsidR="00B975F1" w:rsidRPr="006C6F80" w:rsidRDefault="00B975F1" w:rsidP="00B87104">
            <w:pPr>
              <w:jc w:val="center"/>
              <w:rPr>
                <w:color w:val="000000" w:themeColor="text1"/>
                <w:sz w:val="20"/>
                <w:szCs w:val="20"/>
              </w:rPr>
            </w:pPr>
          </w:p>
        </w:tc>
        <w:tc>
          <w:tcPr>
            <w:tcW w:w="1080" w:type="dxa"/>
            <w:tcBorders>
              <w:top w:val="nil"/>
              <w:left w:val="nil"/>
              <w:bottom w:val="nil"/>
              <w:right w:val="nil"/>
            </w:tcBorders>
            <w:shd w:val="clear" w:color="auto" w:fill="auto"/>
            <w:vAlign w:val="center"/>
            <w:hideMark/>
          </w:tcPr>
          <w:p w14:paraId="23E77288" w14:textId="77777777" w:rsidR="00B975F1" w:rsidRPr="006C6F80" w:rsidRDefault="00B975F1" w:rsidP="00B87104">
            <w:pPr>
              <w:jc w:val="center"/>
              <w:rPr>
                <w:color w:val="000000" w:themeColor="text1"/>
                <w:sz w:val="20"/>
                <w:szCs w:val="20"/>
              </w:rPr>
            </w:pPr>
          </w:p>
        </w:tc>
        <w:tc>
          <w:tcPr>
            <w:tcW w:w="1080" w:type="dxa"/>
            <w:gridSpan w:val="2"/>
            <w:tcBorders>
              <w:top w:val="nil"/>
              <w:left w:val="nil"/>
              <w:bottom w:val="nil"/>
              <w:right w:val="nil"/>
            </w:tcBorders>
            <w:shd w:val="clear" w:color="auto" w:fill="auto"/>
            <w:vAlign w:val="bottom"/>
            <w:hideMark/>
          </w:tcPr>
          <w:p w14:paraId="01218255" w14:textId="77777777" w:rsidR="00B975F1" w:rsidRPr="006C6F80" w:rsidRDefault="00B975F1" w:rsidP="00B87104">
            <w:pPr>
              <w:jc w:val="center"/>
              <w:rPr>
                <w:color w:val="000000" w:themeColor="text1"/>
                <w:sz w:val="20"/>
                <w:szCs w:val="20"/>
              </w:rPr>
            </w:pPr>
          </w:p>
        </w:tc>
        <w:tc>
          <w:tcPr>
            <w:tcW w:w="900" w:type="dxa"/>
            <w:tcBorders>
              <w:top w:val="nil"/>
              <w:left w:val="nil"/>
              <w:bottom w:val="nil"/>
              <w:right w:val="nil"/>
            </w:tcBorders>
            <w:shd w:val="clear" w:color="auto" w:fill="auto"/>
            <w:noWrap/>
            <w:vAlign w:val="bottom"/>
            <w:hideMark/>
          </w:tcPr>
          <w:p w14:paraId="7D91AFD2" w14:textId="77777777" w:rsidR="00B975F1" w:rsidRPr="006C6F80" w:rsidRDefault="00B975F1" w:rsidP="00B87104">
            <w:pPr>
              <w:jc w:val="center"/>
              <w:rPr>
                <w:color w:val="000000" w:themeColor="text1"/>
                <w:sz w:val="20"/>
                <w:szCs w:val="20"/>
              </w:rPr>
            </w:pPr>
          </w:p>
        </w:tc>
        <w:tc>
          <w:tcPr>
            <w:tcW w:w="1083" w:type="dxa"/>
            <w:gridSpan w:val="2"/>
            <w:tcBorders>
              <w:top w:val="nil"/>
              <w:left w:val="nil"/>
              <w:bottom w:val="nil"/>
              <w:right w:val="nil"/>
            </w:tcBorders>
            <w:shd w:val="clear" w:color="auto" w:fill="auto"/>
            <w:noWrap/>
            <w:vAlign w:val="bottom"/>
            <w:hideMark/>
          </w:tcPr>
          <w:p w14:paraId="59130D4A" w14:textId="77777777" w:rsidR="00B975F1" w:rsidRPr="006C6F80" w:rsidRDefault="00B975F1" w:rsidP="00B87104">
            <w:pPr>
              <w:jc w:val="center"/>
              <w:rPr>
                <w:color w:val="000000" w:themeColor="text1"/>
                <w:sz w:val="20"/>
                <w:szCs w:val="20"/>
              </w:rPr>
            </w:pPr>
          </w:p>
        </w:tc>
      </w:tr>
      <w:tr w:rsidR="00B975F1" w:rsidRPr="006C6F80" w14:paraId="43020F46"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369E1223" w14:textId="77777777" w:rsidR="00B975F1" w:rsidRPr="006C6F80" w:rsidRDefault="00B975F1" w:rsidP="00B87104">
            <w:pPr>
              <w:rPr>
                <w:i/>
                <w:iCs/>
                <w:color w:val="000000" w:themeColor="text1"/>
                <w:sz w:val="20"/>
                <w:szCs w:val="20"/>
              </w:rPr>
            </w:pPr>
            <w:r w:rsidRPr="006C6F80">
              <w:rPr>
                <w:i/>
                <w:iCs/>
                <w:color w:val="000000" w:themeColor="text1"/>
                <w:sz w:val="20"/>
                <w:szCs w:val="20"/>
              </w:rPr>
              <w:t>Economic activity</w:t>
            </w:r>
          </w:p>
        </w:tc>
        <w:tc>
          <w:tcPr>
            <w:tcW w:w="1080" w:type="dxa"/>
            <w:tcBorders>
              <w:top w:val="nil"/>
              <w:left w:val="nil"/>
              <w:bottom w:val="nil"/>
              <w:right w:val="nil"/>
            </w:tcBorders>
            <w:shd w:val="clear" w:color="auto" w:fill="auto"/>
            <w:vAlign w:val="center"/>
            <w:hideMark/>
          </w:tcPr>
          <w:p w14:paraId="692A86FA" w14:textId="77777777" w:rsidR="00B975F1" w:rsidRPr="006C6F80" w:rsidRDefault="00B975F1" w:rsidP="00B87104">
            <w:pPr>
              <w:rPr>
                <w:i/>
                <w:iCs/>
                <w:color w:val="000000" w:themeColor="text1"/>
                <w:sz w:val="20"/>
                <w:szCs w:val="20"/>
              </w:rPr>
            </w:pPr>
          </w:p>
        </w:tc>
        <w:tc>
          <w:tcPr>
            <w:tcW w:w="900" w:type="dxa"/>
            <w:tcBorders>
              <w:top w:val="nil"/>
              <w:left w:val="nil"/>
              <w:bottom w:val="nil"/>
              <w:right w:val="nil"/>
            </w:tcBorders>
            <w:shd w:val="clear" w:color="auto" w:fill="auto"/>
            <w:vAlign w:val="center"/>
            <w:hideMark/>
          </w:tcPr>
          <w:p w14:paraId="1F8922DA" w14:textId="77777777" w:rsidR="00B975F1" w:rsidRPr="006C6F80" w:rsidRDefault="00B975F1" w:rsidP="00B87104">
            <w:pPr>
              <w:jc w:val="center"/>
              <w:rPr>
                <w:color w:val="000000" w:themeColor="text1"/>
                <w:sz w:val="20"/>
                <w:szCs w:val="20"/>
              </w:rPr>
            </w:pPr>
          </w:p>
        </w:tc>
        <w:tc>
          <w:tcPr>
            <w:tcW w:w="1080" w:type="dxa"/>
            <w:tcBorders>
              <w:top w:val="nil"/>
              <w:left w:val="nil"/>
              <w:bottom w:val="nil"/>
              <w:right w:val="nil"/>
            </w:tcBorders>
            <w:shd w:val="clear" w:color="auto" w:fill="auto"/>
            <w:vAlign w:val="center"/>
            <w:hideMark/>
          </w:tcPr>
          <w:p w14:paraId="6B0ACC9A" w14:textId="77777777" w:rsidR="00B975F1" w:rsidRPr="006C6F80" w:rsidRDefault="00B975F1" w:rsidP="00B87104">
            <w:pPr>
              <w:jc w:val="center"/>
              <w:rPr>
                <w:color w:val="000000" w:themeColor="text1"/>
                <w:sz w:val="20"/>
                <w:szCs w:val="20"/>
              </w:rPr>
            </w:pPr>
          </w:p>
        </w:tc>
        <w:tc>
          <w:tcPr>
            <w:tcW w:w="1080" w:type="dxa"/>
            <w:gridSpan w:val="2"/>
            <w:tcBorders>
              <w:top w:val="nil"/>
              <w:left w:val="nil"/>
              <w:bottom w:val="nil"/>
              <w:right w:val="nil"/>
            </w:tcBorders>
            <w:shd w:val="clear" w:color="auto" w:fill="auto"/>
            <w:vAlign w:val="bottom"/>
            <w:hideMark/>
          </w:tcPr>
          <w:p w14:paraId="18580DC2" w14:textId="77777777" w:rsidR="00B975F1" w:rsidRPr="006C6F80" w:rsidRDefault="00B975F1" w:rsidP="00B87104">
            <w:pPr>
              <w:jc w:val="center"/>
              <w:rPr>
                <w:color w:val="000000" w:themeColor="text1"/>
                <w:sz w:val="20"/>
                <w:szCs w:val="20"/>
              </w:rPr>
            </w:pPr>
          </w:p>
        </w:tc>
        <w:tc>
          <w:tcPr>
            <w:tcW w:w="900" w:type="dxa"/>
            <w:tcBorders>
              <w:top w:val="nil"/>
              <w:left w:val="nil"/>
              <w:bottom w:val="nil"/>
              <w:right w:val="nil"/>
            </w:tcBorders>
            <w:shd w:val="clear" w:color="auto" w:fill="auto"/>
            <w:noWrap/>
            <w:vAlign w:val="bottom"/>
            <w:hideMark/>
          </w:tcPr>
          <w:p w14:paraId="05148ED7" w14:textId="77777777" w:rsidR="00B975F1" w:rsidRPr="006C6F80" w:rsidRDefault="00B975F1" w:rsidP="00B87104">
            <w:pPr>
              <w:jc w:val="center"/>
              <w:rPr>
                <w:color w:val="000000" w:themeColor="text1"/>
                <w:sz w:val="20"/>
                <w:szCs w:val="20"/>
              </w:rPr>
            </w:pPr>
          </w:p>
        </w:tc>
        <w:tc>
          <w:tcPr>
            <w:tcW w:w="1083" w:type="dxa"/>
            <w:gridSpan w:val="2"/>
            <w:tcBorders>
              <w:top w:val="nil"/>
              <w:left w:val="nil"/>
              <w:bottom w:val="nil"/>
              <w:right w:val="nil"/>
            </w:tcBorders>
            <w:shd w:val="clear" w:color="auto" w:fill="auto"/>
            <w:noWrap/>
            <w:vAlign w:val="bottom"/>
            <w:hideMark/>
          </w:tcPr>
          <w:p w14:paraId="00B88CE6" w14:textId="77777777" w:rsidR="00B975F1" w:rsidRPr="006C6F80" w:rsidRDefault="00B975F1" w:rsidP="00B87104">
            <w:pPr>
              <w:jc w:val="center"/>
              <w:rPr>
                <w:color w:val="000000" w:themeColor="text1"/>
                <w:sz w:val="20"/>
                <w:szCs w:val="20"/>
              </w:rPr>
            </w:pPr>
          </w:p>
        </w:tc>
      </w:tr>
      <w:tr w:rsidR="00B975F1" w:rsidRPr="006C6F80" w14:paraId="395985D9"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4110C15B" w14:textId="77777777" w:rsidR="00B975F1" w:rsidRPr="006C6F80" w:rsidRDefault="00B975F1" w:rsidP="00B87104">
            <w:pPr>
              <w:rPr>
                <w:color w:val="000000" w:themeColor="text1"/>
                <w:sz w:val="20"/>
                <w:szCs w:val="20"/>
              </w:rPr>
            </w:pPr>
            <w:r w:rsidRPr="006C6F80">
              <w:rPr>
                <w:color w:val="000000" w:themeColor="text1"/>
                <w:sz w:val="20"/>
                <w:szCs w:val="20"/>
              </w:rPr>
              <w:t>Agriculture, Forestry, Fishing</w:t>
            </w:r>
          </w:p>
        </w:tc>
        <w:tc>
          <w:tcPr>
            <w:tcW w:w="1080" w:type="dxa"/>
            <w:tcBorders>
              <w:top w:val="nil"/>
              <w:left w:val="nil"/>
              <w:bottom w:val="nil"/>
              <w:right w:val="nil"/>
            </w:tcBorders>
            <w:shd w:val="clear" w:color="auto" w:fill="auto"/>
            <w:vAlign w:val="center"/>
            <w:hideMark/>
          </w:tcPr>
          <w:p w14:paraId="3AD68598" w14:textId="77777777" w:rsidR="00B975F1" w:rsidRPr="006C6F80" w:rsidRDefault="00B975F1" w:rsidP="00B87104">
            <w:pPr>
              <w:jc w:val="center"/>
              <w:rPr>
                <w:color w:val="000000" w:themeColor="text1"/>
                <w:sz w:val="20"/>
                <w:szCs w:val="20"/>
              </w:rPr>
            </w:pPr>
            <w:r w:rsidRPr="006C6F80">
              <w:rPr>
                <w:color w:val="000000" w:themeColor="text1"/>
                <w:sz w:val="20"/>
                <w:szCs w:val="20"/>
              </w:rPr>
              <w:t>0.309</w:t>
            </w:r>
          </w:p>
        </w:tc>
        <w:tc>
          <w:tcPr>
            <w:tcW w:w="900" w:type="dxa"/>
            <w:tcBorders>
              <w:top w:val="nil"/>
              <w:left w:val="nil"/>
              <w:bottom w:val="nil"/>
              <w:right w:val="nil"/>
            </w:tcBorders>
            <w:shd w:val="clear" w:color="auto" w:fill="auto"/>
            <w:vAlign w:val="center"/>
            <w:hideMark/>
          </w:tcPr>
          <w:p w14:paraId="52CFE146" w14:textId="77777777" w:rsidR="00B975F1" w:rsidRPr="006C6F80" w:rsidRDefault="00B975F1" w:rsidP="00B87104">
            <w:pPr>
              <w:jc w:val="center"/>
              <w:rPr>
                <w:color w:val="000000" w:themeColor="text1"/>
                <w:sz w:val="20"/>
                <w:szCs w:val="20"/>
              </w:rPr>
            </w:pPr>
            <w:r w:rsidRPr="006C6F80">
              <w:rPr>
                <w:color w:val="000000" w:themeColor="text1"/>
                <w:sz w:val="20"/>
                <w:szCs w:val="20"/>
              </w:rPr>
              <w:t>0.433</w:t>
            </w:r>
          </w:p>
        </w:tc>
        <w:tc>
          <w:tcPr>
            <w:tcW w:w="1080" w:type="dxa"/>
            <w:tcBorders>
              <w:top w:val="nil"/>
              <w:left w:val="nil"/>
              <w:bottom w:val="nil"/>
              <w:right w:val="nil"/>
            </w:tcBorders>
            <w:shd w:val="clear" w:color="auto" w:fill="auto"/>
            <w:vAlign w:val="center"/>
            <w:hideMark/>
          </w:tcPr>
          <w:p w14:paraId="0C021818" w14:textId="77777777" w:rsidR="00B975F1" w:rsidRPr="006C6F80" w:rsidRDefault="00B975F1" w:rsidP="00B87104">
            <w:pPr>
              <w:jc w:val="center"/>
              <w:rPr>
                <w:color w:val="000000" w:themeColor="text1"/>
                <w:sz w:val="20"/>
                <w:szCs w:val="20"/>
              </w:rPr>
            </w:pPr>
            <w:r w:rsidRPr="006C6F80">
              <w:rPr>
                <w:color w:val="000000" w:themeColor="text1"/>
                <w:sz w:val="20"/>
                <w:szCs w:val="20"/>
              </w:rPr>
              <w:t>-0.124***</w:t>
            </w:r>
          </w:p>
        </w:tc>
        <w:tc>
          <w:tcPr>
            <w:tcW w:w="1080" w:type="dxa"/>
            <w:gridSpan w:val="2"/>
            <w:tcBorders>
              <w:top w:val="nil"/>
              <w:left w:val="nil"/>
              <w:bottom w:val="nil"/>
              <w:right w:val="nil"/>
            </w:tcBorders>
            <w:shd w:val="clear" w:color="auto" w:fill="auto"/>
            <w:vAlign w:val="center"/>
            <w:hideMark/>
          </w:tcPr>
          <w:p w14:paraId="47630624" w14:textId="77777777" w:rsidR="00B975F1" w:rsidRPr="006C6F80" w:rsidRDefault="00B975F1" w:rsidP="00B87104">
            <w:pPr>
              <w:jc w:val="center"/>
              <w:rPr>
                <w:color w:val="000000" w:themeColor="text1"/>
                <w:sz w:val="20"/>
                <w:szCs w:val="20"/>
              </w:rPr>
            </w:pPr>
            <w:r w:rsidRPr="006C6F80">
              <w:rPr>
                <w:color w:val="000000" w:themeColor="text1"/>
                <w:sz w:val="20"/>
                <w:szCs w:val="20"/>
              </w:rPr>
              <w:t>0.372</w:t>
            </w:r>
          </w:p>
        </w:tc>
        <w:tc>
          <w:tcPr>
            <w:tcW w:w="900" w:type="dxa"/>
            <w:tcBorders>
              <w:top w:val="nil"/>
              <w:left w:val="nil"/>
              <w:bottom w:val="nil"/>
              <w:right w:val="nil"/>
            </w:tcBorders>
            <w:shd w:val="clear" w:color="auto" w:fill="auto"/>
            <w:vAlign w:val="center"/>
            <w:hideMark/>
          </w:tcPr>
          <w:p w14:paraId="3CEF8079" w14:textId="77777777" w:rsidR="00B975F1" w:rsidRPr="006C6F80" w:rsidRDefault="00B975F1" w:rsidP="00B87104">
            <w:pPr>
              <w:jc w:val="center"/>
              <w:rPr>
                <w:color w:val="000000" w:themeColor="text1"/>
                <w:sz w:val="20"/>
                <w:szCs w:val="20"/>
              </w:rPr>
            </w:pPr>
            <w:r w:rsidRPr="006C6F80">
              <w:rPr>
                <w:color w:val="000000" w:themeColor="text1"/>
                <w:sz w:val="20"/>
                <w:szCs w:val="20"/>
              </w:rPr>
              <w:t>0.434</w:t>
            </w:r>
          </w:p>
        </w:tc>
        <w:tc>
          <w:tcPr>
            <w:tcW w:w="1083" w:type="dxa"/>
            <w:gridSpan w:val="2"/>
            <w:tcBorders>
              <w:top w:val="nil"/>
              <w:left w:val="nil"/>
              <w:bottom w:val="nil"/>
              <w:right w:val="nil"/>
            </w:tcBorders>
            <w:shd w:val="clear" w:color="auto" w:fill="auto"/>
            <w:vAlign w:val="center"/>
            <w:hideMark/>
          </w:tcPr>
          <w:p w14:paraId="4B20834A" w14:textId="77777777" w:rsidR="00B975F1" w:rsidRPr="006C6F80" w:rsidRDefault="00B975F1" w:rsidP="00B87104">
            <w:pPr>
              <w:jc w:val="center"/>
              <w:rPr>
                <w:color w:val="000000" w:themeColor="text1"/>
                <w:sz w:val="20"/>
                <w:szCs w:val="20"/>
              </w:rPr>
            </w:pPr>
            <w:r w:rsidRPr="006C6F80">
              <w:rPr>
                <w:color w:val="000000" w:themeColor="text1"/>
                <w:sz w:val="20"/>
                <w:szCs w:val="20"/>
              </w:rPr>
              <w:t>-0.062</w:t>
            </w:r>
          </w:p>
        </w:tc>
      </w:tr>
      <w:tr w:rsidR="00B975F1" w:rsidRPr="006C6F80" w14:paraId="2D6230B8"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3A70B91D" w14:textId="77777777" w:rsidR="00B975F1" w:rsidRPr="006C6F80" w:rsidRDefault="00B975F1" w:rsidP="00B87104">
            <w:pPr>
              <w:rPr>
                <w:color w:val="000000" w:themeColor="text1"/>
                <w:sz w:val="20"/>
                <w:szCs w:val="20"/>
              </w:rPr>
            </w:pPr>
            <w:r w:rsidRPr="006C6F80">
              <w:rPr>
                <w:color w:val="000000" w:themeColor="text1"/>
                <w:sz w:val="20"/>
                <w:szCs w:val="20"/>
              </w:rPr>
              <w:t>Manufacturing, Mining, Quarrying</w:t>
            </w:r>
          </w:p>
        </w:tc>
        <w:tc>
          <w:tcPr>
            <w:tcW w:w="1080" w:type="dxa"/>
            <w:tcBorders>
              <w:top w:val="nil"/>
              <w:left w:val="nil"/>
              <w:bottom w:val="nil"/>
              <w:right w:val="nil"/>
            </w:tcBorders>
            <w:shd w:val="clear" w:color="auto" w:fill="auto"/>
            <w:vAlign w:val="center"/>
            <w:hideMark/>
          </w:tcPr>
          <w:p w14:paraId="117A5ADD" w14:textId="77777777" w:rsidR="00B975F1" w:rsidRPr="006C6F80" w:rsidRDefault="00B975F1" w:rsidP="00B87104">
            <w:pPr>
              <w:jc w:val="center"/>
              <w:rPr>
                <w:color w:val="000000" w:themeColor="text1"/>
                <w:sz w:val="20"/>
                <w:szCs w:val="20"/>
              </w:rPr>
            </w:pPr>
            <w:r w:rsidRPr="006C6F80">
              <w:rPr>
                <w:color w:val="000000" w:themeColor="text1"/>
                <w:sz w:val="20"/>
                <w:szCs w:val="20"/>
              </w:rPr>
              <w:t>0.148</w:t>
            </w:r>
          </w:p>
        </w:tc>
        <w:tc>
          <w:tcPr>
            <w:tcW w:w="900" w:type="dxa"/>
            <w:tcBorders>
              <w:top w:val="nil"/>
              <w:left w:val="nil"/>
              <w:bottom w:val="nil"/>
              <w:right w:val="nil"/>
            </w:tcBorders>
            <w:shd w:val="clear" w:color="auto" w:fill="auto"/>
            <w:vAlign w:val="center"/>
            <w:hideMark/>
          </w:tcPr>
          <w:p w14:paraId="1DFC9526" w14:textId="77777777" w:rsidR="00B975F1" w:rsidRPr="006C6F80" w:rsidRDefault="00B975F1" w:rsidP="00B87104">
            <w:pPr>
              <w:jc w:val="center"/>
              <w:rPr>
                <w:color w:val="000000" w:themeColor="text1"/>
                <w:sz w:val="20"/>
                <w:szCs w:val="20"/>
              </w:rPr>
            </w:pPr>
            <w:r w:rsidRPr="006C6F80">
              <w:rPr>
                <w:color w:val="000000" w:themeColor="text1"/>
                <w:sz w:val="20"/>
                <w:szCs w:val="20"/>
              </w:rPr>
              <w:t>0.116</w:t>
            </w:r>
          </w:p>
        </w:tc>
        <w:tc>
          <w:tcPr>
            <w:tcW w:w="1080" w:type="dxa"/>
            <w:tcBorders>
              <w:top w:val="nil"/>
              <w:left w:val="nil"/>
              <w:bottom w:val="nil"/>
              <w:right w:val="nil"/>
            </w:tcBorders>
            <w:shd w:val="clear" w:color="auto" w:fill="auto"/>
            <w:vAlign w:val="center"/>
            <w:hideMark/>
          </w:tcPr>
          <w:p w14:paraId="7DF28381" w14:textId="77777777" w:rsidR="00B975F1" w:rsidRPr="006C6F80" w:rsidRDefault="00B975F1" w:rsidP="00B87104">
            <w:pPr>
              <w:jc w:val="center"/>
              <w:rPr>
                <w:color w:val="000000" w:themeColor="text1"/>
                <w:sz w:val="20"/>
                <w:szCs w:val="20"/>
              </w:rPr>
            </w:pPr>
            <w:r w:rsidRPr="006C6F80">
              <w:rPr>
                <w:color w:val="000000" w:themeColor="text1"/>
                <w:sz w:val="20"/>
                <w:szCs w:val="20"/>
              </w:rPr>
              <w:t>0.032</w:t>
            </w:r>
          </w:p>
        </w:tc>
        <w:tc>
          <w:tcPr>
            <w:tcW w:w="1080" w:type="dxa"/>
            <w:gridSpan w:val="2"/>
            <w:tcBorders>
              <w:top w:val="nil"/>
              <w:left w:val="nil"/>
              <w:bottom w:val="nil"/>
              <w:right w:val="nil"/>
            </w:tcBorders>
            <w:shd w:val="clear" w:color="auto" w:fill="auto"/>
            <w:vAlign w:val="center"/>
            <w:hideMark/>
          </w:tcPr>
          <w:p w14:paraId="5BABEE9D" w14:textId="77777777" w:rsidR="00B975F1" w:rsidRPr="006C6F80" w:rsidRDefault="00B975F1" w:rsidP="00B87104">
            <w:pPr>
              <w:jc w:val="center"/>
              <w:rPr>
                <w:color w:val="000000" w:themeColor="text1"/>
                <w:sz w:val="20"/>
                <w:szCs w:val="20"/>
              </w:rPr>
            </w:pPr>
            <w:r w:rsidRPr="006C6F80">
              <w:rPr>
                <w:color w:val="000000" w:themeColor="text1"/>
                <w:sz w:val="20"/>
                <w:szCs w:val="20"/>
              </w:rPr>
              <w:t>0.12</w:t>
            </w:r>
          </w:p>
        </w:tc>
        <w:tc>
          <w:tcPr>
            <w:tcW w:w="900" w:type="dxa"/>
            <w:tcBorders>
              <w:top w:val="nil"/>
              <w:left w:val="nil"/>
              <w:bottom w:val="nil"/>
              <w:right w:val="nil"/>
            </w:tcBorders>
            <w:shd w:val="clear" w:color="auto" w:fill="auto"/>
            <w:vAlign w:val="center"/>
            <w:hideMark/>
          </w:tcPr>
          <w:p w14:paraId="6DEDD586" w14:textId="77777777" w:rsidR="00B975F1" w:rsidRPr="006C6F80" w:rsidRDefault="00B975F1" w:rsidP="00B87104">
            <w:pPr>
              <w:jc w:val="center"/>
              <w:rPr>
                <w:color w:val="000000" w:themeColor="text1"/>
                <w:sz w:val="20"/>
                <w:szCs w:val="20"/>
              </w:rPr>
            </w:pPr>
            <w:r w:rsidRPr="006C6F80">
              <w:rPr>
                <w:color w:val="000000" w:themeColor="text1"/>
                <w:sz w:val="20"/>
                <w:szCs w:val="20"/>
              </w:rPr>
              <w:t>0.114</w:t>
            </w:r>
          </w:p>
        </w:tc>
        <w:tc>
          <w:tcPr>
            <w:tcW w:w="1083" w:type="dxa"/>
            <w:gridSpan w:val="2"/>
            <w:tcBorders>
              <w:top w:val="nil"/>
              <w:left w:val="nil"/>
              <w:bottom w:val="nil"/>
              <w:right w:val="nil"/>
            </w:tcBorders>
            <w:shd w:val="clear" w:color="auto" w:fill="auto"/>
            <w:vAlign w:val="center"/>
            <w:hideMark/>
          </w:tcPr>
          <w:p w14:paraId="58256360" w14:textId="77777777" w:rsidR="00B975F1" w:rsidRPr="006C6F80" w:rsidRDefault="00B975F1" w:rsidP="00B87104">
            <w:pPr>
              <w:jc w:val="center"/>
              <w:rPr>
                <w:color w:val="000000" w:themeColor="text1"/>
                <w:sz w:val="20"/>
                <w:szCs w:val="20"/>
              </w:rPr>
            </w:pPr>
            <w:r w:rsidRPr="006C6F80">
              <w:rPr>
                <w:color w:val="000000" w:themeColor="text1"/>
                <w:sz w:val="20"/>
                <w:szCs w:val="20"/>
              </w:rPr>
              <w:t>0.006</w:t>
            </w:r>
          </w:p>
        </w:tc>
      </w:tr>
      <w:tr w:rsidR="00B975F1" w:rsidRPr="006C6F80" w14:paraId="298ACA9A"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2AF3CA54" w14:textId="77777777" w:rsidR="00B975F1" w:rsidRPr="006C6F80" w:rsidRDefault="00B975F1" w:rsidP="00B87104">
            <w:pPr>
              <w:rPr>
                <w:color w:val="000000" w:themeColor="text1"/>
                <w:sz w:val="20"/>
                <w:szCs w:val="20"/>
              </w:rPr>
            </w:pPr>
            <w:r w:rsidRPr="006C6F80">
              <w:rPr>
                <w:color w:val="000000" w:themeColor="text1"/>
                <w:sz w:val="20"/>
                <w:szCs w:val="20"/>
              </w:rPr>
              <w:t>Construction</w:t>
            </w:r>
          </w:p>
        </w:tc>
        <w:tc>
          <w:tcPr>
            <w:tcW w:w="1080" w:type="dxa"/>
            <w:tcBorders>
              <w:top w:val="nil"/>
              <w:left w:val="nil"/>
              <w:bottom w:val="nil"/>
              <w:right w:val="nil"/>
            </w:tcBorders>
            <w:shd w:val="clear" w:color="auto" w:fill="auto"/>
            <w:vAlign w:val="center"/>
            <w:hideMark/>
          </w:tcPr>
          <w:p w14:paraId="65A5B6EE" w14:textId="77777777" w:rsidR="00B975F1" w:rsidRPr="006C6F80" w:rsidRDefault="00B975F1" w:rsidP="00B87104">
            <w:pPr>
              <w:jc w:val="center"/>
              <w:rPr>
                <w:color w:val="000000" w:themeColor="text1"/>
                <w:sz w:val="20"/>
                <w:szCs w:val="20"/>
              </w:rPr>
            </w:pPr>
            <w:r w:rsidRPr="006C6F80">
              <w:rPr>
                <w:color w:val="000000" w:themeColor="text1"/>
                <w:sz w:val="20"/>
                <w:szCs w:val="20"/>
              </w:rPr>
              <w:t>0.119</w:t>
            </w:r>
          </w:p>
        </w:tc>
        <w:tc>
          <w:tcPr>
            <w:tcW w:w="900" w:type="dxa"/>
            <w:tcBorders>
              <w:top w:val="nil"/>
              <w:left w:val="nil"/>
              <w:bottom w:val="nil"/>
              <w:right w:val="nil"/>
            </w:tcBorders>
            <w:shd w:val="clear" w:color="auto" w:fill="auto"/>
            <w:vAlign w:val="center"/>
            <w:hideMark/>
          </w:tcPr>
          <w:p w14:paraId="2167AE11" w14:textId="77777777" w:rsidR="00B975F1" w:rsidRPr="006C6F80" w:rsidRDefault="00B975F1" w:rsidP="00B87104">
            <w:pPr>
              <w:jc w:val="center"/>
              <w:rPr>
                <w:color w:val="000000" w:themeColor="text1"/>
                <w:sz w:val="20"/>
                <w:szCs w:val="20"/>
              </w:rPr>
            </w:pPr>
            <w:r w:rsidRPr="006C6F80">
              <w:rPr>
                <w:color w:val="000000" w:themeColor="text1"/>
                <w:sz w:val="20"/>
                <w:szCs w:val="20"/>
              </w:rPr>
              <w:t>0.22</w:t>
            </w:r>
          </w:p>
        </w:tc>
        <w:tc>
          <w:tcPr>
            <w:tcW w:w="1080" w:type="dxa"/>
            <w:tcBorders>
              <w:top w:val="nil"/>
              <w:left w:val="nil"/>
              <w:bottom w:val="nil"/>
              <w:right w:val="nil"/>
            </w:tcBorders>
            <w:shd w:val="clear" w:color="auto" w:fill="auto"/>
            <w:vAlign w:val="center"/>
            <w:hideMark/>
          </w:tcPr>
          <w:p w14:paraId="218D8158" w14:textId="77777777" w:rsidR="00B975F1" w:rsidRPr="006C6F80" w:rsidRDefault="00B975F1" w:rsidP="00B87104">
            <w:pPr>
              <w:jc w:val="center"/>
              <w:rPr>
                <w:color w:val="000000" w:themeColor="text1"/>
                <w:sz w:val="20"/>
                <w:szCs w:val="20"/>
              </w:rPr>
            </w:pPr>
            <w:r w:rsidRPr="006C6F80">
              <w:rPr>
                <w:color w:val="000000" w:themeColor="text1"/>
                <w:sz w:val="20"/>
                <w:szCs w:val="20"/>
              </w:rPr>
              <w:t>-0.101***</w:t>
            </w:r>
          </w:p>
        </w:tc>
        <w:tc>
          <w:tcPr>
            <w:tcW w:w="1080" w:type="dxa"/>
            <w:gridSpan w:val="2"/>
            <w:tcBorders>
              <w:top w:val="nil"/>
              <w:left w:val="nil"/>
              <w:bottom w:val="nil"/>
              <w:right w:val="nil"/>
            </w:tcBorders>
            <w:shd w:val="clear" w:color="auto" w:fill="auto"/>
            <w:vAlign w:val="center"/>
            <w:hideMark/>
          </w:tcPr>
          <w:p w14:paraId="4CA7C52A" w14:textId="77777777" w:rsidR="00B975F1" w:rsidRPr="006C6F80" w:rsidRDefault="00B975F1" w:rsidP="00B87104">
            <w:pPr>
              <w:jc w:val="center"/>
              <w:rPr>
                <w:color w:val="000000" w:themeColor="text1"/>
                <w:sz w:val="20"/>
                <w:szCs w:val="20"/>
              </w:rPr>
            </w:pPr>
            <w:r w:rsidRPr="006C6F80">
              <w:rPr>
                <w:color w:val="000000" w:themeColor="text1"/>
                <w:sz w:val="20"/>
                <w:szCs w:val="20"/>
              </w:rPr>
              <w:t>0.231</w:t>
            </w:r>
          </w:p>
        </w:tc>
        <w:tc>
          <w:tcPr>
            <w:tcW w:w="900" w:type="dxa"/>
            <w:tcBorders>
              <w:top w:val="nil"/>
              <w:left w:val="nil"/>
              <w:bottom w:val="nil"/>
              <w:right w:val="nil"/>
            </w:tcBorders>
            <w:shd w:val="clear" w:color="auto" w:fill="auto"/>
            <w:vAlign w:val="center"/>
            <w:hideMark/>
          </w:tcPr>
          <w:p w14:paraId="5B43BEF0" w14:textId="77777777" w:rsidR="00B975F1" w:rsidRPr="006C6F80" w:rsidRDefault="00B975F1" w:rsidP="00B87104">
            <w:pPr>
              <w:jc w:val="center"/>
              <w:rPr>
                <w:color w:val="000000" w:themeColor="text1"/>
                <w:sz w:val="20"/>
                <w:szCs w:val="20"/>
              </w:rPr>
            </w:pPr>
            <w:r w:rsidRPr="006C6F80">
              <w:rPr>
                <w:color w:val="000000" w:themeColor="text1"/>
                <w:sz w:val="20"/>
                <w:szCs w:val="20"/>
              </w:rPr>
              <w:t>0.218</w:t>
            </w:r>
          </w:p>
        </w:tc>
        <w:tc>
          <w:tcPr>
            <w:tcW w:w="1083" w:type="dxa"/>
            <w:gridSpan w:val="2"/>
            <w:tcBorders>
              <w:top w:val="nil"/>
              <w:left w:val="nil"/>
              <w:bottom w:val="nil"/>
              <w:right w:val="nil"/>
            </w:tcBorders>
            <w:shd w:val="clear" w:color="auto" w:fill="auto"/>
            <w:vAlign w:val="center"/>
            <w:hideMark/>
          </w:tcPr>
          <w:p w14:paraId="5100DF7E" w14:textId="77777777" w:rsidR="00B975F1" w:rsidRPr="006C6F80" w:rsidRDefault="00B975F1" w:rsidP="00B87104">
            <w:pPr>
              <w:jc w:val="center"/>
              <w:rPr>
                <w:color w:val="000000" w:themeColor="text1"/>
                <w:sz w:val="20"/>
                <w:szCs w:val="20"/>
              </w:rPr>
            </w:pPr>
            <w:r w:rsidRPr="006C6F80">
              <w:rPr>
                <w:color w:val="000000" w:themeColor="text1"/>
                <w:sz w:val="20"/>
                <w:szCs w:val="20"/>
              </w:rPr>
              <w:t>0.012</w:t>
            </w:r>
          </w:p>
        </w:tc>
      </w:tr>
      <w:tr w:rsidR="00B975F1" w:rsidRPr="006C6F80" w14:paraId="20C5BCD1"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4C8B4A04" w14:textId="77777777" w:rsidR="00B975F1" w:rsidRPr="006C6F80" w:rsidRDefault="00B975F1" w:rsidP="00B87104">
            <w:pPr>
              <w:rPr>
                <w:color w:val="000000" w:themeColor="text1"/>
                <w:sz w:val="20"/>
                <w:szCs w:val="20"/>
              </w:rPr>
            </w:pPr>
            <w:r w:rsidRPr="006C6F80">
              <w:rPr>
                <w:color w:val="000000" w:themeColor="text1"/>
                <w:sz w:val="20"/>
                <w:szCs w:val="20"/>
              </w:rPr>
              <w:t>Wholesale, retail trade, transportation and other activities</w:t>
            </w:r>
          </w:p>
        </w:tc>
        <w:tc>
          <w:tcPr>
            <w:tcW w:w="1080" w:type="dxa"/>
            <w:tcBorders>
              <w:top w:val="nil"/>
              <w:left w:val="nil"/>
              <w:bottom w:val="nil"/>
              <w:right w:val="nil"/>
            </w:tcBorders>
            <w:shd w:val="clear" w:color="auto" w:fill="auto"/>
            <w:vAlign w:val="center"/>
            <w:hideMark/>
          </w:tcPr>
          <w:p w14:paraId="16A34DA7" w14:textId="77777777" w:rsidR="00B975F1" w:rsidRPr="006C6F80" w:rsidRDefault="00B975F1" w:rsidP="00B87104">
            <w:pPr>
              <w:jc w:val="center"/>
              <w:rPr>
                <w:color w:val="000000" w:themeColor="text1"/>
                <w:sz w:val="20"/>
                <w:szCs w:val="20"/>
              </w:rPr>
            </w:pPr>
            <w:r w:rsidRPr="006C6F80">
              <w:rPr>
                <w:color w:val="000000" w:themeColor="text1"/>
                <w:sz w:val="20"/>
                <w:szCs w:val="20"/>
              </w:rPr>
              <w:t>0.219</w:t>
            </w:r>
          </w:p>
        </w:tc>
        <w:tc>
          <w:tcPr>
            <w:tcW w:w="900" w:type="dxa"/>
            <w:tcBorders>
              <w:top w:val="nil"/>
              <w:left w:val="nil"/>
              <w:bottom w:val="nil"/>
              <w:right w:val="nil"/>
            </w:tcBorders>
            <w:shd w:val="clear" w:color="auto" w:fill="auto"/>
            <w:vAlign w:val="center"/>
            <w:hideMark/>
          </w:tcPr>
          <w:p w14:paraId="11E6BD1D" w14:textId="77777777" w:rsidR="00B975F1" w:rsidRPr="006C6F80" w:rsidRDefault="00B975F1" w:rsidP="00B87104">
            <w:pPr>
              <w:jc w:val="center"/>
              <w:rPr>
                <w:color w:val="000000" w:themeColor="text1"/>
                <w:sz w:val="20"/>
                <w:szCs w:val="20"/>
              </w:rPr>
            </w:pPr>
            <w:r w:rsidRPr="006C6F80">
              <w:rPr>
                <w:color w:val="000000" w:themeColor="text1"/>
                <w:sz w:val="20"/>
                <w:szCs w:val="20"/>
              </w:rPr>
              <w:t>0.128</w:t>
            </w:r>
          </w:p>
        </w:tc>
        <w:tc>
          <w:tcPr>
            <w:tcW w:w="1080" w:type="dxa"/>
            <w:tcBorders>
              <w:top w:val="nil"/>
              <w:left w:val="nil"/>
              <w:bottom w:val="nil"/>
              <w:right w:val="nil"/>
            </w:tcBorders>
            <w:shd w:val="clear" w:color="auto" w:fill="auto"/>
            <w:vAlign w:val="center"/>
            <w:hideMark/>
          </w:tcPr>
          <w:p w14:paraId="5BF1B2E9" w14:textId="77777777" w:rsidR="00B975F1" w:rsidRPr="006C6F80" w:rsidRDefault="00B975F1" w:rsidP="00B87104">
            <w:pPr>
              <w:jc w:val="center"/>
              <w:rPr>
                <w:color w:val="000000" w:themeColor="text1"/>
                <w:sz w:val="20"/>
                <w:szCs w:val="20"/>
              </w:rPr>
            </w:pPr>
            <w:r w:rsidRPr="006C6F80">
              <w:rPr>
                <w:color w:val="000000" w:themeColor="text1"/>
                <w:sz w:val="20"/>
                <w:szCs w:val="20"/>
              </w:rPr>
              <w:t>0.091***</w:t>
            </w:r>
          </w:p>
        </w:tc>
        <w:tc>
          <w:tcPr>
            <w:tcW w:w="1080" w:type="dxa"/>
            <w:gridSpan w:val="2"/>
            <w:tcBorders>
              <w:top w:val="nil"/>
              <w:left w:val="nil"/>
              <w:bottom w:val="nil"/>
              <w:right w:val="nil"/>
            </w:tcBorders>
            <w:shd w:val="clear" w:color="auto" w:fill="auto"/>
            <w:vAlign w:val="center"/>
            <w:hideMark/>
          </w:tcPr>
          <w:p w14:paraId="62698962" w14:textId="77777777" w:rsidR="00B975F1" w:rsidRPr="006C6F80" w:rsidRDefault="00B975F1" w:rsidP="00B87104">
            <w:pPr>
              <w:jc w:val="center"/>
              <w:rPr>
                <w:color w:val="000000" w:themeColor="text1"/>
                <w:sz w:val="20"/>
                <w:szCs w:val="20"/>
              </w:rPr>
            </w:pPr>
            <w:r w:rsidRPr="006C6F80">
              <w:rPr>
                <w:color w:val="000000" w:themeColor="text1"/>
                <w:sz w:val="20"/>
                <w:szCs w:val="20"/>
              </w:rPr>
              <w:t>0.145</w:t>
            </w:r>
          </w:p>
        </w:tc>
        <w:tc>
          <w:tcPr>
            <w:tcW w:w="900" w:type="dxa"/>
            <w:tcBorders>
              <w:top w:val="nil"/>
              <w:left w:val="nil"/>
              <w:bottom w:val="nil"/>
              <w:right w:val="nil"/>
            </w:tcBorders>
            <w:shd w:val="clear" w:color="auto" w:fill="auto"/>
            <w:vAlign w:val="center"/>
            <w:hideMark/>
          </w:tcPr>
          <w:p w14:paraId="05C84E4B" w14:textId="77777777" w:rsidR="00B975F1" w:rsidRPr="006C6F80" w:rsidRDefault="00B975F1" w:rsidP="00B87104">
            <w:pPr>
              <w:jc w:val="center"/>
              <w:rPr>
                <w:color w:val="000000" w:themeColor="text1"/>
                <w:sz w:val="20"/>
                <w:szCs w:val="20"/>
              </w:rPr>
            </w:pPr>
            <w:r w:rsidRPr="006C6F80">
              <w:rPr>
                <w:color w:val="000000" w:themeColor="text1"/>
                <w:sz w:val="20"/>
                <w:szCs w:val="20"/>
              </w:rPr>
              <w:t>0.129</w:t>
            </w:r>
          </w:p>
        </w:tc>
        <w:tc>
          <w:tcPr>
            <w:tcW w:w="1083" w:type="dxa"/>
            <w:gridSpan w:val="2"/>
            <w:tcBorders>
              <w:top w:val="nil"/>
              <w:left w:val="nil"/>
              <w:bottom w:val="nil"/>
              <w:right w:val="nil"/>
            </w:tcBorders>
            <w:shd w:val="clear" w:color="auto" w:fill="auto"/>
            <w:vAlign w:val="center"/>
            <w:hideMark/>
          </w:tcPr>
          <w:p w14:paraId="707056FB" w14:textId="77777777" w:rsidR="00B975F1" w:rsidRPr="006C6F80" w:rsidRDefault="00B975F1" w:rsidP="00B87104">
            <w:pPr>
              <w:jc w:val="center"/>
              <w:rPr>
                <w:color w:val="000000" w:themeColor="text1"/>
                <w:sz w:val="20"/>
                <w:szCs w:val="20"/>
              </w:rPr>
            </w:pPr>
            <w:r w:rsidRPr="006C6F80">
              <w:rPr>
                <w:color w:val="000000" w:themeColor="text1"/>
                <w:sz w:val="20"/>
                <w:szCs w:val="20"/>
              </w:rPr>
              <w:t>0.015</w:t>
            </w:r>
          </w:p>
        </w:tc>
      </w:tr>
      <w:tr w:rsidR="00B975F1" w:rsidRPr="006C6F80" w14:paraId="2985E359"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5CE96B7A" w14:textId="77777777" w:rsidR="00B975F1" w:rsidRPr="006C6F80" w:rsidRDefault="00B975F1" w:rsidP="00B87104">
            <w:pPr>
              <w:rPr>
                <w:color w:val="000000" w:themeColor="text1"/>
                <w:sz w:val="20"/>
                <w:szCs w:val="20"/>
              </w:rPr>
            </w:pPr>
            <w:r w:rsidRPr="006C6F80">
              <w:rPr>
                <w:color w:val="000000" w:themeColor="text1"/>
                <w:sz w:val="20"/>
                <w:szCs w:val="20"/>
              </w:rPr>
              <w:t>Professional, scientific and administrative activities</w:t>
            </w:r>
          </w:p>
        </w:tc>
        <w:tc>
          <w:tcPr>
            <w:tcW w:w="1080" w:type="dxa"/>
            <w:tcBorders>
              <w:top w:val="nil"/>
              <w:left w:val="nil"/>
              <w:bottom w:val="nil"/>
              <w:right w:val="nil"/>
            </w:tcBorders>
            <w:shd w:val="clear" w:color="auto" w:fill="auto"/>
            <w:vAlign w:val="center"/>
            <w:hideMark/>
          </w:tcPr>
          <w:p w14:paraId="01CD0117" w14:textId="77777777" w:rsidR="00B975F1" w:rsidRPr="006C6F80" w:rsidRDefault="00B975F1" w:rsidP="00B87104">
            <w:pPr>
              <w:jc w:val="center"/>
              <w:rPr>
                <w:color w:val="000000" w:themeColor="text1"/>
                <w:sz w:val="20"/>
                <w:szCs w:val="20"/>
              </w:rPr>
            </w:pPr>
            <w:r w:rsidRPr="006C6F80">
              <w:rPr>
                <w:color w:val="000000" w:themeColor="text1"/>
                <w:sz w:val="20"/>
                <w:szCs w:val="20"/>
              </w:rPr>
              <w:t>0.018</w:t>
            </w:r>
          </w:p>
        </w:tc>
        <w:tc>
          <w:tcPr>
            <w:tcW w:w="900" w:type="dxa"/>
            <w:tcBorders>
              <w:top w:val="nil"/>
              <w:left w:val="nil"/>
              <w:bottom w:val="nil"/>
              <w:right w:val="nil"/>
            </w:tcBorders>
            <w:shd w:val="clear" w:color="auto" w:fill="auto"/>
            <w:vAlign w:val="center"/>
            <w:hideMark/>
          </w:tcPr>
          <w:p w14:paraId="30AF73B2" w14:textId="77777777" w:rsidR="00B975F1" w:rsidRPr="006C6F80" w:rsidRDefault="00B975F1" w:rsidP="00B87104">
            <w:pPr>
              <w:jc w:val="center"/>
              <w:rPr>
                <w:color w:val="000000" w:themeColor="text1"/>
                <w:sz w:val="20"/>
                <w:szCs w:val="20"/>
              </w:rPr>
            </w:pPr>
            <w:r w:rsidRPr="006C6F80">
              <w:rPr>
                <w:color w:val="000000" w:themeColor="text1"/>
                <w:sz w:val="20"/>
                <w:szCs w:val="20"/>
              </w:rPr>
              <w:t>0.027</w:t>
            </w:r>
          </w:p>
        </w:tc>
        <w:tc>
          <w:tcPr>
            <w:tcW w:w="1080" w:type="dxa"/>
            <w:tcBorders>
              <w:top w:val="nil"/>
              <w:left w:val="nil"/>
              <w:bottom w:val="nil"/>
              <w:right w:val="nil"/>
            </w:tcBorders>
            <w:shd w:val="clear" w:color="auto" w:fill="auto"/>
            <w:vAlign w:val="center"/>
            <w:hideMark/>
          </w:tcPr>
          <w:p w14:paraId="55F6512D" w14:textId="77777777" w:rsidR="00B975F1" w:rsidRPr="006C6F80" w:rsidRDefault="00B975F1" w:rsidP="00B87104">
            <w:pPr>
              <w:jc w:val="center"/>
              <w:rPr>
                <w:color w:val="000000" w:themeColor="text1"/>
                <w:sz w:val="20"/>
                <w:szCs w:val="20"/>
              </w:rPr>
            </w:pPr>
            <w:r w:rsidRPr="006C6F80">
              <w:rPr>
                <w:color w:val="000000" w:themeColor="text1"/>
                <w:sz w:val="20"/>
                <w:szCs w:val="20"/>
              </w:rPr>
              <w:t>-0.01</w:t>
            </w:r>
          </w:p>
        </w:tc>
        <w:tc>
          <w:tcPr>
            <w:tcW w:w="1080" w:type="dxa"/>
            <w:gridSpan w:val="2"/>
            <w:tcBorders>
              <w:top w:val="nil"/>
              <w:left w:val="nil"/>
              <w:bottom w:val="nil"/>
              <w:right w:val="nil"/>
            </w:tcBorders>
            <w:shd w:val="clear" w:color="auto" w:fill="auto"/>
            <w:vAlign w:val="center"/>
            <w:hideMark/>
          </w:tcPr>
          <w:p w14:paraId="65951033" w14:textId="77777777" w:rsidR="00B975F1" w:rsidRPr="006C6F80" w:rsidRDefault="00B975F1" w:rsidP="00B87104">
            <w:pPr>
              <w:jc w:val="center"/>
              <w:rPr>
                <w:color w:val="000000" w:themeColor="text1"/>
                <w:sz w:val="20"/>
                <w:szCs w:val="20"/>
              </w:rPr>
            </w:pPr>
            <w:r w:rsidRPr="006C6F80">
              <w:rPr>
                <w:color w:val="000000" w:themeColor="text1"/>
                <w:sz w:val="20"/>
                <w:szCs w:val="20"/>
              </w:rPr>
              <w:t>0.031</w:t>
            </w:r>
          </w:p>
        </w:tc>
        <w:tc>
          <w:tcPr>
            <w:tcW w:w="900" w:type="dxa"/>
            <w:tcBorders>
              <w:top w:val="nil"/>
              <w:left w:val="nil"/>
              <w:bottom w:val="nil"/>
              <w:right w:val="nil"/>
            </w:tcBorders>
            <w:shd w:val="clear" w:color="auto" w:fill="auto"/>
            <w:vAlign w:val="center"/>
            <w:hideMark/>
          </w:tcPr>
          <w:p w14:paraId="229B611A" w14:textId="77777777" w:rsidR="00B975F1" w:rsidRPr="006C6F80" w:rsidRDefault="00B975F1" w:rsidP="00B87104">
            <w:pPr>
              <w:jc w:val="center"/>
              <w:rPr>
                <w:color w:val="000000" w:themeColor="text1"/>
                <w:sz w:val="20"/>
                <w:szCs w:val="20"/>
              </w:rPr>
            </w:pPr>
            <w:r w:rsidRPr="006C6F80">
              <w:rPr>
                <w:color w:val="000000" w:themeColor="text1"/>
                <w:sz w:val="20"/>
                <w:szCs w:val="20"/>
              </w:rPr>
              <w:t>0.028</w:t>
            </w:r>
          </w:p>
        </w:tc>
        <w:tc>
          <w:tcPr>
            <w:tcW w:w="1083" w:type="dxa"/>
            <w:gridSpan w:val="2"/>
            <w:tcBorders>
              <w:top w:val="nil"/>
              <w:left w:val="nil"/>
              <w:bottom w:val="nil"/>
              <w:right w:val="nil"/>
            </w:tcBorders>
            <w:shd w:val="clear" w:color="auto" w:fill="auto"/>
            <w:vAlign w:val="center"/>
            <w:hideMark/>
          </w:tcPr>
          <w:p w14:paraId="3DE8DD7D" w14:textId="77777777" w:rsidR="00B975F1" w:rsidRPr="006C6F80" w:rsidRDefault="00B975F1" w:rsidP="00B87104">
            <w:pPr>
              <w:jc w:val="center"/>
              <w:rPr>
                <w:color w:val="000000" w:themeColor="text1"/>
                <w:sz w:val="20"/>
                <w:szCs w:val="20"/>
              </w:rPr>
            </w:pPr>
            <w:r w:rsidRPr="006C6F80">
              <w:rPr>
                <w:color w:val="000000" w:themeColor="text1"/>
                <w:sz w:val="20"/>
                <w:szCs w:val="20"/>
              </w:rPr>
              <w:t>0.003</w:t>
            </w:r>
          </w:p>
        </w:tc>
      </w:tr>
      <w:tr w:rsidR="00B975F1" w:rsidRPr="006C6F80" w14:paraId="7BAE94EC"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106F8622" w14:textId="77777777" w:rsidR="00B975F1" w:rsidRPr="006C6F80" w:rsidRDefault="00B975F1" w:rsidP="00B87104">
            <w:pPr>
              <w:rPr>
                <w:color w:val="000000" w:themeColor="text1"/>
                <w:sz w:val="20"/>
                <w:szCs w:val="20"/>
              </w:rPr>
            </w:pPr>
            <w:r w:rsidRPr="006C6F80">
              <w:rPr>
                <w:color w:val="000000" w:themeColor="text1"/>
                <w:sz w:val="20"/>
                <w:szCs w:val="20"/>
              </w:rPr>
              <w:t>Other activities</w:t>
            </w:r>
          </w:p>
        </w:tc>
        <w:tc>
          <w:tcPr>
            <w:tcW w:w="1080" w:type="dxa"/>
            <w:tcBorders>
              <w:top w:val="nil"/>
              <w:left w:val="nil"/>
              <w:bottom w:val="nil"/>
              <w:right w:val="nil"/>
            </w:tcBorders>
            <w:shd w:val="clear" w:color="auto" w:fill="auto"/>
            <w:vAlign w:val="center"/>
            <w:hideMark/>
          </w:tcPr>
          <w:p w14:paraId="21796DB1" w14:textId="77777777" w:rsidR="00B975F1" w:rsidRPr="006C6F80" w:rsidRDefault="00B975F1" w:rsidP="00B87104">
            <w:pPr>
              <w:jc w:val="center"/>
              <w:rPr>
                <w:color w:val="000000" w:themeColor="text1"/>
                <w:sz w:val="20"/>
                <w:szCs w:val="20"/>
              </w:rPr>
            </w:pPr>
            <w:r w:rsidRPr="006C6F80">
              <w:rPr>
                <w:color w:val="000000" w:themeColor="text1"/>
                <w:sz w:val="20"/>
                <w:szCs w:val="20"/>
              </w:rPr>
              <w:t>0.189</w:t>
            </w:r>
          </w:p>
        </w:tc>
        <w:tc>
          <w:tcPr>
            <w:tcW w:w="900" w:type="dxa"/>
            <w:tcBorders>
              <w:top w:val="nil"/>
              <w:left w:val="nil"/>
              <w:bottom w:val="nil"/>
              <w:right w:val="nil"/>
            </w:tcBorders>
            <w:shd w:val="clear" w:color="auto" w:fill="auto"/>
            <w:vAlign w:val="center"/>
            <w:hideMark/>
          </w:tcPr>
          <w:p w14:paraId="4A71E0A3" w14:textId="77777777" w:rsidR="00B975F1" w:rsidRPr="006C6F80" w:rsidRDefault="00B975F1" w:rsidP="00B87104">
            <w:pPr>
              <w:jc w:val="center"/>
              <w:rPr>
                <w:color w:val="000000" w:themeColor="text1"/>
                <w:sz w:val="20"/>
                <w:szCs w:val="20"/>
              </w:rPr>
            </w:pPr>
            <w:r w:rsidRPr="006C6F80">
              <w:rPr>
                <w:color w:val="000000" w:themeColor="text1"/>
                <w:sz w:val="20"/>
                <w:szCs w:val="20"/>
              </w:rPr>
              <w:t>0.076</w:t>
            </w:r>
          </w:p>
        </w:tc>
        <w:tc>
          <w:tcPr>
            <w:tcW w:w="1080" w:type="dxa"/>
            <w:tcBorders>
              <w:top w:val="nil"/>
              <w:left w:val="nil"/>
              <w:bottom w:val="nil"/>
              <w:right w:val="nil"/>
            </w:tcBorders>
            <w:shd w:val="clear" w:color="auto" w:fill="auto"/>
            <w:vAlign w:val="center"/>
            <w:hideMark/>
          </w:tcPr>
          <w:p w14:paraId="0DC3B60B" w14:textId="77777777" w:rsidR="00B975F1" w:rsidRPr="006C6F80" w:rsidRDefault="00B975F1" w:rsidP="00B87104">
            <w:pPr>
              <w:jc w:val="center"/>
              <w:rPr>
                <w:color w:val="000000" w:themeColor="text1"/>
                <w:sz w:val="20"/>
                <w:szCs w:val="20"/>
              </w:rPr>
            </w:pPr>
            <w:r w:rsidRPr="006C6F80">
              <w:rPr>
                <w:color w:val="000000" w:themeColor="text1"/>
                <w:sz w:val="20"/>
                <w:szCs w:val="20"/>
              </w:rPr>
              <w:t>0.112***</w:t>
            </w:r>
          </w:p>
        </w:tc>
        <w:tc>
          <w:tcPr>
            <w:tcW w:w="1080" w:type="dxa"/>
            <w:gridSpan w:val="2"/>
            <w:tcBorders>
              <w:top w:val="nil"/>
              <w:left w:val="nil"/>
              <w:bottom w:val="nil"/>
              <w:right w:val="nil"/>
            </w:tcBorders>
            <w:shd w:val="clear" w:color="auto" w:fill="auto"/>
            <w:vAlign w:val="center"/>
            <w:hideMark/>
          </w:tcPr>
          <w:p w14:paraId="282B7BE5" w14:textId="77777777" w:rsidR="00B975F1" w:rsidRPr="006C6F80" w:rsidRDefault="00B975F1" w:rsidP="00B87104">
            <w:pPr>
              <w:jc w:val="center"/>
              <w:rPr>
                <w:color w:val="000000" w:themeColor="text1"/>
                <w:sz w:val="20"/>
                <w:szCs w:val="20"/>
              </w:rPr>
            </w:pPr>
            <w:r w:rsidRPr="006C6F80">
              <w:rPr>
                <w:color w:val="000000" w:themeColor="text1"/>
                <w:sz w:val="20"/>
                <w:szCs w:val="20"/>
              </w:rPr>
              <w:t>0.102</w:t>
            </w:r>
          </w:p>
        </w:tc>
        <w:tc>
          <w:tcPr>
            <w:tcW w:w="900" w:type="dxa"/>
            <w:tcBorders>
              <w:top w:val="nil"/>
              <w:left w:val="nil"/>
              <w:bottom w:val="nil"/>
              <w:right w:val="nil"/>
            </w:tcBorders>
            <w:shd w:val="clear" w:color="auto" w:fill="auto"/>
            <w:vAlign w:val="center"/>
            <w:hideMark/>
          </w:tcPr>
          <w:p w14:paraId="273CC700" w14:textId="77777777" w:rsidR="00B975F1" w:rsidRPr="006C6F80" w:rsidRDefault="00B975F1" w:rsidP="00B87104">
            <w:pPr>
              <w:jc w:val="center"/>
              <w:rPr>
                <w:color w:val="000000" w:themeColor="text1"/>
                <w:sz w:val="20"/>
                <w:szCs w:val="20"/>
              </w:rPr>
            </w:pPr>
            <w:r w:rsidRPr="006C6F80">
              <w:rPr>
                <w:color w:val="000000" w:themeColor="text1"/>
                <w:sz w:val="20"/>
                <w:szCs w:val="20"/>
              </w:rPr>
              <w:t>0.077</w:t>
            </w:r>
          </w:p>
        </w:tc>
        <w:tc>
          <w:tcPr>
            <w:tcW w:w="1083" w:type="dxa"/>
            <w:gridSpan w:val="2"/>
            <w:tcBorders>
              <w:top w:val="nil"/>
              <w:left w:val="nil"/>
              <w:bottom w:val="nil"/>
              <w:right w:val="nil"/>
            </w:tcBorders>
            <w:shd w:val="clear" w:color="auto" w:fill="auto"/>
            <w:vAlign w:val="center"/>
            <w:hideMark/>
          </w:tcPr>
          <w:p w14:paraId="61AB176D" w14:textId="77777777" w:rsidR="00B975F1" w:rsidRPr="006C6F80" w:rsidRDefault="00B975F1" w:rsidP="00B87104">
            <w:pPr>
              <w:jc w:val="center"/>
              <w:rPr>
                <w:color w:val="000000" w:themeColor="text1"/>
                <w:sz w:val="20"/>
                <w:szCs w:val="20"/>
              </w:rPr>
            </w:pPr>
            <w:r w:rsidRPr="006C6F80">
              <w:rPr>
                <w:color w:val="000000" w:themeColor="text1"/>
                <w:sz w:val="20"/>
                <w:szCs w:val="20"/>
              </w:rPr>
              <w:t>0.025</w:t>
            </w:r>
          </w:p>
        </w:tc>
      </w:tr>
      <w:tr w:rsidR="00B975F1" w:rsidRPr="006C6F80" w14:paraId="18C259ED" w14:textId="77777777" w:rsidTr="00B87104">
        <w:trPr>
          <w:trHeight w:val="260"/>
          <w:jc w:val="center"/>
        </w:trPr>
        <w:tc>
          <w:tcPr>
            <w:tcW w:w="1080" w:type="dxa"/>
            <w:tcBorders>
              <w:top w:val="nil"/>
              <w:left w:val="nil"/>
              <w:bottom w:val="nil"/>
              <w:right w:val="nil"/>
            </w:tcBorders>
            <w:shd w:val="clear" w:color="auto" w:fill="auto"/>
            <w:vAlign w:val="center"/>
            <w:hideMark/>
          </w:tcPr>
          <w:p w14:paraId="73942A40" w14:textId="77777777" w:rsidR="00B975F1" w:rsidRPr="006C6F80" w:rsidRDefault="00B975F1" w:rsidP="00B87104">
            <w:pPr>
              <w:jc w:val="center"/>
              <w:rPr>
                <w:color w:val="000000" w:themeColor="text1"/>
                <w:sz w:val="20"/>
                <w:szCs w:val="20"/>
              </w:rPr>
            </w:pPr>
          </w:p>
        </w:tc>
        <w:tc>
          <w:tcPr>
            <w:tcW w:w="3780" w:type="dxa"/>
            <w:tcBorders>
              <w:top w:val="nil"/>
              <w:left w:val="nil"/>
              <w:bottom w:val="nil"/>
              <w:right w:val="nil"/>
            </w:tcBorders>
            <w:shd w:val="clear" w:color="auto" w:fill="auto"/>
            <w:vAlign w:val="center"/>
            <w:hideMark/>
          </w:tcPr>
          <w:p w14:paraId="1625D7A8" w14:textId="77777777" w:rsidR="00B975F1" w:rsidRPr="006C6F80" w:rsidRDefault="00B975F1" w:rsidP="00B87104">
            <w:pPr>
              <w:rPr>
                <w:color w:val="000000" w:themeColor="text1"/>
                <w:sz w:val="20"/>
                <w:szCs w:val="20"/>
              </w:rPr>
            </w:pPr>
          </w:p>
        </w:tc>
        <w:tc>
          <w:tcPr>
            <w:tcW w:w="1080" w:type="dxa"/>
            <w:tcBorders>
              <w:top w:val="nil"/>
              <w:left w:val="nil"/>
              <w:bottom w:val="nil"/>
              <w:right w:val="nil"/>
            </w:tcBorders>
            <w:shd w:val="clear" w:color="auto" w:fill="auto"/>
            <w:vAlign w:val="center"/>
            <w:hideMark/>
          </w:tcPr>
          <w:p w14:paraId="44CF0BFE" w14:textId="77777777" w:rsidR="00B975F1" w:rsidRPr="006C6F80" w:rsidRDefault="00B975F1" w:rsidP="00B87104">
            <w:pPr>
              <w:rPr>
                <w:color w:val="000000" w:themeColor="text1"/>
                <w:sz w:val="20"/>
                <w:szCs w:val="20"/>
              </w:rPr>
            </w:pPr>
          </w:p>
        </w:tc>
        <w:tc>
          <w:tcPr>
            <w:tcW w:w="900" w:type="dxa"/>
            <w:tcBorders>
              <w:top w:val="nil"/>
              <w:left w:val="nil"/>
              <w:bottom w:val="nil"/>
              <w:right w:val="nil"/>
            </w:tcBorders>
            <w:shd w:val="clear" w:color="auto" w:fill="auto"/>
            <w:vAlign w:val="center"/>
            <w:hideMark/>
          </w:tcPr>
          <w:p w14:paraId="560BDF72" w14:textId="77777777" w:rsidR="00B975F1" w:rsidRPr="006C6F80" w:rsidRDefault="00B975F1" w:rsidP="00B87104">
            <w:pPr>
              <w:jc w:val="center"/>
              <w:rPr>
                <w:color w:val="000000" w:themeColor="text1"/>
                <w:sz w:val="20"/>
                <w:szCs w:val="20"/>
              </w:rPr>
            </w:pPr>
          </w:p>
        </w:tc>
        <w:tc>
          <w:tcPr>
            <w:tcW w:w="1080" w:type="dxa"/>
            <w:tcBorders>
              <w:top w:val="nil"/>
              <w:left w:val="nil"/>
              <w:bottom w:val="nil"/>
              <w:right w:val="nil"/>
            </w:tcBorders>
            <w:shd w:val="clear" w:color="auto" w:fill="auto"/>
            <w:vAlign w:val="center"/>
            <w:hideMark/>
          </w:tcPr>
          <w:p w14:paraId="2087FFE4" w14:textId="77777777" w:rsidR="00B975F1" w:rsidRPr="006C6F80" w:rsidRDefault="00B975F1" w:rsidP="00B87104">
            <w:pPr>
              <w:jc w:val="center"/>
              <w:rPr>
                <w:color w:val="000000" w:themeColor="text1"/>
                <w:sz w:val="20"/>
                <w:szCs w:val="20"/>
              </w:rPr>
            </w:pPr>
          </w:p>
        </w:tc>
        <w:tc>
          <w:tcPr>
            <w:tcW w:w="1080" w:type="dxa"/>
            <w:gridSpan w:val="2"/>
            <w:tcBorders>
              <w:top w:val="nil"/>
              <w:left w:val="nil"/>
              <w:bottom w:val="nil"/>
              <w:right w:val="nil"/>
            </w:tcBorders>
            <w:shd w:val="clear" w:color="auto" w:fill="auto"/>
            <w:vAlign w:val="bottom"/>
            <w:hideMark/>
          </w:tcPr>
          <w:p w14:paraId="1C70A1C0" w14:textId="77777777" w:rsidR="00B975F1" w:rsidRPr="006C6F80" w:rsidRDefault="00B975F1" w:rsidP="00B87104">
            <w:pPr>
              <w:jc w:val="center"/>
              <w:rPr>
                <w:color w:val="000000" w:themeColor="text1"/>
                <w:sz w:val="20"/>
                <w:szCs w:val="20"/>
              </w:rPr>
            </w:pPr>
          </w:p>
        </w:tc>
        <w:tc>
          <w:tcPr>
            <w:tcW w:w="900" w:type="dxa"/>
            <w:tcBorders>
              <w:top w:val="nil"/>
              <w:left w:val="nil"/>
              <w:bottom w:val="nil"/>
              <w:right w:val="nil"/>
            </w:tcBorders>
            <w:shd w:val="clear" w:color="auto" w:fill="auto"/>
            <w:noWrap/>
            <w:vAlign w:val="bottom"/>
            <w:hideMark/>
          </w:tcPr>
          <w:p w14:paraId="27FA0703" w14:textId="77777777" w:rsidR="00B975F1" w:rsidRPr="006C6F80" w:rsidRDefault="00B975F1" w:rsidP="00B87104">
            <w:pPr>
              <w:jc w:val="center"/>
              <w:rPr>
                <w:color w:val="000000" w:themeColor="text1"/>
                <w:sz w:val="20"/>
                <w:szCs w:val="20"/>
              </w:rPr>
            </w:pPr>
          </w:p>
        </w:tc>
        <w:tc>
          <w:tcPr>
            <w:tcW w:w="1083" w:type="dxa"/>
            <w:gridSpan w:val="2"/>
            <w:tcBorders>
              <w:top w:val="nil"/>
              <w:left w:val="nil"/>
              <w:bottom w:val="nil"/>
              <w:right w:val="nil"/>
            </w:tcBorders>
            <w:shd w:val="clear" w:color="auto" w:fill="auto"/>
            <w:noWrap/>
            <w:vAlign w:val="bottom"/>
            <w:hideMark/>
          </w:tcPr>
          <w:p w14:paraId="3DEBC3C6" w14:textId="77777777" w:rsidR="00B975F1" w:rsidRPr="006C6F80" w:rsidRDefault="00B975F1" w:rsidP="00B87104">
            <w:pPr>
              <w:jc w:val="center"/>
              <w:rPr>
                <w:color w:val="000000" w:themeColor="text1"/>
                <w:sz w:val="20"/>
                <w:szCs w:val="20"/>
              </w:rPr>
            </w:pPr>
          </w:p>
        </w:tc>
      </w:tr>
      <w:tr w:rsidR="00B975F1" w:rsidRPr="006C6F80" w14:paraId="4CFF1E7D"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73008826" w14:textId="77777777" w:rsidR="00B975F1" w:rsidRPr="006C6F80" w:rsidRDefault="00B975F1" w:rsidP="00B87104">
            <w:pPr>
              <w:rPr>
                <w:i/>
                <w:iCs/>
                <w:color w:val="000000" w:themeColor="text1"/>
                <w:sz w:val="20"/>
                <w:szCs w:val="20"/>
              </w:rPr>
            </w:pPr>
            <w:r w:rsidRPr="006C6F80">
              <w:rPr>
                <w:i/>
                <w:iCs/>
                <w:color w:val="000000" w:themeColor="text1"/>
                <w:sz w:val="20"/>
                <w:szCs w:val="20"/>
              </w:rPr>
              <w:t>Sector of employment</w:t>
            </w:r>
          </w:p>
        </w:tc>
        <w:tc>
          <w:tcPr>
            <w:tcW w:w="1080" w:type="dxa"/>
            <w:tcBorders>
              <w:top w:val="nil"/>
              <w:left w:val="nil"/>
              <w:bottom w:val="nil"/>
              <w:right w:val="nil"/>
            </w:tcBorders>
            <w:shd w:val="clear" w:color="auto" w:fill="auto"/>
            <w:vAlign w:val="center"/>
            <w:hideMark/>
          </w:tcPr>
          <w:p w14:paraId="76741CB4" w14:textId="77777777" w:rsidR="00B975F1" w:rsidRPr="006C6F80" w:rsidRDefault="00B975F1" w:rsidP="00B87104">
            <w:pPr>
              <w:rPr>
                <w:i/>
                <w:iCs/>
                <w:color w:val="000000" w:themeColor="text1"/>
                <w:sz w:val="20"/>
                <w:szCs w:val="20"/>
              </w:rPr>
            </w:pPr>
          </w:p>
        </w:tc>
        <w:tc>
          <w:tcPr>
            <w:tcW w:w="900" w:type="dxa"/>
            <w:tcBorders>
              <w:top w:val="nil"/>
              <w:left w:val="nil"/>
              <w:bottom w:val="nil"/>
              <w:right w:val="nil"/>
            </w:tcBorders>
            <w:shd w:val="clear" w:color="auto" w:fill="auto"/>
            <w:vAlign w:val="center"/>
            <w:hideMark/>
          </w:tcPr>
          <w:p w14:paraId="5F7E0BD1" w14:textId="77777777" w:rsidR="00B975F1" w:rsidRPr="006C6F80" w:rsidRDefault="00B975F1" w:rsidP="00B87104">
            <w:pPr>
              <w:jc w:val="center"/>
              <w:rPr>
                <w:color w:val="000000" w:themeColor="text1"/>
                <w:sz w:val="20"/>
                <w:szCs w:val="20"/>
              </w:rPr>
            </w:pPr>
          </w:p>
        </w:tc>
        <w:tc>
          <w:tcPr>
            <w:tcW w:w="1080" w:type="dxa"/>
            <w:tcBorders>
              <w:top w:val="nil"/>
              <w:left w:val="nil"/>
              <w:bottom w:val="nil"/>
              <w:right w:val="nil"/>
            </w:tcBorders>
            <w:shd w:val="clear" w:color="auto" w:fill="auto"/>
            <w:vAlign w:val="center"/>
            <w:hideMark/>
          </w:tcPr>
          <w:p w14:paraId="01983675" w14:textId="77777777" w:rsidR="00B975F1" w:rsidRPr="006C6F80" w:rsidRDefault="00B975F1" w:rsidP="00B87104">
            <w:pPr>
              <w:jc w:val="center"/>
              <w:rPr>
                <w:color w:val="000000" w:themeColor="text1"/>
                <w:sz w:val="20"/>
                <w:szCs w:val="20"/>
              </w:rPr>
            </w:pPr>
          </w:p>
        </w:tc>
        <w:tc>
          <w:tcPr>
            <w:tcW w:w="1080" w:type="dxa"/>
            <w:gridSpan w:val="2"/>
            <w:tcBorders>
              <w:top w:val="nil"/>
              <w:left w:val="nil"/>
              <w:bottom w:val="nil"/>
              <w:right w:val="nil"/>
            </w:tcBorders>
            <w:shd w:val="clear" w:color="auto" w:fill="auto"/>
            <w:vAlign w:val="bottom"/>
            <w:hideMark/>
          </w:tcPr>
          <w:p w14:paraId="476DDEB3" w14:textId="77777777" w:rsidR="00B975F1" w:rsidRPr="006C6F80" w:rsidRDefault="00B975F1" w:rsidP="00B87104">
            <w:pPr>
              <w:jc w:val="center"/>
              <w:rPr>
                <w:color w:val="000000" w:themeColor="text1"/>
                <w:sz w:val="20"/>
                <w:szCs w:val="20"/>
              </w:rPr>
            </w:pPr>
          </w:p>
        </w:tc>
        <w:tc>
          <w:tcPr>
            <w:tcW w:w="900" w:type="dxa"/>
            <w:tcBorders>
              <w:top w:val="nil"/>
              <w:left w:val="nil"/>
              <w:bottom w:val="nil"/>
              <w:right w:val="nil"/>
            </w:tcBorders>
            <w:shd w:val="clear" w:color="auto" w:fill="auto"/>
            <w:noWrap/>
            <w:vAlign w:val="bottom"/>
            <w:hideMark/>
          </w:tcPr>
          <w:p w14:paraId="5D055BB5" w14:textId="77777777" w:rsidR="00B975F1" w:rsidRPr="006C6F80" w:rsidRDefault="00B975F1" w:rsidP="00B87104">
            <w:pPr>
              <w:jc w:val="center"/>
              <w:rPr>
                <w:color w:val="000000" w:themeColor="text1"/>
                <w:sz w:val="20"/>
                <w:szCs w:val="20"/>
              </w:rPr>
            </w:pPr>
          </w:p>
        </w:tc>
        <w:tc>
          <w:tcPr>
            <w:tcW w:w="1083" w:type="dxa"/>
            <w:gridSpan w:val="2"/>
            <w:tcBorders>
              <w:top w:val="nil"/>
              <w:left w:val="nil"/>
              <w:bottom w:val="nil"/>
              <w:right w:val="nil"/>
            </w:tcBorders>
            <w:shd w:val="clear" w:color="auto" w:fill="auto"/>
            <w:noWrap/>
            <w:vAlign w:val="bottom"/>
            <w:hideMark/>
          </w:tcPr>
          <w:p w14:paraId="319C1C86" w14:textId="77777777" w:rsidR="00B975F1" w:rsidRPr="006C6F80" w:rsidRDefault="00B975F1" w:rsidP="00B87104">
            <w:pPr>
              <w:jc w:val="center"/>
              <w:rPr>
                <w:color w:val="000000" w:themeColor="text1"/>
                <w:sz w:val="20"/>
                <w:szCs w:val="20"/>
              </w:rPr>
            </w:pPr>
          </w:p>
        </w:tc>
      </w:tr>
      <w:tr w:rsidR="00B975F1" w:rsidRPr="006C6F80" w14:paraId="081FC32C"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72418B22" w14:textId="77777777" w:rsidR="00B975F1" w:rsidRPr="006C6F80" w:rsidRDefault="00B975F1" w:rsidP="00B87104">
            <w:pPr>
              <w:rPr>
                <w:color w:val="000000" w:themeColor="text1"/>
                <w:sz w:val="20"/>
                <w:szCs w:val="20"/>
              </w:rPr>
            </w:pPr>
            <w:r w:rsidRPr="006C6F80">
              <w:rPr>
                <w:color w:val="000000" w:themeColor="text1"/>
                <w:sz w:val="20"/>
                <w:szCs w:val="20"/>
              </w:rPr>
              <w:t>Public</w:t>
            </w:r>
          </w:p>
        </w:tc>
        <w:tc>
          <w:tcPr>
            <w:tcW w:w="1080" w:type="dxa"/>
            <w:tcBorders>
              <w:top w:val="nil"/>
              <w:left w:val="nil"/>
              <w:bottom w:val="nil"/>
              <w:right w:val="nil"/>
            </w:tcBorders>
            <w:shd w:val="clear" w:color="auto" w:fill="auto"/>
            <w:vAlign w:val="center"/>
            <w:hideMark/>
          </w:tcPr>
          <w:p w14:paraId="57837C81" w14:textId="77777777" w:rsidR="00B975F1" w:rsidRPr="006C6F80" w:rsidRDefault="00B975F1" w:rsidP="00B87104">
            <w:pPr>
              <w:jc w:val="center"/>
              <w:rPr>
                <w:color w:val="000000" w:themeColor="text1"/>
                <w:sz w:val="20"/>
                <w:szCs w:val="20"/>
              </w:rPr>
            </w:pPr>
            <w:r w:rsidRPr="006C6F80">
              <w:rPr>
                <w:color w:val="000000" w:themeColor="text1"/>
                <w:sz w:val="20"/>
                <w:szCs w:val="20"/>
              </w:rPr>
              <w:t>0.220</w:t>
            </w:r>
          </w:p>
        </w:tc>
        <w:tc>
          <w:tcPr>
            <w:tcW w:w="900" w:type="dxa"/>
            <w:tcBorders>
              <w:top w:val="nil"/>
              <w:left w:val="nil"/>
              <w:bottom w:val="nil"/>
              <w:right w:val="nil"/>
            </w:tcBorders>
            <w:shd w:val="clear" w:color="auto" w:fill="auto"/>
            <w:vAlign w:val="center"/>
            <w:hideMark/>
          </w:tcPr>
          <w:p w14:paraId="6A4C4318" w14:textId="77777777" w:rsidR="00B975F1" w:rsidRPr="006C6F80" w:rsidRDefault="00B975F1" w:rsidP="00B87104">
            <w:pPr>
              <w:jc w:val="center"/>
              <w:rPr>
                <w:color w:val="000000" w:themeColor="text1"/>
                <w:sz w:val="20"/>
                <w:szCs w:val="20"/>
              </w:rPr>
            </w:pPr>
            <w:r w:rsidRPr="006C6F80">
              <w:rPr>
                <w:color w:val="000000" w:themeColor="text1"/>
                <w:sz w:val="20"/>
                <w:szCs w:val="20"/>
              </w:rPr>
              <w:t>0.098</w:t>
            </w:r>
          </w:p>
        </w:tc>
        <w:tc>
          <w:tcPr>
            <w:tcW w:w="1080" w:type="dxa"/>
            <w:tcBorders>
              <w:top w:val="nil"/>
              <w:left w:val="nil"/>
              <w:bottom w:val="nil"/>
              <w:right w:val="nil"/>
            </w:tcBorders>
            <w:shd w:val="clear" w:color="auto" w:fill="auto"/>
            <w:vAlign w:val="center"/>
            <w:hideMark/>
          </w:tcPr>
          <w:p w14:paraId="0AB6CE95" w14:textId="77777777" w:rsidR="00B975F1" w:rsidRPr="006C6F80" w:rsidRDefault="00B975F1" w:rsidP="00B87104">
            <w:pPr>
              <w:jc w:val="center"/>
              <w:rPr>
                <w:color w:val="000000" w:themeColor="text1"/>
                <w:sz w:val="20"/>
                <w:szCs w:val="20"/>
              </w:rPr>
            </w:pPr>
            <w:r w:rsidRPr="006C6F80">
              <w:rPr>
                <w:color w:val="000000" w:themeColor="text1"/>
                <w:sz w:val="20"/>
                <w:szCs w:val="20"/>
              </w:rPr>
              <w:t>0.122***</w:t>
            </w:r>
          </w:p>
        </w:tc>
        <w:tc>
          <w:tcPr>
            <w:tcW w:w="1080" w:type="dxa"/>
            <w:gridSpan w:val="2"/>
            <w:tcBorders>
              <w:top w:val="nil"/>
              <w:left w:val="nil"/>
              <w:bottom w:val="nil"/>
              <w:right w:val="nil"/>
            </w:tcBorders>
            <w:shd w:val="clear" w:color="auto" w:fill="auto"/>
            <w:vAlign w:val="center"/>
            <w:hideMark/>
          </w:tcPr>
          <w:p w14:paraId="221FDBF5" w14:textId="77777777" w:rsidR="00B975F1" w:rsidRPr="006C6F80" w:rsidRDefault="00B975F1" w:rsidP="00B87104">
            <w:pPr>
              <w:jc w:val="center"/>
              <w:rPr>
                <w:color w:val="000000" w:themeColor="text1"/>
                <w:sz w:val="20"/>
                <w:szCs w:val="20"/>
              </w:rPr>
            </w:pPr>
            <w:r w:rsidRPr="006C6F80">
              <w:rPr>
                <w:color w:val="000000" w:themeColor="text1"/>
                <w:sz w:val="20"/>
                <w:szCs w:val="20"/>
              </w:rPr>
              <w:t>0.129</w:t>
            </w:r>
          </w:p>
        </w:tc>
        <w:tc>
          <w:tcPr>
            <w:tcW w:w="900" w:type="dxa"/>
            <w:tcBorders>
              <w:top w:val="nil"/>
              <w:left w:val="nil"/>
              <w:bottom w:val="nil"/>
              <w:right w:val="nil"/>
            </w:tcBorders>
            <w:shd w:val="clear" w:color="auto" w:fill="auto"/>
            <w:vAlign w:val="center"/>
            <w:hideMark/>
          </w:tcPr>
          <w:p w14:paraId="3B4617D4" w14:textId="77777777" w:rsidR="00B975F1" w:rsidRPr="006C6F80" w:rsidRDefault="00B975F1" w:rsidP="00B87104">
            <w:pPr>
              <w:jc w:val="center"/>
              <w:rPr>
                <w:color w:val="000000" w:themeColor="text1"/>
                <w:sz w:val="20"/>
                <w:szCs w:val="20"/>
              </w:rPr>
            </w:pPr>
            <w:r w:rsidRPr="006C6F80">
              <w:rPr>
                <w:color w:val="000000" w:themeColor="text1"/>
                <w:sz w:val="20"/>
                <w:szCs w:val="20"/>
              </w:rPr>
              <w:t>0.098</w:t>
            </w:r>
          </w:p>
        </w:tc>
        <w:tc>
          <w:tcPr>
            <w:tcW w:w="1083" w:type="dxa"/>
            <w:gridSpan w:val="2"/>
            <w:tcBorders>
              <w:top w:val="nil"/>
              <w:left w:val="nil"/>
              <w:bottom w:val="nil"/>
              <w:right w:val="nil"/>
            </w:tcBorders>
            <w:shd w:val="clear" w:color="auto" w:fill="auto"/>
            <w:vAlign w:val="center"/>
            <w:hideMark/>
          </w:tcPr>
          <w:p w14:paraId="0B0CE0FB" w14:textId="77777777" w:rsidR="00B975F1" w:rsidRPr="006C6F80" w:rsidRDefault="00B975F1" w:rsidP="00B87104">
            <w:pPr>
              <w:jc w:val="center"/>
              <w:rPr>
                <w:color w:val="000000" w:themeColor="text1"/>
                <w:sz w:val="20"/>
                <w:szCs w:val="20"/>
              </w:rPr>
            </w:pPr>
            <w:r w:rsidRPr="006C6F80">
              <w:rPr>
                <w:color w:val="000000" w:themeColor="text1"/>
                <w:sz w:val="20"/>
                <w:szCs w:val="20"/>
              </w:rPr>
              <w:t>0.031</w:t>
            </w:r>
          </w:p>
        </w:tc>
      </w:tr>
      <w:tr w:rsidR="00B975F1" w:rsidRPr="006C6F80" w14:paraId="31088EFF"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458F151F" w14:textId="77777777" w:rsidR="00B975F1" w:rsidRPr="006C6F80" w:rsidRDefault="00B975F1" w:rsidP="00B87104">
            <w:pPr>
              <w:rPr>
                <w:color w:val="000000" w:themeColor="text1"/>
                <w:sz w:val="20"/>
                <w:szCs w:val="20"/>
              </w:rPr>
            </w:pPr>
            <w:r w:rsidRPr="006C6F80">
              <w:rPr>
                <w:color w:val="000000" w:themeColor="text1"/>
                <w:sz w:val="20"/>
                <w:szCs w:val="20"/>
              </w:rPr>
              <w:t>Private</w:t>
            </w:r>
          </w:p>
        </w:tc>
        <w:tc>
          <w:tcPr>
            <w:tcW w:w="1080" w:type="dxa"/>
            <w:tcBorders>
              <w:top w:val="nil"/>
              <w:left w:val="nil"/>
              <w:bottom w:val="nil"/>
              <w:right w:val="nil"/>
            </w:tcBorders>
            <w:shd w:val="clear" w:color="auto" w:fill="auto"/>
            <w:vAlign w:val="center"/>
            <w:hideMark/>
          </w:tcPr>
          <w:p w14:paraId="1D2A3190" w14:textId="77777777" w:rsidR="00B975F1" w:rsidRPr="006C6F80" w:rsidRDefault="00B975F1" w:rsidP="00B87104">
            <w:pPr>
              <w:jc w:val="center"/>
              <w:rPr>
                <w:color w:val="000000" w:themeColor="text1"/>
                <w:sz w:val="20"/>
                <w:szCs w:val="20"/>
              </w:rPr>
            </w:pPr>
            <w:r w:rsidRPr="006C6F80">
              <w:rPr>
                <w:color w:val="000000" w:themeColor="text1"/>
                <w:sz w:val="20"/>
                <w:szCs w:val="20"/>
              </w:rPr>
              <w:t>0.780</w:t>
            </w:r>
          </w:p>
        </w:tc>
        <w:tc>
          <w:tcPr>
            <w:tcW w:w="900" w:type="dxa"/>
            <w:tcBorders>
              <w:top w:val="nil"/>
              <w:left w:val="nil"/>
              <w:bottom w:val="nil"/>
              <w:right w:val="nil"/>
            </w:tcBorders>
            <w:shd w:val="clear" w:color="auto" w:fill="auto"/>
            <w:vAlign w:val="center"/>
            <w:hideMark/>
          </w:tcPr>
          <w:p w14:paraId="76BC18FB" w14:textId="77777777" w:rsidR="00B975F1" w:rsidRPr="006C6F80" w:rsidRDefault="00B975F1" w:rsidP="00B87104">
            <w:pPr>
              <w:jc w:val="center"/>
              <w:rPr>
                <w:color w:val="000000" w:themeColor="text1"/>
                <w:sz w:val="20"/>
                <w:szCs w:val="20"/>
              </w:rPr>
            </w:pPr>
            <w:r w:rsidRPr="006C6F80">
              <w:rPr>
                <w:color w:val="000000" w:themeColor="text1"/>
                <w:sz w:val="20"/>
                <w:szCs w:val="20"/>
              </w:rPr>
              <w:t>0.902</w:t>
            </w:r>
          </w:p>
        </w:tc>
        <w:tc>
          <w:tcPr>
            <w:tcW w:w="1080" w:type="dxa"/>
            <w:tcBorders>
              <w:top w:val="nil"/>
              <w:left w:val="nil"/>
              <w:bottom w:val="nil"/>
              <w:right w:val="nil"/>
            </w:tcBorders>
            <w:shd w:val="clear" w:color="auto" w:fill="auto"/>
            <w:vAlign w:val="center"/>
            <w:hideMark/>
          </w:tcPr>
          <w:p w14:paraId="291753D0" w14:textId="77777777" w:rsidR="00B975F1" w:rsidRPr="006C6F80" w:rsidRDefault="00B975F1" w:rsidP="00B87104">
            <w:pPr>
              <w:jc w:val="center"/>
              <w:rPr>
                <w:color w:val="000000" w:themeColor="text1"/>
                <w:sz w:val="20"/>
                <w:szCs w:val="20"/>
              </w:rPr>
            </w:pPr>
            <w:r w:rsidRPr="006C6F80">
              <w:rPr>
                <w:color w:val="000000" w:themeColor="text1"/>
                <w:sz w:val="20"/>
                <w:szCs w:val="20"/>
              </w:rPr>
              <w:t>-0.122***</w:t>
            </w:r>
          </w:p>
        </w:tc>
        <w:tc>
          <w:tcPr>
            <w:tcW w:w="1080" w:type="dxa"/>
            <w:gridSpan w:val="2"/>
            <w:tcBorders>
              <w:top w:val="nil"/>
              <w:left w:val="nil"/>
              <w:bottom w:val="nil"/>
              <w:right w:val="nil"/>
            </w:tcBorders>
            <w:shd w:val="clear" w:color="auto" w:fill="auto"/>
            <w:vAlign w:val="center"/>
            <w:hideMark/>
          </w:tcPr>
          <w:p w14:paraId="7EF72B80" w14:textId="77777777" w:rsidR="00B975F1" w:rsidRPr="006C6F80" w:rsidRDefault="00B975F1" w:rsidP="00B87104">
            <w:pPr>
              <w:jc w:val="center"/>
              <w:rPr>
                <w:color w:val="000000" w:themeColor="text1"/>
                <w:sz w:val="20"/>
                <w:szCs w:val="20"/>
              </w:rPr>
            </w:pPr>
            <w:r w:rsidRPr="006C6F80">
              <w:rPr>
                <w:color w:val="000000" w:themeColor="text1"/>
                <w:sz w:val="20"/>
                <w:szCs w:val="20"/>
              </w:rPr>
              <w:t>0.871</w:t>
            </w:r>
          </w:p>
        </w:tc>
        <w:tc>
          <w:tcPr>
            <w:tcW w:w="900" w:type="dxa"/>
            <w:tcBorders>
              <w:top w:val="nil"/>
              <w:left w:val="nil"/>
              <w:bottom w:val="nil"/>
              <w:right w:val="nil"/>
            </w:tcBorders>
            <w:shd w:val="clear" w:color="auto" w:fill="auto"/>
            <w:vAlign w:val="center"/>
            <w:hideMark/>
          </w:tcPr>
          <w:p w14:paraId="6B4CBEA4" w14:textId="77777777" w:rsidR="00B975F1" w:rsidRPr="006C6F80" w:rsidRDefault="00B975F1" w:rsidP="00B87104">
            <w:pPr>
              <w:jc w:val="center"/>
              <w:rPr>
                <w:color w:val="000000" w:themeColor="text1"/>
                <w:sz w:val="20"/>
                <w:szCs w:val="20"/>
              </w:rPr>
            </w:pPr>
            <w:r w:rsidRPr="006C6F80">
              <w:rPr>
                <w:color w:val="000000" w:themeColor="text1"/>
                <w:sz w:val="20"/>
                <w:szCs w:val="20"/>
              </w:rPr>
              <w:t>0.902</w:t>
            </w:r>
          </w:p>
        </w:tc>
        <w:tc>
          <w:tcPr>
            <w:tcW w:w="1083" w:type="dxa"/>
            <w:gridSpan w:val="2"/>
            <w:tcBorders>
              <w:top w:val="nil"/>
              <w:left w:val="nil"/>
              <w:bottom w:val="nil"/>
              <w:right w:val="nil"/>
            </w:tcBorders>
            <w:shd w:val="clear" w:color="auto" w:fill="auto"/>
            <w:vAlign w:val="center"/>
            <w:hideMark/>
          </w:tcPr>
          <w:p w14:paraId="7A3A7E34" w14:textId="77777777" w:rsidR="00B975F1" w:rsidRPr="006C6F80" w:rsidRDefault="00B975F1" w:rsidP="00B87104">
            <w:pPr>
              <w:jc w:val="center"/>
              <w:rPr>
                <w:color w:val="000000" w:themeColor="text1"/>
                <w:sz w:val="20"/>
                <w:szCs w:val="20"/>
              </w:rPr>
            </w:pPr>
            <w:r w:rsidRPr="006C6F80">
              <w:rPr>
                <w:color w:val="000000" w:themeColor="text1"/>
                <w:sz w:val="20"/>
                <w:szCs w:val="20"/>
              </w:rPr>
              <w:t>-0.031</w:t>
            </w:r>
          </w:p>
        </w:tc>
      </w:tr>
      <w:tr w:rsidR="00B975F1" w:rsidRPr="006C6F80" w14:paraId="47CDF5E1" w14:textId="77777777" w:rsidTr="00B87104">
        <w:trPr>
          <w:trHeight w:val="260"/>
          <w:jc w:val="center"/>
        </w:trPr>
        <w:tc>
          <w:tcPr>
            <w:tcW w:w="1080" w:type="dxa"/>
            <w:tcBorders>
              <w:top w:val="nil"/>
              <w:left w:val="nil"/>
              <w:bottom w:val="nil"/>
              <w:right w:val="nil"/>
            </w:tcBorders>
            <w:shd w:val="clear" w:color="auto" w:fill="auto"/>
            <w:vAlign w:val="center"/>
            <w:hideMark/>
          </w:tcPr>
          <w:p w14:paraId="30629B17" w14:textId="77777777" w:rsidR="00B975F1" w:rsidRPr="006C6F80" w:rsidRDefault="00B975F1" w:rsidP="00B87104">
            <w:pPr>
              <w:jc w:val="center"/>
              <w:rPr>
                <w:color w:val="000000" w:themeColor="text1"/>
                <w:sz w:val="20"/>
                <w:szCs w:val="20"/>
              </w:rPr>
            </w:pPr>
          </w:p>
        </w:tc>
        <w:tc>
          <w:tcPr>
            <w:tcW w:w="3780" w:type="dxa"/>
            <w:tcBorders>
              <w:top w:val="nil"/>
              <w:left w:val="nil"/>
              <w:bottom w:val="nil"/>
              <w:right w:val="nil"/>
            </w:tcBorders>
            <w:shd w:val="clear" w:color="auto" w:fill="auto"/>
            <w:vAlign w:val="center"/>
            <w:hideMark/>
          </w:tcPr>
          <w:p w14:paraId="51E47BA6" w14:textId="77777777" w:rsidR="00B975F1" w:rsidRPr="006C6F80" w:rsidRDefault="00B975F1" w:rsidP="00B87104">
            <w:pPr>
              <w:rPr>
                <w:color w:val="000000" w:themeColor="text1"/>
                <w:sz w:val="20"/>
                <w:szCs w:val="20"/>
              </w:rPr>
            </w:pPr>
          </w:p>
        </w:tc>
        <w:tc>
          <w:tcPr>
            <w:tcW w:w="1080" w:type="dxa"/>
            <w:tcBorders>
              <w:top w:val="nil"/>
              <w:left w:val="nil"/>
              <w:bottom w:val="nil"/>
              <w:right w:val="nil"/>
            </w:tcBorders>
            <w:shd w:val="clear" w:color="auto" w:fill="auto"/>
            <w:vAlign w:val="center"/>
            <w:hideMark/>
          </w:tcPr>
          <w:p w14:paraId="45687548" w14:textId="77777777" w:rsidR="00B975F1" w:rsidRPr="006C6F80" w:rsidRDefault="00B975F1" w:rsidP="00B87104">
            <w:pPr>
              <w:rPr>
                <w:color w:val="000000" w:themeColor="text1"/>
                <w:sz w:val="20"/>
                <w:szCs w:val="20"/>
              </w:rPr>
            </w:pPr>
          </w:p>
        </w:tc>
        <w:tc>
          <w:tcPr>
            <w:tcW w:w="900" w:type="dxa"/>
            <w:tcBorders>
              <w:top w:val="nil"/>
              <w:left w:val="nil"/>
              <w:bottom w:val="nil"/>
              <w:right w:val="nil"/>
            </w:tcBorders>
            <w:shd w:val="clear" w:color="auto" w:fill="auto"/>
            <w:vAlign w:val="center"/>
            <w:hideMark/>
          </w:tcPr>
          <w:p w14:paraId="53682D29" w14:textId="77777777" w:rsidR="00B975F1" w:rsidRPr="006C6F80" w:rsidRDefault="00B975F1" w:rsidP="00B87104">
            <w:pPr>
              <w:jc w:val="center"/>
              <w:rPr>
                <w:color w:val="000000" w:themeColor="text1"/>
                <w:sz w:val="20"/>
                <w:szCs w:val="20"/>
              </w:rPr>
            </w:pPr>
          </w:p>
        </w:tc>
        <w:tc>
          <w:tcPr>
            <w:tcW w:w="1080" w:type="dxa"/>
            <w:tcBorders>
              <w:top w:val="nil"/>
              <w:left w:val="nil"/>
              <w:bottom w:val="nil"/>
              <w:right w:val="nil"/>
            </w:tcBorders>
            <w:shd w:val="clear" w:color="auto" w:fill="auto"/>
            <w:vAlign w:val="center"/>
            <w:hideMark/>
          </w:tcPr>
          <w:p w14:paraId="5E996E36" w14:textId="77777777" w:rsidR="00B975F1" w:rsidRPr="006C6F80" w:rsidRDefault="00B975F1" w:rsidP="00B87104">
            <w:pPr>
              <w:jc w:val="center"/>
              <w:rPr>
                <w:color w:val="000000" w:themeColor="text1"/>
                <w:sz w:val="20"/>
                <w:szCs w:val="20"/>
              </w:rPr>
            </w:pPr>
          </w:p>
        </w:tc>
        <w:tc>
          <w:tcPr>
            <w:tcW w:w="1080" w:type="dxa"/>
            <w:gridSpan w:val="2"/>
            <w:tcBorders>
              <w:top w:val="nil"/>
              <w:left w:val="nil"/>
              <w:bottom w:val="nil"/>
              <w:right w:val="nil"/>
            </w:tcBorders>
            <w:shd w:val="clear" w:color="auto" w:fill="auto"/>
            <w:vAlign w:val="bottom"/>
            <w:hideMark/>
          </w:tcPr>
          <w:p w14:paraId="3F25F22C" w14:textId="77777777" w:rsidR="00B975F1" w:rsidRPr="006C6F80" w:rsidRDefault="00B975F1" w:rsidP="00B87104">
            <w:pPr>
              <w:jc w:val="center"/>
              <w:rPr>
                <w:color w:val="000000" w:themeColor="text1"/>
                <w:sz w:val="20"/>
                <w:szCs w:val="20"/>
              </w:rPr>
            </w:pPr>
          </w:p>
        </w:tc>
        <w:tc>
          <w:tcPr>
            <w:tcW w:w="900" w:type="dxa"/>
            <w:tcBorders>
              <w:top w:val="nil"/>
              <w:left w:val="nil"/>
              <w:bottom w:val="nil"/>
              <w:right w:val="nil"/>
            </w:tcBorders>
            <w:shd w:val="clear" w:color="auto" w:fill="auto"/>
            <w:noWrap/>
            <w:vAlign w:val="bottom"/>
            <w:hideMark/>
          </w:tcPr>
          <w:p w14:paraId="2DC852AF" w14:textId="77777777" w:rsidR="00B975F1" w:rsidRPr="006C6F80" w:rsidRDefault="00B975F1" w:rsidP="00B87104">
            <w:pPr>
              <w:jc w:val="center"/>
              <w:rPr>
                <w:color w:val="000000" w:themeColor="text1"/>
                <w:sz w:val="20"/>
                <w:szCs w:val="20"/>
              </w:rPr>
            </w:pPr>
          </w:p>
        </w:tc>
        <w:tc>
          <w:tcPr>
            <w:tcW w:w="1083" w:type="dxa"/>
            <w:gridSpan w:val="2"/>
            <w:tcBorders>
              <w:top w:val="nil"/>
              <w:left w:val="nil"/>
              <w:bottom w:val="nil"/>
              <w:right w:val="nil"/>
            </w:tcBorders>
            <w:shd w:val="clear" w:color="auto" w:fill="auto"/>
            <w:noWrap/>
            <w:vAlign w:val="bottom"/>
            <w:hideMark/>
          </w:tcPr>
          <w:p w14:paraId="7918CF19" w14:textId="77777777" w:rsidR="00B975F1" w:rsidRPr="006C6F80" w:rsidRDefault="00B975F1" w:rsidP="00B87104">
            <w:pPr>
              <w:jc w:val="center"/>
              <w:rPr>
                <w:color w:val="000000" w:themeColor="text1"/>
                <w:sz w:val="20"/>
                <w:szCs w:val="20"/>
              </w:rPr>
            </w:pPr>
          </w:p>
        </w:tc>
      </w:tr>
      <w:tr w:rsidR="00B975F1" w:rsidRPr="006C6F80" w14:paraId="49D97FA1"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435EA60F" w14:textId="77777777" w:rsidR="00B975F1" w:rsidRPr="006C6F80" w:rsidRDefault="00B975F1" w:rsidP="00B87104">
            <w:pPr>
              <w:rPr>
                <w:i/>
                <w:iCs/>
                <w:color w:val="000000" w:themeColor="text1"/>
                <w:sz w:val="20"/>
                <w:szCs w:val="20"/>
              </w:rPr>
            </w:pPr>
            <w:r w:rsidRPr="006C6F80">
              <w:rPr>
                <w:i/>
                <w:iCs/>
                <w:color w:val="000000" w:themeColor="text1"/>
                <w:sz w:val="20"/>
                <w:szCs w:val="20"/>
              </w:rPr>
              <w:t>Incidence of work contract and social security</w:t>
            </w:r>
          </w:p>
        </w:tc>
        <w:tc>
          <w:tcPr>
            <w:tcW w:w="1080" w:type="dxa"/>
            <w:tcBorders>
              <w:top w:val="nil"/>
              <w:left w:val="nil"/>
              <w:bottom w:val="nil"/>
              <w:right w:val="nil"/>
            </w:tcBorders>
            <w:shd w:val="clear" w:color="auto" w:fill="auto"/>
            <w:vAlign w:val="center"/>
            <w:hideMark/>
          </w:tcPr>
          <w:p w14:paraId="211567D1" w14:textId="77777777" w:rsidR="00B975F1" w:rsidRPr="006C6F80" w:rsidRDefault="00B975F1" w:rsidP="00B87104">
            <w:pPr>
              <w:rPr>
                <w:i/>
                <w:iCs/>
                <w:color w:val="000000" w:themeColor="text1"/>
                <w:sz w:val="20"/>
                <w:szCs w:val="20"/>
              </w:rPr>
            </w:pPr>
          </w:p>
        </w:tc>
        <w:tc>
          <w:tcPr>
            <w:tcW w:w="900" w:type="dxa"/>
            <w:tcBorders>
              <w:top w:val="nil"/>
              <w:left w:val="nil"/>
              <w:bottom w:val="nil"/>
              <w:right w:val="nil"/>
            </w:tcBorders>
            <w:shd w:val="clear" w:color="auto" w:fill="auto"/>
            <w:vAlign w:val="center"/>
            <w:hideMark/>
          </w:tcPr>
          <w:p w14:paraId="4D3C72A6" w14:textId="77777777" w:rsidR="00B975F1" w:rsidRPr="006C6F80" w:rsidRDefault="00B975F1" w:rsidP="00B87104">
            <w:pPr>
              <w:jc w:val="center"/>
              <w:rPr>
                <w:color w:val="000000" w:themeColor="text1"/>
                <w:sz w:val="20"/>
                <w:szCs w:val="20"/>
              </w:rPr>
            </w:pPr>
          </w:p>
        </w:tc>
        <w:tc>
          <w:tcPr>
            <w:tcW w:w="1080" w:type="dxa"/>
            <w:tcBorders>
              <w:top w:val="nil"/>
              <w:left w:val="nil"/>
              <w:bottom w:val="nil"/>
              <w:right w:val="nil"/>
            </w:tcBorders>
            <w:shd w:val="clear" w:color="auto" w:fill="auto"/>
            <w:vAlign w:val="center"/>
            <w:hideMark/>
          </w:tcPr>
          <w:p w14:paraId="23072D36" w14:textId="77777777" w:rsidR="00B975F1" w:rsidRPr="006C6F80" w:rsidRDefault="00B975F1" w:rsidP="00B87104">
            <w:pPr>
              <w:jc w:val="center"/>
              <w:rPr>
                <w:color w:val="000000" w:themeColor="text1"/>
                <w:sz w:val="20"/>
                <w:szCs w:val="20"/>
              </w:rPr>
            </w:pPr>
          </w:p>
        </w:tc>
        <w:tc>
          <w:tcPr>
            <w:tcW w:w="1080" w:type="dxa"/>
            <w:gridSpan w:val="2"/>
            <w:tcBorders>
              <w:top w:val="nil"/>
              <w:left w:val="nil"/>
              <w:bottom w:val="nil"/>
              <w:right w:val="nil"/>
            </w:tcBorders>
            <w:shd w:val="clear" w:color="auto" w:fill="auto"/>
            <w:vAlign w:val="bottom"/>
            <w:hideMark/>
          </w:tcPr>
          <w:p w14:paraId="655E4176" w14:textId="77777777" w:rsidR="00B975F1" w:rsidRPr="006C6F80" w:rsidRDefault="00B975F1" w:rsidP="00B87104">
            <w:pPr>
              <w:jc w:val="center"/>
              <w:rPr>
                <w:color w:val="000000" w:themeColor="text1"/>
                <w:sz w:val="20"/>
                <w:szCs w:val="20"/>
              </w:rPr>
            </w:pPr>
          </w:p>
        </w:tc>
        <w:tc>
          <w:tcPr>
            <w:tcW w:w="900" w:type="dxa"/>
            <w:tcBorders>
              <w:top w:val="nil"/>
              <w:left w:val="nil"/>
              <w:bottom w:val="nil"/>
              <w:right w:val="nil"/>
            </w:tcBorders>
            <w:shd w:val="clear" w:color="auto" w:fill="auto"/>
            <w:noWrap/>
            <w:vAlign w:val="bottom"/>
            <w:hideMark/>
          </w:tcPr>
          <w:p w14:paraId="6C024BB1" w14:textId="77777777" w:rsidR="00B975F1" w:rsidRPr="006C6F80" w:rsidRDefault="00B975F1" w:rsidP="00B87104">
            <w:pPr>
              <w:jc w:val="center"/>
              <w:rPr>
                <w:color w:val="000000" w:themeColor="text1"/>
                <w:sz w:val="20"/>
                <w:szCs w:val="20"/>
              </w:rPr>
            </w:pPr>
          </w:p>
        </w:tc>
        <w:tc>
          <w:tcPr>
            <w:tcW w:w="1083" w:type="dxa"/>
            <w:gridSpan w:val="2"/>
            <w:tcBorders>
              <w:top w:val="nil"/>
              <w:left w:val="nil"/>
              <w:bottom w:val="nil"/>
              <w:right w:val="nil"/>
            </w:tcBorders>
            <w:shd w:val="clear" w:color="auto" w:fill="auto"/>
            <w:noWrap/>
            <w:vAlign w:val="bottom"/>
            <w:hideMark/>
          </w:tcPr>
          <w:p w14:paraId="2F1EC0DC" w14:textId="77777777" w:rsidR="00B975F1" w:rsidRPr="006C6F80" w:rsidRDefault="00B975F1" w:rsidP="00B87104">
            <w:pPr>
              <w:jc w:val="center"/>
              <w:rPr>
                <w:color w:val="000000" w:themeColor="text1"/>
                <w:sz w:val="20"/>
                <w:szCs w:val="20"/>
              </w:rPr>
            </w:pPr>
          </w:p>
        </w:tc>
      </w:tr>
      <w:tr w:rsidR="00B975F1" w:rsidRPr="006C6F80" w14:paraId="38220D44"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380216CF" w14:textId="77777777" w:rsidR="00B975F1" w:rsidRPr="006C6F80" w:rsidRDefault="00B975F1" w:rsidP="00B87104">
            <w:pPr>
              <w:rPr>
                <w:color w:val="000000" w:themeColor="text1"/>
                <w:sz w:val="20"/>
                <w:szCs w:val="20"/>
              </w:rPr>
            </w:pPr>
            <w:r w:rsidRPr="006C6F80">
              <w:rPr>
                <w:color w:val="000000" w:themeColor="text1"/>
                <w:sz w:val="20"/>
                <w:szCs w:val="20"/>
              </w:rPr>
              <w:t>Work contract</w:t>
            </w:r>
          </w:p>
        </w:tc>
        <w:tc>
          <w:tcPr>
            <w:tcW w:w="1080" w:type="dxa"/>
            <w:tcBorders>
              <w:top w:val="nil"/>
              <w:left w:val="nil"/>
              <w:bottom w:val="nil"/>
              <w:right w:val="nil"/>
            </w:tcBorders>
            <w:shd w:val="clear" w:color="auto" w:fill="auto"/>
            <w:vAlign w:val="center"/>
            <w:hideMark/>
          </w:tcPr>
          <w:p w14:paraId="4331DC70" w14:textId="77777777" w:rsidR="00B975F1" w:rsidRPr="006C6F80" w:rsidRDefault="00B975F1" w:rsidP="00B87104">
            <w:pPr>
              <w:jc w:val="center"/>
              <w:rPr>
                <w:color w:val="000000" w:themeColor="text1"/>
                <w:sz w:val="20"/>
                <w:szCs w:val="20"/>
              </w:rPr>
            </w:pPr>
            <w:r w:rsidRPr="006C6F80">
              <w:rPr>
                <w:color w:val="000000" w:themeColor="text1"/>
                <w:sz w:val="20"/>
                <w:szCs w:val="20"/>
              </w:rPr>
              <w:t>0.256</w:t>
            </w:r>
          </w:p>
        </w:tc>
        <w:tc>
          <w:tcPr>
            <w:tcW w:w="900" w:type="dxa"/>
            <w:tcBorders>
              <w:top w:val="nil"/>
              <w:left w:val="nil"/>
              <w:bottom w:val="nil"/>
              <w:right w:val="nil"/>
            </w:tcBorders>
            <w:shd w:val="clear" w:color="auto" w:fill="auto"/>
            <w:vAlign w:val="center"/>
            <w:hideMark/>
          </w:tcPr>
          <w:p w14:paraId="6AE29B56" w14:textId="77777777" w:rsidR="00B975F1" w:rsidRPr="006C6F80" w:rsidRDefault="00B975F1" w:rsidP="00B87104">
            <w:pPr>
              <w:jc w:val="center"/>
              <w:rPr>
                <w:color w:val="000000" w:themeColor="text1"/>
                <w:sz w:val="20"/>
                <w:szCs w:val="20"/>
              </w:rPr>
            </w:pPr>
            <w:r w:rsidRPr="006C6F80">
              <w:rPr>
                <w:color w:val="000000" w:themeColor="text1"/>
                <w:sz w:val="20"/>
                <w:szCs w:val="20"/>
              </w:rPr>
              <w:t>0.098</w:t>
            </w:r>
          </w:p>
        </w:tc>
        <w:tc>
          <w:tcPr>
            <w:tcW w:w="1080" w:type="dxa"/>
            <w:tcBorders>
              <w:top w:val="nil"/>
              <w:left w:val="nil"/>
              <w:bottom w:val="nil"/>
              <w:right w:val="nil"/>
            </w:tcBorders>
            <w:shd w:val="clear" w:color="auto" w:fill="auto"/>
            <w:vAlign w:val="center"/>
            <w:hideMark/>
          </w:tcPr>
          <w:p w14:paraId="126E2C9A" w14:textId="77777777" w:rsidR="00B975F1" w:rsidRPr="006C6F80" w:rsidRDefault="00B975F1" w:rsidP="00B87104">
            <w:pPr>
              <w:jc w:val="center"/>
              <w:rPr>
                <w:color w:val="000000" w:themeColor="text1"/>
                <w:sz w:val="20"/>
                <w:szCs w:val="20"/>
              </w:rPr>
            </w:pPr>
            <w:r w:rsidRPr="006C6F80">
              <w:rPr>
                <w:color w:val="000000" w:themeColor="text1"/>
                <w:sz w:val="20"/>
                <w:szCs w:val="20"/>
              </w:rPr>
              <w:t>0.159***</w:t>
            </w:r>
          </w:p>
        </w:tc>
        <w:tc>
          <w:tcPr>
            <w:tcW w:w="1080" w:type="dxa"/>
            <w:gridSpan w:val="2"/>
            <w:tcBorders>
              <w:top w:val="nil"/>
              <w:left w:val="nil"/>
              <w:bottom w:val="nil"/>
              <w:right w:val="nil"/>
            </w:tcBorders>
            <w:shd w:val="clear" w:color="auto" w:fill="auto"/>
            <w:vAlign w:val="center"/>
            <w:hideMark/>
          </w:tcPr>
          <w:p w14:paraId="27B1DB40" w14:textId="77777777" w:rsidR="00B975F1" w:rsidRPr="006C6F80" w:rsidRDefault="00B975F1" w:rsidP="00B87104">
            <w:pPr>
              <w:jc w:val="center"/>
              <w:rPr>
                <w:color w:val="000000" w:themeColor="text1"/>
                <w:sz w:val="20"/>
                <w:szCs w:val="20"/>
              </w:rPr>
            </w:pPr>
            <w:r w:rsidRPr="006C6F80">
              <w:rPr>
                <w:color w:val="000000" w:themeColor="text1"/>
                <w:sz w:val="20"/>
                <w:szCs w:val="20"/>
              </w:rPr>
              <w:t>0.145</w:t>
            </w:r>
          </w:p>
        </w:tc>
        <w:tc>
          <w:tcPr>
            <w:tcW w:w="900" w:type="dxa"/>
            <w:tcBorders>
              <w:top w:val="nil"/>
              <w:left w:val="nil"/>
              <w:bottom w:val="nil"/>
              <w:right w:val="nil"/>
            </w:tcBorders>
            <w:shd w:val="clear" w:color="auto" w:fill="auto"/>
            <w:vAlign w:val="center"/>
            <w:hideMark/>
          </w:tcPr>
          <w:p w14:paraId="6D34EEC7" w14:textId="77777777" w:rsidR="00B975F1" w:rsidRPr="006C6F80" w:rsidRDefault="00B975F1" w:rsidP="00B87104">
            <w:pPr>
              <w:jc w:val="center"/>
              <w:rPr>
                <w:color w:val="000000" w:themeColor="text1"/>
                <w:sz w:val="20"/>
                <w:szCs w:val="20"/>
              </w:rPr>
            </w:pPr>
            <w:r w:rsidRPr="006C6F80">
              <w:rPr>
                <w:color w:val="000000" w:themeColor="text1"/>
                <w:sz w:val="20"/>
                <w:szCs w:val="20"/>
              </w:rPr>
              <w:t>0.098</w:t>
            </w:r>
          </w:p>
        </w:tc>
        <w:tc>
          <w:tcPr>
            <w:tcW w:w="1083" w:type="dxa"/>
            <w:gridSpan w:val="2"/>
            <w:tcBorders>
              <w:top w:val="nil"/>
              <w:left w:val="nil"/>
              <w:bottom w:val="nil"/>
              <w:right w:val="nil"/>
            </w:tcBorders>
            <w:shd w:val="clear" w:color="auto" w:fill="auto"/>
            <w:vAlign w:val="center"/>
            <w:hideMark/>
          </w:tcPr>
          <w:p w14:paraId="22B941E7" w14:textId="77777777" w:rsidR="00B975F1" w:rsidRPr="006C6F80" w:rsidRDefault="00B975F1" w:rsidP="00B87104">
            <w:pPr>
              <w:jc w:val="center"/>
              <w:rPr>
                <w:color w:val="000000" w:themeColor="text1"/>
                <w:sz w:val="20"/>
                <w:szCs w:val="20"/>
              </w:rPr>
            </w:pPr>
            <w:r w:rsidRPr="006C6F80">
              <w:rPr>
                <w:color w:val="000000" w:themeColor="text1"/>
                <w:sz w:val="20"/>
                <w:szCs w:val="20"/>
              </w:rPr>
              <w:t>0.046*</w:t>
            </w:r>
          </w:p>
        </w:tc>
      </w:tr>
      <w:tr w:rsidR="00B975F1" w:rsidRPr="006C6F80" w14:paraId="3177CE98"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0D63B516" w14:textId="77777777" w:rsidR="00B975F1" w:rsidRPr="006C6F80" w:rsidRDefault="00B975F1" w:rsidP="00B87104">
            <w:pPr>
              <w:rPr>
                <w:color w:val="000000" w:themeColor="text1"/>
                <w:sz w:val="20"/>
                <w:szCs w:val="20"/>
              </w:rPr>
            </w:pPr>
            <w:r w:rsidRPr="006C6F80">
              <w:rPr>
                <w:color w:val="000000" w:themeColor="text1"/>
                <w:sz w:val="20"/>
                <w:szCs w:val="20"/>
              </w:rPr>
              <w:t>Social security</w:t>
            </w:r>
          </w:p>
        </w:tc>
        <w:tc>
          <w:tcPr>
            <w:tcW w:w="1080" w:type="dxa"/>
            <w:tcBorders>
              <w:top w:val="nil"/>
              <w:left w:val="nil"/>
              <w:bottom w:val="nil"/>
              <w:right w:val="nil"/>
            </w:tcBorders>
            <w:shd w:val="clear" w:color="auto" w:fill="auto"/>
            <w:vAlign w:val="center"/>
            <w:hideMark/>
          </w:tcPr>
          <w:p w14:paraId="4526B621" w14:textId="77777777" w:rsidR="00B975F1" w:rsidRPr="006C6F80" w:rsidRDefault="00B975F1" w:rsidP="00B87104">
            <w:pPr>
              <w:jc w:val="center"/>
              <w:rPr>
                <w:color w:val="000000" w:themeColor="text1"/>
                <w:sz w:val="20"/>
                <w:szCs w:val="20"/>
              </w:rPr>
            </w:pPr>
            <w:r w:rsidRPr="006C6F80">
              <w:rPr>
                <w:color w:val="000000" w:themeColor="text1"/>
                <w:sz w:val="20"/>
                <w:szCs w:val="20"/>
              </w:rPr>
              <w:t>0.265</w:t>
            </w:r>
          </w:p>
        </w:tc>
        <w:tc>
          <w:tcPr>
            <w:tcW w:w="900" w:type="dxa"/>
            <w:tcBorders>
              <w:top w:val="nil"/>
              <w:left w:val="nil"/>
              <w:bottom w:val="nil"/>
              <w:right w:val="nil"/>
            </w:tcBorders>
            <w:shd w:val="clear" w:color="auto" w:fill="auto"/>
            <w:vAlign w:val="center"/>
            <w:hideMark/>
          </w:tcPr>
          <w:p w14:paraId="7925DF1C" w14:textId="77777777" w:rsidR="00B975F1" w:rsidRPr="006C6F80" w:rsidRDefault="00B975F1" w:rsidP="00B87104">
            <w:pPr>
              <w:jc w:val="center"/>
              <w:rPr>
                <w:color w:val="000000" w:themeColor="text1"/>
                <w:sz w:val="20"/>
                <w:szCs w:val="20"/>
              </w:rPr>
            </w:pPr>
            <w:r w:rsidRPr="006C6F80">
              <w:rPr>
                <w:color w:val="000000" w:themeColor="text1"/>
                <w:sz w:val="20"/>
                <w:szCs w:val="20"/>
              </w:rPr>
              <w:t>0.079</w:t>
            </w:r>
          </w:p>
        </w:tc>
        <w:tc>
          <w:tcPr>
            <w:tcW w:w="1080" w:type="dxa"/>
            <w:tcBorders>
              <w:top w:val="nil"/>
              <w:left w:val="nil"/>
              <w:bottom w:val="nil"/>
              <w:right w:val="nil"/>
            </w:tcBorders>
            <w:shd w:val="clear" w:color="auto" w:fill="auto"/>
            <w:vAlign w:val="center"/>
            <w:hideMark/>
          </w:tcPr>
          <w:p w14:paraId="3CED2E2E" w14:textId="77777777" w:rsidR="00B975F1" w:rsidRPr="006C6F80" w:rsidRDefault="00B975F1" w:rsidP="00B87104">
            <w:pPr>
              <w:jc w:val="center"/>
              <w:rPr>
                <w:color w:val="000000" w:themeColor="text1"/>
                <w:sz w:val="20"/>
                <w:szCs w:val="20"/>
              </w:rPr>
            </w:pPr>
            <w:r w:rsidRPr="006C6F80">
              <w:rPr>
                <w:color w:val="000000" w:themeColor="text1"/>
                <w:sz w:val="20"/>
                <w:szCs w:val="20"/>
              </w:rPr>
              <w:t>0.186***</w:t>
            </w:r>
          </w:p>
        </w:tc>
        <w:tc>
          <w:tcPr>
            <w:tcW w:w="1080" w:type="dxa"/>
            <w:gridSpan w:val="2"/>
            <w:tcBorders>
              <w:top w:val="nil"/>
              <w:left w:val="nil"/>
              <w:bottom w:val="nil"/>
              <w:right w:val="nil"/>
            </w:tcBorders>
            <w:shd w:val="clear" w:color="auto" w:fill="auto"/>
            <w:vAlign w:val="center"/>
            <w:hideMark/>
          </w:tcPr>
          <w:p w14:paraId="72118209" w14:textId="77777777" w:rsidR="00B975F1" w:rsidRPr="006C6F80" w:rsidRDefault="00B975F1" w:rsidP="00B87104">
            <w:pPr>
              <w:jc w:val="center"/>
              <w:rPr>
                <w:color w:val="000000" w:themeColor="text1"/>
                <w:sz w:val="20"/>
                <w:szCs w:val="20"/>
              </w:rPr>
            </w:pPr>
            <w:r w:rsidRPr="006C6F80">
              <w:rPr>
                <w:color w:val="000000" w:themeColor="text1"/>
                <w:sz w:val="20"/>
                <w:szCs w:val="20"/>
              </w:rPr>
              <w:t>0.111</w:t>
            </w:r>
          </w:p>
        </w:tc>
        <w:tc>
          <w:tcPr>
            <w:tcW w:w="900" w:type="dxa"/>
            <w:tcBorders>
              <w:top w:val="nil"/>
              <w:left w:val="nil"/>
              <w:bottom w:val="nil"/>
              <w:right w:val="nil"/>
            </w:tcBorders>
            <w:shd w:val="clear" w:color="auto" w:fill="auto"/>
            <w:vAlign w:val="center"/>
            <w:hideMark/>
          </w:tcPr>
          <w:p w14:paraId="24B67F9E" w14:textId="77777777" w:rsidR="00B975F1" w:rsidRPr="006C6F80" w:rsidRDefault="00B975F1" w:rsidP="00B87104">
            <w:pPr>
              <w:jc w:val="center"/>
              <w:rPr>
                <w:color w:val="000000" w:themeColor="text1"/>
                <w:sz w:val="20"/>
                <w:szCs w:val="20"/>
              </w:rPr>
            </w:pPr>
            <w:r w:rsidRPr="006C6F80">
              <w:rPr>
                <w:color w:val="000000" w:themeColor="text1"/>
                <w:sz w:val="20"/>
                <w:szCs w:val="20"/>
              </w:rPr>
              <w:t>0.08</w:t>
            </w:r>
          </w:p>
        </w:tc>
        <w:tc>
          <w:tcPr>
            <w:tcW w:w="1083" w:type="dxa"/>
            <w:gridSpan w:val="2"/>
            <w:tcBorders>
              <w:top w:val="nil"/>
              <w:left w:val="nil"/>
              <w:bottom w:val="nil"/>
              <w:right w:val="nil"/>
            </w:tcBorders>
            <w:shd w:val="clear" w:color="auto" w:fill="auto"/>
            <w:vAlign w:val="center"/>
            <w:hideMark/>
          </w:tcPr>
          <w:p w14:paraId="084A9D0E" w14:textId="77777777" w:rsidR="00B975F1" w:rsidRPr="006C6F80" w:rsidRDefault="00B975F1" w:rsidP="00B87104">
            <w:pPr>
              <w:jc w:val="center"/>
              <w:rPr>
                <w:color w:val="000000" w:themeColor="text1"/>
                <w:sz w:val="20"/>
                <w:szCs w:val="20"/>
              </w:rPr>
            </w:pPr>
            <w:r w:rsidRPr="006C6F80">
              <w:rPr>
                <w:color w:val="000000" w:themeColor="text1"/>
                <w:sz w:val="20"/>
                <w:szCs w:val="20"/>
              </w:rPr>
              <w:t>0.031</w:t>
            </w:r>
          </w:p>
        </w:tc>
      </w:tr>
      <w:tr w:rsidR="00B975F1" w:rsidRPr="006C6F80" w14:paraId="6C078283" w14:textId="77777777" w:rsidTr="00B87104">
        <w:trPr>
          <w:trHeight w:val="260"/>
          <w:jc w:val="center"/>
        </w:trPr>
        <w:tc>
          <w:tcPr>
            <w:tcW w:w="1080" w:type="dxa"/>
            <w:tcBorders>
              <w:top w:val="nil"/>
              <w:left w:val="nil"/>
              <w:bottom w:val="nil"/>
              <w:right w:val="nil"/>
            </w:tcBorders>
            <w:shd w:val="clear" w:color="auto" w:fill="auto"/>
            <w:vAlign w:val="center"/>
            <w:hideMark/>
          </w:tcPr>
          <w:p w14:paraId="5C3D7303" w14:textId="77777777" w:rsidR="00B975F1" w:rsidRPr="006C6F80" w:rsidRDefault="00B975F1" w:rsidP="00B87104">
            <w:pPr>
              <w:jc w:val="center"/>
              <w:rPr>
                <w:color w:val="000000" w:themeColor="text1"/>
                <w:sz w:val="20"/>
                <w:szCs w:val="20"/>
              </w:rPr>
            </w:pPr>
          </w:p>
        </w:tc>
        <w:tc>
          <w:tcPr>
            <w:tcW w:w="3780" w:type="dxa"/>
            <w:tcBorders>
              <w:top w:val="nil"/>
              <w:left w:val="nil"/>
              <w:bottom w:val="nil"/>
              <w:right w:val="nil"/>
            </w:tcBorders>
            <w:shd w:val="clear" w:color="auto" w:fill="auto"/>
            <w:vAlign w:val="center"/>
            <w:hideMark/>
          </w:tcPr>
          <w:p w14:paraId="3C72131B" w14:textId="77777777" w:rsidR="00B975F1" w:rsidRPr="006C6F80" w:rsidRDefault="00B975F1" w:rsidP="00B87104">
            <w:pPr>
              <w:rPr>
                <w:color w:val="000000" w:themeColor="text1"/>
                <w:sz w:val="20"/>
                <w:szCs w:val="20"/>
              </w:rPr>
            </w:pPr>
          </w:p>
        </w:tc>
        <w:tc>
          <w:tcPr>
            <w:tcW w:w="1080" w:type="dxa"/>
            <w:tcBorders>
              <w:top w:val="nil"/>
              <w:left w:val="nil"/>
              <w:bottom w:val="nil"/>
              <w:right w:val="nil"/>
            </w:tcBorders>
            <w:shd w:val="clear" w:color="auto" w:fill="auto"/>
            <w:vAlign w:val="center"/>
            <w:hideMark/>
          </w:tcPr>
          <w:p w14:paraId="7F53C48D" w14:textId="77777777" w:rsidR="00B975F1" w:rsidRPr="006C6F80" w:rsidRDefault="00B975F1" w:rsidP="00B87104">
            <w:pPr>
              <w:rPr>
                <w:color w:val="000000" w:themeColor="text1"/>
                <w:sz w:val="20"/>
                <w:szCs w:val="20"/>
              </w:rPr>
            </w:pPr>
          </w:p>
        </w:tc>
        <w:tc>
          <w:tcPr>
            <w:tcW w:w="900" w:type="dxa"/>
            <w:tcBorders>
              <w:top w:val="nil"/>
              <w:left w:val="nil"/>
              <w:bottom w:val="nil"/>
              <w:right w:val="nil"/>
            </w:tcBorders>
            <w:shd w:val="clear" w:color="auto" w:fill="auto"/>
            <w:vAlign w:val="center"/>
            <w:hideMark/>
          </w:tcPr>
          <w:p w14:paraId="4BA85BF1" w14:textId="77777777" w:rsidR="00B975F1" w:rsidRPr="006C6F80" w:rsidRDefault="00B975F1" w:rsidP="00B87104">
            <w:pPr>
              <w:jc w:val="center"/>
              <w:rPr>
                <w:color w:val="000000" w:themeColor="text1"/>
                <w:sz w:val="20"/>
                <w:szCs w:val="20"/>
              </w:rPr>
            </w:pPr>
          </w:p>
        </w:tc>
        <w:tc>
          <w:tcPr>
            <w:tcW w:w="1080" w:type="dxa"/>
            <w:tcBorders>
              <w:top w:val="nil"/>
              <w:left w:val="nil"/>
              <w:bottom w:val="nil"/>
              <w:right w:val="nil"/>
            </w:tcBorders>
            <w:shd w:val="clear" w:color="auto" w:fill="auto"/>
            <w:vAlign w:val="center"/>
            <w:hideMark/>
          </w:tcPr>
          <w:p w14:paraId="14DC1D2C" w14:textId="77777777" w:rsidR="00B975F1" w:rsidRPr="006C6F80" w:rsidRDefault="00B975F1" w:rsidP="00B87104">
            <w:pPr>
              <w:jc w:val="center"/>
              <w:rPr>
                <w:color w:val="000000" w:themeColor="text1"/>
                <w:sz w:val="20"/>
                <w:szCs w:val="20"/>
              </w:rPr>
            </w:pPr>
          </w:p>
        </w:tc>
        <w:tc>
          <w:tcPr>
            <w:tcW w:w="1080" w:type="dxa"/>
            <w:gridSpan w:val="2"/>
            <w:tcBorders>
              <w:top w:val="nil"/>
              <w:left w:val="nil"/>
              <w:bottom w:val="nil"/>
              <w:right w:val="nil"/>
            </w:tcBorders>
            <w:shd w:val="clear" w:color="auto" w:fill="auto"/>
            <w:vAlign w:val="bottom"/>
            <w:hideMark/>
          </w:tcPr>
          <w:p w14:paraId="5B57D4AF" w14:textId="77777777" w:rsidR="00B975F1" w:rsidRPr="006C6F80" w:rsidRDefault="00B975F1" w:rsidP="00B87104">
            <w:pPr>
              <w:jc w:val="center"/>
              <w:rPr>
                <w:color w:val="000000" w:themeColor="text1"/>
                <w:sz w:val="20"/>
                <w:szCs w:val="20"/>
              </w:rPr>
            </w:pPr>
          </w:p>
        </w:tc>
        <w:tc>
          <w:tcPr>
            <w:tcW w:w="900" w:type="dxa"/>
            <w:tcBorders>
              <w:top w:val="nil"/>
              <w:left w:val="nil"/>
              <w:bottom w:val="nil"/>
              <w:right w:val="nil"/>
            </w:tcBorders>
            <w:shd w:val="clear" w:color="auto" w:fill="auto"/>
            <w:noWrap/>
            <w:vAlign w:val="bottom"/>
            <w:hideMark/>
          </w:tcPr>
          <w:p w14:paraId="53872426" w14:textId="77777777" w:rsidR="00B975F1" w:rsidRPr="006C6F80" w:rsidRDefault="00B975F1" w:rsidP="00B87104">
            <w:pPr>
              <w:jc w:val="center"/>
              <w:rPr>
                <w:color w:val="000000" w:themeColor="text1"/>
                <w:sz w:val="20"/>
                <w:szCs w:val="20"/>
              </w:rPr>
            </w:pPr>
          </w:p>
        </w:tc>
        <w:tc>
          <w:tcPr>
            <w:tcW w:w="1083" w:type="dxa"/>
            <w:gridSpan w:val="2"/>
            <w:tcBorders>
              <w:top w:val="nil"/>
              <w:left w:val="nil"/>
              <w:bottom w:val="nil"/>
              <w:right w:val="nil"/>
            </w:tcBorders>
            <w:shd w:val="clear" w:color="auto" w:fill="auto"/>
            <w:vAlign w:val="center"/>
            <w:hideMark/>
          </w:tcPr>
          <w:p w14:paraId="0282B933" w14:textId="77777777" w:rsidR="00B975F1" w:rsidRPr="006C6F80" w:rsidRDefault="00B975F1" w:rsidP="00B87104">
            <w:pPr>
              <w:jc w:val="center"/>
              <w:rPr>
                <w:color w:val="000000" w:themeColor="text1"/>
                <w:sz w:val="20"/>
                <w:szCs w:val="20"/>
              </w:rPr>
            </w:pPr>
          </w:p>
        </w:tc>
      </w:tr>
      <w:tr w:rsidR="00B975F1" w:rsidRPr="006C6F80" w14:paraId="6CAC10D6"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7726C324" w14:textId="77777777" w:rsidR="00B975F1" w:rsidRPr="006C6F80" w:rsidRDefault="00B975F1" w:rsidP="00B87104">
            <w:pPr>
              <w:rPr>
                <w:i/>
                <w:iCs/>
                <w:color w:val="000000" w:themeColor="text1"/>
                <w:sz w:val="20"/>
                <w:szCs w:val="20"/>
              </w:rPr>
            </w:pPr>
            <w:r w:rsidRPr="006C6F80">
              <w:rPr>
                <w:i/>
                <w:iCs/>
                <w:color w:val="000000" w:themeColor="text1"/>
                <w:sz w:val="20"/>
                <w:szCs w:val="20"/>
              </w:rPr>
              <w:t>First job occupation</w:t>
            </w:r>
          </w:p>
        </w:tc>
        <w:tc>
          <w:tcPr>
            <w:tcW w:w="1080" w:type="dxa"/>
            <w:tcBorders>
              <w:top w:val="nil"/>
              <w:left w:val="nil"/>
              <w:bottom w:val="nil"/>
              <w:right w:val="nil"/>
            </w:tcBorders>
            <w:shd w:val="clear" w:color="auto" w:fill="auto"/>
            <w:vAlign w:val="center"/>
            <w:hideMark/>
          </w:tcPr>
          <w:p w14:paraId="25192E0C" w14:textId="77777777" w:rsidR="00B975F1" w:rsidRPr="006C6F80" w:rsidRDefault="00B975F1" w:rsidP="00B87104">
            <w:pPr>
              <w:rPr>
                <w:i/>
                <w:iCs/>
                <w:color w:val="000000" w:themeColor="text1"/>
                <w:sz w:val="20"/>
                <w:szCs w:val="20"/>
              </w:rPr>
            </w:pPr>
          </w:p>
        </w:tc>
        <w:tc>
          <w:tcPr>
            <w:tcW w:w="900" w:type="dxa"/>
            <w:tcBorders>
              <w:top w:val="nil"/>
              <w:left w:val="nil"/>
              <w:bottom w:val="nil"/>
              <w:right w:val="nil"/>
            </w:tcBorders>
            <w:shd w:val="clear" w:color="auto" w:fill="auto"/>
            <w:vAlign w:val="center"/>
            <w:hideMark/>
          </w:tcPr>
          <w:p w14:paraId="52084079" w14:textId="77777777" w:rsidR="00B975F1" w:rsidRPr="006C6F80" w:rsidRDefault="00B975F1" w:rsidP="00B87104">
            <w:pPr>
              <w:jc w:val="center"/>
              <w:rPr>
                <w:color w:val="000000" w:themeColor="text1"/>
                <w:sz w:val="20"/>
                <w:szCs w:val="20"/>
              </w:rPr>
            </w:pPr>
          </w:p>
        </w:tc>
        <w:tc>
          <w:tcPr>
            <w:tcW w:w="1080" w:type="dxa"/>
            <w:tcBorders>
              <w:top w:val="nil"/>
              <w:left w:val="nil"/>
              <w:bottom w:val="nil"/>
              <w:right w:val="nil"/>
            </w:tcBorders>
            <w:shd w:val="clear" w:color="auto" w:fill="auto"/>
            <w:vAlign w:val="center"/>
            <w:hideMark/>
          </w:tcPr>
          <w:p w14:paraId="219E520D" w14:textId="77777777" w:rsidR="00B975F1" w:rsidRPr="006C6F80" w:rsidRDefault="00B975F1" w:rsidP="00B87104">
            <w:pPr>
              <w:jc w:val="center"/>
              <w:rPr>
                <w:color w:val="000000" w:themeColor="text1"/>
                <w:sz w:val="20"/>
                <w:szCs w:val="20"/>
              </w:rPr>
            </w:pPr>
          </w:p>
        </w:tc>
        <w:tc>
          <w:tcPr>
            <w:tcW w:w="1080" w:type="dxa"/>
            <w:gridSpan w:val="2"/>
            <w:tcBorders>
              <w:top w:val="nil"/>
              <w:left w:val="nil"/>
              <w:bottom w:val="nil"/>
              <w:right w:val="nil"/>
            </w:tcBorders>
            <w:shd w:val="clear" w:color="auto" w:fill="auto"/>
            <w:vAlign w:val="bottom"/>
            <w:hideMark/>
          </w:tcPr>
          <w:p w14:paraId="51BE8C5F" w14:textId="77777777" w:rsidR="00B975F1" w:rsidRPr="006C6F80" w:rsidRDefault="00B975F1" w:rsidP="00B87104">
            <w:pPr>
              <w:jc w:val="center"/>
              <w:rPr>
                <w:color w:val="000000" w:themeColor="text1"/>
                <w:sz w:val="20"/>
                <w:szCs w:val="20"/>
              </w:rPr>
            </w:pPr>
          </w:p>
        </w:tc>
        <w:tc>
          <w:tcPr>
            <w:tcW w:w="900" w:type="dxa"/>
            <w:tcBorders>
              <w:top w:val="nil"/>
              <w:left w:val="nil"/>
              <w:bottom w:val="nil"/>
              <w:right w:val="nil"/>
            </w:tcBorders>
            <w:shd w:val="clear" w:color="auto" w:fill="auto"/>
            <w:noWrap/>
            <w:vAlign w:val="bottom"/>
            <w:hideMark/>
          </w:tcPr>
          <w:p w14:paraId="161BF593" w14:textId="77777777" w:rsidR="00B975F1" w:rsidRPr="006C6F80" w:rsidRDefault="00B975F1" w:rsidP="00B87104">
            <w:pPr>
              <w:jc w:val="center"/>
              <w:rPr>
                <w:color w:val="000000" w:themeColor="text1"/>
                <w:sz w:val="20"/>
                <w:szCs w:val="20"/>
              </w:rPr>
            </w:pPr>
          </w:p>
        </w:tc>
        <w:tc>
          <w:tcPr>
            <w:tcW w:w="1083" w:type="dxa"/>
            <w:gridSpan w:val="2"/>
            <w:tcBorders>
              <w:top w:val="nil"/>
              <w:left w:val="nil"/>
              <w:bottom w:val="nil"/>
              <w:right w:val="nil"/>
            </w:tcBorders>
            <w:shd w:val="clear" w:color="auto" w:fill="auto"/>
            <w:noWrap/>
            <w:vAlign w:val="bottom"/>
            <w:hideMark/>
          </w:tcPr>
          <w:p w14:paraId="49A8D2CE" w14:textId="77777777" w:rsidR="00B975F1" w:rsidRPr="006C6F80" w:rsidRDefault="00B975F1" w:rsidP="00B87104">
            <w:pPr>
              <w:jc w:val="center"/>
              <w:rPr>
                <w:color w:val="000000" w:themeColor="text1"/>
                <w:sz w:val="20"/>
                <w:szCs w:val="20"/>
              </w:rPr>
            </w:pPr>
          </w:p>
        </w:tc>
      </w:tr>
      <w:tr w:rsidR="00B975F1" w:rsidRPr="006C6F80" w14:paraId="4E8E61C7"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200EC014" w14:textId="77777777" w:rsidR="00B975F1" w:rsidRPr="006C6F80" w:rsidRDefault="00B975F1" w:rsidP="00B87104">
            <w:pPr>
              <w:rPr>
                <w:color w:val="000000" w:themeColor="text1"/>
                <w:sz w:val="20"/>
                <w:szCs w:val="20"/>
              </w:rPr>
            </w:pPr>
            <w:r w:rsidRPr="006C6F80">
              <w:rPr>
                <w:color w:val="000000" w:themeColor="text1"/>
                <w:sz w:val="20"/>
                <w:szCs w:val="20"/>
              </w:rPr>
              <w:t>Agriculture</w:t>
            </w:r>
          </w:p>
        </w:tc>
        <w:tc>
          <w:tcPr>
            <w:tcW w:w="1080" w:type="dxa"/>
            <w:tcBorders>
              <w:top w:val="nil"/>
              <w:left w:val="nil"/>
              <w:bottom w:val="nil"/>
              <w:right w:val="nil"/>
            </w:tcBorders>
            <w:shd w:val="clear" w:color="auto" w:fill="auto"/>
            <w:vAlign w:val="center"/>
            <w:hideMark/>
          </w:tcPr>
          <w:p w14:paraId="70EB8D1D" w14:textId="77777777" w:rsidR="00B975F1" w:rsidRPr="006C6F80" w:rsidRDefault="00B975F1" w:rsidP="00B87104">
            <w:pPr>
              <w:jc w:val="center"/>
              <w:rPr>
                <w:color w:val="000000" w:themeColor="text1"/>
                <w:sz w:val="20"/>
                <w:szCs w:val="20"/>
              </w:rPr>
            </w:pPr>
            <w:r w:rsidRPr="006C6F80">
              <w:rPr>
                <w:color w:val="000000" w:themeColor="text1"/>
                <w:sz w:val="20"/>
                <w:szCs w:val="20"/>
              </w:rPr>
              <w:t>0.306</w:t>
            </w:r>
          </w:p>
        </w:tc>
        <w:tc>
          <w:tcPr>
            <w:tcW w:w="900" w:type="dxa"/>
            <w:tcBorders>
              <w:top w:val="nil"/>
              <w:left w:val="nil"/>
              <w:bottom w:val="nil"/>
              <w:right w:val="nil"/>
            </w:tcBorders>
            <w:shd w:val="clear" w:color="auto" w:fill="auto"/>
            <w:vAlign w:val="center"/>
            <w:hideMark/>
          </w:tcPr>
          <w:p w14:paraId="1791872D" w14:textId="77777777" w:rsidR="00B975F1" w:rsidRPr="006C6F80" w:rsidRDefault="00B975F1" w:rsidP="00B87104">
            <w:pPr>
              <w:jc w:val="center"/>
              <w:rPr>
                <w:color w:val="000000" w:themeColor="text1"/>
                <w:sz w:val="20"/>
                <w:szCs w:val="20"/>
              </w:rPr>
            </w:pPr>
            <w:r w:rsidRPr="006C6F80">
              <w:rPr>
                <w:color w:val="000000" w:themeColor="text1"/>
                <w:sz w:val="20"/>
                <w:szCs w:val="20"/>
              </w:rPr>
              <w:t>0.43</w:t>
            </w:r>
          </w:p>
        </w:tc>
        <w:tc>
          <w:tcPr>
            <w:tcW w:w="1080" w:type="dxa"/>
            <w:tcBorders>
              <w:top w:val="nil"/>
              <w:left w:val="nil"/>
              <w:bottom w:val="nil"/>
              <w:right w:val="nil"/>
            </w:tcBorders>
            <w:shd w:val="clear" w:color="auto" w:fill="auto"/>
            <w:vAlign w:val="center"/>
            <w:hideMark/>
          </w:tcPr>
          <w:p w14:paraId="44FB83B8" w14:textId="77777777" w:rsidR="00B975F1" w:rsidRPr="006C6F80" w:rsidRDefault="00B975F1" w:rsidP="00B87104">
            <w:pPr>
              <w:jc w:val="center"/>
              <w:rPr>
                <w:color w:val="000000" w:themeColor="text1"/>
                <w:sz w:val="20"/>
                <w:szCs w:val="20"/>
              </w:rPr>
            </w:pPr>
            <w:r w:rsidRPr="006C6F80">
              <w:rPr>
                <w:color w:val="000000" w:themeColor="text1"/>
                <w:sz w:val="20"/>
                <w:szCs w:val="20"/>
              </w:rPr>
              <w:t>-0.124***</w:t>
            </w:r>
          </w:p>
        </w:tc>
        <w:tc>
          <w:tcPr>
            <w:tcW w:w="1080" w:type="dxa"/>
            <w:gridSpan w:val="2"/>
            <w:tcBorders>
              <w:top w:val="nil"/>
              <w:left w:val="nil"/>
              <w:bottom w:val="nil"/>
              <w:right w:val="nil"/>
            </w:tcBorders>
            <w:shd w:val="clear" w:color="auto" w:fill="auto"/>
            <w:vAlign w:val="center"/>
            <w:hideMark/>
          </w:tcPr>
          <w:p w14:paraId="7FF8F06C" w14:textId="77777777" w:rsidR="00B975F1" w:rsidRPr="006C6F80" w:rsidRDefault="00B975F1" w:rsidP="00B87104">
            <w:pPr>
              <w:jc w:val="center"/>
              <w:rPr>
                <w:color w:val="000000" w:themeColor="text1"/>
                <w:sz w:val="20"/>
                <w:szCs w:val="20"/>
              </w:rPr>
            </w:pPr>
            <w:r w:rsidRPr="006C6F80">
              <w:rPr>
                <w:color w:val="000000" w:themeColor="text1"/>
                <w:sz w:val="20"/>
                <w:szCs w:val="20"/>
              </w:rPr>
              <w:t>0.375</w:t>
            </w:r>
          </w:p>
        </w:tc>
        <w:tc>
          <w:tcPr>
            <w:tcW w:w="900" w:type="dxa"/>
            <w:tcBorders>
              <w:top w:val="nil"/>
              <w:left w:val="nil"/>
              <w:bottom w:val="nil"/>
              <w:right w:val="nil"/>
            </w:tcBorders>
            <w:shd w:val="clear" w:color="auto" w:fill="auto"/>
            <w:vAlign w:val="center"/>
            <w:hideMark/>
          </w:tcPr>
          <w:p w14:paraId="0C2C637C" w14:textId="77777777" w:rsidR="00B975F1" w:rsidRPr="006C6F80" w:rsidRDefault="00B975F1" w:rsidP="00B87104">
            <w:pPr>
              <w:jc w:val="center"/>
              <w:rPr>
                <w:color w:val="000000" w:themeColor="text1"/>
                <w:sz w:val="20"/>
                <w:szCs w:val="20"/>
              </w:rPr>
            </w:pPr>
            <w:r w:rsidRPr="006C6F80">
              <w:rPr>
                <w:color w:val="000000" w:themeColor="text1"/>
                <w:sz w:val="20"/>
                <w:szCs w:val="20"/>
              </w:rPr>
              <w:t>0.431</w:t>
            </w:r>
          </w:p>
        </w:tc>
        <w:tc>
          <w:tcPr>
            <w:tcW w:w="1083" w:type="dxa"/>
            <w:gridSpan w:val="2"/>
            <w:tcBorders>
              <w:top w:val="nil"/>
              <w:left w:val="nil"/>
              <w:bottom w:val="nil"/>
              <w:right w:val="nil"/>
            </w:tcBorders>
            <w:shd w:val="clear" w:color="auto" w:fill="auto"/>
            <w:vAlign w:val="center"/>
            <w:hideMark/>
          </w:tcPr>
          <w:p w14:paraId="1DF15674" w14:textId="77777777" w:rsidR="00B975F1" w:rsidRPr="006C6F80" w:rsidRDefault="00B975F1" w:rsidP="00B87104">
            <w:pPr>
              <w:jc w:val="center"/>
              <w:rPr>
                <w:color w:val="000000" w:themeColor="text1"/>
                <w:sz w:val="20"/>
                <w:szCs w:val="20"/>
              </w:rPr>
            </w:pPr>
            <w:r w:rsidRPr="006C6F80">
              <w:rPr>
                <w:color w:val="000000" w:themeColor="text1"/>
                <w:sz w:val="20"/>
                <w:szCs w:val="20"/>
              </w:rPr>
              <w:t>-0.055</w:t>
            </w:r>
          </w:p>
        </w:tc>
      </w:tr>
      <w:tr w:rsidR="00B975F1" w:rsidRPr="006C6F80" w14:paraId="233F29F4"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4749EDA1" w14:textId="77777777" w:rsidR="00B975F1" w:rsidRPr="006C6F80" w:rsidRDefault="00B975F1" w:rsidP="00B87104">
            <w:pPr>
              <w:rPr>
                <w:color w:val="000000" w:themeColor="text1"/>
                <w:sz w:val="20"/>
                <w:szCs w:val="20"/>
              </w:rPr>
            </w:pPr>
            <w:r w:rsidRPr="006C6F80">
              <w:rPr>
                <w:color w:val="000000" w:themeColor="text1"/>
                <w:sz w:val="20"/>
                <w:szCs w:val="20"/>
              </w:rPr>
              <w:t>Low-skilled blue-collar</w:t>
            </w:r>
          </w:p>
        </w:tc>
        <w:tc>
          <w:tcPr>
            <w:tcW w:w="1080" w:type="dxa"/>
            <w:tcBorders>
              <w:top w:val="nil"/>
              <w:left w:val="nil"/>
              <w:bottom w:val="nil"/>
              <w:right w:val="nil"/>
            </w:tcBorders>
            <w:shd w:val="clear" w:color="auto" w:fill="auto"/>
            <w:vAlign w:val="center"/>
            <w:hideMark/>
          </w:tcPr>
          <w:p w14:paraId="7A2E0743" w14:textId="77777777" w:rsidR="00B975F1" w:rsidRPr="006C6F80" w:rsidRDefault="00B975F1" w:rsidP="00B87104">
            <w:pPr>
              <w:jc w:val="center"/>
              <w:rPr>
                <w:color w:val="000000" w:themeColor="text1"/>
                <w:sz w:val="20"/>
                <w:szCs w:val="20"/>
              </w:rPr>
            </w:pPr>
            <w:r w:rsidRPr="006C6F80">
              <w:rPr>
                <w:color w:val="000000" w:themeColor="text1"/>
                <w:sz w:val="20"/>
                <w:szCs w:val="20"/>
              </w:rPr>
              <w:t>0.122</w:t>
            </w:r>
          </w:p>
        </w:tc>
        <w:tc>
          <w:tcPr>
            <w:tcW w:w="900" w:type="dxa"/>
            <w:tcBorders>
              <w:top w:val="nil"/>
              <w:left w:val="nil"/>
              <w:bottom w:val="nil"/>
              <w:right w:val="nil"/>
            </w:tcBorders>
            <w:shd w:val="clear" w:color="auto" w:fill="auto"/>
            <w:vAlign w:val="center"/>
            <w:hideMark/>
          </w:tcPr>
          <w:p w14:paraId="52D98402" w14:textId="77777777" w:rsidR="00B975F1" w:rsidRPr="006C6F80" w:rsidRDefault="00B975F1" w:rsidP="00B87104">
            <w:pPr>
              <w:jc w:val="center"/>
              <w:rPr>
                <w:color w:val="000000" w:themeColor="text1"/>
                <w:sz w:val="20"/>
                <w:szCs w:val="20"/>
              </w:rPr>
            </w:pPr>
            <w:r w:rsidRPr="006C6F80">
              <w:rPr>
                <w:color w:val="000000" w:themeColor="text1"/>
                <w:sz w:val="20"/>
                <w:szCs w:val="20"/>
              </w:rPr>
              <w:t>0.067</w:t>
            </w:r>
          </w:p>
        </w:tc>
        <w:tc>
          <w:tcPr>
            <w:tcW w:w="1080" w:type="dxa"/>
            <w:tcBorders>
              <w:top w:val="nil"/>
              <w:left w:val="nil"/>
              <w:bottom w:val="nil"/>
              <w:right w:val="nil"/>
            </w:tcBorders>
            <w:shd w:val="clear" w:color="auto" w:fill="auto"/>
            <w:vAlign w:val="center"/>
            <w:hideMark/>
          </w:tcPr>
          <w:p w14:paraId="7DAA2580" w14:textId="77777777" w:rsidR="00B975F1" w:rsidRPr="006C6F80" w:rsidRDefault="00B975F1" w:rsidP="00B87104">
            <w:pPr>
              <w:jc w:val="center"/>
              <w:rPr>
                <w:color w:val="000000" w:themeColor="text1"/>
                <w:sz w:val="20"/>
                <w:szCs w:val="20"/>
              </w:rPr>
            </w:pPr>
            <w:r w:rsidRPr="006C6F80">
              <w:rPr>
                <w:color w:val="000000" w:themeColor="text1"/>
                <w:sz w:val="20"/>
                <w:szCs w:val="20"/>
              </w:rPr>
              <w:t>0.055***</w:t>
            </w:r>
          </w:p>
        </w:tc>
        <w:tc>
          <w:tcPr>
            <w:tcW w:w="1080" w:type="dxa"/>
            <w:gridSpan w:val="2"/>
            <w:tcBorders>
              <w:top w:val="nil"/>
              <w:left w:val="nil"/>
              <w:bottom w:val="nil"/>
              <w:right w:val="nil"/>
            </w:tcBorders>
            <w:shd w:val="clear" w:color="auto" w:fill="auto"/>
            <w:vAlign w:val="center"/>
            <w:hideMark/>
          </w:tcPr>
          <w:p w14:paraId="036DAB78" w14:textId="77777777" w:rsidR="00B975F1" w:rsidRPr="006C6F80" w:rsidRDefault="00B975F1" w:rsidP="00B87104">
            <w:pPr>
              <w:jc w:val="center"/>
              <w:rPr>
                <w:color w:val="000000" w:themeColor="text1"/>
                <w:sz w:val="20"/>
                <w:szCs w:val="20"/>
              </w:rPr>
            </w:pPr>
            <w:r w:rsidRPr="006C6F80">
              <w:rPr>
                <w:color w:val="000000" w:themeColor="text1"/>
                <w:sz w:val="20"/>
                <w:szCs w:val="20"/>
              </w:rPr>
              <w:t>0.083</w:t>
            </w:r>
          </w:p>
        </w:tc>
        <w:tc>
          <w:tcPr>
            <w:tcW w:w="900" w:type="dxa"/>
            <w:tcBorders>
              <w:top w:val="nil"/>
              <w:left w:val="nil"/>
              <w:bottom w:val="nil"/>
              <w:right w:val="nil"/>
            </w:tcBorders>
            <w:shd w:val="clear" w:color="auto" w:fill="auto"/>
            <w:vAlign w:val="center"/>
            <w:hideMark/>
          </w:tcPr>
          <w:p w14:paraId="2157D9C3" w14:textId="77777777" w:rsidR="00B975F1" w:rsidRPr="006C6F80" w:rsidRDefault="00B975F1" w:rsidP="00B87104">
            <w:pPr>
              <w:jc w:val="center"/>
              <w:rPr>
                <w:color w:val="000000" w:themeColor="text1"/>
                <w:sz w:val="20"/>
                <w:szCs w:val="20"/>
              </w:rPr>
            </w:pPr>
            <w:r w:rsidRPr="006C6F80">
              <w:rPr>
                <w:color w:val="000000" w:themeColor="text1"/>
                <w:sz w:val="20"/>
                <w:szCs w:val="20"/>
              </w:rPr>
              <w:t>0.068</w:t>
            </w:r>
          </w:p>
        </w:tc>
        <w:tc>
          <w:tcPr>
            <w:tcW w:w="1083" w:type="dxa"/>
            <w:gridSpan w:val="2"/>
            <w:tcBorders>
              <w:top w:val="nil"/>
              <w:left w:val="nil"/>
              <w:bottom w:val="nil"/>
              <w:right w:val="nil"/>
            </w:tcBorders>
            <w:shd w:val="clear" w:color="auto" w:fill="auto"/>
            <w:vAlign w:val="center"/>
            <w:hideMark/>
          </w:tcPr>
          <w:p w14:paraId="4249C609" w14:textId="77777777" w:rsidR="00B975F1" w:rsidRPr="006C6F80" w:rsidRDefault="00B975F1" w:rsidP="00B87104">
            <w:pPr>
              <w:jc w:val="center"/>
              <w:rPr>
                <w:color w:val="000000" w:themeColor="text1"/>
                <w:sz w:val="20"/>
                <w:szCs w:val="20"/>
              </w:rPr>
            </w:pPr>
            <w:r w:rsidRPr="006C6F80">
              <w:rPr>
                <w:color w:val="000000" w:themeColor="text1"/>
                <w:sz w:val="20"/>
                <w:szCs w:val="20"/>
              </w:rPr>
              <w:t>0.015</w:t>
            </w:r>
          </w:p>
        </w:tc>
      </w:tr>
      <w:tr w:rsidR="00B975F1" w:rsidRPr="006C6F80" w14:paraId="01887362"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49393195" w14:textId="77777777" w:rsidR="00B975F1" w:rsidRPr="006C6F80" w:rsidRDefault="00B975F1" w:rsidP="00B87104">
            <w:pPr>
              <w:rPr>
                <w:color w:val="000000" w:themeColor="text1"/>
                <w:sz w:val="20"/>
                <w:szCs w:val="20"/>
              </w:rPr>
            </w:pPr>
            <w:r w:rsidRPr="006C6F80">
              <w:rPr>
                <w:color w:val="000000" w:themeColor="text1"/>
                <w:sz w:val="20"/>
                <w:szCs w:val="20"/>
              </w:rPr>
              <w:t>High-skilled blue-collar</w:t>
            </w:r>
          </w:p>
        </w:tc>
        <w:tc>
          <w:tcPr>
            <w:tcW w:w="1080" w:type="dxa"/>
            <w:tcBorders>
              <w:top w:val="nil"/>
              <w:left w:val="nil"/>
              <w:bottom w:val="nil"/>
              <w:right w:val="nil"/>
            </w:tcBorders>
            <w:shd w:val="clear" w:color="auto" w:fill="auto"/>
            <w:vAlign w:val="center"/>
            <w:hideMark/>
          </w:tcPr>
          <w:p w14:paraId="323006F5" w14:textId="77777777" w:rsidR="00B975F1" w:rsidRPr="006C6F80" w:rsidRDefault="00B975F1" w:rsidP="00B87104">
            <w:pPr>
              <w:jc w:val="center"/>
              <w:rPr>
                <w:color w:val="000000" w:themeColor="text1"/>
                <w:sz w:val="20"/>
                <w:szCs w:val="20"/>
              </w:rPr>
            </w:pPr>
            <w:r w:rsidRPr="006C6F80">
              <w:rPr>
                <w:color w:val="000000" w:themeColor="text1"/>
                <w:sz w:val="20"/>
                <w:szCs w:val="20"/>
              </w:rPr>
              <w:t>0.209</w:t>
            </w:r>
          </w:p>
        </w:tc>
        <w:tc>
          <w:tcPr>
            <w:tcW w:w="900" w:type="dxa"/>
            <w:tcBorders>
              <w:top w:val="nil"/>
              <w:left w:val="nil"/>
              <w:bottom w:val="nil"/>
              <w:right w:val="nil"/>
            </w:tcBorders>
            <w:shd w:val="clear" w:color="auto" w:fill="auto"/>
            <w:vAlign w:val="center"/>
            <w:hideMark/>
          </w:tcPr>
          <w:p w14:paraId="7787B912" w14:textId="77777777" w:rsidR="00B975F1" w:rsidRPr="006C6F80" w:rsidRDefault="00B975F1" w:rsidP="00B87104">
            <w:pPr>
              <w:jc w:val="center"/>
              <w:rPr>
                <w:color w:val="000000" w:themeColor="text1"/>
                <w:sz w:val="20"/>
                <w:szCs w:val="20"/>
              </w:rPr>
            </w:pPr>
            <w:r w:rsidRPr="006C6F80">
              <w:rPr>
                <w:color w:val="000000" w:themeColor="text1"/>
                <w:sz w:val="20"/>
                <w:szCs w:val="20"/>
              </w:rPr>
              <w:t>0.326</w:t>
            </w:r>
          </w:p>
        </w:tc>
        <w:tc>
          <w:tcPr>
            <w:tcW w:w="1080" w:type="dxa"/>
            <w:tcBorders>
              <w:top w:val="nil"/>
              <w:left w:val="nil"/>
              <w:bottom w:val="nil"/>
              <w:right w:val="nil"/>
            </w:tcBorders>
            <w:shd w:val="clear" w:color="auto" w:fill="auto"/>
            <w:vAlign w:val="center"/>
            <w:hideMark/>
          </w:tcPr>
          <w:p w14:paraId="2CD3E01A" w14:textId="77777777" w:rsidR="00B975F1" w:rsidRPr="006C6F80" w:rsidRDefault="00B975F1" w:rsidP="00B87104">
            <w:pPr>
              <w:jc w:val="center"/>
              <w:rPr>
                <w:color w:val="000000" w:themeColor="text1"/>
                <w:sz w:val="20"/>
                <w:szCs w:val="20"/>
              </w:rPr>
            </w:pPr>
            <w:r w:rsidRPr="006C6F80">
              <w:rPr>
                <w:color w:val="000000" w:themeColor="text1"/>
                <w:sz w:val="20"/>
                <w:szCs w:val="20"/>
              </w:rPr>
              <w:t>-0.117***</w:t>
            </w:r>
          </w:p>
        </w:tc>
        <w:tc>
          <w:tcPr>
            <w:tcW w:w="1080" w:type="dxa"/>
            <w:gridSpan w:val="2"/>
            <w:tcBorders>
              <w:top w:val="nil"/>
              <w:left w:val="nil"/>
              <w:bottom w:val="nil"/>
              <w:right w:val="nil"/>
            </w:tcBorders>
            <w:shd w:val="clear" w:color="auto" w:fill="auto"/>
            <w:vAlign w:val="center"/>
            <w:hideMark/>
          </w:tcPr>
          <w:p w14:paraId="574902F6" w14:textId="77777777" w:rsidR="00B975F1" w:rsidRPr="006C6F80" w:rsidRDefault="00B975F1" w:rsidP="00B87104">
            <w:pPr>
              <w:jc w:val="center"/>
              <w:rPr>
                <w:color w:val="000000" w:themeColor="text1"/>
                <w:sz w:val="20"/>
                <w:szCs w:val="20"/>
              </w:rPr>
            </w:pPr>
            <w:r w:rsidRPr="006C6F80">
              <w:rPr>
                <w:color w:val="000000" w:themeColor="text1"/>
                <w:sz w:val="20"/>
                <w:szCs w:val="20"/>
              </w:rPr>
              <w:t>0.311</w:t>
            </w:r>
          </w:p>
        </w:tc>
        <w:tc>
          <w:tcPr>
            <w:tcW w:w="900" w:type="dxa"/>
            <w:tcBorders>
              <w:top w:val="nil"/>
              <w:left w:val="nil"/>
              <w:bottom w:val="nil"/>
              <w:right w:val="nil"/>
            </w:tcBorders>
            <w:shd w:val="clear" w:color="auto" w:fill="auto"/>
            <w:vAlign w:val="center"/>
            <w:hideMark/>
          </w:tcPr>
          <w:p w14:paraId="27037614" w14:textId="77777777" w:rsidR="00B975F1" w:rsidRPr="006C6F80" w:rsidRDefault="00B975F1" w:rsidP="00B87104">
            <w:pPr>
              <w:jc w:val="center"/>
              <w:rPr>
                <w:color w:val="000000" w:themeColor="text1"/>
                <w:sz w:val="20"/>
                <w:szCs w:val="20"/>
              </w:rPr>
            </w:pPr>
            <w:r w:rsidRPr="006C6F80">
              <w:rPr>
                <w:color w:val="000000" w:themeColor="text1"/>
                <w:sz w:val="20"/>
                <w:szCs w:val="20"/>
              </w:rPr>
              <w:t>0.323</w:t>
            </w:r>
          </w:p>
        </w:tc>
        <w:tc>
          <w:tcPr>
            <w:tcW w:w="1083" w:type="dxa"/>
            <w:gridSpan w:val="2"/>
            <w:tcBorders>
              <w:top w:val="nil"/>
              <w:left w:val="nil"/>
              <w:bottom w:val="nil"/>
              <w:right w:val="nil"/>
            </w:tcBorders>
            <w:shd w:val="clear" w:color="auto" w:fill="auto"/>
            <w:vAlign w:val="center"/>
            <w:hideMark/>
          </w:tcPr>
          <w:p w14:paraId="4AD5A785" w14:textId="77777777" w:rsidR="00B975F1" w:rsidRPr="006C6F80" w:rsidRDefault="00B975F1" w:rsidP="00B87104">
            <w:pPr>
              <w:jc w:val="center"/>
              <w:rPr>
                <w:color w:val="000000" w:themeColor="text1"/>
                <w:sz w:val="20"/>
                <w:szCs w:val="20"/>
              </w:rPr>
            </w:pPr>
            <w:r w:rsidRPr="006C6F80">
              <w:rPr>
                <w:color w:val="000000" w:themeColor="text1"/>
                <w:sz w:val="20"/>
                <w:szCs w:val="20"/>
              </w:rPr>
              <w:t>-0.012</w:t>
            </w:r>
          </w:p>
        </w:tc>
      </w:tr>
      <w:tr w:rsidR="00B975F1" w:rsidRPr="006C6F80" w14:paraId="75219EA8"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6ABF36D0" w14:textId="77777777" w:rsidR="00B975F1" w:rsidRPr="006C6F80" w:rsidRDefault="00B975F1" w:rsidP="00B87104">
            <w:pPr>
              <w:rPr>
                <w:color w:val="000000" w:themeColor="text1"/>
                <w:sz w:val="20"/>
                <w:szCs w:val="20"/>
              </w:rPr>
            </w:pPr>
            <w:r w:rsidRPr="006C6F80">
              <w:rPr>
                <w:color w:val="000000" w:themeColor="text1"/>
                <w:sz w:val="20"/>
                <w:szCs w:val="20"/>
              </w:rPr>
              <w:t>Low-skilled white-collar</w:t>
            </w:r>
          </w:p>
        </w:tc>
        <w:tc>
          <w:tcPr>
            <w:tcW w:w="1080" w:type="dxa"/>
            <w:tcBorders>
              <w:top w:val="nil"/>
              <w:left w:val="nil"/>
              <w:bottom w:val="nil"/>
              <w:right w:val="nil"/>
            </w:tcBorders>
            <w:shd w:val="clear" w:color="auto" w:fill="auto"/>
            <w:vAlign w:val="center"/>
            <w:hideMark/>
          </w:tcPr>
          <w:p w14:paraId="44A6BCF4" w14:textId="77777777" w:rsidR="00B975F1" w:rsidRPr="006C6F80" w:rsidRDefault="00B975F1" w:rsidP="00B87104">
            <w:pPr>
              <w:jc w:val="center"/>
              <w:rPr>
                <w:color w:val="000000" w:themeColor="text1"/>
                <w:sz w:val="20"/>
                <w:szCs w:val="20"/>
              </w:rPr>
            </w:pPr>
            <w:r w:rsidRPr="006C6F80">
              <w:rPr>
                <w:color w:val="000000" w:themeColor="text1"/>
                <w:sz w:val="20"/>
                <w:szCs w:val="20"/>
              </w:rPr>
              <w:t>0.116</w:t>
            </w:r>
          </w:p>
        </w:tc>
        <w:tc>
          <w:tcPr>
            <w:tcW w:w="900" w:type="dxa"/>
            <w:tcBorders>
              <w:top w:val="nil"/>
              <w:left w:val="nil"/>
              <w:bottom w:val="nil"/>
              <w:right w:val="nil"/>
            </w:tcBorders>
            <w:shd w:val="clear" w:color="auto" w:fill="auto"/>
            <w:vAlign w:val="center"/>
            <w:hideMark/>
          </w:tcPr>
          <w:p w14:paraId="4BABB774" w14:textId="77777777" w:rsidR="00B975F1" w:rsidRPr="006C6F80" w:rsidRDefault="00B975F1" w:rsidP="00B87104">
            <w:pPr>
              <w:jc w:val="center"/>
              <w:rPr>
                <w:color w:val="000000" w:themeColor="text1"/>
                <w:sz w:val="20"/>
                <w:szCs w:val="20"/>
              </w:rPr>
            </w:pPr>
            <w:r w:rsidRPr="006C6F80">
              <w:rPr>
                <w:color w:val="000000" w:themeColor="text1"/>
                <w:sz w:val="20"/>
                <w:szCs w:val="20"/>
              </w:rPr>
              <w:t>0.079</w:t>
            </w:r>
          </w:p>
        </w:tc>
        <w:tc>
          <w:tcPr>
            <w:tcW w:w="1080" w:type="dxa"/>
            <w:tcBorders>
              <w:top w:val="nil"/>
              <w:left w:val="nil"/>
              <w:bottom w:val="nil"/>
              <w:right w:val="nil"/>
            </w:tcBorders>
            <w:shd w:val="clear" w:color="auto" w:fill="auto"/>
            <w:vAlign w:val="center"/>
            <w:hideMark/>
          </w:tcPr>
          <w:p w14:paraId="15A9BCAD" w14:textId="77777777" w:rsidR="00B975F1" w:rsidRPr="006C6F80" w:rsidRDefault="00B975F1" w:rsidP="00B87104">
            <w:pPr>
              <w:jc w:val="center"/>
              <w:rPr>
                <w:color w:val="000000" w:themeColor="text1"/>
                <w:sz w:val="20"/>
                <w:szCs w:val="20"/>
              </w:rPr>
            </w:pPr>
            <w:r w:rsidRPr="006C6F80">
              <w:rPr>
                <w:color w:val="000000" w:themeColor="text1"/>
                <w:sz w:val="20"/>
                <w:szCs w:val="20"/>
              </w:rPr>
              <w:t>0.037*</w:t>
            </w:r>
          </w:p>
        </w:tc>
        <w:tc>
          <w:tcPr>
            <w:tcW w:w="1080" w:type="dxa"/>
            <w:gridSpan w:val="2"/>
            <w:tcBorders>
              <w:top w:val="nil"/>
              <w:left w:val="nil"/>
              <w:bottom w:val="nil"/>
              <w:right w:val="nil"/>
            </w:tcBorders>
            <w:shd w:val="clear" w:color="auto" w:fill="auto"/>
            <w:vAlign w:val="center"/>
            <w:hideMark/>
          </w:tcPr>
          <w:p w14:paraId="2BB80307" w14:textId="77777777" w:rsidR="00B975F1" w:rsidRPr="006C6F80" w:rsidRDefault="00B975F1" w:rsidP="00B87104">
            <w:pPr>
              <w:jc w:val="center"/>
              <w:rPr>
                <w:color w:val="000000" w:themeColor="text1"/>
                <w:sz w:val="20"/>
                <w:szCs w:val="20"/>
              </w:rPr>
            </w:pPr>
            <w:r w:rsidRPr="006C6F80">
              <w:rPr>
                <w:color w:val="000000" w:themeColor="text1"/>
                <w:sz w:val="20"/>
                <w:szCs w:val="20"/>
              </w:rPr>
              <w:t>0.117</w:t>
            </w:r>
          </w:p>
        </w:tc>
        <w:tc>
          <w:tcPr>
            <w:tcW w:w="900" w:type="dxa"/>
            <w:tcBorders>
              <w:top w:val="nil"/>
              <w:left w:val="nil"/>
              <w:bottom w:val="nil"/>
              <w:right w:val="nil"/>
            </w:tcBorders>
            <w:shd w:val="clear" w:color="auto" w:fill="auto"/>
            <w:vAlign w:val="center"/>
            <w:hideMark/>
          </w:tcPr>
          <w:p w14:paraId="4D58F6A3" w14:textId="77777777" w:rsidR="00B975F1" w:rsidRPr="006C6F80" w:rsidRDefault="00B975F1" w:rsidP="00B87104">
            <w:pPr>
              <w:jc w:val="center"/>
              <w:rPr>
                <w:color w:val="000000" w:themeColor="text1"/>
                <w:sz w:val="20"/>
                <w:szCs w:val="20"/>
              </w:rPr>
            </w:pPr>
            <w:r w:rsidRPr="006C6F80">
              <w:rPr>
                <w:color w:val="000000" w:themeColor="text1"/>
                <w:sz w:val="20"/>
                <w:szCs w:val="20"/>
              </w:rPr>
              <w:t>0.08</w:t>
            </w:r>
          </w:p>
        </w:tc>
        <w:tc>
          <w:tcPr>
            <w:tcW w:w="1083" w:type="dxa"/>
            <w:gridSpan w:val="2"/>
            <w:tcBorders>
              <w:top w:val="nil"/>
              <w:left w:val="nil"/>
              <w:bottom w:val="nil"/>
              <w:right w:val="nil"/>
            </w:tcBorders>
            <w:shd w:val="clear" w:color="auto" w:fill="auto"/>
            <w:vAlign w:val="center"/>
            <w:hideMark/>
          </w:tcPr>
          <w:p w14:paraId="68FAB5E9" w14:textId="77777777" w:rsidR="00B975F1" w:rsidRPr="006C6F80" w:rsidRDefault="00B975F1" w:rsidP="00B87104">
            <w:pPr>
              <w:jc w:val="center"/>
              <w:rPr>
                <w:color w:val="000000" w:themeColor="text1"/>
                <w:sz w:val="20"/>
                <w:szCs w:val="20"/>
              </w:rPr>
            </w:pPr>
            <w:r w:rsidRPr="006C6F80">
              <w:rPr>
                <w:color w:val="000000" w:themeColor="text1"/>
                <w:sz w:val="20"/>
                <w:szCs w:val="20"/>
              </w:rPr>
              <w:t>0.037</w:t>
            </w:r>
          </w:p>
        </w:tc>
      </w:tr>
      <w:tr w:rsidR="00B975F1" w:rsidRPr="006C6F80" w14:paraId="403FC3FE" w14:textId="77777777" w:rsidTr="00B87104">
        <w:trPr>
          <w:trHeight w:val="260"/>
          <w:jc w:val="center"/>
        </w:trPr>
        <w:tc>
          <w:tcPr>
            <w:tcW w:w="4860" w:type="dxa"/>
            <w:gridSpan w:val="2"/>
            <w:tcBorders>
              <w:top w:val="nil"/>
              <w:left w:val="nil"/>
              <w:bottom w:val="nil"/>
              <w:right w:val="nil"/>
            </w:tcBorders>
            <w:shd w:val="clear" w:color="auto" w:fill="auto"/>
            <w:vAlign w:val="center"/>
            <w:hideMark/>
          </w:tcPr>
          <w:p w14:paraId="25D08C44" w14:textId="77777777" w:rsidR="00B975F1" w:rsidRPr="006C6F80" w:rsidRDefault="00B975F1" w:rsidP="00B87104">
            <w:pPr>
              <w:rPr>
                <w:color w:val="000000" w:themeColor="text1"/>
                <w:sz w:val="20"/>
                <w:szCs w:val="20"/>
              </w:rPr>
            </w:pPr>
            <w:r w:rsidRPr="006C6F80">
              <w:rPr>
                <w:color w:val="000000" w:themeColor="text1"/>
                <w:sz w:val="20"/>
                <w:szCs w:val="20"/>
              </w:rPr>
              <w:t>High-skilled white-collar</w:t>
            </w:r>
          </w:p>
        </w:tc>
        <w:tc>
          <w:tcPr>
            <w:tcW w:w="1080" w:type="dxa"/>
            <w:tcBorders>
              <w:top w:val="nil"/>
              <w:left w:val="nil"/>
              <w:bottom w:val="nil"/>
              <w:right w:val="nil"/>
            </w:tcBorders>
            <w:shd w:val="clear" w:color="auto" w:fill="auto"/>
            <w:vAlign w:val="center"/>
            <w:hideMark/>
          </w:tcPr>
          <w:p w14:paraId="4CA1E2A5" w14:textId="77777777" w:rsidR="00B975F1" w:rsidRPr="006C6F80" w:rsidRDefault="00B975F1" w:rsidP="00B87104">
            <w:pPr>
              <w:jc w:val="center"/>
              <w:rPr>
                <w:color w:val="000000" w:themeColor="text1"/>
                <w:sz w:val="20"/>
                <w:szCs w:val="20"/>
              </w:rPr>
            </w:pPr>
            <w:r w:rsidRPr="006C6F80">
              <w:rPr>
                <w:color w:val="000000" w:themeColor="text1"/>
                <w:sz w:val="20"/>
                <w:szCs w:val="20"/>
              </w:rPr>
              <w:t>0.247</w:t>
            </w:r>
          </w:p>
        </w:tc>
        <w:tc>
          <w:tcPr>
            <w:tcW w:w="900" w:type="dxa"/>
            <w:tcBorders>
              <w:top w:val="nil"/>
              <w:left w:val="nil"/>
              <w:bottom w:val="nil"/>
              <w:right w:val="nil"/>
            </w:tcBorders>
            <w:shd w:val="clear" w:color="auto" w:fill="auto"/>
            <w:vAlign w:val="center"/>
            <w:hideMark/>
          </w:tcPr>
          <w:p w14:paraId="7980BAE4" w14:textId="77777777" w:rsidR="00B975F1" w:rsidRPr="006C6F80" w:rsidRDefault="00B975F1" w:rsidP="00B87104">
            <w:pPr>
              <w:jc w:val="center"/>
              <w:rPr>
                <w:color w:val="000000" w:themeColor="text1"/>
                <w:sz w:val="20"/>
                <w:szCs w:val="20"/>
              </w:rPr>
            </w:pPr>
            <w:r w:rsidRPr="006C6F80">
              <w:rPr>
                <w:color w:val="000000" w:themeColor="text1"/>
                <w:sz w:val="20"/>
                <w:szCs w:val="20"/>
              </w:rPr>
              <w:t>0.098</w:t>
            </w:r>
          </w:p>
        </w:tc>
        <w:tc>
          <w:tcPr>
            <w:tcW w:w="1080" w:type="dxa"/>
            <w:tcBorders>
              <w:top w:val="nil"/>
              <w:left w:val="nil"/>
              <w:bottom w:val="nil"/>
              <w:right w:val="nil"/>
            </w:tcBorders>
            <w:shd w:val="clear" w:color="auto" w:fill="auto"/>
            <w:vAlign w:val="center"/>
            <w:hideMark/>
          </w:tcPr>
          <w:p w14:paraId="5A8EACB2" w14:textId="77777777" w:rsidR="00B975F1" w:rsidRPr="006C6F80" w:rsidRDefault="00B975F1" w:rsidP="00B87104">
            <w:pPr>
              <w:jc w:val="center"/>
              <w:rPr>
                <w:color w:val="000000" w:themeColor="text1"/>
                <w:sz w:val="20"/>
                <w:szCs w:val="20"/>
              </w:rPr>
            </w:pPr>
            <w:r w:rsidRPr="006C6F80">
              <w:rPr>
                <w:color w:val="000000" w:themeColor="text1"/>
                <w:sz w:val="20"/>
                <w:szCs w:val="20"/>
              </w:rPr>
              <w:t>0.150***</w:t>
            </w:r>
          </w:p>
        </w:tc>
        <w:tc>
          <w:tcPr>
            <w:tcW w:w="1080" w:type="dxa"/>
            <w:gridSpan w:val="2"/>
            <w:tcBorders>
              <w:top w:val="nil"/>
              <w:left w:val="nil"/>
              <w:bottom w:val="nil"/>
              <w:right w:val="nil"/>
            </w:tcBorders>
            <w:shd w:val="clear" w:color="auto" w:fill="auto"/>
            <w:vAlign w:val="center"/>
            <w:hideMark/>
          </w:tcPr>
          <w:p w14:paraId="2E8409D9" w14:textId="77777777" w:rsidR="00B975F1" w:rsidRPr="006C6F80" w:rsidRDefault="00B975F1" w:rsidP="00B87104">
            <w:pPr>
              <w:jc w:val="center"/>
              <w:rPr>
                <w:color w:val="000000" w:themeColor="text1"/>
                <w:sz w:val="20"/>
                <w:szCs w:val="20"/>
              </w:rPr>
            </w:pPr>
            <w:r w:rsidRPr="006C6F80">
              <w:rPr>
                <w:color w:val="000000" w:themeColor="text1"/>
                <w:sz w:val="20"/>
                <w:szCs w:val="20"/>
              </w:rPr>
              <w:t>0.114</w:t>
            </w:r>
          </w:p>
        </w:tc>
        <w:tc>
          <w:tcPr>
            <w:tcW w:w="900" w:type="dxa"/>
            <w:tcBorders>
              <w:top w:val="nil"/>
              <w:left w:val="nil"/>
              <w:bottom w:val="nil"/>
              <w:right w:val="nil"/>
            </w:tcBorders>
            <w:shd w:val="clear" w:color="auto" w:fill="auto"/>
            <w:vAlign w:val="center"/>
            <w:hideMark/>
          </w:tcPr>
          <w:p w14:paraId="1A7A93DD" w14:textId="77777777" w:rsidR="00B975F1" w:rsidRPr="006C6F80" w:rsidRDefault="00B975F1" w:rsidP="00B87104">
            <w:pPr>
              <w:jc w:val="center"/>
              <w:rPr>
                <w:color w:val="000000" w:themeColor="text1"/>
                <w:sz w:val="20"/>
                <w:szCs w:val="20"/>
              </w:rPr>
            </w:pPr>
            <w:r w:rsidRPr="006C6F80">
              <w:rPr>
                <w:color w:val="000000" w:themeColor="text1"/>
                <w:sz w:val="20"/>
                <w:szCs w:val="20"/>
              </w:rPr>
              <w:t>0.098</w:t>
            </w:r>
          </w:p>
        </w:tc>
        <w:tc>
          <w:tcPr>
            <w:tcW w:w="1083" w:type="dxa"/>
            <w:gridSpan w:val="2"/>
            <w:tcBorders>
              <w:top w:val="nil"/>
              <w:left w:val="nil"/>
              <w:bottom w:val="nil"/>
              <w:right w:val="nil"/>
            </w:tcBorders>
            <w:shd w:val="clear" w:color="auto" w:fill="auto"/>
            <w:vAlign w:val="center"/>
            <w:hideMark/>
          </w:tcPr>
          <w:p w14:paraId="6B874A71" w14:textId="77777777" w:rsidR="00B975F1" w:rsidRPr="006C6F80" w:rsidRDefault="00B975F1" w:rsidP="00B87104">
            <w:pPr>
              <w:jc w:val="center"/>
              <w:rPr>
                <w:color w:val="000000" w:themeColor="text1"/>
                <w:sz w:val="20"/>
                <w:szCs w:val="20"/>
              </w:rPr>
            </w:pPr>
            <w:r w:rsidRPr="006C6F80">
              <w:rPr>
                <w:color w:val="000000" w:themeColor="text1"/>
                <w:sz w:val="20"/>
                <w:szCs w:val="20"/>
              </w:rPr>
              <w:t>0.015</w:t>
            </w:r>
          </w:p>
        </w:tc>
      </w:tr>
      <w:tr w:rsidR="00B975F1" w:rsidRPr="006C6F80" w14:paraId="1B5F58A5" w14:textId="77777777" w:rsidTr="00B87104">
        <w:trPr>
          <w:trHeight w:val="260"/>
          <w:jc w:val="center"/>
        </w:trPr>
        <w:tc>
          <w:tcPr>
            <w:tcW w:w="1080" w:type="dxa"/>
            <w:tcBorders>
              <w:top w:val="nil"/>
              <w:left w:val="nil"/>
              <w:bottom w:val="nil"/>
              <w:right w:val="nil"/>
            </w:tcBorders>
            <w:shd w:val="clear" w:color="auto" w:fill="auto"/>
            <w:vAlign w:val="center"/>
            <w:hideMark/>
          </w:tcPr>
          <w:p w14:paraId="694EB353" w14:textId="77777777" w:rsidR="00B975F1" w:rsidRPr="006C6F80" w:rsidRDefault="00B975F1" w:rsidP="00B87104">
            <w:pPr>
              <w:jc w:val="center"/>
              <w:rPr>
                <w:color w:val="000000" w:themeColor="text1"/>
                <w:sz w:val="20"/>
                <w:szCs w:val="20"/>
              </w:rPr>
            </w:pPr>
          </w:p>
        </w:tc>
        <w:tc>
          <w:tcPr>
            <w:tcW w:w="3780" w:type="dxa"/>
            <w:tcBorders>
              <w:top w:val="nil"/>
              <w:left w:val="nil"/>
              <w:bottom w:val="nil"/>
              <w:right w:val="nil"/>
            </w:tcBorders>
            <w:shd w:val="clear" w:color="auto" w:fill="auto"/>
            <w:vAlign w:val="center"/>
            <w:hideMark/>
          </w:tcPr>
          <w:p w14:paraId="0B425F02" w14:textId="77777777" w:rsidR="00B975F1" w:rsidRPr="006C6F80" w:rsidRDefault="00B975F1" w:rsidP="00B87104">
            <w:pPr>
              <w:rPr>
                <w:color w:val="000000" w:themeColor="text1"/>
                <w:sz w:val="20"/>
                <w:szCs w:val="20"/>
              </w:rPr>
            </w:pPr>
          </w:p>
        </w:tc>
        <w:tc>
          <w:tcPr>
            <w:tcW w:w="1080" w:type="dxa"/>
            <w:tcBorders>
              <w:top w:val="nil"/>
              <w:left w:val="nil"/>
              <w:bottom w:val="nil"/>
              <w:right w:val="nil"/>
            </w:tcBorders>
            <w:shd w:val="clear" w:color="auto" w:fill="auto"/>
            <w:vAlign w:val="center"/>
            <w:hideMark/>
          </w:tcPr>
          <w:p w14:paraId="0C4379C4" w14:textId="77777777" w:rsidR="00B975F1" w:rsidRPr="006C6F80" w:rsidRDefault="00B975F1" w:rsidP="00B87104">
            <w:pPr>
              <w:rPr>
                <w:color w:val="000000" w:themeColor="text1"/>
                <w:sz w:val="20"/>
                <w:szCs w:val="20"/>
              </w:rPr>
            </w:pPr>
          </w:p>
        </w:tc>
        <w:tc>
          <w:tcPr>
            <w:tcW w:w="900" w:type="dxa"/>
            <w:tcBorders>
              <w:top w:val="nil"/>
              <w:left w:val="nil"/>
              <w:bottom w:val="nil"/>
              <w:right w:val="nil"/>
            </w:tcBorders>
            <w:shd w:val="clear" w:color="auto" w:fill="auto"/>
            <w:vAlign w:val="center"/>
            <w:hideMark/>
          </w:tcPr>
          <w:p w14:paraId="13A303DC" w14:textId="77777777" w:rsidR="00B975F1" w:rsidRPr="006C6F80" w:rsidRDefault="00B975F1" w:rsidP="00B87104">
            <w:pPr>
              <w:jc w:val="center"/>
              <w:rPr>
                <w:color w:val="000000" w:themeColor="text1"/>
                <w:sz w:val="20"/>
                <w:szCs w:val="20"/>
              </w:rPr>
            </w:pPr>
          </w:p>
        </w:tc>
        <w:tc>
          <w:tcPr>
            <w:tcW w:w="1080" w:type="dxa"/>
            <w:tcBorders>
              <w:top w:val="nil"/>
              <w:left w:val="nil"/>
              <w:bottom w:val="nil"/>
              <w:right w:val="nil"/>
            </w:tcBorders>
            <w:shd w:val="clear" w:color="auto" w:fill="auto"/>
            <w:vAlign w:val="center"/>
            <w:hideMark/>
          </w:tcPr>
          <w:p w14:paraId="6FD7D67A" w14:textId="77777777" w:rsidR="00B975F1" w:rsidRPr="006C6F80" w:rsidRDefault="00B975F1" w:rsidP="00B87104">
            <w:pPr>
              <w:jc w:val="center"/>
              <w:rPr>
                <w:color w:val="000000" w:themeColor="text1"/>
                <w:sz w:val="20"/>
                <w:szCs w:val="20"/>
              </w:rPr>
            </w:pPr>
          </w:p>
        </w:tc>
        <w:tc>
          <w:tcPr>
            <w:tcW w:w="1080" w:type="dxa"/>
            <w:gridSpan w:val="2"/>
            <w:tcBorders>
              <w:top w:val="nil"/>
              <w:left w:val="nil"/>
              <w:bottom w:val="nil"/>
              <w:right w:val="nil"/>
            </w:tcBorders>
            <w:shd w:val="clear" w:color="auto" w:fill="auto"/>
            <w:vAlign w:val="center"/>
            <w:hideMark/>
          </w:tcPr>
          <w:p w14:paraId="464BF211" w14:textId="77777777" w:rsidR="00B975F1" w:rsidRPr="006C6F80" w:rsidRDefault="00B975F1" w:rsidP="00B87104">
            <w:pPr>
              <w:jc w:val="center"/>
              <w:rPr>
                <w:color w:val="000000" w:themeColor="text1"/>
                <w:sz w:val="20"/>
                <w:szCs w:val="20"/>
              </w:rPr>
            </w:pPr>
          </w:p>
        </w:tc>
        <w:tc>
          <w:tcPr>
            <w:tcW w:w="900" w:type="dxa"/>
            <w:tcBorders>
              <w:top w:val="nil"/>
              <w:left w:val="nil"/>
              <w:bottom w:val="nil"/>
              <w:right w:val="nil"/>
            </w:tcBorders>
            <w:shd w:val="clear" w:color="auto" w:fill="auto"/>
            <w:vAlign w:val="center"/>
            <w:hideMark/>
          </w:tcPr>
          <w:p w14:paraId="6A9257CE" w14:textId="77777777" w:rsidR="00B975F1" w:rsidRPr="006C6F80" w:rsidRDefault="00B975F1" w:rsidP="00B87104">
            <w:pPr>
              <w:jc w:val="center"/>
              <w:rPr>
                <w:color w:val="000000" w:themeColor="text1"/>
                <w:sz w:val="20"/>
                <w:szCs w:val="20"/>
              </w:rPr>
            </w:pPr>
          </w:p>
        </w:tc>
        <w:tc>
          <w:tcPr>
            <w:tcW w:w="1083" w:type="dxa"/>
            <w:gridSpan w:val="2"/>
            <w:tcBorders>
              <w:top w:val="nil"/>
              <w:left w:val="nil"/>
              <w:bottom w:val="nil"/>
              <w:right w:val="nil"/>
            </w:tcBorders>
            <w:shd w:val="clear" w:color="auto" w:fill="auto"/>
            <w:vAlign w:val="center"/>
            <w:hideMark/>
          </w:tcPr>
          <w:p w14:paraId="0B3F6DAE" w14:textId="77777777" w:rsidR="00B975F1" w:rsidRPr="006C6F80" w:rsidRDefault="00B975F1" w:rsidP="00B87104">
            <w:pPr>
              <w:jc w:val="center"/>
              <w:rPr>
                <w:color w:val="000000" w:themeColor="text1"/>
                <w:sz w:val="20"/>
                <w:szCs w:val="20"/>
              </w:rPr>
            </w:pPr>
          </w:p>
        </w:tc>
      </w:tr>
      <w:tr w:rsidR="00B975F1" w:rsidRPr="006C6F80" w14:paraId="3FD6111E" w14:textId="77777777" w:rsidTr="00B87104">
        <w:trPr>
          <w:trHeight w:val="260"/>
          <w:jc w:val="center"/>
        </w:trPr>
        <w:tc>
          <w:tcPr>
            <w:tcW w:w="4860" w:type="dxa"/>
            <w:gridSpan w:val="2"/>
            <w:tcBorders>
              <w:top w:val="nil"/>
              <w:left w:val="nil"/>
              <w:bottom w:val="single" w:sz="4" w:space="0" w:color="auto"/>
              <w:right w:val="nil"/>
            </w:tcBorders>
            <w:shd w:val="clear" w:color="auto" w:fill="auto"/>
            <w:vAlign w:val="center"/>
            <w:hideMark/>
          </w:tcPr>
          <w:p w14:paraId="33D880C4" w14:textId="77777777" w:rsidR="00B975F1" w:rsidRPr="006C6F80" w:rsidRDefault="00B975F1" w:rsidP="00B87104">
            <w:pPr>
              <w:rPr>
                <w:color w:val="000000" w:themeColor="text1"/>
                <w:sz w:val="20"/>
                <w:szCs w:val="20"/>
              </w:rPr>
            </w:pPr>
            <w:r w:rsidRPr="006C6F80">
              <w:rPr>
                <w:color w:val="000000" w:themeColor="text1"/>
                <w:sz w:val="20"/>
                <w:szCs w:val="20"/>
              </w:rPr>
              <w:t>Observations</w:t>
            </w:r>
          </w:p>
        </w:tc>
        <w:tc>
          <w:tcPr>
            <w:tcW w:w="1080" w:type="dxa"/>
            <w:tcBorders>
              <w:top w:val="nil"/>
              <w:left w:val="nil"/>
              <w:bottom w:val="single" w:sz="4" w:space="0" w:color="auto"/>
              <w:right w:val="nil"/>
            </w:tcBorders>
            <w:shd w:val="clear" w:color="auto" w:fill="auto"/>
            <w:vAlign w:val="center"/>
            <w:hideMark/>
          </w:tcPr>
          <w:p w14:paraId="13D0BC58" w14:textId="77777777" w:rsidR="00B975F1" w:rsidRPr="006C6F80" w:rsidRDefault="00B975F1" w:rsidP="00B87104">
            <w:pPr>
              <w:jc w:val="center"/>
              <w:rPr>
                <w:color w:val="000000" w:themeColor="text1"/>
                <w:sz w:val="20"/>
                <w:szCs w:val="20"/>
              </w:rPr>
            </w:pPr>
            <w:r w:rsidRPr="006C6F80">
              <w:rPr>
                <w:color w:val="000000" w:themeColor="text1"/>
                <w:sz w:val="20"/>
                <w:szCs w:val="20"/>
              </w:rPr>
              <w:t>1,426</w:t>
            </w:r>
          </w:p>
        </w:tc>
        <w:tc>
          <w:tcPr>
            <w:tcW w:w="900" w:type="dxa"/>
            <w:tcBorders>
              <w:top w:val="nil"/>
              <w:left w:val="nil"/>
              <w:bottom w:val="single" w:sz="4" w:space="0" w:color="auto"/>
              <w:right w:val="nil"/>
            </w:tcBorders>
            <w:shd w:val="clear" w:color="auto" w:fill="auto"/>
            <w:vAlign w:val="center"/>
            <w:hideMark/>
          </w:tcPr>
          <w:p w14:paraId="49D626FA" w14:textId="77777777" w:rsidR="00B975F1" w:rsidRPr="006C6F80" w:rsidRDefault="00B975F1" w:rsidP="00B87104">
            <w:pPr>
              <w:jc w:val="center"/>
              <w:rPr>
                <w:color w:val="000000" w:themeColor="text1"/>
                <w:sz w:val="20"/>
                <w:szCs w:val="20"/>
              </w:rPr>
            </w:pPr>
            <w:r w:rsidRPr="006C6F80">
              <w:rPr>
                <w:color w:val="000000" w:themeColor="text1"/>
                <w:sz w:val="20"/>
                <w:szCs w:val="20"/>
              </w:rPr>
              <w:t>328</w:t>
            </w:r>
          </w:p>
        </w:tc>
        <w:tc>
          <w:tcPr>
            <w:tcW w:w="1080" w:type="dxa"/>
            <w:tcBorders>
              <w:top w:val="nil"/>
              <w:left w:val="nil"/>
              <w:bottom w:val="single" w:sz="4" w:space="0" w:color="auto"/>
              <w:right w:val="nil"/>
            </w:tcBorders>
            <w:shd w:val="clear" w:color="auto" w:fill="auto"/>
            <w:vAlign w:val="center"/>
            <w:hideMark/>
          </w:tcPr>
          <w:p w14:paraId="37A228B3" w14:textId="77777777" w:rsidR="00B975F1" w:rsidRPr="006C6F80" w:rsidRDefault="00B975F1" w:rsidP="00B87104">
            <w:pPr>
              <w:jc w:val="center"/>
              <w:rPr>
                <w:color w:val="000000" w:themeColor="text1"/>
                <w:sz w:val="20"/>
                <w:szCs w:val="20"/>
              </w:rPr>
            </w:pPr>
            <w:r w:rsidRPr="006C6F80">
              <w:rPr>
                <w:color w:val="000000" w:themeColor="text1"/>
                <w:sz w:val="20"/>
                <w:szCs w:val="20"/>
              </w:rPr>
              <w:t> </w:t>
            </w:r>
          </w:p>
        </w:tc>
        <w:tc>
          <w:tcPr>
            <w:tcW w:w="1080" w:type="dxa"/>
            <w:gridSpan w:val="2"/>
            <w:tcBorders>
              <w:top w:val="nil"/>
              <w:left w:val="nil"/>
              <w:bottom w:val="single" w:sz="4" w:space="0" w:color="auto"/>
              <w:right w:val="nil"/>
            </w:tcBorders>
            <w:shd w:val="clear" w:color="auto" w:fill="auto"/>
            <w:vAlign w:val="center"/>
            <w:hideMark/>
          </w:tcPr>
          <w:p w14:paraId="630039BC" w14:textId="77777777" w:rsidR="00B975F1" w:rsidRPr="006C6F80" w:rsidRDefault="00B975F1" w:rsidP="00B87104">
            <w:pPr>
              <w:jc w:val="center"/>
              <w:rPr>
                <w:color w:val="000000" w:themeColor="text1"/>
                <w:sz w:val="20"/>
                <w:szCs w:val="20"/>
              </w:rPr>
            </w:pPr>
            <w:r w:rsidRPr="006C6F80">
              <w:rPr>
                <w:color w:val="000000" w:themeColor="text1"/>
                <w:sz w:val="20"/>
                <w:szCs w:val="20"/>
              </w:rPr>
              <w:t>325</w:t>
            </w:r>
          </w:p>
        </w:tc>
        <w:tc>
          <w:tcPr>
            <w:tcW w:w="900" w:type="dxa"/>
            <w:tcBorders>
              <w:top w:val="nil"/>
              <w:left w:val="nil"/>
              <w:bottom w:val="single" w:sz="4" w:space="0" w:color="auto"/>
              <w:right w:val="nil"/>
            </w:tcBorders>
            <w:shd w:val="clear" w:color="auto" w:fill="auto"/>
            <w:vAlign w:val="center"/>
            <w:hideMark/>
          </w:tcPr>
          <w:p w14:paraId="1AB3D1EB" w14:textId="77777777" w:rsidR="00B975F1" w:rsidRPr="006C6F80" w:rsidRDefault="00B975F1" w:rsidP="00B87104">
            <w:pPr>
              <w:jc w:val="center"/>
              <w:rPr>
                <w:color w:val="000000" w:themeColor="text1"/>
                <w:sz w:val="20"/>
                <w:szCs w:val="20"/>
              </w:rPr>
            </w:pPr>
            <w:r w:rsidRPr="006C6F80">
              <w:rPr>
                <w:color w:val="000000" w:themeColor="text1"/>
                <w:sz w:val="20"/>
                <w:szCs w:val="20"/>
              </w:rPr>
              <w:t>325</w:t>
            </w:r>
          </w:p>
        </w:tc>
        <w:tc>
          <w:tcPr>
            <w:tcW w:w="1083" w:type="dxa"/>
            <w:gridSpan w:val="2"/>
            <w:tcBorders>
              <w:top w:val="nil"/>
              <w:left w:val="nil"/>
              <w:bottom w:val="single" w:sz="4" w:space="0" w:color="auto"/>
              <w:right w:val="nil"/>
            </w:tcBorders>
            <w:shd w:val="clear" w:color="auto" w:fill="auto"/>
            <w:vAlign w:val="center"/>
            <w:hideMark/>
          </w:tcPr>
          <w:p w14:paraId="7F88D811" w14:textId="77777777" w:rsidR="00B975F1" w:rsidRPr="006C6F80" w:rsidRDefault="00B975F1" w:rsidP="00B87104">
            <w:pPr>
              <w:jc w:val="center"/>
              <w:rPr>
                <w:color w:val="000000" w:themeColor="text1"/>
                <w:sz w:val="20"/>
                <w:szCs w:val="20"/>
              </w:rPr>
            </w:pPr>
            <w:r w:rsidRPr="006C6F80">
              <w:rPr>
                <w:color w:val="000000" w:themeColor="text1"/>
                <w:sz w:val="20"/>
                <w:szCs w:val="20"/>
              </w:rPr>
              <w:t> </w:t>
            </w:r>
          </w:p>
        </w:tc>
      </w:tr>
    </w:tbl>
    <w:p w14:paraId="125B7901" w14:textId="77777777" w:rsidR="00B975F1" w:rsidRPr="006C6F80" w:rsidRDefault="00B975F1" w:rsidP="00B975F1">
      <w:pPr>
        <w:ind w:left="-27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p&lt;0.01, ** p&lt;0.05, * p&lt;0.1</w:t>
      </w:r>
    </w:p>
    <w:p w14:paraId="5A3DCB51" w14:textId="77777777" w:rsidR="00B975F1" w:rsidRPr="006C6F80" w:rsidRDefault="00B975F1" w:rsidP="00B975F1">
      <w:pPr>
        <w:ind w:left="-270" w:right="-284"/>
        <w:jc w:val="both"/>
        <w:rPr>
          <w:rFonts w:asciiTheme="majorBidi" w:hAnsiTheme="majorBidi" w:cstheme="majorBidi"/>
          <w:color w:val="000000" w:themeColor="text1"/>
          <w:sz w:val="18"/>
          <w:szCs w:val="18"/>
        </w:rPr>
      </w:pPr>
      <w:r w:rsidRPr="006C6F80">
        <w:rPr>
          <w:rFonts w:asciiTheme="majorBidi" w:hAnsiTheme="majorBidi" w:cstheme="majorBidi"/>
          <w:i/>
          <w:iCs/>
          <w:color w:val="000000" w:themeColor="text1"/>
          <w:sz w:val="18"/>
          <w:szCs w:val="18"/>
        </w:rPr>
        <w:t xml:space="preserve">Notes. </w:t>
      </w:r>
      <w:r w:rsidRPr="006C6F80">
        <w:rPr>
          <w:rFonts w:asciiTheme="majorBidi" w:hAnsiTheme="majorBidi" w:cstheme="majorBidi"/>
          <w:color w:val="000000" w:themeColor="text1"/>
          <w:sz w:val="18"/>
          <w:szCs w:val="18"/>
        </w:rPr>
        <w:t>In columns (1) and (2), we report the mean of all variables used in the Propensity Score Matching model to predict the propensity score using the nearest neighbor estimator for the full sample of untreated individuals (stayers) and the full sample of treated individuals (returnees), before the matching. Column (3) is a t-test for whether the difference in means between the two groups is statistically significant before the matching. In columns (4) and (5), we report the mean of all variables used in the Propensity Score Matching model to predict the propensity score using the nearest neighbor estimator for the matched sample of untreated individuals (stayers) and the matched sample of treated individuals (returnees), after the matching. Column (6) is a t-test for whether the difference in means between the two groups is statistically significant after the matching.</w:t>
      </w:r>
    </w:p>
    <w:p w14:paraId="6415ED4B" w14:textId="77777777" w:rsidR="00B975F1" w:rsidRPr="006C6F80" w:rsidRDefault="00B975F1" w:rsidP="00D60817">
      <w:pPr>
        <w:tabs>
          <w:tab w:val="left" w:pos="9214"/>
          <w:tab w:val="left" w:pos="9270"/>
        </w:tabs>
        <w:ind w:left="1170" w:right="1156"/>
        <w:jc w:val="both"/>
        <w:rPr>
          <w:rFonts w:asciiTheme="majorBidi" w:hAnsiTheme="majorBidi" w:cstheme="majorBidi"/>
          <w:color w:val="000000" w:themeColor="text1"/>
          <w:sz w:val="18"/>
          <w:szCs w:val="18"/>
        </w:rPr>
      </w:pPr>
    </w:p>
    <w:p w14:paraId="0AE22128" w14:textId="77777777" w:rsidR="00CE2A1C" w:rsidRPr="006C6F80" w:rsidRDefault="00CE2A1C">
      <w:pPr>
        <w:spacing w:after="200" w:line="276" w:lineRule="auto"/>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br w:type="page"/>
      </w:r>
    </w:p>
    <w:tbl>
      <w:tblPr>
        <w:tblW w:w="7080" w:type="dxa"/>
        <w:jc w:val="center"/>
        <w:tblLook w:val="04A0" w:firstRow="1" w:lastRow="0" w:firstColumn="1" w:lastColumn="0" w:noHBand="0" w:noVBand="1"/>
      </w:tblPr>
      <w:tblGrid>
        <w:gridCol w:w="2254"/>
        <w:gridCol w:w="2413"/>
        <w:gridCol w:w="2413"/>
      </w:tblGrid>
      <w:tr w:rsidR="00CE2A1C" w:rsidRPr="006C6F80" w14:paraId="54AB2BB5" w14:textId="77777777" w:rsidTr="001D3A1C">
        <w:trPr>
          <w:trHeight w:val="560"/>
          <w:jc w:val="center"/>
        </w:trPr>
        <w:tc>
          <w:tcPr>
            <w:tcW w:w="7080" w:type="dxa"/>
            <w:gridSpan w:val="3"/>
            <w:tcBorders>
              <w:top w:val="nil"/>
              <w:left w:val="nil"/>
              <w:bottom w:val="single" w:sz="4" w:space="0" w:color="auto"/>
              <w:right w:val="nil"/>
            </w:tcBorders>
            <w:shd w:val="clear" w:color="auto" w:fill="auto"/>
            <w:vAlign w:val="center"/>
            <w:hideMark/>
          </w:tcPr>
          <w:p w14:paraId="201EB24E" w14:textId="188C3DD3" w:rsidR="00CE2A1C" w:rsidRPr="006C6F80" w:rsidRDefault="00CE2A1C" w:rsidP="001D3A1C">
            <w:pPr>
              <w:jc w:val="center"/>
              <w:rPr>
                <w:b/>
                <w:bCs/>
                <w:color w:val="000000" w:themeColor="text1"/>
                <w:sz w:val="20"/>
                <w:szCs w:val="20"/>
              </w:rPr>
            </w:pPr>
            <w:r w:rsidRPr="006C6F80">
              <w:rPr>
                <w:b/>
                <w:bCs/>
                <w:color w:val="000000" w:themeColor="text1"/>
                <w:sz w:val="20"/>
                <w:szCs w:val="20"/>
              </w:rPr>
              <w:lastRenderedPageBreak/>
              <w:t>Table A</w:t>
            </w:r>
            <w:r w:rsidR="00B975F1" w:rsidRPr="006C6F80">
              <w:rPr>
                <w:b/>
                <w:bCs/>
                <w:color w:val="000000" w:themeColor="text1"/>
                <w:sz w:val="20"/>
                <w:szCs w:val="20"/>
              </w:rPr>
              <w:t>4</w:t>
            </w:r>
            <w:r w:rsidRPr="006C6F80">
              <w:rPr>
                <w:b/>
                <w:bCs/>
                <w:color w:val="000000" w:themeColor="text1"/>
                <w:sz w:val="20"/>
                <w:szCs w:val="20"/>
              </w:rPr>
              <w:t>: Estimating the effect of return migration on labor force participation for the 1960s cohort</w:t>
            </w:r>
          </w:p>
        </w:tc>
      </w:tr>
      <w:tr w:rsidR="00CE2A1C" w:rsidRPr="006C6F80" w14:paraId="0938F1BE" w14:textId="77777777" w:rsidTr="001D3A1C">
        <w:trPr>
          <w:trHeight w:val="260"/>
          <w:jc w:val="center"/>
        </w:trPr>
        <w:tc>
          <w:tcPr>
            <w:tcW w:w="2254" w:type="dxa"/>
            <w:tcBorders>
              <w:top w:val="nil"/>
              <w:left w:val="nil"/>
              <w:bottom w:val="nil"/>
              <w:right w:val="nil"/>
            </w:tcBorders>
            <w:shd w:val="clear" w:color="auto" w:fill="auto"/>
            <w:noWrap/>
            <w:vAlign w:val="bottom"/>
            <w:hideMark/>
          </w:tcPr>
          <w:p w14:paraId="45B8A2A2" w14:textId="77777777" w:rsidR="00CE2A1C" w:rsidRPr="006C6F80" w:rsidRDefault="00CE2A1C" w:rsidP="001D3A1C">
            <w:pPr>
              <w:rPr>
                <w:color w:val="000000" w:themeColor="text1"/>
                <w:sz w:val="20"/>
                <w:szCs w:val="20"/>
              </w:rPr>
            </w:pPr>
            <w:r w:rsidRPr="006C6F80">
              <w:rPr>
                <w:color w:val="000000" w:themeColor="text1"/>
                <w:sz w:val="20"/>
                <w:szCs w:val="20"/>
              </w:rPr>
              <w:t> </w:t>
            </w:r>
          </w:p>
        </w:tc>
        <w:tc>
          <w:tcPr>
            <w:tcW w:w="2413" w:type="dxa"/>
            <w:tcBorders>
              <w:top w:val="nil"/>
              <w:left w:val="nil"/>
              <w:bottom w:val="nil"/>
              <w:right w:val="nil"/>
            </w:tcBorders>
            <w:shd w:val="clear" w:color="auto" w:fill="auto"/>
            <w:noWrap/>
            <w:vAlign w:val="bottom"/>
            <w:hideMark/>
          </w:tcPr>
          <w:p w14:paraId="5743FF8F" w14:textId="77777777" w:rsidR="00CE2A1C" w:rsidRPr="006C6F80" w:rsidRDefault="00CE2A1C" w:rsidP="001D3A1C">
            <w:pPr>
              <w:jc w:val="center"/>
              <w:rPr>
                <w:color w:val="000000" w:themeColor="text1"/>
                <w:sz w:val="20"/>
                <w:szCs w:val="20"/>
              </w:rPr>
            </w:pPr>
            <w:r w:rsidRPr="006C6F80">
              <w:rPr>
                <w:color w:val="000000" w:themeColor="text1"/>
                <w:sz w:val="20"/>
                <w:szCs w:val="20"/>
              </w:rPr>
              <w:t>(1)</w:t>
            </w:r>
          </w:p>
        </w:tc>
        <w:tc>
          <w:tcPr>
            <w:tcW w:w="2413" w:type="dxa"/>
            <w:tcBorders>
              <w:top w:val="nil"/>
              <w:left w:val="nil"/>
              <w:bottom w:val="nil"/>
              <w:right w:val="nil"/>
            </w:tcBorders>
            <w:shd w:val="clear" w:color="auto" w:fill="auto"/>
            <w:noWrap/>
            <w:vAlign w:val="bottom"/>
            <w:hideMark/>
          </w:tcPr>
          <w:p w14:paraId="66B00190" w14:textId="77777777" w:rsidR="00CE2A1C" w:rsidRPr="006C6F80" w:rsidRDefault="00CE2A1C" w:rsidP="001D3A1C">
            <w:pPr>
              <w:jc w:val="center"/>
              <w:rPr>
                <w:color w:val="000000" w:themeColor="text1"/>
                <w:sz w:val="20"/>
                <w:szCs w:val="20"/>
              </w:rPr>
            </w:pPr>
            <w:r w:rsidRPr="006C6F80">
              <w:rPr>
                <w:color w:val="000000" w:themeColor="text1"/>
                <w:sz w:val="20"/>
                <w:szCs w:val="20"/>
              </w:rPr>
              <w:t>(2)</w:t>
            </w:r>
          </w:p>
        </w:tc>
      </w:tr>
      <w:tr w:rsidR="00CE2A1C" w:rsidRPr="006C6F80" w14:paraId="77601D91" w14:textId="77777777" w:rsidTr="001D3A1C">
        <w:trPr>
          <w:trHeight w:val="260"/>
          <w:jc w:val="center"/>
        </w:trPr>
        <w:tc>
          <w:tcPr>
            <w:tcW w:w="2254" w:type="dxa"/>
            <w:tcBorders>
              <w:top w:val="nil"/>
              <w:left w:val="nil"/>
              <w:bottom w:val="nil"/>
              <w:right w:val="nil"/>
            </w:tcBorders>
            <w:shd w:val="clear" w:color="auto" w:fill="auto"/>
            <w:noWrap/>
            <w:vAlign w:val="bottom"/>
            <w:hideMark/>
          </w:tcPr>
          <w:p w14:paraId="689EC63C" w14:textId="77777777" w:rsidR="00CE2A1C" w:rsidRPr="006C6F80" w:rsidRDefault="00CE2A1C" w:rsidP="001D3A1C">
            <w:pPr>
              <w:jc w:val="center"/>
              <w:rPr>
                <w:color w:val="000000" w:themeColor="text1"/>
                <w:sz w:val="20"/>
                <w:szCs w:val="20"/>
              </w:rPr>
            </w:pPr>
          </w:p>
        </w:tc>
        <w:tc>
          <w:tcPr>
            <w:tcW w:w="2413" w:type="dxa"/>
            <w:tcBorders>
              <w:top w:val="nil"/>
              <w:left w:val="nil"/>
              <w:bottom w:val="nil"/>
              <w:right w:val="nil"/>
            </w:tcBorders>
            <w:shd w:val="clear" w:color="auto" w:fill="auto"/>
            <w:noWrap/>
            <w:vAlign w:val="bottom"/>
            <w:hideMark/>
          </w:tcPr>
          <w:p w14:paraId="2E27DF30" w14:textId="77777777" w:rsidR="00CE2A1C" w:rsidRPr="006C6F80" w:rsidRDefault="00CE2A1C" w:rsidP="001D3A1C">
            <w:pPr>
              <w:jc w:val="center"/>
              <w:rPr>
                <w:color w:val="000000" w:themeColor="text1"/>
                <w:sz w:val="20"/>
                <w:szCs w:val="20"/>
              </w:rPr>
            </w:pPr>
            <w:r w:rsidRPr="006C6F80">
              <w:rPr>
                <w:color w:val="000000" w:themeColor="text1"/>
                <w:sz w:val="20"/>
                <w:szCs w:val="20"/>
              </w:rPr>
              <w:t>Linear probability model</w:t>
            </w:r>
          </w:p>
        </w:tc>
        <w:tc>
          <w:tcPr>
            <w:tcW w:w="2413" w:type="dxa"/>
            <w:tcBorders>
              <w:top w:val="nil"/>
              <w:left w:val="nil"/>
              <w:bottom w:val="nil"/>
              <w:right w:val="nil"/>
            </w:tcBorders>
            <w:shd w:val="clear" w:color="auto" w:fill="auto"/>
            <w:noWrap/>
            <w:vAlign w:val="bottom"/>
            <w:hideMark/>
          </w:tcPr>
          <w:p w14:paraId="4AAA03C9" w14:textId="77777777" w:rsidR="00CE2A1C" w:rsidRPr="006C6F80" w:rsidRDefault="00CE2A1C" w:rsidP="001D3A1C">
            <w:pPr>
              <w:jc w:val="center"/>
              <w:rPr>
                <w:color w:val="000000" w:themeColor="text1"/>
                <w:sz w:val="20"/>
                <w:szCs w:val="20"/>
              </w:rPr>
            </w:pPr>
            <w:r w:rsidRPr="006C6F80">
              <w:rPr>
                <w:color w:val="000000" w:themeColor="text1"/>
                <w:sz w:val="20"/>
                <w:szCs w:val="20"/>
              </w:rPr>
              <w:t>IV-Regression</w:t>
            </w:r>
          </w:p>
        </w:tc>
      </w:tr>
      <w:tr w:rsidR="00CE2A1C" w:rsidRPr="006C6F80" w14:paraId="70E323B9" w14:textId="77777777" w:rsidTr="001D3A1C">
        <w:trPr>
          <w:trHeight w:val="260"/>
          <w:jc w:val="center"/>
        </w:trPr>
        <w:tc>
          <w:tcPr>
            <w:tcW w:w="2254" w:type="dxa"/>
            <w:tcBorders>
              <w:top w:val="nil"/>
              <w:left w:val="nil"/>
              <w:bottom w:val="nil"/>
              <w:right w:val="nil"/>
            </w:tcBorders>
            <w:shd w:val="clear" w:color="auto" w:fill="auto"/>
            <w:noWrap/>
            <w:vAlign w:val="bottom"/>
            <w:hideMark/>
          </w:tcPr>
          <w:p w14:paraId="3D5B44ED" w14:textId="77777777" w:rsidR="00CE2A1C" w:rsidRPr="006C6F80" w:rsidRDefault="00CE2A1C" w:rsidP="001D3A1C">
            <w:pPr>
              <w:rPr>
                <w:color w:val="000000" w:themeColor="text1"/>
                <w:sz w:val="20"/>
                <w:szCs w:val="20"/>
              </w:rPr>
            </w:pPr>
            <w:r w:rsidRPr="006C6F80">
              <w:rPr>
                <w:color w:val="000000" w:themeColor="text1"/>
                <w:sz w:val="20"/>
                <w:szCs w:val="20"/>
              </w:rPr>
              <w:t>VARIABLES</w:t>
            </w:r>
          </w:p>
        </w:tc>
        <w:tc>
          <w:tcPr>
            <w:tcW w:w="2413" w:type="dxa"/>
            <w:tcBorders>
              <w:top w:val="nil"/>
              <w:left w:val="nil"/>
              <w:bottom w:val="nil"/>
              <w:right w:val="nil"/>
            </w:tcBorders>
            <w:shd w:val="clear" w:color="auto" w:fill="auto"/>
            <w:noWrap/>
            <w:vAlign w:val="bottom"/>
            <w:hideMark/>
          </w:tcPr>
          <w:p w14:paraId="71701EAC" w14:textId="77777777" w:rsidR="00CE2A1C" w:rsidRPr="006C6F80" w:rsidRDefault="00CE2A1C" w:rsidP="001D3A1C">
            <w:pPr>
              <w:jc w:val="center"/>
              <w:rPr>
                <w:color w:val="000000" w:themeColor="text1"/>
                <w:sz w:val="20"/>
                <w:szCs w:val="20"/>
              </w:rPr>
            </w:pPr>
            <w:r w:rsidRPr="006C6F80">
              <w:rPr>
                <w:color w:val="000000" w:themeColor="text1"/>
                <w:sz w:val="20"/>
                <w:szCs w:val="20"/>
              </w:rPr>
              <w:t>Labor force participation</w:t>
            </w:r>
          </w:p>
        </w:tc>
        <w:tc>
          <w:tcPr>
            <w:tcW w:w="2413" w:type="dxa"/>
            <w:tcBorders>
              <w:top w:val="nil"/>
              <w:left w:val="nil"/>
              <w:bottom w:val="nil"/>
              <w:right w:val="nil"/>
            </w:tcBorders>
            <w:shd w:val="clear" w:color="auto" w:fill="auto"/>
            <w:noWrap/>
            <w:vAlign w:val="bottom"/>
            <w:hideMark/>
          </w:tcPr>
          <w:p w14:paraId="75559FDF" w14:textId="77777777" w:rsidR="00CE2A1C" w:rsidRPr="006C6F80" w:rsidRDefault="00CE2A1C" w:rsidP="001D3A1C">
            <w:pPr>
              <w:jc w:val="center"/>
              <w:rPr>
                <w:color w:val="000000" w:themeColor="text1"/>
                <w:sz w:val="20"/>
                <w:szCs w:val="20"/>
              </w:rPr>
            </w:pPr>
            <w:r w:rsidRPr="006C6F80">
              <w:rPr>
                <w:color w:val="000000" w:themeColor="text1"/>
                <w:sz w:val="20"/>
                <w:szCs w:val="20"/>
              </w:rPr>
              <w:t>Labor force participation</w:t>
            </w:r>
          </w:p>
        </w:tc>
      </w:tr>
      <w:tr w:rsidR="00CE2A1C" w:rsidRPr="006C6F80" w14:paraId="0D621D30" w14:textId="77777777" w:rsidTr="001D3A1C">
        <w:trPr>
          <w:trHeight w:val="260"/>
          <w:jc w:val="center"/>
        </w:trPr>
        <w:tc>
          <w:tcPr>
            <w:tcW w:w="2254" w:type="dxa"/>
            <w:tcBorders>
              <w:top w:val="single" w:sz="4" w:space="0" w:color="auto"/>
              <w:left w:val="nil"/>
              <w:bottom w:val="nil"/>
              <w:right w:val="nil"/>
            </w:tcBorders>
            <w:shd w:val="clear" w:color="auto" w:fill="auto"/>
            <w:noWrap/>
            <w:vAlign w:val="bottom"/>
            <w:hideMark/>
          </w:tcPr>
          <w:p w14:paraId="54DE57D5" w14:textId="77777777" w:rsidR="00CE2A1C" w:rsidRPr="006C6F80" w:rsidRDefault="00CE2A1C" w:rsidP="001D3A1C">
            <w:pPr>
              <w:rPr>
                <w:color w:val="000000" w:themeColor="text1"/>
                <w:sz w:val="20"/>
                <w:szCs w:val="20"/>
              </w:rPr>
            </w:pPr>
            <w:r w:rsidRPr="006C6F80">
              <w:rPr>
                <w:color w:val="000000" w:themeColor="text1"/>
                <w:sz w:val="20"/>
                <w:szCs w:val="20"/>
              </w:rPr>
              <w:t> </w:t>
            </w:r>
          </w:p>
        </w:tc>
        <w:tc>
          <w:tcPr>
            <w:tcW w:w="2413" w:type="dxa"/>
            <w:tcBorders>
              <w:top w:val="single" w:sz="4" w:space="0" w:color="auto"/>
              <w:left w:val="nil"/>
              <w:bottom w:val="nil"/>
              <w:right w:val="nil"/>
            </w:tcBorders>
            <w:shd w:val="clear" w:color="auto" w:fill="auto"/>
            <w:noWrap/>
            <w:vAlign w:val="bottom"/>
            <w:hideMark/>
          </w:tcPr>
          <w:p w14:paraId="70DC684F" w14:textId="77777777" w:rsidR="00CE2A1C" w:rsidRPr="006C6F80" w:rsidRDefault="00CE2A1C" w:rsidP="001D3A1C">
            <w:pPr>
              <w:jc w:val="center"/>
              <w:rPr>
                <w:color w:val="000000" w:themeColor="text1"/>
                <w:sz w:val="20"/>
                <w:szCs w:val="20"/>
              </w:rPr>
            </w:pPr>
            <w:r w:rsidRPr="006C6F80">
              <w:rPr>
                <w:color w:val="000000" w:themeColor="text1"/>
                <w:sz w:val="20"/>
                <w:szCs w:val="20"/>
              </w:rPr>
              <w:t> </w:t>
            </w:r>
          </w:p>
        </w:tc>
        <w:tc>
          <w:tcPr>
            <w:tcW w:w="2413" w:type="dxa"/>
            <w:tcBorders>
              <w:top w:val="single" w:sz="4" w:space="0" w:color="auto"/>
              <w:left w:val="nil"/>
              <w:bottom w:val="nil"/>
              <w:right w:val="nil"/>
            </w:tcBorders>
            <w:shd w:val="clear" w:color="auto" w:fill="auto"/>
            <w:noWrap/>
            <w:vAlign w:val="bottom"/>
            <w:hideMark/>
          </w:tcPr>
          <w:p w14:paraId="529A880C" w14:textId="77777777" w:rsidR="00CE2A1C" w:rsidRPr="006C6F80" w:rsidRDefault="00CE2A1C" w:rsidP="001D3A1C">
            <w:pPr>
              <w:jc w:val="center"/>
              <w:rPr>
                <w:color w:val="000000" w:themeColor="text1"/>
                <w:sz w:val="20"/>
                <w:szCs w:val="20"/>
              </w:rPr>
            </w:pPr>
            <w:r w:rsidRPr="006C6F80">
              <w:rPr>
                <w:color w:val="000000" w:themeColor="text1"/>
                <w:sz w:val="20"/>
                <w:szCs w:val="20"/>
              </w:rPr>
              <w:t> </w:t>
            </w:r>
          </w:p>
        </w:tc>
      </w:tr>
      <w:tr w:rsidR="00CE2A1C" w:rsidRPr="006C6F80" w14:paraId="56A0AD22" w14:textId="77777777" w:rsidTr="001D3A1C">
        <w:trPr>
          <w:trHeight w:val="260"/>
          <w:jc w:val="center"/>
        </w:trPr>
        <w:tc>
          <w:tcPr>
            <w:tcW w:w="2254" w:type="dxa"/>
            <w:tcBorders>
              <w:top w:val="nil"/>
              <w:left w:val="nil"/>
              <w:bottom w:val="nil"/>
              <w:right w:val="nil"/>
            </w:tcBorders>
            <w:shd w:val="clear" w:color="auto" w:fill="auto"/>
            <w:noWrap/>
            <w:vAlign w:val="bottom"/>
            <w:hideMark/>
          </w:tcPr>
          <w:p w14:paraId="08067256" w14:textId="77777777" w:rsidR="00CE2A1C" w:rsidRPr="006C6F80" w:rsidRDefault="00CE2A1C" w:rsidP="001D3A1C">
            <w:pPr>
              <w:rPr>
                <w:color w:val="000000" w:themeColor="text1"/>
                <w:sz w:val="20"/>
                <w:szCs w:val="20"/>
              </w:rPr>
            </w:pPr>
            <w:r w:rsidRPr="006C6F80">
              <w:rPr>
                <w:color w:val="000000" w:themeColor="text1"/>
                <w:sz w:val="20"/>
                <w:szCs w:val="20"/>
              </w:rPr>
              <w:t>Return migrant</w:t>
            </w:r>
          </w:p>
        </w:tc>
        <w:tc>
          <w:tcPr>
            <w:tcW w:w="2413" w:type="dxa"/>
            <w:tcBorders>
              <w:top w:val="nil"/>
              <w:left w:val="nil"/>
              <w:bottom w:val="nil"/>
              <w:right w:val="nil"/>
            </w:tcBorders>
            <w:shd w:val="clear" w:color="auto" w:fill="auto"/>
            <w:noWrap/>
            <w:vAlign w:val="bottom"/>
            <w:hideMark/>
          </w:tcPr>
          <w:p w14:paraId="7A5D140C" w14:textId="77777777" w:rsidR="00CE2A1C" w:rsidRPr="006C6F80" w:rsidRDefault="00CE2A1C" w:rsidP="001D3A1C">
            <w:pPr>
              <w:jc w:val="center"/>
              <w:rPr>
                <w:color w:val="000000" w:themeColor="text1"/>
                <w:sz w:val="20"/>
                <w:szCs w:val="20"/>
              </w:rPr>
            </w:pPr>
            <w:r w:rsidRPr="006C6F80">
              <w:rPr>
                <w:color w:val="000000" w:themeColor="text1"/>
                <w:sz w:val="20"/>
                <w:szCs w:val="20"/>
              </w:rPr>
              <w:t>-0.005</w:t>
            </w:r>
          </w:p>
        </w:tc>
        <w:tc>
          <w:tcPr>
            <w:tcW w:w="2413" w:type="dxa"/>
            <w:tcBorders>
              <w:top w:val="nil"/>
              <w:left w:val="nil"/>
              <w:bottom w:val="nil"/>
              <w:right w:val="nil"/>
            </w:tcBorders>
            <w:shd w:val="clear" w:color="auto" w:fill="auto"/>
            <w:noWrap/>
            <w:vAlign w:val="bottom"/>
            <w:hideMark/>
          </w:tcPr>
          <w:p w14:paraId="5FD70326" w14:textId="77777777" w:rsidR="00CE2A1C" w:rsidRPr="006C6F80" w:rsidRDefault="00CE2A1C" w:rsidP="001D3A1C">
            <w:pPr>
              <w:jc w:val="center"/>
              <w:rPr>
                <w:color w:val="000000" w:themeColor="text1"/>
                <w:sz w:val="20"/>
                <w:szCs w:val="20"/>
              </w:rPr>
            </w:pPr>
            <w:r w:rsidRPr="006C6F80">
              <w:rPr>
                <w:color w:val="000000" w:themeColor="text1"/>
                <w:sz w:val="20"/>
                <w:szCs w:val="20"/>
              </w:rPr>
              <w:t>-0.005</w:t>
            </w:r>
          </w:p>
        </w:tc>
      </w:tr>
      <w:tr w:rsidR="00CE2A1C" w:rsidRPr="006C6F80" w14:paraId="3A0221F0" w14:textId="77777777" w:rsidTr="001D3A1C">
        <w:trPr>
          <w:trHeight w:val="260"/>
          <w:jc w:val="center"/>
        </w:trPr>
        <w:tc>
          <w:tcPr>
            <w:tcW w:w="2254" w:type="dxa"/>
            <w:tcBorders>
              <w:top w:val="nil"/>
              <w:left w:val="nil"/>
              <w:bottom w:val="nil"/>
              <w:right w:val="nil"/>
            </w:tcBorders>
            <w:shd w:val="clear" w:color="auto" w:fill="auto"/>
            <w:noWrap/>
            <w:vAlign w:val="bottom"/>
            <w:hideMark/>
          </w:tcPr>
          <w:p w14:paraId="6D1ED381" w14:textId="77777777" w:rsidR="00CE2A1C" w:rsidRPr="006C6F80" w:rsidRDefault="00CE2A1C" w:rsidP="001D3A1C">
            <w:pPr>
              <w:jc w:val="center"/>
              <w:rPr>
                <w:color w:val="000000" w:themeColor="text1"/>
                <w:sz w:val="20"/>
                <w:szCs w:val="20"/>
              </w:rPr>
            </w:pPr>
          </w:p>
        </w:tc>
        <w:tc>
          <w:tcPr>
            <w:tcW w:w="2413" w:type="dxa"/>
            <w:tcBorders>
              <w:top w:val="nil"/>
              <w:left w:val="nil"/>
              <w:bottom w:val="nil"/>
              <w:right w:val="nil"/>
            </w:tcBorders>
            <w:shd w:val="clear" w:color="auto" w:fill="auto"/>
            <w:noWrap/>
            <w:vAlign w:val="bottom"/>
            <w:hideMark/>
          </w:tcPr>
          <w:p w14:paraId="52A4FA1E" w14:textId="77777777" w:rsidR="00CE2A1C" w:rsidRPr="006C6F80" w:rsidRDefault="00CE2A1C" w:rsidP="001D3A1C">
            <w:pPr>
              <w:jc w:val="center"/>
              <w:rPr>
                <w:color w:val="000000" w:themeColor="text1"/>
                <w:sz w:val="20"/>
                <w:szCs w:val="20"/>
              </w:rPr>
            </w:pPr>
            <w:r w:rsidRPr="006C6F80">
              <w:rPr>
                <w:color w:val="000000" w:themeColor="text1"/>
                <w:sz w:val="20"/>
                <w:szCs w:val="20"/>
              </w:rPr>
              <w:t>(0.008)</w:t>
            </w:r>
          </w:p>
        </w:tc>
        <w:tc>
          <w:tcPr>
            <w:tcW w:w="2413" w:type="dxa"/>
            <w:tcBorders>
              <w:top w:val="nil"/>
              <w:left w:val="nil"/>
              <w:bottom w:val="nil"/>
              <w:right w:val="nil"/>
            </w:tcBorders>
            <w:shd w:val="clear" w:color="auto" w:fill="auto"/>
            <w:noWrap/>
            <w:vAlign w:val="bottom"/>
            <w:hideMark/>
          </w:tcPr>
          <w:p w14:paraId="1E1C2D4A" w14:textId="77777777" w:rsidR="00CE2A1C" w:rsidRPr="006C6F80" w:rsidRDefault="00CE2A1C" w:rsidP="001D3A1C">
            <w:pPr>
              <w:jc w:val="center"/>
              <w:rPr>
                <w:color w:val="000000" w:themeColor="text1"/>
                <w:sz w:val="20"/>
                <w:szCs w:val="20"/>
              </w:rPr>
            </w:pPr>
            <w:r w:rsidRPr="006C6F80">
              <w:rPr>
                <w:color w:val="000000" w:themeColor="text1"/>
                <w:sz w:val="20"/>
                <w:szCs w:val="20"/>
              </w:rPr>
              <w:t>(0.008)</w:t>
            </w:r>
          </w:p>
        </w:tc>
      </w:tr>
      <w:tr w:rsidR="00CE2A1C" w:rsidRPr="006C6F80" w14:paraId="13E2F49E" w14:textId="77777777" w:rsidTr="001D3A1C">
        <w:trPr>
          <w:trHeight w:val="260"/>
          <w:jc w:val="center"/>
        </w:trPr>
        <w:tc>
          <w:tcPr>
            <w:tcW w:w="2254" w:type="dxa"/>
            <w:tcBorders>
              <w:top w:val="nil"/>
              <w:left w:val="nil"/>
              <w:bottom w:val="nil"/>
              <w:right w:val="nil"/>
            </w:tcBorders>
            <w:shd w:val="clear" w:color="auto" w:fill="auto"/>
            <w:noWrap/>
            <w:vAlign w:val="bottom"/>
            <w:hideMark/>
          </w:tcPr>
          <w:p w14:paraId="7EDCB48C" w14:textId="77777777" w:rsidR="00CE2A1C" w:rsidRPr="006C6F80" w:rsidRDefault="00CE2A1C" w:rsidP="001D3A1C">
            <w:pPr>
              <w:jc w:val="center"/>
              <w:rPr>
                <w:color w:val="000000" w:themeColor="text1"/>
                <w:sz w:val="20"/>
                <w:szCs w:val="20"/>
              </w:rPr>
            </w:pPr>
          </w:p>
        </w:tc>
        <w:tc>
          <w:tcPr>
            <w:tcW w:w="2413" w:type="dxa"/>
            <w:tcBorders>
              <w:top w:val="nil"/>
              <w:left w:val="nil"/>
              <w:bottom w:val="nil"/>
              <w:right w:val="nil"/>
            </w:tcBorders>
            <w:shd w:val="clear" w:color="auto" w:fill="auto"/>
            <w:noWrap/>
            <w:vAlign w:val="bottom"/>
            <w:hideMark/>
          </w:tcPr>
          <w:p w14:paraId="7407602F" w14:textId="77777777" w:rsidR="00CE2A1C" w:rsidRPr="006C6F80" w:rsidRDefault="00CE2A1C" w:rsidP="001D3A1C">
            <w:pPr>
              <w:rPr>
                <w:color w:val="000000" w:themeColor="text1"/>
                <w:sz w:val="20"/>
                <w:szCs w:val="20"/>
              </w:rPr>
            </w:pPr>
          </w:p>
        </w:tc>
        <w:tc>
          <w:tcPr>
            <w:tcW w:w="2413" w:type="dxa"/>
            <w:tcBorders>
              <w:top w:val="nil"/>
              <w:left w:val="nil"/>
              <w:bottom w:val="nil"/>
              <w:right w:val="nil"/>
            </w:tcBorders>
            <w:shd w:val="clear" w:color="auto" w:fill="auto"/>
            <w:noWrap/>
            <w:vAlign w:val="bottom"/>
            <w:hideMark/>
          </w:tcPr>
          <w:p w14:paraId="5A01D8B1" w14:textId="77777777" w:rsidR="00CE2A1C" w:rsidRPr="006C6F80" w:rsidRDefault="00CE2A1C" w:rsidP="001D3A1C">
            <w:pPr>
              <w:jc w:val="center"/>
              <w:rPr>
                <w:color w:val="000000" w:themeColor="text1"/>
                <w:sz w:val="20"/>
                <w:szCs w:val="20"/>
              </w:rPr>
            </w:pPr>
          </w:p>
        </w:tc>
      </w:tr>
      <w:tr w:rsidR="00CE2A1C" w:rsidRPr="006C6F80" w14:paraId="6EBCF04E" w14:textId="77777777" w:rsidTr="001D3A1C">
        <w:trPr>
          <w:trHeight w:val="260"/>
          <w:jc w:val="center"/>
        </w:trPr>
        <w:tc>
          <w:tcPr>
            <w:tcW w:w="2254" w:type="dxa"/>
            <w:tcBorders>
              <w:top w:val="nil"/>
              <w:left w:val="nil"/>
              <w:bottom w:val="nil"/>
              <w:right w:val="nil"/>
            </w:tcBorders>
            <w:shd w:val="clear" w:color="auto" w:fill="auto"/>
            <w:noWrap/>
            <w:vAlign w:val="bottom"/>
            <w:hideMark/>
          </w:tcPr>
          <w:p w14:paraId="04CEFD9C" w14:textId="77777777" w:rsidR="00CE2A1C" w:rsidRPr="006C6F80" w:rsidRDefault="00CE2A1C" w:rsidP="001D3A1C">
            <w:pPr>
              <w:rPr>
                <w:color w:val="000000" w:themeColor="text1"/>
                <w:sz w:val="20"/>
                <w:szCs w:val="20"/>
              </w:rPr>
            </w:pPr>
            <w:r w:rsidRPr="006C6F80">
              <w:rPr>
                <w:color w:val="000000" w:themeColor="text1"/>
                <w:sz w:val="20"/>
                <w:szCs w:val="20"/>
              </w:rPr>
              <w:t>Observations</w:t>
            </w:r>
          </w:p>
        </w:tc>
        <w:tc>
          <w:tcPr>
            <w:tcW w:w="2413" w:type="dxa"/>
            <w:tcBorders>
              <w:top w:val="nil"/>
              <w:left w:val="nil"/>
              <w:bottom w:val="nil"/>
              <w:right w:val="nil"/>
            </w:tcBorders>
            <w:shd w:val="clear" w:color="auto" w:fill="auto"/>
            <w:noWrap/>
            <w:vAlign w:val="bottom"/>
            <w:hideMark/>
          </w:tcPr>
          <w:p w14:paraId="13E40398" w14:textId="77777777" w:rsidR="00CE2A1C" w:rsidRPr="006C6F80" w:rsidRDefault="00CE2A1C" w:rsidP="001D3A1C">
            <w:pPr>
              <w:jc w:val="center"/>
              <w:rPr>
                <w:color w:val="000000" w:themeColor="text1"/>
                <w:sz w:val="20"/>
                <w:szCs w:val="20"/>
              </w:rPr>
            </w:pPr>
            <w:r w:rsidRPr="006C6F80">
              <w:rPr>
                <w:color w:val="000000" w:themeColor="text1"/>
                <w:sz w:val="20"/>
                <w:szCs w:val="20"/>
              </w:rPr>
              <w:t>1,796</w:t>
            </w:r>
          </w:p>
        </w:tc>
        <w:tc>
          <w:tcPr>
            <w:tcW w:w="2413" w:type="dxa"/>
            <w:tcBorders>
              <w:top w:val="nil"/>
              <w:left w:val="nil"/>
              <w:bottom w:val="nil"/>
              <w:right w:val="nil"/>
            </w:tcBorders>
            <w:shd w:val="clear" w:color="auto" w:fill="auto"/>
            <w:noWrap/>
            <w:vAlign w:val="bottom"/>
            <w:hideMark/>
          </w:tcPr>
          <w:p w14:paraId="2D6AA15B" w14:textId="77777777" w:rsidR="00CE2A1C" w:rsidRPr="006C6F80" w:rsidRDefault="00CE2A1C" w:rsidP="001D3A1C">
            <w:pPr>
              <w:jc w:val="center"/>
              <w:rPr>
                <w:color w:val="000000" w:themeColor="text1"/>
                <w:sz w:val="20"/>
                <w:szCs w:val="20"/>
              </w:rPr>
            </w:pPr>
            <w:r w:rsidRPr="006C6F80">
              <w:rPr>
                <w:color w:val="000000" w:themeColor="text1"/>
                <w:sz w:val="20"/>
                <w:szCs w:val="20"/>
              </w:rPr>
              <w:t>1,796</w:t>
            </w:r>
          </w:p>
        </w:tc>
      </w:tr>
      <w:tr w:rsidR="00CE2A1C" w:rsidRPr="006C6F80" w14:paraId="5D090205" w14:textId="77777777" w:rsidTr="001D3A1C">
        <w:trPr>
          <w:trHeight w:val="260"/>
          <w:jc w:val="center"/>
        </w:trPr>
        <w:tc>
          <w:tcPr>
            <w:tcW w:w="2254" w:type="dxa"/>
            <w:tcBorders>
              <w:top w:val="nil"/>
              <w:left w:val="nil"/>
              <w:bottom w:val="nil"/>
              <w:right w:val="nil"/>
            </w:tcBorders>
            <w:shd w:val="clear" w:color="auto" w:fill="auto"/>
            <w:noWrap/>
            <w:vAlign w:val="bottom"/>
            <w:hideMark/>
          </w:tcPr>
          <w:p w14:paraId="615BCEC7" w14:textId="77777777" w:rsidR="00CE2A1C" w:rsidRPr="006C6F80" w:rsidRDefault="00CE2A1C" w:rsidP="001D3A1C">
            <w:pPr>
              <w:rPr>
                <w:color w:val="000000" w:themeColor="text1"/>
                <w:sz w:val="20"/>
                <w:szCs w:val="20"/>
              </w:rPr>
            </w:pPr>
            <w:r w:rsidRPr="006C6F80">
              <w:rPr>
                <w:color w:val="000000" w:themeColor="text1"/>
                <w:sz w:val="20"/>
                <w:szCs w:val="20"/>
              </w:rPr>
              <w:t>R-squared</w:t>
            </w:r>
          </w:p>
        </w:tc>
        <w:tc>
          <w:tcPr>
            <w:tcW w:w="2413" w:type="dxa"/>
            <w:tcBorders>
              <w:top w:val="nil"/>
              <w:left w:val="nil"/>
              <w:bottom w:val="nil"/>
              <w:right w:val="nil"/>
            </w:tcBorders>
            <w:shd w:val="clear" w:color="auto" w:fill="auto"/>
            <w:noWrap/>
            <w:vAlign w:val="bottom"/>
            <w:hideMark/>
          </w:tcPr>
          <w:p w14:paraId="1A189E9B" w14:textId="77777777" w:rsidR="00CE2A1C" w:rsidRPr="006C6F80" w:rsidRDefault="00CE2A1C" w:rsidP="001D3A1C">
            <w:pPr>
              <w:jc w:val="center"/>
              <w:rPr>
                <w:color w:val="000000" w:themeColor="text1"/>
                <w:sz w:val="20"/>
                <w:szCs w:val="20"/>
              </w:rPr>
            </w:pPr>
            <w:r w:rsidRPr="006C6F80">
              <w:rPr>
                <w:color w:val="000000" w:themeColor="text1"/>
                <w:sz w:val="20"/>
                <w:szCs w:val="20"/>
              </w:rPr>
              <w:t>0.030</w:t>
            </w:r>
          </w:p>
        </w:tc>
        <w:tc>
          <w:tcPr>
            <w:tcW w:w="2413" w:type="dxa"/>
            <w:tcBorders>
              <w:top w:val="nil"/>
              <w:left w:val="nil"/>
              <w:bottom w:val="nil"/>
              <w:right w:val="nil"/>
            </w:tcBorders>
            <w:shd w:val="clear" w:color="auto" w:fill="auto"/>
            <w:noWrap/>
            <w:vAlign w:val="bottom"/>
            <w:hideMark/>
          </w:tcPr>
          <w:p w14:paraId="3D8972E1" w14:textId="77777777" w:rsidR="00CE2A1C" w:rsidRPr="006C6F80" w:rsidRDefault="00CE2A1C" w:rsidP="001D3A1C">
            <w:pPr>
              <w:jc w:val="center"/>
              <w:rPr>
                <w:color w:val="000000" w:themeColor="text1"/>
                <w:sz w:val="20"/>
                <w:szCs w:val="20"/>
              </w:rPr>
            </w:pPr>
            <w:r w:rsidRPr="006C6F80">
              <w:rPr>
                <w:color w:val="000000" w:themeColor="text1"/>
                <w:sz w:val="20"/>
                <w:szCs w:val="20"/>
              </w:rPr>
              <w:t>0.030</w:t>
            </w:r>
          </w:p>
        </w:tc>
      </w:tr>
      <w:tr w:rsidR="00CE2A1C" w:rsidRPr="006C6F80" w14:paraId="086A9843" w14:textId="77777777" w:rsidTr="001D3A1C">
        <w:trPr>
          <w:trHeight w:val="260"/>
          <w:jc w:val="center"/>
        </w:trPr>
        <w:tc>
          <w:tcPr>
            <w:tcW w:w="2254" w:type="dxa"/>
            <w:tcBorders>
              <w:top w:val="nil"/>
              <w:left w:val="nil"/>
              <w:bottom w:val="nil"/>
              <w:right w:val="nil"/>
            </w:tcBorders>
            <w:shd w:val="clear" w:color="auto" w:fill="auto"/>
            <w:noWrap/>
            <w:vAlign w:val="bottom"/>
            <w:hideMark/>
          </w:tcPr>
          <w:p w14:paraId="3D9F6351" w14:textId="77777777" w:rsidR="00CE2A1C" w:rsidRPr="006C6F80" w:rsidRDefault="00CE2A1C" w:rsidP="001D3A1C">
            <w:pPr>
              <w:rPr>
                <w:color w:val="000000" w:themeColor="text1"/>
                <w:sz w:val="20"/>
                <w:szCs w:val="20"/>
              </w:rPr>
            </w:pPr>
            <w:r w:rsidRPr="006C6F80">
              <w:rPr>
                <w:color w:val="000000" w:themeColor="text1"/>
                <w:sz w:val="20"/>
                <w:szCs w:val="20"/>
              </w:rPr>
              <w:t>Individual controls</w:t>
            </w:r>
          </w:p>
        </w:tc>
        <w:tc>
          <w:tcPr>
            <w:tcW w:w="2413" w:type="dxa"/>
            <w:tcBorders>
              <w:top w:val="nil"/>
              <w:left w:val="nil"/>
              <w:bottom w:val="nil"/>
              <w:right w:val="nil"/>
            </w:tcBorders>
            <w:shd w:val="clear" w:color="auto" w:fill="auto"/>
            <w:noWrap/>
            <w:vAlign w:val="bottom"/>
            <w:hideMark/>
          </w:tcPr>
          <w:p w14:paraId="26B1EAAD" w14:textId="77777777" w:rsidR="00CE2A1C" w:rsidRPr="006C6F80" w:rsidRDefault="00CE2A1C" w:rsidP="001D3A1C">
            <w:pPr>
              <w:jc w:val="center"/>
              <w:rPr>
                <w:color w:val="000000" w:themeColor="text1"/>
                <w:sz w:val="20"/>
                <w:szCs w:val="20"/>
              </w:rPr>
            </w:pPr>
            <w:r w:rsidRPr="006C6F80">
              <w:rPr>
                <w:color w:val="000000" w:themeColor="text1"/>
                <w:sz w:val="20"/>
                <w:szCs w:val="20"/>
              </w:rPr>
              <w:t>YES</w:t>
            </w:r>
          </w:p>
        </w:tc>
        <w:tc>
          <w:tcPr>
            <w:tcW w:w="2413" w:type="dxa"/>
            <w:tcBorders>
              <w:top w:val="nil"/>
              <w:left w:val="nil"/>
              <w:bottom w:val="nil"/>
              <w:right w:val="nil"/>
            </w:tcBorders>
            <w:shd w:val="clear" w:color="auto" w:fill="auto"/>
            <w:noWrap/>
            <w:vAlign w:val="bottom"/>
            <w:hideMark/>
          </w:tcPr>
          <w:p w14:paraId="1284B6EF" w14:textId="77777777" w:rsidR="00CE2A1C" w:rsidRPr="006C6F80" w:rsidRDefault="00CE2A1C" w:rsidP="001D3A1C">
            <w:pPr>
              <w:jc w:val="center"/>
              <w:rPr>
                <w:color w:val="000000" w:themeColor="text1"/>
                <w:sz w:val="20"/>
                <w:szCs w:val="20"/>
              </w:rPr>
            </w:pPr>
            <w:r w:rsidRPr="006C6F80">
              <w:rPr>
                <w:color w:val="000000" w:themeColor="text1"/>
                <w:sz w:val="20"/>
                <w:szCs w:val="20"/>
              </w:rPr>
              <w:t>YES</w:t>
            </w:r>
          </w:p>
        </w:tc>
      </w:tr>
      <w:tr w:rsidR="00CE2A1C" w:rsidRPr="006C6F80" w14:paraId="16A1EEFD" w14:textId="77777777" w:rsidTr="001D3A1C">
        <w:trPr>
          <w:trHeight w:val="260"/>
          <w:jc w:val="center"/>
        </w:trPr>
        <w:tc>
          <w:tcPr>
            <w:tcW w:w="2254" w:type="dxa"/>
            <w:tcBorders>
              <w:top w:val="nil"/>
              <w:left w:val="nil"/>
              <w:bottom w:val="nil"/>
              <w:right w:val="nil"/>
            </w:tcBorders>
            <w:shd w:val="clear" w:color="auto" w:fill="auto"/>
            <w:noWrap/>
            <w:vAlign w:val="bottom"/>
            <w:hideMark/>
          </w:tcPr>
          <w:p w14:paraId="7C6006F9" w14:textId="77777777" w:rsidR="00CE2A1C" w:rsidRPr="006C6F80" w:rsidRDefault="00CE2A1C" w:rsidP="001D3A1C">
            <w:pPr>
              <w:rPr>
                <w:color w:val="000000" w:themeColor="text1"/>
                <w:sz w:val="20"/>
                <w:szCs w:val="20"/>
              </w:rPr>
            </w:pPr>
            <w:r w:rsidRPr="006C6F80">
              <w:rPr>
                <w:color w:val="000000" w:themeColor="text1"/>
                <w:sz w:val="20"/>
                <w:szCs w:val="20"/>
              </w:rPr>
              <w:t>First job characteristics</w:t>
            </w:r>
          </w:p>
        </w:tc>
        <w:tc>
          <w:tcPr>
            <w:tcW w:w="2413" w:type="dxa"/>
            <w:tcBorders>
              <w:top w:val="nil"/>
              <w:left w:val="nil"/>
              <w:bottom w:val="nil"/>
              <w:right w:val="nil"/>
            </w:tcBorders>
            <w:shd w:val="clear" w:color="auto" w:fill="auto"/>
            <w:noWrap/>
            <w:vAlign w:val="bottom"/>
            <w:hideMark/>
          </w:tcPr>
          <w:p w14:paraId="0AF866FC" w14:textId="77777777" w:rsidR="00CE2A1C" w:rsidRPr="006C6F80" w:rsidRDefault="00CE2A1C" w:rsidP="001D3A1C">
            <w:pPr>
              <w:jc w:val="center"/>
              <w:rPr>
                <w:color w:val="000000" w:themeColor="text1"/>
                <w:sz w:val="20"/>
                <w:szCs w:val="20"/>
              </w:rPr>
            </w:pPr>
            <w:r w:rsidRPr="006C6F80">
              <w:rPr>
                <w:color w:val="000000" w:themeColor="text1"/>
                <w:sz w:val="20"/>
                <w:szCs w:val="20"/>
              </w:rPr>
              <w:t>YES</w:t>
            </w:r>
          </w:p>
        </w:tc>
        <w:tc>
          <w:tcPr>
            <w:tcW w:w="2413" w:type="dxa"/>
            <w:tcBorders>
              <w:top w:val="nil"/>
              <w:left w:val="nil"/>
              <w:bottom w:val="nil"/>
              <w:right w:val="nil"/>
            </w:tcBorders>
            <w:shd w:val="clear" w:color="auto" w:fill="auto"/>
            <w:noWrap/>
            <w:vAlign w:val="bottom"/>
            <w:hideMark/>
          </w:tcPr>
          <w:p w14:paraId="76939401" w14:textId="77777777" w:rsidR="00CE2A1C" w:rsidRPr="006C6F80" w:rsidRDefault="00CE2A1C" w:rsidP="001D3A1C">
            <w:pPr>
              <w:jc w:val="center"/>
              <w:rPr>
                <w:color w:val="000000" w:themeColor="text1"/>
                <w:sz w:val="20"/>
                <w:szCs w:val="20"/>
              </w:rPr>
            </w:pPr>
            <w:r w:rsidRPr="006C6F80">
              <w:rPr>
                <w:color w:val="000000" w:themeColor="text1"/>
                <w:sz w:val="20"/>
                <w:szCs w:val="20"/>
              </w:rPr>
              <w:t>YES</w:t>
            </w:r>
          </w:p>
        </w:tc>
      </w:tr>
      <w:tr w:rsidR="00CE2A1C" w:rsidRPr="006C6F80" w14:paraId="002F6942" w14:textId="77777777" w:rsidTr="001D3A1C">
        <w:trPr>
          <w:trHeight w:val="260"/>
          <w:jc w:val="center"/>
        </w:trPr>
        <w:tc>
          <w:tcPr>
            <w:tcW w:w="2254" w:type="dxa"/>
            <w:tcBorders>
              <w:top w:val="nil"/>
              <w:left w:val="nil"/>
              <w:bottom w:val="single" w:sz="4" w:space="0" w:color="auto"/>
              <w:right w:val="nil"/>
            </w:tcBorders>
            <w:shd w:val="clear" w:color="auto" w:fill="auto"/>
            <w:noWrap/>
            <w:vAlign w:val="bottom"/>
            <w:hideMark/>
          </w:tcPr>
          <w:p w14:paraId="5D5A26DE" w14:textId="77777777" w:rsidR="00CE2A1C" w:rsidRPr="006C6F80" w:rsidRDefault="00CE2A1C" w:rsidP="001D3A1C">
            <w:pPr>
              <w:rPr>
                <w:color w:val="000000" w:themeColor="text1"/>
                <w:sz w:val="20"/>
                <w:szCs w:val="20"/>
              </w:rPr>
            </w:pPr>
            <w:r w:rsidRPr="006C6F80">
              <w:rPr>
                <w:color w:val="000000" w:themeColor="text1"/>
                <w:sz w:val="20"/>
                <w:szCs w:val="20"/>
              </w:rPr>
              <w:t>First occupation</w:t>
            </w:r>
          </w:p>
        </w:tc>
        <w:tc>
          <w:tcPr>
            <w:tcW w:w="2413" w:type="dxa"/>
            <w:tcBorders>
              <w:top w:val="nil"/>
              <w:left w:val="nil"/>
              <w:bottom w:val="single" w:sz="4" w:space="0" w:color="auto"/>
              <w:right w:val="nil"/>
            </w:tcBorders>
            <w:shd w:val="clear" w:color="auto" w:fill="auto"/>
            <w:noWrap/>
            <w:vAlign w:val="bottom"/>
            <w:hideMark/>
          </w:tcPr>
          <w:p w14:paraId="6691ED03" w14:textId="77777777" w:rsidR="00CE2A1C" w:rsidRPr="006C6F80" w:rsidRDefault="00CE2A1C" w:rsidP="001D3A1C">
            <w:pPr>
              <w:jc w:val="center"/>
              <w:rPr>
                <w:color w:val="000000" w:themeColor="text1"/>
                <w:sz w:val="20"/>
                <w:szCs w:val="20"/>
              </w:rPr>
            </w:pPr>
            <w:r w:rsidRPr="006C6F80">
              <w:rPr>
                <w:color w:val="000000" w:themeColor="text1"/>
                <w:sz w:val="20"/>
                <w:szCs w:val="20"/>
              </w:rPr>
              <w:t>YES</w:t>
            </w:r>
          </w:p>
        </w:tc>
        <w:tc>
          <w:tcPr>
            <w:tcW w:w="2413" w:type="dxa"/>
            <w:tcBorders>
              <w:top w:val="nil"/>
              <w:left w:val="nil"/>
              <w:bottom w:val="single" w:sz="4" w:space="0" w:color="auto"/>
              <w:right w:val="nil"/>
            </w:tcBorders>
            <w:shd w:val="clear" w:color="auto" w:fill="auto"/>
            <w:noWrap/>
            <w:vAlign w:val="bottom"/>
            <w:hideMark/>
          </w:tcPr>
          <w:p w14:paraId="073E682E" w14:textId="77777777" w:rsidR="00CE2A1C" w:rsidRPr="006C6F80" w:rsidRDefault="00CE2A1C" w:rsidP="001D3A1C">
            <w:pPr>
              <w:jc w:val="center"/>
              <w:rPr>
                <w:color w:val="000000" w:themeColor="text1"/>
                <w:sz w:val="20"/>
                <w:szCs w:val="20"/>
              </w:rPr>
            </w:pPr>
            <w:r w:rsidRPr="006C6F80">
              <w:rPr>
                <w:color w:val="000000" w:themeColor="text1"/>
                <w:sz w:val="20"/>
                <w:szCs w:val="20"/>
              </w:rPr>
              <w:t>YES</w:t>
            </w:r>
          </w:p>
        </w:tc>
      </w:tr>
    </w:tbl>
    <w:p w14:paraId="35E5B376" w14:textId="77777777" w:rsidR="00CE2A1C" w:rsidRPr="006C6F80" w:rsidRDefault="00CE2A1C" w:rsidP="00CE2A1C">
      <w:pPr>
        <w:ind w:left="1710" w:right="54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Robust standard errors in parentheses </w:t>
      </w:r>
    </w:p>
    <w:p w14:paraId="48228F55" w14:textId="77777777" w:rsidR="00CE2A1C" w:rsidRPr="006C6F80" w:rsidRDefault="00CE2A1C" w:rsidP="00CE2A1C">
      <w:pPr>
        <w:ind w:left="1710" w:right="54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 p&lt;0.01, ** p&lt;0.05, * p&lt;0.1 </w:t>
      </w:r>
    </w:p>
    <w:p w14:paraId="4DB58078" w14:textId="18E2D8B5" w:rsidR="00500927" w:rsidRPr="006C6F80" w:rsidRDefault="00CE2A1C" w:rsidP="00CE2A1C">
      <w:pPr>
        <w:ind w:left="1710" w:right="1696"/>
        <w:jc w:val="both"/>
        <w:rPr>
          <w:rFonts w:asciiTheme="majorBidi" w:hAnsiTheme="majorBidi" w:cstheme="majorBidi"/>
          <w:color w:val="000000" w:themeColor="text1"/>
          <w:sz w:val="18"/>
          <w:szCs w:val="18"/>
        </w:rPr>
      </w:pPr>
      <w:r w:rsidRPr="006C6F80">
        <w:rPr>
          <w:rFonts w:asciiTheme="majorBidi" w:hAnsiTheme="majorBidi" w:cstheme="majorBidi"/>
          <w:i/>
          <w:iCs/>
          <w:color w:val="000000" w:themeColor="text1"/>
          <w:sz w:val="18"/>
          <w:szCs w:val="18"/>
        </w:rPr>
        <w:t>Notes.</w:t>
      </w:r>
      <w:r w:rsidRPr="006C6F80">
        <w:rPr>
          <w:rFonts w:asciiTheme="majorBidi" w:hAnsiTheme="majorBidi" w:cstheme="majorBidi"/>
          <w:color w:val="000000" w:themeColor="text1"/>
          <w:sz w:val="18"/>
          <w:szCs w:val="18"/>
        </w:rPr>
        <w:t xml:space="preserve"> Coefficient estimates are reported for linear probability and IV regression models. The dependent variable is a dummy variable indicator for labor force participation in primary job (reference 3 months).</w:t>
      </w:r>
    </w:p>
    <w:p w14:paraId="399D1F19" w14:textId="00E6FD11" w:rsidR="00500927" w:rsidRPr="006C6F80" w:rsidRDefault="00500927" w:rsidP="0071010E">
      <w:pPr>
        <w:spacing w:after="200" w:line="276" w:lineRule="auto"/>
        <w:rPr>
          <w:rFonts w:asciiTheme="majorBidi" w:hAnsiTheme="majorBidi" w:cstheme="majorBidi"/>
          <w:color w:val="000000" w:themeColor="text1"/>
          <w:sz w:val="18"/>
          <w:szCs w:val="18"/>
        </w:rPr>
      </w:pPr>
    </w:p>
    <w:p w14:paraId="5CFC00FC" w14:textId="1BB482C2" w:rsidR="00F01332" w:rsidRPr="006C6F80" w:rsidRDefault="007F7302" w:rsidP="00990FD1">
      <w:pPr>
        <w:ind w:right="1246"/>
        <w:jc w:val="both"/>
        <w:rPr>
          <w:color w:val="000000" w:themeColor="text1"/>
        </w:rPr>
      </w:pPr>
      <w:r w:rsidRPr="006C6F80">
        <w:rPr>
          <w:color w:val="000000" w:themeColor="text1"/>
        </w:rPr>
        <w:br w:type="page"/>
      </w:r>
    </w:p>
    <w:p w14:paraId="696980B8" w14:textId="77777777" w:rsidR="00C12259" w:rsidRPr="006C6F80" w:rsidRDefault="00C12259" w:rsidP="00964AB7">
      <w:pPr>
        <w:jc w:val="both"/>
        <w:rPr>
          <w:rFonts w:asciiTheme="majorBidi" w:hAnsiTheme="majorBidi" w:cstheme="majorBidi"/>
          <w:color w:val="000000" w:themeColor="text1"/>
          <w:sz w:val="18"/>
          <w:szCs w:val="18"/>
        </w:rPr>
        <w:sectPr w:rsidR="00C12259" w:rsidRPr="006C6F80" w:rsidSect="00C12259">
          <w:headerReference w:type="default" r:id="rId15"/>
          <w:pgSz w:w="12240" w:h="15840"/>
          <w:pgMar w:top="907" w:right="907" w:bottom="907" w:left="907" w:header="720" w:footer="720" w:gutter="0"/>
          <w:cols w:space="720"/>
          <w:docGrid w:linePitch="360"/>
        </w:sectPr>
      </w:pPr>
    </w:p>
    <w:p w14:paraId="59EF401F" w14:textId="7BA7A4C8" w:rsidR="006B1313" w:rsidRPr="006C6F80" w:rsidRDefault="006B1313" w:rsidP="00964AB7">
      <w:pPr>
        <w:jc w:val="both"/>
        <w:rPr>
          <w:rFonts w:asciiTheme="majorBidi" w:hAnsiTheme="majorBidi" w:cstheme="majorBidi"/>
          <w:color w:val="000000" w:themeColor="text1"/>
          <w:sz w:val="18"/>
          <w:szCs w:val="18"/>
        </w:rPr>
      </w:pPr>
    </w:p>
    <w:tbl>
      <w:tblPr>
        <w:tblW w:w="14164" w:type="dxa"/>
        <w:tblLayout w:type="fixed"/>
        <w:tblLook w:val="04A0" w:firstRow="1" w:lastRow="0" w:firstColumn="1" w:lastColumn="0" w:noHBand="0" w:noVBand="1"/>
      </w:tblPr>
      <w:tblGrid>
        <w:gridCol w:w="2624"/>
        <w:gridCol w:w="766"/>
        <w:gridCol w:w="2550"/>
        <w:gridCol w:w="1890"/>
        <w:gridCol w:w="1800"/>
        <w:gridCol w:w="1800"/>
        <w:gridCol w:w="1800"/>
        <w:gridCol w:w="784"/>
        <w:gridCol w:w="82"/>
        <w:gridCol w:w="68"/>
      </w:tblGrid>
      <w:tr w:rsidR="00AD55AA" w:rsidRPr="006C6F80" w14:paraId="66F3A059" w14:textId="77777777" w:rsidTr="00AD55AA">
        <w:trPr>
          <w:gridAfter w:val="2"/>
          <w:wAfter w:w="150" w:type="dxa"/>
          <w:trHeight w:val="260"/>
        </w:trPr>
        <w:tc>
          <w:tcPr>
            <w:tcW w:w="14014" w:type="dxa"/>
            <w:gridSpan w:val="8"/>
            <w:tcBorders>
              <w:top w:val="nil"/>
              <w:left w:val="nil"/>
              <w:bottom w:val="single" w:sz="4" w:space="0" w:color="auto"/>
              <w:right w:val="nil"/>
            </w:tcBorders>
            <w:shd w:val="clear" w:color="auto" w:fill="auto"/>
            <w:noWrap/>
            <w:vAlign w:val="center"/>
            <w:hideMark/>
          </w:tcPr>
          <w:p w14:paraId="473C14B8" w14:textId="61DB22E1" w:rsidR="00AD55AA" w:rsidRPr="006C6F80" w:rsidRDefault="00AD55AA" w:rsidP="00AD55AA">
            <w:pPr>
              <w:jc w:val="center"/>
              <w:rPr>
                <w:b/>
                <w:bCs/>
                <w:color w:val="000000" w:themeColor="text1"/>
                <w:sz w:val="20"/>
                <w:szCs w:val="20"/>
              </w:rPr>
            </w:pPr>
            <w:r w:rsidRPr="006C6F80">
              <w:rPr>
                <w:b/>
                <w:bCs/>
                <w:color w:val="000000" w:themeColor="text1"/>
                <w:sz w:val="20"/>
                <w:szCs w:val="20"/>
              </w:rPr>
              <w:t>Table A</w:t>
            </w:r>
            <w:r w:rsidR="00B975F1" w:rsidRPr="006C6F80">
              <w:rPr>
                <w:b/>
                <w:bCs/>
                <w:color w:val="000000" w:themeColor="text1"/>
                <w:sz w:val="20"/>
                <w:szCs w:val="20"/>
              </w:rPr>
              <w:t>5</w:t>
            </w:r>
            <w:r w:rsidRPr="006C6F80">
              <w:rPr>
                <w:b/>
                <w:bCs/>
                <w:color w:val="000000" w:themeColor="text1"/>
                <w:sz w:val="20"/>
                <w:szCs w:val="20"/>
              </w:rPr>
              <w:t xml:space="preserve">: Internal mobility matrices for </w:t>
            </w:r>
            <w:r w:rsidR="002450D3" w:rsidRPr="006C6F80">
              <w:rPr>
                <w:b/>
                <w:bCs/>
                <w:color w:val="000000" w:themeColor="text1"/>
                <w:sz w:val="20"/>
                <w:szCs w:val="20"/>
              </w:rPr>
              <w:t>s</w:t>
            </w:r>
            <w:r w:rsidRPr="006C6F80">
              <w:rPr>
                <w:b/>
                <w:bCs/>
                <w:color w:val="000000" w:themeColor="text1"/>
                <w:sz w:val="20"/>
                <w:szCs w:val="20"/>
              </w:rPr>
              <w:t xml:space="preserve">tayers </w:t>
            </w:r>
            <w:r w:rsidR="0063134E" w:rsidRPr="006C6F80">
              <w:rPr>
                <w:b/>
                <w:bCs/>
                <w:color w:val="000000" w:themeColor="text1"/>
                <w:sz w:val="20"/>
                <w:szCs w:val="20"/>
              </w:rPr>
              <w:t>and</w:t>
            </w:r>
            <w:r w:rsidRPr="006C6F80">
              <w:rPr>
                <w:b/>
                <w:bCs/>
                <w:color w:val="000000" w:themeColor="text1"/>
                <w:sz w:val="20"/>
                <w:szCs w:val="20"/>
              </w:rPr>
              <w:t xml:space="preserve"> </w:t>
            </w:r>
            <w:r w:rsidR="002450D3" w:rsidRPr="006C6F80">
              <w:rPr>
                <w:b/>
                <w:bCs/>
                <w:color w:val="000000" w:themeColor="text1"/>
                <w:sz w:val="20"/>
                <w:szCs w:val="20"/>
              </w:rPr>
              <w:t>r</w:t>
            </w:r>
            <w:r w:rsidRPr="006C6F80">
              <w:rPr>
                <w:b/>
                <w:bCs/>
                <w:color w:val="000000" w:themeColor="text1"/>
                <w:sz w:val="20"/>
                <w:szCs w:val="20"/>
              </w:rPr>
              <w:t>eturnees in the 1960s cohort</w:t>
            </w:r>
          </w:p>
        </w:tc>
      </w:tr>
      <w:tr w:rsidR="00AD55AA" w:rsidRPr="006C6F80" w14:paraId="40391AD1" w14:textId="77777777" w:rsidTr="00AD55AA">
        <w:trPr>
          <w:gridAfter w:val="1"/>
          <w:wAfter w:w="68" w:type="dxa"/>
          <w:trHeight w:val="260"/>
        </w:trPr>
        <w:tc>
          <w:tcPr>
            <w:tcW w:w="2624" w:type="dxa"/>
            <w:tcBorders>
              <w:top w:val="nil"/>
              <w:left w:val="nil"/>
              <w:bottom w:val="single" w:sz="4" w:space="0" w:color="auto"/>
              <w:right w:val="nil"/>
            </w:tcBorders>
            <w:shd w:val="clear" w:color="auto" w:fill="auto"/>
            <w:noWrap/>
            <w:vAlign w:val="center"/>
            <w:hideMark/>
          </w:tcPr>
          <w:p w14:paraId="2B5B5771" w14:textId="77777777" w:rsidR="00AD55AA" w:rsidRPr="006C6F80" w:rsidRDefault="00AD55AA" w:rsidP="00AD55AA">
            <w:pPr>
              <w:rPr>
                <w:color w:val="000000" w:themeColor="text1"/>
                <w:sz w:val="20"/>
                <w:szCs w:val="20"/>
              </w:rPr>
            </w:pPr>
            <w:r w:rsidRPr="006C6F80">
              <w:rPr>
                <w:color w:val="000000" w:themeColor="text1"/>
                <w:sz w:val="20"/>
                <w:szCs w:val="20"/>
              </w:rPr>
              <w:t> </w:t>
            </w:r>
          </w:p>
        </w:tc>
        <w:tc>
          <w:tcPr>
            <w:tcW w:w="11472" w:type="dxa"/>
            <w:gridSpan w:val="8"/>
            <w:tcBorders>
              <w:top w:val="nil"/>
              <w:left w:val="nil"/>
              <w:bottom w:val="single" w:sz="4" w:space="0" w:color="auto"/>
              <w:right w:val="nil"/>
            </w:tcBorders>
            <w:shd w:val="clear" w:color="auto" w:fill="auto"/>
            <w:noWrap/>
            <w:vAlign w:val="center"/>
            <w:hideMark/>
          </w:tcPr>
          <w:p w14:paraId="6A364D1C" w14:textId="77777777" w:rsidR="00AD55AA" w:rsidRPr="006C6F80" w:rsidRDefault="00AD55AA" w:rsidP="00AD55AA">
            <w:pPr>
              <w:jc w:val="center"/>
              <w:rPr>
                <w:color w:val="000000" w:themeColor="text1"/>
                <w:sz w:val="20"/>
                <w:szCs w:val="20"/>
              </w:rPr>
            </w:pPr>
            <w:r w:rsidRPr="006C6F80">
              <w:rPr>
                <w:color w:val="000000" w:themeColor="text1"/>
                <w:sz w:val="20"/>
                <w:szCs w:val="20"/>
              </w:rPr>
              <w:t>Current geographical region</w:t>
            </w:r>
          </w:p>
        </w:tc>
      </w:tr>
      <w:tr w:rsidR="00AD55AA" w:rsidRPr="006C6F80" w14:paraId="0A8D98EF" w14:textId="77777777" w:rsidTr="00AD55AA">
        <w:trPr>
          <w:trHeight w:val="260"/>
        </w:trPr>
        <w:tc>
          <w:tcPr>
            <w:tcW w:w="2624" w:type="dxa"/>
            <w:tcBorders>
              <w:top w:val="nil"/>
              <w:left w:val="nil"/>
              <w:bottom w:val="single" w:sz="4" w:space="0" w:color="auto"/>
              <w:right w:val="nil"/>
            </w:tcBorders>
            <w:shd w:val="clear" w:color="auto" w:fill="auto"/>
            <w:noWrap/>
            <w:vAlign w:val="center"/>
            <w:hideMark/>
          </w:tcPr>
          <w:p w14:paraId="69C69020" w14:textId="77777777" w:rsidR="00AD55AA" w:rsidRPr="006C6F80" w:rsidRDefault="00AD55AA" w:rsidP="00AD55AA">
            <w:pPr>
              <w:rPr>
                <w:color w:val="000000" w:themeColor="text1"/>
                <w:sz w:val="20"/>
                <w:szCs w:val="20"/>
              </w:rPr>
            </w:pPr>
            <w:r w:rsidRPr="006C6F80">
              <w:rPr>
                <w:color w:val="000000" w:themeColor="text1"/>
                <w:sz w:val="20"/>
                <w:szCs w:val="20"/>
              </w:rPr>
              <w:t>Geographical region at birth</w:t>
            </w:r>
          </w:p>
        </w:tc>
        <w:tc>
          <w:tcPr>
            <w:tcW w:w="766" w:type="dxa"/>
            <w:tcBorders>
              <w:top w:val="nil"/>
              <w:left w:val="nil"/>
              <w:bottom w:val="single" w:sz="4" w:space="0" w:color="auto"/>
              <w:right w:val="nil"/>
            </w:tcBorders>
            <w:shd w:val="clear" w:color="auto" w:fill="auto"/>
            <w:noWrap/>
            <w:vAlign w:val="center"/>
            <w:hideMark/>
          </w:tcPr>
          <w:p w14:paraId="0194116B" w14:textId="77777777" w:rsidR="00AD55AA" w:rsidRPr="006C6F80" w:rsidRDefault="00AD55AA" w:rsidP="00AD55AA">
            <w:pPr>
              <w:jc w:val="center"/>
              <w:rPr>
                <w:color w:val="000000" w:themeColor="text1"/>
                <w:sz w:val="20"/>
                <w:szCs w:val="20"/>
              </w:rPr>
            </w:pPr>
            <w:r w:rsidRPr="006C6F80">
              <w:rPr>
                <w:color w:val="000000" w:themeColor="text1"/>
                <w:sz w:val="20"/>
                <w:szCs w:val="20"/>
              </w:rPr>
              <w:t>Cairo</w:t>
            </w:r>
          </w:p>
        </w:tc>
        <w:tc>
          <w:tcPr>
            <w:tcW w:w="2550" w:type="dxa"/>
            <w:tcBorders>
              <w:top w:val="nil"/>
              <w:left w:val="nil"/>
              <w:bottom w:val="single" w:sz="4" w:space="0" w:color="auto"/>
              <w:right w:val="nil"/>
            </w:tcBorders>
            <w:shd w:val="clear" w:color="auto" w:fill="auto"/>
            <w:noWrap/>
            <w:vAlign w:val="center"/>
            <w:hideMark/>
          </w:tcPr>
          <w:p w14:paraId="286CD7AA" w14:textId="77777777" w:rsidR="00AD55AA" w:rsidRPr="006C6F80" w:rsidRDefault="00AD55AA" w:rsidP="00AD55AA">
            <w:pPr>
              <w:jc w:val="center"/>
              <w:rPr>
                <w:color w:val="000000" w:themeColor="text1"/>
                <w:sz w:val="20"/>
                <w:szCs w:val="20"/>
              </w:rPr>
            </w:pPr>
            <w:r w:rsidRPr="006C6F80">
              <w:rPr>
                <w:color w:val="000000" w:themeColor="text1"/>
                <w:sz w:val="20"/>
                <w:szCs w:val="20"/>
              </w:rPr>
              <w:t>Alexandria and Canal cities</w:t>
            </w:r>
          </w:p>
        </w:tc>
        <w:tc>
          <w:tcPr>
            <w:tcW w:w="1890" w:type="dxa"/>
            <w:tcBorders>
              <w:top w:val="nil"/>
              <w:left w:val="nil"/>
              <w:bottom w:val="single" w:sz="4" w:space="0" w:color="auto"/>
              <w:right w:val="nil"/>
            </w:tcBorders>
            <w:shd w:val="clear" w:color="auto" w:fill="auto"/>
            <w:noWrap/>
            <w:vAlign w:val="center"/>
            <w:hideMark/>
          </w:tcPr>
          <w:p w14:paraId="729A6B86" w14:textId="77777777" w:rsidR="00AD55AA" w:rsidRPr="006C6F80" w:rsidRDefault="00AD55AA" w:rsidP="00AD55AA">
            <w:pPr>
              <w:jc w:val="center"/>
              <w:rPr>
                <w:color w:val="000000" w:themeColor="text1"/>
                <w:sz w:val="20"/>
                <w:szCs w:val="20"/>
              </w:rPr>
            </w:pPr>
            <w:r w:rsidRPr="006C6F80">
              <w:rPr>
                <w:color w:val="000000" w:themeColor="text1"/>
                <w:sz w:val="20"/>
                <w:szCs w:val="20"/>
              </w:rPr>
              <w:t>Urban Lower Egypt</w:t>
            </w:r>
          </w:p>
        </w:tc>
        <w:tc>
          <w:tcPr>
            <w:tcW w:w="1800" w:type="dxa"/>
            <w:tcBorders>
              <w:top w:val="nil"/>
              <w:left w:val="nil"/>
              <w:bottom w:val="single" w:sz="4" w:space="0" w:color="auto"/>
              <w:right w:val="nil"/>
            </w:tcBorders>
            <w:shd w:val="clear" w:color="auto" w:fill="auto"/>
            <w:noWrap/>
            <w:vAlign w:val="center"/>
            <w:hideMark/>
          </w:tcPr>
          <w:p w14:paraId="291BE60F" w14:textId="77777777" w:rsidR="00AD55AA" w:rsidRPr="006C6F80" w:rsidRDefault="00AD55AA" w:rsidP="00AD55AA">
            <w:pPr>
              <w:jc w:val="center"/>
              <w:rPr>
                <w:color w:val="000000" w:themeColor="text1"/>
                <w:sz w:val="20"/>
                <w:szCs w:val="20"/>
              </w:rPr>
            </w:pPr>
            <w:r w:rsidRPr="006C6F80">
              <w:rPr>
                <w:color w:val="000000" w:themeColor="text1"/>
                <w:sz w:val="20"/>
                <w:szCs w:val="20"/>
              </w:rPr>
              <w:t>Urban Upper Egypt</w:t>
            </w:r>
          </w:p>
        </w:tc>
        <w:tc>
          <w:tcPr>
            <w:tcW w:w="1800" w:type="dxa"/>
            <w:tcBorders>
              <w:top w:val="nil"/>
              <w:left w:val="nil"/>
              <w:bottom w:val="single" w:sz="4" w:space="0" w:color="auto"/>
              <w:right w:val="nil"/>
            </w:tcBorders>
            <w:shd w:val="clear" w:color="auto" w:fill="auto"/>
            <w:noWrap/>
            <w:vAlign w:val="center"/>
            <w:hideMark/>
          </w:tcPr>
          <w:p w14:paraId="2E559EBF" w14:textId="77777777" w:rsidR="00AD55AA" w:rsidRPr="006C6F80" w:rsidRDefault="00AD55AA" w:rsidP="00AD55AA">
            <w:pPr>
              <w:jc w:val="center"/>
              <w:rPr>
                <w:color w:val="000000" w:themeColor="text1"/>
                <w:sz w:val="20"/>
                <w:szCs w:val="20"/>
              </w:rPr>
            </w:pPr>
            <w:r w:rsidRPr="006C6F80">
              <w:rPr>
                <w:color w:val="000000" w:themeColor="text1"/>
                <w:sz w:val="20"/>
                <w:szCs w:val="20"/>
              </w:rPr>
              <w:t>Rural Lower Egypt</w:t>
            </w:r>
          </w:p>
        </w:tc>
        <w:tc>
          <w:tcPr>
            <w:tcW w:w="1800" w:type="dxa"/>
            <w:tcBorders>
              <w:top w:val="nil"/>
              <w:left w:val="nil"/>
              <w:bottom w:val="single" w:sz="4" w:space="0" w:color="auto"/>
              <w:right w:val="nil"/>
            </w:tcBorders>
            <w:shd w:val="clear" w:color="auto" w:fill="auto"/>
            <w:noWrap/>
            <w:vAlign w:val="center"/>
            <w:hideMark/>
          </w:tcPr>
          <w:p w14:paraId="25B7E24D" w14:textId="77777777" w:rsidR="00AD55AA" w:rsidRPr="006C6F80" w:rsidRDefault="00AD55AA" w:rsidP="00AD55AA">
            <w:pPr>
              <w:jc w:val="center"/>
              <w:rPr>
                <w:color w:val="000000" w:themeColor="text1"/>
                <w:sz w:val="20"/>
                <w:szCs w:val="20"/>
              </w:rPr>
            </w:pPr>
            <w:r w:rsidRPr="006C6F80">
              <w:rPr>
                <w:color w:val="000000" w:themeColor="text1"/>
                <w:sz w:val="20"/>
                <w:szCs w:val="20"/>
              </w:rPr>
              <w:t>Rural Upper Egypt</w:t>
            </w:r>
          </w:p>
        </w:tc>
        <w:tc>
          <w:tcPr>
            <w:tcW w:w="934" w:type="dxa"/>
            <w:gridSpan w:val="3"/>
            <w:tcBorders>
              <w:top w:val="nil"/>
              <w:left w:val="nil"/>
              <w:bottom w:val="single" w:sz="4" w:space="0" w:color="auto"/>
              <w:right w:val="nil"/>
            </w:tcBorders>
            <w:shd w:val="clear" w:color="auto" w:fill="auto"/>
            <w:noWrap/>
            <w:vAlign w:val="center"/>
            <w:hideMark/>
          </w:tcPr>
          <w:p w14:paraId="1A716071" w14:textId="77777777" w:rsidR="00AD55AA" w:rsidRPr="006C6F80" w:rsidRDefault="00AD55AA" w:rsidP="00AD55AA">
            <w:pPr>
              <w:jc w:val="center"/>
              <w:rPr>
                <w:color w:val="000000" w:themeColor="text1"/>
                <w:sz w:val="20"/>
                <w:szCs w:val="20"/>
              </w:rPr>
            </w:pPr>
            <w:r w:rsidRPr="006C6F80">
              <w:rPr>
                <w:color w:val="000000" w:themeColor="text1"/>
                <w:sz w:val="20"/>
                <w:szCs w:val="20"/>
              </w:rPr>
              <w:t>Total</w:t>
            </w:r>
          </w:p>
        </w:tc>
      </w:tr>
      <w:tr w:rsidR="00AD55AA" w:rsidRPr="006C6F80" w14:paraId="6A44612D" w14:textId="77777777" w:rsidTr="00AD55AA">
        <w:trPr>
          <w:gridAfter w:val="2"/>
          <w:wAfter w:w="150" w:type="dxa"/>
          <w:trHeight w:val="260"/>
        </w:trPr>
        <w:tc>
          <w:tcPr>
            <w:tcW w:w="14014" w:type="dxa"/>
            <w:gridSpan w:val="8"/>
            <w:tcBorders>
              <w:top w:val="nil"/>
              <w:left w:val="nil"/>
              <w:bottom w:val="single" w:sz="4" w:space="0" w:color="auto"/>
              <w:right w:val="nil"/>
            </w:tcBorders>
            <w:shd w:val="clear" w:color="auto" w:fill="auto"/>
            <w:noWrap/>
            <w:vAlign w:val="center"/>
            <w:hideMark/>
          </w:tcPr>
          <w:p w14:paraId="7530C00B" w14:textId="77777777" w:rsidR="00AD55AA" w:rsidRPr="006C6F80" w:rsidRDefault="00AD55AA" w:rsidP="00AD55AA">
            <w:pPr>
              <w:jc w:val="center"/>
              <w:rPr>
                <w:b/>
                <w:bCs/>
                <w:color w:val="000000" w:themeColor="text1"/>
                <w:sz w:val="20"/>
                <w:szCs w:val="20"/>
              </w:rPr>
            </w:pPr>
            <w:r w:rsidRPr="006C6F80">
              <w:rPr>
                <w:b/>
                <w:bCs/>
                <w:color w:val="000000" w:themeColor="text1"/>
                <w:sz w:val="20"/>
                <w:szCs w:val="20"/>
              </w:rPr>
              <w:t>Panel A: Stayers (N=1,416)</w:t>
            </w:r>
          </w:p>
        </w:tc>
      </w:tr>
      <w:tr w:rsidR="00AD55AA" w:rsidRPr="006C6F80" w14:paraId="0DA9D383" w14:textId="77777777" w:rsidTr="00AD55AA">
        <w:trPr>
          <w:trHeight w:val="260"/>
        </w:trPr>
        <w:tc>
          <w:tcPr>
            <w:tcW w:w="2624" w:type="dxa"/>
            <w:tcBorders>
              <w:top w:val="nil"/>
              <w:left w:val="nil"/>
              <w:bottom w:val="nil"/>
              <w:right w:val="nil"/>
            </w:tcBorders>
            <w:shd w:val="clear" w:color="auto" w:fill="auto"/>
            <w:noWrap/>
            <w:vAlign w:val="center"/>
            <w:hideMark/>
          </w:tcPr>
          <w:p w14:paraId="5C50ECDD" w14:textId="77777777" w:rsidR="00AD55AA" w:rsidRPr="006C6F80" w:rsidRDefault="00AD55AA" w:rsidP="00AD55AA">
            <w:pPr>
              <w:rPr>
                <w:color w:val="000000" w:themeColor="text1"/>
                <w:sz w:val="20"/>
                <w:szCs w:val="20"/>
              </w:rPr>
            </w:pPr>
            <w:r w:rsidRPr="006C6F80">
              <w:rPr>
                <w:color w:val="000000" w:themeColor="text1"/>
                <w:sz w:val="20"/>
                <w:szCs w:val="20"/>
              </w:rPr>
              <w:t>Cairo</w:t>
            </w:r>
          </w:p>
        </w:tc>
        <w:tc>
          <w:tcPr>
            <w:tcW w:w="766" w:type="dxa"/>
            <w:tcBorders>
              <w:top w:val="nil"/>
              <w:left w:val="nil"/>
              <w:bottom w:val="nil"/>
              <w:right w:val="nil"/>
            </w:tcBorders>
            <w:shd w:val="clear" w:color="auto" w:fill="auto"/>
            <w:noWrap/>
            <w:vAlign w:val="center"/>
            <w:hideMark/>
          </w:tcPr>
          <w:p w14:paraId="279BBB3F" w14:textId="77777777" w:rsidR="00AD55AA" w:rsidRPr="006C6F80" w:rsidRDefault="00AD55AA" w:rsidP="00AD55AA">
            <w:pPr>
              <w:jc w:val="center"/>
              <w:rPr>
                <w:color w:val="000000" w:themeColor="text1"/>
                <w:sz w:val="20"/>
                <w:szCs w:val="20"/>
              </w:rPr>
            </w:pPr>
            <w:r w:rsidRPr="006C6F80">
              <w:rPr>
                <w:color w:val="000000" w:themeColor="text1"/>
                <w:sz w:val="20"/>
                <w:szCs w:val="20"/>
              </w:rPr>
              <w:t>11.370</w:t>
            </w:r>
          </w:p>
        </w:tc>
        <w:tc>
          <w:tcPr>
            <w:tcW w:w="2550" w:type="dxa"/>
            <w:tcBorders>
              <w:top w:val="nil"/>
              <w:left w:val="nil"/>
              <w:bottom w:val="nil"/>
              <w:right w:val="nil"/>
            </w:tcBorders>
            <w:shd w:val="clear" w:color="auto" w:fill="auto"/>
            <w:noWrap/>
            <w:vAlign w:val="center"/>
            <w:hideMark/>
          </w:tcPr>
          <w:p w14:paraId="1C6B1503" w14:textId="77777777" w:rsidR="00AD55AA" w:rsidRPr="006C6F80" w:rsidRDefault="00AD55AA" w:rsidP="00AD55AA">
            <w:pPr>
              <w:jc w:val="center"/>
              <w:rPr>
                <w:color w:val="000000" w:themeColor="text1"/>
                <w:sz w:val="20"/>
                <w:szCs w:val="20"/>
              </w:rPr>
            </w:pPr>
            <w:r w:rsidRPr="006C6F80">
              <w:rPr>
                <w:color w:val="000000" w:themeColor="text1"/>
                <w:sz w:val="20"/>
                <w:szCs w:val="20"/>
              </w:rPr>
              <w:t>0.282</w:t>
            </w:r>
          </w:p>
        </w:tc>
        <w:tc>
          <w:tcPr>
            <w:tcW w:w="1890" w:type="dxa"/>
            <w:tcBorders>
              <w:top w:val="nil"/>
              <w:left w:val="nil"/>
              <w:bottom w:val="nil"/>
              <w:right w:val="nil"/>
            </w:tcBorders>
            <w:shd w:val="clear" w:color="auto" w:fill="auto"/>
            <w:noWrap/>
            <w:vAlign w:val="center"/>
            <w:hideMark/>
          </w:tcPr>
          <w:p w14:paraId="5311E59C" w14:textId="77777777" w:rsidR="00AD55AA" w:rsidRPr="006C6F80" w:rsidRDefault="00AD55AA" w:rsidP="00AD55AA">
            <w:pPr>
              <w:jc w:val="center"/>
              <w:rPr>
                <w:color w:val="000000" w:themeColor="text1"/>
                <w:sz w:val="20"/>
                <w:szCs w:val="20"/>
              </w:rPr>
            </w:pPr>
            <w:r w:rsidRPr="006C6F80">
              <w:rPr>
                <w:color w:val="000000" w:themeColor="text1"/>
                <w:sz w:val="20"/>
                <w:szCs w:val="20"/>
              </w:rPr>
              <w:t>0.071</w:t>
            </w:r>
          </w:p>
        </w:tc>
        <w:tc>
          <w:tcPr>
            <w:tcW w:w="1800" w:type="dxa"/>
            <w:tcBorders>
              <w:top w:val="nil"/>
              <w:left w:val="nil"/>
              <w:bottom w:val="nil"/>
              <w:right w:val="nil"/>
            </w:tcBorders>
            <w:shd w:val="clear" w:color="auto" w:fill="auto"/>
            <w:noWrap/>
            <w:vAlign w:val="center"/>
            <w:hideMark/>
          </w:tcPr>
          <w:p w14:paraId="70A2837C" w14:textId="77777777" w:rsidR="00AD55AA" w:rsidRPr="006C6F80" w:rsidRDefault="00AD55AA" w:rsidP="00AD55AA">
            <w:pPr>
              <w:jc w:val="center"/>
              <w:rPr>
                <w:color w:val="000000" w:themeColor="text1"/>
                <w:sz w:val="20"/>
                <w:szCs w:val="20"/>
              </w:rPr>
            </w:pPr>
            <w:r w:rsidRPr="006C6F80">
              <w:rPr>
                <w:color w:val="000000" w:themeColor="text1"/>
                <w:sz w:val="20"/>
                <w:szCs w:val="20"/>
              </w:rPr>
              <w:t>0.141</w:t>
            </w:r>
          </w:p>
        </w:tc>
        <w:tc>
          <w:tcPr>
            <w:tcW w:w="1800" w:type="dxa"/>
            <w:tcBorders>
              <w:top w:val="nil"/>
              <w:left w:val="nil"/>
              <w:bottom w:val="nil"/>
              <w:right w:val="nil"/>
            </w:tcBorders>
            <w:shd w:val="clear" w:color="auto" w:fill="auto"/>
            <w:noWrap/>
            <w:vAlign w:val="center"/>
            <w:hideMark/>
          </w:tcPr>
          <w:p w14:paraId="259B28E1" w14:textId="77777777" w:rsidR="00AD55AA" w:rsidRPr="006C6F80" w:rsidRDefault="00AD55AA" w:rsidP="00AD55AA">
            <w:pPr>
              <w:jc w:val="center"/>
              <w:rPr>
                <w:color w:val="000000" w:themeColor="text1"/>
                <w:sz w:val="20"/>
                <w:szCs w:val="20"/>
              </w:rPr>
            </w:pPr>
            <w:r w:rsidRPr="006C6F80">
              <w:rPr>
                <w:color w:val="000000" w:themeColor="text1"/>
                <w:sz w:val="20"/>
                <w:szCs w:val="20"/>
              </w:rPr>
              <w:t>0.212</w:t>
            </w:r>
          </w:p>
        </w:tc>
        <w:tc>
          <w:tcPr>
            <w:tcW w:w="1800" w:type="dxa"/>
            <w:tcBorders>
              <w:top w:val="nil"/>
              <w:left w:val="nil"/>
              <w:bottom w:val="nil"/>
              <w:right w:val="nil"/>
            </w:tcBorders>
            <w:shd w:val="clear" w:color="auto" w:fill="auto"/>
            <w:noWrap/>
            <w:vAlign w:val="center"/>
            <w:hideMark/>
          </w:tcPr>
          <w:p w14:paraId="4C7C0AE4" w14:textId="77777777" w:rsidR="00AD55AA" w:rsidRPr="006C6F80" w:rsidRDefault="00AD55AA" w:rsidP="00AD55AA">
            <w:pPr>
              <w:jc w:val="center"/>
              <w:rPr>
                <w:color w:val="000000" w:themeColor="text1"/>
                <w:sz w:val="20"/>
                <w:szCs w:val="20"/>
              </w:rPr>
            </w:pPr>
            <w:r w:rsidRPr="006C6F80">
              <w:rPr>
                <w:color w:val="000000" w:themeColor="text1"/>
                <w:sz w:val="20"/>
                <w:szCs w:val="20"/>
              </w:rPr>
              <w:t>0.212</w:t>
            </w:r>
          </w:p>
        </w:tc>
        <w:tc>
          <w:tcPr>
            <w:tcW w:w="934" w:type="dxa"/>
            <w:gridSpan w:val="3"/>
            <w:tcBorders>
              <w:top w:val="nil"/>
              <w:left w:val="nil"/>
              <w:bottom w:val="nil"/>
              <w:right w:val="nil"/>
            </w:tcBorders>
            <w:shd w:val="clear" w:color="auto" w:fill="auto"/>
            <w:noWrap/>
            <w:vAlign w:val="center"/>
            <w:hideMark/>
          </w:tcPr>
          <w:p w14:paraId="4DBAADC9" w14:textId="77777777" w:rsidR="00AD55AA" w:rsidRPr="006C6F80" w:rsidRDefault="00AD55AA" w:rsidP="00AD55AA">
            <w:pPr>
              <w:jc w:val="center"/>
              <w:rPr>
                <w:color w:val="000000" w:themeColor="text1"/>
                <w:sz w:val="20"/>
                <w:szCs w:val="20"/>
              </w:rPr>
            </w:pPr>
            <w:r w:rsidRPr="006C6F80">
              <w:rPr>
                <w:color w:val="000000" w:themeColor="text1"/>
                <w:sz w:val="20"/>
                <w:szCs w:val="20"/>
              </w:rPr>
              <w:t>12.288</w:t>
            </w:r>
          </w:p>
        </w:tc>
      </w:tr>
      <w:tr w:rsidR="00AD55AA" w:rsidRPr="006C6F80" w14:paraId="1742699A" w14:textId="77777777" w:rsidTr="00AD55AA">
        <w:trPr>
          <w:trHeight w:val="260"/>
        </w:trPr>
        <w:tc>
          <w:tcPr>
            <w:tcW w:w="2624" w:type="dxa"/>
            <w:tcBorders>
              <w:top w:val="nil"/>
              <w:left w:val="nil"/>
              <w:bottom w:val="nil"/>
              <w:right w:val="nil"/>
            </w:tcBorders>
            <w:shd w:val="clear" w:color="auto" w:fill="auto"/>
            <w:noWrap/>
            <w:vAlign w:val="center"/>
            <w:hideMark/>
          </w:tcPr>
          <w:p w14:paraId="4723F3C0" w14:textId="77777777" w:rsidR="00AD55AA" w:rsidRPr="006C6F80" w:rsidRDefault="00AD55AA" w:rsidP="00AD55AA">
            <w:pPr>
              <w:rPr>
                <w:color w:val="000000" w:themeColor="text1"/>
                <w:sz w:val="20"/>
                <w:szCs w:val="20"/>
              </w:rPr>
            </w:pPr>
            <w:r w:rsidRPr="006C6F80">
              <w:rPr>
                <w:color w:val="000000" w:themeColor="text1"/>
                <w:sz w:val="20"/>
                <w:szCs w:val="20"/>
              </w:rPr>
              <w:t>Alexandria and Canal cities</w:t>
            </w:r>
          </w:p>
        </w:tc>
        <w:tc>
          <w:tcPr>
            <w:tcW w:w="766" w:type="dxa"/>
            <w:tcBorders>
              <w:top w:val="nil"/>
              <w:left w:val="nil"/>
              <w:bottom w:val="nil"/>
              <w:right w:val="nil"/>
            </w:tcBorders>
            <w:shd w:val="clear" w:color="auto" w:fill="auto"/>
            <w:noWrap/>
            <w:vAlign w:val="center"/>
            <w:hideMark/>
          </w:tcPr>
          <w:p w14:paraId="494AD834" w14:textId="77777777" w:rsidR="00AD55AA" w:rsidRPr="006C6F80" w:rsidRDefault="00AD55AA" w:rsidP="00AD55AA">
            <w:pPr>
              <w:jc w:val="center"/>
              <w:rPr>
                <w:color w:val="000000" w:themeColor="text1"/>
                <w:sz w:val="20"/>
                <w:szCs w:val="20"/>
              </w:rPr>
            </w:pPr>
            <w:r w:rsidRPr="006C6F80">
              <w:rPr>
                <w:color w:val="000000" w:themeColor="text1"/>
                <w:sz w:val="20"/>
                <w:szCs w:val="20"/>
              </w:rPr>
              <w:t>0.141</w:t>
            </w:r>
          </w:p>
        </w:tc>
        <w:tc>
          <w:tcPr>
            <w:tcW w:w="2550" w:type="dxa"/>
            <w:tcBorders>
              <w:top w:val="nil"/>
              <w:left w:val="nil"/>
              <w:bottom w:val="nil"/>
              <w:right w:val="nil"/>
            </w:tcBorders>
            <w:shd w:val="clear" w:color="auto" w:fill="auto"/>
            <w:noWrap/>
            <w:vAlign w:val="center"/>
            <w:hideMark/>
          </w:tcPr>
          <w:p w14:paraId="5755195B" w14:textId="77777777" w:rsidR="00AD55AA" w:rsidRPr="006C6F80" w:rsidRDefault="00AD55AA" w:rsidP="00AD55AA">
            <w:pPr>
              <w:jc w:val="center"/>
              <w:rPr>
                <w:color w:val="000000" w:themeColor="text1"/>
                <w:sz w:val="20"/>
                <w:szCs w:val="20"/>
              </w:rPr>
            </w:pPr>
            <w:r w:rsidRPr="006C6F80">
              <w:rPr>
                <w:color w:val="000000" w:themeColor="text1"/>
                <w:sz w:val="20"/>
                <w:szCs w:val="20"/>
              </w:rPr>
              <w:t>7.627</w:t>
            </w:r>
          </w:p>
        </w:tc>
        <w:tc>
          <w:tcPr>
            <w:tcW w:w="1890" w:type="dxa"/>
            <w:tcBorders>
              <w:top w:val="nil"/>
              <w:left w:val="nil"/>
              <w:bottom w:val="nil"/>
              <w:right w:val="nil"/>
            </w:tcBorders>
            <w:shd w:val="clear" w:color="auto" w:fill="auto"/>
            <w:noWrap/>
            <w:vAlign w:val="center"/>
            <w:hideMark/>
          </w:tcPr>
          <w:p w14:paraId="76BAA96C" w14:textId="77777777" w:rsidR="00AD55AA" w:rsidRPr="006C6F80" w:rsidRDefault="00AD55AA" w:rsidP="00AD55AA">
            <w:pPr>
              <w:jc w:val="center"/>
              <w:rPr>
                <w:color w:val="000000" w:themeColor="text1"/>
                <w:sz w:val="20"/>
                <w:szCs w:val="20"/>
              </w:rPr>
            </w:pPr>
            <w:r w:rsidRPr="006C6F80">
              <w:rPr>
                <w:color w:val="000000" w:themeColor="text1"/>
                <w:sz w:val="20"/>
                <w:szCs w:val="20"/>
              </w:rPr>
              <w:t>0.071</w:t>
            </w:r>
          </w:p>
        </w:tc>
        <w:tc>
          <w:tcPr>
            <w:tcW w:w="1800" w:type="dxa"/>
            <w:tcBorders>
              <w:top w:val="nil"/>
              <w:left w:val="nil"/>
              <w:bottom w:val="nil"/>
              <w:right w:val="nil"/>
            </w:tcBorders>
            <w:shd w:val="clear" w:color="auto" w:fill="auto"/>
            <w:noWrap/>
            <w:vAlign w:val="center"/>
            <w:hideMark/>
          </w:tcPr>
          <w:p w14:paraId="72028D9E"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1800" w:type="dxa"/>
            <w:tcBorders>
              <w:top w:val="nil"/>
              <w:left w:val="nil"/>
              <w:bottom w:val="nil"/>
              <w:right w:val="nil"/>
            </w:tcBorders>
            <w:shd w:val="clear" w:color="auto" w:fill="auto"/>
            <w:noWrap/>
            <w:vAlign w:val="center"/>
            <w:hideMark/>
          </w:tcPr>
          <w:p w14:paraId="66FFCA20" w14:textId="77777777" w:rsidR="00AD55AA" w:rsidRPr="006C6F80" w:rsidRDefault="00AD55AA" w:rsidP="00AD55AA">
            <w:pPr>
              <w:jc w:val="center"/>
              <w:rPr>
                <w:color w:val="000000" w:themeColor="text1"/>
                <w:sz w:val="20"/>
                <w:szCs w:val="20"/>
              </w:rPr>
            </w:pPr>
            <w:r w:rsidRPr="006C6F80">
              <w:rPr>
                <w:color w:val="000000" w:themeColor="text1"/>
                <w:sz w:val="20"/>
                <w:szCs w:val="20"/>
              </w:rPr>
              <w:t>0.212</w:t>
            </w:r>
          </w:p>
        </w:tc>
        <w:tc>
          <w:tcPr>
            <w:tcW w:w="1800" w:type="dxa"/>
            <w:tcBorders>
              <w:top w:val="nil"/>
              <w:left w:val="nil"/>
              <w:bottom w:val="nil"/>
              <w:right w:val="nil"/>
            </w:tcBorders>
            <w:shd w:val="clear" w:color="auto" w:fill="auto"/>
            <w:noWrap/>
            <w:vAlign w:val="center"/>
            <w:hideMark/>
          </w:tcPr>
          <w:p w14:paraId="7DFA24D5"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934" w:type="dxa"/>
            <w:gridSpan w:val="3"/>
            <w:tcBorders>
              <w:top w:val="nil"/>
              <w:left w:val="nil"/>
              <w:bottom w:val="nil"/>
              <w:right w:val="nil"/>
            </w:tcBorders>
            <w:shd w:val="clear" w:color="auto" w:fill="auto"/>
            <w:noWrap/>
            <w:vAlign w:val="center"/>
            <w:hideMark/>
          </w:tcPr>
          <w:p w14:paraId="0063FF36" w14:textId="77777777" w:rsidR="00AD55AA" w:rsidRPr="006C6F80" w:rsidRDefault="00AD55AA" w:rsidP="00AD55AA">
            <w:pPr>
              <w:jc w:val="center"/>
              <w:rPr>
                <w:color w:val="000000" w:themeColor="text1"/>
                <w:sz w:val="20"/>
                <w:szCs w:val="20"/>
              </w:rPr>
            </w:pPr>
            <w:r w:rsidRPr="006C6F80">
              <w:rPr>
                <w:color w:val="000000" w:themeColor="text1"/>
                <w:sz w:val="20"/>
                <w:szCs w:val="20"/>
              </w:rPr>
              <w:t>8.051</w:t>
            </w:r>
          </w:p>
        </w:tc>
      </w:tr>
      <w:tr w:rsidR="00AD55AA" w:rsidRPr="006C6F80" w14:paraId="337FB01E" w14:textId="77777777" w:rsidTr="00AD55AA">
        <w:trPr>
          <w:trHeight w:val="260"/>
        </w:trPr>
        <w:tc>
          <w:tcPr>
            <w:tcW w:w="2624" w:type="dxa"/>
            <w:tcBorders>
              <w:top w:val="nil"/>
              <w:left w:val="nil"/>
              <w:bottom w:val="nil"/>
              <w:right w:val="nil"/>
            </w:tcBorders>
            <w:shd w:val="clear" w:color="auto" w:fill="auto"/>
            <w:noWrap/>
            <w:vAlign w:val="center"/>
            <w:hideMark/>
          </w:tcPr>
          <w:p w14:paraId="69D9E826" w14:textId="77777777" w:rsidR="00AD55AA" w:rsidRPr="006C6F80" w:rsidRDefault="00AD55AA" w:rsidP="00AD55AA">
            <w:pPr>
              <w:rPr>
                <w:color w:val="000000" w:themeColor="text1"/>
                <w:sz w:val="20"/>
                <w:szCs w:val="20"/>
              </w:rPr>
            </w:pPr>
            <w:r w:rsidRPr="006C6F80">
              <w:rPr>
                <w:color w:val="000000" w:themeColor="text1"/>
                <w:sz w:val="20"/>
                <w:szCs w:val="20"/>
              </w:rPr>
              <w:t>Urban Lower Egypt</w:t>
            </w:r>
          </w:p>
        </w:tc>
        <w:tc>
          <w:tcPr>
            <w:tcW w:w="766" w:type="dxa"/>
            <w:tcBorders>
              <w:top w:val="nil"/>
              <w:left w:val="nil"/>
              <w:bottom w:val="nil"/>
              <w:right w:val="nil"/>
            </w:tcBorders>
            <w:shd w:val="clear" w:color="auto" w:fill="auto"/>
            <w:noWrap/>
            <w:vAlign w:val="center"/>
            <w:hideMark/>
          </w:tcPr>
          <w:p w14:paraId="67ABF2A5" w14:textId="77777777" w:rsidR="00AD55AA" w:rsidRPr="006C6F80" w:rsidRDefault="00AD55AA" w:rsidP="00AD55AA">
            <w:pPr>
              <w:jc w:val="center"/>
              <w:rPr>
                <w:color w:val="000000" w:themeColor="text1"/>
                <w:sz w:val="20"/>
                <w:szCs w:val="20"/>
              </w:rPr>
            </w:pPr>
            <w:r w:rsidRPr="006C6F80">
              <w:rPr>
                <w:color w:val="000000" w:themeColor="text1"/>
                <w:sz w:val="20"/>
                <w:szCs w:val="20"/>
              </w:rPr>
              <w:t>0.071</w:t>
            </w:r>
          </w:p>
        </w:tc>
        <w:tc>
          <w:tcPr>
            <w:tcW w:w="2550" w:type="dxa"/>
            <w:tcBorders>
              <w:top w:val="nil"/>
              <w:left w:val="nil"/>
              <w:bottom w:val="nil"/>
              <w:right w:val="nil"/>
            </w:tcBorders>
            <w:shd w:val="clear" w:color="auto" w:fill="auto"/>
            <w:noWrap/>
            <w:vAlign w:val="center"/>
            <w:hideMark/>
          </w:tcPr>
          <w:p w14:paraId="4A888520" w14:textId="77777777" w:rsidR="00AD55AA" w:rsidRPr="006C6F80" w:rsidRDefault="00AD55AA" w:rsidP="00AD55AA">
            <w:pPr>
              <w:jc w:val="center"/>
              <w:rPr>
                <w:color w:val="000000" w:themeColor="text1"/>
                <w:sz w:val="20"/>
                <w:szCs w:val="20"/>
              </w:rPr>
            </w:pPr>
            <w:r w:rsidRPr="006C6F80">
              <w:rPr>
                <w:color w:val="000000" w:themeColor="text1"/>
                <w:sz w:val="20"/>
                <w:szCs w:val="20"/>
              </w:rPr>
              <w:t>0.212</w:t>
            </w:r>
          </w:p>
        </w:tc>
        <w:tc>
          <w:tcPr>
            <w:tcW w:w="1890" w:type="dxa"/>
            <w:tcBorders>
              <w:top w:val="nil"/>
              <w:left w:val="nil"/>
              <w:bottom w:val="nil"/>
              <w:right w:val="nil"/>
            </w:tcBorders>
            <w:shd w:val="clear" w:color="auto" w:fill="auto"/>
            <w:noWrap/>
            <w:vAlign w:val="center"/>
            <w:hideMark/>
          </w:tcPr>
          <w:p w14:paraId="7267E6A7" w14:textId="77777777" w:rsidR="00AD55AA" w:rsidRPr="006C6F80" w:rsidRDefault="00AD55AA" w:rsidP="00AD55AA">
            <w:pPr>
              <w:jc w:val="center"/>
              <w:rPr>
                <w:color w:val="000000" w:themeColor="text1"/>
                <w:sz w:val="20"/>
                <w:szCs w:val="20"/>
              </w:rPr>
            </w:pPr>
            <w:r w:rsidRPr="006C6F80">
              <w:rPr>
                <w:color w:val="000000" w:themeColor="text1"/>
                <w:sz w:val="20"/>
                <w:szCs w:val="20"/>
              </w:rPr>
              <w:t>10.099</w:t>
            </w:r>
          </w:p>
        </w:tc>
        <w:tc>
          <w:tcPr>
            <w:tcW w:w="1800" w:type="dxa"/>
            <w:tcBorders>
              <w:top w:val="nil"/>
              <w:left w:val="nil"/>
              <w:bottom w:val="nil"/>
              <w:right w:val="nil"/>
            </w:tcBorders>
            <w:shd w:val="clear" w:color="auto" w:fill="auto"/>
            <w:noWrap/>
            <w:vAlign w:val="center"/>
            <w:hideMark/>
          </w:tcPr>
          <w:p w14:paraId="17088031" w14:textId="77777777" w:rsidR="00AD55AA" w:rsidRPr="006C6F80" w:rsidRDefault="00AD55AA" w:rsidP="00AD55AA">
            <w:pPr>
              <w:jc w:val="center"/>
              <w:rPr>
                <w:color w:val="000000" w:themeColor="text1"/>
                <w:sz w:val="20"/>
                <w:szCs w:val="20"/>
              </w:rPr>
            </w:pPr>
            <w:r w:rsidRPr="006C6F80">
              <w:rPr>
                <w:color w:val="000000" w:themeColor="text1"/>
                <w:sz w:val="20"/>
                <w:szCs w:val="20"/>
              </w:rPr>
              <w:t>0.071</w:t>
            </w:r>
          </w:p>
        </w:tc>
        <w:tc>
          <w:tcPr>
            <w:tcW w:w="1800" w:type="dxa"/>
            <w:tcBorders>
              <w:top w:val="nil"/>
              <w:left w:val="nil"/>
              <w:bottom w:val="nil"/>
              <w:right w:val="nil"/>
            </w:tcBorders>
            <w:shd w:val="clear" w:color="auto" w:fill="auto"/>
            <w:noWrap/>
            <w:vAlign w:val="center"/>
            <w:hideMark/>
          </w:tcPr>
          <w:p w14:paraId="3C2AA474" w14:textId="77777777" w:rsidR="00AD55AA" w:rsidRPr="006C6F80" w:rsidRDefault="00AD55AA" w:rsidP="00AD55AA">
            <w:pPr>
              <w:jc w:val="center"/>
              <w:rPr>
                <w:color w:val="000000" w:themeColor="text1"/>
                <w:sz w:val="20"/>
                <w:szCs w:val="20"/>
              </w:rPr>
            </w:pPr>
            <w:r w:rsidRPr="006C6F80">
              <w:rPr>
                <w:color w:val="000000" w:themeColor="text1"/>
                <w:sz w:val="20"/>
                <w:szCs w:val="20"/>
              </w:rPr>
              <w:t>0.424</w:t>
            </w:r>
          </w:p>
        </w:tc>
        <w:tc>
          <w:tcPr>
            <w:tcW w:w="1800" w:type="dxa"/>
            <w:tcBorders>
              <w:top w:val="nil"/>
              <w:left w:val="nil"/>
              <w:bottom w:val="nil"/>
              <w:right w:val="nil"/>
            </w:tcBorders>
            <w:shd w:val="clear" w:color="auto" w:fill="auto"/>
            <w:noWrap/>
            <w:vAlign w:val="center"/>
            <w:hideMark/>
          </w:tcPr>
          <w:p w14:paraId="4AF3C903"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934" w:type="dxa"/>
            <w:gridSpan w:val="3"/>
            <w:tcBorders>
              <w:top w:val="nil"/>
              <w:left w:val="nil"/>
              <w:bottom w:val="nil"/>
              <w:right w:val="nil"/>
            </w:tcBorders>
            <w:shd w:val="clear" w:color="auto" w:fill="auto"/>
            <w:noWrap/>
            <w:vAlign w:val="center"/>
            <w:hideMark/>
          </w:tcPr>
          <w:p w14:paraId="05734DE3" w14:textId="77777777" w:rsidR="00AD55AA" w:rsidRPr="006C6F80" w:rsidRDefault="00AD55AA" w:rsidP="00AD55AA">
            <w:pPr>
              <w:jc w:val="center"/>
              <w:rPr>
                <w:color w:val="000000" w:themeColor="text1"/>
                <w:sz w:val="20"/>
                <w:szCs w:val="20"/>
              </w:rPr>
            </w:pPr>
            <w:r w:rsidRPr="006C6F80">
              <w:rPr>
                <w:color w:val="000000" w:themeColor="text1"/>
                <w:sz w:val="20"/>
                <w:szCs w:val="20"/>
              </w:rPr>
              <w:t>10.876</w:t>
            </w:r>
          </w:p>
        </w:tc>
      </w:tr>
      <w:tr w:rsidR="00AD55AA" w:rsidRPr="006C6F80" w14:paraId="157C5954" w14:textId="77777777" w:rsidTr="00AD55AA">
        <w:trPr>
          <w:trHeight w:val="260"/>
        </w:trPr>
        <w:tc>
          <w:tcPr>
            <w:tcW w:w="2624" w:type="dxa"/>
            <w:tcBorders>
              <w:top w:val="nil"/>
              <w:left w:val="nil"/>
              <w:bottom w:val="nil"/>
              <w:right w:val="nil"/>
            </w:tcBorders>
            <w:shd w:val="clear" w:color="auto" w:fill="auto"/>
            <w:noWrap/>
            <w:vAlign w:val="center"/>
            <w:hideMark/>
          </w:tcPr>
          <w:p w14:paraId="449440A5" w14:textId="77777777" w:rsidR="00AD55AA" w:rsidRPr="006C6F80" w:rsidRDefault="00AD55AA" w:rsidP="00AD55AA">
            <w:pPr>
              <w:rPr>
                <w:color w:val="000000" w:themeColor="text1"/>
                <w:sz w:val="20"/>
                <w:szCs w:val="20"/>
              </w:rPr>
            </w:pPr>
            <w:r w:rsidRPr="006C6F80">
              <w:rPr>
                <w:color w:val="000000" w:themeColor="text1"/>
                <w:sz w:val="20"/>
                <w:szCs w:val="20"/>
              </w:rPr>
              <w:t>Urban Upper Egypt</w:t>
            </w:r>
          </w:p>
        </w:tc>
        <w:tc>
          <w:tcPr>
            <w:tcW w:w="766" w:type="dxa"/>
            <w:tcBorders>
              <w:top w:val="nil"/>
              <w:left w:val="nil"/>
              <w:bottom w:val="nil"/>
              <w:right w:val="nil"/>
            </w:tcBorders>
            <w:shd w:val="clear" w:color="auto" w:fill="auto"/>
            <w:noWrap/>
            <w:vAlign w:val="center"/>
            <w:hideMark/>
          </w:tcPr>
          <w:p w14:paraId="0680DA4E" w14:textId="77777777" w:rsidR="00AD55AA" w:rsidRPr="006C6F80" w:rsidRDefault="00AD55AA" w:rsidP="00AD55AA">
            <w:pPr>
              <w:jc w:val="center"/>
              <w:rPr>
                <w:color w:val="000000" w:themeColor="text1"/>
                <w:sz w:val="20"/>
                <w:szCs w:val="20"/>
              </w:rPr>
            </w:pPr>
            <w:r w:rsidRPr="006C6F80">
              <w:rPr>
                <w:color w:val="000000" w:themeColor="text1"/>
                <w:sz w:val="20"/>
                <w:szCs w:val="20"/>
              </w:rPr>
              <w:t>0.565</w:t>
            </w:r>
          </w:p>
        </w:tc>
        <w:tc>
          <w:tcPr>
            <w:tcW w:w="2550" w:type="dxa"/>
            <w:tcBorders>
              <w:top w:val="nil"/>
              <w:left w:val="nil"/>
              <w:bottom w:val="nil"/>
              <w:right w:val="nil"/>
            </w:tcBorders>
            <w:shd w:val="clear" w:color="auto" w:fill="auto"/>
            <w:noWrap/>
            <w:vAlign w:val="center"/>
            <w:hideMark/>
          </w:tcPr>
          <w:p w14:paraId="18438614" w14:textId="77777777" w:rsidR="00AD55AA" w:rsidRPr="006C6F80" w:rsidRDefault="00AD55AA" w:rsidP="00AD55AA">
            <w:pPr>
              <w:jc w:val="center"/>
              <w:rPr>
                <w:color w:val="000000" w:themeColor="text1"/>
                <w:sz w:val="20"/>
                <w:szCs w:val="20"/>
              </w:rPr>
            </w:pPr>
            <w:r w:rsidRPr="006C6F80">
              <w:rPr>
                <w:color w:val="000000" w:themeColor="text1"/>
                <w:sz w:val="20"/>
                <w:szCs w:val="20"/>
              </w:rPr>
              <w:t>0.353</w:t>
            </w:r>
          </w:p>
        </w:tc>
        <w:tc>
          <w:tcPr>
            <w:tcW w:w="1890" w:type="dxa"/>
            <w:tcBorders>
              <w:top w:val="nil"/>
              <w:left w:val="nil"/>
              <w:bottom w:val="nil"/>
              <w:right w:val="nil"/>
            </w:tcBorders>
            <w:shd w:val="clear" w:color="auto" w:fill="auto"/>
            <w:noWrap/>
            <w:vAlign w:val="center"/>
            <w:hideMark/>
          </w:tcPr>
          <w:p w14:paraId="717B7964" w14:textId="77777777" w:rsidR="00AD55AA" w:rsidRPr="006C6F80" w:rsidRDefault="00AD55AA" w:rsidP="00AD55AA">
            <w:pPr>
              <w:jc w:val="center"/>
              <w:rPr>
                <w:color w:val="000000" w:themeColor="text1"/>
                <w:sz w:val="20"/>
                <w:szCs w:val="20"/>
              </w:rPr>
            </w:pPr>
            <w:r w:rsidRPr="006C6F80">
              <w:rPr>
                <w:color w:val="000000" w:themeColor="text1"/>
                <w:sz w:val="20"/>
                <w:szCs w:val="20"/>
              </w:rPr>
              <w:t>0.141</w:t>
            </w:r>
          </w:p>
        </w:tc>
        <w:tc>
          <w:tcPr>
            <w:tcW w:w="1800" w:type="dxa"/>
            <w:tcBorders>
              <w:top w:val="nil"/>
              <w:left w:val="nil"/>
              <w:bottom w:val="nil"/>
              <w:right w:val="nil"/>
            </w:tcBorders>
            <w:shd w:val="clear" w:color="auto" w:fill="auto"/>
            <w:noWrap/>
            <w:vAlign w:val="center"/>
            <w:hideMark/>
          </w:tcPr>
          <w:p w14:paraId="28ECE026" w14:textId="77777777" w:rsidR="00AD55AA" w:rsidRPr="006C6F80" w:rsidRDefault="00AD55AA" w:rsidP="00AD55AA">
            <w:pPr>
              <w:jc w:val="center"/>
              <w:rPr>
                <w:color w:val="000000" w:themeColor="text1"/>
                <w:sz w:val="20"/>
                <w:szCs w:val="20"/>
              </w:rPr>
            </w:pPr>
            <w:r w:rsidRPr="006C6F80">
              <w:rPr>
                <w:color w:val="000000" w:themeColor="text1"/>
                <w:sz w:val="20"/>
                <w:szCs w:val="20"/>
              </w:rPr>
              <w:t>15.325</w:t>
            </w:r>
          </w:p>
        </w:tc>
        <w:tc>
          <w:tcPr>
            <w:tcW w:w="1800" w:type="dxa"/>
            <w:tcBorders>
              <w:top w:val="nil"/>
              <w:left w:val="nil"/>
              <w:bottom w:val="nil"/>
              <w:right w:val="nil"/>
            </w:tcBorders>
            <w:shd w:val="clear" w:color="auto" w:fill="auto"/>
            <w:noWrap/>
            <w:vAlign w:val="center"/>
            <w:hideMark/>
          </w:tcPr>
          <w:p w14:paraId="225FDE29" w14:textId="77777777" w:rsidR="00AD55AA" w:rsidRPr="006C6F80" w:rsidRDefault="00AD55AA" w:rsidP="00AD55AA">
            <w:pPr>
              <w:jc w:val="center"/>
              <w:rPr>
                <w:color w:val="000000" w:themeColor="text1"/>
                <w:sz w:val="20"/>
                <w:szCs w:val="20"/>
              </w:rPr>
            </w:pPr>
            <w:r w:rsidRPr="006C6F80">
              <w:rPr>
                <w:color w:val="000000" w:themeColor="text1"/>
                <w:sz w:val="20"/>
                <w:szCs w:val="20"/>
              </w:rPr>
              <w:t>0.071</w:t>
            </w:r>
          </w:p>
        </w:tc>
        <w:tc>
          <w:tcPr>
            <w:tcW w:w="1800" w:type="dxa"/>
            <w:tcBorders>
              <w:top w:val="nil"/>
              <w:left w:val="nil"/>
              <w:bottom w:val="nil"/>
              <w:right w:val="nil"/>
            </w:tcBorders>
            <w:shd w:val="clear" w:color="auto" w:fill="auto"/>
            <w:noWrap/>
            <w:vAlign w:val="center"/>
            <w:hideMark/>
          </w:tcPr>
          <w:p w14:paraId="52DA81E4" w14:textId="77777777" w:rsidR="00AD55AA" w:rsidRPr="006C6F80" w:rsidRDefault="00AD55AA" w:rsidP="00AD55AA">
            <w:pPr>
              <w:jc w:val="center"/>
              <w:rPr>
                <w:color w:val="000000" w:themeColor="text1"/>
                <w:sz w:val="20"/>
                <w:szCs w:val="20"/>
              </w:rPr>
            </w:pPr>
            <w:r w:rsidRPr="006C6F80">
              <w:rPr>
                <w:color w:val="000000" w:themeColor="text1"/>
                <w:sz w:val="20"/>
                <w:szCs w:val="20"/>
              </w:rPr>
              <w:t>0.353</w:t>
            </w:r>
          </w:p>
        </w:tc>
        <w:tc>
          <w:tcPr>
            <w:tcW w:w="934" w:type="dxa"/>
            <w:gridSpan w:val="3"/>
            <w:tcBorders>
              <w:top w:val="nil"/>
              <w:left w:val="nil"/>
              <w:bottom w:val="nil"/>
              <w:right w:val="nil"/>
            </w:tcBorders>
            <w:shd w:val="clear" w:color="auto" w:fill="auto"/>
            <w:noWrap/>
            <w:vAlign w:val="center"/>
            <w:hideMark/>
          </w:tcPr>
          <w:p w14:paraId="23B5EE1B" w14:textId="77777777" w:rsidR="00AD55AA" w:rsidRPr="006C6F80" w:rsidRDefault="00AD55AA" w:rsidP="00AD55AA">
            <w:pPr>
              <w:jc w:val="center"/>
              <w:rPr>
                <w:color w:val="000000" w:themeColor="text1"/>
                <w:sz w:val="20"/>
                <w:szCs w:val="20"/>
              </w:rPr>
            </w:pPr>
            <w:r w:rsidRPr="006C6F80">
              <w:rPr>
                <w:color w:val="000000" w:themeColor="text1"/>
                <w:sz w:val="20"/>
                <w:szCs w:val="20"/>
              </w:rPr>
              <w:t>16.808</w:t>
            </w:r>
          </w:p>
        </w:tc>
      </w:tr>
      <w:tr w:rsidR="00AD55AA" w:rsidRPr="006C6F80" w14:paraId="4D45E1FE" w14:textId="77777777" w:rsidTr="00AD55AA">
        <w:trPr>
          <w:trHeight w:val="260"/>
        </w:trPr>
        <w:tc>
          <w:tcPr>
            <w:tcW w:w="2624" w:type="dxa"/>
            <w:tcBorders>
              <w:top w:val="nil"/>
              <w:left w:val="nil"/>
              <w:bottom w:val="nil"/>
              <w:right w:val="nil"/>
            </w:tcBorders>
            <w:shd w:val="clear" w:color="auto" w:fill="auto"/>
            <w:noWrap/>
            <w:vAlign w:val="center"/>
            <w:hideMark/>
          </w:tcPr>
          <w:p w14:paraId="5E7BA4FC" w14:textId="77777777" w:rsidR="00AD55AA" w:rsidRPr="006C6F80" w:rsidRDefault="00AD55AA" w:rsidP="00AD55AA">
            <w:pPr>
              <w:rPr>
                <w:color w:val="000000" w:themeColor="text1"/>
                <w:sz w:val="20"/>
                <w:szCs w:val="20"/>
              </w:rPr>
            </w:pPr>
            <w:r w:rsidRPr="006C6F80">
              <w:rPr>
                <w:color w:val="000000" w:themeColor="text1"/>
                <w:sz w:val="20"/>
                <w:szCs w:val="20"/>
              </w:rPr>
              <w:t>Rural Lower Egypt</w:t>
            </w:r>
          </w:p>
        </w:tc>
        <w:tc>
          <w:tcPr>
            <w:tcW w:w="766" w:type="dxa"/>
            <w:tcBorders>
              <w:top w:val="nil"/>
              <w:left w:val="nil"/>
              <w:bottom w:val="nil"/>
              <w:right w:val="nil"/>
            </w:tcBorders>
            <w:shd w:val="clear" w:color="auto" w:fill="auto"/>
            <w:noWrap/>
            <w:vAlign w:val="center"/>
            <w:hideMark/>
          </w:tcPr>
          <w:p w14:paraId="48753D99" w14:textId="77777777" w:rsidR="00AD55AA" w:rsidRPr="006C6F80" w:rsidRDefault="00AD55AA" w:rsidP="00AD55AA">
            <w:pPr>
              <w:jc w:val="center"/>
              <w:rPr>
                <w:color w:val="000000" w:themeColor="text1"/>
                <w:sz w:val="20"/>
                <w:szCs w:val="20"/>
              </w:rPr>
            </w:pPr>
            <w:r w:rsidRPr="006C6F80">
              <w:rPr>
                <w:color w:val="000000" w:themeColor="text1"/>
                <w:sz w:val="20"/>
                <w:szCs w:val="20"/>
              </w:rPr>
              <w:t>0.282</w:t>
            </w:r>
          </w:p>
        </w:tc>
        <w:tc>
          <w:tcPr>
            <w:tcW w:w="2550" w:type="dxa"/>
            <w:tcBorders>
              <w:top w:val="nil"/>
              <w:left w:val="nil"/>
              <w:bottom w:val="nil"/>
              <w:right w:val="nil"/>
            </w:tcBorders>
            <w:shd w:val="clear" w:color="auto" w:fill="auto"/>
            <w:noWrap/>
            <w:vAlign w:val="center"/>
            <w:hideMark/>
          </w:tcPr>
          <w:p w14:paraId="54C8FF8E" w14:textId="77777777" w:rsidR="00AD55AA" w:rsidRPr="006C6F80" w:rsidRDefault="00AD55AA" w:rsidP="00AD55AA">
            <w:pPr>
              <w:jc w:val="center"/>
              <w:rPr>
                <w:color w:val="000000" w:themeColor="text1"/>
                <w:sz w:val="20"/>
                <w:szCs w:val="20"/>
              </w:rPr>
            </w:pPr>
            <w:r w:rsidRPr="006C6F80">
              <w:rPr>
                <w:color w:val="000000" w:themeColor="text1"/>
                <w:sz w:val="20"/>
                <w:szCs w:val="20"/>
              </w:rPr>
              <w:t>0.494</w:t>
            </w:r>
          </w:p>
        </w:tc>
        <w:tc>
          <w:tcPr>
            <w:tcW w:w="1890" w:type="dxa"/>
            <w:tcBorders>
              <w:top w:val="nil"/>
              <w:left w:val="nil"/>
              <w:bottom w:val="nil"/>
              <w:right w:val="nil"/>
            </w:tcBorders>
            <w:shd w:val="clear" w:color="auto" w:fill="auto"/>
            <w:noWrap/>
            <w:vAlign w:val="center"/>
            <w:hideMark/>
          </w:tcPr>
          <w:p w14:paraId="3E00D6C8" w14:textId="77777777" w:rsidR="00AD55AA" w:rsidRPr="006C6F80" w:rsidRDefault="00AD55AA" w:rsidP="00AD55AA">
            <w:pPr>
              <w:jc w:val="center"/>
              <w:rPr>
                <w:color w:val="000000" w:themeColor="text1"/>
                <w:sz w:val="20"/>
                <w:szCs w:val="20"/>
              </w:rPr>
            </w:pPr>
            <w:r w:rsidRPr="006C6F80">
              <w:rPr>
                <w:color w:val="000000" w:themeColor="text1"/>
                <w:sz w:val="20"/>
                <w:szCs w:val="20"/>
              </w:rPr>
              <w:t>0.353</w:t>
            </w:r>
          </w:p>
        </w:tc>
        <w:tc>
          <w:tcPr>
            <w:tcW w:w="1800" w:type="dxa"/>
            <w:tcBorders>
              <w:top w:val="nil"/>
              <w:left w:val="nil"/>
              <w:bottom w:val="nil"/>
              <w:right w:val="nil"/>
            </w:tcBorders>
            <w:shd w:val="clear" w:color="auto" w:fill="auto"/>
            <w:noWrap/>
            <w:vAlign w:val="center"/>
            <w:hideMark/>
          </w:tcPr>
          <w:p w14:paraId="413C9B96"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1800" w:type="dxa"/>
            <w:tcBorders>
              <w:top w:val="nil"/>
              <w:left w:val="nil"/>
              <w:bottom w:val="nil"/>
              <w:right w:val="nil"/>
            </w:tcBorders>
            <w:shd w:val="clear" w:color="auto" w:fill="auto"/>
            <w:noWrap/>
            <w:vAlign w:val="center"/>
            <w:hideMark/>
          </w:tcPr>
          <w:p w14:paraId="4D2996AB" w14:textId="77777777" w:rsidR="00AD55AA" w:rsidRPr="006C6F80" w:rsidRDefault="00AD55AA" w:rsidP="00AD55AA">
            <w:pPr>
              <w:jc w:val="center"/>
              <w:rPr>
                <w:color w:val="000000" w:themeColor="text1"/>
                <w:sz w:val="20"/>
                <w:szCs w:val="20"/>
              </w:rPr>
            </w:pPr>
            <w:r w:rsidRPr="006C6F80">
              <w:rPr>
                <w:color w:val="000000" w:themeColor="text1"/>
                <w:sz w:val="20"/>
                <w:szCs w:val="20"/>
              </w:rPr>
              <w:t>25.706</w:t>
            </w:r>
          </w:p>
        </w:tc>
        <w:tc>
          <w:tcPr>
            <w:tcW w:w="1800" w:type="dxa"/>
            <w:tcBorders>
              <w:top w:val="nil"/>
              <w:left w:val="nil"/>
              <w:bottom w:val="nil"/>
              <w:right w:val="nil"/>
            </w:tcBorders>
            <w:shd w:val="clear" w:color="auto" w:fill="auto"/>
            <w:noWrap/>
            <w:vAlign w:val="center"/>
            <w:hideMark/>
          </w:tcPr>
          <w:p w14:paraId="4F85FB68"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934" w:type="dxa"/>
            <w:gridSpan w:val="3"/>
            <w:tcBorders>
              <w:top w:val="nil"/>
              <w:left w:val="nil"/>
              <w:bottom w:val="nil"/>
              <w:right w:val="nil"/>
            </w:tcBorders>
            <w:shd w:val="clear" w:color="auto" w:fill="auto"/>
            <w:noWrap/>
            <w:vAlign w:val="center"/>
            <w:hideMark/>
          </w:tcPr>
          <w:p w14:paraId="620AA417" w14:textId="77777777" w:rsidR="00AD55AA" w:rsidRPr="006C6F80" w:rsidRDefault="00AD55AA" w:rsidP="00AD55AA">
            <w:pPr>
              <w:jc w:val="center"/>
              <w:rPr>
                <w:color w:val="000000" w:themeColor="text1"/>
                <w:sz w:val="20"/>
                <w:szCs w:val="20"/>
              </w:rPr>
            </w:pPr>
            <w:r w:rsidRPr="006C6F80">
              <w:rPr>
                <w:color w:val="000000" w:themeColor="text1"/>
                <w:sz w:val="20"/>
                <w:szCs w:val="20"/>
              </w:rPr>
              <w:t>26.836</w:t>
            </w:r>
          </w:p>
        </w:tc>
      </w:tr>
      <w:tr w:rsidR="00AD55AA" w:rsidRPr="006C6F80" w14:paraId="2C9BA880" w14:textId="77777777" w:rsidTr="00AD55AA">
        <w:trPr>
          <w:trHeight w:val="260"/>
        </w:trPr>
        <w:tc>
          <w:tcPr>
            <w:tcW w:w="2624" w:type="dxa"/>
            <w:tcBorders>
              <w:top w:val="nil"/>
              <w:left w:val="nil"/>
              <w:bottom w:val="nil"/>
              <w:right w:val="nil"/>
            </w:tcBorders>
            <w:shd w:val="clear" w:color="auto" w:fill="auto"/>
            <w:noWrap/>
            <w:vAlign w:val="center"/>
            <w:hideMark/>
          </w:tcPr>
          <w:p w14:paraId="0CFBACBC" w14:textId="77777777" w:rsidR="00AD55AA" w:rsidRPr="006C6F80" w:rsidRDefault="00AD55AA" w:rsidP="00AD55AA">
            <w:pPr>
              <w:rPr>
                <w:color w:val="000000" w:themeColor="text1"/>
                <w:sz w:val="20"/>
                <w:szCs w:val="20"/>
              </w:rPr>
            </w:pPr>
            <w:r w:rsidRPr="006C6F80">
              <w:rPr>
                <w:color w:val="000000" w:themeColor="text1"/>
                <w:sz w:val="20"/>
                <w:szCs w:val="20"/>
              </w:rPr>
              <w:t>Rural Upper Egypt</w:t>
            </w:r>
          </w:p>
        </w:tc>
        <w:tc>
          <w:tcPr>
            <w:tcW w:w="766" w:type="dxa"/>
            <w:tcBorders>
              <w:top w:val="nil"/>
              <w:left w:val="nil"/>
              <w:bottom w:val="nil"/>
              <w:right w:val="nil"/>
            </w:tcBorders>
            <w:shd w:val="clear" w:color="auto" w:fill="auto"/>
            <w:noWrap/>
            <w:vAlign w:val="center"/>
            <w:hideMark/>
          </w:tcPr>
          <w:p w14:paraId="2E1E6B82" w14:textId="77777777" w:rsidR="00AD55AA" w:rsidRPr="006C6F80" w:rsidRDefault="00AD55AA" w:rsidP="00AD55AA">
            <w:pPr>
              <w:jc w:val="center"/>
              <w:rPr>
                <w:color w:val="000000" w:themeColor="text1"/>
                <w:sz w:val="20"/>
                <w:szCs w:val="20"/>
              </w:rPr>
            </w:pPr>
            <w:r w:rsidRPr="006C6F80">
              <w:rPr>
                <w:color w:val="000000" w:themeColor="text1"/>
                <w:sz w:val="20"/>
                <w:szCs w:val="20"/>
              </w:rPr>
              <w:t>0.636</w:t>
            </w:r>
          </w:p>
        </w:tc>
        <w:tc>
          <w:tcPr>
            <w:tcW w:w="2550" w:type="dxa"/>
            <w:tcBorders>
              <w:top w:val="nil"/>
              <w:left w:val="nil"/>
              <w:bottom w:val="nil"/>
              <w:right w:val="nil"/>
            </w:tcBorders>
            <w:shd w:val="clear" w:color="auto" w:fill="auto"/>
            <w:noWrap/>
            <w:vAlign w:val="center"/>
            <w:hideMark/>
          </w:tcPr>
          <w:p w14:paraId="600F3171" w14:textId="77777777" w:rsidR="00AD55AA" w:rsidRPr="006C6F80" w:rsidRDefault="00AD55AA" w:rsidP="00AD55AA">
            <w:pPr>
              <w:jc w:val="center"/>
              <w:rPr>
                <w:color w:val="000000" w:themeColor="text1"/>
                <w:sz w:val="20"/>
                <w:szCs w:val="20"/>
              </w:rPr>
            </w:pPr>
            <w:r w:rsidRPr="006C6F80">
              <w:rPr>
                <w:color w:val="000000" w:themeColor="text1"/>
                <w:sz w:val="20"/>
                <w:szCs w:val="20"/>
              </w:rPr>
              <w:t>0.212</w:t>
            </w:r>
          </w:p>
        </w:tc>
        <w:tc>
          <w:tcPr>
            <w:tcW w:w="1890" w:type="dxa"/>
            <w:tcBorders>
              <w:top w:val="nil"/>
              <w:left w:val="nil"/>
              <w:bottom w:val="nil"/>
              <w:right w:val="nil"/>
            </w:tcBorders>
            <w:shd w:val="clear" w:color="auto" w:fill="auto"/>
            <w:noWrap/>
            <w:vAlign w:val="center"/>
            <w:hideMark/>
          </w:tcPr>
          <w:p w14:paraId="41E8A660" w14:textId="77777777" w:rsidR="00AD55AA" w:rsidRPr="006C6F80" w:rsidRDefault="00AD55AA" w:rsidP="00AD55AA">
            <w:pPr>
              <w:jc w:val="center"/>
              <w:rPr>
                <w:color w:val="000000" w:themeColor="text1"/>
                <w:sz w:val="20"/>
                <w:szCs w:val="20"/>
              </w:rPr>
            </w:pPr>
            <w:r w:rsidRPr="006C6F80">
              <w:rPr>
                <w:color w:val="000000" w:themeColor="text1"/>
                <w:sz w:val="20"/>
                <w:szCs w:val="20"/>
              </w:rPr>
              <w:t>0.141</w:t>
            </w:r>
          </w:p>
        </w:tc>
        <w:tc>
          <w:tcPr>
            <w:tcW w:w="1800" w:type="dxa"/>
            <w:tcBorders>
              <w:top w:val="nil"/>
              <w:left w:val="nil"/>
              <w:bottom w:val="nil"/>
              <w:right w:val="nil"/>
            </w:tcBorders>
            <w:shd w:val="clear" w:color="auto" w:fill="auto"/>
            <w:noWrap/>
            <w:vAlign w:val="center"/>
            <w:hideMark/>
          </w:tcPr>
          <w:p w14:paraId="1543810D" w14:textId="77777777" w:rsidR="00AD55AA" w:rsidRPr="006C6F80" w:rsidRDefault="00AD55AA" w:rsidP="00AD55AA">
            <w:pPr>
              <w:jc w:val="center"/>
              <w:rPr>
                <w:color w:val="000000" w:themeColor="text1"/>
                <w:sz w:val="20"/>
                <w:szCs w:val="20"/>
              </w:rPr>
            </w:pPr>
            <w:r w:rsidRPr="006C6F80">
              <w:rPr>
                <w:color w:val="000000" w:themeColor="text1"/>
                <w:sz w:val="20"/>
                <w:szCs w:val="20"/>
              </w:rPr>
              <w:t>0.706</w:t>
            </w:r>
          </w:p>
        </w:tc>
        <w:tc>
          <w:tcPr>
            <w:tcW w:w="1800" w:type="dxa"/>
            <w:tcBorders>
              <w:top w:val="nil"/>
              <w:left w:val="nil"/>
              <w:bottom w:val="nil"/>
              <w:right w:val="nil"/>
            </w:tcBorders>
            <w:shd w:val="clear" w:color="auto" w:fill="auto"/>
            <w:noWrap/>
            <w:vAlign w:val="center"/>
            <w:hideMark/>
          </w:tcPr>
          <w:p w14:paraId="59BA90D6" w14:textId="77777777" w:rsidR="00AD55AA" w:rsidRPr="006C6F80" w:rsidRDefault="00AD55AA" w:rsidP="00AD55AA">
            <w:pPr>
              <w:jc w:val="center"/>
              <w:rPr>
                <w:color w:val="000000" w:themeColor="text1"/>
                <w:sz w:val="20"/>
                <w:szCs w:val="20"/>
              </w:rPr>
            </w:pPr>
            <w:r w:rsidRPr="006C6F80">
              <w:rPr>
                <w:color w:val="000000" w:themeColor="text1"/>
                <w:sz w:val="20"/>
                <w:szCs w:val="20"/>
              </w:rPr>
              <w:t>0.353</w:t>
            </w:r>
          </w:p>
        </w:tc>
        <w:tc>
          <w:tcPr>
            <w:tcW w:w="1800" w:type="dxa"/>
            <w:tcBorders>
              <w:top w:val="nil"/>
              <w:left w:val="nil"/>
              <w:bottom w:val="nil"/>
              <w:right w:val="nil"/>
            </w:tcBorders>
            <w:shd w:val="clear" w:color="auto" w:fill="auto"/>
            <w:noWrap/>
            <w:vAlign w:val="center"/>
            <w:hideMark/>
          </w:tcPr>
          <w:p w14:paraId="655335A9" w14:textId="77777777" w:rsidR="00AD55AA" w:rsidRPr="006C6F80" w:rsidRDefault="00AD55AA" w:rsidP="00AD55AA">
            <w:pPr>
              <w:jc w:val="center"/>
              <w:rPr>
                <w:color w:val="000000" w:themeColor="text1"/>
                <w:sz w:val="20"/>
                <w:szCs w:val="20"/>
              </w:rPr>
            </w:pPr>
            <w:r w:rsidRPr="006C6F80">
              <w:rPr>
                <w:color w:val="000000" w:themeColor="text1"/>
                <w:sz w:val="20"/>
                <w:szCs w:val="20"/>
              </w:rPr>
              <w:t>23.093</w:t>
            </w:r>
          </w:p>
        </w:tc>
        <w:tc>
          <w:tcPr>
            <w:tcW w:w="934" w:type="dxa"/>
            <w:gridSpan w:val="3"/>
            <w:tcBorders>
              <w:top w:val="nil"/>
              <w:left w:val="nil"/>
              <w:bottom w:val="nil"/>
              <w:right w:val="nil"/>
            </w:tcBorders>
            <w:shd w:val="clear" w:color="auto" w:fill="auto"/>
            <w:noWrap/>
            <w:vAlign w:val="center"/>
            <w:hideMark/>
          </w:tcPr>
          <w:p w14:paraId="443E7F04" w14:textId="77777777" w:rsidR="00AD55AA" w:rsidRPr="006C6F80" w:rsidRDefault="00AD55AA" w:rsidP="00AD55AA">
            <w:pPr>
              <w:jc w:val="center"/>
              <w:rPr>
                <w:color w:val="000000" w:themeColor="text1"/>
                <w:sz w:val="20"/>
                <w:szCs w:val="20"/>
              </w:rPr>
            </w:pPr>
            <w:r w:rsidRPr="006C6F80">
              <w:rPr>
                <w:color w:val="000000" w:themeColor="text1"/>
                <w:sz w:val="20"/>
                <w:szCs w:val="20"/>
              </w:rPr>
              <w:t>25.141</w:t>
            </w:r>
          </w:p>
        </w:tc>
      </w:tr>
      <w:tr w:rsidR="00AD55AA" w:rsidRPr="006C6F80" w14:paraId="09D599CF" w14:textId="77777777" w:rsidTr="00AD55AA">
        <w:trPr>
          <w:trHeight w:val="260"/>
        </w:trPr>
        <w:tc>
          <w:tcPr>
            <w:tcW w:w="2624" w:type="dxa"/>
            <w:tcBorders>
              <w:top w:val="nil"/>
              <w:left w:val="nil"/>
              <w:bottom w:val="single" w:sz="4" w:space="0" w:color="auto"/>
              <w:right w:val="nil"/>
            </w:tcBorders>
            <w:shd w:val="clear" w:color="auto" w:fill="auto"/>
            <w:noWrap/>
            <w:vAlign w:val="center"/>
            <w:hideMark/>
          </w:tcPr>
          <w:p w14:paraId="6A9C0D7D" w14:textId="77777777" w:rsidR="00AD55AA" w:rsidRPr="006C6F80" w:rsidRDefault="00AD55AA" w:rsidP="00AD55AA">
            <w:pPr>
              <w:rPr>
                <w:color w:val="000000" w:themeColor="text1"/>
                <w:sz w:val="20"/>
                <w:szCs w:val="20"/>
              </w:rPr>
            </w:pPr>
            <w:r w:rsidRPr="006C6F80">
              <w:rPr>
                <w:color w:val="000000" w:themeColor="text1"/>
                <w:sz w:val="20"/>
                <w:szCs w:val="20"/>
              </w:rPr>
              <w:t>Total</w:t>
            </w:r>
          </w:p>
        </w:tc>
        <w:tc>
          <w:tcPr>
            <w:tcW w:w="766" w:type="dxa"/>
            <w:tcBorders>
              <w:top w:val="nil"/>
              <w:left w:val="nil"/>
              <w:bottom w:val="single" w:sz="4" w:space="0" w:color="auto"/>
              <w:right w:val="nil"/>
            </w:tcBorders>
            <w:shd w:val="clear" w:color="auto" w:fill="auto"/>
            <w:noWrap/>
            <w:vAlign w:val="center"/>
            <w:hideMark/>
          </w:tcPr>
          <w:p w14:paraId="7FBE7030" w14:textId="77777777" w:rsidR="00AD55AA" w:rsidRPr="006C6F80" w:rsidRDefault="00AD55AA" w:rsidP="00AD55AA">
            <w:pPr>
              <w:jc w:val="center"/>
              <w:rPr>
                <w:color w:val="000000" w:themeColor="text1"/>
                <w:sz w:val="20"/>
                <w:szCs w:val="20"/>
              </w:rPr>
            </w:pPr>
            <w:r w:rsidRPr="006C6F80">
              <w:rPr>
                <w:color w:val="000000" w:themeColor="text1"/>
                <w:sz w:val="20"/>
                <w:szCs w:val="20"/>
              </w:rPr>
              <w:t>13.065</w:t>
            </w:r>
          </w:p>
        </w:tc>
        <w:tc>
          <w:tcPr>
            <w:tcW w:w="2550" w:type="dxa"/>
            <w:tcBorders>
              <w:top w:val="nil"/>
              <w:left w:val="nil"/>
              <w:bottom w:val="single" w:sz="4" w:space="0" w:color="auto"/>
              <w:right w:val="nil"/>
            </w:tcBorders>
            <w:shd w:val="clear" w:color="auto" w:fill="auto"/>
            <w:noWrap/>
            <w:vAlign w:val="center"/>
            <w:hideMark/>
          </w:tcPr>
          <w:p w14:paraId="47E2E456" w14:textId="77777777" w:rsidR="00AD55AA" w:rsidRPr="006C6F80" w:rsidRDefault="00AD55AA" w:rsidP="00AD55AA">
            <w:pPr>
              <w:jc w:val="center"/>
              <w:rPr>
                <w:color w:val="000000" w:themeColor="text1"/>
                <w:sz w:val="20"/>
                <w:szCs w:val="20"/>
              </w:rPr>
            </w:pPr>
            <w:r w:rsidRPr="006C6F80">
              <w:rPr>
                <w:color w:val="000000" w:themeColor="text1"/>
                <w:sz w:val="20"/>
                <w:szCs w:val="20"/>
              </w:rPr>
              <w:t>9.181</w:t>
            </w:r>
          </w:p>
        </w:tc>
        <w:tc>
          <w:tcPr>
            <w:tcW w:w="1890" w:type="dxa"/>
            <w:tcBorders>
              <w:top w:val="nil"/>
              <w:left w:val="nil"/>
              <w:bottom w:val="single" w:sz="4" w:space="0" w:color="auto"/>
              <w:right w:val="nil"/>
            </w:tcBorders>
            <w:shd w:val="clear" w:color="auto" w:fill="auto"/>
            <w:noWrap/>
            <w:vAlign w:val="center"/>
            <w:hideMark/>
          </w:tcPr>
          <w:p w14:paraId="665E9DAB" w14:textId="77777777" w:rsidR="00AD55AA" w:rsidRPr="006C6F80" w:rsidRDefault="00AD55AA" w:rsidP="00AD55AA">
            <w:pPr>
              <w:jc w:val="center"/>
              <w:rPr>
                <w:color w:val="000000" w:themeColor="text1"/>
                <w:sz w:val="20"/>
                <w:szCs w:val="20"/>
              </w:rPr>
            </w:pPr>
            <w:r w:rsidRPr="006C6F80">
              <w:rPr>
                <w:color w:val="000000" w:themeColor="text1"/>
                <w:sz w:val="20"/>
                <w:szCs w:val="20"/>
              </w:rPr>
              <w:t>10.876</w:t>
            </w:r>
          </w:p>
        </w:tc>
        <w:tc>
          <w:tcPr>
            <w:tcW w:w="1800" w:type="dxa"/>
            <w:tcBorders>
              <w:top w:val="nil"/>
              <w:left w:val="nil"/>
              <w:bottom w:val="single" w:sz="4" w:space="0" w:color="auto"/>
              <w:right w:val="nil"/>
            </w:tcBorders>
            <w:shd w:val="clear" w:color="auto" w:fill="auto"/>
            <w:noWrap/>
            <w:vAlign w:val="center"/>
            <w:hideMark/>
          </w:tcPr>
          <w:p w14:paraId="56D38E93" w14:textId="77777777" w:rsidR="00AD55AA" w:rsidRPr="006C6F80" w:rsidRDefault="00AD55AA" w:rsidP="00AD55AA">
            <w:pPr>
              <w:jc w:val="center"/>
              <w:rPr>
                <w:color w:val="000000" w:themeColor="text1"/>
                <w:sz w:val="20"/>
                <w:szCs w:val="20"/>
              </w:rPr>
            </w:pPr>
            <w:r w:rsidRPr="006C6F80">
              <w:rPr>
                <w:color w:val="000000" w:themeColor="text1"/>
                <w:sz w:val="20"/>
                <w:szCs w:val="20"/>
              </w:rPr>
              <w:t>16.243</w:t>
            </w:r>
          </w:p>
        </w:tc>
        <w:tc>
          <w:tcPr>
            <w:tcW w:w="1800" w:type="dxa"/>
            <w:tcBorders>
              <w:top w:val="nil"/>
              <w:left w:val="nil"/>
              <w:bottom w:val="single" w:sz="4" w:space="0" w:color="auto"/>
              <w:right w:val="nil"/>
            </w:tcBorders>
            <w:shd w:val="clear" w:color="auto" w:fill="auto"/>
            <w:noWrap/>
            <w:vAlign w:val="center"/>
            <w:hideMark/>
          </w:tcPr>
          <w:p w14:paraId="0D1174FF" w14:textId="77777777" w:rsidR="00AD55AA" w:rsidRPr="006C6F80" w:rsidRDefault="00AD55AA" w:rsidP="00AD55AA">
            <w:pPr>
              <w:jc w:val="center"/>
              <w:rPr>
                <w:color w:val="000000" w:themeColor="text1"/>
                <w:sz w:val="20"/>
                <w:szCs w:val="20"/>
              </w:rPr>
            </w:pPr>
            <w:r w:rsidRPr="006C6F80">
              <w:rPr>
                <w:color w:val="000000" w:themeColor="text1"/>
                <w:sz w:val="20"/>
                <w:szCs w:val="20"/>
              </w:rPr>
              <w:t>26.977</w:t>
            </w:r>
          </w:p>
        </w:tc>
        <w:tc>
          <w:tcPr>
            <w:tcW w:w="1800" w:type="dxa"/>
            <w:tcBorders>
              <w:top w:val="nil"/>
              <w:left w:val="nil"/>
              <w:bottom w:val="single" w:sz="4" w:space="0" w:color="auto"/>
              <w:right w:val="nil"/>
            </w:tcBorders>
            <w:shd w:val="clear" w:color="auto" w:fill="auto"/>
            <w:noWrap/>
            <w:vAlign w:val="center"/>
            <w:hideMark/>
          </w:tcPr>
          <w:p w14:paraId="71C21B13" w14:textId="77777777" w:rsidR="00AD55AA" w:rsidRPr="006C6F80" w:rsidRDefault="00AD55AA" w:rsidP="00AD55AA">
            <w:pPr>
              <w:jc w:val="center"/>
              <w:rPr>
                <w:color w:val="000000" w:themeColor="text1"/>
                <w:sz w:val="20"/>
                <w:szCs w:val="20"/>
              </w:rPr>
            </w:pPr>
            <w:r w:rsidRPr="006C6F80">
              <w:rPr>
                <w:color w:val="000000" w:themeColor="text1"/>
                <w:sz w:val="20"/>
                <w:szCs w:val="20"/>
              </w:rPr>
              <w:t>23.658</w:t>
            </w:r>
          </w:p>
        </w:tc>
        <w:tc>
          <w:tcPr>
            <w:tcW w:w="934" w:type="dxa"/>
            <w:gridSpan w:val="3"/>
            <w:tcBorders>
              <w:top w:val="nil"/>
              <w:left w:val="nil"/>
              <w:bottom w:val="single" w:sz="4" w:space="0" w:color="auto"/>
              <w:right w:val="nil"/>
            </w:tcBorders>
            <w:shd w:val="clear" w:color="auto" w:fill="auto"/>
            <w:noWrap/>
            <w:vAlign w:val="center"/>
            <w:hideMark/>
          </w:tcPr>
          <w:p w14:paraId="3E9589D6" w14:textId="77777777" w:rsidR="00AD55AA" w:rsidRPr="006C6F80" w:rsidRDefault="00AD55AA" w:rsidP="00AD55AA">
            <w:pPr>
              <w:jc w:val="center"/>
              <w:rPr>
                <w:color w:val="000000" w:themeColor="text1"/>
                <w:sz w:val="20"/>
                <w:szCs w:val="20"/>
              </w:rPr>
            </w:pPr>
            <w:r w:rsidRPr="006C6F80">
              <w:rPr>
                <w:color w:val="000000" w:themeColor="text1"/>
                <w:sz w:val="20"/>
                <w:szCs w:val="20"/>
              </w:rPr>
              <w:t>100.000</w:t>
            </w:r>
          </w:p>
        </w:tc>
      </w:tr>
      <w:tr w:rsidR="00AD55AA" w:rsidRPr="006C6F80" w14:paraId="0687741B" w14:textId="77777777" w:rsidTr="00AD55AA">
        <w:trPr>
          <w:gridAfter w:val="2"/>
          <w:wAfter w:w="150" w:type="dxa"/>
          <w:trHeight w:val="260"/>
        </w:trPr>
        <w:tc>
          <w:tcPr>
            <w:tcW w:w="14014" w:type="dxa"/>
            <w:gridSpan w:val="8"/>
            <w:tcBorders>
              <w:top w:val="nil"/>
              <w:left w:val="nil"/>
              <w:bottom w:val="single" w:sz="4" w:space="0" w:color="auto"/>
              <w:right w:val="nil"/>
            </w:tcBorders>
            <w:shd w:val="clear" w:color="auto" w:fill="auto"/>
            <w:noWrap/>
            <w:vAlign w:val="center"/>
            <w:hideMark/>
          </w:tcPr>
          <w:p w14:paraId="627A3D1D" w14:textId="77777777" w:rsidR="00AD55AA" w:rsidRPr="006C6F80" w:rsidRDefault="00AD55AA" w:rsidP="00AD55AA">
            <w:pPr>
              <w:jc w:val="center"/>
              <w:rPr>
                <w:b/>
                <w:bCs/>
                <w:color w:val="000000" w:themeColor="text1"/>
                <w:sz w:val="20"/>
                <w:szCs w:val="20"/>
              </w:rPr>
            </w:pPr>
            <w:r w:rsidRPr="006C6F80">
              <w:rPr>
                <w:b/>
                <w:bCs/>
                <w:color w:val="000000" w:themeColor="text1"/>
                <w:sz w:val="20"/>
                <w:szCs w:val="20"/>
              </w:rPr>
              <w:t>Panel B: Returnees (N=328)</w:t>
            </w:r>
          </w:p>
        </w:tc>
      </w:tr>
      <w:tr w:rsidR="00AD55AA" w:rsidRPr="006C6F80" w14:paraId="4AF24741" w14:textId="77777777" w:rsidTr="00AD55AA">
        <w:trPr>
          <w:trHeight w:val="260"/>
        </w:trPr>
        <w:tc>
          <w:tcPr>
            <w:tcW w:w="2624" w:type="dxa"/>
            <w:tcBorders>
              <w:top w:val="nil"/>
              <w:left w:val="nil"/>
              <w:bottom w:val="nil"/>
              <w:right w:val="nil"/>
            </w:tcBorders>
            <w:shd w:val="clear" w:color="auto" w:fill="auto"/>
            <w:noWrap/>
            <w:vAlign w:val="center"/>
            <w:hideMark/>
          </w:tcPr>
          <w:p w14:paraId="157DD8DF" w14:textId="77777777" w:rsidR="00AD55AA" w:rsidRPr="006C6F80" w:rsidRDefault="00AD55AA" w:rsidP="00AD55AA">
            <w:pPr>
              <w:rPr>
                <w:color w:val="000000" w:themeColor="text1"/>
                <w:sz w:val="20"/>
                <w:szCs w:val="20"/>
              </w:rPr>
            </w:pPr>
            <w:r w:rsidRPr="006C6F80">
              <w:rPr>
                <w:color w:val="000000" w:themeColor="text1"/>
                <w:sz w:val="20"/>
                <w:szCs w:val="20"/>
              </w:rPr>
              <w:t>Cairo</w:t>
            </w:r>
          </w:p>
        </w:tc>
        <w:tc>
          <w:tcPr>
            <w:tcW w:w="766" w:type="dxa"/>
            <w:tcBorders>
              <w:top w:val="nil"/>
              <w:left w:val="nil"/>
              <w:bottom w:val="nil"/>
              <w:right w:val="nil"/>
            </w:tcBorders>
            <w:shd w:val="clear" w:color="auto" w:fill="auto"/>
            <w:noWrap/>
            <w:vAlign w:val="center"/>
            <w:hideMark/>
          </w:tcPr>
          <w:p w14:paraId="17F5AB2C" w14:textId="77777777" w:rsidR="00AD55AA" w:rsidRPr="006C6F80" w:rsidRDefault="00AD55AA" w:rsidP="00AD55AA">
            <w:pPr>
              <w:jc w:val="center"/>
              <w:rPr>
                <w:color w:val="000000" w:themeColor="text1"/>
                <w:sz w:val="20"/>
                <w:szCs w:val="20"/>
              </w:rPr>
            </w:pPr>
            <w:r w:rsidRPr="006C6F80">
              <w:rPr>
                <w:color w:val="000000" w:themeColor="text1"/>
                <w:sz w:val="20"/>
                <w:szCs w:val="20"/>
              </w:rPr>
              <w:t>6.098</w:t>
            </w:r>
          </w:p>
        </w:tc>
        <w:tc>
          <w:tcPr>
            <w:tcW w:w="2550" w:type="dxa"/>
            <w:tcBorders>
              <w:top w:val="nil"/>
              <w:left w:val="nil"/>
              <w:bottom w:val="nil"/>
              <w:right w:val="nil"/>
            </w:tcBorders>
            <w:shd w:val="clear" w:color="auto" w:fill="auto"/>
            <w:noWrap/>
            <w:vAlign w:val="center"/>
            <w:hideMark/>
          </w:tcPr>
          <w:p w14:paraId="46B46763"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1890" w:type="dxa"/>
            <w:tcBorders>
              <w:top w:val="nil"/>
              <w:left w:val="nil"/>
              <w:bottom w:val="nil"/>
              <w:right w:val="nil"/>
            </w:tcBorders>
            <w:shd w:val="clear" w:color="auto" w:fill="auto"/>
            <w:noWrap/>
            <w:vAlign w:val="center"/>
            <w:hideMark/>
          </w:tcPr>
          <w:p w14:paraId="11EF27D8"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1800" w:type="dxa"/>
            <w:tcBorders>
              <w:top w:val="nil"/>
              <w:left w:val="nil"/>
              <w:bottom w:val="nil"/>
              <w:right w:val="nil"/>
            </w:tcBorders>
            <w:shd w:val="clear" w:color="auto" w:fill="auto"/>
            <w:noWrap/>
            <w:vAlign w:val="center"/>
            <w:hideMark/>
          </w:tcPr>
          <w:p w14:paraId="1ED84C02"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1800" w:type="dxa"/>
            <w:tcBorders>
              <w:top w:val="nil"/>
              <w:left w:val="nil"/>
              <w:bottom w:val="nil"/>
              <w:right w:val="nil"/>
            </w:tcBorders>
            <w:shd w:val="clear" w:color="auto" w:fill="auto"/>
            <w:noWrap/>
            <w:vAlign w:val="center"/>
            <w:hideMark/>
          </w:tcPr>
          <w:p w14:paraId="6AE8A797" w14:textId="77777777" w:rsidR="00AD55AA" w:rsidRPr="006C6F80" w:rsidRDefault="00AD55AA" w:rsidP="00AD55AA">
            <w:pPr>
              <w:jc w:val="center"/>
              <w:rPr>
                <w:color w:val="000000" w:themeColor="text1"/>
                <w:sz w:val="20"/>
                <w:szCs w:val="20"/>
              </w:rPr>
            </w:pPr>
            <w:r w:rsidRPr="006C6F80">
              <w:rPr>
                <w:color w:val="000000" w:themeColor="text1"/>
                <w:sz w:val="20"/>
                <w:szCs w:val="20"/>
              </w:rPr>
              <w:t>0.305</w:t>
            </w:r>
          </w:p>
        </w:tc>
        <w:tc>
          <w:tcPr>
            <w:tcW w:w="1800" w:type="dxa"/>
            <w:tcBorders>
              <w:top w:val="nil"/>
              <w:left w:val="nil"/>
              <w:bottom w:val="nil"/>
              <w:right w:val="nil"/>
            </w:tcBorders>
            <w:shd w:val="clear" w:color="auto" w:fill="auto"/>
            <w:noWrap/>
            <w:vAlign w:val="center"/>
            <w:hideMark/>
          </w:tcPr>
          <w:p w14:paraId="7A7234E7"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934" w:type="dxa"/>
            <w:gridSpan w:val="3"/>
            <w:tcBorders>
              <w:top w:val="nil"/>
              <w:left w:val="nil"/>
              <w:bottom w:val="nil"/>
              <w:right w:val="nil"/>
            </w:tcBorders>
            <w:shd w:val="clear" w:color="auto" w:fill="auto"/>
            <w:noWrap/>
            <w:vAlign w:val="center"/>
            <w:hideMark/>
          </w:tcPr>
          <w:p w14:paraId="0A64753C" w14:textId="77777777" w:rsidR="00AD55AA" w:rsidRPr="006C6F80" w:rsidRDefault="00AD55AA" w:rsidP="00AD55AA">
            <w:pPr>
              <w:jc w:val="center"/>
              <w:rPr>
                <w:color w:val="000000" w:themeColor="text1"/>
                <w:sz w:val="20"/>
                <w:szCs w:val="20"/>
              </w:rPr>
            </w:pPr>
            <w:r w:rsidRPr="006C6F80">
              <w:rPr>
                <w:color w:val="000000" w:themeColor="text1"/>
                <w:sz w:val="20"/>
                <w:szCs w:val="20"/>
              </w:rPr>
              <w:t>6.402</w:t>
            </w:r>
          </w:p>
        </w:tc>
      </w:tr>
      <w:tr w:rsidR="00AD55AA" w:rsidRPr="006C6F80" w14:paraId="46BCB660" w14:textId="77777777" w:rsidTr="00AD55AA">
        <w:trPr>
          <w:trHeight w:val="260"/>
        </w:trPr>
        <w:tc>
          <w:tcPr>
            <w:tcW w:w="2624" w:type="dxa"/>
            <w:tcBorders>
              <w:top w:val="nil"/>
              <w:left w:val="nil"/>
              <w:bottom w:val="nil"/>
              <w:right w:val="nil"/>
            </w:tcBorders>
            <w:shd w:val="clear" w:color="auto" w:fill="auto"/>
            <w:noWrap/>
            <w:vAlign w:val="center"/>
            <w:hideMark/>
          </w:tcPr>
          <w:p w14:paraId="4BA454E4" w14:textId="77777777" w:rsidR="00AD55AA" w:rsidRPr="006C6F80" w:rsidRDefault="00AD55AA" w:rsidP="00AD55AA">
            <w:pPr>
              <w:rPr>
                <w:color w:val="000000" w:themeColor="text1"/>
                <w:sz w:val="20"/>
                <w:szCs w:val="20"/>
              </w:rPr>
            </w:pPr>
            <w:r w:rsidRPr="006C6F80">
              <w:rPr>
                <w:color w:val="000000" w:themeColor="text1"/>
                <w:sz w:val="20"/>
                <w:szCs w:val="20"/>
              </w:rPr>
              <w:t>Alexandria and Canal cities</w:t>
            </w:r>
          </w:p>
        </w:tc>
        <w:tc>
          <w:tcPr>
            <w:tcW w:w="766" w:type="dxa"/>
            <w:tcBorders>
              <w:top w:val="nil"/>
              <w:left w:val="nil"/>
              <w:bottom w:val="nil"/>
              <w:right w:val="nil"/>
            </w:tcBorders>
            <w:shd w:val="clear" w:color="auto" w:fill="auto"/>
            <w:noWrap/>
            <w:vAlign w:val="center"/>
            <w:hideMark/>
          </w:tcPr>
          <w:p w14:paraId="7A598538"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2550" w:type="dxa"/>
            <w:tcBorders>
              <w:top w:val="nil"/>
              <w:left w:val="nil"/>
              <w:bottom w:val="nil"/>
              <w:right w:val="nil"/>
            </w:tcBorders>
            <w:shd w:val="clear" w:color="auto" w:fill="auto"/>
            <w:noWrap/>
            <w:vAlign w:val="center"/>
            <w:hideMark/>
          </w:tcPr>
          <w:p w14:paraId="57589FBE" w14:textId="77777777" w:rsidR="00AD55AA" w:rsidRPr="006C6F80" w:rsidRDefault="00AD55AA" w:rsidP="00AD55AA">
            <w:pPr>
              <w:jc w:val="center"/>
              <w:rPr>
                <w:color w:val="000000" w:themeColor="text1"/>
                <w:sz w:val="20"/>
                <w:szCs w:val="20"/>
              </w:rPr>
            </w:pPr>
            <w:r w:rsidRPr="006C6F80">
              <w:rPr>
                <w:color w:val="000000" w:themeColor="text1"/>
                <w:sz w:val="20"/>
                <w:szCs w:val="20"/>
              </w:rPr>
              <w:t>2.744</w:t>
            </w:r>
          </w:p>
        </w:tc>
        <w:tc>
          <w:tcPr>
            <w:tcW w:w="1890" w:type="dxa"/>
            <w:tcBorders>
              <w:top w:val="nil"/>
              <w:left w:val="nil"/>
              <w:bottom w:val="nil"/>
              <w:right w:val="nil"/>
            </w:tcBorders>
            <w:shd w:val="clear" w:color="auto" w:fill="auto"/>
            <w:noWrap/>
            <w:vAlign w:val="center"/>
            <w:hideMark/>
          </w:tcPr>
          <w:p w14:paraId="7DF51329" w14:textId="77777777" w:rsidR="00AD55AA" w:rsidRPr="006C6F80" w:rsidRDefault="00AD55AA" w:rsidP="00AD55AA">
            <w:pPr>
              <w:jc w:val="center"/>
              <w:rPr>
                <w:color w:val="000000" w:themeColor="text1"/>
                <w:sz w:val="20"/>
                <w:szCs w:val="20"/>
              </w:rPr>
            </w:pPr>
            <w:r w:rsidRPr="006C6F80">
              <w:rPr>
                <w:color w:val="000000" w:themeColor="text1"/>
                <w:sz w:val="20"/>
                <w:szCs w:val="20"/>
              </w:rPr>
              <w:t>0.305</w:t>
            </w:r>
          </w:p>
        </w:tc>
        <w:tc>
          <w:tcPr>
            <w:tcW w:w="1800" w:type="dxa"/>
            <w:tcBorders>
              <w:top w:val="nil"/>
              <w:left w:val="nil"/>
              <w:bottom w:val="nil"/>
              <w:right w:val="nil"/>
            </w:tcBorders>
            <w:shd w:val="clear" w:color="auto" w:fill="auto"/>
            <w:noWrap/>
            <w:vAlign w:val="center"/>
            <w:hideMark/>
          </w:tcPr>
          <w:p w14:paraId="3DED159D"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1800" w:type="dxa"/>
            <w:tcBorders>
              <w:top w:val="nil"/>
              <w:left w:val="nil"/>
              <w:bottom w:val="nil"/>
              <w:right w:val="nil"/>
            </w:tcBorders>
            <w:shd w:val="clear" w:color="auto" w:fill="auto"/>
            <w:noWrap/>
            <w:vAlign w:val="center"/>
            <w:hideMark/>
          </w:tcPr>
          <w:p w14:paraId="4B62FC7B" w14:textId="77777777" w:rsidR="00AD55AA" w:rsidRPr="006C6F80" w:rsidRDefault="00AD55AA" w:rsidP="00AD55AA">
            <w:pPr>
              <w:jc w:val="center"/>
              <w:rPr>
                <w:color w:val="000000" w:themeColor="text1"/>
                <w:sz w:val="20"/>
                <w:szCs w:val="20"/>
              </w:rPr>
            </w:pPr>
            <w:r w:rsidRPr="006C6F80">
              <w:rPr>
                <w:color w:val="000000" w:themeColor="text1"/>
                <w:sz w:val="20"/>
                <w:szCs w:val="20"/>
              </w:rPr>
              <w:t>0.305</w:t>
            </w:r>
          </w:p>
        </w:tc>
        <w:tc>
          <w:tcPr>
            <w:tcW w:w="1800" w:type="dxa"/>
            <w:tcBorders>
              <w:top w:val="nil"/>
              <w:left w:val="nil"/>
              <w:bottom w:val="nil"/>
              <w:right w:val="nil"/>
            </w:tcBorders>
            <w:shd w:val="clear" w:color="auto" w:fill="auto"/>
            <w:noWrap/>
            <w:vAlign w:val="center"/>
            <w:hideMark/>
          </w:tcPr>
          <w:p w14:paraId="2F7CC95C"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934" w:type="dxa"/>
            <w:gridSpan w:val="3"/>
            <w:tcBorders>
              <w:top w:val="nil"/>
              <w:left w:val="nil"/>
              <w:bottom w:val="nil"/>
              <w:right w:val="nil"/>
            </w:tcBorders>
            <w:shd w:val="clear" w:color="auto" w:fill="auto"/>
            <w:noWrap/>
            <w:vAlign w:val="center"/>
            <w:hideMark/>
          </w:tcPr>
          <w:p w14:paraId="61459D9F" w14:textId="77777777" w:rsidR="00AD55AA" w:rsidRPr="006C6F80" w:rsidRDefault="00AD55AA" w:rsidP="00AD55AA">
            <w:pPr>
              <w:jc w:val="center"/>
              <w:rPr>
                <w:color w:val="000000" w:themeColor="text1"/>
                <w:sz w:val="20"/>
                <w:szCs w:val="20"/>
              </w:rPr>
            </w:pPr>
            <w:r w:rsidRPr="006C6F80">
              <w:rPr>
                <w:color w:val="000000" w:themeColor="text1"/>
                <w:sz w:val="20"/>
                <w:szCs w:val="20"/>
              </w:rPr>
              <w:t>3.354</w:t>
            </w:r>
          </w:p>
        </w:tc>
      </w:tr>
      <w:tr w:rsidR="00AD55AA" w:rsidRPr="006C6F80" w14:paraId="6F398871" w14:textId="77777777" w:rsidTr="00AD55AA">
        <w:trPr>
          <w:trHeight w:val="260"/>
        </w:trPr>
        <w:tc>
          <w:tcPr>
            <w:tcW w:w="2624" w:type="dxa"/>
            <w:tcBorders>
              <w:top w:val="nil"/>
              <w:left w:val="nil"/>
              <w:bottom w:val="nil"/>
              <w:right w:val="nil"/>
            </w:tcBorders>
            <w:shd w:val="clear" w:color="auto" w:fill="auto"/>
            <w:noWrap/>
            <w:vAlign w:val="center"/>
            <w:hideMark/>
          </w:tcPr>
          <w:p w14:paraId="50AD6401" w14:textId="77777777" w:rsidR="00AD55AA" w:rsidRPr="006C6F80" w:rsidRDefault="00AD55AA" w:rsidP="00AD55AA">
            <w:pPr>
              <w:rPr>
                <w:color w:val="000000" w:themeColor="text1"/>
                <w:sz w:val="20"/>
                <w:szCs w:val="20"/>
              </w:rPr>
            </w:pPr>
            <w:r w:rsidRPr="006C6F80">
              <w:rPr>
                <w:color w:val="000000" w:themeColor="text1"/>
                <w:sz w:val="20"/>
                <w:szCs w:val="20"/>
              </w:rPr>
              <w:t>Urban Lower Egypt</w:t>
            </w:r>
          </w:p>
        </w:tc>
        <w:tc>
          <w:tcPr>
            <w:tcW w:w="766" w:type="dxa"/>
            <w:tcBorders>
              <w:top w:val="nil"/>
              <w:left w:val="nil"/>
              <w:bottom w:val="nil"/>
              <w:right w:val="nil"/>
            </w:tcBorders>
            <w:shd w:val="clear" w:color="auto" w:fill="auto"/>
            <w:noWrap/>
            <w:vAlign w:val="center"/>
            <w:hideMark/>
          </w:tcPr>
          <w:p w14:paraId="26E2601E" w14:textId="77777777" w:rsidR="00AD55AA" w:rsidRPr="006C6F80" w:rsidRDefault="00AD55AA" w:rsidP="00AD55AA">
            <w:pPr>
              <w:jc w:val="center"/>
              <w:rPr>
                <w:color w:val="000000" w:themeColor="text1"/>
                <w:sz w:val="20"/>
                <w:szCs w:val="20"/>
              </w:rPr>
            </w:pPr>
            <w:r w:rsidRPr="006C6F80">
              <w:rPr>
                <w:color w:val="000000" w:themeColor="text1"/>
                <w:sz w:val="20"/>
                <w:szCs w:val="20"/>
              </w:rPr>
              <w:t>0.305</w:t>
            </w:r>
          </w:p>
        </w:tc>
        <w:tc>
          <w:tcPr>
            <w:tcW w:w="2550" w:type="dxa"/>
            <w:tcBorders>
              <w:top w:val="nil"/>
              <w:left w:val="nil"/>
              <w:bottom w:val="nil"/>
              <w:right w:val="nil"/>
            </w:tcBorders>
            <w:shd w:val="clear" w:color="auto" w:fill="auto"/>
            <w:noWrap/>
            <w:vAlign w:val="center"/>
            <w:hideMark/>
          </w:tcPr>
          <w:p w14:paraId="558E2C00" w14:textId="77777777" w:rsidR="00AD55AA" w:rsidRPr="006C6F80" w:rsidRDefault="00AD55AA" w:rsidP="00AD55AA">
            <w:pPr>
              <w:jc w:val="center"/>
              <w:rPr>
                <w:color w:val="000000" w:themeColor="text1"/>
                <w:sz w:val="20"/>
                <w:szCs w:val="20"/>
              </w:rPr>
            </w:pPr>
            <w:r w:rsidRPr="006C6F80">
              <w:rPr>
                <w:color w:val="000000" w:themeColor="text1"/>
                <w:sz w:val="20"/>
                <w:szCs w:val="20"/>
              </w:rPr>
              <w:t>0.610</w:t>
            </w:r>
          </w:p>
        </w:tc>
        <w:tc>
          <w:tcPr>
            <w:tcW w:w="1890" w:type="dxa"/>
            <w:tcBorders>
              <w:top w:val="nil"/>
              <w:left w:val="nil"/>
              <w:bottom w:val="nil"/>
              <w:right w:val="nil"/>
            </w:tcBorders>
            <w:shd w:val="clear" w:color="auto" w:fill="auto"/>
            <w:noWrap/>
            <w:vAlign w:val="center"/>
            <w:hideMark/>
          </w:tcPr>
          <w:p w14:paraId="4A3AD251" w14:textId="77777777" w:rsidR="00AD55AA" w:rsidRPr="006C6F80" w:rsidRDefault="00AD55AA" w:rsidP="00AD55AA">
            <w:pPr>
              <w:jc w:val="center"/>
              <w:rPr>
                <w:color w:val="000000" w:themeColor="text1"/>
                <w:sz w:val="20"/>
                <w:szCs w:val="20"/>
              </w:rPr>
            </w:pPr>
            <w:r w:rsidRPr="006C6F80">
              <w:rPr>
                <w:color w:val="000000" w:themeColor="text1"/>
                <w:sz w:val="20"/>
                <w:szCs w:val="20"/>
              </w:rPr>
              <w:t>12.805</w:t>
            </w:r>
          </w:p>
        </w:tc>
        <w:tc>
          <w:tcPr>
            <w:tcW w:w="1800" w:type="dxa"/>
            <w:tcBorders>
              <w:top w:val="nil"/>
              <w:left w:val="nil"/>
              <w:bottom w:val="nil"/>
              <w:right w:val="nil"/>
            </w:tcBorders>
            <w:shd w:val="clear" w:color="auto" w:fill="auto"/>
            <w:noWrap/>
            <w:vAlign w:val="center"/>
            <w:hideMark/>
          </w:tcPr>
          <w:p w14:paraId="4DA350DB"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1800" w:type="dxa"/>
            <w:tcBorders>
              <w:top w:val="nil"/>
              <w:left w:val="nil"/>
              <w:bottom w:val="nil"/>
              <w:right w:val="nil"/>
            </w:tcBorders>
            <w:shd w:val="clear" w:color="auto" w:fill="auto"/>
            <w:noWrap/>
            <w:vAlign w:val="center"/>
            <w:hideMark/>
          </w:tcPr>
          <w:p w14:paraId="0D61BCD3" w14:textId="77777777" w:rsidR="00AD55AA" w:rsidRPr="006C6F80" w:rsidRDefault="00AD55AA" w:rsidP="00AD55AA">
            <w:pPr>
              <w:jc w:val="center"/>
              <w:rPr>
                <w:color w:val="000000" w:themeColor="text1"/>
                <w:sz w:val="20"/>
                <w:szCs w:val="20"/>
              </w:rPr>
            </w:pPr>
            <w:r w:rsidRPr="006C6F80">
              <w:rPr>
                <w:color w:val="000000" w:themeColor="text1"/>
                <w:sz w:val="20"/>
                <w:szCs w:val="20"/>
              </w:rPr>
              <w:t>0.610</w:t>
            </w:r>
          </w:p>
        </w:tc>
        <w:tc>
          <w:tcPr>
            <w:tcW w:w="1800" w:type="dxa"/>
            <w:tcBorders>
              <w:top w:val="nil"/>
              <w:left w:val="nil"/>
              <w:bottom w:val="nil"/>
              <w:right w:val="nil"/>
            </w:tcBorders>
            <w:shd w:val="clear" w:color="auto" w:fill="auto"/>
            <w:noWrap/>
            <w:vAlign w:val="center"/>
            <w:hideMark/>
          </w:tcPr>
          <w:p w14:paraId="7995A744"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934" w:type="dxa"/>
            <w:gridSpan w:val="3"/>
            <w:tcBorders>
              <w:top w:val="nil"/>
              <w:left w:val="nil"/>
              <w:bottom w:val="nil"/>
              <w:right w:val="nil"/>
            </w:tcBorders>
            <w:shd w:val="clear" w:color="auto" w:fill="auto"/>
            <w:noWrap/>
            <w:vAlign w:val="center"/>
            <w:hideMark/>
          </w:tcPr>
          <w:p w14:paraId="7D3ED9E1" w14:textId="77777777" w:rsidR="00AD55AA" w:rsidRPr="006C6F80" w:rsidRDefault="00AD55AA" w:rsidP="00AD55AA">
            <w:pPr>
              <w:jc w:val="center"/>
              <w:rPr>
                <w:color w:val="000000" w:themeColor="text1"/>
                <w:sz w:val="20"/>
                <w:szCs w:val="20"/>
              </w:rPr>
            </w:pPr>
            <w:r w:rsidRPr="006C6F80">
              <w:rPr>
                <w:color w:val="000000" w:themeColor="text1"/>
                <w:sz w:val="20"/>
                <w:szCs w:val="20"/>
              </w:rPr>
              <w:t>14.329</w:t>
            </w:r>
          </w:p>
        </w:tc>
      </w:tr>
      <w:tr w:rsidR="00AD55AA" w:rsidRPr="006C6F80" w14:paraId="10EAE4A0" w14:textId="77777777" w:rsidTr="00AD55AA">
        <w:trPr>
          <w:trHeight w:val="260"/>
        </w:trPr>
        <w:tc>
          <w:tcPr>
            <w:tcW w:w="2624" w:type="dxa"/>
            <w:tcBorders>
              <w:top w:val="nil"/>
              <w:left w:val="nil"/>
              <w:bottom w:val="nil"/>
              <w:right w:val="nil"/>
            </w:tcBorders>
            <w:shd w:val="clear" w:color="auto" w:fill="auto"/>
            <w:noWrap/>
            <w:vAlign w:val="center"/>
            <w:hideMark/>
          </w:tcPr>
          <w:p w14:paraId="0D34530F" w14:textId="77777777" w:rsidR="00AD55AA" w:rsidRPr="006C6F80" w:rsidRDefault="00AD55AA" w:rsidP="00AD55AA">
            <w:pPr>
              <w:rPr>
                <w:color w:val="000000" w:themeColor="text1"/>
                <w:sz w:val="20"/>
                <w:szCs w:val="20"/>
              </w:rPr>
            </w:pPr>
            <w:r w:rsidRPr="006C6F80">
              <w:rPr>
                <w:color w:val="000000" w:themeColor="text1"/>
                <w:sz w:val="20"/>
                <w:szCs w:val="20"/>
              </w:rPr>
              <w:t>Urban Upper Egypt</w:t>
            </w:r>
          </w:p>
        </w:tc>
        <w:tc>
          <w:tcPr>
            <w:tcW w:w="766" w:type="dxa"/>
            <w:tcBorders>
              <w:top w:val="nil"/>
              <w:left w:val="nil"/>
              <w:bottom w:val="nil"/>
              <w:right w:val="nil"/>
            </w:tcBorders>
            <w:shd w:val="clear" w:color="auto" w:fill="auto"/>
            <w:noWrap/>
            <w:vAlign w:val="center"/>
            <w:hideMark/>
          </w:tcPr>
          <w:p w14:paraId="2B63319B"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2550" w:type="dxa"/>
            <w:tcBorders>
              <w:top w:val="nil"/>
              <w:left w:val="nil"/>
              <w:bottom w:val="nil"/>
              <w:right w:val="nil"/>
            </w:tcBorders>
            <w:shd w:val="clear" w:color="auto" w:fill="auto"/>
            <w:noWrap/>
            <w:vAlign w:val="center"/>
            <w:hideMark/>
          </w:tcPr>
          <w:p w14:paraId="1772C1E8" w14:textId="77777777" w:rsidR="00AD55AA" w:rsidRPr="006C6F80" w:rsidRDefault="00AD55AA" w:rsidP="00AD55AA">
            <w:pPr>
              <w:jc w:val="center"/>
              <w:rPr>
                <w:color w:val="000000" w:themeColor="text1"/>
                <w:sz w:val="20"/>
                <w:szCs w:val="20"/>
              </w:rPr>
            </w:pPr>
            <w:r w:rsidRPr="006C6F80">
              <w:rPr>
                <w:color w:val="000000" w:themeColor="text1"/>
                <w:sz w:val="20"/>
                <w:szCs w:val="20"/>
              </w:rPr>
              <w:t>0.610</w:t>
            </w:r>
          </w:p>
        </w:tc>
        <w:tc>
          <w:tcPr>
            <w:tcW w:w="1890" w:type="dxa"/>
            <w:tcBorders>
              <w:top w:val="nil"/>
              <w:left w:val="nil"/>
              <w:bottom w:val="nil"/>
              <w:right w:val="nil"/>
            </w:tcBorders>
            <w:shd w:val="clear" w:color="auto" w:fill="auto"/>
            <w:noWrap/>
            <w:vAlign w:val="center"/>
            <w:hideMark/>
          </w:tcPr>
          <w:p w14:paraId="28859668"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1800" w:type="dxa"/>
            <w:tcBorders>
              <w:top w:val="nil"/>
              <w:left w:val="nil"/>
              <w:bottom w:val="nil"/>
              <w:right w:val="nil"/>
            </w:tcBorders>
            <w:shd w:val="clear" w:color="auto" w:fill="auto"/>
            <w:noWrap/>
            <w:vAlign w:val="center"/>
            <w:hideMark/>
          </w:tcPr>
          <w:p w14:paraId="27E7E54E" w14:textId="77777777" w:rsidR="00AD55AA" w:rsidRPr="006C6F80" w:rsidRDefault="00AD55AA" w:rsidP="00AD55AA">
            <w:pPr>
              <w:jc w:val="center"/>
              <w:rPr>
                <w:color w:val="000000" w:themeColor="text1"/>
                <w:sz w:val="20"/>
                <w:szCs w:val="20"/>
              </w:rPr>
            </w:pPr>
            <w:r w:rsidRPr="006C6F80">
              <w:rPr>
                <w:color w:val="000000" w:themeColor="text1"/>
                <w:sz w:val="20"/>
                <w:szCs w:val="20"/>
              </w:rPr>
              <w:t>8.537</w:t>
            </w:r>
          </w:p>
        </w:tc>
        <w:tc>
          <w:tcPr>
            <w:tcW w:w="1800" w:type="dxa"/>
            <w:tcBorders>
              <w:top w:val="nil"/>
              <w:left w:val="nil"/>
              <w:bottom w:val="nil"/>
              <w:right w:val="nil"/>
            </w:tcBorders>
            <w:shd w:val="clear" w:color="auto" w:fill="auto"/>
            <w:noWrap/>
            <w:vAlign w:val="center"/>
            <w:hideMark/>
          </w:tcPr>
          <w:p w14:paraId="0654ACCB"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1800" w:type="dxa"/>
            <w:tcBorders>
              <w:top w:val="nil"/>
              <w:left w:val="nil"/>
              <w:bottom w:val="nil"/>
              <w:right w:val="nil"/>
            </w:tcBorders>
            <w:shd w:val="clear" w:color="auto" w:fill="auto"/>
            <w:noWrap/>
            <w:vAlign w:val="center"/>
            <w:hideMark/>
          </w:tcPr>
          <w:p w14:paraId="797597D9" w14:textId="77777777" w:rsidR="00AD55AA" w:rsidRPr="006C6F80" w:rsidRDefault="00AD55AA" w:rsidP="00AD55AA">
            <w:pPr>
              <w:jc w:val="center"/>
              <w:rPr>
                <w:color w:val="000000" w:themeColor="text1"/>
                <w:sz w:val="20"/>
                <w:szCs w:val="20"/>
              </w:rPr>
            </w:pPr>
            <w:r w:rsidRPr="006C6F80">
              <w:rPr>
                <w:color w:val="000000" w:themeColor="text1"/>
                <w:sz w:val="20"/>
                <w:szCs w:val="20"/>
              </w:rPr>
              <w:t>0.305</w:t>
            </w:r>
          </w:p>
        </w:tc>
        <w:tc>
          <w:tcPr>
            <w:tcW w:w="934" w:type="dxa"/>
            <w:gridSpan w:val="3"/>
            <w:tcBorders>
              <w:top w:val="nil"/>
              <w:left w:val="nil"/>
              <w:bottom w:val="nil"/>
              <w:right w:val="nil"/>
            </w:tcBorders>
            <w:shd w:val="clear" w:color="auto" w:fill="auto"/>
            <w:noWrap/>
            <w:vAlign w:val="center"/>
            <w:hideMark/>
          </w:tcPr>
          <w:p w14:paraId="2F4F5133" w14:textId="77777777" w:rsidR="00AD55AA" w:rsidRPr="006C6F80" w:rsidRDefault="00AD55AA" w:rsidP="00AD55AA">
            <w:pPr>
              <w:jc w:val="center"/>
              <w:rPr>
                <w:color w:val="000000" w:themeColor="text1"/>
                <w:sz w:val="20"/>
                <w:szCs w:val="20"/>
              </w:rPr>
            </w:pPr>
            <w:r w:rsidRPr="006C6F80">
              <w:rPr>
                <w:color w:val="000000" w:themeColor="text1"/>
                <w:sz w:val="20"/>
                <w:szCs w:val="20"/>
              </w:rPr>
              <w:t>9.451</w:t>
            </w:r>
          </w:p>
        </w:tc>
      </w:tr>
      <w:tr w:rsidR="00AD55AA" w:rsidRPr="006C6F80" w14:paraId="69780627" w14:textId="77777777" w:rsidTr="00AD55AA">
        <w:trPr>
          <w:trHeight w:val="260"/>
        </w:trPr>
        <w:tc>
          <w:tcPr>
            <w:tcW w:w="2624" w:type="dxa"/>
            <w:tcBorders>
              <w:top w:val="nil"/>
              <w:left w:val="nil"/>
              <w:bottom w:val="nil"/>
              <w:right w:val="nil"/>
            </w:tcBorders>
            <w:shd w:val="clear" w:color="auto" w:fill="auto"/>
            <w:noWrap/>
            <w:vAlign w:val="center"/>
            <w:hideMark/>
          </w:tcPr>
          <w:p w14:paraId="1E519276" w14:textId="77777777" w:rsidR="00AD55AA" w:rsidRPr="006C6F80" w:rsidRDefault="00AD55AA" w:rsidP="00AD55AA">
            <w:pPr>
              <w:rPr>
                <w:color w:val="000000" w:themeColor="text1"/>
                <w:sz w:val="20"/>
                <w:szCs w:val="20"/>
              </w:rPr>
            </w:pPr>
            <w:r w:rsidRPr="006C6F80">
              <w:rPr>
                <w:color w:val="000000" w:themeColor="text1"/>
                <w:sz w:val="20"/>
                <w:szCs w:val="20"/>
              </w:rPr>
              <w:t>Rural Lower Egypt</w:t>
            </w:r>
          </w:p>
        </w:tc>
        <w:tc>
          <w:tcPr>
            <w:tcW w:w="766" w:type="dxa"/>
            <w:tcBorders>
              <w:top w:val="nil"/>
              <w:left w:val="nil"/>
              <w:bottom w:val="nil"/>
              <w:right w:val="nil"/>
            </w:tcBorders>
            <w:shd w:val="clear" w:color="auto" w:fill="auto"/>
            <w:noWrap/>
            <w:vAlign w:val="center"/>
            <w:hideMark/>
          </w:tcPr>
          <w:p w14:paraId="3A6C8585"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2550" w:type="dxa"/>
            <w:tcBorders>
              <w:top w:val="nil"/>
              <w:left w:val="nil"/>
              <w:bottom w:val="nil"/>
              <w:right w:val="nil"/>
            </w:tcBorders>
            <w:shd w:val="clear" w:color="auto" w:fill="auto"/>
            <w:noWrap/>
            <w:vAlign w:val="center"/>
            <w:hideMark/>
          </w:tcPr>
          <w:p w14:paraId="704B122F"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1890" w:type="dxa"/>
            <w:tcBorders>
              <w:top w:val="nil"/>
              <w:left w:val="nil"/>
              <w:bottom w:val="nil"/>
              <w:right w:val="nil"/>
            </w:tcBorders>
            <w:shd w:val="clear" w:color="auto" w:fill="auto"/>
            <w:noWrap/>
            <w:vAlign w:val="center"/>
            <w:hideMark/>
          </w:tcPr>
          <w:p w14:paraId="0B05913C" w14:textId="77777777" w:rsidR="00AD55AA" w:rsidRPr="006C6F80" w:rsidRDefault="00AD55AA" w:rsidP="00AD55AA">
            <w:pPr>
              <w:jc w:val="center"/>
              <w:rPr>
                <w:color w:val="000000" w:themeColor="text1"/>
                <w:sz w:val="20"/>
                <w:szCs w:val="20"/>
              </w:rPr>
            </w:pPr>
            <w:r w:rsidRPr="006C6F80">
              <w:rPr>
                <w:color w:val="000000" w:themeColor="text1"/>
                <w:sz w:val="20"/>
                <w:szCs w:val="20"/>
              </w:rPr>
              <w:t>1.220</w:t>
            </w:r>
          </w:p>
        </w:tc>
        <w:tc>
          <w:tcPr>
            <w:tcW w:w="1800" w:type="dxa"/>
            <w:tcBorders>
              <w:top w:val="nil"/>
              <w:left w:val="nil"/>
              <w:bottom w:val="nil"/>
              <w:right w:val="nil"/>
            </w:tcBorders>
            <w:shd w:val="clear" w:color="auto" w:fill="auto"/>
            <w:noWrap/>
            <w:vAlign w:val="center"/>
            <w:hideMark/>
          </w:tcPr>
          <w:p w14:paraId="6FA15D85"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1800" w:type="dxa"/>
            <w:tcBorders>
              <w:top w:val="nil"/>
              <w:left w:val="nil"/>
              <w:bottom w:val="nil"/>
              <w:right w:val="nil"/>
            </w:tcBorders>
            <w:shd w:val="clear" w:color="auto" w:fill="auto"/>
            <w:noWrap/>
            <w:vAlign w:val="center"/>
            <w:hideMark/>
          </w:tcPr>
          <w:p w14:paraId="1C8DB666" w14:textId="77777777" w:rsidR="00AD55AA" w:rsidRPr="006C6F80" w:rsidRDefault="00AD55AA" w:rsidP="00AD55AA">
            <w:pPr>
              <w:jc w:val="center"/>
              <w:rPr>
                <w:color w:val="000000" w:themeColor="text1"/>
                <w:sz w:val="20"/>
                <w:szCs w:val="20"/>
              </w:rPr>
            </w:pPr>
            <w:r w:rsidRPr="006C6F80">
              <w:rPr>
                <w:color w:val="000000" w:themeColor="text1"/>
                <w:sz w:val="20"/>
                <w:szCs w:val="20"/>
              </w:rPr>
              <w:t>36.280</w:t>
            </w:r>
          </w:p>
        </w:tc>
        <w:tc>
          <w:tcPr>
            <w:tcW w:w="1800" w:type="dxa"/>
            <w:tcBorders>
              <w:top w:val="nil"/>
              <w:left w:val="nil"/>
              <w:bottom w:val="nil"/>
              <w:right w:val="nil"/>
            </w:tcBorders>
            <w:shd w:val="clear" w:color="auto" w:fill="auto"/>
            <w:noWrap/>
            <w:vAlign w:val="center"/>
            <w:hideMark/>
          </w:tcPr>
          <w:p w14:paraId="039B1CEF" w14:textId="77777777" w:rsidR="00AD55AA" w:rsidRPr="006C6F80" w:rsidRDefault="00AD55AA" w:rsidP="00AD55AA">
            <w:pPr>
              <w:jc w:val="center"/>
              <w:rPr>
                <w:color w:val="000000" w:themeColor="text1"/>
                <w:sz w:val="20"/>
                <w:szCs w:val="20"/>
              </w:rPr>
            </w:pPr>
            <w:r w:rsidRPr="006C6F80">
              <w:rPr>
                <w:color w:val="000000" w:themeColor="text1"/>
                <w:sz w:val="20"/>
                <w:szCs w:val="20"/>
              </w:rPr>
              <w:t>0.305</w:t>
            </w:r>
          </w:p>
        </w:tc>
        <w:tc>
          <w:tcPr>
            <w:tcW w:w="934" w:type="dxa"/>
            <w:gridSpan w:val="3"/>
            <w:tcBorders>
              <w:top w:val="nil"/>
              <w:left w:val="nil"/>
              <w:bottom w:val="nil"/>
              <w:right w:val="nil"/>
            </w:tcBorders>
            <w:shd w:val="clear" w:color="auto" w:fill="auto"/>
            <w:noWrap/>
            <w:vAlign w:val="center"/>
            <w:hideMark/>
          </w:tcPr>
          <w:p w14:paraId="70B1A0F0" w14:textId="77777777" w:rsidR="00AD55AA" w:rsidRPr="006C6F80" w:rsidRDefault="00AD55AA" w:rsidP="00AD55AA">
            <w:pPr>
              <w:jc w:val="center"/>
              <w:rPr>
                <w:color w:val="000000" w:themeColor="text1"/>
                <w:sz w:val="20"/>
                <w:szCs w:val="20"/>
              </w:rPr>
            </w:pPr>
            <w:r w:rsidRPr="006C6F80">
              <w:rPr>
                <w:color w:val="000000" w:themeColor="text1"/>
                <w:sz w:val="20"/>
                <w:szCs w:val="20"/>
              </w:rPr>
              <w:t>37.805</w:t>
            </w:r>
          </w:p>
        </w:tc>
      </w:tr>
      <w:tr w:rsidR="00AD55AA" w:rsidRPr="006C6F80" w14:paraId="2CD450F5" w14:textId="77777777" w:rsidTr="00AD55AA">
        <w:trPr>
          <w:trHeight w:val="260"/>
        </w:trPr>
        <w:tc>
          <w:tcPr>
            <w:tcW w:w="2624" w:type="dxa"/>
            <w:tcBorders>
              <w:top w:val="nil"/>
              <w:left w:val="nil"/>
              <w:bottom w:val="nil"/>
              <w:right w:val="nil"/>
            </w:tcBorders>
            <w:shd w:val="clear" w:color="auto" w:fill="auto"/>
            <w:noWrap/>
            <w:vAlign w:val="center"/>
            <w:hideMark/>
          </w:tcPr>
          <w:p w14:paraId="3C9106D2" w14:textId="77777777" w:rsidR="00AD55AA" w:rsidRPr="006C6F80" w:rsidRDefault="00AD55AA" w:rsidP="00AD55AA">
            <w:pPr>
              <w:rPr>
                <w:color w:val="000000" w:themeColor="text1"/>
                <w:sz w:val="20"/>
                <w:szCs w:val="20"/>
              </w:rPr>
            </w:pPr>
            <w:r w:rsidRPr="006C6F80">
              <w:rPr>
                <w:color w:val="000000" w:themeColor="text1"/>
                <w:sz w:val="20"/>
                <w:szCs w:val="20"/>
              </w:rPr>
              <w:t>Rural Upper Egypt</w:t>
            </w:r>
          </w:p>
        </w:tc>
        <w:tc>
          <w:tcPr>
            <w:tcW w:w="766" w:type="dxa"/>
            <w:tcBorders>
              <w:top w:val="nil"/>
              <w:left w:val="nil"/>
              <w:bottom w:val="nil"/>
              <w:right w:val="nil"/>
            </w:tcBorders>
            <w:shd w:val="clear" w:color="auto" w:fill="auto"/>
            <w:noWrap/>
            <w:vAlign w:val="center"/>
            <w:hideMark/>
          </w:tcPr>
          <w:p w14:paraId="22BF7B69" w14:textId="77777777" w:rsidR="00AD55AA" w:rsidRPr="006C6F80" w:rsidRDefault="00AD55AA" w:rsidP="00AD55AA">
            <w:pPr>
              <w:jc w:val="center"/>
              <w:rPr>
                <w:color w:val="000000" w:themeColor="text1"/>
                <w:sz w:val="20"/>
                <w:szCs w:val="20"/>
              </w:rPr>
            </w:pPr>
            <w:r w:rsidRPr="006C6F80">
              <w:rPr>
                <w:color w:val="000000" w:themeColor="text1"/>
                <w:sz w:val="20"/>
                <w:szCs w:val="20"/>
              </w:rPr>
              <w:t>0.305</w:t>
            </w:r>
          </w:p>
        </w:tc>
        <w:tc>
          <w:tcPr>
            <w:tcW w:w="2550" w:type="dxa"/>
            <w:tcBorders>
              <w:top w:val="nil"/>
              <w:left w:val="nil"/>
              <w:bottom w:val="nil"/>
              <w:right w:val="nil"/>
            </w:tcBorders>
            <w:shd w:val="clear" w:color="auto" w:fill="auto"/>
            <w:noWrap/>
            <w:vAlign w:val="center"/>
            <w:hideMark/>
          </w:tcPr>
          <w:p w14:paraId="26EE2BCF" w14:textId="77777777" w:rsidR="00AD55AA" w:rsidRPr="006C6F80" w:rsidRDefault="00AD55AA" w:rsidP="00AD55AA">
            <w:pPr>
              <w:jc w:val="center"/>
              <w:rPr>
                <w:color w:val="000000" w:themeColor="text1"/>
                <w:sz w:val="20"/>
                <w:szCs w:val="20"/>
              </w:rPr>
            </w:pPr>
            <w:r w:rsidRPr="006C6F80">
              <w:rPr>
                <w:color w:val="000000" w:themeColor="text1"/>
                <w:sz w:val="20"/>
                <w:szCs w:val="20"/>
              </w:rPr>
              <w:t>0.000</w:t>
            </w:r>
          </w:p>
        </w:tc>
        <w:tc>
          <w:tcPr>
            <w:tcW w:w="1890" w:type="dxa"/>
            <w:tcBorders>
              <w:top w:val="nil"/>
              <w:left w:val="nil"/>
              <w:bottom w:val="nil"/>
              <w:right w:val="nil"/>
            </w:tcBorders>
            <w:shd w:val="clear" w:color="auto" w:fill="auto"/>
            <w:noWrap/>
            <w:vAlign w:val="center"/>
            <w:hideMark/>
          </w:tcPr>
          <w:p w14:paraId="1A1374AD" w14:textId="77777777" w:rsidR="00AD55AA" w:rsidRPr="006C6F80" w:rsidRDefault="00AD55AA" w:rsidP="00AD55AA">
            <w:pPr>
              <w:jc w:val="center"/>
              <w:rPr>
                <w:color w:val="000000" w:themeColor="text1"/>
                <w:sz w:val="20"/>
                <w:szCs w:val="20"/>
              </w:rPr>
            </w:pPr>
            <w:r w:rsidRPr="006C6F80">
              <w:rPr>
                <w:color w:val="000000" w:themeColor="text1"/>
                <w:sz w:val="20"/>
                <w:szCs w:val="20"/>
              </w:rPr>
              <w:t>0.305</w:t>
            </w:r>
          </w:p>
        </w:tc>
        <w:tc>
          <w:tcPr>
            <w:tcW w:w="1800" w:type="dxa"/>
            <w:tcBorders>
              <w:top w:val="nil"/>
              <w:left w:val="nil"/>
              <w:bottom w:val="nil"/>
              <w:right w:val="nil"/>
            </w:tcBorders>
            <w:shd w:val="clear" w:color="auto" w:fill="auto"/>
            <w:noWrap/>
            <w:vAlign w:val="center"/>
            <w:hideMark/>
          </w:tcPr>
          <w:p w14:paraId="776FC778" w14:textId="77777777" w:rsidR="00AD55AA" w:rsidRPr="006C6F80" w:rsidRDefault="00AD55AA" w:rsidP="00AD55AA">
            <w:pPr>
              <w:jc w:val="center"/>
              <w:rPr>
                <w:color w:val="000000" w:themeColor="text1"/>
                <w:sz w:val="20"/>
                <w:szCs w:val="20"/>
              </w:rPr>
            </w:pPr>
            <w:r w:rsidRPr="006C6F80">
              <w:rPr>
                <w:color w:val="000000" w:themeColor="text1"/>
                <w:sz w:val="20"/>
                <w:szCs w:val="20"/>
              </w:rPr>
              <w:t>0.610</w:t>
            </w:r>
          </w:p>
        </w:tc>
        <w:tc>
          <w:tcPr>
            <w:tcW w:w="1800" w:type="dxa"/>
            <w:tcBorders>
              <w:top w:val="nil"/>
              <w:left w:val="nil"/>
              <w:bottom w:val="nil"/>
              <w:right w:val="nil"/>
            </w:tcBorders>
            <w:shd w:val="clear" w:color="auto" w:fill="auto"/>
            <w:noWrap/>
            <w:vAlign w:val="center"/>
            <w:hideMark/>
          </w:tcPr>
          <w:p w14:paraId="16443065" w14:textId="77777777" w:rsidR="00AD55AA" w:rsidRPr="006C6F80" w:rsidRDefault="00AD55AA" w:rsidP="00AD55AA">
            <w:pPr>
              <w:jc w:val="center"/>
              <w:rPr>
                <w:color w:val="000000" w:themeColor="text1"/>
                <w:sz w:val="20"/>
                <w:szCs w:val="20"/>
              </w:rPr>
            </w:pPr>
            <w:r w:rsidRPr="006C6F80">
              <w:rPr>
                <w:color w:val="000000" w:themeColor="text1"/>
                <w:sz w:val="20"/>
                <w:szCs w:val="20"/>
              </w:rPr>
              <w:t>0.305</w:t>
            </w:r>
          </w:p>
        </w:tc>
        <w:tc>
          <w:tcPr>
            <w:tcW w:w="1800" w:type="dxa"/>
            <w:tcBorders>
              <w:top w:val="nil"/>
              <w:left w:val="nil"/>
              <w:bottom w:val="nil"/>
              <w:right w:val="nil"/>
            </w:tcBorders>
            <w:shd w:val="clear" w:color="auto" w:fill="auto"/>
            <w:noWrap/>
            <w:vAlign w:val="center"/>
            <w:hideMark/>
          </w:tcPr>
          <w:p w14:paraId="51015873" w14:textId="77777777" w:rsidR="00AD55AA" w:rsidRPr="006C6F80" w:rsidRDefault="00AD55AA" w:rsidP="00AD55AA">
            <w:pPr>
              <w:jc w:val="center"/>
              <w:rPr>
                <w:color w:val="000000" w:themeColor="text1"/>
                <w:sz w:val="20"/>
                <w:szCs w:val="20"/>
              </w:rPr>
            </w:pPr>
            <w:r w:rsidRPr="006C6F80">
              <w:rPr>
                <w:color w:val="000000" w:themeColor="text1"/>
                <w:sz w:val="20"/>
                <w:szCs w:val="20"/>
              </w:rPr>
              <w:t>27.134</w:t>
            </w:r>
          </w:p>
        </w:tc>
        <w:tc>
          <w:tcPr>
            <w:tcW w:w="934" w:type="dxa"/>
            <w:gridSpan w:val="3"/>
            <w:tcBorders>
              <w:top w:val="nil"/>
              <w:left w:val="nil"/>
              <w:bottom w:val="nil"/>
              <w:right w:val="nil"/>
            </w:tcBorders>
            <w:shd w:val="clear" w:color="auto" w:fill="auto"/>
            <w:noWrap/>
            <w:vAlign w:val="center"/>
            <w:hideMark/>
          </w:tcPr>
          <w:p w14:paraId="3BAB11BD" w14:textId="77777777" w:rsidR="00AD55AA" w:rsidRPr="006C6F80" w:rsidRDefault="00AD55AA" w:rsidP="00AD55AA">
            <w:pPr>
              <w:jc w:val="center"/>
              <w:rPr>
                <w:color w:val="000000" w:themeColor="text1"/>
                <w:sz w:val="20"/>
                <w:szCs w:val="20"/>
              </w:rPr>
            </w:pPr>
            <w:r w:rsidRPr="006C6F80">
              <w:rPr>
                <w:color w:val="000000" w:themeColor="text1"/>
                <w:sz w:val="20"/>
                <w:szCs w:val="20"/>
              </w:rPr>
              <w:t>28.659</w:t>
            </w:r>
          </w:p>
        </w:tc>
      </w:tr>
      <w:tr w:rsidR="00AD55AA" w:rsidRPr="006C6F80" w14:paraId="385D7FCB" w14:textId="77777777" w:rsidTr="00AD55AA">
        <w:trPr>
          <w:trHeight w:val="260"/>
        </w:trPr>
        <w:tc>
          <w:tcPr>
            <w:tcW w:w="2624" w:type="dxa"/>
            <w:tcBorders>
              <w:top w:val="nil"/>
              <w:left w:val="nil"/>
              <w:bottom w:val="single" w:sz="4" w:space="0" w:color="auto"/>
              <w:right w:val="nil"/>
            </w:tcBorders>
            <w:shd w:val="clear" w:color="auto" w:fill="auto"/>
            <w:noWrap/>
            <w:vAlign w:val="center"/>
            <w:hideMark/>
          </w:tcPr>
          <w:p w14:paraId="6832A3EA" w14:textId="77777777" w:rsidR="00AD55AA" w:rsidRPr="006C6F80" w:rsidRDefault="00AD55AA" w:rsidP="00AD55AA">
            <w:pPr>
              <w:rPr>
                <w:color w:val="000000" w:themeColor="text1"/>
                <w:sz w:val="20"/>
                <w:szCs w:val="20"/>
              </w:rPr>
            </w:pPr>
            <w:r w:rsidRPr="006C6F80">
              <w:rPr>
                <w:color w:val="000000" w:themeColor="text1"/>
                <w:sz w:val="20"/>
                <w:szCs w:val="20"/>
              </w:rPr>
              <w:t>Total</w:t>
            </w:r>
          </w:p>
        </w:tc>
        <w:tc>
          <w:tcPr>
            <w:tcW w:w="766" w:type="dxa"/>
            <w:tcBorders>
              <w:top w:val="nil"/>
              <w:left w:val="nil"/>
              <w:bottom w:val="single" w:sz="4" w:space="0" w:color="auto"/>
              <w:right w:val="nil"/>
            </w:tcBorders>
            <w:shd w:val="clear" w:color="auto" w:fill="auto"/>
            <w:noWrap/>
            <w:vAlign w:val="center"/>
            <w:hideMark/>
          </w:tcPr>
          <w:p w14:paraId="79C72AD6" w14:textId="77777777" w:rsidR="00AD55AA" w:rsidRPr="006C6F80" w:rsidRDefault="00AD55AA" w:rsidP="00AD55AA">
            <w:pPr>
              <w:jc w:val="center"/>
              <w:rPr>
                <w:color w:val="000000" w:themeColor="text1"/>
                <w:sz w:val="20"/>
                <w:szCs w:val="20"/>
              </w:rPr>
            </w:pPr>
            <w:r w:rsidRPr="006C6F80">
              <w:rPr>
                <w:color w:val="000000" w:themeColor="text1"/>
                <w:sz w:val="20"/>
                <w:szCs w:val="20"/>
              </w:rPr>
              <w:t>6.707</w:t>
            </w:r>
          </w:p>
        </w:tc>
        <w:tc>
          <w:tcPr>
            <w:tcW w:w="2550" w:type="dxa"/>
            <w:tcBorders>
              <w:top w:val="nil"/>
              <w:left w:val="nil"/>
              <w:bottom w:val="single" w:sz="4" w:space="0" w:color="auto"/>
              <w:right w:val="nil"/>
            </w:tcBorders>
            <w:shd w:val="clear" w:color="auto" w:fill="auto"/>
            <w:noWrap/>
            <w:vAlign w:val="center"/>
            <w:hideMark/>
          </w:tcPr>
          <w:p w14:paraId="68C343FC" w14:textId="77777777" w:rsidR="00AD55AA" w:rsidRPr="006C6F80" w:rsidRDefault="00AD55AA" w:rsidP="00AD55AA">
            <w:pPr>
              <w:jc w:val="center"/>
              <w:rPr>
                <w:color w:val="000000" w:themeColor="text1"/>
                <w:sz w:val="20"/>
                <w:szCs w:val="20"/>
              </w:rPr>
            </w:pPr>
            <w:r w:rsidRPr="006C6F80">
              <w:rPr>
                <w:color w:val="000000" w:themeColor="text1"/>
                <w:sz w:val="20"/>
                <w:szCs w:val="20"/>
              </w:rPr>
              <w:t>3.963</w:t>
            </w:r>
          </w:p>
        </w:tc>
        <w:tc>
          <w:tcPr>
            <w:tcW w:w="1890" w:type="dxa"/>
            <w:tcBorders>
              <w:top w:val="nil"/>
              <w:left w:val="nil"/>
              <w:bottom w:val="single" w:sz="4" w:space="0" w:color="auto"/>
              <w:right w:val="nil"/>
            </w:tcBorders>
            <w:shd w:val="clear" w:color="auto" w:fill="auto"/>
            <w:noWrap/>
            <w:vAlign w:val="center"/>
            <w:hideMark/>
          </w:tcPr>
          <w:p w14:paraId="2613F849" w14:textId="77777777" w:rsidR="00AD55AA" w:rsidRPr="006C6F80" w:rsidRDefault="00AD55AA" w:rsidP="00AD55AA">
            <w:pPr>
              <w:jc w:val="center"/>
              <w:rPr>
                <w:color w:val="000000" w:themeColor="text1"/>
                <w:sz w:val="20"/>
                <w:szCs w:val="20"/>
              </w:rPr>
            </w:pPr>
            <w:r w:rsidRPr="006C6F80">
              <w:rPr>
                <w:color w:val="000000" w:themeColor="text1"/>
                <w:sz w:val="20"/>
                <w:szCs w:val="20"/>
              </w:rPr>
              <w:t>14.634</w:t>
            </w:r>
          </w:p>
        </w:tc>
        <w:tc>
          <w:tcPr>
            <w:tcW w:w="1800" w:type="dxa"/>
            <w:tcBorders>
              <w:top w:val="nil"/>
              <w:left w:val="nil"/>
              <w:bottom w:val="single" w:sz="4" w:space="0" w:color="auto"/>
              <w:right w:val="nil"/>
            </w:tcBorders>
            <w:shd w:val="clear" w:color="auto" w:fill="auto"/>
            <w:noWrap/>
            <w:vAlign w:val="center"/>
            <w:hideMark/>
          </w:tcPr>
          <w:p w14:paraId="6728C4E9" w14:textId="77777777" w:rsidR="00AD55AA" w:rsidRPr="006C6F80" w:rsidRDefault="00AD55AA" w:rsidP="00AD55AA">
            <w:pPr>
              <w:jc w:val="center"/>
              <w:rPr>
                <w:color w:val="000000" w:themeColor="text1"/>
                <w:sz w:val="20"/>
                <w:szCs w:val="20"/>
              </w:rPr>
            </w:pPr>
            <w:r w:rsidRPr="006C6F80">
              <w:rPr>
                <w:color w:val="000000" w:themeColor="text1"/>
                <w:sz w:val="20"/>
                <w:szCs w:val="20"/>
              </w:rPr>
              <w:t>9.146</w:t>
            </w:r>
          </w:p>
        </w:tc>
        <w:tc>
          <w:tcPr>
            <w:tcW w:w="1800" w:type="dxa"/>
            <w:tcBorders>
              <w:top w:val="nil"/>
              <w:left w:val="nil"/>
              <w:bottom w:val="single" w:sz="4" w:space="0" w:color="auto"/>
              <w:right w:val="nil"/>
            </w:tcBorders>
            <w:shd w:val="clear" w:color="auto" w:fill="auto"/>
            <w:noWrap/>
            <w:vAlign w:val="center"/>
            <w:hideMark/>
          </w:tcPr>
          <w:p w14:paraId="221707EC" w14:textId="77777777" w:rsidR="00AD55AA" w:rsidRPr="006C6F80" w:rsidRDefault="00AD55AA" w:rsidP="00AD55AA">
            <w:pPr>
              <w:jc w:val="center"/>
              <w:rPr>
                <w:color w:val="000000" w:themeColor="text1"/>
                <w:sz w:val="20"/>
                <w:szCs w:val="20"/>
              </w:rPr>
            </w:pPr>
            <w:r w:rsidRPr="006C6F80">
              <w:rPr>
                <w:color w:val="000000" w:themeColor="text1"/>
                <w:sz w:val="20"/>
                <w:szCs w:val="20"/>
              </w:rPr>
              <w:t>37.805</w:t>
            </w:r>
          </w:p>
        </w:tc>
        <w:tc>
          <w:tcPr>
            <w:tcW w:w="1800" w:type="dxa"/>
            <w:tcBorders>
              <w:top w:val="nil"/>
              <w:left w:val="nil"/>
              <w:bottom w:val="single" w:sz="4" w:space="0" w:color="auto"/>
              <w:right w:val="nil"/>
            </w:tcBorders>
            <w:shd w:val="clear" w:color="auto" w:fill="auto"/>
            <w:noWrap/>
            <w:vAlign w:val="center"/>
            <w:hideMark/>
          </w:tcPr>
          <w:p w14:paraId="6897A413" w14:textId="77777777" w:rsidR="00AD55AA" w:rsidRPr="006C6F80" w:rsidRDefault="00AD55AA" w:rsidP="00AD55AA">
            <w:pPr>
              <w:jc w:val="center"/>
              <w:rPr>
                <w:color w:val="000000" w:themeColor="text1"/>
                <w:sz w:val="20"/>
                <w:szCs w:val="20"/>
              </w:rPr>
            </w:pPr>
            <w:r w:rsidRPr="006C6F80">
              <w:rPr>
                <w:color w:val="000000" w:themeColor="text1"/>
                <w:sz w:val="20"/>
                <w:szCs w:val="20"/>
              </w:rPr>
              <w:t>27.744</w:t>
            </w:r>
          </w:p>
        </w:tc>
        <w:tc>
          <w:tcPr>
            <w:tcW w:w="934" w:type="dxa"/>
            <w:gridSpan w:val="3"/>
            <w:tcBorders>
              <w:top w:val="nil"/>
              <w:left w:val="nil"/>
              <w:bottom w:val="single" w:sz="4" w:space="0" w:color="auto"/>
              <w:right w:val="nil"/>
            </w:tcBorders>
            <w:shd w:val="clear" w:color="auto" w:fill="auto"/>
            <w:noWrap/>
            <w:vAlign w:val="center"/>
            <w:hideMark/>
          </w:tcPr>
          <w:p w14:paraId="1C7E67B6" w14:textId="77777777" w:rsidR="00AD55AA" w:rsidRPr="006C6F80" w:rsidRDefault="00AD55AA" w:rsidP="00AD55AA">
            <w:pPr>
              <w:jc w:val="center"/>
              <w:rPr>
                <w:color w:val="000000" w:themeColor="text1"/>
                <w:sz w:val="20"/>
                <w:szCs w:val="20"/>
              </w:rPr>
            </w:pPr>
            <w:r w:rsidRPr="006C6F80">
              <w:rPr>
                <w:color w:val="000000" w:themeColor="text1"/>
                <w:sz w:val="20"/>
                <w:szCs w:val="20"/>
              </w:rPr>
              <w:t>100.000</w:t>
            </w:r>
          </w:p>
        </w:tc>
      </w:tr>
    </w:tbl>
    <w:p w14:paraId="7CD2DC2B" w14:textId="77777777" w:rsidR="002D0792" w:rsidRDefault="006B1313" w:rsidP="002D0792">
      <w:pPr>
        <w:ind w:right="-194"/>
        <w:jc w:val="both"/>
        <w:rPr>
          <w:rFonts w:asciiTheme="majorBidi" w:hAnsiTheme="majorBidi" w:cstheme="majorBidi"/>
          <w:color w:val="000000" w:themeColor="text1"/>
          <w:sz w:val="18"/>
          <w:szCs w:val="18"/>
        </w:rPr>
      </w:pPr>
      <w:r w:rsidRPr="006C6F80">
        <w:rPr>
          <w:rFonts w:asciiTheme="majorBidi" w:hAnsiTheme="majorBidi" w:cstheme="majorBidi"/>
          <w:i/>
          <w:iCs/>
          <w:color w:val="000000" w:themeColor="text1"/>
          <w:sz w:val="18"/>
          <w:szCs w:val="18"/>
        </w:rPr>
        <w:t>Notes.</w:t>
      </w:r>
      <w:r w:rsidRPr="006C6F80">
        <w:rPr>
          <w:rFonts w:asciiTheme="majorBidi" w:hAnsiTheme="majorBidi" w:cstheme="majorBidi"/>
          <w:color w:val="000000" w:themeColor="text1"/>
          <w:sz w:val="18"/>
          <w:szCs w:val="18"/>
        </w:rPr>
        <w:t xml:space="preserve"> The table represents internal mobility matrices between the geographical region </w:t>
      </w:r>
      <w:r w:rsidR="00853A3A" w:rsidRPr="006C6F80">
        <w:rPr>
          <w:rFonts w:asciiTheme="majorBidi" w:hAnsiTheme="majorBidi" w:cstheme="majorBidi"/>
          <w:color w:val="000000" w:themeColor="text1"/>
          <w:sz w:val="18"/>
          <w:szCs w:val="18"/>
        </w:rPr>
        <w:t>at birth</w:t>
      </w:r>
      <w:r w:rsidRPr="006C6F80">
        <w:rPr>
          <w:rFonts w:asciiTheme="majorBidi" w:hAnsiTheme="majorBidi" w:cstheme="majorBidi"/>
          <w:color w:val="000000" w:themeColor="text1"/>
          <w:sz w:val="18"/>
          <w:szCs w:val="18"/>
        </w:rPr>
        <w:t xml:space="preserve"> and the geographical region</w:t>
      </w:r>
      <w:r w:rsidR="00853A3A" w:rsidRPr="006C6F80">
        <w:rPr>
          <w:rFonts w:asciiTheme="majorBidi" w:hAnsiTheme="majorBidi" w:cstheme="majorBidi"/>
          <w:color w:val="000000" w:themeColor="text1"/>
          <w:sz w:val="18"/>
          <w:szCs w:val="18"/>
        </w:rPr>
        <w:t xml:space="preserve"> in 2012</w:t>
      </w:r>
      <w:r w:rsidRPr="006C6F80">
        <w:rPr>
          <w:rFonts w:asciiTheme="majorBidi" w:hAnsiTheme="majorBidi" w:cstheme="majorBidi"/>
          <w:color w:val="000000" w:themeColor="text1"/>
          <w:sz w:val="18"/>
          <w:szCs w:val="18"/>
        </w:rPr>
        <w:t xml:space="preserve">. The diagonal cells represent the percentage of individuals who stayed in the same geographical region between the two time periods. The cells above and below the diagonal represent the percentage of individuals who moved to a different geographical region compared to their geographical region </w:t>
      </w:r>
      <w:r w:rsidR="00853A3A" w:rsidRPr="006C6F80">
        <w:rPr>
          <w:rFonts w:asciiTheme="majorBidi" w:hAnsiTheme="majorBidi" w:cstheme="majorBidi"/>
          <w:color w:val="000000" w:themeColor="text1"/>
          <w:sz w:val="18"/>
          <w:szCs w:val="18"/>
        </w:rPr>
        <w:t>at birt</w:t>
      </w:r>
      <w:r w:rsidR="00CE2A1C" w:rsidRPr="006C6F80">
        <w:rPr>
          <w:rFonts w:asciiTheme="majorBidi" w:hAnsiTheme="majorBidi" w:cstheme="majorBidi"/>
          <w:color w:val="000000" w:themeColor="text1"/>
          <w:sz w:val="18"/>
          <w:szCs w:val="18"/>
        </w:rPr>
        <w:t>h</w:t>
      </w:r>
      <w:r w:rsidR="00481A34" w:rsidRPr="006C6F80">
        <w:rPr>
          <w:rFonts w:asciiTheme="majorBidi" w:hAnsiTheme="majorBidi" w:cstheme="majorBidi"/>
          <w:color w:val="000000" w:themeColor="text1"/>
          <w:sz w:val="18"/>
          <w:szCs w:val="18"/>
        </w:rPr>
        <w:t>.</w:t>
      </w:r>
    </w:p>
    <w:p w14:paraId="5B690773" w14:textId="77777777" w:rsidR="002D0792" w:rsidRDefault="002D0792" w:rsidP="002D0792">
      <w:pPr>
        <w:ind w:right="-194"/>
        <w:jc w:val="both"/>
        <w:rPr>
          <w:rFonts w:asciiTheme="majorBidi" w:hAnsiTheme="majorBidi" w:cstheme="majorBidi"/>
          <w:color w:val="000000" w:themeColor="text1"/>
          <w:sz w:val="18"/>
          <w:szCs w:val="18"/>
        </w:rPr>
      </w:pPr>
    </w:p>
    <w:p w14:paraId="2BDA9125" w14:textId="597E3FF9" w:rsidR="002D0792" w:rsidRPr="006C6F80" w:rsidRDefault="002D0792" w:rsidP="002D0792">
      <w:pPr>
        <w:ind w:right="-194"/>
        <w:jc w:val="both"/>
        <w:rPr>
          <w:rFonts w:asciiTheme="majorBidi" w:hAnsiTheme="majorBidi" w:cstheme="majorBidi"/>
          <w:color w:val="000000" w:themeColor="text1"/>
          <w:sz w:val="18"/>
          <w:szCs w:val="18"/>
        </w:rPr>
        <w:sectPr w:rsidR="002D0792" w:rsidRPr="006C6F80" w:rsidSect="000D0A29">
          <w:pgSz w:w="15840" w:h="12240" w:orient="landscape"/>
          <w:pgMar w:top="907" w:right="907" w:bottom="907" w:left="907" w:header="720" w:footer="720" w:gutter="0"/>
          <w:cols w:space="720"/>
          <w:docGrid w:linePitch="360"/>
        </w:sectPr>
      </w:pPr>
    </w:p>
    <w:p w14:paraId="5E66E610" w14:textId="77777777" w:rsidR="009904A6" w:rsidRPr="006C6F80" w:rsidRDefault="009904A6" w:rsidP="00481A34">
      <w:pPr>
        <w:tabs>
          <w:tab w:val="left" w:pos="8460"/>
        </w:tabs>
        <w:ind w:right="658"/>
        <w:jc w:val="both"/>
        <w:rPr>
          <w:rFonts w:asciiTheme="majorBidi" w:hAnsiTheme="majorBidi" w:cstheme="majorBidi"/>
          <w:i/>
          <w:iCs/>
          <w:color w:val="000000" w:themeColor="text1"/>
          <w:sz w:val="18"/>
          <w:szCs w:val="18"/>
        </w:rPr>
      </w:pPr>
    </w:p>
    <w:tbl>
      <w:tblPr>
        <w:tblW w:w="7470" w:type="dxa"/>
        <w:jc w:val="center"/>
        <w:tblLook w:val="04A0" w:firstRow="1" w:lastRow="0" w:firstColumn="1" w:lastColumn="0" w:noHBand="0" w:noVBand="1"/>
      </w:tblPr>
      <w:tblGrid>
        <w:gridCol w:w="3483"/>
        <w:gridCol w:w="968"/>
        <w:gridCol w:w="1136"/>
        <w:gridCol w:w="746"/>
        <w:gridCol w:w="1137"/>
      </w:tblGrid>
      <w:tr w:rsidR="009904A6" w:rsidRPr="006C6F80" w14:paraId="39903083" w14:textId="77777777" w:rsidTr="00481A34">
        <w:trPr>
          <w:trHeight w:val="265"/>
          <w:jc w:val="center"/>
        </w:trPr>
        <w:tc>
          <w:tcPr>
            <w:tcW w:w="7470" w:type="dxa"/>
            <w:gridSpan w:val="5"/>
            <w:tcBorders>
              <w:top w:val="nil"/>
              <w:left w:val="nil"/>
              <w:bottom w:val="single" w:sz="4" w:space="0" w:color="auto"/>
              <w:right w:val="nil"/>
            </w:tcBorders>
            <w:shd w:val="clear" w:color="auto" w:fill="auto"/>
            <w:noWrap/>
            <w:vAlign w:val="center"/>
            <w:hideMark/>
          </w:tcPr>
          <w:p w14:paraId="2850A9D6" w14:textId="4E201124" w:rsidR="009904A6" w:rsidRPr="006C6F80" w:rsidRDefault="009904A6" w:rsidP="009904A6">
            <w:pPr>
              <w:jc w:val="center"/>
              <w:rPr>
                <w:b/>
                <w:bCs/>
                <w:color w:val="000000" w:themeColor="text1"/>
                <w:sz w:val="20"/>
                <w:szCs w:val="20"/>
              </w:rPr>
            </w:pPr>
            <w:r w:rsidRPr="006C6F80">
              <w:rPr>
                <w:b/>
                <w:bCs/>
                <w:color w:val="000000" w:themeColor="text1"/>
                <w:sz w:val="20"/>
                <w:szCs w:val="20"/>
              </w:rPr>
              <w:t>Table A</w:t>
            </w:r>
            <w:r w:rsidR="00B975F1" w:rsidRPr="006C6F80">
              <w:rPr>
                <w:b/>
                <w:bCs/>
                <w:color w:val="000000" w:themeColor="text1"/>
                <w:sz w:val="20"/>
                <w:szCs w:val="20"/>
              </w:rPr>
              <w:t>6</w:t>
            </w:r>
            <w:r w:rsidRPr="006C6F80">
              <w:rPr>
                <w:b/>
                <w:bCs/>
                <w:color w:val="000000" w:themeColor="text1"/>
                <w:sz w:val="20"/>
                <w:szCs w:val="20"/>
              </w:rPr>
              <w:t>: Analyzing repeat migration using the 2018 survey</w:t>
            </w:r>
          </w:p>
        </w:tc>
      </w:tr>
      <w:tr w:rsidR="009904A6" w:rsidRPr="006C6F80" w14:paraId="3E13C9A9" w14:textId="77777777" w:rsidTr="00481A34">
        <w:trPr>
          <w:trHeight w:val="265"/>
          <w:jc w:val="center"/>
        </w:trPr>
        <w:tc>
          <w:tcPr>
            <w:tcW w:w="7470" w:type="dxa"/>
            <w:gridSpan w:val="5"/>
            <w:tcBorders>
              <w:top w:val="single" w:sz="4" w:space="0" w:color="auto"/>
              <w:left w:val="nil"/>
              <w:bottom w:val="single" w:sz="4" w:space="0" w:color="auto"/>
              <w:right w:val="nil"/>
            </w:tcBorders>
            <w:shd w:val="clear" w:color="auto" w:fill="auto"/>
            <w:noWrap/>
            <w:vAlign w:val="center"/>
            <w:hideMark/>
          </w:tcPr>
          <w:p w14:paraId="6BA1ED26" w14:textId="77777777" w:rsidR="009904A6" w:rsidRPr="006C6F80" w:rsidRDefault="009904A6" w:rsidP="009904A6">
            <w:pPr>
              <w:jc w:val="center"/>
              <w:rPr>
                <w:b/>
                <w:bCs/>
                <w:color w:val="000000" w:themeColor="text1"/>
                <w:sz w:val="20"/>
                <w:szCs w:val="20"/>
              </w:rPr>
            </w:pPr>
            <w:r w:rsidRPr="006C6F80">
              <w:rPr>
                <w:b/>
                <w:bCs/>
                <w:color w:val="000000" w:themeColor="text1"/>
                <w:sz w:val="20"/>
                <w:szCs w:val="20"/>
              </w:rPr>
              <w:t>Panel A: Attrition between 2012 and 2018</w:t>
            </w:r>
          </w:p>
        </w:tc>
      </w:tr>
      <w:tr w:rsidR="009904A6" w:rsidRPr="006C6F80" w14:paraId="626804F7" w14:textId="77777777" w:rsidTr="00481A34">
        <w:trPr>
          <w:trHeight w:val="265"/>
          <w:jc w:val="center"/>
        </w:trPr>
        <w:tc>
          <w:tcPr>
            <w:tcW w:w="3483" w:type="dxa"/>
            <w:tcBorders>
              <w:top w:val="nil"/>
              <w:left w:val="nil"/>
              <w:bottom w:val="single" w:sz="4" w:space="0" w:color="auto"/>
              <w:right w:val="nil"/>
            </w:tcBorders>
            <w:shd w:val="clear" w:color="auto" w:fill="auto"/>
            <w:noWrap/>
            <w:vAlign w:val="center"/>
            <w:hideMark/>
          </w:tcPr>
          <w:p w14:paraId="182C1FCE" w14:textId="77777777" w:rsidR="009904A6" w:rsidRPr="006C6F80" w:rsidRDefault="009904A6" w:rsidP="009904A6">
            <w:pPr>
              <w:rPr>
                <w:color w:val="000000" w:themeColor="text1"/>
                <w:sz w:val="20"/>
                <w:szCs w:val="20"/>
              </w:rPr>
            </w:pPr>
            <w:r w:rsidRPr="006C6F80">
              <w:rPr>
                <w:color w:val="000000" w:themeColor="text1"/>
                <w:sz w:val="20"/>
                <w:szCs w:val="20"/>
              </w:rPr>
              <w:t> </w:t>
            </w:r>
          </w:p>
        </w:tc>
        <w:tc>
          <w:tcPr>
            <w:tcW w:w="210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FCCD948" w14:textId="77777777" w:rsidR="009904A6" w:rsidRPr="006C6F80" w:rsidRDefault="009904A6" w:rsidP="009904A6">
            <w:pPr>
              <w:jc w:val="center"/>
              <w:rPr>
                <w:b/>
                <w:bCs/>
                <w:color w:val="000000" w:themeColor="text1"/>
                <w:sz w:val="20"/>
                <w:szCs w:val="20"/>
              </w:rPr>
            </w:pPr>
            <w:r w:rsidRPr="006C6F80">
              <w:rPr>
                <w:b/>
                <w:bCs/>
                <w:color w:val="000000" w:themeColor="text1"/>
                <w:sz w:val="20"/>
                <w:szCs w:val="20"/>
              </w:rPr>
              <w:t>Full sample</w:t>
            </w:r>
          </w:p>
        </w:tc>
        <w:tc>
          <w:tcPr>
            <w:tcW w:w="1882" w:type="dxa"/>
            <w:gridSpan w:val="2"/>
            <w:tcBorders>
              <w:top w:val="single" w:sz="4" w:space="0" w:color="auto"/>
              <w:left w:val="nil"/>
              <w:bottom w:val="single" w:sz="4" w:space="0" w:color="auto"/>
              <w:right w:val="nil"/>
            </w:tcBorders>
            <w:shd w:val="clear" w:color="auto" w:fill="auto"/>
            <w:noWrap/>
            <w:vAlign w:val="center"/>
            <w:hideMark/>
          </w:tcPr>
          <w:p w14:paraId="20B888E2" w14:textId="77777777" w:rsidR="009904A6" w:rsidRPr="006C6F80" w:rsidRDefault="009904A6" w:rsidP="009904A6">
            <w:pPr>
              <w:jc w:val="center"/>
              <w:rPr>
                <w:b/>
                <w:bCs/>
                <w:color w:val="000000" w:themeColor="text1"/>
                <w:sz w:val="20"/>
                <w:szCs w:val="20"/>
              </w:rPr>
            </w:pPr>
            <w:r w:rsidRPr="006C6F80">
              <w:rPr>
                <w:b/>
                <w:bCs/>
                <w:color w:val="000000" w:themeColor="text1"/>
                <w:sz w:val="20"/>
                <w:szCs w:val="20"/>
              </w:rPr>
              <w:t>1960s cohort</w:t>
            </w:r>
          </w:p>
        </w:tc>
      </w:tr>
      <w:tr w:rsidR="009904A6" w:rsidRPr="006C6F80" w14:paraId="70F8BF2C" w14:textId="77777777" w:rsidTr="00481A34">
        <w:trPr>
          <w:trHeight w:val="265"/>
          <w:jc w:val="center"/>
        </w:trPr>
        <w:tc>
          <w:tcPr>
            <w:tcW w:w="3483" w:type="dxa"/>
            <w:tcBorders>
              <w:top w:val="nil"/>
              <w:left w:val="nil"/>
              <w:bottom w:val="single" w:sz="4" w:space="0" w:color="auto"/>
              <w:right w:val="nil"/>
            </w:tcBorders>
            <w:shd w:val="clear" w:color="auto" w:fill="auto"/>
            <w:noWrap/>
            <w:vAlign w:val="center"/>
            <w:hideMark/>
          </w:tcPr>
          <w:p w14:paraId="4B9360C8" w14:textId="77777777" w:rsidR="009904A6" w:rsidRPr="006C6F80" w:rsidRDefault="009904A6" w:rsidP="009904A6">
            <w:pPr>
              <w:rPr>
                <w:color w:val="000000" w:themeColor="text1"/>
                <w:sz w:val="20"/>
                <w:szCs w:val="20"/>
              </w:rPr>
            </w:pPr>
            <w:r w:rsidRPr="006C6F80">
              <w:rPr>
                <w:color w:val="000000" w:themeColor="text1"/>
                <w:sz w:val="20"/>
                <w:szCs w:val="20"/>
              </w:rPr>
              <w:t> </w:t>
            </w:r>
          </w:p>
        </w:tc>
        <w:tc>
          <w:tcPr>
            <w:tcW w:w="968" w:type="dxa"/>
            <w:tcBorders>
              <w:top w:val="nil"/>
              <w:left w:val="nil"/>
              <w:bottom w:val="single" w:sz="4" w:space="0" w:color="auto"/>
              <w:right w:val="nil"/>
            </w:tcBorders>
            <w:shd w:val="clear" w:color="auto" w:fill="auto"/>
            <w:noWrap/>
            <w:vAlign w:val="center"/>
            <w:hideMark/>
          </w:tcPr>
          <w:p w14:paraId="6FF4A575" w14:textId="77777777" w:rsidR="009904A6" w:rsidRPr="006C6F80" w:rsidRDefault="009904A6" w:rsidP="009904A6">
            <w:pPr>
              <w:jc w:val="center"/>
              <w:rPr>
                <w:color w:val="000000" w:themeColor="text1"/>
                <w:sz w:val="20"/>
                <w:szCs w:val="20"/>
              </w:rPr>
            </w:pPr>
            <w:r w:rsidRPr="006C6F80">
              <w:rPr>
                <w:color w:val="000000" w:themeColor="text1"/>
                <w:sz w:val="20"/>
                <w:szCs w:val="20"/>
              </w:rPr>
              <w:t>Freq.</w:t>
            </w:r>
          </w:p>
        </w:tc>
        <w:tc>
          <w:tcPr>
            <w:tcW w:w="1135" w:type="dxa"/>
            <w:tcBorders>
              <w:top w:val="nil"/>
              <w:left w:val="nil"/>
              <w:bottom w:val="single" w:sz="4" w:space="0" w:color="auto"/>
              <w:right w:val="single" w:sz="4" w:space="0" w:color="auto"/>
            </w:tcBorders>
            <w:shd w:val="clear" w:color="auto" w:fill="auto"/>
            <w:noWrap/>
            <w:vAlign w:val="center"/>
            <w:hideMark/>
          </w:tcPr>
          <w:p w14:paraId="177C5A50" w14:textId="77777777" w:rsidR="009904A6" w:rsidRPr="006C6F80" w:rsidRDefault="009904A6" w:rsidP="009904A6">
            <w:pPr>
              <w:jc w:val="center"/>
              <w:rPr>
                <w:color w:val="000000" w:themeColor="text1"/>
                <w:sz w:val="20"/>
                <w:szCs w:val="20"/>
              </w:rPr>
            </w:pPr>
            <w:r w:rsidRPr="006C6F80">
              <w:rPr>
                <w:color w:val="000000" w:themeColor="text1"/>
                <w:sz w:val="20"/>
                <w:szCs w:val="20"/>
              </w:rPr>
              <w:t>Percent</w:t>
            </w:r>
          </w:p>
        </w:tc>
        <w:tc>
          <w:tcPr>
            <w:tcW w:w="746" w:type="dxa"/>
            <w:tcBorders>
              <w:top w:val="nil"/>
              <w:left w:val="nil"/>
              <w:bottom w:val="single" w:sz="4" w:space="0" w:color="auto"/>
              <w:right w:val="nil"/>
            </w:tcBorders>
            <w:shd w:val="clear" w:color="auto" w:fill="auto"/>
            <w:noWrap/>
            <w:vAlign w:val="center"/>
            <w:hideMark/>
          </w:tcPr>
          <w:p w14:paraId="18A17C9E" w14:textId="77777777" w:rsidR="009904A6" w:rsidRPr="006C6F80" w:rsidRDefault="009904A6" w:rsidP="009904A6">
            <w:pPr>
              <w:jc w:val="center"/>
              <w:rPr>
                <w:color w:val="000000" w:themeColor="text1"/>
                <w:sz w:val="20"/>
                <w:szCs w:val="20"/>
              </w:rPr>
            </w:pPr>
            <w:r w:rsidRPr="006C6F80">
              <w:rPr>
                <w:color w:val="000000" w:themeColor="text1"/>
                <w:sz w:val="20"/>
                <w:szCs w:val="20"/>
              </w:rPr>
              <w:t>Freq.</w:t>
            </w:r>
          </w:p>
        </w:tc>
        <w:tc>
          <w:tcPr>
            <w:tcW w:w="1135" w:type="dxa"/>
            <w:tcBorders>
              <w:top w:val="nil"/>
              <w:left w:val="nil"/>
              <w:bottom w:val="single" w:sz="4" w:space="0" w:color="auto"/>
              <w:right w:val="nil"/>
            </w:tcBorders>
            <w:shd w:val="clear" w:color="auto" w:fill="auto"/>
            <w:noWrap/>
            <w:vAlign w:val="center"/>
            <w:hideMark/>
          </w:tcPr>
          <w:p w14:paraId="06366CCE" w14:textId="77777777" w:rsidR="009904A6" w:rsidRPr="006C6F80" w:rsidRDefault="009904A6" w:rsidP="009904A6">
            <w:pPr>
              <w:jc w:val="center"/>
              <w:rPr>
                <w:color w:val="000000" w:themeColor="text1"/>
                <w:sz w:val="20"/>
                <w:szCs w:val="20"/>
              </w:rPr>
            </w:pPr>
            <w:r w:rsidRPr="006C6F80">
              <w:rPr>
                <w:color w:val="000000" w:themeColor="text1"/>
                <w:sz w:val="20"/>
                <w:szCs w:val="20"/>
              </w:rPr>
              <w:t>Percent</w:t>
            </w:r>
          </w:p>
        </w:tc>
      </w:tr>
      <w:tr w:rsidR="009904A6" w:rsidRPr="006C6F80" w14:paraId="2CF08EDC" w14:textId="77777777" w:rsidTr="00481A34">
        <w:trPr>
          <w:trHeight w:val="265"/>
          <w:jc w:val="center"/>
        </w:trPr>
        <w:tc>
          <w:tcPr>
            <w:tcW w:w="3483" w:type="dxa"/>
            <w:tcBorders>
              <w:top w:val="nil"/>
              <w:left w:val="nil"/>
              <w:bottom w:val="nil"/>
              <w:right w:val="nil"/>
            </w:tcBorders>
            <w:shd w:val="clear" w:color="auto" w:fill="auto"/>
            <w:noWrap/>
            <w:vAlign w:val="center"/>
            <w:hideMark/>
          </w:tcPr>
          <w:p w14:paraId="11CAFEDC" w14:textId="77777777" w:rsidR="009904A6" w:rsidRPr="006C6F80" w:rsidRDefault="009904A6" w:rsidP="009904A6">
            <w:pPr>
              <w:rPr>
                <w:color w:val="000000" w:themeColor="text1"/>
                <w:sz w:val="20"/>
                <w:szCs w:val="20"/>
              </w:rPr>
            </w:pPr>
            <w:r w:rsidRPr="006C6F80">
              <w:rPr>
                <w:color w:val="000000" w:themeColor="text1"/>
                <w:sz w:val="20"/>
                <w:szCs w:val="20"/>
              </w:rPr>
              <w:t>In 2012 only</w:t>
            </w:r>
          </w:p>
        </w:tc>
        <w:tc>
          <w:tcPr>
            <w:tcW w:w="968" w:type="dxa"/>
            <w:tcBorders>
              <w:top w:val="nil"/>
              <w:left w:val="nil"/>
              <w:bottom w:val="nil"/>
              <w:right w:val="nil"/>
            </w:tcBorders>
            <w:shd w:val="clear" w:color="auto" w:fill="auto"/>
            <w:noWrap/>
            <w:vAlign w:val="center"/>
            <w:hideMark/>
          </w:tcPr>
          <w:p w14:paraId="33A00BC6" w14:textId="77777777" w:rsidR="009904A6" w:rsidRPr="006C6F80" w:rsidRDefault="009904A6" w:rsidP="009904A6">
            <w:pPr>
              <w:jc w:val="center"/>
              <w:rPr>
                <w:color w:val="000000" w:themeColor="text1"/>
                <w:sz w:val="20"/>
                <w:szCs w:val="20"/>
              </w:rPr>
            </w:pPr>
            <w:r w:rsidRPr="006C6F80">
              <w:rPr>
                <w:color w:val="000000" w:themeColor="text1"/>
                <w:sz w:val="20"/>
                <w:szCs w:val="20"/>
              </w:rPr>
              <w:t>10,033</w:t>
            </w:r>
          </w:p>
        </w:tc>
        <w:tc>
          <w:tcPr>
            <w:tcW w:w="1135" w:type="dxa"/>
            <w:tcBorders>
              <w:top w:val="nil"/>
              <w:left w:val="nil"/>
              <w:bottom w:val="nil"/>
              <w:right w:val="single" w:sz="4" w:space="0" w:color="auto"/>
            </w:tcBorders>
            <w:shd w:val="clear" w:color="auto" w:fill="auto"/>
            <w:noWrap/>
            <w:vAlign w:val="center"/>
            <w:hideMark/>
          </w:tcPr>
          <w:p w14:paraId="1DF07A35" w14:textId="77777777" w:rsidR="009904A6" w:rsidRPr="006C6F80" w:rsidRDefault="009904A6" w:rsidP="009904A6">
            <w:pPr>
              <w:jc w:val="center"/>
              <w:rPr>
                <w:color w:val="000000" w:themeColor="text1"/>
                <w:sz w:val="20"/>
                <w:szCs w:val="20"/>
              </w:rPr>
            </w:pPr>
            <w:r w:rsidRPr="006C6F80">
              <w:rPr>
                <w:color w:val="000000" w:themeColor="text1"/>
                <w:sz w:val="20"/>
                <w:szCs w:val="20"/>
              </w:rPr>
              <w:t>20.400</w:t>
            </w:r>
          </w:p>
        </w:tc>
        <w:tc>
          <w:tcPr>
            <w:tcW w:w="746" w:type="dxa"/>
            <w:tcBorders>
              <w:top w:val="nil"/>
              <w:left w:val="nil"/>
              <w:bottom w:val="nil"/>
              <w:right w:val="nil"/>
            </w:tcBorders>
            <w:shd w:val="clear" w:color="auto" w:fill="auto"/>
            <w:noWrap/>
            <w:vAlign w:val="center"/>
            <w:hideMark/>
          </w:tcPr>
          <w:p w14:paraId="2D8CFD7A" w14:textId="77777777" w:rsidR="009904A6" w:rsidRPr="006C6F80" w:rsidRDefault="009904A6" w:rsidP="009904A6">
            <w:pPr>
              <w:jc w:val="center"/>
              <w:rPr>
                <w:color w:val="000000" w:themeColor="text1"/>
                <w:sz w:val="20"/>
                <w:szCs w:val="20"/>
              </w:rPr>
            </w:pPr>
            <w:r w:rsidRPr="006C6F80">
              <w:rPr>
                <w:color w:val="000000" w:themeColor="text1"/>
                <w:sz w:val="20"/>
                <w:szCs w:val="20"/>
              </w:rPr>
              <w:t>44</w:t>
            </w:r>
          </w:p>
        </w:tc>
        <w:tc>
          <w:tcPr>
            <w:tcW w:w="1135" w:type="dxa"/>
            <w:tcBorders>
              <w:top w:val="nil"/>
              <w:left w:val="nil"/>
              <w:bottom w:val="nil"/>
              <w:right w:val="nil"/>
            </w:tcBorders>
            <w:shd w:val="clear" w:color="auto" w:fill="auto"/>
            <w:noWrap/>
            <w:vAlign w:val="center"/>
            <w:hideMark/>
          </w:tcPr>
          <w:p w14:paraId="14E4E9F8" w14:textId="523EC9FE" w:rsidR="009904A6" w:rsidRPr="006C6F80" w:rsidRDefault="009904A6" w:rsidP="009904A6">
            <w:pPr>
              <w:jc w:val="center"/>
              <w:rPr>
                <w:color w:val="000000" w:themeColor="text1"/>
                <w:sz w:val="20"/>
                <w:szCs w:val="20"/>
              </w:rPr>
            </w:pPr>
            <w:r w:rsidRPr="006C6F80">
              <w:rPr>
                <w:color w:val="000000" w:themeColor="text1"/>
                <w:sz w:val="20"/>
                <w:szCs w:val="20"/>
              </w:rPr>
              <w:t>13.41</w:t>
            </w:r>
            <w:r w:rsidR="005926BF" w:rsidRPr="006C6F80">
              <w:rPr>
                <w:color w:val="000000" w:themeColor="text1"/>
                <w:sz w:val="20"/>
                <w:szCs w:val="20"/>
              </w:rPr>
              <w:t>0</w:t>
            </w:r>
          </w:p>
        </w:tc>
      </w:tr>
      <w:tr w:rsidR="009904A6" w:rsidRPr="006C6F80" w14:paraId="008B81D7" w14:textId="77777777" w:rsidTr="00481A34">
        <w:trPr>
          <w:trHeight w:val="265"/>
          <w:jc w:val="center"/>
        </w:trPr>
        <w:tc>
          <w:tcPr>
            <w:tcW w:w="3483" w:type="dxa"/>
            <w:tcBorders>
              <w:top w:val="nil"/>
              <w:left w:val="nil"/>
              <w:bottom w:val="nil"/>
              <w:right w:val="nil"/>
            </w:tcBorders>
            <w:shd w:val="clear" w:color="auto" w:fill="auto"/>
            <w:noWrap/>
            <w:vAlign w:val="center"/>
            <w:hideMark/>
          </w:tcPr>
          <w:p w14:paraId="23A55781" w14:textId="77777777" w:rsidR="009904A6" w:rsidRPr="006C6F80" w:rsidRDefault="009904A6" w:rsidP="009904A6">
            <w:pPr>
              <w:rPr>
                <w:color w:val="000000" w:themeColor="text1"/>
                <w:sz w:val="20"/>
                <w:szCs w:val="20"/>
              </w:rPr>
            </w:pPr>
            <w:r w:rsidRPr="006C6F80">
              <w:rPr>
                <w:color w:val="000000" w:themeColor="text1"/>
                <w:sz w:val="20"/>
                <w:szCs w:val="20"/>
              </w:rPr>
              <w:t>In 2012 and 2018</w:t>
            </w:r>
          </w:p>
        </w:tc>
        <w:tc>
          <w:tcPr>
            <w:tcW w:w="968" w:type="dxa"/>
            <w:tcBorders>
              <w:top w:val="nil"/>
              <w:left w:val="nil"/>
              <w:bottom w:val="nil"/>
              <w:right w:val="nil"/>
            </w:tcBorders>
            <w:shd w:val="clear" w:color="auto" w:fill="auto"/>
            <w:noWrap/>
            <w:vAlign w:val="center"/>
            <w:hideMark/>
          </w:tcPr>
          <w:p w14:paraId="191AB194" w14:textId="77777777" w:rsidR="009904A6" w:rsidRPr="006C6F80" w:rsidRDefault="009904A6" w:rsidP="009904A6">
            <w:pPr>
              <w:jc w:val="center"/>
              <w:rPr>
                <w:color w:val="000000" w:themeColor="text1"/>
                <w:sz w:val="20"/>
                <w:szCs w:val="20"/>
              </w:rPr>
            </w:pPr>
            <w:r w:rsidRPr="006C6F80">
              <w:rPr>
                <w:color w:val="000000" w:themeColor="text1"/>
                <w:sz w:val="20"/>
                <w:szCs w:val="20"/>
              </w:rPr>
              <w:t>39,153</w:t>
            </w:r>
          </w:p>
        </w:tc>
        <w:tc>
          <w:tcPr>
            <w:tcW w:w="1135" w:type="dxa"/>
            <w:tcBorders>
              <w:top w:val="nil"/>
              <w:left w:val="nil"/>
              <w:bottom w:val="nil"/>
              <w:right w:val="single" w:sz="4" w:space="0" w:color="auto"/>
            </w:tcBorders>
            <w:shd w:val="clear" w:color="auto" w:fill="auto"/>
            <w:noWrap/>
            <w:vAlign w:val="center"/>
            <w:hideMark/>
          </w:tcPr>
          <w:p w14:paraId="301B39B5" w14:textId="77777777" w:rsidR="009904A6" w:rsidRPr="006C6F80" w:rsidRDefault="009904A6" w:rsidP="009904A6">
            <w:pPr>
              <w:jc w:val="center"/>
              <w:rPr>
                <w:color w:val="000000" w:themeColor="text1"/>
                <w:sz w:val="20"/>
                <w:szCs w:val="20"/>
              </w:rPr>
            </w:pPr>
            <w:r w:rsidRPr="006C6F80">
              <w:rPr>
                <w:color w:val="000000" w:themeColor="text1"/>
                <w:sz w:val="20"/>
                <w:szCs w:val="20"/>
              </w:rPr>
              <w:t>79.600</w:t>
            </w:r>
          </w:p>
        </w:tc>
        <w:tc>
          <w:tcPr>
            <w:tcW w:w="746" w:type="dxa"/>
            <w:tcBorders>
              <w:top w:val="nil"/>
              <w:left w:val="nil"/>
              <w:bottom w:val="nil"/>
              <w:right w:val="nil"/>
            </w:tcBorders>
            <w:shd w:val="clear" w:color="auto" w:fill="auto"/>
            <w:noWrap/>
            <w:vAlign w:val="center"/>
            <w:hideMark/>
          </w:tcPr>
          <w:p w14:paraId="1F819E69" w14:textId="77777777" w:rsidR="009904A6" w:rsidRPr="006C6F80" w:rsidRDefault="009904A6" w:rsidP="009904A6">
            <w:pPr>
              <w:jc w:val="center"/>
              <w:rPr>
                <w:color w:val="000000" w:themeColor="text1"/>
                <w:sz w:val="20"/>
                <w:szCs w:val="20"/>
              </w:rPr>
            </w:pPr>
            <w:r w:rsidRPr="006C6F80">
              <w:rPr>
                <w:color w:val="000000" w:themeColor="text1"/>
                <w:sz w:val="20"/>
                <w:szCs w:val="20"/>
              </w:rPr>
              <w:t>284</w:t>
            </w:r>
          </w:p>
        </w:tc>
        <w:tc>
          <w:tcPr>
            <w:tcW w:w="1135" w:type="dxa"/>
            <w:tcBorders>
              <w:top w:val="nil"/>
              <w:left w:val="nil"/>
              <w:bottom w:val="nil"/>
              <w:right w:val="nil"/>
            </w:tcBorders>
            <w:shd w:val="clear" w:color="auto" w:fill="auto"/>
            <w:noWrap/>
            <w:vAlign w:val="center"/>
            <w:hideMark/>
          </w:tcPr>
          <w:p w14:paraId="4AA6EAD3" w14:textId="77777777" w:rsidR="009904A6" w:rsidRPr="006C6F80" w:rsidRDefault="009904A6" w:rsidP="009904A6">
            <w:pPr>
              <w:jc w:val="center"/>
              <w:rPr>
                <w:color w:val="000000" w:themeColor="text1"/>
                <w:sz w:val="20"/>
                <w:szCs w:val="20"/>
              </w:rPr>
            </w:pPr>
            <w:r w:rsidRPr="006C6F80">
              <w:rPr>
                <w:color w:val="000000" w:themeColor="text1"/>
                <w:sz w:val="20"/>
                <w:szCs w:val="20"/>
              </w:rPr>
              <w:t>86.590</w:t>
            </w:r>
          </w:p>
        </w:tc>
      </w:tr>
      <w:tr w:rsidR="009904A6" w:rsidRPr="006C6F80" w14:paraId="6959FD10" w14:textId="77777777" w:rsidTr="00481A34">
        <w:trPr>
          <w:trHeight w:val="265"/>
          <w:jc w:val="center"/>
        </w:trPr>
        <w:tc>
          <w:tcPr>
            <w:tcW w:w="3483" w:type="dxa"/>
            <w:tcBorders>
              <w:top w:val="nil"/>
              <w:left w:val="nil"/>
              <w:bottom w:val="nil"/>
              <w:right w:val="nil"/>
            </w:tcBorders>
            <w:shd w:val="clear" w:color="auto" w:fill="auto"/>
            <w:noWrap/>
            <w:vAlign w:val="center"/>
            <w:hideMark/>
          </w:tcPr>
          <w:p w14:paraId="0300B8C6" w14:textId="77777777" w:rsidR="009904A6" w:rsidRPr="006C6F80" w:rsidRDefault="009904A6" w:rsidP="009904A6">
            <w:pPr>
              <w:rPr>
                <w:color w:val="000000" w:themeColor="text1"/>
                <w:sz w:val="20"/>
                <w:szCs w:val="20"/>
              </w:rPr>
            </w:pPr>
            <w:r w:rsidRPr="006C6F80">
              <w:rPr>
                <w:color w:val="000000" w:themeColor="text1"/>
                <w:sz w:val="20"/>
                <w:szCs w:val="20"/>
              </w:rPr>
              <w:t>Total</w:t>
            </w:r>
          </w:p>
        </w:tc>
        <w:tc>
          <w:tcPr>
            <w:tcW w:w="968" w:type="dxa"/>
            <w:tcBorders>
              <w:top w:val="nil"/>
              <w:left w:val="nil"/>
              <w:bottom w:val="nil"/>
              <w:right w:val="nil"/>
            </w:tcBorders>
            <w:shd w:val="clear" w:color="auto" w:fill="auto"/>
            <w:noWrap/>
            <w:vAlign w:val="center"/>
            <w:hideMark/>
          </w:tcPr>
          <w:p w14:paraId="4DBD4917" w14:textId="77777777" w:rsidR="009904A6" w:rsidRPr="006C6F80" w:rsidRDefault="009904A6" w:rsidP="009904A6">
            <w:pPr>
              <w:jc w:val="center"/>
              <w:rPr>
                <w:color w:val="000000" w:themeColor="text1"/>
                <w:sz w:val="20"/>
                <w:szCs w:val="20"/>
              </w:rPr>
            </w:pPr>
            <w:r w:rsidRPr="006C6F80">
              <w:rPr>
                <w:color w:val="000000" w:themeColor="text1"/>
                <w:sz w:val="20"/>
                <w:szCs w:val="20"/>
              </w:rPr>
              <w:t>49,186</w:t>
            </w:r>
          </w:p>
        </w:tc>
        <w:tc>
          <w:tcPr>
            <w:tcW w:w="1135" w:type="dxa"/>
            <w:tcBorders>
              <w:top w:val="nil"/>
              <w:left w:val="nil"/>
              <w:bottom w:val="nil"/>
              <w:right w:val="single" w:sz="4" w:space="0" w:color="auto"/>
            </w:tcBorders>
            <w:shd w:val="clear" w:color="auto" w:fill="auto"/>
            <w:noWrap/>
            <w:vAlign w:val="center"/>
            <w:hideMark/>
          </w:tcPr>
          <w:p w14:paraId="71A9CF6E" w14:textId="77777777" w:rsidR="009904A6" w:rsidRPr="006C6F80" w:rsidRDefault="009904A6" w:rsidP="009904A6">
            <w:pPr>
              <w:jc w:val="center"/>
              <w:rPr>
                <w:color w:val="000000" w:themeColor="text1"/>
                <w:sz w:val="20"/>
                <w:szCs w:val="20"/>
              </w:rPr>
            </w:pPr>
            <w:r w:rsidRPr="006C6F80">
              <w:rPr>
                <w:color w:val="000000" w:themeColor="text1"/>
                <w:sz w:val="20"/>
                <w:szCs w:val="20"/>
              </w:rPr>
              <w:t>100.000</w:t>
            </w:r>
          </w:p>
        </w:tc>
        <w:tc>
          <w:tcPr>
            <w:tcW w:w="746" w:type="dxa"/>
            <w:tcBorders>
              <w:top w:val="nil"/>
              <w:left w:val="nil"/>
              <w:bottom w:val="nil"/>
              <w:right w:val="nil"/>
            </w:tcBorders>
            <w:shd w:val="clear" w:color="auto" w:fill="auto"/>
            <w:noWrap/>
            <w:vAlign w:val="center"/>
            <w:hideMark/>
          </w:tcPr>
          <w:p w14:paraId="1A8798EA" w14:textId="77777777" w:rsidR="009904A6" w:rsidRPr="006C6F80" w:rsidRDefault="009904A6" w:rsidP="009904A6">
            <w:pPr>
              <w:jc w:val="center"/>
              <w:rPr>
                <w:color w:val="000000" w:themeColor="text1"/>
                <w:sz w:val="20"/>
                <w:szCs w:val="20"/>
              </w:rPr>
            </w:pPr>
            <w:r w:rsidRPr="006C6F80">
              <w:rPr>
                <w:color w:val="000000" w:themeColor="text1"/>
                <w:sz w:val="20"/>
                <w:szCs w:val="20"/>
              </w:rPr>
              <w:t>328</w:t>
            </w:r>
          </w:p>
        </w:tc>
        <w:tc>
          <w:tcPr>
            <w:tcW w:w="1135" w:type="dxa"/>
            <w:tcBorders>
              <w:top w:val="nil"/>
              <w:left w:val="nil"/>
              <w:bottom w:val="nil"/>
              <w:right w:val="nil"/>
            </w:tcBorders>
            <w:shd w:val="clear" w:color="auto" w:fill="auto"/>
            <w:noWrap/>
            <w:vAlign w:val="center"/>
            <w:hideMark/>
          </w:tcPr>
          <w:p w14:paraId="5F01F67D" w14:textId="77777777" w:rsidR="009904A6" w:rsidRPr="006C6F80" w:rsidRDefault="009904A6" w:rsidP="009904A6">
            <w:pPr>
              <w:jc w:val="center"/>
              <w:rPr>
                <w:color w:val="000000" w:themeColor="text1"/>
                <w:sz w:val="20"/>
                <w:szCs w:val="20"/>
              </w:rPr>
            </w:pPr>
            <w:r w:rsidRPr="006C6F80">
              <w:rPr>
                <w:color w:val="000000" w:themeColor="text1"/>
                <w:sz w:val="20"/>
                <w:szCs w:val="20"/>
              </w:rPr>
              <w:t>100.000</w:t>
            </w:r>
          </w:p>
        </w:tc>
      </w:tr>
      <w:tr w:rsidR="009904A6" w:rsidRPr="006C6F80" w14:paraId="671E1DBA" w14:textId="77777777" w:rsidTr="00481A34">
        <w:trPr>
          <w:trHeight w:val="265"/>
          <w:jc w:val="center"/>
        </w:trPr>
        <w:tc>
          <w:tcPr>
            <w:tcW w:w="3483" w:type="dxa"/>
            <w:tcBorders>
              <w:top w:val="nil"/>
              <w:left w:val="nil"/>
              <w:bottom w:val="single" w:sz="4" w:space="0" w:color="auto"/>
              <w:right w:val="nil"/>
            </w:tcBorders>
            <w:shd w:val="clear" w:color="auto" w:fill="auto"/>
            <w:noWrap/>
            <w:vAlign w:val="center"/>
            <w:hideMark/>
          </w:tcPr>
          <w:p w14:paraId="3C4E3EFB" w14:textId="77777777" w:rsidR="009904A6" w:rsidRPr="006C6F80" w:rsidRDefault="009904A6" w:rsidP="009904A6">
            <w:pPr>
              <w:rPr>
                <w:color w:val="000000" w:themeColor="text1"/>
                <w:sz w:val="20"/>
                <w:szCs w:val="20"/>
              </w:rPr>
            </w:pPr>
            <w:r w:rsidRPr="006C6F80">
              <w:rPr>
                <w:color w:val="000000" w:themeColor="text1"/>
                <w:sz w:val="20"/>
                <w:szCs w:val="20"/>
              </w:rPr>
              <w:t> </w:t>
            </w:r>
          </w:p>
        </w:tc>
        <w:tc>
          <w:tcPr>
            <w:tcW w:w="968" w:type="dxa"/>
            <w:tcBorders>
              <w:top w:val="nil"/>
              <w:left w:val="nil"/>
              <w:bottom w:val="single" w:sz="4" w:space="0" w:color="auto"/>
              <w:right w:val="nil"/>
            </w:tcBorders>
            <w:shd w:val="clear" w:color="auto" w:fill="auto"/>
            <w:noWrap/>
            <w:vAlign w:val="center"/>
            <w:hideMark/>
          </w:tcPr>
          <w:p w14:paraId="20D2F9CE" w14:textId="77777777" w:rsidR="009904A6" w:rsidRPr="006C6F80" w:rsidRDefault="009904A6" w:rsidP="009904A6">
            <w:pPr>
              <w:jc w:val="center"/>
              <w:rPr>
                <w:color w:val="000000" w:themeColor="text1"/>
                <w:sz w:val="20"/>
                <w:szCs w:val="20"/>
              </w:rPr>
            </w:pPr>
            <w:r w:rsidRPr="006C6F80">
              <w:rPr>
                <w:color w:val="000000" w:themeColor="text1"/>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14:paraId="58C60669" w14:textId="77777777" w:rsidR="009904A6" w:rsidRPr="006C6F80" w:rsidRDefault="009904A6" w:rsidP="009904A6">
            <w:pPr>
              <w:jc w:val="center"/>
              <w:rPr>
                <w:color w:val="000000" w:themeColor="text1"/>
                <w:sz w:val="20"/>
                <w:szCs w:val="20"/>
              </w:rPr>
            </w:pPr>
            <w:r w:rsidRPr="006C6F80">
              <w:rPr>
                <w:color w:val="000000" w:themeColor="text1"/>
                <w:sz w:val="20"/>
                <w:szCs w:val="20"/>
              </w:rPr>
              <w:t> </w:t>
            </w:r>
          </w:p>
        </w:tc>
        <w:tc>
          <w:tcPr>
            <w:tcW w:w="746" w:type="dxa"/>
            <w:tcBorders>
              <w:top w:val="nil"/>
              <w:left w:val="nil"/>
              <w:bottom w:val="single" w:sz="4" w:space="0" w:color="auto"/>
              <w:right w:val="nil"/>
            </w:tcBorders>
            <w:shd w:val="clear" w:color="auto" w:fill="auto"/>
            <w:noWrap/>
            <w:vAlign w:val="center"/>
            <w:hideMark/>
          </w:tcPr>
          <w:p w14:paraId="3FF0DB49" w14:textId="77777777" w:rsidR="009904A6" w:rsidRPr="006C6F80" w:rsidRDefault="009904A6" w:rsidP="009904A6">
            <w:pPr>
              <w:jc w:val="center"/>
              <w:rPr>
                <w:color w:val="000000" w:themeColor="text1"/>
                <w:sz w:val="20"/>
                <w:szCs w:val="20"/>
              </w:rPr>
            </w:pPr>
            <w:r w:rsidRPr="006C6F80">
              <w:rPr>
                <w:color w:val="000000" w:themeColor="text1"/>
                <w:sz w:val="20"/>
                <w:szCs w:val="20"/>
              </w:rPr>
              <w:t> </w:t>
            </w:r>
          </w:p>
        </w:tc>
        <w:tc>
          <w:tcPr>
            <w:tcW w:w="1135" w:type="dxa"/>
            <w:tcBorders>
              <w:top w:val="nil"/>
              <w:left w:val="nil"/>
              <w:bottom w:val="single" w:sz="4" w:space="0" w:color="auto"/>
              <w:right w:val="nil"/>
            </w:tcBorders>
            <w:shd w:val="clear" w:color="auto" w:fill="auto"/>
            <w:noWrap/>
            <w:vAlign w:val="center"/>
            <w:hideMark/>
          </w:tcPr>
          <w:p w14:paraId="16196400" w14:textId="77777777" w:rsidR="009904A6" w:rsidRPr="006C6F80" w:rsidRDefault="009904A6" w:rsidP="009904A6">
            <w:pPr>
              <w:jc w:val="center"/>
              <w:rPr>
                <w:color w:val="000000" w:themeColor="text1"/>
                <w:sz w:val="20"/>
                <w:szCs w:val="20"/>
              </w:rPr>
            </w:pPr>
            <w:r w:rsidRPr="006C6F80">
              <w:rPr>
                <w:color w:val="000000" w:themeColor="text1"/>
                <w:sz w:val="20"/>
                <w:szCs w:val="20"/>
              </w:rPr>
              <w:t> </w:t>
            </w:r>
          </w:p>
        </w:tc>
      </w:tr>
      <w:tr w:rsidR="009904A6" w:rsidRPr="006C6F80" w14:paraId="5DA45730" w14:textId="77777777" w:rsidTr="00481A34">
        <w:trPr>
          <w:trHeight w:val="265"/>
          <w:jc w:val="center"/>
        </w:trPr>
        <w:tc>
          <w:tcPr>
            <w:tcW w:w="7470" w:type="dxa"/>
            <w:gridSpan w:val="5"/>
            <w:tcBorders>
              <w:top w:val="nil"/>
              <w:left w:val="nil"/>
              <w:bottom w:val="single" w:sz="4" w:space="0" w:color="auto"/>
              <w:right w:val="nil"/>
            </w:tcBorders>
            <w:shd w:val="clear" w:color="auto" w:fill="auto"/>
            <w:noWrap/>
            <w:vAlign w:val="center"/>
            <w:hideMark/>
          </w:tcPr>
          <w:p w14:paraId="09675E96" w14:textId="77777777" w:rsidR="009904A6" w:rsidRPr="006C6F80" w:rsidRDefault="009904A6" w:rsidP="009904A6">
            <w:pPr>
              <w:jc w:val="center"/>
              <w:rPr>
                <w:b/>
                <w:bCs/>
                <w:color w:val="000000" w:themeColor="text1"/>
                <w:sz w:val="20"/>
                <w:szCs w:val="20"/>
              </w:rPr>
            </w:pPr>
            <w:r w:rsidRPr="006C6F80">
              <w:rPr>
                <w:b/>
                <w:bCs/>
                <w:color w:val="000000" w:themeColor="text1"/>
                <w:sz w:val="20"/>
                <w:szCs w:val="20"/>
              </w:rPr>
              <w:t>Panel B: Individual result from 2012 to 2018</w:t>
            </w:r>
          </w:p>
        </w:tc>
      </w:tr>
      <w:tr w:rsidR="009904A6" w:rsidRPr="006C6F80" w14:paraId="4172C1D9" w14:textId="77777777" w:rsidTr="00481A34">
        <w:trPr>
          <w:trHeight w:val="265"/>
          <w:jc w:val="center"/>
        </w:trPr>
        <w:tc>
          <w:tcPr>
            <w:tcW w:w="3483" w:type="dxa"/>
            <w:tcBorders>
              <w:top w:val="single" w:sz="4" w:space="0" w:color="auto"/>
              <w:left w:val="nil"/>
              <w:bottom w:val="single" w:sz="4" w:space="0" w:color="auto"/>
              <w:right w:val="nil"/>
            </w:tcBorders>
            <w:shd w:val="clear" w:color="auto" w:fill="auto"/>
            <w:noWrap/>
            <w:vAlign w:val="center"/>
            <w:hideMark/>
          </w:tcPr>
          <w:p w14:paraId="04B1BD35" w14:textId="77777777" w:rsidR="009904A6" w:rsidRPr="006C6F80" w:rsidRDefault="009904A6" w:rsidP="009904A6">
            <w:pPr>
              <w:rPr>
                <w:color w:val="000000" w:themeColor="text1"/>
                <w:sz w:val="20"/>
                <w:szCs w:val="20"/>
              </w:rPr>
            </w:pPr>
            <w:r w:rsidRPr="006C6F80">
              <w:rPr>
                <w:color w:val="000000" w:themeColor="text1"/>
                <w:sz w:val="20"/>
                <w:szCs w:val="20"/>
              </w:rPr>
              <w:t> </w:t>
            </w:r>
          </w:p>
        </w:tc>
        <w:tc>
          <w:tcPr>
            <w:tcW w:w="968" w:type="dxa"/>
            <w:tcBorders>
              <w:top w:val="single" w:sz="4" w:space="0" w:color="auto"/>
              <w:left w:val="nil"/>
              <w:bottom w:val="single" w:sz="4" w:space="0" w:color="auto"/>
              <w:right w:val="nil"/>
            </w:tcBorders>
            <w:shd w:val="clear" w:color="auto" w:fill="auto"/>
            <w:noWrap/>
            <w:vAlign w:val="center"/>
            <w:hideMark/>
          </w:tcPr>
          <w:p w14:paraId="31B45BE4" w14:textId="77777777" w:rsidR="009904A6" w:rsidRPr="006C6F80" w:rsidRDefault="009904A6" w:rsidP="009904A6">
            <w:pPr>
              <w:jc w:val="center"/>
              <w:rPr>
                <w:color w:val="000000" w:themeColor="text1"/>
                <w:sz w:val="20"/>
                <w:szCs w:val="20"/>
              </w:rPr>
            </w:pPr>
            <w:r w:rsidRPr="006C6F80">
              <w:rPr>
                <w:color w:val="000000" w:themeColor="text1"/>
                <w:sz w:val="20"/>
                <w:szCs w:val="20"/>
              </w:rPr>
              <w:t>Freq.</w:t>
            </w:r>
          </w:p>
        </w:tc>
        <w:tc>
          <w:tcPr>
            <w:tcW w:w="1135" w:type="dxa"/>
            <w:tcBorders>
              <w:top w:val="single" w:sz="4" w:space="0" w:color="auto"/>
              <w:left w:val="nil"/>
              <w:bottom w:val="single" w:sz="4" w:space="0" w:color="auto"/>
              <w:right w:val="nil"/>
            </w:tcBorders>
            <w:shd w:val="clear" w:color="auto" w:fill="auto"/>
            <w:noWrap/>
            <w:vAlign w:val="center"/>
            <w:hideMark/>
          </w:tcPr>
          <w:p w14:paraId="6F361829" w14:textId="77777777" w:rsidR="009904A6" w:rsidRPr="006C6F80" w:rsidRDefault="009904A6" w:rsidP="009904A6">
            <w:pPr>
              <w:jc w:val="center"/>
              <w:rPr>
                <w:color w:val="000000" w:themeColor="text1"/>
                <w:sz w:val="20"/>
                <w:szCs w:val="20"/>
              </w:rPr>
            </w:pPr>
            <w:r w:rsidRPr="006C6F80">
              <w:rPr>
                <w:color w:val="000000" w:themeColor="text1"/>
                <w:sz w:val="20"/>
                <w:szCs w:val="20"/>
              </w:rPr>
              <w:t>Percent</w:t>
            </w:r>
          </w:p>
        </w:tc>
        <w:tc>
          <w:tcPr>
            <w:tcW w:w="746" w:type="dxa"/>
            <w:tcBorders>
              <w:top w:val="single" w:sz="4" w:space="0" w:color="auto"/>
              <w:left w:val="single" w:sz="4" w:space="0" w:color="auto"/>
              <w:bottom w:val="single" w:sz="4" w:space="0" w:color="auto"/>
              <w:right w:val="nil"/>
            </w:tcBorders>
            <w:shd w:val="clear" w:color="auto" w:fill="auto"/>
            <w:noWrap/>
            <w:vAlign w:val="center"/>
            <w:hideMark/>
          </w:tcPr>
          <w:p w14:paraId="0949D109" w14:textId="77777777" w:rsidR="009904A6" w:rsidRPr="006C6F80" w:rsidRDefault="009904A6" w:rsidP="009904A6">
            <w:pPr>
              <w:jc w:val="center"/>
              <w:rPr>
                <w:color w:val="000000" w:themeColor="text1"/>
                <w:sz w:val="20"/>
                <w:szCs w:val="20"/>
              </w:rPr>
            </w:pPr>
            <w:r w:rsidRPr="006C6F80">
              <w:rPr>
                <w:color w:val="000000" w:themeColor="text1"/>
                <w:sz w:val="20"/>
                <w:szCs w:val="20"/>
              </w:rPr>
              <w:t>Freq.</w:t>
            </w:r>
          </w:p>
        </w:tc>
        <w:tc>
          <w:tcPr>
            <w:tcW w:w="1135" w:type="dxa"/>
            <w:tcBorders>
              <w:top w:val="single" w:sz="4" w:space="0" w:color="auto"/>
              <w:left w:val="nil"/>
              <w:bottom w:val="single" w:sz="4" w:space="0" w:color="auto"/>
              <w:right w:val="nil"/>
            </w:tcBorders>
            <w:shd w:val="clear" w:color="auto" w:fill="auto"/>
            <w:noWrap/>
            <w:vAlign w:val="center"/>
            <w:hideMark/>
          </w:tcPr>
          <w:p w14:paraId="6FE50EB9" w14:textId="77777777" w:rsidR="009904A6" w:rsidRPr="006C6F80" w:rsidRDefault="009904A6" w:rsidP="009904A6">
            <w:pPr>
              <w:jc w:val="center"/>
              <w:rPr>
                <w:color w:val="000000" w:themeColor="text1"/>
                <w:sz w:val="20"/>
                <w:szCs w:val="20"/>
              </w:rPr>
            </w:pPr>
            <w:r w:rsidRPr="006C6F80">
              <w:rPr>
                <w:color w:val="000000" w:themeColor="text1"/>
                <w:sz w:val="20"/>
                <w:szCs w:val="20"/>
              </w:rPr>
              <w:t>Percent</w:t>
            </w:r>
          </w:p>
        </w:tc>
      </w:tr>
      <w:tr w:rsidR="009904A6" w:rsidRPr="006C6F80" w14:paraId="513C435B" w14:textId="77777777" w:rsidTr="00481A34">
        <w:trPr>
          <w:trHeight w:val="265"/>
          <w:jc w:val="center"/>
        </w:trPr>
        <w:tc>
          <w:tcPr>
            <w:tcW w:w="3483" w:type="dxa"/>
            <w:tcBorders>
              <w:top w:val="nil"/>
              <w:left w:val="nil"/>
              <w:bottom w:val="nil"/>
              <w:right w:val="nil"/>
            </w:tcBorders>
            <w:shd w:val="clear" w:color="auto" w:fill="auto"/>
            <w:noWrap/>
            <w:vAlign w:val="center"/>
            <w:hideMark/>
          </w:tcPr>
          <w:p w14:paraId="6A83785F" w14:textId="77777777" w:rsidR="009904A6" w:rsidRPr="006C6F80" w:rsidRDefault="009904A6" w:rsidP="009904A6">
            <w:pPr>
              <w:rPr>
                <w:color w:val="000000" w:themeColor="text1"/>
                <w:sz w:val="20"/>
                <w:szCs w:val="20"/>
              </w:rPr>
            </w:pPr>
            <w:r w:rsidRPr="006C6F80">
              <w:rPr>
                <w:color w:val="000000" w:themeColor="text1"/>
                <w:sz w:val="20"/>
                <w:szCs w:val="20"/>
              </w:rPr>
              <w:t>In original household</w:t>
            </w:r>
          </w:p>
        </w:tc>
        <w:tc>
          <w:tcPr>
            <w:tcW w:w="968" w:type="dxa"/>
            <w:tcBorders>
              <w:top w:val="nil"/>
              <w:left w:val="nil"/>
              <w:bottom w:val="nil"/>
              <w:right w:val="nil"/>
            </w:tcBorders>
            <w:shd w:val="clear" w:color="auto" w:fill="auto"/>
            <w:noWrap/>
            <w:vAlign w:val="center"/>
            <w:hideMark/>
          </w:tcPr>
          <w:p w14:paraId="50ADCCD9" w14:textId="77777777" w:rsidR="009904A6" w:rsidRPr="006C6F80" w:rsidRDefault="009904A6" w:rsidP="009904A6">
            <w:pPr>
              <w:jc w:val="center"/>
              <w:rPr>
                <w:color w:val="000000" w:themeColor="text1"/>
                <w:sz w:val="20"/>
                <w:szCs w:val="20"/>
              </w:rPr>
            </w:pPr>
            <w:r w:rsidRPr="006C6F80">
              <w:rPr>
                <w:color w:val="000000" w:themeColor="text1"/>
                <w:sz w:val="20"/>
                <w:szCs w:val="20"/>
              </w:rPr>
              <w:t>34,325</w:t>
            </w:r>
          </w:p>
        </w:tc>
        <w:tc>
          <w:tcPr>
            <w:tcW w:w="1135" w:type="dxa"/>
            <w:tcBorders>
              <w:top w:val="nil"/>
              <w:left w:val="nil"/>
              <w:bottom w:val="nil"/>
              <w:right w:val="single" w:sz="4" w:space="0" w:color="auto"/>
            </w:tcBorders>
            <w:shd w:val="clear" w:color="auto" w:fill="auto"/>
            <w:noWrap/>
            <w:vAlign w:val="center"/>
            <w:hideMark/>
          </w:tcPr>
          <w:p w14:paraId="36986FBC" w14:textId="77777777" w:rsidR="009904A6" w:rsidRPr="006C6F80" w:rsidRDefault="009904A6" w:rsidP="009904A6">
            <w:pPr>
              <w:jc w:val="center"/>
              <w:rPr>
                <w:color w:val="000000" w:themeColor="text1"/>
                <w:sz w:val="20"/>
                <w:szCs w:val="20"/>
              </w:rPr>
            </w:pPr>
            <w:r w:rsidRPr="006C6F80">
              <w:rPr>
                <w:color w:val="000000" w:themeColor="text1"/>
                <w:sz w:val="20"/>
                <w:szCs w:val="20"/>
              </w:rPr>
              <w:t>69.790</w:t>
            </w:r>
          </w:p>
        </w:tc>
        <w:tc>
          <w:tcPr>
            <w:tcW w:w="746" w:type="dxa"/>
            <w:tcBorders>
              <w:top w:val="nil"/>
              <w:left w:val="nil"/>
              <w:bottom w:val="nil"/>
              <w:right w:val="nil"/>
            </w:tcBorders>
            <w:shd w:val="clear" w:color="auto" w:fill="auto"/>
            <w:noWrap/>
            <w:vAlign w:val="center"/>
            <w:hideMark/>
          </w:tcPr>
          <w:p w14:paraId="11033D0A" w14:textId="77777777" w:rsidR="009904A6" w:rsidRPr="006C6F80" w:rsidRDefault="009904A6" w:rsidP="009904A6">
            <w:pPr>
              <w:jc w:val="center"/>
              <w:rPr>
                <w:color w:val="000000" w:themeColor="text1"/>
                <w:sz w:val="20"/>
                <w:szCs w:val="20"/>
              </w:rPr>
            </w:pPr>
            <w:r w:rsidRPr="006C6F80">
              <w:rPr>
                <w:color w:val="000000" w:themeColor="text1"/>
                <w:sz w:val="20"/>
                <w:szCs w:val="20"/>
              </w:rPr>
              <w:t>280</w:t>
            </w:r>
          </w:p>
        </w:tc>
        <w:tc>
          <w:tcPr>
            <w:tcW w:w="1135" w:type="dxa"/>
            <w:tcBorders>
              <w:top w:val="nil"/>
              <w:left w:val="nil"/>
              <w:bottom w:val="nil"/>
              <w:right w:val="nil"/>
            </w:tcBorders>
            <w:shd w:val="clear" w:color="auto" w:fill="auto"/>
            <w:noWrap/>
            <w:vAlign w:val="center"/>
            <w:hideMark/>
          </w:tcPr>
          <w:p w14:paraId="444975E2" w14:textId="77777777" w:rsidR="009904A6" w:rsidRPr="006C6F80" w:rsidRDefault="009904A6" w:rsidP="009904A6">
            <w:pPr>
              <w:jc w:val="center"/>
              <w:rPr>
                <w:color w:val="000000" w:themeColor="text1"/>
                <w:sz w:val="20"/>
                <w:szCs w:val="20"/>
              </w:rPr>
            </w:pPr>
            <w:r w:rsidRPr="006C6F80">
              <w:rPr>
                <w:color w:val="000000" w:themeColor="text1"/>
                <w:sz w:val="20"/>
                <w:szCs w:val="20"/>
              </w:rPr>
              <w:t>85.370</w:t>
            </w:r>
          </w:p>
        </w:tc>
      </w:tr>
      <w:tr w:rsidR="009904A6" w:rsidRPr="006C6F80" w14:paraId="7E777D10" w14:textId="77777777" w:rsidTr="00481A34">
        <w:trPr>
          <w:trHeight w:val="265"/>
          <w:jc w:val="center"/>
        </w:trPr>
        <w:tc>
          <w:tcPr>
            <w:tcW w:w="3483" w:type="dxa"/>
            <w:tcBorders>
              <w:top w:val="nil"/>
              <w:left w:val="nil"/>
              <w:bottom w:val="nil"/>
              <w:right w:val="nil"/>
            </w:tcBorders>
            <w:shd w:val="clear" w:color="auto" w:fill="auto"/>
            <w:noWrap/>
            <w:vAlign w:val="center"/>
            <w:hideMark/>
          </w:tcPr>
          <w:p w14:paraId="0FF0D540" w14:textId="77777777" w:rsidR="009904A6" w:rsidRPr="006C6F80" w:rsidRDefault="009904A6" w:rsidP="009904A6">
            <w:pPr>
              <w:rPr>
                <w:color w:val="000000" w:themeColor="text1"/>
                <w:sz w:val="20"/>
                <w:szCs w:val="20"/>
              </w:rPr>
            </w:pPr>
            <w:r w:rsidRPr="006C6F80">
              <w:rPr>
                <w:color w:val="000000" w:themeColor="text1"/>
                <w:sz w:val="20"/>
                <w:szCs w:val="20"/>
              </w:rPr>
              <w:t>Split and found</w:t>
            </w:r>
          </w:p>
        </w:tc>
        <w:tc>
          <w:tcPr>
            <w:tcW w:w="968" w:type="dxa"/>
            <w:tcBorders>
              <w:top w:val="nil"/>
              <w:left w:val="nil"/>
              <w:bottom w:val="nil"/>
              <w:right w:val="nil"/>
            </w:tcBorders>
            <w:shd w:val="clear" w:color="auto" w:fill="auto"/>
            <w:noWrap/>
            <w:vAlign w:val="center"/>
            <w:hideMark/>
          </w:tcPr>
          <w:p w14:paraId="2531ADE7" w14:textId="77777777" w:rsidR="009904A6" w:rsidRPr="006C6F80" w:rsidRDefault="009904A6" w:rsidP="009904A6">
            <w:pPr>
              <w:jc w:val="center"/>
              <w:rPr>
                <w:color w:val="000000" w:themeColor="text1"/>
                <w:sz w:val="20"/>
                <w:szCs w:val="20"/>
              </w:rPr>
            </w:pPr>
            <w:r w:rsidRPr="006C6F80">
              <w:rPr>
                <w:color w:val="000000" w:themeColor="text1"/>
                <w:sz w:val="20"/>
                <w:szCs w:val="20"/>
              </w:rPr>
              <w:t>4,828</w:t>
            </w:r>
          </w:p>
        </w:tc>
        <w:tc>
          <w:tcPr>
            <w:tcW w:w="1135" w:type="dxa"/>
            <w:tcBorders>
              <w:top w:val="nil"/>
              <w:left w:val="nil"/>
              <w:bottom w:val="nil"/>
              <w:right w:val="single" w:sz="4" w:space="0" w:color="auto"/>
            </w:tcBorders>
            <w:shd w:val="clear" w:color="auto" w:fill="auto"/>
            <w:noWrap/>
            <w:vAlign w:val="center"/>
            <w:hideMark/>
          </w:tcPr>
          <w:p w14:paraId="7DE92C7D" w14:textId="77777777" w:rsidR="009904A6" w:rsidRPr="006C6F80" w:rsidRDefault="009904A6" w:rsidP="009904A6">
            <w:pPr>
              <w:jc w:val="center"/>
              <w:rPr>
                <w:color w:val="000000" w:themeColor="text1"/>
                <w:sz w:val="20"/>
                <w:szCs w:val="20"/>
              </w:rPr>
            </w:pPr>
            <w:r w:rsidRPr="006C6F80">
              <w:rPr>
                <w:color w:val="000000" w:themeColor="text1"/>
                <w:sz w:val="20"/>
                <w:szCs w:val="20"/>
              </w:rPr>
              <w:t>9.820</w:t>
            </w:r>
          </w:p>
        </w:tc>
        <w:tc>
          <w:tcPr>
            <w:tcW w:w="746" w:type="dxa"/>
            <w:tcBorders>
              <w:top w:val="nil"/>
              <w:left w:val="nil"/>
              <w:bottom w:val="nil"/>
              <w:right w:val="nil"/>
            </w:tcBorders>
            <w:shd w:val="clear" w:color="auto" w:fill="auto"/>
            <w:noWrap/>
            <w:vAlign w:val="center"/>
            <w:hideMark/>
          </w:tcPr>
          <w:p w14:paraId="755CB2BD" w14:textId="77777777" w:rsidR="009904A6" w:rsidRPr="006C6F80" w:rsidRDefault="009904A6" w:rsidP="009904A6">
            <w:pPr>
              <w:jc w:val="center"/>
              <w:rPr>
                <w:color w:val="000000" w:themeColor="text1"/>
                <w:sz w:val="20"/>
                <w:szCs w:val="20"/>
              </w:rPr>
            </w:pPr>
            <w:r w:rsidRPr="006C6F80">
              <w:rPr>
                <w:color w:val="000000" w:themeColor="text1"/>
                <w:sz w:val="20"/>
                <w:szCs w:val="20"/>
              </w:rPr>
              <w:t>4</w:t>
            </w:r>
          </w:p>
        </w:tc>
        <w:tc>
          <w:tcPr>
            <w:tcW w:w="1135" w:type="dxa"/>
            <w:tcBorders>
              <w:top w:val="nil"/>
              <w:left w:val="nil"/>
              <w:bottom w:val="nil"/>
              <w:right w:val="nil"/>
            </w:tcBorders>
            <w:shd w:val="clear" w:color="auto" w:fill="auto"/>
            <w:noWrap/>
            <w:vAlign w:val="center"/>
            <w:hideMark/>
          </w:tcPr>
          <w:p w14:paraId="0041FC44" w14:textId="77777777" w:rsidR="009904A6" w:rsidRPr="006C6F80" w:rsidRDefault="009904A6" w:rsidP="009904A6">
            <w:pPr>
              <w:jc w:val="center"/>
              <w:rPr>
                <w:color w:val="000000" w:themeColor="text1"/>
                <w:sz w:val="20"/>
                <w:szCs w:val="20"/>
              </w:rPr>
            </w:pPr>
            <w:r w:rsidRPr="006C6F80">
              <w:rPr>
                <w:color w:val="000000" w:themeColor="text1"/>
                <w:sz w:val="20"/>
                <w:szCs w:val="20"/>
              </w:rPr>
              <w:t>1.220</w:t>
            </w:r>
          </w:p>
        </w:tc>
      </w:tr>
      <w:tr w:rsidR="009904A6" w:rsidRPr="006C6F80" w14:paraId="2B1DDE06" w14:textId="77777777" w:rsidTr="00481A34">
        <w:trPr>
          <w:trHeight w:val="265"/>
          <w:jc w:val="center"/>
        </w:trPr>
        <w:tc>
          <w:tcPr>
            <w:tcW w:w="3483" w:type="dxa"/>
            <w:tcBorders>
              <w:top w:val="nil"/>
              <w:left w:val="nil"/>
              <w:bottom w:val="nil"/>
              <w:right w:val="nil"/>
            </w:tcBorders>
            <w:shd w:val="clear" w:color="auto" w:fill="auto"/>
            <w:noWrap/>
            <w:vAlign w:val="center"/>
            <w:hideMark/>
          </w:tcPr>
          <w:p w14:paraId="4905D024" w14:textId="77777777" w:rsidR="009904A6" w:rsidRPr="006C6F80" w:rsidRDefault="009904A6" w:rsidP="009904A6">
            <w:pPr>
              <w:rPr>
                <w:color w:val="000000" w:themeColor="text1"/>
                <w:sz w:val="20"/>
                <w:szCs w:val="20"/>
              </w:rPr>
            </w:pPr>
            <w:r w:rsidRPr="006C6F80">
              <w:rPr>
                <w:color w:val="000000" w:themeColor="text1"/>
                <w:sz w:val="20"/>
                <w:szCs w:val="20"/>
              </w:rPr>
              <w:t>Split and not found</w:t>
            </w:r>
          </w:p>
        </w:tc>
        <w:tc>
          <w:tcPr>
            <w:tcW w:w="968" w:type="dxa"/>
            <w:tcBorders>
              <w:top w:val="nil"/>
              <w:left w:val="nil"/>
              <w:bottom w:val="nil"/>
              <w:right w:val="nil"/>
            </w:tcBorders>
            <w:shd w:val="clear" w:color="auto" w:fill="auto"/>
            <w:noWrap/>
            <w:vAlign w:val="center"/>
            <w:hideMark/>
          </w:tcPr>
          <w:p w14:paraId="7F0ECA91" w14:textId="77777777" w:rsidR="009904A6" w:rsidRPr="006C6F80" w:rsidRDefault="009904A6" w:rsidP="009904A6">
            <w:pPr>
              <w:jc w:val="center"/>
              <w:rPr>
                <w:color w:val="000000" w:themeColor="text1"/>
                <w:sz w:val="20"/>
                <w:szCs w:val="20"/>
              </w:rPr>
            </w:pPr>
            <w:r w:rsidRPr="006C6F80">
              <w:rPr>
                <w:color w:val="000000" w:themeColor="text1"/>
                <w:sz w:val="20"/>
                <w:szCs w:val="20"/>
              </w:rPr>
              <w:t>1,016</w:t>
            </w:r>
          </w:p>
        </w:tc>
        <w:tc>
          <w:tcPr>
            <w:tcW w:w="1135" w:type="dxa"/>
            <w:tcBorders>
              <w:top w:val="nil"/>
              <w:left w:val="nil"/>
              <w:bottom w:val="nil"/>
              <w:right w:val="single" w:sz="4" w:space="0" w:color="auto"/>
            </w:tcBorders>
            <w:shd w:val="clear" w:color="auto" w:fill="auto"/>
            <w:noWrap/>
            <w:vAlign w:val="center"/>
            <w:hideMark/>
          </w:tcPr>
          <w:p w14:paraId="757E268A" w14:textId="77777777" w:rsidR="009904A6" w:rsidRPr="006C6F80" w:rsidRDefault="009904A6" w:rsidP="009904A6">
            <w:pPr>
              <w:jc w:val="center"/>
              <w:rPr>
                <w:color w:val="000000" w:themeColor="text1"/>
                <w:sz w:val="20"/>
                <w:szCs w:val="20"/>
              </w:rPr>
            </w:pPr>
            <w:r w:rsidRPr="006C6F80">
              <w:rPr>
                <w:color w:val="000000" w:themeColor="text1"/>
                <w:sz w:val="20"/>
                <w:szCs w:val="20"/>
              </w:rPr>
              <w:t>2.060</w:t>
            </w:r>
          </w:p>
        </w:tc>
        <w:tc>
          <w:tcPr>
            <w:tcW w:w="746" w:type="dxa"/>
            <w:tcBorders>
              <w:top w:val="nil"/>
              <w:left w:val="nil"/>
              <w:bottom w:val="nil"/>
              <w:right w:val="nil"/>
            </w:tcBorders>
            <w:shd w:val="clear" w:color="auto" w:fill="auto"/>
            <w:noWrap/>
            <w:vAlign w:val="center"/>
            <w:hideMark/>
          </w:tcPr>
          <w:p w14:paraId="039984BB" w14:textId="77777777" w:rsidR="009904A6" w:rsidRPr="006C6F80" w:rsidRDefault="009904A6" w:rsidP="009904A6">
            <w:pPr>
              <w:jc w:val="center"/>
              <w:rPr>
                <w:color w:val="000000" w:themeColor="text1"/>
                <w:sz w:val="20"/>
                <w:szCs w:val="20"/>
              </w:rPr>
            </w:pPr>
            <w:r w:rsidRPr="006C6F80">
              <w:rPr>
                <w:color w:val="000000" w:themeColor="text1"/>
                <w:sz w:val="20"/>
                <w:szCs w:val="20"/>
              </w:rPr>
              <w:t>0</w:t>
            </w:r>
          </w:p>
        </w:tc>
        <w:tc>
          <w:tcPr>
            <w:tcW w:w="1135" w:type="dxa"/>
            <w:tcBorders>
              <w:top w:val="nil"/>
              <w:left w:val="nil"/>
              <w:bottom w:val="nil"/>
              <w:right w:val="nil"/>
            </w:tcBorders>
            <w:shd w:val="clear" w:color="auto" w:fill="auto"/>
            <w:noWrap/>
            <w:vAlign w:val="center"/>
            <w:hideMark/>
          </w:tcPr>
          <w:p w14:paraId="3385B281" w14:textId="77777777" w:rsidR="009904A6" w:rsidRPr="006C6F80" w:rsidRDefault="009904A6" w:rsidP="009904A6">
            <w:pPr>
              <w:jc w:val="center"/>
              <w:rPr>
                <w:color w:val="000000" w:themeColor="text1"/>
                <w:sz w:val="20"/>
                <w:szCs w:val="20"/>
              </w:rPr>
            </w:pPr>
            <w:r w:rsidRPr="006C6F80">
              <w:rPr>
                <w:color w:val="000000" w:themeColor="text1"/>
                <w:sz w:val="20"/>
                <w:szCs w:val="20"/>
              </w:rPr>
              <w:t>0.000</w:t>
            </w:r>
          </w:p>
        </w:tc>
      </w:tr>
      <w:tr w:rsidR="009904A6" w:rsidRPr="006C6F80" w14:paraId="4BCF68F3" w14:textId="77777777" w:rsidTr="00481A34">
        <w:trPr>
          <w:trHeight w:val="265"/>
          <w:jc w:val="center"/>
        </w:trPr>
        <w:tc>
          <w:tcPr>
            <w:tcW w:w="3483" w:type="dxa"/>
            <w:tcBorders>
              <w:top w:val="nil"/>
              <w:left w:val="nil"/>
              <w:bottom w:val="nil"/>
              <w:right w:val="nil"/>
            </w:tcBorders>
            <w:shd w:val="clear" w:color="auto" w:fill="auto"/>
            <w:noWrap/>
            <w:vAlign w:val="center"/>
            <w:hideMark/>
          </w:tcPr>
          <w:p w14:paraId="33DB59E2" w14:textId="77777777" w:rsidR="009904A6" w:rsidRPr="006C6F80" w:rsidRDefault="009904A6" w:rsidP="009904A6">
            <w:pPr>
              <w:rPr>
                <w:color w:val="000000" w:themeColor="text1"/>
                <w:sz w:val="20"/>
                <w:szCs w:val="20"/>
              </w:rPr>
            </w:pPr>
            <w:r w:rsidRPr="006C6F80">
              <w:rPr>
                <w:color w:val="000000" w:themeColor="text1"/>
                <w:sz w:val="20"/>
                <w:szCs w:val="20"/>
              </w:rPr>
              <w:t>Died</w:t>
            </w:r>
          </w:p>
        </w:tc>
        <w:tc>
          <w:tcPr>
            <w:tcW w:w="968" w:type="dxa"/>
            <w:tcBorders>
              <w:top w:val="nil"/>
              <w:left w:val="nil"/>
              <w:bottom w:val="nil"/>
              <w:right w:val="nil"/>
            </w:tcBorders>
            <w:shd w:val="clear" w:color="auto" w:fill="auto"/>
            <w:noWrap/>
            <w:vAlign w:val="center"/>
            <w:hideMark/>
          </w:tcPr>
          <w:p w14:paraId="0113F471" w14:textId="77777777" w:rsidR="009904A6" w:rsidRPr="006C6F80" w:rsidRDefault="009904A6" w:rsidP="009904A6">
            <w:pPr>
              <w:jc w:val="center"/>
              <w:rPr>
                <w:color w:val="000000" w:themeColor="text1"/>
                <w:sz w:val="20"/>
                <w:szCs w:val="20"/>
              </w:rPr>
            </w:pPr>
            <w:r w:rsidRPr="006C6F80">
              <w:rPr>
                <w:color w:val="000000" w:themeColor="text1"/>
                <w:sz w:val="20"/>
                <w:szCs w:val="20"/>
              </w:rPr>
              <w:t>1,743</w:t>
            </w:r>
          </w:p>
        </w:tc>
        <w:tc>
          <w:tcPr>
            <w:tcW w:w="1135" w:type="dxa"/>
            <w:tcBorders>
              <w:top w:val="nil"/>
              <w:left w:val="nil"/>
              <w:bottom w:val="nil"/>
              <w:right w:val="single" w:sz="4" w:space="0" w:color="auto"/>
            </w:tcBorders>
            <w:shd w:val="clear" w:color="auto" w:fill="auto"/>
            <w:noWrap/>
            <w:vAlign w:val="center"/>
            <w:hideMark/>
          </w:tcPr>
          <w:p w14:paraId="75955582" w14:textId="77777777" w:rsidR="009904A6" w:rsidRPr="006C6F80" w:rsidRDefault="009904A6" w:rsidP="009904A6">
            <w:pPr>
              <w:jc w:val="center"/>
              <w:rPr>
                <w:color w:val="000000" w:themeColor="text1"/>
                <w:sz w:val="20"/>
                <w:szCs w:val="20"/>
              </w:rPr>
            </w:pPr>
            <w:r w:rsidRPr="006C6F80">
              <w:rPr>
                <w:color w:val="000000" w:themeColor="text1"/>
                <w:sz w:val="20"/>
                <w:szCs w:val="20"/>
              </w:rPr>
              <w:t>3.540</w:t>
            </w:r>
          </w:p>
        </w:tc>
        <w:tc>
          <w:tcPr>
            <w:tcW w:w="746" w:type="dxa"/>
            <w:tcBorders>
              <w:top w:val="nil"/>
              <w:left w:val="nil"/>
              <w:bottom w:val="nil"/>
              <w:right w:val="nil"/>
            </w:tcBorders>
            <w:shd w:val="clear" w:color="auto" w:fill="auto"/>
            <w:noWrap/>
            <w:vAlign w:val="center"/>
            <w:hideMark/>
          </w:tcPr>
          <w:p w14:paraId="7CFE60D9" w14:textId="77777777" w:rsidR="009904A6" w:rsidRPr="006C6F80" w:rsidRDefault="009904A6" w:rsidP="009904A6">
            <w:pPr>
              <w:jc w:val="center"/>
              <w:rPr>
                <w:color w:val="000000" w:themeColor="text1"/>
                <w:sz w:val="20"/>
                <w:szCs w:val="20"/>
              </w:rPr>
            </w:pPr>
            <w:r w:rsidRPr="006C6F80">
              <w:rPr>
                <w:color w:val="000000" w:themeColor="text1"/>
                <w:sz w:val="20"/>
                <w:szCs w:val="20"/>
              </w:rPr>
              <w:t>12</w:t>
            </w:r>
          </w:p>
        </w:tc>
        <w:tc>
          <w:tcPr>
            <w:tcW w:w="1135" w:type="dxa"/>
            <w:tcBorders>
              <w:top w:val="nil"/>
              <w:left w:val="nil"/>
              <w:bottom w:val="nil"/>
              <w:right w:val="nil"/>
            </w:tcBorders>
            <w:shd w:val="clear" w:color="auto" w:fill="auto"/>
            <w:noWrap/>
            <w:vAlign w:val="center"/>
            <w:hideMark/>
          </w:tcPr>
          <w:p w14:paraId="45D65D8B" w14:textId="77777777" w:rsidR="009904A6" w:rsidRPr="006C6F80" w:rsidRDefault="009904A6" w:rsidP="009904A6">
            <w:pPr>
              <w:jc w:val="center"/>
              <w:rPr>
                <w:color w:val="000000" w:themeColor="text1"/>
                <w:sz w:val="20"/>
                <w:szCs w:val="20"/>
              </w:rPr>
            </w:pPr>
            <w:r w:rsidRPr="006C6F80">
              <w:rPr>
                <w:color w:val="000000" w:themeColor="text1"/>
                <w:sz w:val="20"/>
                <w:szCs w:val="20"/>
              </w:rPr>
              <w:t>3.660</w:t>
            </w:r>
          </w:p>
        </w:tc>
      </w:tr>
      <w:tr w:rsidR="009904A6" w:rsidRPr="006C6F80" w14:paraId="5F75C230" w14:textId="77777777" w:rsidTr="00481A34">
        <w:trPr>
          <w:trHeight w:val="265"/>
          <w:jc w:val="center"/>
        </w:trPr>
        <w:tc>
          <w:tcPr>
            <w:tcW w:w="3483" w:type="dxa"/>
            <w:tcBorders>
              <w:top w:val="nil"/>
              <w:left w:val="nil"/>
              <w:bottom w:val="nil"/>
              <w:right w:val="nil"/>
            </w:tcBorders>
            <w:shd w:val="clear" w:color="auto" w:fill="auto"/>
            <w:noWrap/>
            <w:vAlign w:val="center"/>
            <w:hideMark/>
          </w:tcPr>
          <w:p w14:paraId="6EFA08BE" w14:textId="77777777" w:rsidR="009904A6" w:rsidRPr="006C6F80" w:rsidRDefault="009904A6" w:rsidP="009904A6">
            <w:pPr>
              <w:rPr>
                <w:color w:val="000000" w:themeColor="text1"/>
                <w:sz w:val="20"/>
                <w:szCs w:val="20"/>
              </w:rPr>
            </w:pPr>
            <w:r w:rsidRPr="006C6F80">
              <w:rPr>
                <w:color w:val="000000" w:themeColor="text1"/>
                <w:sz w:val="20"/>
                <w:szCs w:val="20"/>
              </w:rPr>
              <w:t>Emigrated</w:t>
            </w:r>
          </w:p>
        </w:tc>
        <w:tc>
          <w:tcPr>
            <w:tcW w:w="968" w:type="dxa"/>
            <w:tcBorders>
              <w:top w:val="nil"/>
              <w:left w:val="nil"/>
              <w:bottom w:val="nil"/>
              <w:right w:val="nil"/>
            </w:tcBorders>
            <w:shd w:val="clear" w:color="auto" w:fill="auto"/>
            <w:noWrap/>
            <w:vAlign w:val="center"/>
            <w:hideMark/>
          </w:tcPr>
          <w:p w14:paraId="092E5265" w14:textId="77777777" w:rsidR="009904A6" w:rsidRPr="006C6F80" w:rsidRDefault="009904A6" w:rsidP="009904A6">
            <w:pPr>
              <w:jc w:val="center"/>
              <w:rPr>
                <w:color w:val="000000" w:themeColor="text1"/>
                <w:sz w:val="20"/>
                <w:szCs w:val="20"/>
              </w:rPr>
            </w:pPr>
            <w:r w:rsidRPr="006C6F80">
              <w:rPr>
                <w:color w:val="000000" w:themeColor="text1"/>
                <w:sz w:val="20"/>
                <w:szCs w:val="20"/>
              </w:rPr>
              <w:t>763</w:t>
            </w:r>
          </w:p>
        </w:tc>
        <w:tc>
          <w:tcPr>
            <w:tcW w:w="1135" w:type="dxa"/>
            <w:tcBorders>
              <w:top w:val="nil"/>
              <w:left w:val="nil"/>
              <w:bottom w:val="nil"/>
              <w:right w:val="single" w:sz="4" w:space="0" w:color="auto"/>
            </w:tcBorders>
            <w:shd w:val="clear" w:color="auto" w:fill="auto"/>
            <w:noWrap/>
            <w:vAlign w:val="center"/>
            <w:hideMark/>
          </w:tcPr>
          <w:p w14:paraId="511B996C" w14:textId="77777777" w:rsidR="009904A6" w:rsidRPr="006C6F80" w:rsidRDefault="009904A6" w:rsidP="009904A6">
            <w:pPr>
              <w:jc w:val="center"/>
              <w:rPr>
                <w:color w:val="000000" w:themeColor="text1"/>
                <w:sz w:val="20"/>
                <w:szCs w:val="20"/>
              </w:rPr>
            </w:pPr>
            <w:r w:rsidRPr="006C6F80">
              <w:rPr>
                <w:color w:val="000000" w:themeColor="text1"/>
                <w:sz w:val="20"/>
                <w:szCs w:val="20"/>
              </w:rPr>
              <w:t>1.550</w:t>
            </w:r>
          </w:p>
        </w:tc>
        <w:tc>
          <w:tcPr>
            <w:tcW w:w="746" w:type="dxa"/>
            <w:tcBorders>
              <w:top w:val="nil"/>
              <w:left w:val="nil"/>
              <w:bottom w:val="nil"/>
              <w:right w:val="nil"/>
            </w:tcBorders>
            <w:shd w:val="clear" w:color="auto" w:fill="auto"/>
            <w:noWrap/>
            <w:vAlign w:val="center"/>
            <w:hideMark/>
          </w:tcPr>
          <w:p w14:paraId="2AD9AEEF" w14:textId="77777777" w:rsidR="009904A6" w:rsidRPr="006C6F80" w:rsidRDefault="009904A6" w:rsidP="009904A6">
            <w:pPr>
              <w:jc w:val="center"/>
              <w:rPr>
                <w:color w:val="000000" w:themeColor="text1"/>
                <w:sz w:val="20"/>
                <w:szCs w:val="20"/>
              </w:rPr>
            </w:pPr>
            <w:r w:rsidRPr="006C6F80">
              <w:rPr>
                <w:color w:val="000000" w:themeColor="text1"/>
                <w:sz w:val="20"/>
                <w:szCs w:val="20"/>
              </w:rPr>
              <w:t>3</w:t>
            </w:r>
          </w:p>
        </w:tc>
        <w:tc>
          <w:tcPr>
            <w:tcW w:w="1135" w:type="dxa"/>
            <w:tcBorders>
              <w:top w:val="nil"/>
              <w:left w:val="nil"/>
              <w:bottom w:val="nil"/>
              <w:right w:val="nil"/>
            </w:tcBorders>
            <w:shd w:val="clear" w:color="auto" w:fill="auto"/>
            <w:noWrap/>
            <w:vAlign w:val="center"/>
            <w:hideMark/>
          </w:tcPr>
          <w:p w14:paraId="7C18D379" w14:textId="77777777" w:rsidR="009904A6" w:rsidRPr="006C6F80" w:rsidRDefault="009904A6" w:rsidP="009904A6">
            <w:pPr>
              <w:jc w:val="center"/>
              <w:rPr>
                <w:color w:val="000000" w:themeColor="text1"/>
                <w:sz w:val="20"/>
                <w:szCs w:val="20"/>
              </w:rPr>
            </w:pPr>
            <w:r w:rsidRPr="006C6F80">
              <w:rPr>
                <w:color w:val="000000" w:themeColor="text1"/>
                <w:sz w:val="20"/>
                <w:szCs w:val="20"/>
              </w:rPr>
              <w:t>0.910</w:t>
            </w:r>
          </w:p>
        </w:tc>
      </w:tr>
      <w:tr w:rsidR="009904A6" w:rsidRPr="006C6F80" w14:paraId="3A54B4B3" w14:textId="77777777" w:rsidTr="00481A34">
        <w:trPr>
          <w:trHeight w:val="265"/>
          <w:jc w:val="center"/>
        </w:trPr>
        <w:tc>
          <w:tcPr>
            <w:tcW w:w="3483" w:type="dxa"/>
            <w:tcBorders>
              <w:top w:val="nil"/>
              <w:left w:val="nil"/>
              <w:bottom w:val="nil"/>
              <w:right w:val="nil"/>
            </w:tcBorders>
            <w:shd w:val="clear" w:color="auto" w:fill="auto"/>
            <w:noWrap/>
            <w:vAlign w:val="center"/>
            <w:hideMark/>
          </w:tcPr>
          <w:p w14:paraId="43A7A7BE" w14:textId="77777777" w:rsidR="009904A6" w:rsidRPr="006C6F80" w:rsidRDefault="009904A6" w:rsidP="009904A6">
            <w:pPr>
              <w:rPr>
                <w:color w:val="000000" w:themeColor="text1"/>
                <w:sz w:val="20"/>
                <w:szCs w:val="20"/>
              </w:rPr>
            </w:pPr>
            <w:r w:rsidRPr="006C6F80">
              <w:rPr>
                <w:color w:val="000000" w:themeColor="text1"/>
                <w:sz w:val="20"/>
                <w:szCs w:val="20"/>
              </w:rPr>
              <w:t>Moved to group housing</w:t>
            </w:r>
          </w:p>
        </w:tc>
        <w:tc>
          <w:tcPr>
            <w:tcW w:w="968" w:type="dxa"/>
            <w:tcBorders>
              <w:top w:val="nil"/>
              <w:left w:val="nil"/>
              <w:bottom w:val="nil"/>
              <w:right w:val="nil"/>
            </w:tcBorders>
            <w:shd w:val="clear" w:color="auto" w:fill="auto"/>
            <w:noWrap/>
            <w:vAlign w:val="center"/>
            <w:hideMark/>
          </w:tcPr>
          <w:p w14:paraId="11DB0AFA" w14:textId="77777777" w:rsidR="009904A6" w:rsidRPr="006C6F80" w:rsidRDefault="009904A6" w:rsidP="009904A6">
            <w:pPr>
              <w:jc w:val="center"/>
              <w:rPr>
                <w:color w:val="000000" w:themeColor="text1"/>
                <w:sz w:val="20"/>
                <w:szCs w:val="20"/>
              </w:rPr>
            </w:pPr>
            <w:r w:rsidRPr="006C6F80">
              <w:rPr>
                <w:color w:val="000000" w:themeColor="text1"/>
                <w:sz w:val="20"/>
                <w:szCs w:val="20"/>
              </w:rPr>
              <w:t>122</w:t>
            </w:r>
          </w:p>
        </w:tc>
        <w:tc>
          <w:tcPr>
            <w:tcW w:w="1135" w:type="dxa"/>
            <w:tcBorders>
              <w:top w:val="nil"/>
              <w:left w:val="nil"/>
              <w:bottom w:val="nil"/>
              <w:right w:val="single" w:sz="4" w:space="0" w:color="auto"/>
            </w:tcBorders>
            <w:shd w:val="clear" w:color="auto" w:fill="auto"/>
            <w:noWrap/>
            <w:vAlign w:val="center"/>
            <w:hideMark/>
          </w:tcPr>
          <w:p w14:paraId="1B40E254" w14:textId="77777777" w:rsidR="009904A6" w:rsidRPr="006C6F80" w:rsidRDefault="009904A6" w:rsidP="009904A6">
            <w:pPr>
              <w:jc w:val="center"/>
              <w:rPr>
                <w:color w:val="000000" w:themeColor="text1"/>
                <w:sz w:val="20"/>
                <w:szCs w:val="20"/>
              </w:rPr>
            </w:pPr>
            <w:r w:rsidRPr="006C6F80">
              <w:rPr>
                <w:color w:val="000000" w:themeColor="text1"/>
                <w:sz w:val="20"/>
                <w:szCs w:val="20"/>
              </w:rPr>
              <w:t>0.250</w:t>
            </w:r>
          </w:p>
        </w:tc>
        <w:tc>
          <w:tcPr>
            <w:tcW w:w="746" w:type="dxa"/>
            <w:tcBorders>
              <w:top w:val="nil"/>
              <w:left w:val="nil"/>
              <w:bottom w:val="nil"/>
              <w:right w:val="nil"/>
            </w:tcBorders>
            <w:shd w:val="clear" w:color="auto" w:fill="auto"/>
            <w:noWrap/>
            <w:vAlign w:val="center"/>
            <w:hideMark/>
          </w:tcPr>
          <w:p w14:paraId="23376B43" w14:textId="77777777" w:rsidR="009904A6" w:rsidRPr="006C6F80" w:rsidRDefault="009904A6" w:rsidP="009904A6">
            <w:pPr>
              <w:jc w:val="center"/>
              <w:rPr>
                <w:color w:val="000000" w:themeColor="text1"/>
                <w:sz w:val="20"/>
                <w:szCs w:val="20"/>
              </w:rPr>
            </w:pPr>
            <w:r w:rsidRPr="006C6F80">
              <w:rPr>
                <w:color w:val="000000" w:themeColor="text1"/>
                <w:sz w:val="20"/>
                <w:szCs w:val="20"/>
              </w:rPr>
              <w:t>0</w:t>
            </w:r>
          </w:p>
        </w:tc>
        <w:tc>
          <w:tcPr>
            <w:tcW w:w="1135" w:type="dxa"/>
            <w:tcBorders>
              <w:top w:val="nil"/>
              <w:left w:val="nil"/>
              <w:bottom w:val="nil"/>
              <w:right w:val="nil"/>
            </w:tcBorders>
            <w:shd w:val="clear" w:color="auto" w:fill="auto"/>
            <w:noWrap/>
            <w:vAlign w:val="center"/>
            <w:hideMark/>
          </w:tcPr>
          <w:p w14:paraId="201AAC67" w14:textId="77777777" w:rsidR="009904A6" w:rsidRPr="006C6F80" w:rsidRDefault="009904A6" w:rsidP="009904A6">
            <w:pPr>
              <w:jc w:val="center"/>
              <w:rPr>
                <w:color w:val="000000" w:themeColor="text1"/>
                <w:sz w:val="20"/>
                <w:szCs w:val="20"/>
              </w:rPr>
            </w:pPr>
            <w:r w:rsidRPr="006C6F80">
              <w:rPr>
                <w:color w:val="000000" w:themeColor="text1"/>
                <w:sz w:val="20"/>
                <w:szCs w:val="20"/>
              </w:rPr>
              <w:t>0.000</w:t>
            </w:r>
          </w:p>
        </w:tc>
      </w:tr>
      <w:tr w:rsidR="009904A6" w:rsidRPr="006C6F80" w14:paraId="7F067371" w14:textId="77777777" w:rsidTr="00481A34">
        <w:trPr>
          <w:trHeight w:val="265"/>
          <w:jc w:val="center"/>
        </w:trPr>
        <w:tc>
          <w:tcPr>
            <w:tcW w:w="3483" w:type="dxa"/>
            <w:tcBorders>
              <w:top w:val="nil"/>
              <w:left w:val="nil"/>
              <w:bottom w:val="nil"/>
              <w:right w:val="nil"/>
            </w:tcBorders>
            <w:shd w:val="clear" w:color="auto" w:fill="auto"/>
            <w:noWrap/>
            <w:vAlign w:val="center"/>
            <w:hideMark/>
          </w:tcPr>
          <w:p w14:paraId="5EA5033A" w14:textId="77777777" w:rsidR="009904A6" w:rsidRPr="006C6F80" w:rsidRDefault="009904A6" w:rsidP="009904A6">
            <w:pPr>
              <w:rPr>
                <w:color w:val="000000" w:themeColor="text1"/>
                <w:sz w:val="20"/>
                <w:szCs w:val="20"/>
              </w:rPr>
            </w:pPr>
            <w:r w:rsidRPr="006C6F80">
              <w:rPr>
                <w:color w:val="000000" w:themeColor="text1"/>
                <w:sz w:val="20"/>
                <w:szCs w:val="20"/>
              </w:rPr>
              <w:t>Household refused</w:t>
            </w:r>
          </w:p>
        </w:tc>
        <w:tc>
          <w:tcPr>
            <w:tcW w:w="968" w:type="dxa"/>
            <w:tcBorders>
              <w:top w:val="nil"/>
              <w:left w:val="nil"/>
              <w:bottom w:val="nil"/>
              <w:right w:val="nil"/>
            </w:tcBorders>
            <w:shd w:val="clear" w:color="auto" w:fill="auto"/>
            <w:noWrap/>
            <w:vAlign w:val="center"/>
            <w:hideMark/>
          </w:tcPr>
          <w:p w14:paraId="7B79BDDB" w14:textId="77777777" w:rsidR="009904A6" w:rsidRPr="006C6F80" w:rsidRDefault="009904A6" w:rsidP="009904A6">
            <w:pPr>
              <w:jc w:val="center"/>
              <w:rPr>
                <w:color w:val="000000" w:themeColor="text1"/>
                <w:sz w:val="20"/>
                <w:szCs w:val="20"/>
              </w:rPr>
            </w:pPr>
            <w:r w:rsidRPr="006C6F80">
              <w:rPr>
                <w:color w:val="000000" w:themeColor="text1"/>
                <w:sz w:val="20"/>
                <w:szCs w:val="20"/>
              </w:rPr>
              <w:t>767</w:t>
            </w:r>
          </w:p>
        </w:tc>
        <w:tc>
          <w:tcPr>
            <w:tcW w:w="1135" w:type="dxa"/>
            <w:tcBorders>
              <w:top w:val="nil"/>
              <w:left w:val="nil"/>
              <w:bottom w:val="nil"/>
              <w:right w:val="single" w:sz="4" w:space="0" w:color="auto"/>
            </w:tcBorders>
            <w:shd w:val="clear" w:color="auto" w:fill="auto"/>
            <w:noWrap/>
            <w:vAlign w:val="center"/>
            <w:hideMark/>
          </w:tcPr>
          <w:p w14:paraId="08756915" w14:textId="77777777" w:rsidR="009904A6" w:rsidRPr="006C6F80" w:rsidRDefault="009904A6" w:rsidP="009904A6">
            <w:pPr>
              <w:jc w:val="center"/>
              <w:rPr>
                <w:color w:val="000000" w:themeColor="text1"/>
                <w:sz w:val="20"/>
                <w:szCs w:val="20"/>
              </w:rPr>
            </w:pPr>
            <w:r w:rsidRPr="006C6F80">
              <w:rPr>
                <w:color w:val="000000" w:themeColor="text1"/>
                <w:sz w:val="20"/>
                <w:szCs w:val="20"/>
              </w:rPr>
              <w:t>1.560</w:t>
            </w:r>
          </w:p>
        </w:tc>
        <w:tc>
          <w:tcPr>
            <w:tcW w:w="746" w:type="dxa"/>
            <w:tcBorders>
              <w:top w:val="nil"/>
              <w:left w:val="nil"/>
              <w:bottom w:val="nil"/>
              <w:right w:val="nil"/>
            </w:tcBorders>
            <w:shd w:val="clear" w:color="auto" w:fill="auto"/>
            <w:noWrap/>
            <w:vAlign w:val="center"/>
            <w:hideMark/>
          </w:tcPr>
          <w:p w14:paraId="1B4CFB1C" w14:textId="77777777" w:rsidR="009904A6" w:rsidRPr="006C6F80" w:rsidRDefault="009904A6" w:rsidP="009904A6">
            <w:pPr>
              <w:jc w:val="center"/>
              <w:rPr>
                <w:color w:val="000000" w:themeColor="text1"/>
                <w:sz w:val="20"/>
                <w:szCs w:val="20"/>
              </w:rPr>
            </w:pPr>
            <w:r w:rsidRPr="006C6F80">
              <w:rPr>
                <w:color w:val="000000" w:themeColor="text1"/>
                <w:sz w:val="20"/>
                <w:szCs w:val="20"/>
              </w:rPr>
              <w:t>6</w:t>
            </w:r>
          </w:p>
        </w:tc>
        <w:tc>
          <w:tcPr>
            <w:tcW w:w="1135" w:type="dxa"/>
            <w:tcBorders>
              <w:top w:val="nil"/>
              <w:left w:val="nil"/>
              <w:bottom w:val="nil"/>
              <w:right w:val="nil"/>
            </w:tcBorders>
            <w:shd w:val="clear" w:color="auto" w:fill="auto"/>
            <w:noWrap/>
            <w:vAlign w:val="center"/>
            <w:hideMark/>
          </w:tcPr>
          <w:p w14:paraId="734A28A7" w14:textId="77777777" w:rsidR="009904A6" w:rsidRPr="006C6F80" w:rsidRDefault="009904A6" w:rsidP="009904A6">
            <w:pPr>
              <w:jc w:val="center"/>
              <w:rPr>
                <w:color w:val="000000" w:themeColor="text1"/>
                <w:sz w:val="20"/>
                <w:szCs w:val="20"/>
              </w:rPr>
            </w:pPr>
            <w:r w:rsidRPr="006C6F80">
              <w:rPr>
                <w:color w:val="000000" w:themeColor="text1"/>
                <w:sz w:val="20"/>
                <w:szCs w:val="20"/>
              </w:rPr>
              <w:t>1.830</w:t>
            </w:r>
          </w:p>
        </w:tc>
      </w:tr>
      <w:tr w:rsidR="009904A6" w:rsidRPr="006C6F80" w14:paraId="2CC38DC5" w14:textId="77777777" w:rsidTr="00481A34">
        <w:trPr>
          <w:trHeight w:val="265"/>
          <w:jc w:val="center"/>
        </w:trPr>
        <w:tc>
          <w:tcPr>
            <w:tcW w:w="3483" w:type="dxa"/>
            <w:tcBorders>
              <w:top w:val="nil"/>
              <w:left w:val="nil"/>
              <w:bottom w:val="nil"/>
              <w:right w:val="nil"/>
            </w:tcBorders>
            <w:shd w:val="clear" w:color="auto" w:fill="auto"/>
            <w:noWrap/>
            <w:vAlign w:val="center"/>
            <w:hideMark/>
          </w:tcPr>
          <w:p w14:paraId="3587C218" w14:textId="77777777" w:rsidR="009904A6" w:rsidRPr="006C6F80" w:rsidRDefault="009904A6" w:rsidP="009904A6">
            <w:pPr>
              <w:rPr>
                <w:color w:val="000000" w:themeColor="text1"/>
                <w:sz w:val="20"/>
                <w:szCs w:val="20"/>
              </w:rPr>
            </w:pPr>
            <w:r w:rsidRPr="006C6F80">
              <w:rPr>
                <w:color w:val="000000" w:themeColor="text1"/>
                <w:sz w:val="20"/>
                <w:szCs w:val="20"/>
              </w:rPr>
              <w:t>Household not completed</w:t>
            </w:r>
          </w:p>
        </w:tc>
        <w:tc>
          <w:tcPr>
            <w:tcW w:w="968" w:type="dxa"/>
            <w:tcBorders>
              <w:top w:val="nil"/>
              <w:left w:val="nil"/>
              <w:bottom w:val="nil"/>
              <w:right w:val="nil"/>
            </w:tcBorders>
            <w:shd w:val="clear" w:color="auto" w:fill="auto"/>
            <w:noWrap/>
            <w:vAlign w:val="center"/>
            <w:hideMark/>
          </w:tcPr>
          <w:p w14:paraId="342DD8ED" w14:textId="77777777" w:rsidR="009904A6" w:rsidRPr="006C6F80" w:rsidRDefault="009904A6" w:rsidP="009904A6">
            <w:pPr>
              <w:jc w:val="center"/>
              <w:rPr>
                <w:color w:val="000000" w:themeColor="text1"/>
                <w:sz w:val="20"/>
                <w:szCs w:val="20"/>
              </w:rPr>
            </w:pPr>
            <w:r w:rsidRPr="006C6F80">
              <w:rPr>
                <w:color w:val="000000" w:themeColor="text1"/>
                <w:sz w:val="20"/>
                <w:szCs w:val="20"/>
              </w:rPr>
              <w:t>1,017</w:t>
            </w:r>
          </w:p>
        </w:tc>
        <w:tc>
          <w:tcPr>
            <w:tcW w:w="1135" w:type="dxa"/>
            <w:tcBorders>
              <w:top w:val="nil"/>
              <w:left w:val="nil"/>
              <w:bottom w:val="nil"/>
              <w:right w:val="single" w:sz="4" w:space="0" w:color="auto"/>
            </w:tcBorders>
            <w:shd w:val="clear" w:color="auto" w:fill="auto"/>
            <w:noWrap/>
            <w:vAlign w:val="center"/>
            <w:hideMark/>
          </w:tcPr>
          <w:p w14:paraId="5DE7DD81" w14:textId="77777777" w:rsidR="009904A6" w:rsidRPr="006C6F80" w:rsidRDefault="009904A6" w:rsidP="009904A6">
            <w:pPr>
              <w:jc w:val="center"/>
              <w:rPr>
                <w:color w:val="000000" w:themeColor="text1"/>
                <w:sz w:val="20"/>
                <w:szCs w:val="20"/>
              </w:rPr>
            </w:pPr>
            <w:r w:rsidRPr="006C6F80">
              <w:rPr>
                <w:color w:val="000000" w:themeColor="text1"/>
                <w:sz w:val="20"/>
                <w:szCs w:val="20"/>
              </w:rPr>
              <w:t>2.070</w:t>
            </w:r>
          </w:p>
        </w:tc>
        <w:tc>
          <w:tcPr>
            <w:tcW w:w="746" w:type="dxa"/>
            <w:tcBorders>
              <w:top w:val="nil"/>
              <w:left w:val="nil"/>
              <w:bottom w:val="nil"/>
              <w:right w:val="nil"/>
            </w:tcBorders>
            <w:shd w:val="clear" w:color="auto" w:fill="auto"/>
            <w:noWrap/>
            <w:vAlign w:val="center"/>
            <w:hideMark/>
          </w:tcPr>
          <w:p w14:paraId="23297CCD" w14:textId="77777777" w:rsidR="009904A6" w:rsidRPr="006C6F80" w:rsidRDefault="009904A6" w:rsidP="009904A6">
            <w:pPr>
              <w:jc w:val="center"/>
              <w:rPr>
                <w:color w:val="000000" w:themeColor="text1"/>
                <w:sz w:val="20"/>
                <w:szCs w:val="20"/>
              </w:rPr>
            </w:pPr>
            <w:r w:rsidRPr="006C6F80">
              <w:rPr>
                <w:color w:val="000000" w:themeColor="text1"/>
                <w:sz w:val="20"/>
                <w:szCs w:val="20"/>
              </w:rPr>
              <w:t>7</w:t>
            </w:r>
          </w:p>
        </w:tc>
        <w:tc>
          <w:tcPr>
            <w:tcW w:w="1135" w:type="dxa"/>
            <w:tcBorders>
              <w:top w:val="nil"/>
              <w:left w:val="nil"/>
              <w:bottom w:val="nil"/>
              <w:right w:val="nil"/>
            </w:tcBorders>
            <w:shd w:val="clear" w:color="auto" w:fill="auto"/>
            <w:noWrap/>
            <w:vAlign w:val="center"/>
            <w:hideMark/>
          </w:tcPr>
          <w:p w14:paraId="09A57D46" w14:textId="77777777" w:rsidR="009904A6" w:rsidRPr="006C6F80" w:rsidRDefault="009904A6" w:rsidP="009904A6">
            <w:pPr>
              <w:jc w:val="center"/>
              <w:rPr>
                <w:color w:val="000000" w:themeColor="text1"/>
                <w:sz w:val="20"/>
                <w:szCs w:val="20"/>
              </w:rPr>
            </w:pPr>
            <w:r w:rsidRPr="006C6F80">
              <w:rPr>
                <w:color w:val="000000" w:themeColor="text1"/>
                <w:sz w:val="20"/>
                <w:szCs w:val="20"/>
              </w:rPr>
              <w:t>2.130</w:t>
            </w:r>
          </w:p>
        </w:tc>
      </w:tr>
      <w:tr w:rsidR="009904A6" w:rsidRPr="006C6F80" w14:paraId="46ECCAA9" w14:textId="77777777" w:rsidTr="00481A34">
        <w:trPr>
          <w:trHeight w:val="265"/>
          <w:jc w:val="center"/>
        </w:trPr>
        <w:tc>
          <w:tcPr>
            <w:tcW w:w="3483" w:type="dxa"/>
            <w:tcBorders>
              <w:top w:val="nil"/>
              <w:left w:val="nil"/>
              <w:bottom w:val="nil"/>
              <w:right w:val="nil"/>
            </w:tcBorders>
            <w:shd w:val="clear" w:color="auto" w:fill="auto"/>
            <w:noWrap/>
            <w:vAlign w:val="center"/>
            <w:hideMark/>
          </w:tcPr>
          <w:p w14:paraId="65227FE7" w14:textId="77777777" w:rsidR="009904A6" w:rsidRPr="006C6F80" w:rsidRDefault="009904A6" w:rsidP="009904A6">
            <w:pPr>
              <w:rPr>
                <w:color w:val="000000" w:themeColor="text1"/>
                <w:sz w:val="20"/>
                <w:szCs w:val="20"/>
              </w:rPr>
            </w:pPr>
            <w:r w:rsidRPr="006C6F80">
              <w:rPr>
                <w:color w:val="000000" w:themeColor="text1"/>
                <w:sz w:val="20"/>
                <w:szCs w:val="20"/>
              </w:rPr>
              <w:t>Household not located</w:t>
            </w:r>
          </w:p>
        </w:tc>
        <w:tc>
          <w:tcPr>
            <w:tcW w:w="968" w:type="dxa"/>
            <w:tcBorders>
              <w:top w:val="nil"/>
              <w:left w:val="nil"/>
              <w:bottom w:val="nil"/>
              <w:right w:val="nil"/>
            </w:tcBorders>
            <w:shd w:val="clear" w:color="auto" w:fill="auto"/>
            <w:noWrap/>
            <w:vAlign w:val="center"/>
            <w:hideMark/>
          </w:tcPr>
          <w:p w14:paraId="7791A9BD" w14:textId="77777777" w:rsidR="009904A6" w:rsidRPr="006C6F80" w:rsidRDefault="009904A6" w:rsidP="009904A6">
            <w:pPr>
              <w:jc w:val="center"/>
              <w:rPr>
                <w:color w:val="000000" w:themeColor="text1"/>
                <w:sz w:val="20"/>
                <w:szCs w:val="20"/>
              </w:rPr>
            </w:pPr>
            <w:r w:rsidRPr="006C6F80">
              <w:rPr>
                <w:color w:val="000000" w:themeColor="text1"/>
                <w:sz w:val="20"/>
                <w:szCs w:val="20"/>
              </w:rPr>
              <w:t>4,605</w:t>
            </w:r>
          </w:p>
        </w:tc>
        <w:tc>
          <w:tcPr>
            <w:tcW w:w="1135" w:type="dxa"/>
            <w:tcBorders>
              <w:top w:val="nil"/>
              <w:left w:val="nil"/>
              <w:bottom w:val="nil"/>
              <w:right w:val="single" w:sz="4" w:space="0" w:color="auto"/>
            </w:tcBorders>
            <w:shd w:val="clear" w:color="auto" w:fill="auto"/>
            <w:noWrap/>
            <w:vAlign w:val="center"/>
            <w:hideMark/>
          </w:tcPr>
          <w:p w14:paraId="2A29BC49" w14:textId="77777777" w:rsidR="009904A6" w:rsidRPr="006C6F80" w:rsidRDefault="009904A6" w:rsidP="009904A6">
            <w:pPr>
              <w:jc w:val="center"/>
              <w:rPr>
                <w:color w:val="000000" w:themeColor="text1"/>
                <w:sz w:val="20"/>
                <w:szCs w:val="20"/>
              </w:rPr>
            </w:pPr>
            <w:r w:rsidRPr="006C6F80">
              <w:rPr>
                <w:color w:val="000000" w:themeColor="text1"/>
                <w:sz w:val="20"/>
                <w:szCs w:val="20"/>
              </w:rPr>
              <w:t>9.360</w:t>
            </w:r>
          </w:p>
        </w:tc>
        <w:tc>
          <w:tcPr>
            <w:tcW w:w="746" w:type="dxa"/>
            <w:tcBorders>
              <w:top w:val="nil"/>
              <w:left w:val="nil"/>
              <w:bottom w:val="nil"/>
              <w:right w:val="nil"/>
            </w:tcBorders>
            <w:shd w:val="clear" w:color="auto" w:fill="auto"/>
            <w:noWrap/>
            <w:vAlign w:val="center"/>
            <w:hideMark/>
          </w:tcPr>
          <w:p w14:paraId="1E29037B" w14:textId="77777777" w:rsidR="009904A6" w:rsidRPr="006C6F80" w:rsidRDefault="009904A6" w:rsidP="009904A6">
            <w:pPr>
              <w:jc w:val="center"/>
              <w:rPr>
                <w:color w:val="000000" w:themeColor="text1"/>
                <w:sz w:val="20"/>
                <w:szCs w:val="20"/>
              </w:rPr>
            </w:pPr>
            <w:r w:rsidRPr="006C6F80">
              <w:rPr>
                <w:color w:val="000000" w:themeColor="text1"/>
                <w:sz w:val="20"/>
                <w:szCs w:val="20"/>
              </w:rPr>
              <w:t>16</w:t>
            </w:r>
          </w:p>
        </w:tc>
        <w:tc>
          <w:tcPr>
            <w:tcW w:w="1135" w:type="dxa"/>
            <w:tcBorders>
              <w:top w:val="nil"/>
              <w:left w:val="nil"/>
              <w:bottom w:val="nil"/>
              <w:right w:val="nil"/>
            </w:tcBorders>
            <w:shd w:val="clear" w:color="auto" w:fill="auto"/>
            <w:noWrap/>
            <w:vAlign w:val="center"/>
            <w:hideMark/>
          </w:tcPr>
          <w:p w14:paraId="267739B0" w14:textId="77777777" w:rsidR="009904A6" w:rsidRPr="006C6F80" w:rsidRDefault="009904A6" w:rsidP="009904A6">
            <w:pPr>
              <w:jc w:val="center"/>
              <w:rPr>
                <w:color w:val="000000" w:themeColor="text1"/>
                <w:sz w:val="20"/>
                <w:szCs w:val="20"/>
              </w:rPr>
            </w:pPr>
            <w:r w:rsidRPr="006C6F80">
              <w:rPr>
                <w:color w:val="000000" w:themeColor="text1"/>
                <w:sz w:val="20"/>
                <w:szCs w:val="20"/>
              </w:rPr>
              <w:t>4.880</w:t>
            </w:r>
          </w:p>
        </w:tc>
      </w:tr>
      <w:tr w:rsidR="009904A6" w:rsidRPr="006C6F80" w14:paraId="7F493F3A" w14:textId="77777777" w:rsidTr="00481A34">
        <w:trPr>
          <w:trHeight w:val="265"/>
          <w:jc w:val="center"/>
        </w:trPr>
        <w:tc>
          <w:tcPr>
            <w:tcW w:w="3483" w:type="dxa"/>
            <w:tcBorders>
              <w:top w:val="nil"/>
              <w:left w:val="nil"/>
              <w:bottom w:val="nil"/>
              <w:right w:val="nil"/>
            </w:tcBorders>
            <w:shd w:val="clear" w:color="auto" w:fill="auto"/>
            <w:noWrap/>
            <w:vAlign w:val="center"/>
            <w:hideMark/>
          </w:tcPr>
          <w:p w14:paraId="0527984E" w14:textId="77777777" w:rsidR="009904A6" w:rsidRPr="006C6F80" w:rsidRDefault="009904A6" w:rsidP="009904A6">
            <w:pPr>
              <w:rPr>
                <w:color w:val="000000" w:themeColor="text1"/>
                <w:sz w:val="20"/>
                <w:szCs w:val="20"/>
              </w:rPr>
            </w:pPr>
            <w:r w:rsidRPr="006C6F80">
              <w:rPr>
                <w:color w:val="000000" w:themeColor="text1"/>
                <w:sz w:val="20"/>
                <w:szCs w:val="20"/>
              </w:rPr>
              <w:t>Total</w:t>
            </w:r>
          </w:p>
        </w:tc>
        <w:tc>
          <w:tcPr>
            <w:tcW w:w="968" w:type="dxa"/>
            <w:tcBorders>
              <w:top w:val="nil"/>
              <w:left w:val="nil"/>
              <w:bottom w:val="nil"/>
              <w:right w:val="nil"/>
            </w:tcBorders>
            <w:shd w:val="clear" w:color="auto" w:fill="auto"/>
            <w:noWrap/>
            <w:vAlign w:val="center"/>
            <w:hideMark/>
          </w:tcPr>
          <w:p w14:paraId="5B0A92D2" w14:textId="77777777" w:rsidR="009904A6" w:rsidRPr="006C6F80" w:rsidRDefault="009904A6" w:rsidP="009904A6">
            <w:pPr>
              <w:jc w:val="center"/>
              <w:rPr>
                <w:color w:val="000000" w:themeColor="text1"/>
                <w:sz w:val="20"/>
                <w:szCs w:val="20"/>
              </w:rPr>
            </w:pPr>
            <w:r w:rsidRPr="006C6F80">
              <w:rPr>
                <w:color w:val="000000" w:themeColor="text1"/>
                <w:sz w:val="20"/>
                <w:szCs w:val="20"/>
              </w:rPr>
              <w:t>49,186</w:t>
            </w:r>
          </w:p>
        </w:tc>
        <w:tc>
          <w:tcPr>
            <w:tcW w:w="1135" w:type="dxa"/>
            <w:tcBorders>
              <w:top w:val="nil"/>
              <w:left w:val="nil"/>
              <w:bottom w:val="nil"/>
              <w:right w:val="single" w:sz="4" w:space="0" w:color="auto"/>
            </w:tcBorders>
            <w:shd w:val="clear" w:color="auto" w:fill="auto"/>
            <w:noWrap/>
            <w:vAlign w:val="center"/>
            <w:hideMark/>
          </w:tcPr>
          <w:p w14:paraId="3FAF5BC1" w14:textId="77777777" w:rsidR="009904A6" w:rsidRPr="006C6F80" w:rsidRDefault="009904A6" w:rsidP="009904A6">
            <w:pPr>
              <w:jc w:val="center"/>
              <w:rPr>
                <w:color w:val="000000" w:themeColor="text1"/>
                <w:sz w:val="20"/>
                <w:szCs w:val="20"/>
              </w:rPr>
            </w:pPr>
            <w:r w:rsidRPr="006C6F80">
              <w:rPr>
                <w:color w:val="000000" w:themeColor="text1"/>
                <w:sz w:val="20"/>
                <w:szCs w:val="20"/>
              </w:rPr>
              <w:t>100.000</w:t>
            </w:r>
          </w:p>
        </w:tc>
        <w:tc>
          <w:tcPr>
            <w:tcW w:w="746" w:type="dxa"/>
            <w:tcBorders>
              <w:top w:val="nil"/>
              <w:left w:val="nil"/>
              <w:bottom w:val="nil"/>
              <w:right w:val="nil"/>
            </w:tcBorders>
            <w:shd w:val="clear" w:color="auto" w:fill="auto"/>
            <w:noWrap/>
            <w:vAlign w:val="center"/>
            <w:hideMark/>
          </w:tcPr>
          <w:p w14:paraId="455FD04F" w14:textId="77777777" w:rsidR="009904A6" w:rsidRPr="006C6F80" w:rsidRDefault="009904A6" w:rsidP="009904A6">
            <w:pPr>
              <w:jc w:val="center"/>
              <w:rPr>
                <w:color w:val="000000" w:themeColor="text1"/>
                <w:sz w:val="20"/>
                <w:szCs w:val="20"/>
              </w:rPr>
            </w:pPr>
            <w:r w:rsidRPr="006C6F80">
              <w:rPr>
                <w:color w:val="000000" w:themeColor="text1"/>
                <w:sz w:val="20"/>
                <w:szCs w:val="20"/>
              </w:rPr>
              <w:t>328</w:t>
            </w:r>
          </w:p>
        </w:tc>
        <w:tc>
          <w:tcPr>
            <w:tcW w:w="1135" w:type="dxa"/>
            <w:tcBorders>
              <w:top w:val="nil"/>
              <w:left w:val="nil"/>
              <w:bottom w:val="nil"/>
              <w:right w:val="nil"/>
            </w:tcBorders>
            <w:shd w:val="clear" w:color="auto" w:fill="auto"/>
            <w:noWrap/>
            <w:vAlign w:val="center"/>
            <w:hideMark/>
          </w:tcPr>
          <w:p w14:paraId="07C72E56" w14:textId="77777777" w:rsidR="009904A6" w:rsidRPr="006C6F80" w:rsidRDefault="009904A6" w:rsidP="009904A6">
            <w:pPr>
              <w:jc w:val="center"/>
              <w:rPr>
                <w:color w:val="000000" w:themeColor="text1"/>
                <w:sz w:val="20"/>
                <w:szCs w:val="20"/>
              </w:rPr>
            </w:pPr>
            <w:r w:rsidRPr="006C6F80">
              <w:rPr>
                <w:color w:val="000000" w:themeColor="text1"/>
                <w:sz w:val="20"/>
                <w:szCs w:val="20"/>
              </w:rPr>
              <w:t>100.000</w:t>
            </w:r>
          </w:p>
        </w:tc>
      </w:tr>
      <w:tr w:rsidR="009904A6" w:rsidRPr="006C6F80" w14:paraId="26939927" w14:textId="77777777" w:rsidTr="00481A34">
        <w:trPr>
          <w:trHeight w:val="265"/>
          <w:jc w:val="center"/>
        </w:trPr>
        <w:tc>
          <w:tcPr>
            <w:tcW w:w="3483" w:type="dxa"/>
            <w:tcBorders>
              <w:top w:val="nil"/>
              <w:left w:val="nil"/>
              <w:bottom w:val="single" w:sz="4" w:space="0" w:color="auto"/>
              <w:right w:val="nil"/>
            </w:tcBorders>
            <w:shd w:val="clear" w:color="auto" w:fill="auto"/>
            <w:noWrap/>
            <w:vAlign w:val="center"/>
            <w:hideMark/>
          </w:tcPr>
          <w:p w14:paraId="380B97CC" w14:textId="77777777" w:rsidR="009904A6" w:rsidRPr="006C6F80" w:rsidRDefault="009904A6" w:rsidP="009904A6">
            <w:pPr>
              <w:rPr>
                <w:color w:val="000000" w:themeColor="text1"/>
                <w:sz w:val="20"/>
                <w:szCs w:val="20"/>
              </w:rPr>
            </w:pPr>
            <w:r w:rsidRPr="006C6F80">
              <w:rPr>
                <w:color w:val="000000" w:themeColor="text1"/>
                <w:sz w:val="20"/>
                <w:szCs w:val="20"/>
              </w:rPr>
              <w:t> </w:t>
            </w:r>
          </w:p>
        </w:tc>
        <w:tc>
          <w:tcPr>
            <w:tcW w:w="968" w:type="dxa"/>
            <w:tcBorders>
              <w:top w:val="nil"/>
              <w:left w:val="nil"/>
              <w:bottom w:val="single" w:sz="4" w:space="0" w:color="auto"/>
              <w:right w:val="nil"/>
            </w:tcBorders>
            <w:shd w:val="clear" w:color="auto" w:fill="auto"/>
            <w:noWrap/>
            <w:vAlign w:val="center"/>
            <w:hideMark/>
          </w:tcPr>
          <w:p w14:paraId="2FCB2D2D" w14:textId="77777777" w:rsidR="009904A6" w:rsidRPr="006C6F80" w:rsidRDefault="009904A6" w:rsidP="009904A6">
            <w:pPr>
              <w:rPr>
                <w:color w:val="000000" w:themeColor="text1"/>
                <w:sz w:val="20"/>
                <w:szCs w:val="20"/>
              </w:rPr>
            </w:pPr>
            <w:r w:rsidRPr="006C6F80">
              <w:rPr>
                <w:color w:val="000000" w:themeColor="text1"/>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14:paraId="2090D671" w14:textId="77777777" w:rsidR="009904A6" w:rsidRPr="006C6F80" w:rsidRDefault="009904A6" w:rsidP="009904A6">
            <w:pPr>
              <w:rPr>
                <w:color w:val="000000" w:themeColor="text1"/>
                <w:sz w:val="20"/>
                <w:szCs w:val="20"/>
              </w:rPr>
            </w:pPr>
            <w:r w:rsidRPr="006C6F80">
              <w:rPr>
                <w:color w:val="000000" w:themeColor="text1"/>
                <w:sz w:val="20"/>
                <w:szCs w:val="20"/>
              </w:rPr>
              <w:t> </w:t>
            </w:r>
          </w:p>
        </w:tc>
        <w:tc>
          <w:tcPr>
            <w:tcW w:w="746" w:type="dxa"/>
            <w:tcBorders>
              <w:top w:val="nil"/>
              <w:left w:val="nil"/>
              <w:bottom w:val="single" w:sz="4" w:space="0" w:color="auto"/>
              <w:right w:val="nil"/>
            </w:tcBorders>
            <w:shd w:val="clear" w:color="auto" w:fill="auto"/>
            <w:noWrap/>
            <w:vAlign w:val="center"/>
            <w:hideMark/>
          </w:tcPr>
          <w:p w14:paraId="6F7F5E47" w14:textId="77777777" w:rsidR="009904A6" w:rsidRPr="006C6F80" w:rsidRDefault="009904A6" w:rsidP="009904A6">
            <w:pPr>
              <w:rPr>
                <w:color w:val="000000" w:themeColor="text1"/>
                <w:sz w:val="20"/>
                <w:szCs w:val="20"/>
              </w:rPr>
            </w:pPr>
            <w:r w:rsidRPr="006C6F80">
              <w:rPr>
                <w:color w:val="000000" w:themeColor="text1"/>
                <w:sz w:val="20"/>
                <w:szCs w:val="20"/>
              </w:rPr>
              <w:t> </w:t>
            </w:r>
          </w:p>
        </w:tc>
        <w:tc>
          <w:tcPr>
            <w:tcW w:w="1135" w:type="dxa"/>
            <w:tcBorders>
              <w:top w:val="nil"/>
              <w:left w:val="nil"/>
              <w:bottom w:val="single" w:sz="4" w:space="0" w:color="auto"/>
              <w:right w:val="nil"/>
            </w:tcBorders>
            <w:shd w:val="clear" w:color="auto" w:fill="auto"/>
            <w:noWrap/>
            <w:vAlign w:val="center"/>
            <w:hideMark/>
          </w:tcPr>
          <w:p w14:paraId="0450B099" w14:textId="77777777" w:rsidR="009904A6" w:rsidRPr="006C6F80" w:rsidRDefault="009904A6" w:rsidP="009904A6">
            <w:pPr>
              <w:rPr>
                <w:color w:val="000000" w:themeColor="text1"/>
                <w:sz w:val="20"/>
                <w:szCs w:val="20"/>
              </w:rPr>
            </w:pPr>
            <w:r w:rsidRPr="006C6F80">
              <w:rPr>
                <w:color w:val="000000" w:themeColor="text1"/>
                <w:sz w:val="20"/>
                <w:szCs w:val="20"/>
              </w:rPr>
              <w:t> </w:t>
            </w:r>
          </w:p>
        </w:tc>
      </w:tr>
    </w:tbl>
    <w:p w14:paraId="1CB7A97E" w14:textId="22E9E2E1" w:rsidR="00481A34" w:rsidRPr="006C6F80" w:rsidRDefault="00D113CE" w:rsidP="00481A34">
      <w:pPr>
        <w:tabs>
          <w:tab w:val="left" w:pos="8460"/>
        </w:tabs>
        <w:ind w:left="1440" w:right="1468"/>
        <w:jc w:val="both"/>
        <w:rPr>
          <w:rFonts w:asciiTheme="majorBidi" w:hAnsiTheme="majorBidi" w:cstheme="majorBidi"/>
          <w:color w:val="000000" w:themeColor="text1"/>
          <w:sz w:val="18"/>
          <w:szCs w:val="18"/>
        </w:rPr>
      </w:pPr>
      <w:r w:rsidRPr="006C6F80">
        <w:rPr>
          <w:rFonts w:asciiTheme="majorBidi" w:hAnsiTheme="majorBidi" w:cstheme="majorBidi"/>
          <w:i/>
          <w:iCs/>
          <w:color w:val="000000" w:themeColor="text1"/>
          <w:sz w:val="18"/>
          <w:szCs w:val="18"/>
        </w:rPr>
        <w:t>Notes.</w:t>
      </w:r>
      <w:r w:rsidRPr="006C6F80">
        <w:rPr>
          <w:rFonts w:asciiTheme="majorBidi" w:hAnsiTheme="majorBidi" w:cstheme="majorBidi"/>
          <w:color w:val="000000" w:themeColor="text1"/>
          <w:sz w:val="18"/>
          <w:szCs w:val="18"/>
        </w:rPr>
        <w:t xml:space="preserve"> This table provides an analysis of repeat migration using data from the 2018 ELMPS. The entire 2012 sample is tracked into the 2018 survey. Panel A reports attrition between 2012 and 2018 for the full sample</w:t>
      </w:r>
      <w:r w:rsidR="009904A6" w:rsidRPr="006C6F80">
        <w:rPr>
          <w:rFonts w:asciiTheme="majorBidi" w:hAnsiTheme="majorBidi" w:cstheme="majorBidi"/>
          <w:color w:val="000000" w:themeColor="text1"/>
          <w:sz w:val="18"/>
          <w:szCs w:val="18"/>
        </w:rPr>
        <w:t xml:space="preserve"> and</w:t>
      </w:r>
      <w:r w:rsidRPr="006C6F80">
        <w:rPr>
          <w:rFonts w:asciiTheme="majorBidi" w:hAnsiTheme="majorBidi" w:cstheme="majorBidi"/>
          <w:color w:val="000000" w:themeColor="text1"/>
          <w:sz w:val="18"/>
          <w:szCs w:val="18"/>
        </w:rPr>
        <w:t xml:space="preserve"> for the 1960s cohort. Panel B provides individual result from 2012 and 2018. It provides information on whether the individual was retrieved in the original household or in split households. It also provides information on whether: the individual split to form a new household that was not found, the individual died, emigrated, moved to group housing, belong</w:t>
      </w:r>
      <w:r w:rsidR="006641CF" w:rsidRPr="006C6F80">
        <w:rPr>
          <w:rFonts w:asciiTheme="majorBidi" w:hAnsiTheme="majorBidi" w:cstheme="majorBidi"/>
          <w:color w:val="000000" w:themeColor="text1"/>
          <w:sz w:val="18"/>
          <w:szCs w:val="18"/>
        </w:rPr>
        <w:t>s</w:t>
      </w:r>
      <w:r w:rsidRPr="006C6F80">
        <w:rPr>
          <w:rFonts w:asciiTheme="majorBidi" w:hAnsiTheme="majorBidi" w:cstheme="majorBidi"/>
          <w:color w:val="000000" w:themeColor="text1"/>
          <w:sz w:val="18"/>
          <w:szCs w:val="18"/>
        </w:rPr>
        <w:t xml:space="preserve"> to a household that either refused to answer the questionnaire, did not complete the questionnaire or was not located. </w:t>
      </w:r>
    </w:p>
    <w:p w14:paraId="01B199E6" w14:textId="77777777" w:rsidR="00481A34" w:rsidRPr="006C6F80" w:rsidRDefault="00481A34" w:rsidP="00481A34">
      <w:pPr>
        <w:tabs>
          <w:tab w:val="left" w:pos="8460"/>
        </w:tabs>
        <w:ind w:left="1710" w:right="1738"/>
        <w:jc w:val="both"/>
        <w:rPr>
          <w:rFonts w:asciiTheme="majorBidi" w:hAnsiTheme="majorBidi" w:cstheme="majorBidi"/>
          <w:color w:val="000000" w:themeColor="text1"/>
          <w:sz w:val="18"/>
          <w:szCs w:val="18"/>
        </w:rPr>
      </w:pPr>
    </w:p>
    <w:tbl>
      <w:tblPr>
        <w:tblW w:w="7560" w:type="dxa"/>
        <w:jc w:val="center"/>
        <w:tblLayout w:type="fixed"/>
        <w:tblLook w:val="04A0" w:firstRow="1" w:lastRow="0" w:firstColumn="1" w:lastColumn="0" w:noHBand="0" w:noVBand="1"/>
      </w:tblPr>
      <w:tblGrid>
        <w:gridCol w:w="2250"/>
        <w:gridCol w:w="990"/>
        <w:gridCol w:w="990"/>
        <w:gridCol w:w="1080"/>
        <w:gridCol w:w="1170"/>
        <w:gridCol w:w="1080"/>
      </w:tblGrid>
      <w:tr w:rsidR="000E24B0" w:rsidRPr="006C6F80" w14:paraId="6DC4F295" w14:textId="77777777" w:rsidTr="000E24B0">
        <w:trPr>
          <w:trHeight w:val="578"/>
          <w:jc w:val="center"/>
        </w:trPr>
        <w:tc>
          <w:tcPr>
            <w:tcW w:w="7560" w:type="dxa"/>
            <w:gridSpan w:val="6"/>
            <w:tcBorders>
              <w:top w:val="nil"/>
              <w:left w:val="nil"/>
              <w:bottom w:val="single" w:sz="4" w:space="0" w:color="auto"/>
              <w:right w:val="nil"/>
            </w:tcBorders>
            <w:shd w:val="clear" w:color="auto" w:fill="auto"/>
            <w:vAlign w:val="center"/>
            <w:hideMark/>
          </w:tcPr>
          <w:p w14:paraId="3DBE90A2" w14:textId="77777777" w:rsidR="000E24B0" w:rsidRPr="006C6F80" w:rsidRDefault="000E24B0">
            <w:pPr>
              <w:jc w:val="center"/>
              <w:rPr>
                <w:b/>
                <w:bCs/>
                <w:color w:val="000000"/>
                <w:sz w:val="20"/>
                <w:szCs w:val="20"/>
              </w:rPr>
            </w:pPr>
            <w:r w:rsidRPr="006C6F80">
              <w:rPr>
                <w:b/>
                <w:bCs/>
                <w:color w:val="000000"/>
                <w:sz w:val="20"/>
                <w:szCs w:val="20"/>
              </w:rPr>
              <w:t xml:space="preserve">Table A7: Comparing the 2010 occupations of returnees interviewed in 2018 </w:t>
            </w:r>
          </w:p>
          <w:p w14:paraId="78C30C8A" w14:textId="645220BB" w:rsidR="000E24B0" w:rsidRPr="006C6F80" w:rsidRDefault="000E24B0">
            <w:pPr>
              <w:jc w:val="center"/>
              <w:rPr>
                <w:b/>
                <w:bCs/>
                <w:color w:val="000000"/>
                <w:sz w:val="20"/>
                <w:szCs w:val="20"/>
              </w:rPr>
            </w:pPr>
            <w:r w:rsidRPr="006C6F80">
              <w:rPr>
                <w:b/>
                <w:bCs/>
                <w:color w:val="000000"/>
                <w:sz w:val="20"/>
                <w:szCs w:val="20"/>
              </w:rPr>
              <w:t>versus those not interviewed in 2018</w:t>
            </w:r>
          </w:p>
        </w:tc>
      </w:tr>
      <w:tr w:rsidR="000E24B0" w:rsidRPr="006C6F80" w14:paraId="76BED438" w14:textId="77777777" w:rsidTr="000E24B0">
        <w:trPr>
          <w:trHeight w:val="259"/>
          <w:jc w:val="center"/>
        </w:trPr>
        <w:tc>
          <w:tcPr>
            <w:tcW w:w="2250" w:type="dxa"/>
            <w:tcBorders>
              <w:top w:val="nil"/>
              <w:left w:val="nil"/>
              <w:bottom w:val="single" w:sz="4" w:space="0" w:color="auto"/>
              <w:right w:val="nil"/>
            </w:tcBorders>
            <w:shd w:val="clear" w:color="auto" w:fill="auto"/>
            <w:noWrap/>
            <w:vAlign w:val="bottom"/>
            <w:hideMark/>
          </w:tcPr>
          <w:p w14:paraId="379B2010" w14:textId="77777777" w:rsidR="000E24B0" w:rsidRPr="006C6F80" w:rsidRDefault="000E24B0">
            <w:pPr>
              <w:jc w:val="center"/>
              <w:rPr>
                <w:color w:val="000000"/>
                <w:sz w:val="20"/>
                <w:szCs w:val="20"/>
              </w:rPr>
            </w:pPr>
            <w:r w:rsidRPr="006C6F80">
              <w:rPr>
                <w:color w:val="000000"/>
                <w:sz w:val="20"/>
                <w:szCs w:val="20"/>
              </w:rPr>
              <w:t> </w:t>
            </w:r>
          </w:p>
        </w:tc>
        <w:tc>
          <w:tcPr>
            <w:tcW w:w="1980" w:type="dxa"/>
            <w:gridSpan w:val="2"/>
            <w:tcBorders>
              <w:top w:val="single" w:sz="4" w:space="0" w:color="auto"/>
              <w:left w:val="nil"/>
              <w:bottom w:val="single" w:sz="4" w:space="0" w:color="auto"/>
              <w:right w:val="nil"/>
            </w:tcBorders>
            <w:shd w:val="clear" w:color="auto" w:fill="auto"/>
            <w:vAlign w:val="center"/>
            <w:hideMark/>
          </w:tcPr>
          <w:p w14:paraId="5529C8DF" w14:textId="77777777" w:rsidR="000E24B0" w:rsidRPr="006C6F80" w:rsidRDefault="000E24B0">
            <w:pPr>
              <w:jc w:val="center"/>
              <w:rPr>
                <w:b/>
                <w:bCs/>
                <w:color w:val="000000"/>
                <w:sz w:val="20"/>
                <w:szCs w:val="20"/>
              </w:rPr>
            </w:pPr>
            <w:r w:rsidRPr="006C6F80">
              <w:rPr>
                <w:b/>
                <w:bCs/>
                <w:color w:val="000000"/>
                <w:sz w:val="20"/>
                <w:szCs w:val="20"/>
              </w:rPr>
              <w:t>Interviewed in 2018</w:t>
            </w:r>
          </w:p>
        </w:tc>
        <w:tc>
          <w:tcPr>
            <w:tcW w:w="2250" w:type="dxa"/>
            <w:gridSpan w:val="2"/>
            <w:tcBorders>
              <w:top w:val="single" w:sz="4" w:space="0" w:color="auto"/>
              <w:left w:val="nil"/>
              <w:bottom w:val="single" w:sz="4" w:space="0" w:color="auto"/>
              <w:right w:val="nil"/>
            </w:tcBorders>
            <w:shd w:val="clear" w:color="auto" w:fill="auto"/>
            <w:vAlign w:val="center"/>
            <w:hideMark/>
          </w:tcPr>
          <w:p w14:paraId="3F0C02A8" w14:textId="77777777" w:rsidR="000E24B0" w:rsidRPr="006C6F80" w:rsidRDefault="000E24B0">
            <w:pPr>
              <w:jc w:val="center"/>
              <w:rPr>
                <w:b/>
                <w:bCs/>
                <w:color w:val="000000"/>
                <w:sz w:val="20"/>
                <w:szCs w:val="20"/>
              </w:rPr>
            </w:pPr>
            <w:r w:rsidRPr="006C6F80">
              <w:rPr>
                <w:b/>
                <w:bCs/>
                <w:color w:val="000000"/>
                <w:sz w:val="20"/>
                <w:szCs w:val="20"/>
              </w:rPr>
              <w:t>Not interviewed in 2018</w:t>
            </w:r>
          </w:p>
        </w:tc>
        <w:tc>
          <w:tcPr>
            <w:tcW w:w="1080" w:type="dxa"/>
            <w:tcBorders>
              <w:top w:val="nil"/>
              <w:left w:val="nil"/>
              <w:bottom w:val="single" w:sz="4" w:space="0" w:color="auto"/>
              <w:right w:val="nil"/>
            </w:tcBorders>
            <w:shd w:val="clear" w:color="auto" w:fill="auto"/>
            <w:noWrap/>
            <w:vAlign w:val="bottom"/>
            <w:hideMark/>
          </w:tcPr>
          <w:p w14:paraId="4ACEB33C" w14:textId="77777777" w:rsidR="000E24B0" w:rsidRPr="006C6F80" w:rsidRDefault="000E24B0">
            <w:pPr>
              <w:jc w:val="center"/>
              <w:rPr>
                <w:color w:val="000000"/>
                <w:sz w:val="20"/>
                <w:szCs w:val="20"/>
              </w:rPr>
            </w:pPr>
            <w:r w:rsidRPr="006C6F80">
              <w:rPr>
                <w:color w:val="000000"/>
                <w:sz w:val="20"/>
                <w:szCs w:val="20"/>
              </w:rPr>
              <w:t> </w:t>
            </w:r>
          </w:p>
        </w:tc>
      </w:tr>
      <w:tr w:rsidR="000E24B0" w:rsidRPr="006C6F80" w14:paraId="71B01C5F" w14:textId="77777777" w:rsidTr="000E24B0">
        <w:trPr>
          <w:trHeight w:val="259"/>
          <w:jc w:val="center"/>
        </w:trPr>
        <w:tc>
          <w:tcPr>
            <w:tcW w:w="2250" w:type="dxa"/>
            <w:tcBorders>
              <w:top w:val="nil"/>
              <w:left w:val="nil"/>
              <w:bottom w:val="nil"/>
              <w:right w:val="nil"/>
            </w:tcBorders>
            <w:shd w:val="clear" w:color="auto" w:fill="auto"/>
            <w:noWrap/>
            <w:vAlign w:val="bottom"/>
            <w:hideMark/>
          </w:tcPr>
          <w:p w14:paraId="11E056DE" w14:textId="77777777" w:rsidR="000E24B0" w:rsidRPr="006C6F80" w:rsidRDefault="000E24B0">
            <w:pPr>
              <w:jc w:val="center"/>
              <w:rPr>
                <w:color w:val="000000"/>
                <w:sz w:val="20"/>
                <w:szCs w:val="20"/>
              </w:rPr>
            </w:pPr>
          </w:p>
        </w:tc>
        <w:tc>
          <w:tcPr>
            <w:tcW w:w="990" w:type="dxa"/>
            <w:tcBorders>
              <w:top w:val="nil"/>
              <w:left w:val="nil"/>
              <w:bottom w:val="nil"/>
              <w:right w:val="nil"/>
            </w:tcBorders>
            <w:shd w:val="clear" w:color="auto" w:fill="auto"/>
            <w:noWrap/>
            <w:vAlign w:val="bottom"/>
            <w:hideMark/>
          </w:tcPr>
          <w:p w14:paraId="66713320" w14:textId="77777777" w:rsidR="000E24B0" w:rsidRPr="006C6F80" w:rsidRDefault="000E24B0">
            <w:pPr>
              <w:jc w:val="center"/>
              <w:rPr>
                <w:color w:val="000000"/>
                <w:sz w:val="20"/>
                <w:szCs w:val="20"/>
              </w:rPr>
            </w:pPr>
            <w:r w:rsidRPr="006C6F80">
              <w:rPr>
                <w:color w:val="000000"/>
                <w:sz w:val="20"/>
                <w:szCs w:val="20"/>
              </w:rPr>
              <w:t>(1)</w:t>
            </w:r>
          </w:p>
        </w:tc>
        <w:tc>
          <w:tcPr>
            <w:tcW w:w="990" w:type="dxa"/>
            <w:tcBorders>
              <w:top w:val="nil"/>
              <w:left w:val="nil"/>
              <w:bottom w:val="nil"/>
              <w:right w:val="nil"/>
            </w:tcBorders>
            <w:shd w:val="clear" w:color="auto" w:fill="auto"/>
            <w:noWrap/>
            <w:vAlign w:val="bottom"/>
            <w:hideMark/>
          </w:tcPr>
          <w:p w14:paraId="1FC34079" w14:textId="77777777" w:rsidR="000E24B0" w:rsidRPr="006C6F80" w:rsidRDefault="000E24B0">
            <w:pPr>
              <w:jc w:val="center"/>
              <w:rPr>
                <w:color w:val="000000"/>
                <w:sz w:val="20"/>
                <w:szCs w:val="20"/>
              </w:rPr>
            </w:pPr>
            <w:r w:rsidRPr="006C6F80">
              <w:rPr>
                <w:color w:val="000000"/>
                <w:sz w:val="20"/>
                <w:szCs w:val="20"/>
              </w:rPr>
              <w:t>(2)</w:t>
            </w:r>
          </w:p>
        </w:tc>
        <w:tc>
          <w:tcPr>
            <w:tcW w:w="1080" w:type="dxa"/>
            <w:tcBorders>
              <w:top w:val="nil"/>
              <w:left w:val="nil"/>
              <w:bottom w:val="nil"/>
              <w:right w:val="nil"/>
            </w:tcBorders>
            <w:shd w:val="clear" w:color="auto" w:fill="auto"/>
            <w:noWrap/>
            <w:vAlign w:val="bottom"/>
            <w:hideMark/>
          </w:tcPr>
          <w:p w14:paraId="208D2060" w14:textId="77777777" w:rsidR="000E24B0" w:rsidRPr="006C6F80" w:rsidRDefault="000E24B0">
            <w:pPr>
              <w:jc w:val="center"/>
              <w:rPr>
                <w:color w:val="000000"/>
                <w:sz w:val="20"/>
                <w:szCs w:val="20"/>
              </w:rPr>
            </w:pPr>
            <w:r w:rsidRPr="006C6F80">
              <w:rPr>
                <w:color w:val="000000"/>
                <w:sz w:val="20"/>
                <w:szCs w:val="20"/>
              </w:rPr>
              <w:t>(3)</w:t>
            </w:r>
          </w:p>
        </w:tc>
        <w:tc>
          <w:tcPr>
            <w:tcW w:w="1170" w:type="dxa"/>
            <w:tcBorders>
              <w:top w:val="nil"/>
              <w:left w:val="nil"/>
              <w:bottom w:val="nil"/>
              <w:right w:val="nil"/>
            </w:tcBorders>
            <w:shd w:val="clear" w:color="auto" w:fill="auto"/>
            <w:noWrap/>
            <w:vAlign w:val="bottom"/>
            <w:hideMark/>
          </w:tcPr>
          <w:p w14:paraId="611FC21D" w14:textId="77777777" w:rsidR="000E24B0" w:rsidRPr="006C6F80" w:rsidRDefault="000E24B0">
            <w:pPr>
              <w:jc w:val="center"/>
              <w:rPr>
                <w:color w:val="000000"/>
                <w:sz w:val="20"/>
                <w:szCs w:val="20"/>
              </w:rPr>
            </w:pPr>
            <w:r w:rsidRPr="006C6F80">
              <w:rPr>
                <w:color w:val="000000"/>
                <w:sz w:val="20"/>
                <w:szCs w:val="20"/>
              </w:rPr>
              <w:t>(4)</w:t>
            </w:r>
          </w:p>
        </w:tc>
        <w:tc>
          <w:tcPr>
            <w:tcW w:w="1080" w:type="dxa"/>
            <w:tcBorders>
              <w:top w:val="nil"/>
              <w:left w:val="nil"/>
              <w:bottom w:val="nil"/>
              <w:right w:val="nil"/>
            </w:tcBorders>
            <w:shd w:val="clear" w:color="auto" w:fill="auto"/>
            <w:noWrap/>
            <w:vAlign w:val="bottom"/>
            <w:hideMark/>
          </w:tcPr>
          <w:p w14:paraId="1A66B811" w14:textId="77777777" w:rsidR="000E24B0" w:rsidRPr="006C6F80" w:rsidRDefault="000E24B0">
            <w:pPr>
              <w:jc w:val="center"/>
              <w:rPr>
                <w:color w:val="000000"/>
                <w:sz w:val="20"/>
                <w:szCs w:val="20"/>
              </w:rPr>
            </w:pPr>
            <w:r w:rsidRPr="006C6F80">
              <w:rPr>
                <w:color w:val="000000"/>
                <w:sz w:val="20"/>
                <w:szCs w:val="20"/>
              </w:rPr>
              <w:t>(5)</w:t>
            </w:r>
          </w:p>
        </w:tc>
      </w:tr>
      <w:tr w:rsidR="000E24B0" w:rsidRPr="006C6F80" w14:paraId="5870782A" w14:textId="77777777" w:rsidTr="000E24B0">
        <w:trPr>
          <w:trHeight w:val="299"/>
          <w:jc w:val="center"/>
        </w:trPr>
        <w:tc>
          <w:tcPr>
            <w:tcW w:w="2250" w:type="dxa"/>
            <w:tcBorders>
              <w:top w:val="nil"/>
              <w:left w:val="nil"/>
              <w:bottom w:val="single" w:sz="4" w:space="0" w:color="auto"/>
              <w:right w:val="nil"/>
            </w:tcBorders>
            <w:shd w:val="clear" w:color="auto" w:fill="auto"/>
            <w:vAlign w:val="center"/>
            <w:hideMark/>
          </w:tcPr>
          <w:p w14:paraId="0C3D4B32" w14:textId="77777777" w:rsidR="000E24B0" w:rsidRPr="006C6F80" w:rsidRDefault="000E24B0">
            <w:pPr>
              <w:rPr>
                <w:color w:val="000000"/>
                <w:sz w:val="20"/>
                <w:szCs w:val="20"/>
              </w:rPr>
            </w:pPr>
            <w:r w:rsidRPr="006C6F80">
              <w:rPr>
                <w:color w:val="000000"/>
                <w:sz w:val="20"/>
                <w:szCs w:val="20"/>
              </w:rPr>
              <w:t>VARIABLES</w:t>
            </w:r>
          </w:p>
        </w:tc>
        <w:tc>
          <w:tcPr>
            <w:tcW w:w="990" w:type="dxa"/>
            <w:tcBorders>
              <w:top w:val="nil"/>
              <w:left w:val="nil"/>
              <w:bottom w:val="single" w:sz="4" w:space="0" w:color="auto"/>
              <w:right w:val="nil"/>
            </w:tcBorders>
            <w:shd w:val="clear" w:color="auto" w:fill="auto"/>
            <w:vAlign w:val="center"/>
            <w:hideMark/>
          </w:tcPr>
          <w:p w14:paraId="267A792F" w14:textId="77777777" w:rsidR="000E24B0" w:rsidRPr="006C6F80" w:rsidRDefault="000E24B0">
            <w:pPr>
              <w:jc w:val="center"/>
              <w:rPr>
                <w:color w:val="000000"/>
                <w:sz w:val="20"/>
                <w:szCs w:val="20"/>
              </w:rPr>
            </w:pPr>
            <w:r w:rsidRPr="006C6F80">
              <w:rPr>
                <w:color w:val="000000"/>
                <w:sz w:val="20"/>
                <w:szCs w:val="20"/>
              </w:rPr>
              <w:t>Mean</w:t>
            </w:r>
          </w:p>
        </w:tc>
        <w:tc>
          <w:tcPr>
            <w:tcW w:w="990" w:type="dxa"/>
            <w:tcBorders>
              <w:top w:val="nil"/>
              <w:left w:val="nil"/>
              <w:bottom w:val="single" w:sz="4" w:space="0" w:color="auto"/>
              <w:right w:val="nil"/>
            </w:tcBorders>
            <w:shd w:val="clear" w:color="auto" w:fill="auto"/>
            <w:vAlign w:val="center"/>
            <w:hideMark/>
          </w:tcPr>
          <w:p w14:paraId="4387C682" w14:textId="77777777" w:rsidR="000E24B0" w:rsidRPr="006C6F80" w:rsidRDefault="000E24B0">
            <w:pPr>
              <w:jc w:val="center"/>
              <w:rPr>
                <w:color w:val="000000"/>
                <w:sz w:val="20"/>
                <w:szCs w:val="20"/>
              </w:rPr>
            </w:pPr>
            <w:r w:rsidRPr="006C6F80">
              <w:rPr>
                <w:color w:val="000000"/>
                <w:sz w:val="20"/>
                <w:szCs w:val="20"/>
              </w:rPr>
              <w:t xml:space="preserve">St. Dev. </w:t>
            </w:r>
          </w:p>
        </w:tc>
        <w:tc>
          <w:tcPr>
            <w:tcW w:w="1080" w:type="dxa"/>
            <w:tcBorders>
              <w:top w:val="nil"/>
              <w:left w:val="nil"/>
              <w:bottom w:val="single" w:sz="4" w:space="0" w:color="auto"/>
              <w:right w:val="nil"/>
            </w:tcBorders>
            <w:shd w:val="clear" w:color="auto" w:fill="auto"/>
            <w:vAlign w:val="center"/>
            <w:hideMark/>
          </w:tcPr>
          <w:p w14:paraId="4AD7392D" w14:textId="77777777" w:rsidR="000E24B0" w:rsidRPr="006C6F80" w:rsidRDefault="000E24B0">
            <w:pPr>
              <w:jc w:val="center"/>
              <w:rPr>
                <w:color w:val="000000"/>
                <w:sz w:val="20"/>
                <w:szCs w:val="20"/>
              </w:rPr>
            </w:pPr>
            <w:r w:rsidRPr="006C6F80">
              <w:rPr>
                <w:color w:val="000000"/>
                <w:sz w:val="20"/>
                <w:szCs w:val="20"/>
              </w:rPr>
              <w:t>Mean</w:t>
            </w:r>
          </w:p>
        </w:tc>
        <w:tc>
          <w:tcPr>
            <w:tcW w:w="1170" w:type="dxa"/>
            <w:tcBorders>
              <w:top w:val="nil"/>
              <w:left w:val="nil"/>
              <w:bottom w:val="single" w:sz="4" w:space="0" w:color="auto"/>
              <w:right w:val="nil"/>
            </w:tcBorders>
            <w:shd w:val="clear" w:color="auto" w:fill="auto"/>
            <w:vAlign w:val="center"/>
            <w:hideMark/>
          </w:tcPr>
          <w:p w14:paraId="3DB945EB" w14:textId="77777777" w:rsidR="000E24B0" w:rsidRPr="006C6F80" w:rsidRDefault="000E24B0">
            <w:pPr>
              <w:jc w:val="center"/>
              <w:rPr>
                <w:color w:val="000000"/>
                <w:sz w:val="20"/>
                <w:szCs w:val="20"/>
              </w:rPr>
            </w:pPr>
            <w:r w:rsidRPr="006C6F80">
              <w:rPr>
                <w:color w:val="000000"/>
                <w:sz w:val="20"/>
                <w:szCs w:val="20"/>
              </w:rPr>
              <w:t xml:space="preserve">St. Dev. </w:t>
            </w:r>
          </w:p>
        </w:tc>
        <w:tc>
          <w:tcPr>
            <w:tcW w:w="1080" w:type="dxa"/>
            <w:tcBorders>
              <w:top w:val="nil"/>
              <w:left w:val="nil"/>
              <w:bottom w:val="single" w:sz="4" w:space="0" w:color="auto"/>
              <w:right w:val="nil"/>
            </w:tcBorders>
            <w:shd w:val="clear" w:color="auto" w:fill="auto"/>
            <w:vAlign w:val="center"/>
            <w:hideMark/>
          </w:tcPr>
          <w:p w14:paraId="07BC28A8" w14:textId="77777777" w:rsidR="000E24B0" w:rsidRPr="006C6F80" w:rsidRDefault="000E24B0">
            <w:pPr>
              <w:jc w:val="center"/>
              <w:rPr>
                <w:color w:val="000000"/>
                <w:sz w:val="20"/>
                <w:szCs w:val="20"/>
              </w:rPr>
            </w:pPr>
            <w:r w:rsidRPr="006C6F80">
              <w:rPr>
                <w:color w:val="000000"/>
                <w:sz w:val="20"/>
                <w:szCs w:val="20"/>
              </w:rPr>
              <w:t>Difference</w:t>
            </w:r>
          </w:p>
        </w:tc>
      </w:tr>
      <w:tr w:rsidR="000E24B0" w:rsidRPr="006C6F80" w14:paraId="09CA5DB5" w14:textId="77777777" w:rsidTr="000E24B0">
        <w:trPr>
          <w:gridAfter w:val="1"/>
          <w:wAfter w:w="1080" w:type="dxa"/>
          <w:trHeight w:val="279"/>
          <w:jc w:val="center"/>
        </w:trPr>
        <w:tc>
          <w:tcPr>
            <w:tcW w:w="2250" w:type="dxa"/>
            <w:tcBorders>
              <w:top w:val="nil"/>
              <w:left w:val="nil"/>
              <w:bottom w:val="nil"/>
              <w:right w:val="nil"/>
            </w:tcBorders>
            <w:shd w:val="clear" w:color="auto" w:fill="auto"/>
            <w:vAlign w:val="bottom"/>
            <w:hideMark/>
          </w:tcPr>
          <w:p w14:paraId="6DBED9DE" w14:textId="77777777" w:rsidR="000E24B0" w:rsidRPr="006C6F80" w:rsidRDefault="000E24B0">
            <w:pPr>
              <w:jc w:val="center"/>
              <w:rPr>
                <w:color w:val="000000"/>
                <w:sz w:val="20"/>
                <w:szCs w:val="20"/>
              </w:rPr>
            </w:pPr>
            <w:r w:rsidRPr="006C6F80">
              <w:rPr>
                <w:color w:val="000000"/>
                <w:sz w:val="20"/>
                <w:szCs w:val="20"/>
              </w:rPr>
              <w:t xml:space="preserve">  </w:t>
            </w:r>
          </w:p>
        </w:tc>
        <w:tc>
          <w:tcPr>
            <w:tcW w:w="990" w:type="dxa"/>
            <w:tcBorders>
              <w:top w:val="nil"/>
              <w:left w:val="nil"/>
              <w:bottom w:val="nil"/>
              <w:right w:val="nil"/>
            </w:tcBorders>
            <w:shd w:val="clear" w:color="auto" w:fill="auto"/>
            <w:vAlign w:val="bottom"/>
            <w:hideMark/>
          </w:tcPr>
          <w:p w14:paraId="4DB90818" w14:textId="77777777" w:rsidR="000E24B0" w:rsidRPr="006C6F80" w:rsidRDefault="000E24B0">
            <w:pPr>
              <w:jc w:val="center"/>
              <w:rPr>
                <w:color w:val="000000"/>
                <w:sz w:val="20"/>
                <w:szCs w:val="20"/>
              </w:rPr>
            </w:pPr>
          </w:p>
        </w:tc>
        <w:tc>
          <w:tcPr>
            <w:tcW w:w="990" w:type="dxa"/>
            <w:tcBorders>
              <w:top w:val="nil"/>
              <w:left w:val="nil"/>
              <w:bottom w:val="nil"/>
              <w:right w:val="nil"/>
            </w:tcBorders>
            <w:shd w:val="clear" w:color="auto" w:fill="auto"/>
            <w:vAlign w:val="bottom"/>
            <w:hideMark/>
          </w:tcPr>
          <w:p w14:paraId="4E7850AB" w14:textId="77777777" w:rsidR="000E24B0" w:rsidRPr="006C6F80" w:rsidRDefault="000E24B0">
            <w:pPr>
              <w:jc w:val="center"/>
              <w:rPr>
                <w:sz w:val="20"/>
                <w:szCs w:val="20"/>
              </w:rPr>
            </w:pPr>
          </w:p>
        </w:tc>
        <w:tc>
          <w:tcPr>
            <w:tcW w:w="1080" w:type="dxa"/>
            <w:tcBorders>
              <w:top w:val="nil"/>
              <w:left w:val="nil"/>
              <w:bottom w:val="nil"/>
              <w:right w:val="nil"/>
            </w:tcBorders>
            <w:shd w:val="clear" w:color="auto" w:fill="auto"/>
            <w:vAlign w:val="bottom"/>
            <w:hideMark/>
          </w:tcPr>
          <w:p w14:paraId="78BB82B0" w14:textId="77777777" w:rsidR="000E24B0" w:rsidRPr="006C6F80" w:rsidRDefault="000E24B0">
            <w:pPr>
              <w:jc w:val="center"/>
              <w:rPr>
                <w:sz w:val="20"/>
                <w:szCs w:val="20"/>
              </w:rPr>
            </w:pPr>
          </w:p>
        </w:tc>
        <w:tc>
          <w:tcPr>
            <w:tcW w:w="1170" w:type="dxa"/>
            <w:tcBorders>
              <w:top w:val="nil"/>
              <w:left w:val="nil"/>
              <w:bottom w:val="nil"/>
              <w:right w:val="nil"/>
            </w:tcBorders>
            <w:shd w:val="clear" w:color="auto" w:fill="auto"/>
            <w:vAlign w:val="bottom"/>
            <w:hideMark/>
          </w:tcPr>
          <w:p w14:paraId="4C91A095" w14:textId="77777777" w:rsidR="000E24B0" w:rsidRPr="006C6F80" w:rsidRDefault="000E24B0">
            <w:pPr>
              <w:jc w:val="center"/>
              <w:rPr>
                <w:sz w:val="20"/>
                <w:szCs w:val="20"/>
              </w:rPr>
            </w:pPr>
          </w:p>
        </w:tc>
      </w:tr>
      <w:tr w:rsidR="000E24B0" w:rsidRPr="006C6F80" w14:paraId="5C73F49A" w14:textId="77777777" w:rsidTr="000E24B0">
        <w:trPr>
          <w:trHeight w:val="259"/>
          <w:jc w:val="center"/>
        </w:trPr>
        <w:tc>
          <w:tcPr>
            <w:tcW w:w="2250" w:type="dxa"/>
            <w:tcBorders>
              <w:top w:val="nil"/>
              <w:left w:val="nil"/>
              <w:bottom w:val="nil"/>
              <w:right w:val="nil"/>
            </w:tcBorders>
            <w:shd w:val="clear" w:color="auto" w:fill="auto"/>
            <w:vAlign w:val="bottom"/>
            <w:hideMark/>
          </w:tcPr>
          <w:p w14:paraId="3379999C" w14:textId="77777777" w:rsidR="000E24B0" w:rsidRPr="006C6F80" w:rsidRDefault="000E24B0">
            <w:pPr>
              <w:rPr>
                <w:color w:val="000000"/>
                <w:sz w:val="20"/>
                <w:szCs w:val="20"/>
              </w:rPr>
            </w:pPr>
            <w:r w:rsidRPr="006C6F80">
              <w:rPr>
                <w:color w:val="000000"/>
                <w:sz w:val="20"/>
                <w:szCs w:val="20"/>
              </w:rPr>
              <w:t>Agriculture</w:t>
            </w:r>
          </w:p>
        </w:tc>
        <w:tc>
          <w:tcPr>
            <w:tcW w:w="990" w:type="dxa"/>
            <w:tcBorders>
              <w:top w:val="nil"/>
              <w:left w:val="nil"/>
              <w:bottom w:val="nil"/>
              <w:right w:val="nil"/>
            </w:tcBorders>
            <w:shd w:val="clear" w:color="auto" w:fill="auto"/>
            <w:vAlign w:val="bottom"/>
            <w:hideMark/>
          </w:tcPr>
          <w:p w14:paraId="5B06B9A1" w14:textId="77777777" w:rsidR="000E24B0" w:rsidRPr="006C6F80" w:rsidRDefault="000E24B0">
            <w:pPr>
              <w:jc w:val="center"/>
              <w:rPr>
                <w:color w:val="000000"/>
                <w:sz w:val="20"/>
                <w:szCs w:val="20"/>
              </w:rPr>
            </w:pPr>
            <w:r w:rsidRPr="006C6F80">
              <w:rPr>
                <w:color w:val="000000"/>
                <w:sz w:val="20"/>
                <w:szCs w:val="20"/>
              </w:rPr>
              <w:t>0.250</w:t>
            </w:r>
          </w:p>
        </w:tc>
        <w:tc>
          <w:tcPr>
            <w:tcW w:w="990" w:type="dxa"/>
            <w:tcBorders>
              <w:top w:val="nil"/>
              <w:left w:val="nil"/>
              <w:bottom w:val="nil"/>
              <w:right w:val="nil"/>
            </w:tcBorders>
            <w:shd w:val="clear" w:color="auto" w:fill="auto"/>
            <w:vAlign w:val="bottom"/>
            <w:hideMark/>
          </w:tcPr>
          <w:p w14:paraId="2C0C4C07" w14:textId="77777777" w:rsidR="000E24B0" w:rsidRPr="006C6F80" w:rsidRDefault="000E24B0">
            <w:pPr>
              <w:jc w:val="center"/>
              <w:rPr>
                <w:color w:val="000000"/>
                <w:sz w:val="20"/>
                <w:szCs w:val="20"/>
              </w:rPr>
            </w:pPr>
            <w:r w:rsidRPr="006C6F80">
              <w:rPr>
                <w:color w:val="000000"/>
                <w:sz w:val="20"/>
                <w:szCs w:val="20"/>
              </w:rPr>
              <w:t>0.434</w:t>
            </w:r>
          </w:p>
        </w:tc>
        <w:tc>
          <w:tcPr>
            <w:tcW w:w="1080" w:type="dxa"/>
            <w:tcBorders>
              <w:top w:val="nil"/>
              <w:left w:val="nil"/>
              <w:bottom w:val="nil"/>
              <w:right w:val="nil"/>
            </w:tcBorders>
            <w:shd w:val="clear" w:color="auto" w:fill="auto"/>
            <w:vAlign w:val="bottom"/>
            <w:hideMark/>
          </w:tcPr>
          <w:p w14:paraId="6ECD69A7" w14:textId="77777777" w:rsidR="000E24B0" w:rsidRPr="006C6F80" w:rsidRDefault="000E24B0">
            <w:pPr>
              <w:jc w:val="center"/>
              <w:rPr>
                <w:color w:val="000000"/>
                <w:sz w:val="20"/>
                <w:szCs w:val="20"/>
              </w:rPr>
            </w:pPr>
            <w:r w:rsidRPr="006C6F80">
              <w:rPr>
                <w:color w:val="000000"/>
                <w:sz w:val="20"/>
                <w:szCs w:val="20"/>
              </w:rPr>
              <w:t>0.159</w:t>
            </w:r>
          </w:p>
        </w:tc>
        <w:tc>
          <w:tcPr>
            <w:tcW w:w="1170" w:type="dxa"/>
            <w:tcBorders>
              <w:top w:val="nil"/>
              <w:left w:val="nil"/>
              <w:bottom w:val="nil"/>
              <w:right w:val="nil"/>
            </w:tcBorders>
            <w:shd w:val="clear" w:color="auto" w:fill="auto"/>
            <w:vAlign w:val="bottom"/>
            <w:hideMark/>
          </w:tcPr>
          <w:p w14:paraId="595B25F3" w14:textId="77777777" w:rsidR="000E24B0" w:rsidRPr="006C6F80" w:rsidRDefault="000E24B0">
            <w:pPr>
              <w:jc w:val="center"/>
              <w:rPr>
                <w:color w:val="000000"/>
                <w:sz w:val="20"/>
                <w:szCs w:val="20"/>
              </w:rPr>
            </w:pPr>
            <w:r w:rsidRPr="006C6F80">
              <w:rPr>
                <w:color w:val="000000"/>
                <w:sz w:val="20"/>
                <w:szCs w:val="20"/>
              </w:rPr>
              <w:t>0.370</w:t>
            </w:r>
          </w:p>
        </w:tc>
        <w:tc>
          <w:tcPr>
            <w:tcW w:w="1080" w:type="dxa"/>
            <w:tcBorders>
              <w:top w:val="nil"/>
              <w:left w:val="nil"/>
              <w:bottom w:val="nil"/>
              <w:right w:val="nil"/>
            </w:tcBorders>
            <w:shd w:val="clear" w:color="auto" w:fill="auto"/>
            <w:vAlign w:val="bottom"/>
            <w:hideMark/>
          </w:tcPr>
          <w:p w14:paraId="18CBC5E7" w14:textId="77777777" w:rsidR="000E24B0" w:rsidRPr="006C6F80" w:rsidRDefault="000E24B0">
            <w:pPr>
              <w:jc w:val="center"/>
              <w:rPr>
                <w:color w:val="000000"/>
                <w:sz w:val="20"/>
                <w:szCs w:val="20"/>
              </w:rPr>
            </w:pPr>
            <w:r w:rsidRPr="006C6F80">
              <w:rPr>
                <w:color w:val="000000"/>
                <w:sz w:val="20"/>
                <w:szCs w:val="20"/>
              </w:rPr>
              <w:t>0.091</w:t>
            </w:r>
          </w:p>
        </w:tc>
      </w:tr>
      <w:tr w:rsidR="000E24B0" w:rsidRPr="006C6F80" w14:paraId="51B2EEE0" w14:textId="77777777" w:rsidTr="000E24B0">
        <w:trPr>
          <w:trHeight w:val="259"/>
          <w:jc w:val="center"/>
        </w:trPr>
        <w:tc>
          <w:tcPr>
            <w:tcW w:w="2250" w:type="dxa"/>
            <w:tcBorders>
              <w:top w:val="nil"/>
              <w:left w:val="nil"/>
              <w:bottom w:val="nil"/>
              <w:right w:val="nil"/>
            </w:tcBorders>
            <w:shd w:val="clear" w:color="auto" w:fill="auto"/>
            <w:vAlign w:val="bottom"/>
            <w:hideMark/>
          </w:tcPr>
          <w:p w14:paraId="677B8EEF" w14:textId="77777777" w:rsidR="000E24B0" w:rsidRPr="006C6F80" w:rsidRDefault="000E24B0">
            <w:pPr>
              <w:rPr>
                <w:color w:val="000000"/>
                <w:sz w:val="20"/>
                <w:szCs w:val="20"/>
              </w:rPr>
            </w:pPr>
            <w:r w:rsidRPr="006C6F80">
              <w:rPr>
                <w:color w:val="000000"/>
                <w:sz w:val="20"/>
                <w:szCs w:val="20"/>
              </w:rPr>
              <w:t>Low-skilled blue collar</w:t>
            </w:r>
          </w:p>
        </w:tc>
        <w:tc>
          <w:tcPr>
            <w:tcW w:w="990" w:type="dxa"/>
            <w:tcBorders>
              <w:top w:val="nil"/>
              <w:left w:val="nil"/>
              <w:bottom w:val="nil"/>
              <w:right w:val="nil"/>
            </w:tcBorders>
            <w:shd w:val="clear" w:color="auto" w:fill="auto"/>
            <w:vAlign w:val="bottom"/>
            <w:hideMark/>
          </w:tcPr>
          <w:p w14:paraId="0A27629C" w14:textId="77777777" w:rsidR="000E24B0" w:rsidRPr="006C6F80" w:rsidRDefault="000E24B0">
            <w:pPr>
              <w:jc w:val="center"/>
              <w:rPr>
                <w:color w:val="000000"/>
                <w:sz w:val="20"/>
                <w:szCs w:val="20"/>
              </w:rPr>
            </w:pPr>
            <w:r w:rsidRPr="006C6F80">
              <w:rPr>
                <w:color w:val="000000"/>
                <w:sz w:val="20"/>
                <w:szCs w:val="20"/>
              </w:rPr>
              <w:t>0.176</w:t>
            </w:r>
          </w:p>
        </w:tc>
        <w:tc>
          <w:tcPr>
            <w:tcW w:w="990" w:type="dxa"/>
            <w:tcBorders>
              <w:top w:val="nil"/>
              <w:left w:val="nil"/>
              <w:bottom w:val="nil"/>
              <w:right w:val="nil"/>
            </w:tcBorders>
            <w:shd w:val="clear" w:color="auto" w:fill="auto"/>
            <w:vAlign w:val="bottom"/>
            <w:hideMark/>
          </w:tcPr>
          <w:p w14:paraId="23FEB0D9" w14:textId="77777777" w:rsidR="000E24B0" w:rsidRPr="006C6F80" w:rsidRDefault="000E24B0">
            <w:pPr>
              <w:jc w:val="center"/>
              <w:rPr>
                <w:color w:val="000000"/>
                <w:sz w:val="20"/>
                <w:szCs w:val="20"/>
              </w:rPr>
            </w:pPr>
            <w:r w:rsidRPr="006C6F80">
              <w:rPr>
                <w:color w:val="000000"/>
                <w:sz w:val="20"/>
                <w:szCs w:val="20"/>
              </w:rPr>
              <w:t>0.382</w:t>
            </w:r>
          </w:p>
        </w:tc>
        <w:tc>
          <w:tcPr>
            <w:tcW w:w="1080" w:type="dxa"/>
            <w:tcBorders>
              <w:top w:val="nil"/>
              <w:left w:val="nil"/>
              <w:bottom w:val="nil"/>
              <w:right w:val="nil"/>
            </w:tcBorders>
            <w:shd w:val="clear" w:color="auto" w:fill="auto"/>
            <w:vAlign w:val="bottom"/>
            <w:hideMark/>
          </w:tcPr>
          <w:p w14:paraId="7CD334D1" w14:textId="77777777" w:rsidR="000E24B0" w:rsidRPr="006C6F80" w:rsidRDefault="000E24B0">
            <w:pPr>
              <w:jc w:val="center"/>
              <w:rPr>
                <w:color w:val="000000"/>
                <w:sz w:val="20"/>
                <w:szCs w:val="20"/>
              </w:rPr>
            </w:pPr>
            <w:r w:rsidRPr="006C6F80">
              <w:rPr>
                <w:color w:val="000000"/>
                <w:sz w:val="20"/>
                <w:szCs w:val="20"/>
              </w:rPr>
              <w:t>0.136</w:t>
            </w:r>
          </w:p>
        </w:tc>
        <w:tc>
          <w:tcPr>
            <w:tcW w:w="1170" w:type="dxa"/>
            <w:tcBorders>
              <w:top w:val="nil"/>
              <w:left w:val="nil"/>
              <w:bottom w:val="nil"/>
              <w:right w:val="nil"/>
            </w:tcBorders>
            <w:shd w:val="clear" w:color="auto" w:fill="auto"/>
            <w:vAlign w:val="bottom"/>
            <w:hideMark/>
          </w:tcPr>
          <w:p w14:paraId="4D9E3AC6" w14:textId="77777777" w:rsidR="000E24B0" w:rsidRPr="006C6F80" w:rsidRDefault="000E24B0">
            <w:pPr>
              <w:jc w:val="center"/>
              <w:rPr>
                <w:color w:val="000000"/>
                <w:sz w:val="20"/>
                <w:szCs w:val="20"/>
              </w:rPr>
            </w:pPr>
            <w:r w:rsidRPr="006C6F80">
              <w:rPr>
                <w:color w:val="000000"/>
                <w:sz w:val="20"/>
                <w:szCs w:val="20"/>
              </w:rPr>
              <w:t>0.347</w:t>
            </w:r>
          </w:p>
        </w:tc>
        <w:tc>
          <w:tcPr>
            <w:tcW w:w="1080" w:type="dxa"/>
            <w:tcBorders>
              <w:top w:val="nil"/>
              <w:left w:val="nil"/>
              <w:bottom w:val="nil"/>
              <w:right w:val="nil"/>
            </w:tcBorders>
            <w:shd w:val="clear" w:color="auto" w:fill="auto"/>
            <w:vAlign w:val="bottom"/>
            <w:hideMark/>
          </w:tcPr>
          <w:p w14:paraId="4A4199B7" w14:textId="77777777" w:rsidR="000E24B0" w:rsidRPr="006C6F80" w:rsidRDefault="000E24B0">
            <w:pPr>
              <w:jc w:val="center"/>
              <w:rPr>
                <w:color w:val="000000"/>
                <w:sz w:val="20"/>
                <w:szCs w:val="20"/>
              </w:rPr>
            </w:pPr>
            <w:r w:rsidRPr="006C6F80">
              <w:rPr>
                <w:color w:val="000000"/>
                <w:sz w:val="20"/>
                <w:szCs w:val="20"/>
              </w:rPr>
              <w:t>0.040</w:t>
            </w:r>
          </w:p>
        </w:tc>
      </w:tr>
      <w:tr w:rsidR="000E24B0" w:rsidRPr="006C6F80" w14:paraId="1145C611" w14:textId="77777777" w:rsidTr="000E24B0">
        <w:trPr>
          <w:trHeight w:val="259"/>
          <w:jc w:val="center"/>
        </w:trPr>
        <w:tc>
          <w:tcPr>
            <w:tcW w:w="2250" w:type="dxa"/>
            <w:tcBorders>
              <w:top w:val="nil"/>
              <w:left w:val="nil"/>
              <w:bottom w:val="nil"/>
              <w:right w:val="nil"/>
            </w:tcBorders>
            <w:shd w:val="clear" w:color="auto" w:fill="auto"/>
            <w:vAlign w:val="bottom"/>
            <w:hideMark/>
          </w:tcPr>
          <w:p w14:paraId="5882E8B5" w14:textId="77777777" w:rsidR="000E24B0" w:rsidRPr="006C6F80" w:rsidRDefault="000E24B0">
            <w:pPr>
              <w:rPr>
                <w:color w:val="000000"/>
                <w:sz w:val="20"/>
                <w:szCs w:val="20"/>
              </w:rPr>
            </w:pPr>
            <w:r w:rsidRPr="006C6F80">
              <w:rPr>
                <w:color w:val="000000"/>
                <w:sz w:val="20"/>
                <w:szCs w:val="20"/>
              </w:rPr>
              <w:t>High-skilled blue collar</w:t>
            </w:r>
          </w:p>
        </w:tc>
        <w:tc>
          <w:tcPr>
            <w:tcW w:w="990" w:type="dxa"/>
            <w:tcBorders>
              <w:top w:val="nil"/>
              <w:left w:val="nil"/>
              <w:bottom w:val="nil"/>
              <w:right w:val="nil"/>
            </w:tcBorders>
            <w:shd w:val="clear" w:color="auto" w:fill="auto"/>
            <w:vAlign w:val="bottom"/>
            <w:hideMark/>
          </w:tcPr>
          <w:p w14:paraId="31263FB9" w14:textId="77777777" w:rsidR="000E24B0" w:rsidRPr="006C6F80" w:rsidRDefault="000E24B0">
            <w:pPr>
              <w:jc w:val="center"/>
              <w:rPr>
                <w:color w:val="000000"/>
                <w:sz w:val="20"/>
                <w:szCs w:val="20"/>
              </w:rPr>
            </w:pPr>
            <w:r w:rsidRPr="006C6F80">
              <w:rPr>
                <w:color w:val="000000"/>
                <w:sz w:val="20"/>
                <w:szCs w:val="20"/>
              </w:rPr>
              <w:t>0.176</w:t>
            </w:r>
          </w:p>
        </w:tc>
        <w:tc>
          <w:tcPr>
            <w:tcW w:w="990" w:type="dxa"/>
            <w:tcBorders>
              <w:top w:val="nil"/>
              <w:left w:val="nil"/>
              <w:bottom w:val="nil"/>
              <w:right w:val="nil"/>
            </w:tcBorders>
            <w:shd w:val="clear" w:color="auto" w:fill="auto"/>
            <w:vAlign w:val="bottom"/>
            <w:hideMark/>
          </w:tcPr>
          <w:p w14:paraId="23675920" w14:textId="77777777" w:rsidR="000E24B0" w:rsidRPr="006C6F80" w:rsidRDefault="000E24B0">
            <w:pPr>
              <w:jc w:val="center"/>
              <w:rPr>
                <w:color w:val="000000"/>
                <w:sz w:val="20"/>
                <w:szCs w:val="20"/>
              </w:rPr>
            </w:pPr>
            <w:r w:rsidRPr="006C6F80">
              <w:rPr>
                <w:color w:val="000000"/>
                <w:sz w:val="20"/>
                <w:szCs w:val="20"/>
              </w:rPr>
              <w:t>0.382</w:t>
            </w:r>
          </w:p>
        </w:tc>
        <w:tc>
          <w:tcPr>
            <w:tcW w:w="1080" w:type="dxa"/>
            <w:tcBorders>
              <w:top w:val="nil"/>
              <w:left w:val="nil"/>
              <w:bottom w:val="nil"/>
              <w:right w:val="nil"/>
            </w:tcBorders>
            <w:shd w:val="clear" w:color="auto" w:fill="auto"/>
            <w:vAlign w:val="bottom"/>
            <w:hideMark/>
          </w:tcPr>
          <w:p w14:paraId="4ED2EDF3" w14:textId="77777777" w:rsidR="000E24B0" w:rsidRPr="006C6F80" w:rsidRDefault="000E24B0">
            <w:pPr>
              <w:jc w:val="center"/>
              <w:rPr>
                <w:color w:val="000000"/>
                <w:sz w:val="20"/>
                <w:szCs w:val="20"/>
              </w:rPr>
            </w:pPr>
            <w:r w:rsidRPr="006C6F80">
              <w:rPr>
                <w:color w:val="000000"/>
                <w:sz w:val="20"/>
                <w:szCs w:val="20"/>
              </w:rPr>
              <w:t>0.227</w:t>
            </w:r>
          </w:p>
        </w:tc>
        <w:tc>
          <w:tcPr>
            <w:tcW w:w="1170" w:type="dxa"/>
            <w:tcBorders>
              <w:top w:val="nil"/>
              <w:left w:val="nil"/>
              <w:bottom w:val="nil"/>
              <w:right w:val="nil"/>
            </w:tcBorders>
            <w:shd w:val="clear" w:color="auto" w:fill="auto"/>
            <w:vAlign w:val="bottom"/>
            <w:hideMark/>
          </w:tcPr>
          <w:p w14:paraId="0CFF6E81" w14:textId="77777777" w:rsidR="000E24B0" w:rsidRPr="006C6F80" w:rsidRDefault="000E24B0">
            <w:pPr>
              <w:jc w:val="center"/>
              <w:rPr>
                <w:color w:val="000000"/>
                <w:sz w:val="20"/>
                <w:szCs w:val="20"/>
              </w:rPr>
            </w:pPr>
            <w:r w:rsidRPr="006C6F80">
              <w:rPr>
                <w:color w:val="000000"/>
                <w:sz w:val="20"/>
                <w:szCs w:val="20"/>
              </w:rPr>
              <w:t>0.424</w:t>
            </w:r>
          </w:p>
        </w:tc>
        <w:tc>
          <w:tcPr>
            <w:tcW w:w="1080" w:type="dxa"/>
            <w:tcBorders>
              <w:top w:val="nil"/>
              <w:left w:val="nil"/>
              <w:bottom w:val="nil"/>
              <w:right w:val="nil"/>
            </w:tcBorders>
            <w:shd w:val="clear" w:color="auto" w:fill="auto"/>
            <w:vAlign w:val="bottom"/>
            <w:hideMark/>
          </w:tcPr>
          <w:p w14:paraId="3E3EFB91" w14:textId="77777777" w:rsidR="000E24B0" w:rsidRPr="006C6F80" w:rsidRDefault="000E24B0">
            <w:pPr>
              <w:jc w:val="center"/>
              <w:rPr>
                <w:color w:val="000000"/>
                <w:sz w:val="20"/>
                <w:szCs w:val="20"/>
              </w:rPr>
            </w:pPr>
            <w:r w:rsidRPr="006C6F80">
              <w:rPr>
                <w:color w:val="000000"/>
                <w:sz w:val="20"/>
                <w:szCs w:val="20"/>
              </w:rPr>
              <w:t>-0.051</w:t>
            </w:r>
          </w:p>
        </w:tc>
      </w:tr>
      <w:tr w:rsidR="000E24B0" w:rsidRPr="006C6F80" w14:paraId="1EF2F4EB" w14:textId="77777777" w:rsidTr="000E24B0">
        <w:trPr>
          <w:trHeight w:val="259"/>
          <w:jc w:val="center"/>
        </w:trPr>
        <w:tc>
          <w:tcPr>
            <w:tcW w:w="2250" w:type="dxa"/>
            <w:tcBorders>
              <w:top w:val="nil"/>
              <w:left w:val="nil"/>
              <w:bottom w:val="nil"/>
              <w:right w:val="nil"/>
            </w:tcBorders>
            <w:shd w:val="clear" w:color="auto" w:fill="auto"/>
            <w:vAlign w:val="bottom"/>
            <w:hideMark/>
          </w:tcPr>
          <w:p w14:paraId="3CCC2C3A" w14:textId="77777777" w:rsidR="000E24B0" w:rsidRPr="006C6F80" w:rsidRDefault="000E24B0">
            <w:pPr>
              <w:rPr>
                <w:color w:val="000000"/>
                <w:sz w:val="20"/>
                <w:szCs w:val="20"/>
              </w:rPr>
            </w:pPr>
            <w:r w:rsidRPr="006C6F80">
              <w:rPr>
                <w:color w:val="000000"/>
                <w:sz w:val="20"/>
                <w:szCs w:val="20"/>
              </w:rPr>
              <w:t>Low-skilled white collar</w:t>
            </w:r>
          </w:p>
        </w:tc>
        <w:tc>
          <w:tcPr>
            <w:tcW w:w="990" w:type="dxa"/>
            <w:tcBorders>
              <w:top w:val="nil"/>
              <w:left w:val="nil"/>
              <w:bottom w:val="nil"/>
              <w:right w:val="nil"/>
            </w:tcBorders>
            <w:shd w:val="clear" w:color="auto" w:fill="auto"/>
            <w:vAlign w:val="bottom"/>
            <w:hideMark/>
          </w:tcPr>
          <w:p w14:paraId="7FC993CB" w14:textId="77777777" w:rsidR="000E24B0" w:rsidRPr="006C6F80" w:rsidRDefault="000E24B0">
            <w:pPr>
              <w:jc w:val="center"/>
              <w:rPr>
                <w:color w:val="000000"/>
                <w:sz w:val="20"/>
                <w:szCs w:val="20"/>
              </w:rPr>
            </w:pPr>
            <w:r w:rsidRPr="006C6F80">
              <w:rPr>
                <w:color w:val="000000"/>
                <w:sz w:val="20"/>
                <w:szCs w:val="20"/>
              </w:rPr>
              <w:t>0.092</w:t>
            </w:r>
          </w:p>
        </w:tc>
        <w:tc>
          <w:tcPr>
            <w:tcW w:w="990" w:type="dxa"/>
            <w:tcBorders>
              <w:top w:val="nil"/>
              <w:left w:val="nil"/>
              <w:bottom w:val="nil"/>
              <w:right w:val="nil"/>
            </w:tcBorders>
            <w:shd w:val="clear" w:color="auto" w:fill="auto"/>
            <w:vAlign w:val="bottom"/>
            <w:hideMark/>
          </w:tcPr>
          <w:p w14:paraId="7337D412" w14:textId="77777777" w:rsidR="000E24B0" w:rsidRPr="006C6F80" w:rsidRDefault="000E24B0">
            <w:pPr>
              <w:jc w:val="center"/>
              <w:rPr>
                <w:color w:val="000000"/>
                <w:sz w:val="20"/>
                <w:szCs w:val="20"/>
              </w:rPr>
            </w:pPr>
            <w:r w:rsidRPr="006C6F80">
              <w:rPr>
                <w:color w:val="000000"/>
                <w:sz w:val="20"/>
                <w:szCs w:val="20"/>
              </w:rPr>
              <w:t>0.289</w:t>
            </w:r>
          </w:p>
        </w:tc>
        <w:tc>
          <w:tcPr>
            <w:tcW w:w="1080" w:type="dxa"/>
            <w:tcBorders>
              <w:top w:val="nil"/>
              <w:left w:val="nil"/>
              <w:bottom w:val="nil"/>
              <w:right w:val="nil"/>
            </w:tcBorders>
            <w:shd w:val="clear" w:color="auto" w:fill="auto"/>
            <w:vAlign w:val="bottom"/>
            <w:hideMark/>
          </w:tcPr>
          <w:p w14:paraId="3FCFA429" w14:textId="77777777" w:rsidR="000E24B0" w:rsidRPr="006C6F80" w:rsidRDefault="000E24B0">
            <w:pPr>
              <w:jc w:val="center"/>
              <w:rPr>
                <w:color w:val="000000"/>
                <w:sz w:val="20"/>
                <w:szCs w:val="20"/>
              </w:rPr>
            </w:pPr>
            <w:r w:rsidRPr="006C6F80">
              <w:rPr>
                <w:color w:val="000000"/>
                <w:sz w:val="20"/>
                <w:szCs w:val="20"/>
              </w:rPr>
              <w:t>0.114</w:t>
            </w:r>
          </w:p>
        </w:tc>
        <w:tc>
          <w:tcPr>
            <w:tcW w:w="1170" w:type="dxa"/>
            <w:tcBorders>
              <w:top w:val="nil"/>
              <w:left w:val="nil"/>
              <w:bottom w:val="nil"/>
              <w:right w:val="nil"/>
            </w:tcBorders>
            <w:shd w:val="clear" w:color="auto" w:fill="auto"/>
            <w:vAlign w:val="bottom"/>
            <w:hideMark/>
          </w:tcPr>
          <w:p w14:paraId="1BD988D8" w14:textId="77777777" w:rsidR="000E24B0" w:rsidRPr="006C6F80" w:rsidRDefault="000E24B0">
            <w:pPr>
              <w:jc w:val="center"/>
              <w:rPr>
                <w:color w:val="000000"/>
                <w:sz w:val="20"/>
                <w:szCs w:val="20"/>
              </w:rPr>
            </w:pPr>
            <w:r w:rsidRPr="006C6F80">
              <w:rPr>
                <w:color w:val="000000"/>
                <w:sz w:val="20"/>
                <w:szCs w:val="20"/>
              </w:rPr>
              <w:t>0.321</w:t>
            </w:r>
          </w:p>
        </w:tc>
        <w:tc>
          <w:tcPr>
            <w:tcW w:w="1080" w:type="dxa"/>
            <w:tcBorders>
              <w:top w:val="nil"/>
              <w:left w:val="nil"/>
              <w:bottom w:val="nil"/>
              <w:right w:val="nil"/>
            </w:tcBorders>
            <w:shd w:val="clear" w:color="auto" w:fill="auto"/>
            <w:vAlign w:val="bottom"/>
            <w:hideMark/>
          </w:tcPr>
          <w:p w14:paraId="0363990B" w14:textId="77777777" w:rsidR="000E24B0" w:rsidRPr="006C6F80" w:rsidRDefault="000E24B0">
            <w:pPr>
              <w:jc w:val="center"/>
              <w:rPr>
                <w:color w:val="000000"/>
                <w:sz w:val="20"/>
                <w:szCs w:val="20"/>
              </w:rPr>
            </w:pPr>
            <w:r w:rsidRPr="006C6F80">
              <w:rPr>
                <w:color w:val="000000"/>
                <w:sz w:val="20"/>
                <w:szCs w:val="20"/>
              </w:rPr>
              <w:t>-0.022</w:t>
            </w:r>
          </w:p>
        </w:tc>
      </w:tr>
      <w:tr w:rsidR="000E24B0" w:rsidRPr="006C6F80" w14:paraId="30392BB8" w14:textId="77777777" w:rsidTr="000E24B0">
        <w:trPr>
          <w:trHeight w:val="259"/>
          <w:jc w:val="center"/>
        </w:trPr>
        <w:tc>
          <w:tcPr>
            <w:tcW w:w="2250" w:type="dxa"/>
            <w:tcBorders>
              <w:top w:val="nil"/>
              <w:left w:val="nil"/>
              <w:bottom w:val="nil"/>
              <w:right w:val="nil"/>
            </w:tcBorders>
            <w:shd w:val="clear" w:color="auto" w:fill="auto"/>
            <w:vAlign w:val="bottom"/>
            <w:hideMark/>
          </w:tcPr>
          <w:p w14:paraId="69AA9E81" w14:textId="77777777" w:rsidR="000E24B0" w:rsidRPr="006C6F80" w:rsidRDefault="000E24B0">
            <w:pPr>
              <w:rPr>
                <w:color w:val="000000"/>
                <w:sz w:val="20"/>
                <w:szCs w:val="20"/>
              </w:rPr>
            </w:pPr>
            <w:r w:rsidRPr="006C6F80">
              <w:rPr>
                <w:color w:val="000000"/>
                <w:sz w:val="20"/>
                <w:szCs w:val="20"/>
              </w:rPr>
              <w:t>High-skilled white collar</w:t>
            </w:r>
          </w:p>
        </w:tc>
        <w:tc>
          <w:tcPr>
            <w:tcW w:w="990" w:type="dxa"/>
            <w:tcBorders>
              <w:top w:val="nil"/>
              <w:left w:val="nil"/>
              <w:bottom w:val="nil"/>
              <w:right w:val="nil"/>
            </w:tcBorders>
            <w:shd w:val="clear" w:color="auto" w:fill="auto"/>
            <w:vAlign w:val="bottom"/>
            <w:hideMark/>
          </w:tcPr>
          <w:p w14:paraId="518FB179" w14:textId="77777777" w:rsidR="000E24B0" w:rsidRPr="006C6F80" w:rsidRDefault="000E24B0">
            <w:pPr>
              <w:jc w:val="center"/>
              <w:rPr>
                <w:color w:val="000000"/>
                <w:sz w:val="20"/>
                <w:szCs w:val="20"/>
              </w:rPr>
            </w:pPr>
            <w:r w:rsidRPr="006C6F80">
              <w:rPr>
                <w:color w:val="000000"/>
                <w:sz w:val="20"/>
                <w:szCs w:val="20"/>
              </w:rPr>
              <w:t>0.306</w:t>
            </w:r>
          </w:p>
        </w:tc>
        <w:tc>
          <w:tcPr>
            <w:tcW w:w="990" w:type="dxa"/>
            <w:tcBorders>
              <w:top w:val="nil"/>
              <w:left w:val="nil"/>
              <w:bottom w:val="nil"/>
              <w:right w:val="nil"/>
            </w:tcBorders>
            <w:shd w:val="clear" w:color="auto" w:fill="auto"/>
            <w:vAlign w:val="bottom"/>
            <w:hideMark/>
          </w:tcPr>
          <w:p w14:paraId="10985D68" w14:textId="77777777" w:rsidR="000E24B0" w:rsidRPr="006C6F80" w:rsidRDefault="000E24B0">
            <w:pPr>
              <w:jc w:val="center"/>
              <w:rPr>
                <w:color w:val="000000"/>
                <w:sz w:val="20"/>
                <w:szCs w:val="20"/>
              </w:rPr>
            </w:pPr>
            <w:r w:rsidRPr="006C6F80">
              <w:rPr>
                <w:color w:val="000000"/>
                <w:sz w:val="20"/>
                <w:szCs w:val="20"/>
              </w:rPr>
              <w:t>0.462</w:t>
            </w:r>
          </w:p>
        </w:tc>
        <w:tc>
          <w:tcPr>
            <w:tcW w:w="1080" w:type="dxa"/>
            <w:tcBorders>
              <w:top w:val="nil"/>
              <w:left w:val="nil"/>
              <w:bottom w:val="nil"/>
              <w:right w:val="nil"/>
            </w:tcBorders>
            <w:shd w:val="clear" w:color="auto" w:fill="auto"/>
            <w:vAlign w:val="bottom"/>
            <w:hideMark/>
          </w:tcPr>
          <w:p w14:paraId="40440838" w14:textId="77777777" w:rsidR="000E24B0" w:rsidRPr="006C6F80" w:rsidRDefault="000E24B0">
            <w:pPr>
              <w:jc w:val="center"/>
              <w:rPr>
                <w:color w:val="000000"/>
                <w:sz w:val="20"/>
                <w:szCs w:val="20"/>
              </w:rPr>
            </w:pPr>
            <w:r w:rsidRPr="006C6F80">
              <w:rPr>
                <w:color w:val="000000"/>
                <w:sz w:val="20"/>
                <w:szCs w:val="20"/>
              </w:rPr>
              <w:t>0.364</w:t>
            </w:r>
          </w:p>
        </w:tc>
        <w:tc>
          <w:tcPr>
            <w:tcW w:w="1170" w:type="dxa"/>
            <w:tcBorders>
              <w:top w:val="nil"/>
              <w:left w:val="nil"/>
              <w:bottom w:val="nil"/>
              <w:right w:val="nil"/>
            </w:tcBorders>
            <w:shd w:val="clear" w:color="auto" w:fill="auto"/>
            <w:vAlign w:val="bottom"/>
            <w:hideMark/>
          </w:tcPr>
          <w:p w14:paraId="0CFC10FB" w14:textId="77777777" w:rsidR="000E24B0" w:rsidRPr="006C6F80" w:rsidRDefault="000E24B0">
            <w:pPr>
              <w:jc w:val="center"/>
              <w:rPr>
                <w:color w:val="000000"/>
                <w:sz w:val="20"/>
                <w:szCs w:val="20"/>
              </w:rPr>
            </w:pPr>
            <w:r w:rsidRPr="006C6F80">
              <w:rPr>
                <w:color w:val="000000"/>
                <w:sz w:val="20"/>
                <w:szCs w:val="20"/>
              </w:rPr>
              <w:t>0.487</w:t>
            </w:r>
          </w:p>
        </w:tc>
        <w:tc>
          <w:tcPr>
            <w:tcW w:w="1080" w:type="dxa"/>
            <w:tcBorders>
              <w:top w:val="nil"/>
              <w:left w:val="nil"/>
              <w:bottom w:val="nil"/>
              <w:right w:val="nil"/>
            </w:tcBorders>
            <w:shd w:val="clear" w:color="auto" w:fill="auto"/>
            <w:vAlign w:val="bottom"/>
            <w:hideMark/>
          </w:tcPr>
          <w:p w14:paraId="3D242F59" w14:textId="77777777" w:rsidR="000E24B0" w:rsidRPr="006C6F80" w:rsidRDefault="000E24B0">
            <w:pPr>
              <w:jc w:val="center"/>
              <w:rPr>
                <w:color w:val="000000"/>
                <w:sz w:val="20"/>
                <w:szCs w:val="20"/>
              </w:rPr>
            </w:pPr>
            <w:r w:rsidRPr="006C6F80">
              <w:rPr>
                <w:color w:val="000000"/>
                <w:sz w:val="20"/>
                <w:szCs w:val="20"/>
              </w:rPr>
              <w:t>-0.057</w:t>
            </w:r>
          </w:p>
        </w:tc>
      </w:tr>
      <w:tr w:rsidR="000E24B0" w:rsidRPr="006C6F80" w14:paraId="5632D715" w14:textId="77777777" w:rsidTr="000E24B0">
        <w:trPr>
          <w:trHeight w:val="259"/>
          <w:jc w:val="center"/>
        </w:trPr>
        <w:tc>
          <w:tcPr>
            <w:tcW w:w="2250" w:type="dxa"/>
            <w:tcBorders>
              <w:top w:val="nil"/>
              <w:left w:val="nil"/>
              <w:bottom w:val="nil"/>
              <w:right w:val="nil"/>
            </w:tcBorders>
            <w:shd w:val="clear" w:color="auto" w:fill="auto"/>
            <w:vAlign w:val="bottom"/>
            <w:hideMark/>
          </w:tcPr>
          <w:p w14:paraId="1C4F0923" w14:textId="77777777" w:rsidR="000E24B0" w:rsidRPr="006C6F80" w:rsidRDefault="000E24B0">
            <w:pPr>
              <w:jc w:val="center"/>
              <w:rPr>
                <w:color w:val="000000"/>
                <w:sz w:val="20"/>
                <w:szCs w:val="20"/>
              </w:rPr>
            </w:pPr>
          </w:p>
        </w:tc>
        <w:tc>
          <w:tcPr>
            <w:tcW w:w="990" w:type="dxa"/>
            <w:tcBorders>
              <w:top w:val="nil"/>
              <w:left w:val="nil"/>
              <w:bottom w:val="nil"/>
              <w:right w:val="nil"/>
            </w:tcBorders>
            <w:shd w:val="clear" w:color="auto" w:fill="auto"/>
            <w:vAlign w:val="bottom"/>
            <w:hideMark/>
          </w:tcPr>
          <w:p w14:paraId="1F1E4EA5" w14:textId="77777777" w:rsidR="000E24B0" w:rsidRPr="006C6F80" w:rsidRDefault="000E24B0">
            <w:pPr>
              <w:rPr>
                <w:sz w:val="20"/>
                <w:szCs w:val="20"/>
              </w:rPr>
            </w:pPr>
          </w:p>
        </w:tc>
        <w:tc>
          <w:tcPr>
            <w:tcW w:w="990" w:type="dxa"/>
            <w:tcBorders>
              <w:top w:val="nil"/>
              <w:left w:val="nil"/>
              <w:bottom w:val="nil"/>
              <w:right w:val="nil"/>
            </w:tcBorders>
            <w:shd w:val="clear" w:color="auto" w:fill="auto"/>
            <w:vAlign w:val="bottom"/>
            <w:hideMark/>
          </w:tcPr>
          <w:p w14:paraId="68BBDBFE" w14:textId="77777777" w:rsidR="000E24B0" w:rsidRPr="006C6F80" w:rsidRDefault="000E24B0">
            <w:pPr>
              <w:jc w:val="center"/>
              <w:rPr>
                <w:sz w:val="20"/>
                <w:szCs w:val="20"/>
              </w:rPr>
            </w:pPr>
          </w:p>
        </w:tc>
        <w:tc>
          <w:tcPr>
            <w:tcW w:w="1080" w:type="dxa"/>
            <w:tcBorders>
              <w:top w:val="nil"/>
              <w:left w:val="nil"/>
              <w:bottom w:val="nil"/>
              <w:right w:val="nil"/>
            </w:tcBorders>
            <w:shd w:val="clear" w:color="auto" w:fill="auto"/>
            <w:vAlign w:val="bottom"/>
            <w:hideMark/>
          </w:tcPr>
          <w:p w14:paraId="09F38721" w14:textId="77777777" w:rsidR="000E24B0" w:rsidRPr="006C6F80" w:rsidRDefault="000E24B0">
            <w:pPr>
              <w:jc w:val="center"/>
              <w:rPr>
                <w:sz w:val="20"/>
                <w:szCs w:val="20"/>
              </w:rPr>
            </w:pPr>
          </w:p>
        </w:tc>
        <w:tc>
          <w:tcPr>
            <w:tcW w:w="1170" w:type="dxa"/>
            <w:tcBorders>
              <w:top w:val="nil"/>
              <w:left w:val="nil"/>
              <w:bottom w:val="nil"/>
              <w:right w:val="nil"/>
            </w:tcBorders>
            <w:shd w:val="clear" w:color="auto" w:fill="auto"/>
            <w:vAlign w:val="bottom"/>
            <w:hideMark/>
          </w:tcPr>
          <w:p w14:paraId="5E93A706" w14:textId="77777777" w:rsidR="000E24B0" w:rsidRPr="006C6F80" w:rsidRDefault="000E24B0">
            <w:pPr>
              <w:jc w:val="center"/>
              <w:rPr>
                <w:sz w:val="20"/>
                <w:szCs w:val="20"/>
              </w:rPr>
            </w:pPr>
          </w:p>
        </w:tc>
        <w:tc>
          <w:tcPr>
            <w:tcW w:w="1080" w:type="dxa"/>
            <w:tcBorders>
              <w:top w:val="nil"/>
              <w:left w:val="nil"/>
              <w:bottom w:val="nil"/>
              <w:right w:val="nil"/>
            </w:tcBorders>
            <w:shd w:val="clear" w:color="auto" w:fill="auto"/>
            <w:vAlign w:val="bottom"/>
            <w:hideMark/>
          </w:tcPr>
          <w:p w14:paraId="617B6732" w14:textId="77777777" w:rsidR="000E24B0" w:rsidRPr="006C6F80" w:rsidRDefault="000E24B0">
            <w:pPr>
              <w:jc w:val="center"/>
              <w:rPr>
                <w:sz w:val="20"/>
                <w:szCs w:val="20"/>
              </w:rPr>
            </w:pPr>
          </w:p>
        </w:tc>
      </w:tr>
      <w:tr w:rsidR="000E24B0" w:rsidRPr="006C6F80" w14:paraId="76948D9D" w14:textId="77777777" w:rsidTr="000E24B0">
        <w:trPr>
          <w:trHeight w:val="259"/>
          <w:jc w:val="center"/>
        </w:trPr>
        <w:tc>
          <w:tcPr>
            <w:tcW w:w="2250" w:type="dxa"/>
            <w:tcBorders>
              <w:top w:val="nil"/>
              <w:left w:val="nil"/>
              <w:bottom w:val="single" w:sz="4" w:space="0" w:color="auto"/>
              <w:right w:val="nil"/>
            </w:tcBorders>
            <w:shd w:val="clear" w:color="auto" w:fill="auto"/>
            <w:vAlign w:val="bottom"/>
            <w:hideMark/>
          </w:tcPr>
          <w:p w14:paraId="77722C5F" w14:textId="77777777" w:rsidR="000E24B0" w:rsidRPr="006C6F80" w:rsidRDefault="000E24B0">
            <w:pPr>
              <w:rPr>
                <w:color w:val="000000"/>
                <w:sz w:val="20"/>
                <w:szCs w:val="20"/>
              </w:rPr>
            </w:pPr>
            <w:r w:rsidRPr="006C6F80">
              <w:rPr>
                <w:color w:val="000000"/>
                <w:sz w:val="20"/>
                <w:szCs w:val="20"/>
              </w:rPr>
              <w:t>Observations</w:t>
            </w:r>
          </w:p>
        </w:tc>
        <w:tc>
          <w:tcPr>
            <w:tcW w:w="1980" w:type="dxa"/>
            <w:gridSpan w:val="2"/>
            <w:tcBorders>
              <w:top w:val="nil"/>
              <w:left w:val="nil"/>
              <w:bottom w:val="single" w:sz="4" w:space="0" w:color="auto"/>
              <w:right w:val="nil"/>
            </w:tcBorders>
            <w:shd w:val="clear" w:color="auto" w:fill="auto"/>
            <w:vAlign w:val="bottom"/>
            <w:hideMark/>
          </w:tcPr>
          <w:p w14:paraId="721D405B" w14:textId="77777777" w:rsidR="000E24B0" w:rsidRPr="006C6F80" w:rsidRDefault="000E24B0">
            <w:pPr>
              <w:jc w:val="center"/>
              <w:rPr>
                <w:color w:val="000000"/>
                <w:sz w:val="20"/>
                <w:szCs w:val="20"/>
              </w:rPr>
            </w:pPr>
            <w:r w:rsidRPr="006C6F80">
              <w:rPr>
                <w:color w:val="000000"/>
                <w:sz w:val="20"/>
                <w:szCs w:val="20"/>
              </w:rPr>
              <w:t>284</w:t>
            </w:r>
          </w:p>
        </w:tc>
        <w:tc>
          <w:tcPr>
            <w:tcW w:w="2250" w:type="dxa"/>
            <w:gridSpan w:val="2"/>
            <w:tcBorders>
              <w:top w:val="nil"/>
              <w:left w:val="nil"/>
              <w:bottom w:val="single" w:sz="4" w:space="0" w:color="auto"/>
              <w:right w:val="nil"/>
            </w:tcBorders>
            <w:shd w:val="clear" w:color="auto" w:fill="auto"/>
            <w:vAlign w:val="bottom"/>
            <w:hideMark/>
          </w:tcPr>
          <w:p w14:paraId="673AC909" w14:textId="77777777" w:rsidR="000E24B0" w:rsidRPr="006C6F80" w:rsidRDefault="000E24B0">
            <w:pPr>
              <w:jc w:val="center"/>
              <w:rPr>
                <w:color w:val="000000"/>
                <w:sz w:val="20"/>
                <w:szCs w:val="20"/>
              </w:rPr>
            </w:pPr>
            <w:r w:rsidRPr="006C6F80">
              <w:rPr>
                <w:color w:val="000000"/>
                <w:sz w:val="20"/>
                <w:szCs w:val="20"/>
              </w:rPr>
              <w:t>44</w:t>
            </w:r>
          </w:p>
        </w:tc>
        <w:tc>
          <w:tcPr>
            <w:tcW w:w="1080" w:type="dxa"/>
            <w:tcBorders>
              <w:top w:val="nil"/>
              <w:left w:val="nil"/>
              <w:bottom w:val="single" w:sz="4" w:space="0" w:color="auto"/>
              <w:right w:val="nil"/>
            </w:tcBorders>
            <w:shd w:val="clear" w:color="auto" w:fill="auto"/>
            <w:vAlign w:val="bottom"/>
            <w:hideMark/>
          </w:tcPr>
          <w:p w14:paraId="553F405A" w14:textId="77777777" w:rsidR="000E24B0" w:rsidRPr="006C6F80" w:rsidRDefault="000E24B0">
            <w:pPr>
              <w:jc w:val="center"/>
              <w:rPr>
                <w:color w:val="000000"/>
                <w:sz w:val="20"/>
                <w:szCs w:val="20"/>
              </w:rPr>
            </w:pPr>
            <w:r w:rsidRPr="006C6F80">
              <w:rPr>
                <w:color w:val="000000"/>
                <w:sz w:val="20"/>
                <w:szCs w:val="20"/>
              </w:rPr>
              <w:t> </w:t>
            </w:r>
          </w:p>
        </w:tc>
      </w:tr>
    </w:tbl>
    <w:p w14:paraId="2F357D75" w14:textId="77777777" w:rsidR="005F2BE9" w:rsidRPr="006C6F80" w:rsidRDefault="005F2BE9" w:rsidP="005F2BE9">
      <w:pPr>
        <w:ind w:left="135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p&lt;0.01, ** p&lt;0.05, * p&lt;0.1</w:t>
      </w:r>
    </w:p>
    <w:p w14:paraId="3ABE2CE3" w14:textId="3B67467A" w:rsidR="00481A34" w:rsidRPr="006C6F80" w:rsidRDefault="00481A34" w:rsidP="005F2BE9">
      <w:pPr>
        <w:tabs>
          <w:tab w:val="left" w:pos="8460"/>
        </w:tabs>
        <w:ind w:left="1350" w:right="1378"/>
        <w:jc w:val="both"/>
        <w:rPr>
          <w:rFonts w:asciiTheme="majorBidi" w:hAnsiTheme="majorBidi" w:cstheme="majorBidi"/>
          <w:color w:val="000000" w:themeColor="text1"/>
          <w:sz w:val="18"/>
          <w:szCs w:val="18"/>
        </w:rPr>
      </w:pPr>
      <w:r w:rsidRPr="006C6F80">
        <w:rPr>
          <w:rFonts w:asciiTheme="majorBidi" w:hAnsiTheme="majorBidi" w:cstheme="majorBidi"/>
          <w:i/>
          <w:iCs/>
          <w:color w:val="000000" w:themeColor="text1"/>
          <w:sz w:val="18"/>
          <w:szCs w:val="18"/>
        </w:rPr>
        <w:t>Notes.</w:t>
      </w:r>
      <w:r w:rsidRPr="006C6F80">
        <w:rPr>
          <w:rFonts w:asciiTheme="majorBidi" w:hAnsiTheme="majorBidi" w:cstheme="majorBidi"/>
          <w:color w:val="000000" w:themeColor="text1"/>
          <w:sz w:val="18"/>
          <w:szCs w:val="18"/>
        </w:rPr>
        <w:t xml:space="preserve"> This tabl</w:t>
      </w:r>
      <w:r w:rsidR="00023E48" w:rsidRPr="006C6F80">
        <w:rPr>
          <w:rFonts w:asciiTheme="majorBidi" w:hAnsiTheme="majorBidi" w:cstheme="majorBidi"/>
          <w:color w:val="000000" w:themeColor="text1"/>
          <w:sz w:val="18"/>
          <w:szCs w:val="18"/>
        </w:rPr>
        <w:t>e presents the 2010 occupational distribution of returnees in the 1960s cohort. The table compares the occupational distribution of returnees who were successfully interviewed in the year 2018 in columns (1) and (2), versus those who were not interviewed in 2018 in columns (3) and (4)</w:t>
      </w:r>
      <w:r w:rsidR="000E24B0" w:rsidRPr="006C6F80">
        <w:rPr>
          <w:rFonts w:asciiTheme="majorBidi" w:hAnsiTheme="majorBidi" w:cstheme="majorBidi"/>
          <w:color w:val="000000" w:themeColor="text1"/>
          <w:sz w:val="18"/>
          <w:szCs w:val="18"/>
        </w:rPr>
        <w:t>. Column (5) reports the difference between the means reported in columns (1) and (3) as well as a t-test for whether the difference in means between the two groups is statistically significant.</w:t>
      </w:r>
    </w:p>
    <w:p w14:paraId="6B58CD51" w14:textId="6C7083E2" w:rsidR="00E2122B" w:rsidRPr="006C6F80" w:rsidRDefault="00E2122B" w:rsidP="00B975F1">
      <w:pPr>
        <w:spacing w:after="200" w:line="276" w:lineRule="auto"/>
        <w:rPr>
          <w:rFonts w:asciiTheme="majorBidi" w:hAnsiTheme="majorBidi" w:cstheme="majorBidi"/>
          <w:color w:val="000000" w:themeColor="text1"/>
          <w:sz w:val="18"/>
          <w:szCs w:val="18"/>
        </w:rPr>
      </w:pPr>
    </w:p>
    <w:p w14:paraId="1552C204" w14:textId="77777777" w:rsidR="00481A34" w:rsidRPr="006C6F80" w:rsidRDefault="00481A34" w:rsidP="00B975F1">
      <w:pPr>
        <w:spacing w:after="200" w:line="276" w:lineRule="auto"/>
        <w:rPr>
          <w:rFonts w:asciiTheme="majorBidi" w:hAnsiTheme="majorBidi" w:cstheme="majorBidi"/>
          <w:color w:val="000000" w:themeColor="text1"/>
          <w:sz w:val="18"/>
          <w:szCs w:val="18"/>
        </w:rPr>
      </w:pPr>
    </w:p>
    <w:tbl>
      <w:tblPr>
        <w:tblW w:w="10121" w:type="dxa"/>
        <w:jc w:val="center"/>
        <w:tblLook w:val="04A0" w:firstRow="1" w:lastRow="0" w:firstColumn="1" w:lastColumn="0" w:noHBand="0" w:noVBand="1"/>
      </w:tblPr>
      <w:tblGrid>
        <w:gridCol w:w="2174"/>
        <w:gridCol w:w="2364"/>
        <w:gridCol w:w="1608"/>
        <w:gridCol w:w="2364"/>
        <w:gridCol w:w="1611"/>
      </w:tblGrid>
      <w:tr w:rsidR="00CB6C3C" w:rsidRPr="006C6F80" w14:paraId="63C916FE" w14:textId="77777777" w:rsidTr="00CB6C3C">
        <w:trPr>
          <w:trHeight w:val="264"/>
          <w:jc w:val="center"/>
        </w:trPr>
        <w:tc>
          <w:tcPr>
            <w:tcW w:w="10121" w:type="dxa"/>
            <w:gridSpan w:val="5"/>
            <w:tcBorders>
              <w:top w:val="nil"/>
              <w:left w:val="nil"/>
              <w:bottom w:val="single" w:sz="4" w:space="0" w:color="auto"/>
              <w:right w:val="nil"/>
            </w:tcBorders>
            <w:shd w:val="clear" w:color="auto" w:fill="auto"/>
            <w:noWrap/>
            <w:vAlign w:val="bottom"/>
            <w:hideMark/>
          </w:tcPr>
          <w:p w14:paraId="0379694B" w14:textId="3CD3B861" w:rsidR="00CB6C3C" w:rsidRPr="006C6F80" w:rsidRDefault="00CB6C3C" w:rsidP="008D2AEF">
            <w:pPr>
              <w:jc w:val="center"/>
              <w:rPr>
                <w:b/>
                <w:bCs/>
                <w:color w:val="000000" w:themeColor="text1"/>
                <w:sz w:val="20"/>
                <w:szCs w:val="20"/>
              </w:rPr>
            </w:pPr>
            <w:r w:rsidRPr="006C6F80">
              <w:rPr>
                <w:b/>
                <w:bCs/>
                <w:color w:val="000000" w:themeColor="text1"/>
                <w:sz w:val="20"/>
                <w:szCs w:val="20"/>
              </w:rPr>
              <w:lastRenderedPageBreak/>
              <w:t xml:space="preserve">Table </w:t>
            </w:r>
            <w:r w:rsidR="0002535F" w:rsidRPr="006C6F80">
              <w:rPr>
                <w:b/>
                <w:bCs/>
                <w:color w:val="000000" w:themeColor="text1"/>
                <w:sz w:val="20"/>
                <w:szCs w:val="20"/>
              </w:rPr>
              <w:t>A</w:t>
            </w:r>
            <w:r w:rsidR="001268FC" w:rsidRPr="006C6F80">
              <w:rPr>
                <w:b/>
                <w:bCs/>
                <w:color w:val="000000" w:themeColor="text1"/>
                <w:sz w:val="20"/>
                <w:szCs w:val="20"/>
              </w:rPr>
              <w:t>8</w:t>
            </w:r>
            <w:r w:rsidRPr="006C6F80">
              <w:rPr>
                <w:b/>
                <w:bCs/>
                <w:color w:val="000000" w:themeColor="text1"/>
                <w:sz w:val="20"/>
                <w:szCs w:val="20"/>
              </w:rPr>
              <w:t>: Estimating the effect of return migration on occupational mobility for the 1950s cohort</w:t>
            </w:r>
          </w:p>
        </w:tc>
      </w:tr>
      <w:tr w:rsidR="00CB6C3C" w:rsidRPr="006C6F80" w14:paraId="2D9A39F0" w14:textId="77777777" w:rsidTr="00E2122B">
        <w:trPr>
          <w:trHeight w:val="264"/>
          <w:jc w:val="center"/>
        </w:trPr>
        <w:tc>
          <w:tcPr>
            <w:tcW w:w="2174" w:type="dxa"/>
            <w:tcBorders>
              <w:top w:val="nil"/>
              <w:left w:val="nil"/>
              <w:bottom w:val="nil"/>
              <w:right w:val="nil"/>
            </w:tcBorders>
            <w:shd w:val="clear" w:color="auto" w:fill="auto"/>
            <w:noWrap/>
            <w:vAlign w:val="bottom"/>
            <w:hideMark/>
          </w:tcPr>
          <w:p w14:paraId="348409AE" w14:textId="77777777" w:rsidR="00CB6C3C" w:rsidRPr="006C6F80" w:rsidRDefault="00CB6C3C" w:rsidP="00CB6C3C">
            <w:pPr>
              <w:rPr>
                <w:color w:val="000000" w:themeColor="text1"/>
                <w:sz w:val="20"/>
                <w:szCs w:val="20"/>
              </w:rPr>
            </w:pPr>
            <w:r w:rsidRPr="006C6F80">
              <w:rPr>
                <w:color w:val="000000" w:themeColor="text1"/>
                <w:sz w:val="20"/>
                <w:szCs w:val="20"/>
              </w:rPr>
              <w:t> </w:t>
            </w:r>
          </w:p>
        </w:tc>
        <w:tc>
          <w:tcPr>
            <w:tcW w:w="2364" w:type="dxa"/>
            <w:tcBorders>
              <w:top w:val="nil"/>
              <w:left w:val="nil"/>
              <w:bottom w:val="nil"/>
              <w:right w:val="nil"/>
            </w:tcBorders>
            <w:shd w:val="clear" w:color="auto" w:fill="auto"/>
            <w:noWrap/>
            <w:vAlign w:val="bottom"/>
            <w:hideMark/>
          </w:tcPr>
          <w:p w14:paraId="48743845" w14:textId="77777777" w:rsidR="00CB6C3C" w:rsidRPr="006C6F80" w:rsidRDefault="00CB6C3C" w:rsidP="00CB6C3C">
            <w:pPr>
              <w:jc w:val="center"/>
              <w:rPr>
                <w:color w:val="000000" w:themeColor="text1"/>
                <w:sz w:val="20"/>
                <w:szCs w:val="20"/>
              </w:rPr>
            </w:pPr>
            <w:r w:rsidRPr="006C6F80">
              <w:rPr>
                <w:color w:val="000000" w:themeColor="text1"/>
                <w:sz w:val="20"/>
                <w:szCs w:val="20"/>
              </w:rPr>
              <w:t>(1)</w:t>
            </w:r>
          </w:p>
        </w:tc>
        <w:tc>
          <w:tcPr>
            <w:tcW w:w="1608" w:type="dxa"/>
            <w:tcBorders>
              <w:top w:val="nil"/>
              <w:left w:val="nil"/>
              <w:bottom w:val="nil"/>
              <w:right w:val="nil"/>
            </w:tcBorders>
            <w:shd w:val="clear" w:color="auto" w:fill="auto"/>
            <w:noWrap/>
            <w:vAlign w:val="bottom"/>
            <w:hideMark/>
          </w:tcPr>
          <w:p w14:paraId="2D9F83A9" w14:textId="77777777" w:rsidR="00CB6C3C" w:rsidRPr="006C6F80" w:rsidRDefault="00CB6C3C" w:rsidP="00CB6C3C">
            <w:pPr>
              <w:jc w:val="center"/>
              <w:rPr>
                <w:color w:val="000000" w:themeColor="text1"/>
                <w:sz w:val="20"/>
                <w:szCs w:val="20"/>
              </w:rPr>
            </w:pPr>
            <w:r w:rsidRPr="006C6F80">
              <w:rPr>
                <w:color w:val="000000" w:themeColor="text1"/>
                <w:sz w:val="20"/>
                <w:szCs w:val="20"/>
              </w:rPr>
              <w:t>(2)</w:t>
            </w:r>
          </w:p>
        </w:tc>
        <w:tc>
          <w:tcPr>
            <w:tcW w:w="2364" w:type="dxa"/>
            <w:tcBorders>
              <w:top w:val="nil"/>
              <w:left w:val="nil"/>
              <w:bottom w:val="nil"/>
              <w:right w:val="nil"/>
            </w:tcBorders>
            <w:shd w:val="clear" w:color="auto" w:fill="auto"/>
            <w:noWrap/>
            <w:vAlign w:val="bottom"/>
            <w:hideMark/>
          </w:tcPr>
          <w:p w14:paraId="5B8AC701" w14:textId="77777777" w:rsidR="00CB6C3C" w:rsidRPr="006C6F80" w:rsidRDefault="00CB6C3C" w:rsidP="00CB6C3C">
            <w:pPr>
              <w:jc w:val="center"/>
              <w:rPr>
                <w:color w:val="000000" w:themeColor="text1"/>
                <w:sz w:val="20"/>
                <w:szCs w:val="20"/>
              </w:rPr>
            </w:pPr>
            <w:r w:rsidRPr="006C6F80">
              <w:rPr>
                <w:color w:val="000000" w:themeColor="text1"/>
                <w:sz w:val="20"/>
                <w:szCs w:val="20"/>
              </w:rPr>
              <w:t>(3)</w:t>
            </w:r>
          </w:p>
        </w:tc>
        <w:tc>
          <w:tcPr>
            <w:tcW w:w="1611" w:type="dxa"/>
            <w:tcBorders>
              <w:top w:val="nil"/>
              <w:left w:val="nil"/>
              <w:bottom w:val="nil"/>
              <w:right w:val="nil"/>
            </w:tcBorders>
            <w:shd w:val="clear" w:color="auto" w:fill="auto"/>
            <w:noWrap/>
            <w:vAlign w:val="bottom"/>
            <w:hideMark/>
          </w:tcPr>
          <w:p w14:paraId="76015EAE" w14:textId="77777777" w:rsidR="00CB6C3C" w:rsidRPr="006C6F80" w:rsidRDefault="00CB6C3C" w:rsidP="00CB6C3C">
            <w:pPr>
              <w:jc w:val="center"/>
              <w:rPr>
                <w:color w:val="000000" w:themeColor="text1"/>
                <w:sz w:val="20"/>
                <w:szCs w:val="20"/>
              </w:rPr>
            </w:pPr>
            <w:r w:rsidRPr="006C6F80">
              <w:rPr>
                <w:color w:val="000000" w:themeColor="text1"/>
                <w:sz w:val="20"/>
                <w:szCs w:val="20"/>
              </w:rPr>
              <w:t>(4)</w:t>
            </w:r>
          </w:p>
        </w:tc>
      </w:tr>
      <w:tr w:rsidR="00CB6C3C" w:rsidRPr="006C6F80" w14:paraId="1741D455" w14:textId="77777777" w:rsidTr="00E2122B">
        <w:trPr>
          <w:trHeight w:val="264"/>
          <w:jc w:val="center"/>
        </w:trPr>
        <w:tc>
          <w:tcPr>
            <w:tcW w:w="2174" w:type="dxa"/>
            <w:tcBorders>
              <w:top w:val="nil"/>
              <w:left w:val="nil"/>
              <w:bottom w:val="nil"/>
              <w:right w:val="nil"/>
            </w:tcBorders>
            <w:shd w:val="clear" w:color="auto" w:fill="auto"/>
            <w:noWrap/>
            <w:vAlign w:val="bottom"/>
            <w:hideMark/>
          </w:tcPr>
          <w:p w14:paraId="10AD886D" w14:textId="77777777" w:rsidR="00CB6C3C" w:rsidRPr="006C6F80" w:rsidRDefault="00CB6C3C" w:rsidP="00CB6C3C">
            <w:pPr>
              <w:jc w:val="center"/>
              <w:rPr>
                <w:color w:val="000000" w:themeColor="text1"/>
                <w:sz w:val="20"/>
                <w:szCs w:val="20"/>
              </w:rPr>
            </w:pPr>
          </w:p>
        </w:tc>
        <w:tc>
          <w:tcPr>
            <w:tcW w:w="2364" w:type="dxa"/>
            <w:tcBorders>
              <w:top w:val="nil"/>
              <w:left w:val="nil"/>
              <w:bottom w:val="nil"/>
              <w:right w:val="nil"/>
            </w:tcBorders>
            <w:shd w:val="clear" w:color="auto" w:fill="auto"/>
            <w:noWrap/>
            <w:vAlign w:val="bottom"/>
            <w:hideMark/>
          </w:tcPr>
          <w:p w14:paraId="6C578813" w14:textId="77777777" w:rsidR="00CB6C3C" w:rsidRPr="006C6F80" w:rsidRDefault="00CB6C3C" w:rsidP="00CB6C3C">
            <w:pPr>
              <w:jc w:val="center"/>
              <w:rPr>
                <w:color w:val="000000" w:themeColor="text1"/>
                <w:sz w:val="20"/>
                <w:szCs w:val="20"/>
              </w:rPr>
            </w:pPr>
            <w:r w:rsidRPr="006C6F80">
              <w:rPr>
                <w:color w:val="000000" w:themeColor="text1"/>
                <w:sz w:val="20"/>
                <w:szCs w:val="20"/>
              </w:rPr>
              <w:t>Linear Probability Model</w:t>
            </w:r>
          </w:p>
        </w:tc>
        <w:tc>
          <w:tcPr>
            <w:tcW w:w="1608" w:type="dxa"/>
            <w:tcBorders>
              <w:top w:val="nil"/>
              <w:left w:val="nil"/>
              <w:bottom w:val="nil"/>
              <w:right w:val="nil"/>
            </w:tcBorders>
            <w:shd w:val="clear" w:color="auto" w:fill="auto"/>
            <w:noWrap/>
            <w:vAlign w:val="bottom"/>
            <w:hideMark/>
          </w:tcPr>
          <w:p w14:paraId="750C2FDE" w14:textId="77777777" w:rsidR="00CB6C3C" w:rsidRPr="006C6F80" w:rsidRDefault="00CB6C3C" w:rsidP="00CB6C3C">
            <w:pPr>
              <w:jc w:val="center"/>
              <w:rPr>
                <w:color w:val="000000" w:themeColor="text1"/>
                <w:sz w:val="20"/>
                <w:szCs w:val="20"/>
              </w:rPr>
            </w:pPr>
            <w:r w:rsidRPr="006C6F80">
              <w:rPr>
                <w:color w:val="000000" w:themeColor="text1"/>
                <w:sz w:val="20"/>
                <w:szCs w:val="20"/>
              </w:rPr>
              <w:t>IV-Regression</w:t>
            </w:r>
          </w:p>
        </w:tc>
        <w:tc>
          <w:tcPr>
            <w:tcW w:w="2364" w:type="dxa"/>
            <w:tcBorders>
              <w:top w:val="nil"/>
              <w:left w:val="nil"/>
              <w:bottom w:val="nil"/>
              <w:right w:val="nil"/>
            </w:tcBorders>
            <w:shd w:val="clear" w:color="auto" w:fill="auto"/>
            <w:noWrap/>
            <w:vAlign w:val="bottom"/>
            <w:hideMark/>
          </w:tcPr>
          <w:p w14:paraId="6F95584C" w14:textId="77777777" w:rsidR="00CB6C3C" w:rsidRPr="006C6F80" w:rsidRDefault="00CB6C3C" w:rsidP="00CB6C3C">
            <w:pPr>
              <w:jc w:val="center"/>
              <w:rPr>
                <w:color w:val="000000" w:themeColor="text1"/>
                <w:sz w:val="20"/>
                <w:szCs w:val="20"/>
              </w:rPr>
            </w:pPr>
            <w:r w:rsidRPr="006C6F80">
              <w:rPr>
                <w:color w:val="000000" w:themeColor="text1"/>
                <w:sz w:val="20"/>
                <w:szCs w:val="20"/>
              </w:rPr>
              <w:t>Linear Probability Model</w:t>
            </w:r>
          </w:p>
        </w:tc>
        <w:tc>
          <w:tcPr>
            <w:tcW w:w="1611" w:type="dxa"/>
            <w:tcBorders>
              <w:top w:val="nil"/>
              <w:left w:val="nil"/>
              <w:bottom w:val="nil"/>
              <w:right w:val="nil"/>
            </w:tcBorders>
            <w:shd w:val="clear" w:color="auto" w:fill="auto"/>
            <w:noWrap/>
            <w:vAlign w:val="bottom"/>
            <w:hideMark/>
          </w:tcPr>
          <w:p w14:paraId="4F69572A" w14:textId="77777777" w:rsidR="00CB6C3C" w:rsidRPr="006C6F80" w:rsidRDefault="00CB6C3C" w:rsidP="00CB6C3C">
            <w:pPr>
              <w:jc w:val="center"/>
              <w:rPr>
                <w:color w:val="000000" w:themeColor="text1"/>
                <w:sz w:val="20"/>
                <w:szCs w:val="20"/>
              </w:rPr>
            </w:pPr>
            <w:r w:rsidRPr="006C6F80">
              <w:rPr>
                <w:color w:val="000000" w:themeColor="text1"/>
                <w:sz w:val="20"/>
                <w:szCs w:val="20"/>
              </w:rPr>
              <w:t>IV-Regression</w:t>
            </w:r>
          </w:p>
        </w:tc>
      </w:tr>
      <w:tr w:rsidR="00CB6C3C" w:rsidRPr="006C6F80" w14:paraId="6632C463" w14:textId="77777777" w:rsidTr="00E2122B">
        <w:trPr>
          <w:trHeight w:val="264"/>
          <w:jc w:val="center"/>
        </w:trPr>
        <w:tc>
          <w:tcPr>
            <w:tcW w:w="2174" w:type="dxa"/>
            <w:tcBorders>
              <w:top w:val="nil"/>
              <w:left w:val="nil"/>
              <w:bottom w:val="nil"/>
              <w:right w:val="nil"/>
            </w:tcBorders>
            <w:shd w:val="clear" w:color="auto" w:fill="auto"/>
            <w:noWrap/>
            <w:vAlign w:val="bottom"/>
            <w:hideMark/>
          </w:tcPr>
          <w:p w14:paraId="537B6DD6" w14:textId="77777777" w:rsidR="00CB6C3C" w:rsidRPr="006C6F80" w:rsidRDefault="00CB6C3C" w:rsidP="00CB6C3C">
            <w:pPr>
              <w:rPr>
                <w:color w:val="000000" w:themeColor="text1"/>
                <w:sz w:val="20"/>
                <w:szCs w:val="20"/>
              </w:rPr>
            </w:pPr>
            <w:r w:rsidRPr="006C6F80">
              <w:rPr>
                <w:color w:val="000000" w:themeColor="text1"/>
                <w:sz w:val="20"/>
                <w:szCs w:val="20"/>
              </w:rPr>
              <w:t>VARIABLES</w:t>
            </w:r>
          </w:p>
        </w:tc>
        <w:tc>
          <w:tcPr>
            <w:tcW w:w="2364" w:type="dxa"/>
            <w:tcBorders>
              <w:top w:val="nil"/>
              <w:left w:val="nil"/>
              <w:bottom w:val="nil"/>
              <w:right w:val="nil"/>
            </w:tcBorders>
            <w:shd w:val="clear" w:color="auto" w:fill="auto"/>
            <w:noWrap/>
            <w:vAlign w:val="bottom"/>
            <w:hideMark/>
          </w:tcPr>
          <w:p w14:paraId="413183FB" w14:textId="77777777" w:rsidR="00CB6C3C" w:rsidRPr="006C6F80" w:rsidRDefault="00CB6C3C" w:rsidP="00CB6C3C">
            <w:pPr>
              <w:jc w:val="center"/>
              <w:rPr>
                <w:color w:val="000000" w:themeColor="text1"/>
                <w:sz w:val="20"/>
                <w:szCs w:val="20"/>
              </w:rPr>
            </w:pPr>
            <w:r w:rsidRPr="006C6F80">
              <w:rPr>
                <w:color w:val="000000" w:themeColor="text1"/>
                <w:sz w:val="20"/>
                <w:szCs w:val="20"/>
              </w:rPr>
              <w:t>Upward mobility</w:t>
            </w:r>
          </w:p>
        </w:tc>
        <w:tc>
          <w:tcPr>
            <w:tcW w:w="1608" w:type="dxa"/>
            <w:tcBorders>
              <w:top w:val="nil"/>
              <w:left w:val="nil"/>
              <w:bottom w:val="nil"/>
              <w:right w:val="nil"/>
            </w:tcBorders>
            <w:shd w:val="clear" w:color="auto" w:fill="auto"/>
            <w:noWrap/>
            <w:vAlign w:val="bottom"/>
            <w:hideMark/>
          </w:tcPr>
          <w:p w14:paraId="23A11AD6" w14:textId="77777777" w:rsidR="00CB6C3C" w:rsidRPr="006C6F80" w:rsidRDefault="00CB6C3C" w:rsidP="00CB6C3C">
            <w:pPr>
              <w:jc w:val="center"/>
              <w:rPr>
                <w:color w:val="000000" w:themeColor="text1"/>
                <w:sz w:val="20"/>
                <w:szCs w:val="20"/>
              </w:rPr>
            </w:pPr>
            <w:r w:rsidRPr="006C6F80">
              <w:rPr>
                <w:color w:val="000000" w:themeColor="text1"/>
                <w:sz w:val="20"/>
                <w:szCs w:val="20"/>
              </w:rPr>
              <w:t>Upward mobility</w:t>
            </w:r>
          </w:p>
        </w:tc>
        <w:tc>
          <w:tcPr>
            <w:tcW w:w="2364" w:type="dxa"/>
            <w:tcBorders>
              <w:top w:val="nil"/>
              <w:left w:val="nil"/>
              <w:bottom w:val="nil"/>
              <w:right w:val="nil"/>
            </w:tcBorders>
            <w:shd w:val="clear" w:color="auto" w:fill="auto"/>
            <w:noWrap/>
            <w:vAlign w:val="bottom"/>
            <w:hideMark/>
          </w:tcPr>
          <w:p w14:paraId="768F57BC" w14:textId="77777777" w:rsidR="00CB6C3C" w:rsidRPr="006C6F80" w:rsidRDefault="00CB6C3C" w:rsidP="00CB6C3C">
            <w:pPr>
              <w:jc w:val="center"/>
              <w:rPr>
                <w:color w:val="000000" w:themeColor="text1"/>
                <w:sz w:val="20"/>
                <w:szCs w:val="20"/>
              </w:rPr>
            </w:pPr>
            <w:r w:rsidRPr="006C6F80">
              <w:rPr>
                <w:color w:val="000000" w:themeColor="text1"/>
                <w:sz w:val="20"/>
                <w:szCs w:val="20"/>
              </w:rPr>
              <w:t>Upward mobility</w:t>
            </w:r>
          </w:p>
        </w:tc>
        <w:tc>
          <w:tcPr>
            <w:tcW w:w="1611" w:type="dxa"/>
            <w:tcBorders>
              <w:top w:val="nil"/>
              <w:left w:val="nil"/>
              <w:bottom w:val="nil"/>
              <w:right w:val="nil"/>
            </w:tcBorders>
            <w:shd w:val="clear" w:color="auto" w:fill="auto"/>
            <w:noWrap/>
            <w:vAlign w:val="bottom"/>
            <w:hideMark/>
          </w:tcPr>
          <w:p w14:paraId="7425B8E3" w14:textId="77777777" w:rsidR="00CB6C3C" w:rsidRPr="006C6F80" w:rsidRDefault="00CB6C3C" w:rsidP="00CB6C3C">
            <w:pPr>
              <w:jc w:val="center"/>
              <w:rPr>
                <w:color w:val="000000" w:themeColor="text1"/>
                <w:sz w:val="20"/>
                <w:szCs w:val="20"/>
              </w:rPr>
            </w:pPr>
            <w:r w:rsidRPr="006C6F80">
              <w:rPr>
                <w:color w:val="000000" w:themeColor="text1"/>
                <w:sz w:val="20"/>
                <w:szCs w:val="20"/>
              </w:rPr>
              <w:t>Upward mobility</w:t>
            </w:r>
          </w:p>
        </w:tc>
      </w:tr>
      <w:tr w:rsidR="00CB6C3C" w:rsidRPr="006C6F80" w14:paraId="650F95CE" w14:textId="77777777" w:rsidTr="00E2122B">
        <w:trPr>
          <w:trHeight w:val="264"/>
          <w:jc w:val="center"/>
        </w:trPr>
        <w:tc>
          <w:tcPr>
            <w:tcW w:w="2174" w:type="dxa"/>
            <w:tcBorders>
              <w:top w:val="single" w:sz="4" w:space="0" w:color="auto"/>
              <w:left w:val="nil"/>
              <w:bottom w:val="nil"/>
              <w:right w:val="nil"/>
            </w:tcBorders>
            <w:shd w:val="clear" w:color="auto" w:fill="auto"/>
            <w:noWrap/>
            <w:vAlign w:val="bottom"/>
            <w:hideMark/>
          </w:tcPr>
          <w:p w14:paraId="44A507C5" w14:textId="77777777" w:rsidR="00CB6C3C" w:rsidRPr="006C6F80" w:rsidRDefault="00CB6C3C" w:rsidP="00CB6C3C">
            <w:pPr>
              <w:rPr>
                <w:color w:val="000000" w:themeColor="text1"/>
                <w:sz w:val="20"/>
                <w:szCs w:val="20"/>
              </w:rPr>
            </w:pPr>
            <w:r w:rsidRPr="006C6F80">
              <w:rPr>
                <w:color w:val="000000" w:themeColor="text1"/>
                <w:sz w:val="20"/>
                <w:szCs w:val="20"/>
              </w:rPr>
              <w:t> </w:t>
            </w:r>
          </w:p>
        </w:tc>
        <w:tc>
          <w:tcPr>
            <w:tcW w:w="2364" w:type="dxa"/>
            <w:tcBorders>
              <w:top w:val="single" w:sz="4" w:space="0" w:color="auto"/>
              <w:left w:val="nil"/>
              <w:bottom w:val="nil"/>
              <w:right w:val="nil"/>
            </w:tcBorders>
            <w:shd w:val="clear" w:color="auto" w:fill="auto"/>
            <w:noWrap/>
            <w:vAlign w:val="bottom"/>
            <w:hideMark/>
          </w:tcPr>
          <w:p w14:paraId="0A27E96F" w14:textId="77777777" w:rsidR="00CB6C3C" w:rsidRPr="006C6F80" w:rsidRDefault="00CB6C3C" w:rsidP="00CB6C3C">
            <w:pPr>
              <w:jc w:val="center"/>
              <w:rPr>
                <w:color w:val="000000" w:themeColor="text1"/>
                <w:sz w:val="20"/>
                <w:szCs w:val="20"/>
              </w:rPr>
            </w:pPr>
            <w:r w:rsidRPr="006C6F80">
              <w:rPr>
                <w:color w:val="000000" w:themeColor="text1"/>
                <w:sz w:val="20"/>
                <w:szCs w:val="20"/>
              </w:rPr>
              <w:t> </w:t>
            </w:r>
          </w:p>
        </w:tc>
        <w:tc>
          <w:tcPr>
            <w:tcW w:w="1608" w:type="dxa"/>
            <w:tcBorders>
              <w:top w:val="single" w:sz="4" w:space="0" w:color="auto"/>
              <w:left w:val="nil"/>
              <w:bottom w:val="nil"/>
              <w:right w:val="nil"/>
            </w:tcBorders>
            <w:shd w:val="clear" w:color="auto" w:fill="auto"/>
            <w:noWrap/>
            <w:vAlign w:val="bottom"/>
            <w:hideMark/>
          </w:tcPr>
          <w:p w14:paraId="38330B23" w14:textId="77777777" w:rsidR="00CB6C3C" w:rsidRPr="006C6F80" w:rsidRDefault="00CB6C3C" w:rsidP="00CB6C3C">
            <w:pPr>
              <w:jc w:val="center"/>
              <w:rPr>
                <w:color w:val="000000" w:themeColor="text1"/>
                <w:sz w:val="20"/>
                <w:szCs w:val="20"/>
              </w:rPr>
            </w:pPr>
            <w:r w:rsidRPr="006C6F80">
              <w:rPr>
                <w:color w:val="000000" w:themeColor="text1"/>
                <w:sz w:val="20"/>
                <w:szCs w:val="20"/>
              </w:rPr>
              <w:t> </w:t>
            </w:r>
          </w:p>
        </w:tc>
        <w:tc>
          <w:tcPr>
            <w:tcW w:w="2364" w:type="dxa"/>
            <w:tcBorders>
              <w:top w:val="single" w:sz="4" w:space="0" w:color="auto"/>
              <w:left w:val="nil"/>
              <w:bottom w:val="nil"/>
              <w:right w:val="nil"/>
            </w:tcBorders>
            <w:shd w:val="clear" w:color="auto" w:fill="auto"/>
            <w:noWrap/>
            <w:vAlign w:val="bottom"/>
            <w:hideMark/>
          </w:tcPr>
          <w:p w14:paraId="193EFFF4" w14:textId="77777777" w:rsidR="00CB6C3C" w:rsidRPr="006C6F80" w:rsidRDefault="00CB6C3C" w:rsidP="00CB6C3C">
            <w:pPr>
              <w:jc w:val="center"/>
              <w:rPr>
                <w:color w:val="000000" w:themeColor="text1"/>
                <w:sz w:val="20"/>
                <w:szCs w:val="20"/>
              </w:rPr>
            </w:pPr>
            <w:r w:rsidRPr="006C6F80">
              <w:rPr>
                <w:color w:val="000000" w:themeColor="text1"/>
                <w:sz w:val="20"/>
                <w:szCs w:val="20"/>
              </w:rPr>
              <w:t> </w:t>
            </w:r>
          </w:p>
        </w:tc>
        <w:tc>
          <w:tcPr>
            <w:tcW w:w="1611" w:type="dxa"/>
            <w:tcBorders>
              <w:top w:val="single" w:sz="4" w:space="0" w:color="auto"/>
              <w:left w:val="nil"/>
              <w:bottom w:val="nil"/>
              <w:right w:val="nil"/>
            </w:tcBorders>
            <w:shd w:val="clear" w:color="auto" w:fill="auto"/>
            <w:noWrap/>
            <w:vAlign w:val="bottom"/>
            <w:hideMark/>
          </w:tcPr>
          <w:p w14:paraId="20EDFCFF" w14:textId="77777777" w:rsidR="00CB6C3C" w:rsidRPr="006C6F80" w:rsidRDefault="00CB6C3C" w:rsidP="00CB6C3C">
            <w:pPr>
              <w:jc w:val="center"/>
              <w:rPr>
                <w:color w:val="000000" w:themeColor="text1"/>
                <w:sz w:val="20"/>
                <w:szCs w:val="20"/>
              </w:rPr>
            </w:pPr>
            <w:r w:rsidRPr="006C6F80">
              <w:rPr>
                <w:color w:val="000000" w:themeColor="text1"/>
                <w:sz w:val="20"/>
                <w:szCs w:val="20"/>
              </w:rPr>
              <w:t> </w:t>
            </w:r>
          </w:p>
        </w:tc>
      </w:tr>
      <w:tr w:rsidR="00CB6C3C" w:rsidRPr="006C6F80" w14:paraId="74CF2D91" w14:textId="77777777" w:rsidTr="00E2122B">
        <w:trPr>
          <w:trHeight w:val="264"/>
          <w:jc w:val="center"/>
        </w:trPr>
        <w:tc>
          <w:tcPr>
            <w:tcW w:w="2174" w:type="dxa"/>
            <w:tcBorders>
              <w:top w:val="nil"/>
              <w:left w:val="nil"/>
              <w:bottom w:val="nil"/>
              <w:right w:val="nil"/>
            </w:tcBorders>
            <w:shd w:val="clear" w:color="auto" w:fill="auto"/>
            <w:noWrap/>
            <w:vAlign w:val="bottom"/>
            <w:hideMark/>
          </w:tcPr>
          <w:p w14:paraId="21F2F181" w14:textId="77777777" w:rsidR="00CB6C3C" w:rsidRPr="006C6F80" w:rsidRDefault="00CB6C3C" w:rsidP="00CB6C3C">
            <w:pPr>
              <w:rPr>
                <w:color w:val="000000" w:themeColor="text1"/>
                <w:sz w:val="20"/>
                <w:szCs w:val="20"/>
              </w:rPr>
            </w:pPr>
            <w:r w:rsidRPr="006C6F80">
              <w:rPr>
                <w:color w:val="000000" w:themeColor="text1"/>
                <w:sz w:val="20"/>
                <w:szCs w:val="20"/>
              </w:rPr>
              <w:t>Return migrant</w:t>
            </w:r>
          </w:p>
        </w:tc>
        <w:tc>
          <w:tcPr>
            <w:tcW w:w="2364" w:type="dxa"/>
            <w:tcBorders>
              <w:top w:val="nil"/>
              <w:left w:val="nil"/>
              <w:bottom w:val="nil"/>
              <w:right w:val="nil"/>
            </w:tcBorders>
            <w:shd w:val="clear" w:color="auto" w:fill="auto"/>
            <w:noWrap/>
            <w:vAlign w:val="bottom"/>
            <w:hideMark/>
          </w:tcPr>
          <w:p w14:paraId="0027AA66" w14:textId="77777777" w:rsidR="00CB6C3C" w:rsidRPr="006C6F80" w:rsidRDefault="00CB6C3C" w:rsidP="00CB6C3C">
            <w:pPr>
              <w:jc w:val="center"/>
              <w:rPr>
                <w:color w:val="000000" w:themeColor="text1"/>
                <w:sz w:val="20"/>
                <w:szCs w:val="20"/>
              </w:rPr>
            </w:pPr>
            <w:r w:rsidRPr="006C6F80">
              <w:rPr>
                <w:color w:val="000000" w:themeColor="text1"/>
                <w:sz w:val="20"/>
                <w:szCs w:val="20"/>
              </w:rPr>
              <w:t>0.172***</w:t>
            </w:r>
          </w:p>
        </w:tc>
        <w:tc>
          <w:tcPr>
            <w:tcW w:w="1608" w:type="dxa"/>
            <w:tcBorders>
              <w:top w:val="nil"/>
              <w:left w:val="nil"/>
              <w:bottom w:val="nil"/>
              <w:right w:val="nil"/>
            </w:tcBorders>
            <w:shd w:val="clear" w:color="auto" w:fill="auto"/>
            <w:noWrap/>
            <w:vAlign w:val="bottom"/>
            <w:hideMark/>
          </w:tcPr>
          <w:p w14:paraId="0CC0B7F1" w14:textId="77777777" w:rsidR="00CB6C3C" w:rsidRPr="006C6F80" w:rsidRDefault="00CB6C3C" w:rsidP="00CB6C3C">
            <w:pPr>
              <w:jc w:val="center"/>
              <w:rPr>
                <w:color w:val="000000" w:themeColor="text1"/>
                <w:sz w:val="20"/>
                <w:szCs w:val="20"/>
              </w:rPr>
            </w:pPr>
            <w:r w:rsidRPr="006C6F80">
              <w:rPr>
                <w:color w:val="000000" w:themeColor="text1"/>
                <w:sz w:val="20"/>
                <w:szCs w:val="20"/>
              </w:rPr>
              <w:t>0.118**</w:t>
            </w:r>
          </w:p>
        </w:tc>
        <w:tc>
          <w:tcPr>
            <w:tcW w:w="2364" w:type="dxa"/>
            <w:tcBorders>
              <w:top w:val="nil"/>
              <w:left w:val="nil"/>
              <w:bottom w:val="nil"/>
              <w:right w:val="nil"/>
            </w:tcBorders>
            <w:shd w:val="clear" w:color="auto" w:fill="auto"/>
            <w:noWrap/>
            <w:vAlign w:val="bottom"/>
            <w:hideMark/>
          </w:tcPr>
          <w:p w14:paraId="585D4476" w14:textId="77777777" w:rsidR="00CB6C3C" w:rsidRPr="006C6F80" w:rsidRDefault="00CB6C3C" w:rsidP="00CB6C3C">
            <w:pPr>
              <w:jc w:val="center"/>
              <w:rPr>
                <w:color w:val="000000" w:themeColor="text1"/>
                <w:sz w:val="20"/>
                <w:szCs w:val="20"/>
              </w:rPr>
            </w:pPr>
            <w:r w:rsidRPr="006C6F80">
              <w:rPr>
                <w:color w:val="000000" w:themeColor="text1"/>
                <w:sz w:val="20"/>
                <w:szCs w:val="20"/>
              </w:rPr>
              <w:t>0.163***</w:t>
            </w:r>
          </w:p>
        </w:tc>
        <w:tc>
          <w:tcPr>
            <w:tcW w:w="1611" w:type="dxa"/>
            <w:tcBorders>
              <w:top w:val="nil"/>
              <w:left w:val="nil"/>
              <w:bottom w:val="nil"/>
              <w:right w:val="nil"/>
            </w:tcBorders>
            <w:shd w:val="clear" w:color="auto" w:fill="auto"/>
            <w:noWrap/>
            <w:vAlign w:val="bottom"/>
            <w:hideMark/>
          </w:tcPr>
          <w:p w14:paraId="0D1835A8" w14:textId="77777777" w:rsidR="00CB6C3C" w:rsidRPr="006C6F80" w:rsidRDefault="00CB6C3C" w:rsidP="00CB6C3C">
            <w:pPr>
              <w:jc w:val="center"/>
              <w:rPr>
                <w:color w:val="000000" w:themeColor="text1"/>
                <w:sz w:val="20"/>
                <w:szCs w:val="20"/>
              </w:rPr>
            </w:pPr>
            <w:r w:rsidRPr="006C6F80">
              <w:rPr>
                <w:color w:val="000000" w:themeColor="text1"/>
                <w:sz w:val="20"/>
                <w:szCs w:val="20"/>
              </w:rPr>
              <w:t>0.110**</w:t>
            </w:r>
          </w:p>
        </w:tc>
      </w:tr>
      <w:tr w:rsidR="00CB6C3C" w:rsidRPr="006C6F80" w14:paraId="4E7E9E2D" w14:textId="77777777" w:rsidTr="00E2122B">
        <w:trPr>
          <w:trHeight w:val="264"/>
          <w:jc w:val="center"/>
        </w:trPr>
        <w:tc>
          <w:tcPr>
            <w:tcW w:w="2174" w:type="dxa"/>
            <w:tcBorders>
              <w:top w:val="nil"/>
              <w:left w:val="nil"/>
              <w:bottom w:val="nil"/>
              <w:right w:val="nil"/>
            </w:tcBorders>
            <w:shd w:val="clear" w:color="auto" w:fill="auto"/>
            <w:noWrap/>
            <w:vAlign w:val="bottom"/>
            <w:hideMark/>
          </w:tcPr>
          <w:p w14:paraId="4B141514" w14:textId="77777777" w:rsidR="00CB6C3C" w:rsidRPr="006C6F80" w:rsidRDefault="00CB6C3C" w:rsidP="00CB6C3C">
            <w:pPr>
              <w:jc w:val="center"/>
              <w:rPr>
                <w:color w:val="000000" w:themeColor="text1"/>
                <w:sz w:val="20"/>
                <w:szCs w:val="20"/>
              </w:rPr>
            </w:pPr>
          </w:p>
        </w:tc>
        <w:tc>
          <w:tcPr>
            <w:tcW w:w="2364" w:type="dxa"/>
            <w:tcBorders>
              <w:top w:val="nil"/>
              <w:left w:val="nil"/>
              <w:bottom w:val="nil"/>
              <w:right w:val="nil"/>
            </w:tcBorders>
            <w:shd w:val="clear" w:color="auto" w:fill="auto"/>
            <w:noWrap/>
            <w:vAlign w:val="bottom"/>
            <w:hideMark/>
          </w:tcPr>
          <w:p w14:paraId="5C796E6A" w14:textId="77777777" w:rsidR="00CB6C3C" w:rsidRPr="006C6F80" w:rsidRDefault="00CB6C3C" w:rsidP="00CB6C3C">
            <w:pPr>
              <w:jc w:val="center"/>
              <w:rPr>
                <w:color w:val="000000" w:themeColor="text1"/>
                <w:sz w:val="20"/>
                <w:szCs w:val="20"/>
              </w:rPr>
            </w:pPr>
            <w:r w:rsidRPr="006C6F80">
              <w:rPr>
                <w:color w:val="000000" w:themeColor="text1"/>
                <w:sz w:val="20"/>
                <w:szCs w:val="20"/>
              </w:rPr>
              <w:t>(0.047)</w:t>
            </w:r>
          </w:p>
        </w:tc>
        <w:tc>
          <w:tcPr>
            <w:tcW w:w="1608" w:type="dxa"/>
            <w:tcBorders>
              <w:top w:val="nil"/>
              <w:left w:val="nil"/>
              <w:bottom w:val="nil"/>
              <w:right w:val="nil"/>
            </w:tcBorders>
            <w:shd w:val="clear" w:color="auto" w:fill="auto"/>
            <w:noWrap/>
            <w:vAlign w:val="bottom"/>
            <w:hideMark/>
          </w:tcPr>
          <w:p w14:paraId="398DC3A8" w14:textId="77777777" w:rsidR="00CB6C3C" w:rsidRPr="006C6F80" w:rsidRDefault="00CB6C3C" w:rsidP="00CB6C3C">
            <w:pPr>
              <w:jc w:val="center"/>
              <w:rPr>
                <w:color w:val="000000" w:themeColor="text1"/>
                <w:sz w:val="20"/>
                <w:szCs w:val="20"/>
              </w:rPr>
            </w:pPr>
            <w:r w:rsidRPr="006C6F80">
              <w:rPr>
                <w:color w:val="000000" w:themeColor="text1"/>
                <w:sz w:val="20"/>
                <w:szCs w:val="20"/>
              </w:rPr>
              <w:t>(0.055)</w:t>
            </w:r>
          </w:p>
        </w:tc>
        <w:tc>
          <w:tcPr>
            <w:tcW w:w="2364" w:type="dxa"/>
            <w:tcBorders>
              <w:top w:val="nil"/>
              <w:left w:val="nil"/>
              <w:bottom w:val="nil"/>
              <w:right w:val="nil"/>
            </w:tcBorders>
            <w:shd w:val="clear" w:color="auto" w:fill="auto"/>
            <w:noWrap/>
            <w:vAlign w:val="bottom"/>
            <w:hideMark/>
          </w:tcPr>
          <w:p w14:paraId="0E97D422" w14:textId="77777777" w:rsidR="00CB6C3C" w:rsidRPr="006C6F80" w:rsidRDefault="00CB6C3C" w:rsidP="00CB6C3C">
            <w:pPr>
              <w:jc w:val="center"/>
              <w:rPr>
                <w:color w:val="000000" w:themeColor="text1"/>
                <w:sz w:val="20"/>
                <w:szCs w:val="20"/>
              </w:rPr>
            </w:pPr>
            <w:r w:rsidRPr="006C6F80">
              <w:rPr>
                <w:color w:val="000000" w:themeColor="text1"/>
                <w:sz w:val="20"/>
                <w:szCs w:val="20"/>
              </w:rPr>
              <w:t>(0.045)</w:t>
            </w:r>
          </w:p>
        </w:tc>
        <w:tc>
          <w:tcPr>
            <w:tcW w:w="1611" w:type="dxa"/>
            <w:tcBorders>
              <w:top w:val="nil"/>
              <w:left w:val="nil"/>
              <w:bottom w:val="nil"/>
              <w:right w:val="nil"/>
            </w:tcBorders>
            <w:shd w:val="clear" w:color="auto" w:fill="auto"/>
            <w:noWrap/>
            <w:vAlign w:val="bottom"/>
            <w:hideMark/>
          </w:tcPr>
          <w:p w14:paraId="71B1D67E" w14:textId="77777777" w:rsidR="00CB6C3C" w:rsidRPr="006C6F80" w:rsidRDefault="00CB6C3C" w:rsidP="00CB6C3C">
            <w:pPr>
              <w:jc w:val="center"/>
              <w:rPr>
                <w:color w:val="000000" w:themeColor="text1"/>
                <w:sz w:val="20"/>
                <w:szCs w:val="20"/>
              </w:rPr>
            </w:pPr>
            <w:r w:rsidRPr="006C6F80">
              <w:rPr>
                <w:color w:val="000000" w:themeColor="text1"/>
                <w:sz w:val="20"/>
                <w:szCs w:val="20"/>
              </w:rPr>
              <w:t>(0.054)</w:t>
            </w:r>
          </w:p>
        </w:tc>
      </w:tr>
      <w:tr w:rsidR="00CB6C3C" w:rsidRPr="006C6F80" w14:paraId="4B8206EF" w14:textId="77777777" w:rsidTr="00E2122B">
        <w:trPr>
          <w:trHeight w:val="264"/>
          <w:jc w:val="center"/>
        </w:trPr>
        <w:tc>
          <w:tcPr>
            <w:tcW w:w="2174" w:type="dxa"/>
            <w:tcBorders>
              <w:top w:val="nil"/>
              <w:left w:val="nil"/>
              <w:bottom w:val="nil"/>
              <w:right w:val="nil"/>
            </w:tcBorders>
            <w:shd w:val="clear" w:color="auto" w:fill="auto"/>
            <w:noWrap/>
            <w:vAlign w:val="bottom"/>
            <w:hideMark/>
          </w:tcPr>
          <w:p w14:paraId="6A870EAB" w14:textId="77777777" w:rsidR="00CB6C3C" w:rsidRPr="006C6F80" w:rsidRDefault="00CB6C3C" w:rsidP="00CB6C3C">
            <w:pPr>
              <w:jc w:val="center"/>
              <w:rPr>
                <w:color w:val="000000" w:themeColor="text1"/>
                <w:sz w:val="20"/>
                <w:szCs w:val="20"/>
              </w:rPr>
            </w:pPr>
          </w:p>
        </w:tc>
        <w:tc>
          <w:tcPr>
            <w:tcW w:w="2364" w:type="dxa"/>
            <w:tcBorders>
              <w:top w:val="nil"/>
              <w:left w:val="nil"/>
              <w:bottom w:val="nil"/>
              <w:right w:val="nil"/>
            </w:tcBorders>
            <w:shd w:val="clear" w:color="auto" w:fill="auto"/>
            <w:noWrap/>
            <w:vAlign w:val="bottom"/>
            <w:hideMark/>
          </w:tcPr>
          <w:p w14:paraId="5A4AACA8" w14:textId="77777777" w:rsidR="00CB6C3C" w:rsidRPr="006C6F80" w:rsidRDefault="00CB6C3C" w:rsidP="00CB6C3C">
            <w:pPr>
              <w:rPr>
                <w:color w:val="000000" w:themeColor="text1"/>
                <w:sz w:val="20"/>
                <w:szCs w:val="20"/>
              </w:rPr>
            </w:pPr>
          </w:p>
        </w:tc>
        <w:tc>
          <w:tcPr>
            <w:tcW w:w="1608" w:type="dxa"/>
            <w:tcBorders>
              <w:top w:val="nil"/>
              <w:left w:val="nil"/>
              <w:bottom w:val="nil"/>
              <w:right w:val="nil"/>
            </w:tcBorders>
            <w:shd w:val="clear" w:color="auto" w:fill="auto"/>
            <w:noWrap/>
            <w:vAlign w:val="bottom"/>
            <w:hideMark/>
          </w:tcPr>
          <w:p w14:paraId="7DCE9081" w14:textId="77777777" w:rsidR="00CB6C3C" w:rsidRPr="006C6F80" w:rsidRDefault="00CB6C3C" w:rsidP="00CB6C3C">
            <w:pPr>
              <w:jc w:val="center"/>
              <w:rPr>
                <w:color w:val="000000" w:themeColor="text1"/>
                <w:sz w:val="20"/>
                <w:szCs w:val="20"/>
              </w:rPr>
            </w:pPr>
          </w:p>
        </w:tc>
        <w:tc>
          <w:tcPr>
            <w:tcW w:w="2364" w:type="dxa"/>
            <w:tcBorders>
              <w:top w:val="nil"/>
              <w:left w:val="nil"/>
              <w:bottom w:val="nil"/>
              <w:right w:val="nil"/>
            </w:tcBorders>
            <w:shd w:val="clear" w:color="auto" w:fill="auto"/>
            <w:noWrap/>
            <w:vAlign w:val="bottom"/>
            <w:hideMark/>
          </w:tcPr>
          <w:p w14:paraId="788A9F25" w14:textId="77777777" w:rsidR="00CB6C3C" w:rsidRPr="006C6F80" w:rsidRDefault="00CB6C3C" w:rsidP="00CB6C3C">
            <w:pPr>
              <w:jc w:val="center"/>
              <w:rPr>
                <w:color w:val="000000" w:themeColor="text1"/>
                <w:sz w:val="20"/>
                <w:szCs w:val="20"/>
              </w:rPr>
            </w:pPr>
          </w:p>
        </w:tc>
        <w:tc>
          <w:tcPr>
            <w:tcW w:w="1611" w:type="dxa"/>
            <w:tcBorders>
              <w:top w:val="nil"/>
              <w:left w:val="nil"/>
              <w:bottom w:val="nil"/>
              <w:right w:val="nil"/>
            </w:tcBorders>
            <w:shd w:val="clear" w:color="auto" w:fill="auto"/>
            <w:noWrap/>
            <w:vAlign w:val="bottom"/>
            <w:hideMark/>
          </w:tcPr>
          <w:p w14:paraId="79083910" w14:textId="77777777" w:rsidR="00CB6C3C" w:rsidRPr="006C6F80" w:rsidRDefault="00CB6C3C" w:rsidP="00CB6C3C">
            <w:pPr>
              <w:jc w:val="center"/>
              <w:rPr>
                <w:color w:val="000000" w:themeColor="text1"/>
                <w:sz w:val="20"/>
                <w:szCs w:val="20"/>
              </w:rPr>
            </w:pPr>
          </w:p>
        </w:tc>
      </w:tr>
      <w:tr w:rsidR="00CB6C3C" w:rsidRPr="006C6F80" w14:paraId="57826F0A" w14:textId="77777777" w:rsidTr="00E2122B">
        <w:trPr>
          <w:trHeight w:val="264"/>
          <w:jc w:val="center"/>
        </w:trPr>
        <w:tc>
          <w:tcPr>
            <w:tcW w:w="2174" w:type="dxa"/>
            <w:tcBorders>
              <w:top w:val="nil"/>
              <w:left w:val="nil"/>
              <w:bottom w:val="nil"/>
              <w:right w:val="nil"/>
            </w:tcBorders>
            <w:shd w:val="clear" w:color="auto" w:fill="auto"/>
            <w:noWrap/>
            <w:vAlign w:val="bottom"/>
            <w:hideMark/>
          </w:tcPr>
          <w:p w14:paraId="5650DCDC" w14:textId="77777777" w:rsidR="00CB6C3C" w:rsidRPr="006C6F80" w:rsidRDefault="00CB6C3C" w:rsidP="00CB6C3C">
            <w:pPr>
              <w:rPr>
                <w:color w:val="000000" w:themeColor="text1"/>
                <w:sz w:val="20"/>
                <w:szCs w:val="20"/>
              </w:rPr>
            </w:pPr>
            <w:r w:rsidRPr="006C6F80">
              <w:rPr>
                <w:color w:val="000000" w:themeColor="text1"/>
                <w:sz w:val="20"/>
                <w:szCs w:val="20"/>
              </w:rPr>
              <w:t>Observations</w:t>
            </w:r>
          </w:p>
        </w:tc>
        <w:tc>
          <w:tcPr>
            <w:tcW w:w="2364" w:type="dxa"/>
            <w:tcBorders>
              <w:top w:val="nil"/>
              <w:left w:val="nil"/>
              <w:bottom w:val="nil"/>
              <w:right w:val="nil"/>
            </w:tcBorders>
            <w:shd w:val="clear" w:color="auto" w:fill="auto"/>
            <w:noWrap/>
            <w:vAlign w:val="bottom"/>
            <w:hideMark/>
          </w:tcPr>
          <w:p w14:paraId="7735BC2F" w14:textId="77777777" w:rsidR="00CB6C3C" w:rsidRPr="006C6F80" w:rsidRDefault="00CB6C3C" w:rsidP="00CB6C3C">
            <w:pPr>
              <w:jc w:val="center"/>
              <w:rPr>
                <w:color w:val="000000" w:themeColor="text1"/>
                <w:sz w:val="20"/>
                <w:szCs w:val="20"/>
              </w:rPr>
            </w:pPr>
            <w:r w:rsidRPr="006C6F80">
              <w:rPr>
                <w:color w:val="000000" w:themeColor="text1"/>
                <w:sz w:val="20"/>
                <w:szCs w:val="20"/>
              </w:rPr>
              <w:t>972</w:t>
            </w:r>
          </w:p>
        </w:tc>
        <w:tc>
          <w:tcPr>
            <w:tcW w:w="1608" w:type="dxa"/>
            <w:tcBorders>
              <w:top w:val="nil"/>
              <w:left w:val="nil"/>
              <w:bottom w:val="nil"/>
              <w:right w:val="nil"/>
            </w:tcBorders>
            <w:shd w:val="clear" w:color="auto" w:fill="auto"/>
            <w:noWrap/>
            <w:vAlign w:val="bottom"/>
            <w:hideMark/>
          </w:tcPr>
          <w:p w14:paraId="6381563A" w14:textId="77777777" w:rsidR="00CB6C3C" w:rsidRPr="006C6F80" w:rsidRDefault="00CB6C3C" w:rsidP="00CB6C3C">
            <w:pPr>
              <w:jc w:val="center"/>
              <w:rPr>
                <w:color w:val="000000" w:themeColor="text1"/>
                <w:sz w:val="20"/>
                <w:szCs w:val="20"/>
              </w:rPr>
            </w:pPr>
            <w:r w:rsidRPr="006C6F80">
              <w:rPr>
                <w:color w:val="000000" w:themeColor="text1"/>
                <w:sz w:val="20"/>
                <w:szCs w:val="20"/>
              </w:rPr>
              <w:t>972</w:t>
            </w:r>
          </w:p>
        </w:tc>
        <w:tc>
          <w:tcPr>
            <w:tcW w:w="2364" w:type="dxa"/>
            <w:tcBorders>
              <w:top w:val="nil"/>
              <w:left w:val="nil"/>
              <w:bottom w:val="nil"/>
              <w:right w:val="nil"/>
            </w:tcBorders>
            <w:shd w:val="clear" w:color="auto" w:fill="auto"/>
            <w:noWrap/>
            <w:vAlign w:val="bottom"/>
            <w:hideMark/>
          </w:tcPr>
          <w:p w14:paraId="73D5D259" w14:textId="77777777" w:rsidR="00CB6C3C" w:rsidRPr="006C6F80" w:rsidRDefault="00CB6C3C" w:rsidP="00CB6C3C">
            <w:pPr>
              <w:jc w:val="center"/>
              <w:rPr>
                <w:color w:val="000000" w:themeColor="text1"/>
                <w:sz w:val="20"/>
                <w:szCs w:val="20"/>
              </w:rPr>
            </w:pPr>
            <w:r w:rsidRPr="006C6F80">
              <w:rPr>
                <w:color w:val="000000" w:themeColor="text1"/>
                <w:sz w:val="20"/>
                <w:szCs w:val="20"/>
              </w:rPr>
              <w:t>972</w:t>
            </w:r>
          </w:p>
        </w:tc>
        <w:tc>
          <w:tcPr>
            <w:tcW w:w="1611" w:type="dxa"/>
            <w:tcBorders>
              <w:top w:val="nil"/>
              <w:left w:val="nil"/>
              <w:bottom w:val="nil"/>
              <w:right w:val="nil"/>
            </w:tcBorders>
            <w:shd w:val="clear" w:color="auto" w:fill="auto"/>
            <w:noWrap/>
            <w:vAlign w:val="bottom"/>
            <w:hideMark/>
          </w:tcPr>
          <w:p w14:paraId="6CF39405" w14:textId="77777777" w:rsidR="00CB6C3C" w:rsidRPr="006C6F80" w:rsidRDefault="00CB6C3C" w:rsidP="00CB6C3C">
            <w:pPr>
              <w:jc w:val="center"/>
              <w:rPr>
                <w:color w:val="000000" w:themeColor="text1"/>
                <w:sz w:val="20"/>
                <w:szCs w:val="20"/>
              </w:rPr>
            </w:pPr>
            <w:r w:rsidRPr="006C6F80">
              <w:rPr>
                <w:color w:val="000000" w:themeColor="text1"/>
                <w:sz w:val="20"/>
                <w:szCs w:val="20"/>
              </w:rPr>
              <w:t>972</w:t>
            </w:r>
          </w:p>
        </w:tc>
      </w:tr>
      <w:tr w:rsidR="00CB6C3C" w:rsidRPr="006C6F80" w14:paraId="7F231464" w14:textId="77777777" w:rsidTr="00E2122B">
        <w:trPr>
          <w:trHeight w:val="264"/>
          <w:jc w:val="center"/>
        </w:trPr>
        <w:tc>
          <w:tcPr>
            <w:tcW w:w="2174" w:type="dxa"/>
            <w:tcBorders>
              <w:top w:val="nil"/>
              <w:left w:val="nil"/>
              <w:bottom w:val="nil"/>
              <w:right w:val="nil"/>
            </w:tcBorders>
            <w:shd w:val="clear" w:color="auto" w:fill="auto"/>
            <w:noWrap/>
            <w:vAlign w:val="bottom"/>
            <w:hideMark/>
          </w:tcPr>
          <w:p w14:paraId="41EAA9C6" w14:textId="77777777" w:rsidR="00CB6C3C" w:rsidRPr="006C6F80" w:rsidRDefault="00CB6C3C" w:rsidP="00CB6C3C">
            <w:pPr>
              <w:rPr>
                <w:color w:val="000000" w:themeColor="text1"/>
                <w:sz w:val="20"/>
                <w:szCs w:val="20"/>
              </w:rPr>
            </w:pPr>
            <w:r w:rsidRPr="006C6F80">
              <w:rPr>
                <w:color w:val="000000" w:themeColor="text1"/>
                <w:sz w:val="20"/>
                <w:szCs w:val="20"/>
              </w:rPr>
              <w:t>R-squared</w:t>
            </w:r>
          </w:p>
        </w:tc>
        <w:tc>
          <w:tcPr>
            <w:tcW w:w="2364" w:type="dxa"/>
            <w:tcBorders>
              <w:top w:val="nil"/>
              <w:left w:val="nil"/>
              <w:bottom w:val="nil"/>
              <w:right w:val="nil"/>
            </w:tcBorders>
            <w:shd w:val="clear" w:color="auto" w:fill="auto"/>
            <w:noWrap/>
            <w:vAlign w:val="bottom"/>
            <w:hideMark/>
          </w:tcPr>
          <w:p w14:paraId="627FF448" w14:textId="77777777" w:rsidR="00CB6C3C" w:rsidRPr="006C6F80" w:rsidRDefault="00CB6C3C" w:rsidP="00CB6C3C">
            <w:pPr>
              <w:jc w:val="center"/>
              <w:rPr>
                <w:color w:val="000000" w:themeColor="text1"/>
                <w:sz w:val="20"/>
                <w:szCs w:val="20"/>
              </w:rPr>
            </w:pPr>
            <w:r w:rsidRPr="006C6F80">
              <w:rPr>
                <w:color w:val="000000" w:themeColor="text1"/>
                <w:sz w:val="20"/>
                <w:szCs w:val="20"/>
              </w:rPr>
              <w:t>0.165</w:t>
            </w:r>
          </w:p>
        </w:tc>
        <w:tc>
          <w:tcPr>
            <w:tcW w:w="1608" w:type="dxa"/>
            <w:tcBorders>
              <w:top w:val="nil"/>
              <w:left w:val="nil"/>
              <w:bottom w:val="nil"/>
              <w:right w:val="nil"/>
            </w:tcBorders>
            <w:shd w:val="clear" w:color="auto" w:fill="auto"/>
            <w:noWrap/>
            <w:vAlign w:val="bottom"/>
            <w:hideMark/>
          </w:tcPr>
          <w:p w14:paraId="61CB68D0" w14:textId="77777777" w:rsidR="00CB6C3C" w:rsidRPr="006C6F80" w:rsidRDefault="00CB6C3C" w:rsidP="00CB6C3C">
            <w:pPr>
              <w:jc w:val="center"/>
              <w:rPr>
                <w:color w:val="000000" w:themeColor="text1"/>
                <w:sz w:val="20"/>
                <w:szCs w:val="20"/>
              </w:rPr>
            </w:pPr>
            <w:r w:rsidRPr="006C6F80">
              <w:rPr>
                <w:color w:val="000000" w:themeColor="text1"/>
                <w:sz w:val="20"/>
                <w:szCs w:val="20"/>
              </w:rPr>
              <w:t>0.164</w:t>
            </w:r>
          </w:p>
        </w:tc>
        <w:tc>
          <w:tcPr>
            <w:tcW w:w="2364" w:type="dxa"/>
            <w:tcBorders>
              <w:top w:val="nil"/>
              <w:left w:val="nil"/>
              <w:bottom w:val="nil"/>
              <w:right w:val="nil"/>
            </w:tcBorders>
            <w:shd w:val="clear" w:color="auto" w:fill="auto"/>
            <w:noWrap/>
            <w:vAlign w:val="bottom"/>
            <w:hideMark/>
          </w:tcPr>
          <w:p w14:paraId="5380DAAA" w14:textId="77777777" w:rsidR="00CB6C3C" w:rsidRPr="006C6F80" w:rsidRDefault="00CB6C3C" w:rsidP="00CB6C3C">
            <w:pPr>
              <w:jc w:val="center"/>
              <w:rPr>
                <w:color w:val="000000" w:themeColor="text1"/>
                <w:sz w:val="20"/>
                <w:szCs w:val="20"/>
              </w:rPr>
            </w:pPr>
            <w:r w:rsidRPr="006C6F80">
              <w:rPr>
                <w:color w:val="000000" w:themeColor="text1"/>
                <w:sz w:val="20"/>
                <w:szCs w:val="20"/>
              </w:rPr>
              <w:t>0.221</w:t>
            </w:r>
          </w:p>
        </w:tc>
        <w:tc>
          <w:tcPr>
            <w:tcW w:w="1611" w:type="dxa"/>
            <w:tcBorders>
              <w:top w:val="nil"/>
              <w:left w:val="nil"/>
              <w:bottom w:val="nil"/>
              <w:right w:val="nil"/>
            </w:tcBorders>
            <w:shd w:val="clear" w:color="auto" w:fill="auto"/>
            <w:noWrap/>
            <w:vAlign w:val="bottom"/>
            <w:hideMark/>
          </w:tcPr>
          <w:p w14:paraId="11518334" w14:textId="77777777" w:rsidR="00CB6C3C" w:rsidRPr="006C6F80" w:rsidRDefault="00CB6C3C" w:rsidP="00CB6C3C">
            <w:pPr>
              <w:jc w:val="center"/>
              <w:rPr>
                <w:color w:val="000000" w:themeColor="text1"/>
                <w:sz w:val="20"/>
                <w:szCs w:val="20"/>
              </w:rPr>
            </w:pPr>
            <w:r w:rsidRPr="006C6F80">
              <w:rPr>
                <w:color w:val="000000" w:themeColor="text1"/>
                <w:sz w:val="20"/>
                <w:szCs w:val="20"/>
              </w:rPr>
              <w:t>0.220</w:t>
            </w:r>
          </w:p>
        </w:tc>
      </w:tr>
      <w:tr w:rsidR="00CB6C3C" w:rsidRPr="006C6F80" w14:paraId="6351E3FD" w14:textId="77777777" w:rsidTr="00E2122B">
        <w:trPr>
          <w:trHeight w:val="264"/>
          <w:jc w:val="center"/>
        </w:trPr>
        <w:tc>
          <w:tcPr>
            <w:tcW w:w="2174" w:type="dxa"/>
            <w:tcBorders>
              <w:top w:val="nil"/>
              <w:left w:val="nil"/>
              <w:bottom w:val="nil"/>
              <w:right w:val="nil"/>
            </w:tcBorders>
            <w:shd w:val="clear" w:color="auto" w:fill="auto"/>
            <w:noWrap/>
            <w:vAlign w:val="bottom"/>
            <w:hideMark/>
          </w:tcPr>
          <w:p w14:paraId="7FD22A7F" w14:textId="77777777" w:rsidR="00CB6C3C" w:rsidRPr="006C6F80" w:rsidRDefault="00CB6C3C" w:rsidP="00CB6C3C">
            <w:pPr>
              <w:rPr>
                <w:color w:val="000000" w:themeColor="text1"/>
                <w:sz w:val="20"/>
                <w:szCs w:val="20"/>
              </w:rPr>
            </w:pPr>
            <w:r w:rsidRPr="006C6F80">
              <w:rPr>
                <w:color w:val="000000" w:themeColor="text1"/>
                <w:sz w:val="20"/>
                <w:szCs w:val="20"/>
              </w:rPr>
              <w:t>Individual controls</w:t>
            </w:r>
          </w:p>
        </w:tc>
        <w:tc>
          <w:tcPr>
            <w:tcW w:w="2364" w:type="dxa"/>
            <w:tcBorders>
              <w:top w:val="nil"/>
              <w:left w:val="nil"/>
              <w:bottom w:val="nil"/>
              <w:right w:val="nil"/>
            </w:tcBorders>
            <w:shd w:val="clear" w:color="auto" w:fill="auto"/>
            <w:noWrap/>
            <w:vAlign w:val="bottom"/>
            <w:hideMark/>
          </w:tcPr>
          <w:p w14:paraId="3CB5592D" w14:textId="77777777" w:rsidR="00CB6C3C" w:rsidRPr="006C6F80" w:rsidRDefault="00CB6C3C" w:rsidP="00CB6C3C">
            <w:pPr>
              <w:jc w:val="center"/>
              <w:rPr>
                <w:color w:val="000000" w:themeColor="text1"/>
                <w:sz w:val="20"/>
                <w:szCs w:val="20"/>
              </w:rPr>
            </w:pPr>
            <w:r w:rsidRPr="006C6F80">
              <w:rPr>
                <w:color w:val="000000" w:themeColor="text1"/>
                <w:sz w:val="20"/>
                <w:szCs w:val="20"/>
              </w:rPr>
              <w:t>YES</w:t>
            </w:r>
          </w:p>
        </w:tc>
        <w:tc>
          <w:tcPr>
            <w:tcW w:w="1608" w:type="dxa"/>
            <w:tcBorders>
              <w:top w:val="nil"/>
              <w:left w:val="nil"/>
              <w:bottom w:val="nil"/>
              <w:right w:val="nil"/>
            </w:tcBorders>
            <w:shd w:val="clear" w:color="auto" w:fill="auto"/>
            <w:noWrap/>
            <w:vAlign w:val="bottom"/>
            <w:hideMark/>
          </w:tcPr>
          <w:p w14:paraId="142AE3C0" w14:textId="77777777" w:rsidR="00CB6C3C" w:rsidRPr="006C6F80" w:rsidRDefault="00CB6C3C" w:rsidP="00CB6C3C">
            <w:pPr>
              <w:jc w:val="center"/>
              <w:rPr>
                <w:color w:val="000000" w:themeColor="text1"/>
                <w:sz w:val="20"/>
                <w:szCs w:val="20"/>
              </w:rPr>
            </w:pPr>
            <w:r w:rsidRPr="006C6F80">
              <w:rPr>
                <w:color w:val="000000" w:themeColor="text1"/>
                <w:sz w:val="20"/>
                <w:szCs w:val="20"/>
              </w:rPr>
              <w:t>YES</w:t>
            </w:r>
          </w:p>
        </w:tc>
        <w:tc>
          <w:tcPr>
            <w:tcW w:w="2364" w:type="dxa"/>
            <w:tcBorders>
              <w:top w:val="nil"/>
              <w:left w:val="nil"/>
              <w:bottom w:val="nil"/>
              <w:right w:val="nil"/>
            </w:tcBorders>
            <w:shd w:val="clear" w:color="auto" w:fill="auto"/>
            <w:noWrap/>
            <w:vAlign w:val="bottom"/>
            <w:hideMark/>
          </w:tcPr>
          <w:p w14:paraId="4C6FEC67" w14:textId="77777777" w:rsidR="00CB6C3C" w:rsidRPr="006C6F80" w:rsidRDefault="00CB6C3C" w:rsidP="00CB6C3C">
            <w:pPr>
              <w:jc w:val="center"/>
              <w:rPr>
                <w:color w:val="000000" w:themeColor="text1"/>
                <w:sz w:val="20"/>
                <w:szCs w:val="20"/>
              </w:rPr>
            </w:pPr>
            <w:r w:rsidRPr="006C6F80">
              <w:rPr>
                <w:color w:val="000000" w:themeColor="text1"/>
                <w:sz w:val="20"/>
                <w:szCs w:val="20"/>
              </w:rPr>
              <w:t>YES</w:t>
            </w:r>
          </w:p>
        </w:tc>
        <w:tc>
          <w:tcPr>
            <w:tcW w:w="1611" w:type="dxa"/>
            <w:tcBorders>
              <w:top w:val="nil"/>
              <w:left w:val="nil"/>
              <w:bottom w:val="nil"/>
              <w:right w:val="nil"/>
            </w:tcBorders>
            <w:shd w:val="clear" w:color="auto" w:fill="auto"/>
            <w:noWrap/>
            <w:vAlign w:val="bottom"/>
            <w:hideMark/>
          </w:tcPr>
          <w:p w14:paraId="7CCD1956" w14:textId="77777777" w:rsidR="00CB6C3C" w:rsidRPr="006C6F80" w:rsidRDefault="00CB6C3C" w:rsidP="00CB6C3C">
            <w:pPr>
              <w:jc w:val="center"/>
              <w:rPr>
                <w:color w:val="000000" w:themeColor="text1"/>
                <w:sz w:val="20"/>
                <w:szCs w:val="20"/>
              </w:rPr>
            </w:pPr>
            <w:r w:rsidRPr="006C6F80">
              <w:rPr>
                <w:color w:val="000000" w:themeColor="text1"/>
                <w:sz w:val="20"/>
                <w:szCs w:val="20"/>
              </w:rPr>
              <w:t>YES</w:t>
            </w:r>
          </w:p>
        </w:tc>
      </w:tr>
      <w:tr w:rsidR="00CB6C3C" w:rsidRPr="006C6F80" w14:paraId="33968707" w14:textId="77777777" w:rsidTr="00E2122B">
        <w:trPr>
          <w:trHeight w:val="264"/>
          <w:jc w:val="center"/>
        </w:trPr>
        <w:tc>
          <w:tcPr>
            <w:tcW w:w="2174" w:type="dxa"/>
            <w:tcBorders>
              <w:top w:val="nil"/>
              <w:left w:val="nil"/>
              <w:bottom w:val="nil"/>
              <w:right w:val="nil"/>
            </w:tcBorders>
            <w:shd w:val="clear" w:color="auto" w:fill="auto"/>
            <w:noWrap/>
            <w:vAlign w:val="bottom"/>
            <w:hideMark/>
          </w:tcPr>
          <w:p w14:paraId="57A4428A" w14:textId="77777777" w:rsidR="00CB6C3C" w:rsidRPr="006C6F80" w:rsidRDefault="00CB6C3C" w:rsidP="00CB6C3C">
            <w:pPr>
              <w:rPr>
                <w:color w:val="000000" w:themeColor="text1"/>
                <w:sz w:val="20"/>
                <w:szCs w:val="20"/>
              </w:rPr>
            </w:pPr>
            <w:r w:rsidRPr="006C6F80">
              <w:rPr>
                <w:color w:val="000000" w:themeColor="text1"/>
                <w:sz w:val="20"/>
                <w:szCs w:val="20"/>
              </w:rPr>
              <w:t>First job characteristics</w:t>
            </w:r>
          </w:p>
        </w:tc>
        <w:tc>
          <w:tcPr>
            <w:tcW w:w="2364" w:type="dxa"/>
            <w:tcBorders>
              <w:top w:val="nil"/>
              <w:left w:val="nil"/>
              <w:bottom w:val="nil"/>
              <w:right w:val="nil"/>
            </w:tcBorders>
            <w:shd w:val="clear" w:color="auto" w:fill="auto"/>
            <w:noWrap/>
            <w:vAlign w:val="bottom"/>
            <w:hideMark/>
          </w:tcPr>
          <w:p w14:paraId="53999BF9" w14:textId="77777777" w:rsidR="00CB6C3C" w:rsidRPr="006C6F80" w:rsidRDefault="00CB6C3C" w:rsidP="00CB6C3C">
            <w:pPr>
              <w:jc w:val="center"/>
              <w:rPr>
                <w:color w:val="000000" w:themeColor="text1"/>
                <w:sz w:val="20"/>
                <w:szCs w:val="20"/>
              </w:rPr>
            </w:pPr>
            <w:r w:rsidRPr="006C6F80">
              <w:rPr>
                <w:color w:val="000000" w:themeColor="text1"/>
                <w:sz w:val="20"/>
                <w:szCs w:val="20"/>
              </w:rPr>
              <w:t>YES</w:t>
            </w:r>
          </w:p>
        </w:tc>
        <w:tc>
          <w:tcPr>
            <w:tcW w:w="1608" w:type="dxa"/>
            <w:tcBorders>
              <w:top w:val="nil"/>
              <w:left w:val="nil"/>
              <w:bottom w:val="nil"/>
              <w:right w:val="nil"/>
            </w:tcBorders>
            <w:shd w:val="clear" w:color="auto" w:fill="auto"/>
            <w:noWrap/>
            <w:vAlign w:val="bottom"/>
            <w:hideMark/>
          </w:tcPr>
          <w:p w14:paraId="47017241" w14:textId="77777777" w:rsidR="00CB6C3C" w:rsidRPr="006C6F80" w:rsidRDefault="00CB6C3C" w:rsidP="00CB6C3C">
            <w:pPr>
              <w:jc w:val="center"/>
              <w:rPr>
                <w:color w:val="000000" w:themeColor="text1"/>
                <w:sz w:val="20"/>
                <w:szCs w:val="20"/>
              </w:rPr>
            </w:pPr>
            <w:r w:rsidRPr="006C6F80">
              <w:rPr>
                <w:color w:val="000000" w:themeColor="text1"/>
                <w:sz w:val="20"/>
                <w:szCs w:val="20"/>
              </w:rPr>
              <w:t>YES</w:t>
            </w:r>
          </w:p>
        </w:tc>
        <w:tc>
          <w:tcPr>
            <w:tcW w:w="2364" w:type="dxa"/>
            <w:tcBorders>
              <w:top w:val="nil"/>
              <w:left w:val="nil"/>
              <w:bottom w:val="nil"/>
              <w:right w:val="nil"/>
            </w:tcBorders>
            <w:shd w:val="clear" w:color="auto" w:fill="auto"/>
            <w:noWrap/>
            <w:vAlign w:val="bottom"/>
            <w:hideMark/>
          </w:tcPr>
          <w:p w14:paraId="1D88F671" w14:textId="77777777" w:rsidR="00CB6C3C" w:rsidRPr="006C6F80" w:rsidRDefault="00CB6C3C" w:rsidP="00CB6C3C">
            <w:pPr>
              <w:jc w:val="center"/>
              <w:rPr>
                <w:color w:val="000000" w:themeColor="text1"/>
                <w:sz w:val="20"/>
                <w:szCs w:val="20"/>
              </w:rPr>
            </w:pPr>
            <w:r w:rsidRPr="006C6F80">
              <w:rPr>
                <w:color w:val="000000" w:themeColor="text1"/>
                <w:sz w:val="20"/>
                <w:szCs w:val="20"/>
              </w:rPr>
              <w:t>YES</w:t>
            </w:r>
          </w:p>
        </w:tc>
        <w:tc>
          <w:tcPr>
            <w:tcW w:w="1611" w:type="dxa"/>
            <w:tcBorders>
              <w:top w:val="nil"/>
              <w:left w:val="nil"/>
              <w:bottom w:val="nil"/>
              <w:right w:val="nil"/>
            </w:tcBorders>
            <w:shd w:val="clear" w:color="auto" w:fill="auto"/>
            <w:noWrap/>
            <w:vAlign w:val="bottom"/>
            <w:hideMark/>
          </w:tcPr>
          <w:p w14:paraId="2A6303D3" w14:textId="77777777" w:rsidR="00CB6C3C" w:rsidRPr="006C6F80" w:rsidRDefault="00CB6C3C" w:rsidP="00CB6C3C">
            <w:pPr>
              <w:jc w:val="center"/>
              <w:rPr>
                <w:color w:val="000000" w:themeColor="text1"/>
                <w:sz w:val="20"/>
                <w:szCs w:val="20"/>
              </w:rPr>
            </w:pPr>
            <w:r w:rsidRPr="006C6F80">
              <w:rPr>
                <w:color w:val="000000" w:themeColor="text1"/>
                <w:sz w:val="20"/>
                <w:szCs w:val="20"/>
              </w:rPr>
              <w:t>YES</w:t>
            </w:r>
          </w:p>
        </w:tc>
      </w:tr>
      <w:tr w:rsidR="00CB6C3C" w:rsidRPr="006C6F80" w14:paraId="2A6A9A19" w14:textId="77777777" w:rsidTr="00E2122B">
        <w:trPr>
          <w:trHeight w:val="264"/>
          <w:jc w:val="center"/>
        </w:trPr>
        <w:tc>
          <w:tcPr>
            <w:tcW w:w="2174" w:type="dxa"/>
            <w:tcBorders>
              <w:top w:val="nil"/>
              <w:left w:val="nil"/>
              <w:bottom w:val="single" w:sz="4" w:space="0" w:color="auto"/>
              <w:right w:val="nil"/>
            </w:tcBorders>
            <w:shd w:val="clear" w:color="auto" w:fill="auto"/>
            <w:noWrap/>
            <w:vAlign w:val="bottom"/>
            <w:hideMark/>
          </w:tcPr>
          <w:p w14:paraId="30C6D50F" w14:textId="77777777" w:rsidR="00CB6C3C" w:rsidRPr="006C6F80" w:rsidRDefault="00CB6C3C" w:rsidP="00CB6C3C">
            <w:pPr>
              <w:rPr>
                <w:color w:val="000000" w:themeColor="text1"/>
                <w:sz w:val="20"/>
                <w:szCs w:val="20"/>
              </w:rPr>
            </w:pPr>
            <w:r w:rsidRPr="006C6F80">
              <w:rPr>
                <w:color w:val="000000" w:themeColor="text1"/>
                <w:sz w:val="20"/>
                <w:szCs w:val="20"/>
              </w:rPr>
              <w:t>First occupation</w:t>
            </w:r>
          </w:p>
        </w:tc>
        <w:tc>
          <w:tcPr>
            <w:tcW w:w="2364" w:type="dxa"/>
            <w:tcBorders>
              <w:top w:val="nil"/>
              <w:left w:val="nil"/>
              <w:bottom w:val="single" w:sz="4" w:space="0" w:color="auto"/>
              <w:right w:val="nil"/>
            </w:tcBorders>
            <w:shd w:val="clear" w:color="auto" w:fill="auto"/>
            <w:noWrap/>
            <w:vAlign w:val="bottom"/>
            <w:hideMark/>
          </w:tcPr>
          <w:p w14:paraId="56E87F28" w14:textId="77777777" w:rsidR="00CB6C3C" w:rsidRPr="006C6F80" w:rsidRDefault="00CB6C3C" w:rsidP="00CB6C3C">
            <w:pPr>
              <w:jc w:val="center"/>
              <w:rPr>
                <w:color w:val="000000" w:themeColor="text1"/>
                <w:sz w:val="20"/>
                <w:szCs w:val="20"/>
              </w:rPr>
            </w:pPr>
            <w:r w:rsidRPr="006C6F80">
              <w:rPr>
                <w:color w:val="000000" w:themeColor="text1"/>
                <w:sz w:val="20"/>
                <w:szCs w:val="20"/>
              </w:rPr>
              <w:t>NO</w:t>
            </w:r>
          </w:p>
        </w:tc>
        <w:tc>
          <w:tcPr>
            <w:tcW w:w="1608" w:type="dxa"/>
            <w:tcBorders>
              <w:top w:val="nil"/>
              <w:left w:val="nil"/>
              <w:bottom w:val="single" w:sz="4" w:space="0" w:color="auto"/>
              <w:right w:val="nil"/>
            </w:tcBorders>
            <w:shd w:val="clear" w:color="auto" w:fill="auto"/>
            <w:noWrap/>
            <w:vAlign w:val="bottom"/>
            <w:hideMark/>
          </w:tcPr>
          <w:p w14:paraId="30631226" w14:textId="77777777" w:rsidR="00CB6C3C" w:rsidRPr="006C6F80" w:rsidRDefault="00CB6C3C" w:rsidP="00CB6C3C">
            <w:pPr>
              <w:jc w:val="center"/>
              <w:rPr>
                <w:color w:val="000000" w:themeColor="text1"/>
                <w:sz w:val="20"/>
                <w:szCs w:val="20"/>
              </w:rPr>
            </w:pPr>
            <w:r w:rsidRPr="006C6F80">
              <w:rPr>
                <w:color w:val="000000" w:themeColor="text1"/>
                <w:sz w:val="20"/>
                <w:szCs w:val="20"/>
              </w:rPr>
              <w:t>NO</w:t>
            </w:r>
          </w:p>
        </w:tc>
        <w:tc>
          <w:tcPr>
            <w:tcW w:w="2364" w:type="dxa"/>
            <w:tcBorders>
              <w:top w:val="nil"/>
              <w:left w:val="nil"/>
              <w:bottom w:val="single" w:sz="4" w:space="0" w:color="auto"/>
              <w:right w:val="nil"/>
            </w:tcBorders>
            <w:shd w:val="clear" w:color="auto" w:fill="auto"/>
            <w:noWrap/>
            <w:vAlign w:val="bottom"/>
            <w:hideMark/>
          </w:tcPr>
          <w:p w14:paraId="63BC15DE" w14:textId="77777777" w:rsidR="00CB6C3C" w:rsidRPr="006C6F80" w:rsidRDefault="00CB6C3C" w:rsidP="00CB6C3C">
            <w:pPr>
              <w:jc w:val="center"/>
              <w:rPr>
                <w:color w:val="000000" w:themeColor="text1"/>
                <w:sz w:val="20"/>
                <w:szCs w:val="20"/>
              </w:rPr>
            </w:pPr>
            <w:r w:rsidRPr="006C6F80">
              <w:rPr>
                <w:color w:val="000000" w:themeColor="text1"/>
                <w:sz w:val="20"/>
                <w:szCs w:val="20"/>
              </w:rPr>
              <w:t>YES</w:t>
            </w:r>
          </w:p>
        </w:tc>
        <w:tc>
          <w:tcPr>
            <w:tcW w:w="1611" w:type="dxa"/>
            <w:tcBorders>
              <w:top w:val="nil"/>
              <w:left w:val="nil"/>
              <w:bottom w:val="single" w:sz="4" w:space="0" w:color="auto"/>
              <w:right w:val="nil"/>
            </w:tcBorders>
            <w:shd w:val="clear" w:color="auto" w:fill="auto"/>
            <w:noWrap/>
            <w:vAlign w:val="bottom"/>
            <w:hideMark/>
          </w:tcPr>
          <w:p w14:paraId="419FCC3A" w14:textId="77777777" w:rsidR="00CB6C3C" w:rsidRPr="006C6F80" w:rsidRDefault="00CB6C3C" w:rsidP="00CB6C3C">
            <w:pPr>
              <w:jc w:val="center"/>
              <w:rPr>
                <w:color w:val="000000" w:themeColor="text1"/>
                <w:sz w:val="20"/>
                <w:szCs w:val="20"/>
              </w:rPr>
            </w:pPr>
            <w:r w:rsidRPr="006C6F80">
              <w:rPr>
                <w:color w:val="000000" w:themeColor="text1"/>
                <w:sz w:val="20"/>
                <w:szCs w:val="20"/>
              </w:rPr>
              <w:t>YES</w:t>
            </w:r>
          </w:p>
        </w:tc>
      </w:tr>
    </w:tbl>
    <w:p w14:paraId="0380E64C" w14:textId="797F7A13" w:rsidR="00FB7E02" w:rsidRPr="006C6F80" w:rsidRDefault="00FB7E02" w:rsidP="00CB6C3C">
      <w:pPr>
        <w:ind w:left="90" w:right="2076"/>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Robust standard errors in parentheses </w:t>
      </w:r>
    </w:p>
    <w:p w14:paraId="030FB4F9" w14:textId="77777777" w:rsidR="00FB7E02" w:rsidRPr="006C6F80" w:rsidRDefault="00FB7E02" w:rsidP="00CB6C3C">
      <w:pPr>
        <w:ind w:left="9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 p&lt;0.01, ** p&lt;0.05, * p&lt;0.1 </w:t>
      </w:r>
    </w:p>
    <w:p w14:paraId="0C9E7340" w14:textId="03346653" w:rsidR="001E2C0E" w:rsidRPr="006C6F80" w:rsidRDefault="00FB7E02" w:rsidP="00CB6C3C">
      <w:pPr>
        <w:ind w:left="90" w:right="90"/>
        <w:jc w:val="both"/>
        <w:rPr>
          <w:rFonts w:asciiTheme="majorBidi" w:hAnsiTheme="majorBidi" w:cstheme="majorBidi"/>
          <w:color w:val="000000" w:themeColor="text1"/>
          <w:sz w:val="18"/>
          <w:szCs w:val="18"/>
        </w:rPr>
      </w:pPr>
      <w:r w:rsidRPr="006C6F80">
        <w:rPr>
          <w:rFonts w:asciiTheme="majorBidi" w:hAnsiTheme="majorBidi" w:cstheme="majorBidi"/>
          <w:i/>
          <w:iCs/>
          <w:color w:val="000000" w:themeColor="text1"/>
          <w:sz w:val="18"/>
          <w:szCs w:val="18"/>
        </w:rPr>
        <w:t>Notes.</w:t>
      </w:r>
      <w:r w:rsidRPr="006C6F80">
        <w:rPr>
          <w:rFonts w:asciiTheme="majorBidi" w:hAnsiTheme="majorBidi" w:cstheme="majorBidi"/>
          <w:color w:val="000000" w:themeColor="text1"/>
          <w:sz w:val="18"/>
          <w:szCs w:val="18"/>
        </w:rPr>
        <w:t xml:space="preserve"> Coefficient estimates are reported for </w:t>
      </w:r>
      <w:r w:rsidR="00BE1F61" w:rsidRPr="006C6F80">
        <w:rPr>
          <w:rFonts w:asciiTheme="majorBidi" w:hAnsiTheme="majorBidi" w:cstheme="majorBidi"/>
          <w:color w:val="000000" w:themeColor="text1"/>
          <w:sz w:val="18"/>
          <w:szCs w:val="18"/>
        </w:rPr>
        <w:t>l</w:t>
      </w:r>
      <w:r w:rsidRPr="006C6F80">
        <w:rPr>
          <w:rFonts w:asciiTheme="majorBidi" w:hAnsiTheme="majorBidi" w:cstheme="majorBidi"/>
          <w:color w:val="000000" w:themeColor="text1"/>
          <w:sz w:val="18"/>
          <w:szCs w:val="18"/>
        </w:rPr>
        <w:t xml:space="preserve">inear </w:t>
      </w:r>
      <w:r w:rsidR="00BE1F61" w:rsidRPr="006C6F80">
        <w:rPr>
          <w:rFonts w:asciiTheme="majorBidi" w:hAnsiTheme="majorBidi" w:cstheme="majorBidi"/>
          <w:color w:val="000000" w:themeColor="text1"/>
          <w:sz w:val="18"/>
          <w:szCs w:val="18"/>
        </w:rPr>
        <w:t>p</w:t>
      </w:r>
      <w:r w:rsidRPr="006C6F80">
        <w:rPr>
          <w:rFonts w:asciiTheme="majorBidi" w:hAnsiTheme="majorBidi" w:cstheme="majorBidi"/>
          <w:color w:val="000000" w:themeColor="text1"/>
          <w:sz w:val="18"/>
          <w:szCs w:val="18"/>
        </w:rPr>
        <w:t>robability and IV regression models.</w:t>
      </w:r>
    </w:p>
    <w:p w14:paraId="59BB1466" w14:textId="10A03DEA" w:rsidR="00FB7E02" w:rsidRPr="006C6F80" w:rsidRDefault="001E2C0E" w:rsidP="000E4D9F">
      <w:pPr>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br w:type="page"/>
      </w:r>
    </w:p>
    <w:tbl>
      <w:tblPr>
        <w:tblW w:w="7200" w:type="dxa"/>
        <w:jc w:val="center"/>
        <w:tblLook w:val="04A0" w:firstRow="1" w:lastRow="0" w:firstColumn="1" w:lastColumn="0" w:noHBand="0" w:noVBand="1"/>
      </w:tblPr>
      <w:tblGrid>
        <w:gridCol w:w="1820"/>
        <w:gridCol w:w="2164"/>
        <w:gridCol w:w="2164"/>
        <w:gridCol w:w="1061"/>
      </w:tblGrid>
      <w:tr w:rsidR="00DB060D" w:rsidRPr="006C6F80" w14:paraId="40B968CC" w14:textId="77777777" w:rsidTr="00DB060D">
        <w:trPr>
          <w:trHeight w:val="500"/>
          <w:jc w:val="center"/>
        </w:trPr>
        <w:tc>
          <w:tcPr>
            <w:tcW w:w="7200" w:type="dxa"/>
            <w:gridSpan w:val="4"/>
            <w:tcBorders>
              <w:top w:val="nil"/>
              <w:left w:val="nil"/>
              <w:bottom w:val="single" w:sz="4" w:space="0" w:color="auto"/>
              <w:right w:val="nil"/>
            </w:tcBorders>
            <w:shd w:val="clear" w:color="auto" w:fill="auto"/>
            <w:vAlign w:val="center"/>
            <w:hideMark/>
          </w:tcPr>
          <w:p w14:paraId="6CF6521F" w14:textId="619D67DA" w:rsidR="00DB060D" w:rsidRPr="006C6F80" w:rsidRDefault="00DB060D" w:rsidP="00DB060D">
            <w:pPr>
              <w:jc w:val="center"/>
              <w:rPr>
                <w:b/>
                <w:bCs/>
                <w:color w:val="000000" w:themeColor="text1"/>
                <w:sz w:val="20"/>
                <w:szCs w:val="20"/>
              </w:rPr>
            </w:pPr>
            <w:r w:rsidRPr="006C6F80">
              <w:rPr>
                <w:b/>
                <w:bCs/>
                <w:color w:val="000000" w:themeColor="text1"/>
                <w:sz w:val="20"/>
                <w:szCs w:val="20"/>
              </w:rPr>
              <w:lastRenderedPageBreak/>
              <w:t>Table A</w:t>
            </w:r>
            <w:r w:rsidR="001268FC" w:rsidRPr="006C6F80">
              <w:rPr>
                <w:b/>
                <w:bCs/>
                <w:color w:val="000000" w:themeColor="text1"/>
                <w:sz w:val="20"/>
                <w:szCs w:val="20"/>
              </w:rPr>
              <w:t>9</w:t>
            </w:r>
            <w:r w:rsidRPr="006C6F80">
              <w:rPr>
                <w:b/>
                <w:bCs/>
                <w:color w:val="000000" w:themeColor="text1"/>
                <w:sz w:val="20"/>
                <w:szCs w:val="20"/>
              </w:rPr>
              <w:t>: Difference-in-Differences Approach and Propensity Score Matching combined with Difference-in-Differences, for the 1950s cohort</w:t>
            </w:r>
          </w:p>
        </w:tc>
      </w:tr>
      <w:tr w:rsidR="00DB060D" w:rsidRPr="006C6F80" w14:paraId="350BDBC8" w14:textId="77777777" w:rsidTr="00DB060D">
        <w:trPr>
          <w:trHeight w:val="280"/>
          <w:jc w:val="center"/>
        </w:trPr>
        <w:tc>
          <w:tcPr>
            <w:tcW w:w="7200" w:type="dxa"/>
            <w:gridSpan w:val="4"/>
            <w:tcBorders>
              <w:top w:val="single" w:sz="4" w:space="0" w:color="auto"/>
              <w:left w:val="nil"/>
              <w:bottom w:val="single" w:sz="4" w:space="0" w:color="auto"/>
              <w:right w:val="nil"/>
            </w:tcBorders>
            <w:shd w:val="clear" w:color="auto" w:fill="auto"/>
            <w:noWrap/>
            <w:vAlign w:val="center"/>
            <w:hideMark/>
          </w:tcPr>
          <w:p w14:paraId="23F62590" w14:textId="77777777" w:rsidR="00DB060D" w:rsidRPr="006C6F80" w:rsidRDefault="00DB060D" w:rsidP="00DB060D">
            <w:pPr>
              <w:jc w:val="center"/>
              <w:rPr>
                <w:b/>
                <w:bCs/>
                <w:color w:val="000000" w:themeColor="text1"/>
                <w:sz w:val="20"/>
                <w:szCs w:val="20"/>
              </w:rPr>
            </w:pPr>
            <w:r w:rsidRPr="006C6F80">
              <w:rPr>
                <w:b/>
                <w:bCs/>
                <w:color w:val="000000" w:themeColor="text1"/>
                <w:sz w:val="20"/>
                <w:szCs w:val="20"/>
              </w:rPr>
              <w:t>Panel A: Propensity score matching combined with Difference-in-Differences</w:t>
            </w:r>
          </w:p>
        </w:tc>
      </w:tr>
      <w:tr w:rsidR="00DB060D" w:rsidRPr="006C6F80" w14:paraId="1E9EF06B" w14:textId="77777777" w:rsidTr="00DB060D">
        <w:trPr>
          <w:trHeight w:val="280"/>
          <w:jc w:val="center"/>
        </w:trPr>
        <w:tc>
          <w:tcPr>
            <w:tcW w:w="7200" w:type="dxa"/>
            <w:gridSpan w:val="4"/>
            <w:tcBorders>
              <w:top w:val="single" w:sz="4" w:space="0" w:color="auto"/>
              <w:left w:val="nil"/>
              <w:bottom w:val="single" w:sz="4" w:space="0" w:color="auto"/>
              <w:right w:val="nil"/>
            </w:tcBorders>
            <w:shd w:val="clear" w:color="auto" w:fill="auto"/>
            <w:noWrap/>
            <w:vAlign w:val="center"/>
            <w:hideMark/>
          </w:tcPr>
          <w:p w14:paraId="22FB52A9" w14:textId="77777777" w:rsidR="00DB060D" w:rsidRPr="006C6F80" w:rsidRDefault="00DB060D" w:rsidP="00DB060D">
            <w:pPr>
              <w:jc w:val="center"/>
              <w:rPr>
                <w:b/>
                <w:bCs/>
                <w:color w:val="000000" w:themeColor="text1"/>
                <w:sz w:val="20"/>
                <w:szCs w:val="20"/>
              </w:rPr>
            </w:pPr>
            <w:r w:rsidRPr="006C6F80">
              <w:rPr>
                <w:b/>
                <w:bCs/>
                <w:color w:val="000000" w:themeColor="text1"/>
                <w:sz w:val="20"/>
                <w:szCs w:val="20"/>
              </w:rPr>
              <w:t>Sample of Returnees=160, Sample of Stayers=160</w:t>
            </w:r>
          </w:p>
        </w:tc>
      </w:tr>
      <w:tr w:rsidR="00DB060D" w:rsidRPr="006C6F80" w14:paraId="7E851F10" w14:textId="77777777" w:rsidTr="00DB060D">
        <w:trPr>
          <w:trHeight w:val="280"/>
          <w:jc w:val="center"/>
        </w:trPr>
        <w:tc>
          <w:tcPr>
            <w:tcW w:w="1820" w:type="dxa"/>
            <w:tcBorders>
              <w:top w:val="single" w:sz="4" w:space="0" w:color="auto"/>
              <w:left w:val="nil"/>
              <w:bottom w:val="nil"/>
              <w:right w:val="nil"/>
            </w:tcBorders>
            <w:shd w:val="clear" w:color="auto" w:fill="auto"/>
            <w:noWrap/>
            <w:vAlign w:val="center"/>
            <w:hideMark/>
          </w:tcPr>
          <w:p w14:paraId="5279F63D" w14:textId="77777777" w:rsidR="00DB060D" w:rsidRPr="006C6F80" w:rsidRDefault="00DB060D" w:rsidP="00DB060D">
            <w:pPr>
              <w:rPr>
                <w:color w:val="000000" w:themeColor="text1"/>
                <w:sz w:val="20"/>
                <w:szCs w:val="20"/>
              </w:rPr>
            </w:pPr>
            <w:r w:rsidRPr="006C6F80">
              <w:rPr>
                <w:color w:val="000000" w:themeColor="text1"/>
                <w:sz w:val="20"/>
                <w:szCs w:val="20"/>
              </w:rPr>
              <w:t> </w:t>
            </w:r>
          </w:p>
        </w:tc>
        <w:tc>
          <w:tcPr>
            <w:tcW w:w="2164" w:type="dxa"/>
            <w:tcBorders>
              <w:top w:val="single" w:sz="4" w:space="0" w:color="auto"/>
              <w:left w:val="nil"/>
              <w:bottom w:val="nil"/>
              <w:right w:val="nil"/>
            </w:tcBorders>
            <w:shd w:val="clear" w:color="auto" w:fill="auto"/>
            <w:vAlign w:val="center"/>
            <w:hideMark/>
          </w:tcPr>
          <w:p w14:paraId="2BE852EF"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Before the treatment</w:t>
            </w:r>
          </w:p>
        </w:tc>
        <w:tc>
          <w:tcPr>
            <w:tcW w:w="2164" w:type="dxa"/>
            <w:tcBorders>
              <w:top w:val="single" w:sz="4" w:space="0" w:color="auto"/>
              <w:left w:val="nil"/>
              <w:bottom w:val="nil"/>
              <w:right w:val="nil"/>
            </w:tcBorders>
            <w:shd w:val="clear" w:color="auto" w:fill="auto"/>
            <w:vAlign w:val="center"/>
            <w:hideMark/>
          </w:tcPr>
          <w:p w14:paraId="0AC26D53"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After the treatment</w:t>
            </w:r>
          </w:p>
        </w:tc>
        <w:tc>
          <w:tcPr>
            <w:tcW w:w="1052" w:type="dxa"/>
            <w:vMerge w:val="restart"/>
            <w:tcBorders>
              <w:top w:val="single" w:sz="4" w:space="0" w:color="auto"/>
              <w:left w:val="nil"/>
              <w:bottom w:val="single" w:sz="4" w:space="0" w:color="000000"/>
              <w:right w:val="nil"/>
            </w:tcBorders>
            <w:shd w:val="clear" w:color="auto" w:fill="auto"/>
            <w:noWrap/>
            <w:vAlign w:val="center"/>
            <w:hideMark/>
          </w:tcPr>
          <w:p w14:paraId="5FE8BC1A"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Difference</w:t>
            </w:r>
          </w:p>
        </w:tc>
      </w:tr>
      <w:tr w:rsidR="00DB060D" w:rsidRPr="006C6F80" w14:paraId="17826309" w14:textId="77777777" w:rsidTr="00DB060D">
        <w:trPr>
          <w:trHeight w:val="280"/>
          <w:jc w:val="center"/>
        </w:trPr>
        <w:tc>
          <w:tcPr>
            <w:tcW w:w="1820" w:type="dxa"/>
            <w:tcBorders>
              <w:top w:val="nil"/>
              <w:left w:val="nil"/>
              <w:bottom w:val="single" w:sz="4" w:space="0" w:color="auto"/>
              <w:right w:val="nil"/>
            </w:tcBorders>
            <w:shd w:val="clear" w:color="auto" w:fill="auto"/>
            <w:noWrap/>
            <w:vAlign w:val="center"/>
            <w:hideMark/>
          </w:tcPr>
          <w:p w14:paraId="54059F0C" w14:textId="77777777" w:rsidR="00DB060D" w:rsidRPr="006C6F80" w:rsidRDefault="00DB060D" w:rsidP="00DB060D">
            <w:pPr>
              <w:rPr>
                <w:color w:val="000000" w:themeColor="text1"/>
                <w:sz w:val="20"/>
                <w:szCs w:val="20"/>
              </w:rPr>
            </w:pPr>
            <w:r w:rsidRPr="006C6F80">
              <w:rPr>
                <w:color w:val="000000" w:themeColor="text1"/>
                <w:sz w:val="20"/>
                <w:szCs w:val="20"/>
              </w:rPr>
              <w:t> </w:t>
            </w:r>
          </w:p>
        </w:tc>
        <w:tc>
          <w:tcPr>
            <w:tcW w:w="2164" w:type="dxa"/>
            <w:tcBorders>
              <w:top w:val="nil"/>
              <w:left w:val="nil"/>
              <w:bottom w:val="single" w:sz="4" w:space="0" w:color="auto"/>
              <w:right w:val="nil"/>
            </w:tcBorders>
            <w:shd w:val="clear" w:color="auto" w:fill="auto"/>
            <w:vAlign w:val="center"/>
            <w:hideMark/>
          </w:tcPr>
          <w:p w14:paraId="76B38179"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(t=0)</w:t>
            </w:r>
          </w:p>
        </w:tc>
        <w:tc>
          <w:tcPr>
            <w:tcW w:w="2164" w:type="dxa"/>
            <w:tcBorders>
              <w:top w:val="nil"/>
              <w:left w:val="nil"/>
              <w:bottom w:val="single" w:sz="4" w:space="0" w:color="auto"/>
              <w:right w:val="nil"/>
            </w:tcBorders>
            <w:shd w:val="clear" w:color="auto" w:fill="auto"/>
            <w:noWrap/>
            <w:vAlign w:val="center"/>
            <w:hideMark/>
          </w:tcPr>
          <w:p w14:paraId="5F7AF14C"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(t=1)</w:t>
            </w:r>
          </w:p>
        </w:tc>
        <w:tc>
          <w:tcPr>
            <w:tcW w:w="1052" w:type="dxa"/>
            <w:vMerge/>
            <w:tcBorders>
              <w:top w:val="single" w:sz="4" w:space="0" w:color="auto"/>
              <w:left w:val="nil"/>
              <w:bottom w:val="single" w:sz="4" w:space="0" w:color="000000"/>
              <w:right w:val="nil"/>
            </w:tcBorders>
            <w:vAlign w:val="center"/>
            <w:hideMark/>
          </w:tcPr>
          <w:p w14:paraId="0A87D1A5" w14:textId="77777777" w:rsidR="00DB060D" w:rsidRPr="006C6F80" w:rsidRDefault="00DB060D" w:rsidP="00DB060D">
            <w:pPr>
              <w:rPr>
                <w:i/>
                <w:iCs/>
                <w:color w:val="000000" w:themeColor="text1"/>
                <w:sz w:val="20"/>
                <w:szCs w:val="20"/>
              </w:rPr>
            </w:pPr>
          </w:p>
        </w:tc>
      </w:tr>
      <w:tr w:rsidR="00DB060D" w:rsidRPr="006C6F80" w14:paraId="0342337A" w14:textId="77777777" w:rsidTr="00DB060D">
        <w:trPr>
          <w:trHeight w:val="280"/>
          <w:jc w:val="center"/>
        </w:trPr>
        <w:tc>
          <w:tcPr>
            <w:tcW w:w="1820" w:type="dxa"/>
            <w:tcBorders>
              <w:top w:val="nil"/>
              <w:left w:val="nil"/>
              <w:bottom w:val="nil"/>
              <w:right w:val="nil"/>
            </w:tcBorders>
            <w:shd w:val="clear" w:color="auto" w:fill="auto"/>
            <w:noWrap/>
            <w:vAlign w:val="center"/>
            <w:hideMark/>
          </w:tcPr>
          <w:p w14:paraId="001E1DAD"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Returnees</w:t>
            </w:r>
          </w:p>
        </w:tc>
        <w:tc>
          <w:tcPr>
            <w:tcW w:w="2164" w:type="dxa"/>
            <w:tcBorders>
              <w:top w:val="nil"/>
              <w:left w:val="nil"/>
              <w:bottom w:val="nil"/>
              <w:right w:val="nil"/>
            </w:tcBorders>
            <w:shd w:val="clear" w:color="auto" w:fill="auto"/>
            <w:noWrap/>
            <w:vAlign w:val="bottom"/>
            <w:hideMark/>
          </w:tcPr>
          <w:p w14:paraId="1E651B50" w14:textId="77777777" w:rsidR="00DB060D" w:rsidRPr="006C6F80" w:rsidRDefault="00DB060D" w:rsidP="00DB060D">
            <w:pPr>
              <w:jc w:val="center"/>
              <w:rPr>
                <w:color w:val="000000" w:themeColor="text1"/>
                <w:sz w:val="20"/>
                <w:szCs w:val="20"/>
              </w:rPr>
            </w:pPr>
            <w:r w:rsidRPr="006C6F80">
              <w:rPr>
                <w:color w:val="000000" w:themeColor="text1"/>
                <w:sz w:val="20"/>
                <w:szCs w:val="20"/>
              </w:rPr>
              <w:t>2.550</w:t>
            </w:r>
          </w:p>
        </w:tc>
        <w:tc>
          <w:tcPr>
            <w:tcW w:w="2164" w:type="dxa"/>
            <w:tcBorders>
              <w:top w:val="nil"/>
              <w:left w:val="nil"/>
              <w:bottom w:val="nil"/>
              <w:right w:val="nil"/>
            </w:tcBorders>
            <w:shd w:val="clear" w:color="auto" w:fill="auto"/>
            <w:noWrap/>
            <w:vAlign w:val="bottom"/>
            <w:hideMark/>
          </w:tcPr>
          <w:p w14:paraId="27D59F03" w14:textId="77777777" w:rsidR="00DB060D" w:rsidRPr="006C6F80" w:rsidRDefault="00DB060D" w:rsidP="00DB060D">
            <w:pPr>
              <w:jc w:val="center"/>
              <w:rPr>
                <w:color w:val="000000" w:themeColor="text1"/>
                <w:sz w:val="20"/>
                <w:szCs w:val="20"/>
              </w:rPr>
            </w:pPr>
            <w:r w:rsidRPr="006C6F80">
              <w:rPr>
                <w:color w:val="000000" w:themeColor="text1"/>
                <w:sz w:val="20"/>
                <w:szCs w:val="20"/>
              </w:rPr>
              <w:t>3.237</w:t>
            </w:r>
          </w:p>
        </w:tc>
        <w:tc>
          <w:tcPr>
            <w:tcW w:w="1052" w:type="dxa"/>
            <w:tcBorders>
              <w:top w:val="nil"/>
              <w:left w:val="nil"/>
              <w:bottom w:val="nil"/>
              <w:right w:val="nil"/>
            </w:tcBorders>
            <w:shd w:val="clear" w:color="auto" w:fill="auto"/>
            <w:noWrap/>
            <w:vAlign w:val="bottom"/>
            <w:hideMark/>
          </w:tcPr>
          <w:p w14:paraId="4941FAE0" w14:textId="77777777" w:rsidR="00DB060D" w:rsidRPr="006C6F80" w:rsidRDefault="00DB060D" w:rsidP="00DB060D">
            <w:pPr>
              <w:jc w:val="center"/>
              <w:rPr>
                <w:color w:val="000000" w:themeColor="text1"/>
                <w:sz w:val="20"/>
                <w:szCs w:val="20"/>
              </w:rPr>
            </w:pPr>
            <w:r w:rsidRPr="006C6F80">
              <w:rPr>
                <w:color w:val="000000" w:themeColor="text1"/>
                <w:sz w:val="20"/>
                <w:szCs w:val="20"/>
              </w:rPr>
              <w:t>0.688***</w:t>
            </w:r>
          </w:p>
        </w:tc>
      </w:tr>
      <w:tr w:rsidR="00DB060D" w:rsidRPr="006C6F80" w14:paraId="13880786" w14:textId="77777777" w:rsidTr="00DB060D">
        <w:trPr>
          <w:trHeight w:val="280"/>
          <w:jc w:val="center"/>
        </w:trPr>
        <w:tc>
          <w:tcPr>
            <w:tcW w:w="1820" w:type="dxa"/>
            <w:tcBorders>
              <w:top w:val="nil"/>
              <w:left w:val="nil"/>
              <w:bottom w:val="nil"/>
              <w:right w:val="nil"/>
            </w:tcBorders>
            <w:shd w:val="clear" w:color="auto" w:fill="auto"/>
            <w:noWrap/>
            <w:vAlign w:val="center"/>
            <w:hideMark/>
          </w:tcPr>
          <w:p w14:paraId="1DBD8978"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(Treatment group)</w:t>
            </w:r>
          </w:p>
        </w:tc>
        <w:tc>
          <w:tcPr>
            <w:tcW w:w="2164" w:type="dxa"/>
            <w:tcBorders>
              <w:top w:val="nil"/>
              <w:left w:val="nil"/>
              <w:bottom w:val="nil"/>
              <w:right w:val="nil"/>
            </w:tcBorders>
            <w:shd w:val="clear" w:color="auto" w:fill="auto"/>
            <w:noWrap/>
            <w:vAlign w:val="bottom"/>
            <w:hideMark/>
          </w:tcPr>
          <w:p w14:paraId="0B4F7247" w14:textId="77777777" w:rsidR="00DB060D" w:rsidRPr="006C6F80" w:rsidRDefault="00DB060D" w:rsidP="00DB060D">
            <w:pPr>
              <w:jc w:val="center"/>
              <w:rPr>
                <w:color w:val="000000" w:themeColor="text1"/>
                <w:sz w:val="20"/>
                <w:szCs w:val="20"/>
              </w:rPr>
            </w:pPr>
            <w:r w:rsidRPr="006C6F80">
              <w:rPr>
                <w:color w:val="000000" w:themeColor="text1"/>
                <w:sz w:val="20"/>
                <w:szCs w:val="20"/>
              </w:rPr>
              <w:t>(0.133)</w:t>
            </w:r>
          </w:p>
        </w:tc>
        <w:tc>
          <w:tcPr>
            <w:tcW w:w="2164" w:type="dxa"/>
            <w:tcBorders>
              <w:top w:val="nil"/>
              <w:left w:val="nil"/>
              <w:bottom w:val="nil"/>
              <w:right w:val="nil"/>
            </w:tcBorders>
            <w:shd w:val="clear" w:color="auto" w:fill="auto"/>
            <w:noWrap/>
            <w:vAlign w:val="bottom"/>
            <w:hideMark/>
          </w:tcPr>
          <w:p w14:paraId="01DFC252" w14:textId="77777777" w:rsidR="00DB060D" w:rsidRPr="006C6F80" w:rsidRDefault="00DB060D" w:rsidP="00DB060D">
            <w:pPr>
              <w:jc w:val="center"/>
              <w:rPr>
                <w:color w:val="000000" w:themeColor="text1"/>
                <w:sz w:val="20"/>
                <w:szCs w:val="20"/>
              </w:rPr>
            </w:pPr>
            <w:r w:rsidRPr="006C6F80">
              <w:rPr>
                <w:color w:val="000000" w:themeColor="text1"/>
                <w:sz w:val="20"/>
                <w:szCs w:val="20"/>
              </w:rPr>
              <w:t>(0.132)</w:t>
            </w:r>
          </w:p>
        </w:tc>
        <w:tc>
          <w:tcPr>
            <w:tcW w:w="1052" w:type="dxa"/>
            <w:tcBorders>
              <w:top w:val="nil"/>
              <w:left w:val="nil"/>
              <w:bottom w:val="nil"/>
              <w:right w:val="nil"/>
            </w:tcBorders>
            <w:shd w:val="clear" w:color="auto" w:fill="auto"/>
            <w:noWrap/>
            <w:vAlign w:val="bottom"/>
            <w:hideMark/>
          </w:tcPr>
          <w:p w14:paraId="002E83EF" w14:textId="77777777" w:rsidR="00DB060D" w:rsidRPr="006C6F80" w:rsidRDefault="00DB060D" w:rsidP="00DB060D">
            <w:pPr>
              <w:jc w:val="center"/>
              <w:rPr>
                <w:color w:val="000000" w:themeColor="text1"/>
                <w:sz w:val="20"/>
                <w:szCs w:val="20"/>
              </w:rPr>
            </w:pPr>
            <w:r w:rsidRPr="006C6F80">
              <w:rPr>
                <w:color w:val="000000" w:themeColor="text1"/>
                <w:sz w:val="20"/>
                <w:szCs w:val="20"/>
              </w:rPr>
              <w:t>(0.112)</w:t>
            </w:r>
          </w:p>
        </w:tc>
      </w:tr>
      <w:tr w:rsidR="00DB060D" w:rsidRPr="006C6F80" w14:paraId="66DCAA87" w14:textId="77777777" w:rsidTr="00DB060D">
        <w:trPr>
          <w:trHeight w:val="280"/>
          <w:jc w:val="center"/>
        </w:trPr>
        <w:tc>
          <w:tcPr>
            <w:tcW w:w="1820" w:type="dxa"/>
            <w:tcBorders>
              <w:top w:val="nil"/>
              <w:left w:val="nil"/>
              <w:bottom w:val="nil"/>
              <w:right w:val="nil"/>
            </w:tcBorders>
            <w:shd w:val="clear" w:color="auto" w:fill="auto"/>
            <w:noWrap/>
            <w:vAlign w:val="center"/>
            <w:hideMark/>
          </w:tcPr>
          <w:p w14:paraId="649563C8" w14:textId="77777777" w:rsidR="00DB060D" w:rsidRPr="006C6F80" w:rsidRDefault="00DB060D" w:rsidP="00DB060D">
            <w:pPr>
              <w:jc w:val="center"/>
              <w:rPr>
                <w:color w:val="000000" w:themeColor="text1"/>
                <w:sz w:val="20"/>
                <w:szCs w:val="20"/>
              </w:rPr>
            </w:pPr>
          </w:p>
        </w:tc>
        <w:tc>
          <w:tcPr>
            <w:tcW w:w="2164" w:type="dxa"/>
            <w:tcBorders>
              <w:top w:val="nil"/>
              <w:left w:val="nil"/>
              <w:bottom w:val="nil"/>
              <w:right w:val="nil"/>
            </w:tcBorders>
            <w:shd w:val="clear" w:color="auto" w:fill="auto"/>
            <w:noWrap/>
            <w:vAlign w:val="bottom"/>
            <w:hideMark/>
          </w:tcPr>
          <w:p w14:paraId="5221E3DF" w14:textId="77777777" w:rsidR="00DB060D" w:rsidRPr="006C6F80" w:rsidRDefault="00DB060D" w:rsidP="00DB060D">
            <w:pPr>
              <w:jc w:val="center"/>
              <w:rPr>
                <w:color w:val="000000" w:themeColor="text1"/>
                <w:sz w:val="20"/>
                <w:szCs w:val="20"/>
              </w:rPr>
            </w:pPr>
          </w:p>
        </w:tc>
        <w:tc>
          <w:tcPr>
            <w:tcW w:w="2164" w:type="dxa"/>
            <w:tcBorders>
              <w:top w:val="nil"/>
              <w:left w:val="nil"/>
              <w:bottom w:val="nil"/>
              <w:right w:val="nil"/>
            </w:tcBorders>
            <w:shd w:val="clear" w:color="auto" w:fill="auto"/>
            <w:noWrap/>
            <w:vAlign w:val="bottom"/>
            <w:hideMark/>
          </w:tcPr>
          <w:p w14:paraId="792FB148" w14:textId="77777777" w:rsidR="00DB060D" w:rsidRPr="006C6F80" w:rsidRDefault="00DB060D" w:rsidP="00DB060D">
            <w:pPr>
              <w:jc w:val="center"/>
              <w:rPr>
                <w:color w:val="000000" w:themeColor="text1"/>
                <w:sz w:val="20"/>
                <w:szCs w:val="20"/>
              </w:rPr>
            </w:pPr>
          </w:p>
        </w:tc>
        <w:tc>
          <w:tcPr>
            <w:tcW w:w="1052" w:type="dxa"/>
            <w:tcBorders>
              <w:top w:val="nil"/>
              <w:left w:val="nil"/>
              <w:bottom w:val="nil"/>
              <w:right w:val="nil"/>
            </w:tcBorders>
            <w:shd w:val="clear" w:color="auto" w:fill="auto"/>
            <w:noWrap/>
            <w:vAlign w:val="bottom"/>
            <w:hideMark/>
          </w:tcPr>
          <w:p w14:paraId="35B11E1A" w14:textId="77777777" w:rsidR="00DB060D" w:rsidRPr="006C6F80" w:rsidRDefault="00DB060D" w:rsidP="00DB060D">
            <w:pPr>
              <w:jc w:val="center"/>
              <w:rPr>
                <w:color w:val="000000" w:themeColor="text1"/>
                <w:sz w:val="20"/>
                <w:szCs w:val="20"/>
              </w:rPr>
            </w:pPr>
          </w:p>
        </w:tc>
      </w:tr>
      <w:tr w:rsidR="00DB060D" w:rsidRPr="006C6F80" w14:paraId="4D96E109" w14:textId="77777777" w:rsidTr="00DB060D">
        <w:trPr>
          <w:trHeight w:val="280"/>
          <w:jc w:val="center"/>
        </w:trPr>
        <w:tc>
          <w:tcPr>
            <w:tcW w:w="1820" w:type="dxa"/>
            <w:tcBorders>
              <w:top w:val="nil"/>
              <w:left w:val="nil"/>
              <w:bottom w:val="nil"/>
              <w:right w:val="nil"/>
            </w:tcBorders>
            <w:shd w:val="clear" w:color="auto" w:fill="auto"/>
            <w:noWrap/>
            <w:vAlign w:val="center"/>
            <w:hideMark/>
          </w:tcPr>
          <w:p w14:paraId="3A86EA24"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Stayers</w:t>
            </w:r>
          </w:p>
        </w:tc>
        <w:tc>
          <w:tcPr>
            <w:tcW w:w="2164" w:type="dxa"/>
            <w:tcBorders>
              <w:top w:val="nil"/>
              <w:left w:val="nil"/>
              <w:bottom w:val="nil"/>
              <w:right w:val="nil"/>
            </w:tcBorders>
            <w:shd w:val="clear" w:color="auto" w:fill="auto"/>
            <w:noWrap/>
            <w:vAlign w:val="bottom"/>
            <w:hideMark/>
          </w:tcPr>
          <w:p w14:paraId="64D12C89" w14:textId="77777777" w:rsidR="00DB060D" w:rsidRPr="006C6F80" w:rsidRDefault="00DB060D" w:rsidP="00DB060D">
            <w:pPr>
              <w:jc w:val="center"/>
              <w:rPr>
                <w:color w:val="000000" w:themeColor="text1"/>
                <w:sz w:val="20"/>
                <w:szCs w:val="20"/>
              </w:rPr>
            </w:pPr>
            <w:r w:rsidRPr="006C6F80">
              <w:rPr>
                <w:color w:val="000000" w:themeColor="text1"/>
                <w:sz w:val="20"/>
                <w:szCs w:val="20"/>
              </w:rPr>
              <w:t>3.500</w:t>
            </w:r>
          </w:p>
        </w:tc>
        <w:tc>
          <w:tcPr>
            <w:tcW w:w="2164" w:type="dxa"/>
            <w:tcBorders>
              <w:top w:val="nil"/>
              <w:left w:val="nil"/>
              <w:bottom w:val="nil"/>
              <w:right w:val="nil"/>
            </w:tcBorders>
            <w:shd w:val="clear" w:color="auto" w:fill="auto"/>
            <w:noWrap/>
            <w:vAlign w:val="bottom"/>
            <w:hideMark/>
          </w:tcPr>
          <w:p w14:paraId="47A66C38" w14:textId="77777777" w:rsidR="00DB060D" w:rsidRPr="006C6F80" w:rsidRDefault="00DB060D" w:rsidP="00DB060D">
            <w:pPr>
              <w:jc w:val="center"/>
              <w:rPr>
                <w:color w:val="000000" w:themeColor="text1"/>
                <w:sz w:val="20"/>
                <w:szCs w:val="20"/>
              </w:rPr>
            </w:pPr>
            <w:r w:rsidRPr="006C6F80">
              <w:rPr>
                <w:color w:val="000000" w:themeColor="text1"/>
                <w:sz w:val="20"/>
                <w:szCs w:val="20"/>
              </w:rPr>
              <w:t>3.731</w:t>
            </w:r>
          </w:p>
        </w:tc>
        <w:tc>
          <w:tcPr>
            <w:tcW w:w="1052" w:type="dxa"/>
            <w:tcBorders>
              <w:top w:val="nil"/>
              <w:left w:val="nil"/>
              <w:bottom w:val="nil"/>
              <w:right w:val="nil"/>
            </w:tcBorders>
            <w:shd w:val="clear" w:color="auto" w:fill="auto"/>
            <w:noWrap/>
            <w:vAlign w:val="bottom"/>
            <w:hideMark/>
          </w:tcPr>
          <w:p w14:paraId="56928220" w14:textId="77777777" w:rsidR="00DB060D" w:rsidRPr="006C6F80" w:rsidRDefault="00DB060D" w:rsidP="00DB060D">
            <w:pPr>
              <w:jc w:val="center"/>
              <w:rPr>
                <w:color w:val="000000" w:themeColor="text1"/>
                <w:sz w:val="20"/>
                <w:szCs w:val="20"/>
              </w:rPr>
            </w:pPr>
            <w:r w:rsidRPr="006C6F80">
              <w:rPr>
                <w:color w:val="000000" w:themeColor="text1"/>
                <w:sz w:val="20"/>
                <w:szCs w:val="20"/>
              </w:rPr>
              <w:t>0.231***</w:t>
            </w:r>
          </w:p>
        </w:tc>
      </w:tr>
      <w:tr w:rsidR="00DB060D" w:rsidRPr="006C6F80" w14:paraId="0869B736" w14:textId="77777777" w:rsidTr="00DB060D">
        <w:trPr>
          <w:trHeight w:val="280"/>
          <w:jc w:val="center"/>
        </w:trPr>
        <w:tc>
          <w:tcPr>
            <w:tcW w:w="1820" w:type="dxa"/>
            <w:tcBorders>
              <w:top w:val="nil"/>
              <w:left w:val="nil"/>
              <w:bottom w:val="nil"/>
              <w:right w:val="nil"/>
            </w:tcBorders>
            <w:shd w:val="clear" w:color="auto" w:fill="auto"/>
            <w:noWrap/>
            <w:vAlign w:val="center"/>
            <w:hideMark/>
          </w:tcPr>
          <w:p w14:paraId="30440730"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(Control group)</w:t>
            </w:r>
          </w:p>
        </w:tc>
        <w:tc>
          <w:tcPr>
            <w:tcW w:w="2164" w:type="dxa"/>
            <w:tcBorders>
              <w:top w:val="nil"/>
              <w:left w:val="nil"/>
              <w:bottom w:val="nil"/>
              <w:right w:val="nil"/>
            </w:tcBorders>
            <w:shd w:val="clear" w:color="auto" w:fill="auto"/>
            <w:noWrap/>
            <w:vAlign w:val="bottom"/>
            <w:hideMark/>
          </w:tcPr>
          <w:p w14:paraId="3CD48C03" w14:textId="77777777" w:rsidR="00DB060D" w:rsidRPr="006C6F80" w:rsidRDefault="00DB060D" w:rsidP="00DB060D">
            <w:pPr>
              <w:jc w:val="center"/>
              <w:rPr>
                <w:color w:val="000000" w:themeColor="text1"/>
                <w:sz w:val="20"/>
                <w:szCs w:val="20"/>
              </w:rPr>
            </w:pPr>
            <w:r w:rsidRPr="006C6F80">
              <w:rPr>
                <w:color w:val="000000" w:themeColor="text1"/>
                <w:sz w:val="20"/>
                <w:szCs w:val="20"/>
              </w:rPr>
              <w:t>(0.133)</w:t>
            </w:r>
          </w:p>
        </w:tc>
        <w:tc>
          <w:tcPr>
            <w:tcW w:w="2164" w:type="dxa"/>
            <w:tcBorders>
              <w:top w:val="nil"/>
              <w:left w:val="nil"/>
              <w:bottom w:val="nil"/>
              <w:right w:val="nil"/>
            </w:tcBorders>
            <w:shd w:val="clear" w:color="auto" w:fill="auto"/>
            <w:noWrap/>
            <w:vAlign w:val="bottom"/>
            <w:hideMark/>
          </w:tcPr>
          <w:p w14:paraId="410C252F" w14:textId="77777777" w:rsidR="00DB060D" w:rsidRPr="006C6F80" w:rsidRDefault="00DB060D" w:rsidP="00DB060D">
            <w:pPr>
              <w:jc w:val="center"/>
              <w:rPr>
                <w:color w:val="000000" w:themeColor="text1"/>
                <w:sz w:val="20"/>
                <w:szCs w:val="20"/>
              </w:rPr>
            </w:pPr>
            <w:r w:rsidRPr="006C6F80">
              <w:rPr>
                <w:color w:val="000000" w:themeColor="text1"/>
                <w:sz w:val="20"/>
                <w:szCs w:val="20"/>
              </w:rPr>
              <w:t>(0.123)</w:t>
            </w:r>
          </w:p>
        </w:tc>
        <w:tc>
          <w:tcPr>
            <w:tcW w:w="1052" w:type="dxa"/>
            <w:tcBorders>
              <w:top w:val="nil"/>
              <w:left w:val="nil"/>
              <w:bottom w:val="nil"/>
              <w:right w:val="nil"/>
            </w:tcBorders>
            <w:shd w:val="clear" w:color="auto" w:fill="auto"/>
            <w:noWrap/>
            <w:vAlign w:val="bottom"/>
            <w:hideMark/>
          </w:tcPr>
          <w:p w14:paraId="09FB4A9A" w14:textId="77777777" w:rsidR="00DB060D" w:rsidRPr="006C6F80" w:rsidRDefault="00DB060D" w:rsidP="00DB060D">
            <w:pPr>
              <w:jc w:val="center"/>
              <w:rPr>
                <w:color w:val="000000" w:themeColor="text1"/>
                <w:sz w:val="20"/>
                <w:szCs w:val="20"/>
              </w:rPr>
            </w:pPr>
            <w:r w:rsidRPr="006C6F80">
              <w:rPr>
                <w:color w:val="000000" w:themeColor="text1"/>
                <w:sz w:val="20"/>
                <w:szCs w:val="20"/>
              </w:rPr>
              <w:t>(0.066)</w:t>
            </w:r>
          </w:p>
        </w:tc>
      </w:tr>
      <w:tr w:rsidR="00DB060D" w:rsidRPr="006C6F80" w14:paraId="5C8134C6" w14:textId="77777777" w:rsidTr="00DB060D">
        <w:trPr>
          <w:trHeight w:val="280"/>
          <w:jc w:val="center"/>
        </w:trPr>
        <w:tc>
          <w:tcPr>
            <w:tcW w:w="1820" w:type="dxa"/>
            <w:tcBorders>
              <w:top w:val="nil"/>
              <w:left w:val="nil"/>
              <w:bottom w:val="nil"/>
              <w:right w:val="nil"/>
            </w:tcBorders>
            <w:shd w:val="clear" w:color="auto" w:fill="auto"/>
            <w:noWrap/>
            <w:vAlign w:val="center"/>
            <w:hideMark/>
          </w:tcPr>
          <w:p w14:paraId="5AA64E1C" w14:textId="77777777" w:rsidR="00DB060D" w:rsidRPr="006C6F80" w:rsidRDefault="00DB060D" w:rsidP="00DB060D">
            <w:pPr>
              <w:jc w:val="center"/>
              <w:rPr>
                <w:color w:val="000000" w:themeColor="text1"/>
                <w:sz w:val="20"/>
                <w:szCs w:val="20"/>
              </w:rPr>
            </w:pPr>
          </w:p>
        </w:tc>
        <w:tc>
          <w:tcPr>
            <w:tcW w:w="2164" w:type="dxa"/>
            <w:tcBorders>
              <w:top w:val="nil"/>
              <w:left w:val="nil"/>
              <w:bottom w:val="nil"/>
              <w:right w:val="nil"/>
            </w:tcBorders>
            <w:shd w:val="clear" w:color="auto" w:fill="auto"/>
            <w:noWrap/>
            <w:vAlign w:val="bottom"/>
            <w:hideMark/>
          </w:tcPr>
          <w:p w14:paraId="390F6A8E" w14:textId="77777777" w:rsidR="00DB060D" w:rsidRPr="006C6F80" w:rsidRDefault="00DB060D" w:rsidP="00DB060D">
            <w:pPr>
              <w:jc w:val="center"/>
              <w:rPr>
                <w:color w:val="000000" w:themeColor="text1"/>
                <w:sz w:val="20"/>
                <w:szCs w:val="20"/>
              </w:rPr>
            </w:pPr>
          </w:p>
        </w:tc>
        <w:tc>
          <w:tcPr>
            <w:tcW w:w="2164" w:type="dxa"/>
            <w:tcBorders>
              <w:top w:val="nil"/>
              <w:left w:val="nil"/>
              <w:bottom w:val="nil"/>
              <w:right w:val="nil"/>
            </w:tcBorders>
            <w:shd w:val="clear" w:color="auto" w:fill="auto"/>
            <w:noWrap/>
            <w:vAlign w:val="bottom"/>
            <w:hideMark/>
          </w:tcPr>
          <w:p w14:paraId="1F779005" w14:textId="77777777" w:rsidR="00DB060D" w:rsidRPr="006C6F80" w:rsidRDefault="00DB060D" w:rsidP="00DB060D">
            <w:pPr>
              <w:jc w:val="center"/>
              <w:rPr>
                <w:color w:val="000000" w:themeColor="text1"/>
                <w:sz w:val="20"/>
                <w:szCs w:val="20"/>
              </w:rPr>
            </w:pPr>
          </w:p>
        </w:tc>
        <w:tc>
          <w:tcPr>
            <w:tcW w:w="1052" w:type="dxa"/>
            <w:tcBorders>
              <w:top w:val="nil"/>
              <w:left w:val="nil"/>
              <w:bottom w:val="nil"/>
              <w:right w:val="nil"/>
            </w:tcBorders>
            <w:shd w:val="clear" w:color="auto" w:fill="auto"/>
            <w:noWrap/>
            <w:vAlign w:val="bottom"/>
            <w:hideMark/>
          </w:tcPr>
          <w:p w14:paraId="48DCDFC4" w14:textId="77777777" w:rsidR="00DB060D" w:rsidRPr="006C6F80" w:rsidRDefault="00DB060D" w:rsidP="00DB060D">
            <w:pPr>
              <w:jc w:val="center"/>
              <w:rPr>
                <w:color w:val="000000" w:themeColor="text1"/>
                <w:sz w:val="20"/>
                <w:szCs w:val="20"/>
              </w:rPr>
            </w:pPr>
          </w:p>
        </w:tc>
      </w:tr>
      <w:tr w:rsidR="00DB060D" w:rsidRPr="006C6F80" w14:paraId="14D34544" w14:textId="77777777" w:rsidTr="00DB060D">
        <w:trPr>
          <w:trHeight w:val="280"/>
          <w:jc w:val="center"/>
        </w:trPr>
        <w:tc>
          <w:tcPr>
            <w:tcW w:w="1820" w:type="dxa"/>
            <w:vMerge w:val="restart"/>
            <w:tcBorders>
              <w:top w:val="nil"/>
              <w:left w:val="nil"/>
              <w:bottom w:val="single" w:sz="4" w:space="0" w:color="000000"/>
              <w:right w:val="nil"/>
            </w:tcBorders>
            <w:shd w:val="clear" w:color="auto" w:fill="auto"/>
            <w:noWrap/>
            <w:vAlign w:val="center"/>
            <w:hideMark/>
          </w:tcPr>
          <w:p w14:paraId="63D27036"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Difference</w:t>
            </w:r>
          </w:p>
        </w:tc>
        <w:tc>
          <w:tcPr>
            <w:tcW w:w="2164" w:type="dxa"/>
            <w:tcBorders>
              <w:top w:val="nil"/>
              <w:left w:val="nil"/>
              <w:bottom w:val="nil"/>
              <w:right w:val="nil"/>
            </w:tcBorders>
            <w:shd w:val="clear" w:color="auto" w:fill="auto"/>
            <w:noWrap/>
            <w:vAlign w:val="bottom"/>
            <w:hideMark/>
          </w:tcPr>
          <w:p w14:paraId="1B27B11E" w14:textId="77777777" w:rsidR="00DB060D" w:rsidRPr="006C6F80" w:rsidRDefault="00DB060D" w:rsidP="00DB060D">
            <w:pPr>
              <w:jc w:val="center"/>
              <w:rPr>
                <w:color w:val="000000" w:themeColor="text1"/>
                <w:sz w:val="20"/>
                <w:szCs w:val="20"/>
              </w:rPr>
            </w:pPr>
            <w:r w:rsidRPr="006C6F80">
              <w:rPr>
                <w:color w:val="000000" w:themeColor="text1"/>
                <w:sz w:val="20"/>
                <w:szCs w:val="20"/>
              </w:rPr>
              <w:t>-0.950***</w:t>
            </w:r>
          </w:p>
        </w:tc>
        <w:tc>
          <w:tcPr>
            <w:tcW w:w="2164" w:type="dxa"/>
            <w:tcBorders>
              <w:top w:val="nil"/>
              <w:left w:val="nil"/>
              <w:bottom w:val="nil"/>
              <w:right w:val="nil"/>
            </w:tcBorders>
            <w:shd w:val="clear" w:color="auto" w:fill="auto"/>
            <w:noWrap/>
            <w:vAlign w:val="bottom"/>
            <w:hideMark/>
          </w:tcPr>
          <w:p w14:paraId="5CC29C25" w14:textId="77777777" w:rsidR="00DB060D" w:rsidRPr="006C6F80" w:rsidRDefault="00DB060D" w:rsidP="00DB060D">
            <w:pPr>
              <w:jc w:val="center"/>
              <w:rPr>
                <w:color w:val="000000" w:themeColor="text1"/>
                <w:sz w:val="20"/>
                <w:szCs w:val="20"/>
              </w:rPr>
            </w:pPr>
            <w:r w:rsidRPr="006C6F80">
              <w:rPr>
                <w:color w:val="000000" w:themeColor="text1"/>
                <w:sz w:val="20"/>
                <w:szCs w:val="20"/>
              </w:rPr>
              <w:t>-0.494***</w:t>
            </w:r>
          </w:p>
        </w:tc>
        <w:tc>
          <w:tcPr>
            <w:tcW w:w="1052" w:type="dxa"/>
            <w:tcBorders>
              <w:top w:val="nil"/>
              <w:left w:val="nil"/>
              <w:bottom w:val="nil"/>
              <w:right w:val="nil"/>
            </w:tcBorders>
            <w:shd w:val="clear" w:color="auto" w:fill="auto"/>
            <w:noWrap/>
            <w:vAlign w:val="bottom"/>
            <w:hideMark/>
          </w:tcPr>
          <w:p w14:paraId="30ED25E3" w14:textId="77777777" w:rsidR="00DB060D" w:rsidRPr="006C6F80" w:rsidRDefault="00DB060D" w:rsidP="00DB060D">
            <w:pPr>
              <w:jc w:val="center"/>
              <w:rPr>
                <w:color w:val="000000" w:themeColor="text1"/>
                <w:sz w:val="20"/>
                <w:szCs w:val="20"/>
              </w:rPr>
            </w:pPr>
            <w:r w:rsidRPr="006C6F80">
              <w:rPr>
                <w:color w:val="000000" w:themeColor="text1"/>
                <w:sz w:val="20"/>
                <w:szCs w:val="20"/>
              </w:rPr>
              <w:t>0.456**</w:t>
            </w:r>
          </w:p>
        </w:tc>
      </w:tr>
      <w:tr w:rsidR="00DB060D" w:rsidRPr="006C6F80" w14:paraId="22B6A2C1" w14:textId="77777777" w:rsidTr="00DB060D">
        <w:trPr>
          <w:trHeight w:val="280"/>
          <w:jc w:val="center"/>
        </w:trPr>
        <w:tc>
          <w:tcPr>
            <w:tcW w:w="1820" w:type="dxa"/>
            <w:vMerge/>
            <w:tcBorders>
              <w:top w:val="nil"/>
              <w:left w:val="nil"/>
              <w:bottom w:val="single" w:sz="4" w:space="0" w:color="000000"/>
              <w:right w:val="nil"/>
            </w:tcBorders>
            <w:vAlign w:val="center"/>
            <w:hideMark/>
          </w:tcPr>
          <w:p w14:paraId="08150657" w14:textId="77777777" w:rsidR="00DB060D" w:rsidRPr="006C6F80" w:rsidRDefault="00DB060D" w:rsidP="00DB060D">
            <w:pPr>
              <w:rPr>
                <w:i/>
                <w:iCs/>
                <w:color w:val="000000" w:themeColor="text1"/>
                <w:sz w:val="20"/>
                <w:szCs w:val="20"/>
              </w:rPr>
            </w:pPr>
          </w:p>
        </w:tc>
        <w:tc>
          <w:tcPr>
            <w:tcW w:w="2164" w:type="dxa"/>
            <w:tcBorders>
              <w:top w:val="nil"/>
              <w:left w:val="nil"/>
              <w:bottom w:val="nil"/>
              <w:right w:val="nil"/>
            </w:tcBorders>
            <w:shd w:val="clear" w:color="auto" w:fill="auto"/>
            <w:noWrap/>
            <w:vAlign w:val="bottom"/>
            <w:hideMark/>
          </w:tcPr>
          <w:p w14:paraId="29A0F9C5" w14:textId="77777777" w:rsidR="00DB060D" w:rsidRPr="006C6F80" w:rsidRDefault="00DB060D" w:rsidP="00DB060D">
            <w:pPr>
              <w:jc w:val="center"/>
              <w:rPr>
                <w:color w:val="000000" w:themeColor="text1"/>
                <w:sz w:val="20"/>
                <w:szCs w:val="20"/>
              </w:rPr>
            </w:pPr>
            <w:r w:rsidRPr="006C6F80">
              <w:rPr>
                <w:color w:val="000000" w:themeColor="text1"/>
                <w:sz w:val="20"/>
                <w:szCs w:val="20"/>
              </w:rPr>
              <w:t>(0.170)</w:t>
            </w:r>
          </w:p>
        </w:tc>
        <w:tc>
          <w:tcPr>
            <w:tcW w:w="2164" w:type="dxa"/>
            <w:tcBorders>
              <w:top w:val="nil"/>
              <w:left w:val="nil"/>
              <w:bottom w:val="nil"/>
              <w:right w:val="nil"/>
            </w:tcBorders>
            <w:shd w:val="clear" w:color="auto" w:fill="auto"/>
            <w:noWrap/>
            <w:vAlign w:val="bottom"/>
            <w:hideMark/>
          </w:tcPr>
          <w:p w14:paraId="1F9ABCF5" w14:textId="77777777" w:rsidR="00DB060D" w:rsidRPr="006C6F80" w:rsidRDefault="00DB060D" w:rsidP="00DB060D">
            <w:pPr>
              <w:jc w:val="center"/>
              <w:rPr>
                <w:color w:val="000000" w:themeColor="text1"/>
                <w:sz w:val="20"/>
                <w:szCs w:val="20"/>
              </w:rPr>
            </w:pPr>
            <w:r w:rsidRPr="006C6F80">
              <w:rPr>
                <w:color w:val="000000" w:themeColor="text1"/>
                <w:sz w:val="20"/>
                <w:szCs w:val="20"/>
              </w:rPr>
              <w:t>(0.169)</w:t>
            </w:r>
          </w:p>
        </w:tc>
        <w:tc>
          <w:tcPr>
            <w:tcW w:w="1052" w:type="dxa"/>
            <w:tcBorders>
              <w:top w:val="nil"/>
              <w:left w:val="nil"/>
              <w:bottom w:val="nil"/>
              <w:right w:val="nil"/>
            </w:tcBorders>
            <w:shd w:val="clear" w:color="auto" w:fill="auto"/>
            <w:noWrap/>
            <w:vAlign w:val="bottom"/>
            <w:hideMark/>
          </w:tcPr>
          <w:p w14:paraId="0E4FB3EF" w14:textId="77777777" w:rsidR="00DB060D" w:rsidRPr="006C6F80" w:rsidRDefault="00DB060D" w:rsidP="00DB060D">
            <w:pPr>
              <w:jc w:val="center"/>
              <w:rPr>
                <w:color w:val="000000" w:themeColor="text1"/>
                <w:sz w:val="20"/>
                <w:szCs w:val="20"/>
              </w:rPr>
            </w:pPr>
            <w:r w:rsidRPr="006C6F80">
              <w:rPr>
                <w:color w:val="000000" w:themeColor="text1"/>
                <w:sz w:val="20"/>
                <w:szCs w:val="20"/>
              </w:rPr>
              <w:t>(0.208)</w:t>
            </w:r>
          </w:p>
        </w:tc>
      </w:tr>
      <w:tr w:rsidR="00DB060D" w:rsidRPr="006C6F80" w14:paraId="1F8A3D1C" w14:textId="77777777" w:rsidTr="00DB060D">
        <w:trPr>
          <w:trHeight w:val="480"/>
          <w:jc w:val="center"/>
        </w:trPr>
        <w:tc>
          <w:tcPr>
            <w:tcW w:w="7200" w:type="dxa"/>
            <w:gridSpan w:val="4"/>
            <w:tcBorders>
              <w:top w:val="single" w:sz="4" w:space="0" w:color="auto"/>
              <w:left w:val="nil"/>
              <w:bottom w:val="single" w:sz="4" w:space="0" w:color="auto"/>
              <w:right w:val="nil"/>
            </w:tcBorders>
            <w:shd w:val="clear" w:color="auto" w:fill="auto"/>
            <w:vAlign w:val="center"/>
            <w:hideMark/>
          </w:tcPr>
          <w:p w14:paraId="538E922A" w14:textId="77777777" w:rsidR="00DB060D" w:rsidRPr="006C6F80" w:rsidRDefault="00DB060D" w:rsidP="00DB060D">
            <w:pPr>
              <w:jc w:val="center"/>
              <w:rPr>
                <w:b/>
                <w:bCs/>
                <w:color w:val="000000" w:themeColor="text1"/>
                <w:sz w:val="20"/>
                <w:szCs w:val="20"/>
              </w:rPr>
            </w:pPr>
            <w:r w:rsidRPr="006C6F80">
              <w:rPr>
                <w:b/>
                <w:bCs/>
                <w:color w:val="000000" w:themeColor="text1"/>
                <w:sz w:val="20"/>
                <w:szCs w:val="20"/>
              </w:rPr>
              <w:t>Panel B: Propensity score matching combined with Difference-in-Differences, Matching on the first occupation</w:t>
            </w:r>
          </w:p>
        </w:tc>
      </w:tr>
      <w:tr w:rsidR="00DB060D" w:rsidRPr="006C6F80" w14:paraId="4C2F560E" w14:textId="77777777" w:rsidTr="00DB060D">
        <w:trPr>
          <w:trHeight w:val="280"/>
          <w:jc w:val="center"/>
        </w:trPr>
        <w:tc>
          <w:tcPr>
            <w:tcW w:w="7200" w:type="dxa"/>
            <w:gridSpan w:val="4"/>
            <w:tcBorders>
              <w:top w:val="single" w:sz="4" w:space="0" w:color="auto"/>
              <w:left w:val="nil"/>
              <w:bottom w:val="single" w:sz="4" w:space="0" w:color="auto"/>
              <w:right w:val="nil"/>
            </w:tcBorders>
            <w:shd w:val="clear" w:color="auto" w:fill="auto"/>
            <w:noWrap/>
            <w:vAlign w:val="center"/>
            <w:hideMark/>
          </w:tcPr>
          <w:p w14:paraId="15572B93" w14:textId="41DC153F" w:rsidR="00DB060D" w:rsidRPr="006C6F80" w:rsidRDefault="00DB060D" w:rsidP="00DB060D">
            <w:pPr>
              <w:jc w:val="center"/>
              <w:rPr>
                <w:b/>
                <w:bCs/>
                <w:color w:val="000000" w:themeColor="text1"/>
                <w:sz w:val="20"/>
                <w:szCs w:val="20"/>
              </w:rPr>
            </w:pPr>
            <w:r w:rsidRPr="006C6F80">
              <w:rPr>
                <w:b/>
                <w:bCs/>
                <w:color w:val="000000" w:themeColor="text1"/>
                <w:sz w:val="20"/>
                <w:szCs w:val="20"/>
              </w:rPr>
              <w:t>Sample of Returnees=</w:t>
            </w:r>
            <w:r w:rsidR="0061279A" w:rsidRPr="006C6F80">
              <w:rPr>
                <w:b/>
                <w:bCs/>
                <w:color w:val="000000" w:themeColor="text1"/>
                <w:sz w:val="20"/>
                <w:szCs w:val="20"/>
              </w:rPr>
              <w:t>160</w:t>
            </w:r>
            <w:r w:rsidRPr="006C6F80">
              <w:rPr>
                <w:b/>
                <w:bCs/>
                <w:color w:val="000000" w:themeColor="text1"/>
                <w:sz w:val="20"/>
                <w:szCs w:val="20"/>
              </w:rPr>
              <w:t>, Sample of Stayers=</w:t>
            </w:r>
            <w:r w:rsidR="0061279A" w:rsidRPr="006C6F80">
              <w:rPr>
                <w:b/>
                <w:bCs/>
                <w:color w:val="000000" w:themeColor="text1"/>
                <w:sz w:val="20"/>
                <w:szCs w:val="20"/>
              </w:rPr>
              <w:t>160</w:t>
            </w:r>
          </w:p>
        </w:tc>
      </w:tr>
      <w:tr w:rsidR="00DB060D" w:rsidRPr="006C6F80" w14:paraId="76C21213" w14:textId="77777777" w:rsidTr="00DB060D">
        <w:trPr>
          <w:trHeight w:val="280"/>
          <w:jc w:val="center"/>
        </w:trPr>
        <w:tc>
          <w:tcPr>
            <w:tcW w:w="1820" w:type="dxa"/>
            <w:tcBorders>
              <w:top w:val="single" w:sz="4" w:space="0" w:color="auto"/>
              <w:left w:val="nil"/>
              <w:bottom w:val="nil"/>
              <w:right w:val="nil"/>
            </w:tcBorders>
            <w:shd w:val="clear" w:color="auto" w:fill="auto"/>
            <w:noWrap/>
            <w:vAlign w:val="center"/>
            <w:hideMark/>
          </w:tcPr>
          <w:p w14:paraId="4F054501" w14:textId="77777777" w:rsidR="00DB060D" w:rsidRPr="006C6F80" w:rsidRDefault="00DB060D" w:rsidP="00DB060D">
            <w:pPr>
              <w:rPr>
                <w:color w:val="000000" w:themeColor="text1"/>
                <w:sz w:val="20"/>
                <w:szCs w:val="20"/>
              </w:rPr>
            </w:pPr>
            <w:r w:rsidRPr="006C6F80">
              <w:rPr>
                <w:color w:val="000000" w:themeColor="text1"/>
                <w:sz w:val="20"/>
                <w:szCs w:val="20"/>
              </w:rPr>
              <w:t> </w:t>
            </w:r>
          </w:p>
        </w:tc>
        <w:tc>
          <w:tcPr>
            <w:tcW w:w="2164" w:type="dxa"/>
            <w:tcBorders>
              <w:top w:val="single" w:sz="4" w:space="0" w:color="auto"/>
              <w:left w:val="nil"/>
              <w:bottom w:val="nil"/>
              <w:right w:val="nil"/>
            </w:tcBorders>
            <w:shd w:val="clear" w:color="auto" w:fill="auto"/>
            <w:vAlign w:val="center"/>
            <w:hideMark/>
          </w:tcPr>
          <w:p w14:paraId="1835231D"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Before the treatment</w:t>
            </w:r>
          </w:p>
        </w:tc>
        <w:tc>
          <w:tcPr>
            <w:tcW w:w="2164" w:type="dxa"/>
            <w:tcBorders>
              <w:top w:val="single" w:sz="4" w:space="0" w:color="auto"/>
              <w:left w:val="nil"/>
              <w:bottom w:val="nil"/>
              <w:right w:val="nil"/>
            </w:tcBorders>
            <w:shd w:val="clear" w:color="auto" w:fill="auto"/>
            <w:vAlign w:val="center"/>
            <w:hideMark/>
          </w:tcPr>
          <w:p w14:paraId="4990CAA7"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After the treatment</w:t>
            </w:r>
          </w:p>
        </w:tc>
        <w:tc>
          <w:tcPr>
            <w:tcW w:w="1052" w:type="dxa"/>
            <w:vMerge w:val="restart"/>
            <w:tcBorders>
              <w:top w:val="single" w:sz="4" w:space="0" w:color="auto"/>
              <w:left w:val="nil"/>
              <w:bottom w:val="single" w:sz="4" w:space="0" w:color="000000"/>
              <w:right w:val="nil"/>
            </w:tcBorders>
            <w:shd w:val="clear" w:color="auto" w:fill="auto"/>
            <w:noWrap/>
            <w:vAlign w:val="center"/>
            <w:hideMark/>
          </w:tcPr>
          <w:p w14:paraId="52BB4E92"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Difference</w:t>
            </w:r>
          </w:p>
        </w:tc>
      </w:tr>
      <w:tr w:rsidR="00DB060D" w:rsidRPr="006C6F80" w14:paraId="7A55A049" w14:textId="77777777" w:rsidTr="00DB060D">
        <w:trPr>
          <w:trHeight w:val="280"/>
          <w:jc w:val="center"/>
        </w:trPr>
        <w:tc>
          <w:tcPr>
            <w:tcW w:w="1820" w:type="dxa"/>
            <w:tcBorders>
              <w:top w:val="nil"/>
              <w:left w:val="nil"/>
              <w:bottom w:val="single" w:sz="4" w:space="0" w:color="auto"/>
              <w:right w:val="nil"/>
            </w:tcBorders>
            <w:shd w:val="clear" w:color="auto" w:fill="auto"/>
            <w:noWrap/>
            <w:vAlign w:val="center"/>
            <w:hideMark/>
          </w:tcPr>
          <w:p w14:paraId="0E3C5758" w14:textId="77777777" w:rsidR="00DB060D" w:rsidRPr="006C6F80" w:rsidRDefault="00DB060D" w:rsidP="00DB060D">
            <w:pPr>
              <w:rPr>
                <w:color w:val="000000" w:themeColor="text1"/>
                <w:sz w:val="20"/>
                <w:szCs w:val="20"/>
              </w:rPr>
            </w:pPr>
            <w:r w:rsidRPr="006C6F80">
              <w:rPr>
                <w:color w:val="000000" w:themeColor="text1"/>
                <w:sz w:val="20"/>
                <w:szCs w:val="20"/>
              </w:rPr>
              <w:t> </w:t>
            </w:r>
          </w:p>
        </w:tc>
        <w:tc>
          <w:tcPr>
            <w:tcW w:w="2164" w:type="dxa"/>
            <w:tcBorders>
              <w:top w:val="nil"/>
              <w:left w:val="nil"/>
              <w:bottom w:val="single" w:sz="4" w:space="0" w:color="auto"/>
              <w:right w:val="nil"/>
            </w:tcBorders>
            <w:shd w:val="clear" w:color="auto" w:fill="auto"/>
            <w:vAlign w:val="center"/>
            <w:hideMark/>
          </w:tcPr>
          <w:p w14:paraId="3BEF88EF"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(t=0)</w:t>
            </w:r>
          </w:p>
        </w:tc>
        <w:tc>
          <w:tcPr>
            <w:tcW w:w="2164" w:type="dxa"/>
            <w:tcBorders>
              <w:top w:val="nil"/>
              <w:left w:val="nil"/>
              <w:bottom w:val="single" w:sz="4" w:space="0" w:color="auto"/>
              <w:right w:val="nil"/>
            </w:tcBorders>
            <w:shd w:val="clear" w:color="auto" w:fill="auto"/>
            <w:noWrap/>
            <w:vAlign w:val="center"/>
            <w:hideMark/>
          </w:tcPr>
          <w:p w14:paraId="6F651AFA"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(t=1)</w:t>
            </w:r>
          </w:p>
        </w:tc>
        <w:tc>
          <w:tcPr>
            <w:tcW w:w="1052" w:type="dxa"/>
            <w:vMerge/>
            <w:tcBorders>
              <w:top w:val="single" w:sz="4" w:space="0" w:color="auto"/>
              <w:left w:val="nil"/>
              <w:bottom w:val="single" w:sz="4" w:space="0" w:color="000000"/>
              <w:right w:val="nil"/>
            </w:tcBorders>
            <w:vAlign w:val="center"/>
            <w:hideMark/>
          </w:tcPr>
          <w:p w14:paraId="14C8E714" w14:textId="77777777" w:rsidR="00DB060D" w:rsidRPr="006C6F80" w:rsidRDefault="00DB060D" w:rsidP="00DB060D">
            <w:pPr>
              <w:rPr>
                <w:i/>
                <w:iCs/>
                <w:color w:val="000000" w:themeColor="text1"/>
                <w:sz w:val="20"/>
                <w:szCs w:val="20"/>
              </w:rPr>
            </w:pPr>
          </w:p>
        </w:tc>
      </w:tr>
      <w:tr w:rsidR="00DB060D" w:rsidRPr="006C6F80" w14:paraId="112F68CD" w14:textId="77777777" w:rsidTr="00DB060D">
        <w:trPr>
          <w:trHeight w:val="280"/>
          <w:jc w:val="center"/>
        </w:trPr>
        <w:tc>
          <w:tcPr>
            <w:tcW w:w="1820" w:type="dxa"/>
            <w:tcBorders>
              <w:top w:val="nil"/>
              <w:left w:val="nil"/>
              <w:bottom w:val="nil"/>
              <w:right w:val="nil"/>
            </w:tcBorders>
            <w:shd w:val="clear" w:color="auto" w:fill="auto"/>
            <w:noWrap/>
            <w:vAlign w:val="center"/>
            <w:hideMark/>
          </w:tcPr>
          <w:p w14:paraId="41F30F4C"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Returnees</w:t>
            </w:r>
          </w:p>
        </w:tc>
        <w:tc>
          <w:tcPr>
            <w:tcW w:w="2164" w:type="dxa"/>
            <w:tcBorders>
              <w:top w:val="nil"/>
              <w:left w:val="nil"/>
              <w:bottom w:val="nil"/>
              <w:right w:val="nil"/>
            </w:tcBorders>
            <w:shd w:val="clear" w:color="auto" w:fill="auto"/>
            <w:noWrap/>
            <w:vAlign w:val="bottom"/>
            <w:hideMark/>
          </w:tcPr>
          <w:p w14:paraId="249EBD57" w14:textId="77777777" w:rsidR="00DB060D" w:rsidRPr="006C6F80" w:rsidRDefault="00DB060D" w:rsidP="00DB060D">
            <w:pPr>
              <w:jc w:val="center"/>
              <w:rPr>
                <w:color w:val="000000" w:themeColor="text1"/>
                <w:sz w:val="20"/>
                <w:szCs w:val="20"/>
              </w:rPr>
            </w:pPr>
            <w:r w:rsidRPr="006C6F80">
              <w:rPr>
                <w:color w:val="000000" w:themeColor="text1"/>
                <w:sz w:val="20"/>
                <w:szCs w:val="20"/>
              </w:rPr>
              <w:t>2.555</w:t>
            </w:r>
          </w:p>
        </w:tc>
        <w:tc>
          <w:tcPr>
            <w:tcW w:w="2164" w:type="dxa"/>
            <w:tcBorders>
              <w:top w:val="nil"/>
              <w:left w:val="nil"/>
              <w:bottom w:val="nil"/>
              <w:right w:val="nil"/>
            </w:tcBorders>
            <w:shd w:val="clear" w:color="auto" w:fill="auto"/>
            <w:noWrap/>
            <w:vAlign w:val="bottom"/>
            <w:hideMark/>
          </w:tcPr>
          <w:p w14:paraId="78D26734" w14:textId="77777777" w:rsidR="00DB060D" w:rsidRPr="006C6F80" w:rsidRDefault="00DB060D" w:rsidP="00DB060D">
            <w:pPr>
              <w:jc w:val="center"/>
              <w:rPr>
                <w:color w:val="000000" w:themeColor="text1"/>
                <w:sz w:val="20"/>
                <w:szCs w:val="20"/>
              </w:rPr>
            </w:pPr>
            <w:r w:rsidRPr="006C6F80">
              <w:rPr>
                <w:color w:val="000000" w:themeColor="text1"/>
                <w:sz w:val="20"/>
                <w:szCs w:val="20"/>
              </w:rPr>
              <w:t>3.226</w:t>
            </w:r>
          </w:p>
        </w:tc>
        <w:tc>
          <w:tcPr>
            <w:tcW w:w="1052" w:type="dxa"/>
            <w:tcBorders>
              <w:top w:val="nil"/>
              <w:left w:val="nil"/>
              <w:bottom w:val="nil"/>
              <w:right w:val="nil"/>
            </w:tcBorders>
            <w:shd w:val="clear" w:color="auto" w:fill="auto"/>
            <w:noWrap/>
            <w:vAlign w:val="bottom"/>
            <w:hideMark/>
          </w:tcPr>
          <w:p w14:paraId="3ACE235D" w14:textId="77777777" w:rsidR="00DB060D" w:rsidRPr="006C6F80" w:rsidRDefault="00DB060D" w:rsidP="00DB060D">
            <w:pPr>
              <w:jc w:val="center"/>
              <w:rPr>
                <w:color w:val="000000" w:themeColor="text1"/>
                <w:sz w:val="20"/>
                <w:szCs w:val="20"/>
              </w:rPr>
            </w:pPr>
            <w:r w:rsidRPr="006C6F80">
              <w:rPr>
                <w:color w:val="000000" w:themeColor="text1"/>
                <w:sz w:val="20"/>
                <w:szCs w:val="20"/>
              </w:rPr>
              <w:t>0.671***</w:t>
            </w:r>
          </w:p>
        </w:tc>
      </w:tr>
      <w:tr w:rsidR="00DB060D" w:rsidRPr="006C6F80" w14:paraId="468483E2" w14:textId="77777777" w:rsidTr="00DB060D">
        <w:trPr>
          <w:trHeight w:val="280"/>
          <w:jc w:val="center"/>
        </w:trPr>
        <w:tc>
          <w:tcPr>
            <w:tcW w:w="1820" w:type="dxa"/>
            <w:tcBorders>
              <w:top w:val="nil"/>
              <w:left w:val="nil"/>
              <w:bottom w:val="nil"/>
              <w:right w:val="nil"/>
            </w:tcBorders>
            <w:shd w:val="clear" w:color="auto" w:fill="auto"/>
            <w:noWrap/>
            <w:vAlign w:val="center"/>
            <w:hideMark/>
          </w:tcPr>
          <w:p w14:paraId="62D434EC"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(Treatment group)</w:t>
            </w:r>
          </w:p>
        </w:tc>
        <w:tc>
          <w:tcPr>
            <w:tcW w:w="2164" w:type="dxa"/>
            <w:tcBorders>
              <w:top w:val="nil"/>
              <w:left w:val="nil"/>
              <w:bottom w:val="nil"/>
              <w:right w:val="nil"/>
            </w:tcBorders>
            <w:shd w:val="clear" w:color="auto" w:fill="auto"/>
            <w:noWrap/>
            <w:vAlign w:val="bottom"/>
            <w:hideMark/>
          </w:tcPr>
          <w:p w14:paraId="01FF2146" w14:textId="77777777" w:rsidR="00DB060D" w:rsidRPr="006C6F80" w:rsidRDefault="00DB060D" w:rsidP="00DB060D">
            <w:pPr>
              <w:jc w:val="center"/>
              <w:rPr>
                <w:color w:val="000000" w:themeColor="text1"/>
                <w:sz w:val="20"/>
                <w:szCs w:val="20"/>
              </w:rPr>
            </w:pPr>
            <w:r w:rsidRPr="006C6F80">
              <w:rPr>
                <w:color w:val="000000" w:themeColor="text1"/>
                <w:sz w:val="20"/>
                <w:szCs w:val="20"/>
              </w:rPr>
              <w:t>(0.131)</w:t>
            </w:r>
          </w:p>
        </w:tc>
        <w:tc>
          <w:tcPr>
            <w:tcW w:w="2164" w:type="dxa"/>
            <w:tcBorders>
              <w:top w:val="nil"/>
              <w:left w:val="nil"/>
              <w:bottom w:val="nil"/>
              <w:right w:val="nil"/>
            </w:tcBorders>
            <w:shd w:val="clear" w:color="auto" w:fill="auto"/>
            <w:noWrap/>
            <w:vAlign w:val="bottom"/>
            <w:hideMark/>
          </w:tcPr>
          <w:p w14:paraId="33AC1E3F" w14:textId="77777777" w:rsidR="00DB060D" w:rsidRPr="006C6F80" w:rsidRDefault="00DB060D" w:rsidP="00DB060D">
            <w:pPr>
              <w:jc w:val="center"/>
              <w:rPr>
                <w:color w:val="000000" w:themeColor="text1"/>
                <w:sz w:val="20"/>
                <w:szCs w:val="20"/>
              </w:rPr>
            </w:pPr>
            <w:r w:rsidRPr="006C6F80">
              <w:rPr>
                <w:color w:val="000000" w:themeColor="text1"/>
                <w:sz w:val="20"/>
                <w:szCs w:val="20"/>
              </w:rPr>
              <w:t>(0.130)</w:t>
            </w:r>
          </w:p>
        </w:tc>
        <w:tc>
          <w:tcPr>
            <w:tcW w:w="1052" w:type="dxa"/>
            <w:tcBorders>
              <w:top w:val="nil"/>
              <w:left w:val="nil"/>
              <w:bottom w:val="nil"/>
              <w:right w:val="nil"/>
            </w:tcBorders>
            <w:shd w:val="clear" w:color="auto" w:fill="auto"/>
            <w:noWrap/>
            <w:vAlign w:val="bottom"/>
            <w:hideMark/>
          </w:tcPr>
          <w:p w14:paraId="6D1129FB" w14:textId="77777777" w:rsidR="00DB060D" w:rsidRPr="006C6F80" w:rsidRDefault="00DB060D" w:rsidP="00DB060D">
            <w:pPr>
              <w:jc w:val="center"/>
              <w:rPr>
                <w:color w:val="000000" w:themeColor="text1"/>
                <w:sz w:val="20"/>
                <w:szCs w:val="20"/>
              </w:rPr>
            </w:pPr>
            <w:r w:rsidRPr="006C6F80">
              <w:rPr>
                <w:color w:val="000000" w:themeColor="text1"/>
                <w:sz w:val="20"/>
                <w:szCs w:val="20"/>
              </w:rPr>
              <w:t>(0.109)</w:t>
            </w:r>
          </w:p>
        </w:tc>
      </w:tr>
      <w:tr w:rsidR="00DB060D" w:rsidRPr="006C6F80" w14:paraId="66B17027" w14:textId="77777777" w:rsidTr="00DB060D">
        <w:trPr>
          <w:trHeight w:val="280"/>
          <w:jc w:val="center"/>
        </w:trPr>
        <w:tc>
          <w:tcPr>
            <w:tcW w:w="1820" w:type="dxa"/>
            <w:tcBorders>
              <w:top w:val="nil"/>
              <w:left w:val="nil"/>
              <w:bottom w:val="nil"/>
              <w:right w:val="nil"/>
            </w:tcBorders>
            <w:shd w:val="clear" w:color="auto" w:fill="auto"/>
            <w:noWrap/>
            <w:vAlign w:val="center"/>
            <w:hideMark/>
          </w:tcPr>
          <w:p w14:paraId="64C45F20" w14:textId="77777777" w:rsidR="00DB060D" w:rsidRPr="006C6F80" w:rsidRDefault="00DB060D" w:rsidP="00DB060D">
            <w:pPr>
              <w:jc w:val="center"/>
              <w:rPr>
                <w:color w:val="000000" w:themeColor="text1"/>
                <w:sz w:val="20"/>
                <w:szCs w:val="20"/>
              </w:rPr>
            </w:pPr>
          </w:p>
        </w:tc>
        <w:tc>
          <w:tcPr>
            <w:tcW w:w="2164" w:type="dxa"/>
            <w:tcBorders>
              <w:top w:val="nil"/>
              <w:left w:val="nil"/>
              <w:bottom w:val="nil"/>
              <w:right w:val="nil"/>
            </w:tcBorders>
            <w:shd w:val="clear" w:color="auto" w:fill="auto"/>
            <w:noWrap/>
            <w:vAlign w:val="center"/>
            <w:hideMark/>
          </w:tcPr>
          <w:p w14:paraId="5C822949" w14:textId="77777777" w:rsidR="00DB060D" w:rsidRPr="006C6F80" w:rsidRDefault="00DB060D" w:rsidP="00DB060D">
            <w:pPr>
              <w:jc w:val="center"/>
              <w:rPr>
                <w:color w:val="000000" w:themeColor="text1"/>
                <w:sz w:val="20"/>
                <w:szCs w:val="20"/>
              </w:rPr>
            </w:pPr>
          </w:p>
        </w:tc>
        <w:tc>
          <w:tcPr>
            <w:tcW w:w="2164" w:type="dxa"/>
            <w:tcBorders>
              <w:top w:val="nil"/>
              <w:left w:val="nil"/>
              <w:bottom w:val="nil"/>
              <w:right w:val="nil"/>
            </w:tcBorders>
            <w:shd w:val="clear" w:color="auto" w:fill="auto"/>
            <w:noWrap/>
            <w:vAlign w:val="center"/>
            <w:hideMark/>
          </w:tcPr>
          <w:p w14:paraId="0876CD7C" w14:textId="77777777" w:rsidR="00DB060D" w:rsidRPr="006C6F80" w:rsidRDefault="00DB060D" w:rsidP="00DB060D">
            <w:pPr>
              <w:jc w:val="center"/>
              <w:rPr>
                <w:color w:val="000000" w:themeColor="text1"/>
                <w:sz w:val="20"/>
                <w:szCs w:val="20"/>
              </w:rPr>
            </w:pPr>
          </w:p>
        </w:tc>
        <w:tc>
          <w:tcPr>
            <w:tcW w:w="1052" w:type="dxa"/>
            <w:tcBorders>
              <w:top w:val="nil"/>
              <w:left w:val="nil"/>
              <w:bottom w:val="nil"/>
              <w:right w:val="nil"/>
            </w:tcBorders>
            <w:shd w:val="clear" w:color="auto" w:fill="auto"/>
            <w:noWrap/>
            <w:vAlign w:val="bottom"/>
            <w:hideMark/>
          </w:tcPr>
          <w:p w14:paraId="50B5BA1B" w14:textId="77777777" w:rsidR="00DB060D" w:rsidRPr="006C6F80" w:rsidRDefault="00DB060D" w:rsidP="00DB060D">
            <w:pPr>
              <w:jc w:val="center"/>
              <w:rPr>
                <w:color w:val="000000" w:themeColor="text1"/>
                <w:sz w:val="20"/>
                <w:szCs w:val="20"/>
              </w:rPr>
            </w:pPr>
          </w:p>
        </w:tc>
      </w:tr>
      <w:tr w:rsidR="00DB060D" w:rsidRPr="006C6F80" w14:paraId="74677F0A" w14:textId="77777777" w:rsidTr="00DB060D">
        <w:trPr>
          <w:trHeight w:val="280"/>
          <w:jc w:val="center"/>
        </w:trPr>
        <w:tc>
          <w:tcPr>
            <w:tcW w:w="1820" w:type="dxa"/>
            <w:tcBorders>
              <w:top w:val="nil"/>
              <w:left w:val="nil"/>
              <w:bottom w:val="nil"/>
              <w:right w:val="nil"/>
            </w:tcBorders>
            <w:shd w:val="clear" w:color="auto" w:fill="auto"/>
            <w:noWrap/>
            <w:vAlign w:val="center"/>
            <w:hideMark/>
          </w:tcPr>
          <w:p w14:paraId="402879E9"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Stayers</w:t>
            </w:r>
          </w:p>
        </w:tc>
        <w:tc>
          <w:tcPr>
            <w:tcW w:w="2164" w:type="dxa"/>
            <w:tcBorders>
              <w:top w:val="nil"/>
              <w:left w:val="nil"/>
              <w:bottom w:val="nil"/>
              <w:right w:val="nil"/>
            </w:tcBorders>
            <w:shd w:val="clear" w:color="auto" w:fill="auto"/>
            <w:noWrap/>
            <w:vAlign w:val="bottom"/>
            <w:hideMark/>
          </w:tcPr>
          <w:p w14:paraId="6BD9AF24" w14:textId="77777777" w:rsidR="00DB060D" w:rsidRPr="006C6F80" w:rsidRDefault="00DB060D" w:rsidP="00DB060D">
            <w:pPr>
              <w:jc w:val="center"/>
              <w:rPr>
                <w:color w:val="000000" w:themeColor="text1"/>
                <w:sz w:val="20"/>
                <w:szCs w:val="20"/>
              </w:rPr>
            </w:pPr>
            <w:r w:rsidRPr="006C6F80">
              <w:rPr>
                <w:color w:val="000000" w:themeColor="text1"/>
                <w:sz w:val="20"/>
                <w:szCs w:val="20"/>
              </w:rPr>
              <w:t>3.341</w:t>
            </w:r>
          </w:p>
        </w:tc>
        <w:tc>
          <w:tcPr>
            <w:tcW w:w="2164" w:type="dxa"/>
            <w:tcBorders>
              <w:top w:val="nil"/>
              <w:left w:val="nil"/>
              <w:bottom w:val="nil"/>
              <w:right w:val="nil"/>
            </w:tcBorders>
            <w:shd w:val="clear" w:color="auto" w:fill="auto"/>
            <w:noWrap/>
            <w:vAlign w:val="bottom"/>
            <w:hideMark/>
          </w:tcPr>
          <w:p w14:paraId="1920ED92" w14:textId="77777777" w:rsidR="00DB060D" w:rsidRPr="006C6F80" w:rsidRDefault="00DB060D" w:rsidP="00DB060D">
            <w:pPr>
              <w:jc w:val="center"/>
              <w:rPr>
                <w:color w:val="000000" w:themeColor="text1"/>
                <w:sz w:val="20"/>
                <w:szCs w:val="20"/>
              </w:rPr>
            </w:pPr>
            <w:r w:rsidRPr="006C6F80">
              <w:rPr>
                <w:color w:val="000000" w:themeColor="text1"/>
                <w:sz w:val="20"/>
                <w:szCs w:val="20"/>
              </w:rPr>
              <w:t>3.634</w:t>
            </w:r>
          </w:p>
        </w:tc>
        <w:tc>
          <w:tcPr>
            <w:tcW w:w="1052" w:type="dxa"/>
            <w:tcBorders>
              <w:top w:val="nil"/>
              <w:left w:val="nil"/>
              <w:bottom w:val="nil"/>
              <w:right w:val="nil"/>
            </w:tcBorders>
            <w:shd w:val="clear" w:color="auto" w:fill="auto"/>
            <w:noWrap/>
            <w:vAlign w:val="bottom"/>
            <w:hideMark/>
          </w:tcPr>
          <w:p w14:paraId="1F46A653" w14:textId="77777777" w:rsidR="00DB060D" w:rsidRPr="006C6F80" w:rsidRDefault="00DB060D" w:rsidP="00DB060D">
            <w:pPr>
              <w:jc w:val="center"/>
              <w:rPr>
                <w:color w:val="000000" w:themeColor="text1"/>
                <w:sz w:val="20"/>
                <w:szCs w:val="20"/>
              </w:rPr>
            </w:pPr>
            <w:r w:rsidRPr="006C6F80">
              <w:rPr>
                <w:color w:val="000000" w:themeColor="text1"/>
                <w:sz w:val="20"/>
                <w:szCs w:val="20"/>
              </w:rPr>
              <w:t>0.293***</w:t>
            </w:r>
          </w:p>
        </w:tc>
      </w:tr>
      <w:tr w:rsidR="00DB060D" w:rsidRPr="006C6F80" w14:paraId="57CD7B96" w14:textId="77777777" w:rsidTr="00DB060D">
        <w:trPr>
          <w:trHeight w:val="280"/>
          <w:jc w:val="center"/>
        </w:trPr>
        <w:tc>
          <w:tcPr>
            <w:tcW w:w="1820" w:type="dxa"/>
            <w:tcBorders>
              <w:top w:val="nil"/>
              <w:left w:val="nil"/>
              <w:bottom w:val="nil"/>
              <w:right w:val="nil"/>
            </w:tcBorders>
            <w:shd w:val="clear" w:color="auto" w:fill="auto"/>
            <w:noWrap/>
            <w:vAlign w:val="center"/>
            <w:hideMark/>
          </w:tcPr>
          <w:p w14:paraId="41818803"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(Control group)</w:t>
            </w:r>
          </w:p>
        </w:tc>
        <w:tc>
          <w:tcPr>
            <w:tcW w:w="2164" w:type="dxa"/>
            <w:tcBorders>
              <w:top w:val="nil"/>
              <w:left w:val="nil"/>
              <w:bottom w:val="nil"/>
              <w:right w:val="nil"/>
            </w:tcBorders>
            <w:shd w:val="clear" w:color="auto" w:fill="auto"/>
            <w:noWrap/>
            <w:vAlign w:val="bottom"/>
            <w:hideMark/>
          </w:tcPr>
          <w:p w14:paraId="214BABCA" w14:textId="77777777" w:rsidR="00DB060D" w:rsidRPr="006C6F80" w:rsidRDefault="00DB060D" w:rsidP="00DB060D">
            <w:pPr>
              <w:jc w:val="center"/>
              <w:rPr>
                <w:color w:val="000000" w:themeColor="text1"/>
                <w:sz w:val="20"/>
                <w:szCs w:val="20"/>
              </w:rPr>
            </w:pPr>
            <w:r w:rsidRPr="006C6F80">
              <w:rPr>
                <w:color w:val="000000" w:themeColor="text1"/>
                <w:sz w:val="20"/>
                <w:szCs w:val="20"/>
              </w:rPr>
              <w:t>(0.128)</w:t>
            </w:r>
          </w:p>
        </w:tc>
        <w:tc>
          <w:tcPr>
            <w:tcW w:w="2164" w:type="dxa"/>
            <w:tcBorders>
              <w:top w:val="nil"/>
              <w:left w:val="nil"/>
              <w:bottom w:val="nil"/>
              <w:right w:val="nil"/>
            </w:tcBorders>
            <w:shd w:val="clear" w:color="auto" w:fill="auto"/>
            <w:noWrap/>
            <w:vAlign w:val="bottom"/>
            <w:hideMark/>
          </w:tcPr>
          <w:p w14:paraId="6F0A2FE8" w14:textId="77777777" w:rsidR="00DB060D" w:rsidRPr="006C6F80" w:rsidRDefault="00DB060D" w:rsidP="00DB060D">
            <w:pPr>
              <w:jc w:val="center"/>
              <w:rPr>
                <w:color w:val="000000" w:themeColor="text1"/>
                <w:sz w:val="20"/>
                <w:szCs w:val="20"/>
              </w:rPr>
            </w:pPr>
            <w:r w:rsidRPr="006C6F80">
              <w:rPr>
                <w:color w:val="000000" w:themeColor="text1"/>
                <w:sz w:val="20"/>
                <w:szCs w:val="20"/>
              </w:rPr>
              <w:t>0.120</w:t>
            </w:r>
          </w:p>
        </w:tc>
        <w:tc>
          <w:tcPr>
            <w:tcW w:w="1052" w:type="dxa"/>
            <w:tcBorders>
              <w:top w:val="nil"/>
              <w:left w:val="nil"/>
              <w:bottom w:val="nil"/>
              <w:right w:val="nil"/>
            </w:tcBorders>
            <w:shd w:val="clear" w:color="auto" w:fill="auto"/>
            <w:noWrap/>
            <w:vAlign w:val="bottom"/>
            <w:hideMark/>
          </w:tcPr>
          <w:p w14:paraId="74DCDB14" w14:textId="77777777" w:rsidR="00DB060D" w:rsidRPr="006C6F80" w:rsidRDefault="00DB060D" w:rsidP="00DB060D">
            <w:pPr>
              <w:jc w:val="center"/>
              <w:rPr>
                <w:color w:val="000000" w:themeColor="text1"/>
                <w:sz w:val="20"/>
                <w:szCs w:val="20"/>
              </w:rPr>
            </w:pPr>
            <w:r w:rsidRPr="006C6F80">
              <w:rPr>
                <w:color w:val="000000" w:themeColor="text1"/>
                <w:sz w:val="20"/>
                <w:szCs w:val="20"/>
              </w:rPr>
              <w:t>(0.075)</w:t>
            </w:r>
          </w:p>
        </w:tc>
      </w:tr>
      <w:tr w:rsidR="00DB060D" w:rsidRPr="006C6F80" w14:paraId="2C893128" w14:textId="77777777" w:rsidTr="00DB060D">
        <w:trPr>
          <w:trHeight w:val="280"/>
          <w:jc w:val="center"/>
        </w:trPr>
        <w:tc>
          <w:tcPr>
            <w:tcW w:w="1820" w:type="dxa"/>
            <w:tcBorders>
              <w:top w:val="nil"/>
              <w:left w:val="nil"/>
              <w:bottom w:val="nil"/>
              <w:right w:val="nil"/>
            </w:tcBorders>
            <w:shd w:val="clear" w:color="auto" w:fill="auto"/>
            <w:noWrap/>
            <w:vAlign w:val="center"/>
            <w:hideMark/>
          </w:tcPr>
          <w:p w14:paraId="010B03EF" w14:textId="77777777" w:rsidR="00DB060D" w:rsidRPr="006C6F80" w:rsidRDefault="00DB060D" w:rsidP="00DB060D">
            <w:pPr>
              <w:jc w:val="center"/>
              <w:rPr>
                <w:color w:val="000000" w:themeColor="text1"/>
                <w:sz w:val="20"/>
                <w:szCs w:val="20"/>
              </w:rPr>
            </w:pPr>
          </w:p>
        </w:tc>
        <w:tc>
          <w:tcPr>
            <w:tcW w:w="2164" w:type="dxa"/>
            <w:tcBorders>
              <w:top w:val="nil"/>
              <w:left w:val="nil"/>
              <w:bottom w:val="nil"/>
              <w:right w:val="nil"/>
            </w:tcBorders>
            <w:shd w:val="clear" w:color="auto" w:fill="auto"/>
            <w:noWrap/>
            <w:vAlign w:val="center"/>
            <w:hideMark/>
          </w:tcPr>
          <w:p w14:paraId="1EA2A485" w14:textId="77777777" w:rsidR="00DB060D" w:rsidRPr="006C6F80" w:rsidRDefault="00DB060D" w:rsidP="00DB060D">
            <w:pPr>
              <w:jc w:val="center"/>
              <w:rPr>
                <w:color w:val="000000" w:themeColor="text1"/>
                <w:sz w:val="20"/>
                <w:szCs w:val="20"/>
              </w:rPr>
            </w:pPr>
          </w:p>
        </w:tc>
        <w:tc>
          <w:tcPr>
            <w:tcW w:w="2164" w:type="dxa"/>
            <w:tcBorders>
              <w:top w:val="nil"/>
              <w:left w:val="nil"/>
              <w:bottom w:val="nil"/>
              <w:right w:val="nil"/>
            </w:tcBorders>
            <w:shd w:val="clear" w:color="auto" w:fill="auto"/>
            <w:noWrap/>
            <w:vAlign w:val="center"/>
            <w:hideMark/>
          </w:tcPr>
          <w:p w14:paraId="608E3ABD" w14:textId="77777777" w:rsidR="00DB060D" w:rsidRPr="006C6F80" w:rsidRDefault="00DB060D" w:rsidP="00DB060D">
            <w:pPr>
              <w:jc w:val="center"/>
              <w:rPr>
                <w:color w:val="000000" w:themeColor="text1"/>
                <w:sz w:val="20"/>
                <w:szCs w:val="20"/>
              </w:rPr>
            </w:pPr>
          </w:p>
        </w:tc>
        <w:tc>
          <w:tcPr>
            <w:tcW w:w="1052" w:type="dxa"/>
            <w:tcBorders>
              <w:top w:val="nil"/>
              <w:left w:val="nil"/>
              <w:bottom w:val="nil"/>
              <w:right w:val="nil"/>
            </w:tcBorders>
            <w:shd w:val="clear" w:color="auto" w:fill="auto"/>
            <w:noWrap/>
            <w:vAlign w:val="center"/>
            <w:hideMark/>
          </w:tcPr>
          <w:p w14:paraId="4B704162" w14:textId="77777777" w:rsidR="00DB060D" w:rsidRPr="006C6F80" w:rsidRDefault="00DB060D" w:rsidP="00DB060D">
            <w:pPr>
              <w:jc w:val="center"/>
              <w:rPr>
                <w:color w:val="000000" w:themeColor="text1"/>
                <w:sz w:val="20"/>
                <w:szCs w:val="20"/>
              </w:rPr>
            </w:pPr>
          </w:p>
        </w:tc>
      </w:tr>
      <w:tr w:rsidR="00DB060D" w:rsidRPr="006C6F80" w14:paraId="137CE73E" w14:textId="77777777" w:rsidTr="00DB060D">
        <w:trPr>
          <w:trHeight w:val="280"/>
          <w:jc w:val="center"/>
        </w:trPr>
        <w:tc>
          <w:tcPr>
            <w:tcW w:w="1820" w:type="dxa"/>
            <w:vMerge w:val="restart"/>
            <w:tcBorders>
              <w:top w:val="nil"/>
              <w:left w:val="nil"/>
              <w:bottom w:val="single" w:sz="4" w:space="0" w:color="000000"/>
              <w:right w:val="nil"/>
            </w:tcBorders>
            <w:shd w:val="clear" w:color="auto" w:fill="auto"/>
            <w:noWrap/>
            <w:vAlign w:val="center"/>
            <w:hideMark/>
          </w:tcPr>
          <w:p w14:paraId="262F9C3B" w14:textId="77777777" w:rsidR="00DB060D" w:rsidRPr="006C6F80" w:rsidRDefault="00DB060D" w:rsidP="00DB060D">
            <w:pPr>
              <w:jc w:val="center"/>
              <w:rPr>
                <w:i/>
                <w:iCs/>
                <w:color w:val="000000" w:themeColor="text1"/>
                <w:sz w:val="20"/>
                <w:szCs w:val="20"/>
              </w:rPr>
            </w:pPr>
            <w:r w:rsidRPr="006C6F80">
              <w:rPr>
                <w:i/>
                <w:iCs/>
                <w:color w:val="000000" w:themeColor="text1"/>
                <w:sz w:val="20"/>
                <w:szCs w:val="20"/>
              </w:rPr>
              <w:t>Difference</w:t>
            </w:r>
          </w:p>
        </w:tc>
        <w:tc>
          <w:tcPr>
            <w:tcW w:w="2164" w:type="dxa"/>
            <w:tcBorders>
              <w:top w:val="nil"/>
              <w:left w:val="nil"/>
              <w:bottom w:val="nil"/>
              <w:right w:val="nil"/>
            </w:tcBorders>
            <w:shd w:val="clear" w:color="auto" w:fill="auto"/>
            <w:noWrap/>
            <w:vAlign w:val="bottom"/>
            <w:hideMark/>
          </w:tcPr>
          <w:p w14:paraId="0B894EF7" w14:textId="77777777" w:rsidR="00DB060D" w:rsidRPr="006C6F80" w:rsidRDefault="00DB060D" w:rsidP="00DB060D">
            <w:pPr>
              <w:jc w:val="center"/>
              <w:rPr>
                <w:color w:val="000000" w:themeColor="text1"/>
                <w:sz w:val="20"/>
                <w:szCs w:val="20"/>
              </w:rPr>
            </w:pPr>
            <w:r w:rsidRPr="006C6F80">
              <w:rPr>
                <w:color w:val="000000" w:themeColor="text1"/>
                <w:sz w:val="20"/>
                <w:szCs w:val="20"/>
              </w:rPr>
              <w:t>-0.787***</w:t>
            </w:r>
          </w:p>
        </w:tc>
        <w:tc>
          <w:tcPr>
            <w:tcW w:w="2164" w:type="dxa"/>
            <w:tcBorders>
              <w:top w:val="nil"/>
              <w:left w:val="nil"/>
              <w:bottom w:val="nil"/>
              <w:right w:val="nil"/>
            </w:tcBorders>
            <w:shd w:val="clear" w:color="auto" w:fill="auto"/>
            <w:noWrap/>
            <w:vAlign w:val="bottom"/>
            <w:hideMark/>
          </w:tcPr>
          <w:p w14:paraId="2DA710CE" w14:textId="77777777" w:rsidR="00DB060D" w:rsidRPr="006C6F80" w:rsidRDefault="00DB060D" w:rsidP="00DB060D">
            <w:pPr>
              <w:jc w:val="center"/>
              <w:rPr>
                <w:color w:val="000000" w:themeColor="text1"/>
                <w:sz w:val="20"/>
                <w:szCs w:val="20"/>
              </w:rPr>
            </w:pPr>
            <w:r w:rsidRPr="006C6F80">
              <w:rPr>
                <w:color w:val="000000" w:themeColor="text1"/>
                <w:sz w:val="20"/>
                <w:szCs w:val="20"/>
              </w:rPr>
              <w:t>-0.409**</w:t>
            </w:r>
          </w:p>
        </w:tc>
        <w:tc>
          <w:tcPr>
            <w:tcW w:w="1052" w:type="dxa"/>
            <w:tcBorders>
              <w:top w:val="nil"/>
              <w:left w:val="nil"/>
              <w:bottom w:val="nil"/>
              <w:right w:val="nil"/>
            </w:tcBorders>
            <w:shd w:val="clear" w:color="auto" w:fill="auto"/>
            <w:noWrap/>
            <w:vAlign w:val="bottom"/>
            <w:hideMark/>
          </w:tcPr>
          <w:p w14:paraId="7D3C75B7" w14:textId="77777777" w:rsidR="00DB060D" w:rsidRPr="006C6F80" w:rsidRDefault="00DB060D" w:rsidP="00DB060D">
            <w:pPr>
              <w:jc w:val="center"/>
              <w:rPr>
                <w:color w:val="000000" w:themeColor="text1"/>
                <w:sz w:val="20"/>
                <w:szCs w:val="20"/>
              </w:rPr>
            </w:pPr>
            <w:r w:rsidRPr="006C6F80">
              <w:rPr>
                <w:color w:val="000000" w:themeColor="text1"/>
                <w:sz w:val="20"/>
                <w:szCs w:val="20"/>
              </w:rPr>
              <w:t>0.378*</w:t>
            </w:r>
          </w:p>
        </w:tc>
      </w:tr>
      <w:tr w:rsidR="00DB060D" w:rsidRPr="006C6F80" w14:paraId="56C8E16E" w14:textId="77777777" w:rsidTr="00DB060D">
        <w:trPr>
          <w:trHeight w:val="280"/>
          <w:jc w:val="center"/>
        </w:trPr>
        <w:tc>
          <w:tcPr>
            <w:tcW w:w="1820" w:type="dxa"/>
            <w:vMerge/>
            <w:tcBorders>
              <w:top w:val="nil"/>
              <w:left w:val="nil"/>
              <w:bottom w:val="single" w:sz="4" w:space="0" w:color="000000"/>
              <w:right w:val="nil"/>
            </w:tcBorders>
            <w:vAlign w:val="center"/>
            <w:hideMark/>
          </w:tcPr>
          <w:p w14:paraId="39BFEF72" w14:textId="77777777" w:rsidR="00DB060D" w:rsidRPr="006C6F80" w:rsidRDefault="00DB060D" w:rsidP="00DB060D">
            <w:pPr>
              <w:rPr>
                <w:i/>
                <w:iCs/>
                <w:color w:val="000000" w:themeColor="text1"/>
                <w:sz w:val="20"/>
                <w:szCs w:val="20"/>
              </w:rPr>
            </w:pPr>
          </w:p>
        </w:tc>
        <w:tc>
          <w:tcPr>
            <w:tcW w:w="2164" w:type="dxa"/>
            <w:tcBorders>
              <w:top w:val="nil"/>
              <w:left w:val="nil"/>
              <w:bottom w:val="single" w:sz="4" w:space="0" w:color="auto"/>
              <w:right w:val="nil"/>
            </w:tcBorders>
            <w:shd w:val="clear" w:color="auto" w:fill="auto"/>
            <w:noWrap/>
            <w:vAlign w:val="bottom"/>
            <w:hideMark/>
          </w:tcPr>
          <w:p w14:paraId="1351AB8E" w14:textId="77777777" w:rsidR="00DB060D" w:rsidRPr="006C6F80" w:rsidRDefault="00DB060D" w:rsidP="00DB060D">
            <w:pPr>
              <w:jc w:val="center"/>
              <w:rPr>
                <w:color w:val="000000" w:themeColor="text1"/>
                <w:sz w:val="20"/>
                <w:szCs w:val="20"/>
              </w:rPr>
            </w:pPr>
            <w:r w:rsidRPr="006C6F80">
              <w:rPr>
                <w:color w:val="000000" w:themeColor="text1"/>
                <w:sz w:val="20"/>
                <w:szCs w:val="20"/>
              </w:rPr>
              <w:t>(0.167)</w:t>
            </w:r>
          </w:p>
        </w:tc>
        <w:tc>
          <w:tcPr>
            <w:tcW w:w="2164" w:type="dxa"/>
            <w:tcBorders>
              <w:top w:val="nil"/>
              <w:left w:val="nil"/>
              <w:bottom w:val="single" w:sz="4" w:space="0" w:color="auto"/>
              <w:right w:val="nil"/>
            </w:tcBorders>
            <w:shd w:val="clear" w:color="auto" w:fill="auto"/>
            <w:noWrap/>
            <w:vAlign w:val="bottom"/>
            <w:hideMark/>
          </w:tcPr>
          <w:p w14:paraId="3F2F1079" w14:textId="77777777" w:rsidR="00DB060D" w:rsidRPr="006C6F80" w:rsidRDefault="00DB060D" w:rsidP="00DB060D">
            <w:pPr>
              <w:jc w:val="center"/>
              <w:rPr>
                <w:color w:val="000000" w:themeColor="text1"/>
                <w:sz w:val="20"/>
                <w:szCs w:val="20"/>
              </w:rPr>
            </w:pPr>
            <w:r w:rsidRPr="006C6F80">
              <w:rPr>
                <w:color w:val="000000" w:themeColor="text1"/>
                <w:sz w:val="20"/>
                <w:szCs w:val="20"/>
              </w:rPr>
              <w:t>(0.160)</w:t>
            </w:r>
          </w:p>
        </w:tc>
        <w:tc>
          <w:tcPr>
            <w:tcW w:w="1052" w:type="dxa"/>
            <w:tcBorders>
              <w:top w:val="nil"/>
              <w:left w:val="nil"/>
              <w:bottom w:val="single" w:sz="4" w:space="0" w:color="auto"/>
              <w:right w:val="nil"/>
            </w:tcBorders>
            <w:shd w:val="clear" w:color="auto" w:fill="auto"/>
            <w:noWrap/>
            <w:vAlign w:val="bottom"/>
            <w:hideMark/>
          </w:tcPr>
          <w:p w14:paraId="0B97BA0B" w14:textId="77777777" w:rsidR="00DB060D" w:rsidRPr="006C6F80" w:rsidRDefault="00DB060D" w:rsidP="00DB060D">
            <w:pPr>
              <w:jc w:val="center"/>
              <w:rPr>
                <w:color w:val="000000" w:themeColor="text1"/>
                <w:sz w:val="20"/>
                <w:szCs w:val="20"/>
              </w:rPr>
            </w:pPr>
            <w:r w:rsidRPr="006C6F80">
              <w:rPr>
                <w:color w:val="000000" w:themeColor="text1"/>
                <w:sz w:val="20"/>
                <w:szCs w:val="20"/>
              </w:rPr>
              <w:t>(0.204)</w:t>
            </w:r>
          </w:p>
        </w:tc>
      </w:tr>
    </w:tbl>
    <w:p w14:paraId="2CC0AB82" w14:textId="49EB4320" w:rsidR="00550704" w:rsidRPr="006C6F80" w:rsidRDefault="00550704" w:rsidP="00DB060D">
      <w:pPr>
        <w:ind w:left="153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Robust standard errors in parentheses </w:t>
      </w:r>
    </w:p>
    <w:p w14:paraId="768052B8" w14:textId="77777777" w:rsidR="00550704" w:rsidRPr="006C6F80" w:rsidRDefault="00550704" w:rsidP="00DB060D">
      <w:pPr>
        <w:ind w:left="1530"/>
        <w:jc w:val="both"/>
        <w:rPr>
          <w:rFonts w:asciiTheme="majorBidi" w:hAnsiTheme="majorBidi" w:cstheme="majorBidi"/>
          <w:color w:val="000000" w:themeColor="text1"/>
          <w:sz w:val="18"/>
          <w:szCs w:val="18"/>
        </w:rPr>
      </w:pPr>
      <w:r w:rsidRPr="006C6F80">
        <w:rPr>
          <w:rFonts w:asciiTheme="majorBidi" w:hAnsiTheme="majorBidi" w:cstheme="majorBidi"/>
          <w:color w:val="000000" w:themeColor="text1"/>
          <w:sz w:val="18"/>
          <w:szCs w:val="18"/>
        </w:rPr>
        <w:t xml:space="preserve">*** p&lt;0.01, ** p&lt;0.05, * p&lt;0.1 </w:t>
      </w:r>
    </w:p>
    <w:p w14:paraId="33F25B66" w14:textId="66781463" w:rsidR="00550704" w:rsidRPr="00CE54C2" w:rsidRDefault="00550704" w:rsidP="00DB060D">
      <w:pPr>
        <w:tabs>
          <w:tab w:val="left" w:pos="8460"/>
        </w:tabs>
        <w:ind w:left="1530" w:right="1558"/>
        <w:jc w:val="both"/>
        <w:rPr>
          <w:color w:val="000000" w:themeColor="text1"/>
        </w:rPr>
      </w:pPr>
      <w:r w:rsidRPr="006C6F80">
        <w:rPr>
          <w:rFonts w:asciiTheme="majorBidi" w:hAnsiTheme="majorBidi" w:cstheme="majorBidi"/>
          <w:i/>
          <w:iCs/>
          <w:color w:val="000000" w:themeColor="text1"/>
          <w:sz w:val="18"/>
          <w:szCs w:val="18"/>
        </w:rPr>
        <w:t>Notes.</w:t>
      </w:r>
      <w:r w:rsidRPr="006C6F80">
        <w:rPr>
          <w:rFonts w:asciiTheme="majorBidi" w:hAnsiTheme="majorBidi" w:cstheme="majorBidi"/>
          <w:color w:val="000000" w:themeColor="text1"/>
          <w:sz w:val="18"/>
          <w:szCs w:val="18"/>
        </w:rPr>
        <w:t xml:space="preserve"> Panel A</w:t>
      </w:r>
      <w:r w:rsidR="006641CF" w:rsidRPr="006C6F80">
        <w:rPr>
          <w:rFonts w:asciiTheme="majorBidi" w:hAnsiTheme="majorBidi" w:cstheme="majorBidi"/>
          <w:color w:val="000000" w:themeColor="text1"/>
          <w:sz w:val="18"/>
          <w:szCs w:val="18"/>
        </w:rPr>
        <w:t xml:space="preserve"> provides estimates from</w:t>
      </w:r>
      <w:r w:rsidRPr="006C6F80">
        <w:rPr>
          <w:rFonts w:asciiTheme="majorBidi" w:hAnsiTheme="majorBidi" w:cstheme="majorBidi"/>
          <w:color w:val="000000" w:themeColor="text1"/>
          <w:sz w:val="18"/>
          <w:szCs w:val="18"/>
        </w:rPr>
        <w:t xml:space="preserve"> Propensity Score Matching, using the nearest neighbor estimator combined with Difference-in-Differences. Individuals are matched based on their age at first job, educational attainment, rural at birth, and first job characteristics</w:t>
      </w:r>
      <w:r w:rsidR="006641CF" w:rsidRPr="006C6F80">
        <w:rPr>
          <w:rFonts w:asciiTheme="majorBidi" w:hAnsiTheme="majorBidi" w:cstheme="majorBidi"/>
          <w:color w:val="000000" w:themeColor="text1"/>
          <w:sz w:val="18"/>
          <w:szCs w:val="18"/>
        </w:rPr>
        <w:t>,</w:t>
      </w:r>
      <w:r w:rsidRPr="006C6F80">
        <w:rPr>
          <w:rFonts w:asciiTheme="majorBidi" w:hAnsiTheme="majorBidi" w:cstheme="majorBidi"/>
          <w:color w:val="000000" w:themeColor="text1"/>
          <w:sz w:val="18"/>
          <w:szCs w:val="18"/>
        </w:rPr>
        <w:t xml:space="preserve"> including economic activities, sector of employment, incidence of work contract</w:t>
      </w:r>
      <w:r w:rsidR="006641CF" w:rsidRPr="006C6F80">
        <w:rPr>
          <w:rFonts w:asciiTheme="majorBidi" w:hAnsiTheme="majorBidi" w:cstheme="majorBidi"/>
          <w:color w:val="000000" w:themeColor="text1"/>
          <w:sz w:val="18"/>
          <w:szCs w:val="18"/>
        </w:rPr>
        <w:t>,</w:t>
      </w:r>
      <w:r w:rsidRPr="006C6F80">
        <w:rPr>
          <w:rFonts w:asciiTheme="majorBidi" w:hAnsiTheme="majorBidi" w:cstheme="majorBidi"/>
          <w:color w:val="000000" w:themeColor="text1"/>
          <w:sz w:val="18"/>
          <w:szCs w:val="18"/>
        </w:rPr>
        <w:t xml:space="preserve"> and social security. In Panel B, we additionally match individuals based on their first job occupation. In both Panel A and Panel B, the regressions include a dummy variable for each pair of matched stayer and returnee. Before the treatment refers to the first occupation and after the treatment refers to the occupation in 2010. The dependent variable is the individual’s occupation ranking. It takes values from 1 to 5 for the following categories respectively: agriculture, low-skilled blue-collar, high-skilled blue-collar, low-skilled white-collar and high-skilled white-collar.</w:t>
      </w:r>
      <w:r w:rsidRPr="00CE54C2">
        <w:rPr>
          <w:color w:val="000000" w:themeColor="text1"/>
        </w:rPr>
        <w:t xml:space="preserve"> </w:t>
      </w:r>
    </w:p>
    <w:p w14:paraId="730E0153" w14:textId="2EB4D737" w:rsidR="000E4D9F" w:rsidRPr="00CE54C2" w:rsidRDefault="000E4D9F">
      <w:pPr>
        <w:rPr>
          <w:rFonts w:asciiTheme="majorBidi" w:hAnsiTheme="majorBidi" w:cstheme="majorBidi"/>
          <w:i/>
          <w:iCs/>
          <w:color w:val="000000" w:themeColor="text1"/>
          <w:sz w:val="18"/>
          <w:szCs w:val="18"/>
        </w:rPr>
      </w:pPr>
    </w:p>
    <w:sectPr w:rsidR="000E4D9F" w:rsidRPr="00CE54C2" w:rsidSect="005E1A47">
      <w:headerReference w:type="default" r:id="rId16"/>
      <w:pgSz w:w="12240" w:h="15840"/>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1AFEB" w14:textId="77777777" w:rsidR="003E2C9A" w:rsidRDefault="003E2C9A" w:rsidP="00EE7A54">
      <w:r>
        <w:separator/>
      </w:r>
    </w:p>
  </w:endnote>
  <w:endnote w:type="continuationSeparator" w:id="0">
    <w:p w14:paraId="67DEDC95" w14:textId="77777777" w:rsidR="003E2C9A" w:rsidRDefault="003E2C9A" w:rsidP="00EE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7805888"/>
      <w:docPartObj>
        <w:docPartGallery w:val="Page Numbers (Bottom of Page)"/>
        <w:docPartUnique/>
      </w:docPartObj>
    </w:sdtPr>
    <w:sdtEndPr>
      <w:rPr>
        <w:rFonts w:ascii="Times New Roman" w:hAnsi="Times New Roman" w:cs="Times New Roman"/>
        <w:noProof/>
      </w:rPr>
    </w:sdtEndPr>
    <w:sdtContent>
      <w:p w14:paraId="25135E7E" w14:textId="77777777" w:rsidR="00666DFE" w:rsidRPr="008E7FC8" w:rsidRDefault="00666DFE">
        <w:pPr>
          <w:pStyle w:val="Footer"/>
          <w:jc w:val="right"/>
          <w:rPr>
            <w:rFonts w:ascii="Times New Roman" w:hAnsi="Times New Roman" w:cs="Times New Roman"/>
          </w:rPr>
        </w:pPr>
        <w:r w:rsidRPr="008E7FC8">
          <w:rPr>
            <w:rFonts w:ascii="Times New Roman" w:hAnsi="Times New Roman" w:cs="Times New Roman"/>
          </w:rPr>
          <w:fldChar w:fldCharType="begin"/>
        </w:r>
        <w:r w:rsidRPr="008E7FC8">
          <w:rPr>
            <w:rFonts w:ascii="Times New Roman" w:hAnsi="Times New Roman" w:cs="Times New Roman"/>
          </w:rPr>
          <w:instrText xml:space="preserve"> PAGE   \* MERGEFORMAT </w:instrText>
        </w:r>
        <w:r w:rsidRPr="008E7FC8">
          <w:rPr>
            <w:rFonts w:ascii="Times New Roman" w:hAnsi="Times New Roman" w:cs="Times New Roman"/>
          </w:rPr>
          <w:fldChar w:fldCharType="separate"/>
        </w:r>
        <w:r>
          <w:rPr>
            <w:rFonts w:ascii="Times New Roman" w:hAnsi="Times New Roman" w:cs="Times New Roman"/>
            <w:noProof/>
          </w:rPr>
          <w:t>11</w:t>
        </w:r>
        <w:r w:rsidRPr="008E7FC8">
          <w:rPr>
            <w:rFonts w:ascii="Times New Roman" w:hAnsi="Times New Roman" w:cs="Times New Roman"/>
            <w:noProof/>
          </w:rPr>
          <w:fldChar w:fldCharType="end"/>
        </w:r>
      </w:p>
    </w:sdtContent>
  </w:sdt>
  <w:p w14:paraId="731CD76B" w14:textId="77777777" w:rsidR="00666DFE" w:rsidRDefault="00666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290242"/>
      <w:docPartObj>
        <w:docPartGallery w:val="Page Numbers (Bottom of Page)"/>
        <w:docPartUnique/>
      </w:docPartObj>
    </w:sdtPr>
    <w:sdtEndPr>
      <w:rPr>
        <w:rFonts w:ascii="Times New Roman" w:hAnsi="Times New Roman" w:cs="Times New Roman"/>
        <w:noProof/>
      </w:rPr>
    </w:sdtEndPr>
    <w:sdtContent>
      <w:p w14:paraId="6F076F86" w14:textId="77777777" w:rsidR="00666DFE" w:rsidRPr="0026006E" w:rsidRDefault="00666DFE">
        <w:pPr>
          <w:pStyle w:val="Footer"/>
          <w:jc w:val="right"/>
          <w:rPr>
            <w:rFonts w:ascii="Times New Roman" w:hAnsi="Times New Roman" w:cs="Times New Roman"/>
          </w:rPr>
        </w:pPr>
        <w:r w:rsidRPr="0026006E">
          <w:rPr>
            <w:rFonts w:ascii="Times New Roman" w:hAnsi="Times New Roman" w:cs="Times New Roman"/>
          </w:rPr>
          <w:fldChar w:fldCharType="begin"/>
        </w:r>
        <w:r w:rsidRPr="0026006E">
          <w:rPr>
            <w:rFonts w:ascii="Times New Roman" w:hAnsi="Times New Roman" w:cs="Times New Roman"/>
          </w:rPr>
          <w:instrText xml:space="preserve"> PAGE   \* MERGEFORMAT </w:instrText>
        </w:r>
        <w:r w:rsidRPr="0026006E">
          <w:rPr>
            <w:rFonts w:ascii="Times New Roman" w:hAnsi="Times New Roman" w:cs="Times New Roman"/>
          </w:rPr>
          <w:fldChar w:fldCharType="separate"/>
        </w:r>
        <w:r>
          <w:rPr>
            <w:rFonts w:ascii="Times New Roman" w:hAnsi="Times New Roman" w:cs="Times New Roman"/>
            <w:noProof/>
          </w:rPr>
          <w:t>47</w:t>
        </w:r>
        <w:r w:rsidRPr="0026006E">
          <w:rPr>
            <w:rFonts w:ascii="Times New Roman" w:hAnsi="Times New Roman" w:cs="Times New Roman"/>
            <w:noProof/>
          </w:rPr>
          <w:fldChar w:fldCharType="end"/>
        </w:r>
      </w:p>
    </w:sdtContent>
  </w:sdt>
  <w:p w14:paraId="0B4E5DFF" w14:textId="77777777" w:rsidR="00666DFE" w:rsidRDefault="00666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D752E" w14:textId="77777777" w:rsidR="003E2C9A" w:rsidRDefault="003E2C9A" w:rsidP="00EE7A54">
      <w:r>
        <w:separator/>
      </w:r>
    </w:p>
  </w:footnote>
  <w:footnote w:type="continuationSeparator" w:id="0">
    <w:p w14:paraId="19ECA105" w14:textId="77777777" w:rsidR="003E2C9A" w:rsidRDefault="003E2C9A" w:rsidP="00EE7A54">
      <w:r>
        <w:continuationSeparator/>
      </w:r>
    </w:p>
  </w:footnote>
  <w:footnote w:id="1">
    <w:p w14:paraId="23AD6280" w14:textId="7EE28253" w:rsidR="00356FEA" w:rsidRPr="001C0AE1" w:rsidRDefault="00356FEA" w:rsidP="00356FEA">
      <w:pPr>
        <w:widowControl w:val="0"/>
        <w:autoSpaceDE w:val="0"/>
        <w:autoSpaceDN w:val="0"/>
        <w:adjustRightInd w:val="0"/>
        <w:jc w:val="both"/>
        <w:rPr>
          <w:color w:val="000000" w:themeColor="text1"/>
          <w:sz w:val="20"/>
          <w:szCs w:val="20"/>
        </w:rPr>
      </w:pPr>
      <w:r w:rsidRPr="001C0AE1">
        <w:rPr>
          <w:rStyle w:val="FootnoteReference"/>
          <w:color w:val="000000" w:themeColor="text1"/>
        </w:rPr>
        <w:footnoteRef/>
      </w:r>
      <w:r w:rsidRPr="001C0AE1">
        <w:rPr>
          <w:color w:val="000000" w:themeColor="text1"/>
          <w:sz w:val="20"/>
          <w:szCs w:val="20"/>
        </w:rPr>
        <w:t xml:space="preserve"> </w:t>
      </w:r>
      <w:r w:rsidRPr="001C0AE1">
        <w:rPr>
          <w:i/>
          <w:color w:val="000000" w:themeColor="text1"/>
          <w:sz w:val="20"/>
          <w:szCs w:val="20"/>
        </w:rPr>
        <w:t>Corresponding Author.</w:t>
      </w:r>
      <w:r w:rsidRPr="001C0AE1">
        <w:rPr>
          <w:color w:val="000000" w:themeColor="text1"/>
          <w:sz w:val="20"/>
          <w:szCs w:val="20"/>
        </w:rPr>
        <w:t xml:space="preserve"> Paris School of Economics; Institut Convergences Migrations.</w:t>
      </w:r>
      <w:r>
        <w:rPr>
          <w:color w:val="000000" w:themeColor="text1"/>
          <w:sz w:val="20"/>
          <w:szCs w:val="20"/>
        </w:rPr>
        <w:t xml:space="preserve"> </w:t>
      </w:r>
      <w:r w:rsidRPr="001C0AE1">
        <w:rPr>
          <w:color w:val="000000" w:themeColor="text1"/>
          <w:sz w:val="20"/>
          <w:szCs w:val="20"/>
        </w:rPr>
        <w:t xml:space="preserve">Email: </w:t>
      </w:r>
      <w:hyperlink r:id="rId1" w:history="1">
        <w:r w:rsidRPr="001C0AE1">
          <w:rPr>
            <w:rStyle w:val="Hyperlink"/>
            <w:sz w:val="20"/>
            <w:szCs w:val="20"/>
          </w:rPr>
          <w:t>nelly.elmallakh@psemail.eu</w:t>
        </w:r>
      </w:hyperlink>
      <w:r>
        <w:rPr>
          <w:rStyle w:val="Hyperlink"/>
          <w:sz w:val="20"/>
          <w:szCs w:val="20"/>
        </w:rPr>
        <w:t xml:space="preserve"> </w:t>
      </w:r>
    </w:p>
  </w:footnote>
  <w:footnote w:id="2">
    <w:p w14:paraId="4DA8900E" w14:textId="77777777" w:rsidR="00356FEA" w:rsidRPr="001C0AE1" w:rsidRDefault="00356FEA" w:rsidP="00356FEA">
      <w:pPr>
        <w:widowControl w:val="0"/>
        <w:autoSpaceDE w:val="0"/>
        <w:autoSpaceDN w:val="0"/>
        <w:adjustRightInd w:val="0"/>
        <w:jc w:val="both"/>
        <w:rPr>
          <w:color w:val="000000" w:themeColor="text1"/>
          <w:sz w:val="20"/>
          <w:szCs w:val="20"/>
        </w:rPr>
      </w:pPr>
      <w:r w:rsidRPr="001C0AE1">
        <w:rPr>
          <w:rStyle w:val="FootnoteReference"/>
          <w:color w:val="000000" w:themeColor="text1"/>
        </w:rPr>
        <w:footnoteRef/>
      </w:r>
      <w:r w:rsidRPr="001C0AE1">
        <w:rPr>
          <w:color w:val="000000" w:themeColor="text1"/>
          <w:sz w:val="20"/>
          <w:szCs w:val="20"/>
        </w:rPr>
        <w:t xml:space="preserve"> Department of Economics, University of Southampton. Email: </w:t>
      </w:r>
      <w:hyperlink r:id="rId2" w:history="1">
        <w:r w:rsidRPr="001C0AE1">
          <w:rPr>
            <w:rStyle w:val="Hyperlink"/>
            <w:sz w:val="20"/>
            <w:szCs w:val="20"/>
          </w:rPr>
          <w:t>j.wahba@soton.ac.uk</w:t>
        </w:r>
      </w:hyperlink>
    </w:p>
    <w:p w14:paraId="56AB54D5" w14:textId="77777777" w:rsidR="00356FEA" w:rsidRPr="001C0AE1" w:rsidRDefault="00356FEA" w:rsidP="00356FEA">
      <w:pPr>
        <w:widowControl w:val="0"/>
        <w:autoSpaceDE w:val="0"/>
        <w:autoSpaceDN w:val="0"/>
        <w:adjustRightInd w:val="0"/>
        <w:jc w:val="both"/>
        <w:rPr>
          <w:color w:val="000000" w:themeColor="text1"/>
          <w:sz w:val="20"/>
          <w:szCs w:val="20"/>
        </w:rPr>
      </w:pPr>
      <w:r w:rsidRPr="001C0AE1">
        <w:rPr>
          <w:color w:val="000000" w:themeColor="text1"/>
          <w:sz w:val="20"/>
          <w:szCs w:val="20"/>
        </w:rPr>
        <w:t>*</w:t>
      </w:r>
      <w:r w:rsidRPr="001C0AE1">
        <w:rPr>
          <w:color w:val="000000" w:themeColor="text1"/>
          <w:spacing w:val="-2"/>
          <w:sz w:val="20"/>
          <w:szCs w:val="20"/>
        </w:rPr>
        <w:t xml:space="preserve"> </w:t>
      </w:r>
      <w:r w:rsidRPr="001C0AE1">
        <w:rPr>
          <w:color w:val="000000" w:themeColor="text1"/>
          <w:sz w:val="20"/>
          <w:szCs w:val="20"/>
        </w:rPr>
        <w:t>Financial</w:t>
      </w:r>
      <w:r w:rsidRPr="001C0AE1">
        <w:rPr>
          <w:color w:val="000000" w:themeColor="text1"/>
          <w:w w:val="99"/>
          <w:sz w:val="20"/>
          <w:szCs w:val="20"/>
        </w:rPr>
        <w:t xml:space="preserve"> </w:t>
      </w:r>
      <w:r w:rsidRPr="001C0AE1">
        <w:rPr>
          <w:color w:val="000000" w:themeColor="text1"/>
          <w:sz w:val="20"/>
          <w:szCs w:val="20"/>
        </w:rPr>
        <w:t>support</w:t>
      </w:r>
      <w:r w:rsidRPr="001C0AE1">
        <w:rPr>
          <w:color w:val="000000" w:themeColor="text1"/>
          <w:spacing w:val="-3"/>
          <w:sz w:val="20"/>
          <w:szCs w:val="20"/>
        </w:rPr>
        <w:t xml:space="preserve"> </w:t>
      </w:r>
      <w:r w:rsidRPr="001C0AE1">
        <w:rPr>
          <w:color w:val="000000" w:themeColor="text1"/>
          <w:sz w:val="20"/>
          <w:szCs w:val="20"/>
        </w:rPr>
        <w:t>from</w:t>
      </w:r>
      <w:r w:rsidRPr="001C0AE1">
        <w:rPr>
          <w:color w:val="000000" w:themeColor="text1"/>
          <w:spacing w:val="-7"/>
          <w:sz w:val="20"/>
          <w:szCs w:val="20"/>
        </w:rPr>
        <w:t xml:space="preserve"> </w:t>
      </w:r>
      <w:r w:rsidRPr="001C0AE1">
        <w:rPr>
          <w:color w:val="000000" w:themeColor="text1"/>
          <w:sz w:val="20"/>
          <w:szCs w:val="20"/>
        </w:rPr>
        <w:t>the</w:t>
      </w:r>
      <w:r w:rsidRPr="001C0AE1">
        <w:rPr>
          <w:color w:val="000000" w:themeColor="text1"/>
          <w:spacing w:val="-3"/>
          <w:sz w:val="20"/>
          <w:szCs w:val="20"/>
        </w:rPr>
        <w:t xml:space="preserve"> </w:t>
      </w:r>
      <w:r w:rsidRPr="001C0AE1">
        <w:rPr>
          <w:color w:val="000000" w:themeColor="text1"/>
          <w:sz w:val="20"/>
          <w:szCs w:val="20"/>
        </w:rPr>
        <w:t>Economic Research</w:t>
      </w:r>
      <w:r w:rsidRPr="001C0AE1">
        <w:rPr>
          <w:color w:val="000000" w:themeColor="text1"/>
          <w:spacing w:val="-4"/>
          <w:sz w:val="20"/>
          <w:szCs w:val="20"/>
        </w:rPr>
        <w:t xml:space="preserve"> </w:t>
      </w:r>
      <w:r w:rsidRPr="001C0AE1">
        <w:rPr>
          <w:color w:val="000000" w:themeColor="text1"/>
          <w:sz w:val="20"/>
          <w:szCs w:val="20"/>
        </w:rPr>
        <w:t>Forum</w:t>
      </w:r>
      <w:r w:rsidRPr="001C0AE1">
        <w:rPr>
          <w:color w:val="000000" w:themeColor="text1"/>
          <w:spacing w:val="-4"/>
          <w:sz w:val="20"/>
          <w:szCs w:val="20"/>
        </w:rPr>
        <w:t xml:space="preserve"> </w:t>
      </w:r>
      <w:r w:rsidRPr="001C0AE1">
        <w:rPr>
          <w:color w:val="000000" w:themeColor="text1"/>
          <w:sz w:val="20"/>
          <w:szCs w:val="20"/>
        </w:rPr>
        <w:t>(ERF) is</w:t>
      </w:r>
      <w:r w:rsidRPr="001C0AE1">
        <w:rPr>
          <w:color w:val="000000" w:themeColor="text1"/>
          <w:spacing w:val="-4"/>
          <w:sz w:val="20"/>
          <w:szCs w:val="20"/>
        </w:rPr>
        <w:t xml:space="preserve"> </w:t>
      </w:r>
      <w:r w:rsidRPr="001C0AE1">
        <w:rPr>
          <w:color w:val="000000" w:themeColor="text1"/>
          <w:sz w:val="20"/>
          <w:szCs w:val="20"/>
        </w:rPr>
        <w:t>gratefully</w:t>
      </w:r>
      <w:r w:rsidRPr="001C0AE1">
        <w:rPr>
          <w:color w:val="000000" w:themeColor="text1"/>
          <w:spacing w:val="-7"/>
          <w:sz w:val="20"/>
          <w:szCs w:val="20"/>
        </w:rPr>
        <w:t xml:space="preserve"> </w:t>
      </w:r>
      <w:r w:rsidRPr="001C0AE1">
        <w:rPr>
          <w:color w:val="000000" w:themeColor="text1"/>
          <w:sz w:val="20"/>
          <w:szCs w:val="20"/>
        </w:rPr>
        <w:t>acknowledged. We would like to thank the editor Arun</w:t>
      </w:r>
      <w:r w:rsidRPr="001C0AE1">
        <w:rPr>
          <w:color w:val="000000" w:themeColor="text1"/>
          <w:sz w:val="20"/>
          <w:szCs w:val="20"/>
          <w:shd w:val="clear" w:color="auto" w:fill="FFFFFF"/>
        </w:rPr>
        <w:t xml:space="preserve"> Agrawal and two anonymous referees for their valuable feedback. The authors also wish to thank </w:t>
      </w:r>
      <w:r w:rsidRPr="001C0AE1">
        <w:rPr>
          <w:color w:val="000000" w:themeColor="text1"/>
          <w:sz w:val="20"/>
          <w:szCs w:val="20"/>
        </w:rPr>
        <w:t>Jean-Louis Arcand, Catia Batista, Simone Bertoli, Francesco Fasani, Marcel Fafchamps, Richard Freeman, Sergei Guriev, Brendon McConnell, Marlon Seror, and Insan Tunali for their insightful comments and suggestions.</w:t>
      </w:r>
    </w:p>
  </w:footnote>
  <w:footnote w:id="3">
    <w:p w14:paraId="01461061" w14:textId="1E40F5C3" w:rsidR="00666DFE" w:rsidRPr="001C0AE1" w:rsidRDefault="00666DFE" w:rsidP="00ED03A3">
      <w:pPr>
        <w:jc w:val="both"/>
        <w:rPr>
          <w:sz w:val="20"/>
          <w:szCs w:val="20"/>
        </w:rPr>
      </w:pPr>
      <w:r w:rsidRPr="001C0AE1">
        <w:rPr>
          <w:rStyle w:val="FootnoteReference"/>
          <w:sz w:val="20"/>
          <w:szCs w:val="20"/>
        </w:rPr>
        <w:footnoteRef/>
      </w:r>
      <w:r w:rsidRPr="001C0AE1">
        <w:rPr>
          <w:sz w:val="20"/>
          <w:szCs w:val="20"/>
        </w:rPr>
        <w:t xml:space="preserve"> See Docquier and Rapoport (2012) for an excellent survey on the impact of emigration on the brain drain and brain gain in sending countries.</w:t>
      </w:r>
    </w:p>
  </w:footnote>
  <w:footnote w:id="4">
    <w:p w14:paraId="79AEE496" w14:textId="6DCEF36D" w:rsidR="00666DFE" w:rsidRPr="001C0AE1" w:rsidRDefault="00666DFE" w:rsidP="00ED03A3">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Bound, Khanna and Morales (2017) provide similar evidence from the United States, where increased high-skilled immigration led to an increase in the size of the information technology sector and firms’ profits.</w:t>
      </w:r>
    </w:p>
  </w:footnote>
  <w:footnote w:id="5">
    <w:p w14:paraId="0E52B513" w14:textId="77777777" w:rsidR="00666DFE" w:rsidRPr="001C0AE1" w:rsidRDefault="00666DFE" w:rsidP="00ED03A3">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w:t>
      </w:r>
      <w:r w:rsidRPr="001C0AE1">
        <w:rPr>
          <w:rFonts w:ascii="Times New Roman" w:hAnsi="Times New Roman" w:cs="Times New Roman"/>
          <w:color w:val="000000" w:themeColor="text1"/>
          <w:lang w:val="en-US"/>
        </w:rPr>
        <w:t>See Wahba (2014) for a survey on return migration.</w:t>
      </w:r>
    </w:p>
  </w:footnote>
  <w:footnote w:id="6">
    <w:p w14:paraId="7965A627" w14:textId="0D0C0841" w:rsidR="00666DFE" w:rsidRPr="001C0AE1" w:rsidRDefault="00666DFE" w:rsidP="00B509EB">
      <w:pPr>
        <w:jc w:val="both"/>
        <w:rPr>
          <w:sz w:val="20"/>
          <w:szCs w:val="20"/>
        </w:rPr>
      </w:pPr>
      <w:r w:rsidRPr="001C0AE1">
        <w:rPr>
          <w:rStyle w:val="FootnoteReference"/>
          <w:sz w:val="20"/>
          <w:szCs w:val="20"/>
        </w:rPr>
        <w:footnoteRef/>
      </w:r>
      <w:r w:rsidRPr="001C0AE1">
        <w:rPr>
          <w:sz w:val="20"/>
          <w:szCs w:val="20"/>
        </w:rPr>
        <w:t xml:space="preserve"> </w:t>
      </w:r>
      <w:r w:rsidRPr="001C0AE1">
        <w:rPr>
          <w:rStyle w:val="contribdegrees"/>
          <w:color w:val="000000"/>
          <w:sz w:val="20"/>
          <w:szCs w:val="20"/>
        </w:rPr>
        <w:t>Williams</w:t>
      </w:r>
      <w:r w:rsidRPr="001C0AE1">
        <w:rPr>
          <w:rStyle w:val="contribdegrees"/>
          <w:color w:val="000000"/>
          <w:sz w:val="20"/>
          <w:szCs w:val="20"/>
          <w:shd w:val="clear" w:color="auto" w:fill="FFFFFF"/>
        </w:rPr>
        <w:t xml:space="preserve"> and</w:t>
      </w:r>
      <w:r w:rsidRPr="001C0AE1">
        <w:rPr>
          <w:rStyle w:val="contribdegrees"/>
          <w:color w:val="000000"/>
          <w:sz w:val="20"/>
          <w:szCs w:val="20"/>
        </w:rPr>
        <w:t xml:space="preserve"> Baláž</w:t>
      </w:r>
      <w:r w:rsidRPr="001C0AE1">
        <w:rPr>
          <w:rStyle w:val="contribdegrees"/>
          <w:color w:val="000000"/>
          <w:sz w:val="20"/>
          <w:szCs w:val="20"/>
          <w:shd w:val="clear" w:color="auto" w:fill="FFFFFF"/>
        </w:rPr>
        <w:t xml:space="preserve"> (2005) highlight the importance of examining “total human capital” as opposed to formal qualifications only. </w:t>
      </w:r>
    </w:p>
  </w:footnote>
  <w:footnote w:id="7">
    <w:p w14:paraId="1C0265BA" w14:textId="236823E4" w:rsidR="00666DFE" w:rsidRPr="001C0AE1" w:rsidRDefault="00666DFE" w:rsidP="00B509EB">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See for example, Coniglio and Brzozowski (2018)</w:t>
      </w:r>
      <w:r w:rsidR="00A81A4D">
        <w:rPr>
          <w:rFonts w:ascii="Times New Roman" w:hAnsi="Times New Roman" w:cs="Times New Roman"/>
          <w:lang w:val="en-US"/>
        </w:rPr>
        <w:t>,</w:t>
      </w:r>
      <w:r w:rsidRPr="001C0AE1">
        <w:rPr>
          <w:rFonts w:ascii="Times New Roman" w:hAnsi="Times New Roman" w:cs="Times New Roman"/>
          <w:lang w:val="en-US"/>
        </w:rPr>
        <w:t xml:space="preserve"> who find that a skill mismatch during migration is often associated with a skill waste when migrants return home. Cobo, Giorguli</w:t>
      </w:r>
      <w:r w:rsidR="00A81A4D">
        <w:rPr>
          <w:rFonts w:ascii="Times New Roman" w:hAnsi="Times New Roman" w:cs="Times New Roman"/>
          <w:lang w:val="en-US"/>
        </w:rPr>
        <w:t>,</w:t>
      </w:r>
      <w:r w:rsidRPr="001C0AE1">
        <w:rPr>
          <w:rFonts w:ascii="Times New Roman" w:hAnsi="Times New Roman" w:cs="Times New Roman"/>
          <w:lang w:val="en-US"/>
        </w:rPr>
        <w:t xml:space="preserve"> and Alba (2010) also examine the occupational mobility of Latin American returnees from the United States and find that the impact of international migration on occupational mobility is mediated by the characteristics of the home community, particularly its labor market.</w:t>
      </w:r>
    </w:p>
  </w:footnote>
  <w:footnote w:id="8">
    <w:p w14:paraId="01A8E445" w14:textId="4C59E9FD" w:rsidR="00666DFE" w:rsidRPr="001C0AE1" w:rsidRDefault="00666DFE" w:rsidP="00775D23">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w:t>
      </w:r>
      <w:r w:rsidRPr="001C0AE1">
        <w:rPr>
          <w:rFonts w:ascii="Times New Roman" w:hAnsi="Times New Roman" w:cs="Times New Roman"/>
          <w:color w:val="000000" w:themeColor="text1"/>
          <w:lang w:val="en-US"/>
        </w:rPr>
        <w:t>The ETF survey interviewed 812 non-migrants and 1</w:t>
      </w:r>
      <w:r w:rsidR="00A81A4D">
        <w:rPr>
          <w:rFonts w:ascii="Times New Roman" w:hAnsi="Times New Roman" w:cs="Times New Roman"/>
          <w:color w:val="000000" w:themeColor="text1"/>
          <w:lang w:val="en-US"/>
        </w:rPr>
        <w:t>,</w:t>
      </w:r>
      <w:r w:rsidRPr="001C0AE1">
        <w:rPr>
          <w:rFonts w:ascii="Times New Roman" w:hAnsi="Times New Roman" w:cs="Times New Roman"/>
          <w:color w:val="000000" w:themeColor="text1"/>
          <w:lang w:val="en-US"/>
        </w:rPr>
        <w:t>000 return migrants</w:t>
      </w:r>
      <w:r w:rsidR="00A81A4D">
        <w:rPr>
          <w:rFonts w:ascii="Times New Roman" w:hAnsi="Times New Roman" w:cs="Times New Roman"/>
          <w:color w:val="000000" w:themeColor="text1"/>
          <w:lang w:val="en-US"/>
        </w:rPr>
        <w:t>,</w:t>
      </w:r>
      <w:r w:rsidRPr="001C0AE1">
        <w:rPr>
          <w:rFonts w:ascii="Times New Roman" w:hAnsi="Times New Roman" w:cs="Times New Roman"/>
          <w:color w:val="000000" w:themeColor="text1"/>
          <w:lang w:val="en-US"/>
        </w:rPr>
        <w:t xml:space="preserve"> defined as adults aged 18 and above who had lived and worked abroad for at least 6 months and who had returned within the last 10 years preceding the survey. </w:t>
      </w:r>
      <w:r w:rsidRPr="001C0AE1">
        <w:rPr>
          <w:rFonts w:ascii="Times New Roman" w:hAnsi="Times New Roman" w:cs="Times New Roman"/>
          <w:lang w:val="en-US"/>
        </w:rPr>
        <w:t xml:space="preserve">See </w:t>
      </w:r>
      <w:r w:rsidRPr="001C0AE1">
        <w:rPr>
          <w:rFonts w:ascii="Times New Roman" w:hAnsi="Times New Roman" w:cs="Times New Roman"/>
          <w:shd w:val="clear" w:color="auto" w:fill="FFFFFF"/>
          <w:lang w:val="en-US"/>
        </w:rPr>
        <w:t>Sabadie,</w:t>
      </w:r>
      <w:r w:rsidRPr="001C0AE1">
        <w:rPr>
          <w:rStyle w:val="apple-converted-space"/>
          <w:rFonts w:ascii="Times New Roman" w:hAnsi="Times New Roman" w:cs="Times New Roman"/>
          <w:shd w:val="clear" w:color="auto" w:fill="FFFFFF"/>
          <w:lang w:val="en-US"/>
        </w:rPr>
        <w:t> </w:t>
      </w:r>
      <w:r w:rsidRPr="001C0AE1">
        <w:rPr>
          <w:rFonts w:ascii="Times New Roman" w:hAnsi="Times New Roman" w:cs="Times New Roman"/>
          <w:bdr w:val="none" w:sz="0" w:space="0" w:color="auto" w:frame="1"/>
          <w:shd w:val="clear" w:color="auto" w:fill="FFFFFF"/>
          <w:lang w:val="en-US"/>
        </w:rPr>
        <w:t xml:space="preserve">Avato, </w:t>
      </w:r>
      <w:r w:rsidRPr="001C0AE1">
        <w:rPr>
          <w:rFonts w:ascii="Times New Roman" w:hAnsi="Times New Roman" w:cs="Times New Roman"/>
          <w:shd w:val="clear" w:color="auto" w:fill="FFFFFF"/>
          <w:lang w:val="en-US"/>
        </w:rPr>
        <w:t>Bardak, Panzica</w:t>
      </w:r>
      <w:r w:rsidR="00A81A4D">
        <w:rPr>
          <w:rFonts w:ascii="Times New Roman" w:hAnsi="Times New Roman" w:cs="Times New Roman"/>
          <w:shd w:val="clear" w:color="auto" w:fill="FFFFFF"/>
          <w:lang w:val="en-US"/>
        </w:rPr>
        <w:t>,</w:t>
      </w:r>
      <w:r w:rsidRPr="001C0AE1">
        <w:rPr>
          <w:rFonts w:ascii="Times New Roman" w:hAnsi="Times New Roman" w:cs="Times New Roman"/>
          <w:shd w:val="clear" w:color="auto" w:fill="FFFFFF"/>
          <w:lang w:val="en-US"/>
        </w:rPr>
        <w:t xml:space="preserve"> and Popova (2010) for a description of the survey and questionnaire.</w:t>
      </w:r>
      <w:r w:rsidRPr="001C0AE1">
        <w:rPr>
          <w:rFonts w:ascii="Times New Roman" w:hAnsi="Times New Roman" w:cs="Times New Roman"/>
          <w:lang w:val="en-US"/>
        </w:rPr>
        <w:t xml:space="preserve"> </w:t>
      </w:r>
    </w:p>
  </w:footnote>
  <w:footnote w:id="9">
    <w:p w14:paraId="336155A0" w14:textId="7CF2D350" w:rsidR="00666DFE" w:rsidRPr="001C0AE1" w:rsidRDefault="00666DFE" w:rsidP="00456790">
      <w:pPr>
        <w:pStyle w:val="Footnotes"/>
        <w:rPr>
          <w:sz w:val="20"/>
          <w:szCs w:val="20"/>
          <w:lang w:val="en-US"/>
        </w:rPr>
      </w:pPr>
      <w:r w:rsidRPr="001C0AE1">
        <w:rPr>
          <w:rStyle w:val="FootnoteReference"/>
          <w:sz w:val="20"/>
          <w:szCs w:val="20"/>
          <w:lang w:val="en-US"/>
        </w:rPr>
        <w:footnoteRef/>
      </w:r>
      <w:r w:rsidRPr="001C0AE1">
        <w:rPr>
          <w:sz w:val="20"/>
          <w:szCs w:val="20"/>
          <w:lang w:val="en-US"/>
        </w:rPr>
        <w:t xml:space="preserve"> For example, Binzel and Assaad (2011), </w:t>
      </w:r>
      <w:r w:rsidRPr="001C0AE1">
        <w:rPr>
          <w:sz w:val="20"/>
          <w:szCs w:val="20"/>
          <w:lang w:val="en-US"/>
        </w:rPr>
        <w:fldChar w:fldCharType="begin" w:fldLock="1"/>
      </w:r>
      <w:r w:rsidRPr="001C0AE1">
        <w:rPr>
          <w:sz w:val="20"/>
          <w:szCs w:val="20"/>
          <w:lang w:val="en-US"/>
        </w:rPr>
        <w:instrText>ADDIN CSL_CITATION { "citationItems" : [ { "id" : "ITEM-1", "itemData" : { "DOI" : "10.1016/j.regsciurbeco.2012.04.007", "ISSN" : "01660462", "author" : [ { "dropping-particle" : "", "family" : "Wahba", "given" : "Jackline", "non-dropping-particle" : "", "parse-names" : false, "suffix" : "" }, { "dropping-particle" : "", "family" : "Zenou", "given" : "Yves", "non-dropping-particle" : "", "parse-names" : false, "suffix" : "" } ], "container-title" : "Regional Science and Urban Economics", "id" : "ITEM-1", "issued" : { "date-parts" : [ [ "2012", "9" ] ] }, "page" : "890-903", "publisher" : "Elsevier B.V.", "title" : "Out of sight, out of mind: Migration, entrepreneurship and social capital", "type" : "article-journal", "volume" : "42" }, "uris" : [ "http://www.mendeley.com/documents/?uuid=c2652b23-d2e0-4813-93bd-4d77dfdcb9d3" ] } ], "mendeley" : { "manualFormatting" : "Wahba and Zenou (2012)", "previouslyFormattedCitation" : "(Wahba &amp; Zenou, 2012)" }, "properties" : { "noteIndex" : 0 }, "schema" : "https://github.com/citation-style-language/schema/raw/master/csl-citation.json" }</w:instrText>
      </w:r>
      <w:r w:rsidRPr="001C0AE1">
        <w:rPr>
          <w:sz w:val="20"/>
          <w:szCs w:val="20"/>
          <w:lang w:val="en-US"/>
        </w:rPr>
        <w:fldChar w:fldCharType="separate"/>
      </w:r>
      <w:r w:rsidRPr="001C0AE1">
        <w:rPr>
          <w:noProof/>
          <w:sz w:val="20"/>
          <w:szCs w:val="20"/>
          <w:lang w:val="en-US"/>
        </w:rPr>
        <w:t>Wahba and Zenou (2012)</w:t>
      </w:r>
      <w:r w:rsidRPr="001C0AE1">
        <w:rPr>
          <w:sz w:val="20"/>
          <w:szCs w:val="20"/>
          <w:lang w:val="en-US"/>
        </w:rPr>
        <w:fldChar w:fldCharType="end"/>
      </w:r>
      <w:r w:rsidRPr="001C0AE1">
        <w:rPr>
          <w:sz w:val="20"/>
          <w:szCs w:val="20"/>
          <w:lang w:val="en-US"/>
        </w:rPr>
        <w:t>, Bertoli and Marchetta (2015)</w:t>
      </w:r>
      <w:r w:rsidR="00FA2F75">
        <w:rPr>
          <w:sz w:val="20"/>
          <w:szCs w:val="20"/>
          <w:lang w:val="en-US"/>
        </w:rPr>
        <w:t>,</w:t>
      </w:r>
      <w:r w:rsidRPr="001C0AE1">
        <w:rPr>
          <w:sz w:val="20"/>
          <w:szCs w:val="20"/>
          <w:lang w:val="en-US"/>
        </w:rPr>
        <w:t xml:space="preserve"> and Wahba (2015). </w:t>
      </w:r>
    </w:p>
  </w:footnote>
  <w:footnote w:id="10">
    <w:p w14:paraId="301216A2" w14:textId="77777777" w:rsidR="00FA2F75" w:rsidRPr="001C0AE1" w:rsidRDefault="00FA2F75" w:rsidP="00FA2F75">
      <w:pPr>
        <w:pStyle w:val="FootnoteText"/>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See </w:t>
      </w:r>
      <w:r w:rsidRPr="001C0AE1">
        <w:rPr>
          <w:rFonts w:ascii="Times New Roman" w:hAnsi="Times New Roman" w:cs="Times New Roman"/>
          <w:color w:val="000000" w:themeColor="text1"/>
          <w:lang w:val="en-US"/>
        </w:rPr>
        <w:t>Assaad and Krafft (2013) for data documentation.</w:t>
      </w:r>
    </w:p>
  </w:footnote>
  <w:footnote w:id="11">
    <w:p w14:paraId="38C7D9D6" w14:textId="77777777" w:rsidR="00666DFE" w:rsidRPr="001C0AE1" w:rsidRDefault="00666DFE" w:rsidP="00D51CB5">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The Egypt Labor Market Survey was first conducted in Egypt in 1988. However, the survey became a panel only starting from 1998. </w:t>
      </w:r>
    </w:p>
  </w:footnote>
  <w:footnote w:id="12">
    <w:p w14:paraId="098F3210" w14:textId="0AA19FEC" w:rsidR="00666DFE" w:rsidRPr="001C0AE1" w:rsidRDefault="00666DFE" w:rsidP="0099101F">
      <w:pPr>
        <w:pStyle w:val="Footnotes"/>
        <w:rPr>
          <w:sz w:val="20"/>
          <w:szCs w:val="20"/>
          <w:lang w:val="en-US"/>
        </w:rPr>
      </w:pPr>
      <w:r w:rsidRPr="001C0AE1">
        <w:rPr>
          <w:rStyle w:val="FootnoteReference"/>
          <w:sz w:val="20"/>
          <w:szCs w:val="20"/>
          <w:lang w:val="en-US"/>
        </w:rPr>
        <w:footnoteRef/>
      </w:r>
      <w:r w:rsidRPr="001C0AE1">
        <w:rPr>
          <w:sz w:val="20"/>
          <w:szCs w:val="20"/>
          <w:lang w:val="en-US"/>
        </w:rPr>
        <w:t xml:space="preserve"> It is important to note that all returnees in our data migrated for work purpose</w:t>
      </w:r>
      <w:r w:rsidR="00FA2F75">
        <w:rPr>
          <w:sz w:val="20"/>
          <w:szCs w:val="20"/>
          <w:lang w:val="en-US"/>
        </w:rPr>
        <w:t>s</w:t>
      </w:r>
      <w:r w:rsidRPr="001C0AE1">
        <w:rPr>
          <w:sz w:val="20"/>
          <w:szCs w:val="20"/>
          <w:lang w:val="en-US"/>
        </w:rPr>
        <w:t xml:space="preserve"> only.</w:t>
      </w:r>
    </w:p>
  </w:footnote>
  <w:footnote w:id="13">
    <w:p w14:paraId="15F95433" w14:textId="23956B7A" w:rsidR="00666DFE" w:rsidRPr="001C0AE1" w:rsidRDefault="00666DFE" w:rsidP="00BC4003">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The years considered for the 1960s birth cohort are from 1960 to 1969, inclusive. The choice of the 1960s cohort is guided by the desire to capture workers’ occupational mobility between their first and possibly last job. Relying on data </w:t>
      </w:r>
      <w:r w:rsidR="00FA2F75">
        <w:rPr>
          <w:rFonts w:ascii="Times New Roman" w:hAnsi="Times New Roman" w:cs="Times New Roman"/>
          <w:lang w:val="en-US"/>
        </w:rPr>
        <w:t>from the ELMPS 2012</w:t>
      </w:r>
      <w:r w:rsidRPr="001C0AE1">
        <w:rPr>
          <w:rFonts w:ascii="Times New Roman" w:hAnsi="Times New Roman" w:cs="Times New Roman"/>
          <w:lang w:val="en-US"/>
        </w:rPr>
        <w:t xml:space="preserve"> also allows us to observe individuals who were born in the 1960s, who migrated abroad</w:t>
      </w:r>
      <w:r w:rsidR="00FA2F75">
        <w:rPr>
          <w:rFonts w:ascii="Times New Roman" w:hAnsi="Times New Roman" w:cs="Times New Roman"/>
          <w:lang w:val="en-US"/>
        </w:rPr>
        <w:t>,</w:t>
      </w:r>
      <w:r w:rsidRPr="001C0AE1">
        <w:rPr>
          <w:rFonts w:ascii="Times New Roman" w:hAnsi="Times New Roman" w:cs="Times New Roman"/>
          <w:lang w:val="en-US"/>
        </w:rPr>
        <w:t xml:space="preserve"> and eventually returned to Egypt. We also conducted several robustness checks</w:t>
      </w:r>
      <w:r w:rsidR="00FA2F75">
        <w:rPr>
          <w:rFonts w:ascii="Times New Roman" w:hAnsi="Times New Roman" w:cs="Times New Roman"/>
          <w:lang w:val="en-US"/>
        </w:rPr>
        <w:t>,</w:t>
      </w:r>
      <w:r w:rsidRPr="001C0AE1">
        <w:rPr>
          <w:rFonts w:ascii="Times New Roman" w:hAnsi="Times New Roman" w:cs="Times New Roman"/>
          <w:lang w:val="en-US"/>
        </w:rPr>
        <w:t xml:space="preserve"> using 1950s cohort (see Section 5.4). All </w:t>
      </w:r>
      <w:r w:rsidR="00FA2F75">
        <w:rPr>
          <w:rFonts w:ascii="Times New Roman" w:hAnsi="Times New Roman" w:cs="Times New Roman"/>
          <w:lang w:val="en-US"/>
        </w:rPr>
        <w:t xml:space="preserve">of </w:t>
      </w:r>
      <w:r w:rsidRPr="001C0AE1">
        <w:rPr>
          <w:rFonts w:ascii="Times New Roman" w:hAnsi="Times New Roman" w:cs="Times New Roman"/>
          <w:lang w:val="en-US"/>
        </w:rPr>
        <w:t xml:space="preserve">our results were robust. </w:t>
      </w:r>
    </w:p>
  </w:footnote>
  <w:footnote w:id="14">
    <w:p w14:paraId="46B4EB07" w14:textId="62415708" w:rsidR="00666DFE" w:rsidRPr="001C0AE1" w:rsidRDefault="00666DFE" w:rsidP="00BC4003">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We compare the first occupation with the current occupation in 2010 instead of the occupation upon return to Egypt to have a comparable reference point for both return migrants and non-migrants (as well as in between non-migrants themselves). </w:t>
      </w:r>
    </w:p>
  </w:footnote>
  <w:footnote w:id="15">
    <w:p w14:paraId="3A77F679" w14:textId="2BFD36BE" w:rsidR="00666DFE" w:rsidRPr="001C0AE1" w:rsidRDefault="00666DFE" w:rsidP="0086423A">
      <w:pPr>
        <w:jc w:val="both"/>
        <w:rPr>
          <w:color w:val="000000" w:themeColor="text1"/>
          <w:sz w:val="20"/>
          <w:szCs w:val="20"/>
        </w:rPr>
      </w:pPr>
      <w:r w:rsidRPr="001C0AE1">
        <w:rPr>
          <w:rStyle w:val="FootnoteReference"/>
          <w:sz w:val="20"/>
          <w:szCs w:val="20"/>
        </w:rPr>
        <w:footnoteRef/>
      </w:r>
      <w:r w:rsidRPr="001C0AE1">
        <w:rPr>
          <w:sz w:val="20"/>
          <w:szCs w:val="20"/>
        </w:rPr>
        <w:t xml:space="preserve"> It is important to note that we also exclude from our analysis all returnees who had their first job abroad. Throughout our analysis, we focus on returnees who had their first job in Egypt</w:t>
      </w:r>
      <w:r w:rsidR="0023615B">
        <w:rPr>
          <w:sz w:val="20"/>
          <w:szCs w:val="20"/>
        </w:rPr>
        <w:t>,</w:t>
      </w:r>
      <w:r w:rsidRPr="001C0AE1">
        <w:rPr>
          <w:sz w:val="20"/>
          <w:szCs w:val="20"/>
        </w:rPr>
        <w:t xml:space="preserve"> since this allows us to control for pre-treatment first occupations</w:t>
      </w:r>
      <w:r w:rsidRPr="001C0AE1">
        <w:rPr>
          <w:color w:val="000000" w:themeColor="text1"/>
          <w:sz w:val="20"/>
          <w:szCs w:val="20"/>
        </w:rPr>
        <w:t>. However, our results were also robust when we included individuals who had their first job abroad.</w:t>
      </w:r>
    </w:p>
  </w:footnote>
  <w:footnote w:id="16">
    <w:p w14:paraId="191FE825" w14:textId="6A3E85AD" w:rsidR="00666DFE" w:rsidRPr="001C0AE1" w:rsidRDefault="00666DFE" w:rsidP="0086423A">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Since we rely on the ELMPS 2012, we use current job occupation in 2012 as individual’s occupation in 2010 if the individual did not witness any job status changes following the January 2011 Egyptian revolution. </w:t>
      </w:r>
      <w:r w:rsidR="001C7CE8">
        <w:rPr>
          <w:rFonts w:ascii="Times New Roman" w:hAnsi="Times New Roman" w:cs="Times New Roman"/>
          <w:lang w:val="en-US"/>
        </w:rPr>
        <w:t>F</w:t>
      </w:r>
      <w:r w:rsidRPr="001C0AE1">
        <w:rPr>
          <w:rFonts w:ascii="Times New Roman" w:hAnsi="Times New Roman" w:cs="Times New Roman"/>
          <w:lang w:val="en-US"/>
        </w:rPr>
        <w:t>or individuals who witnessed job status changes in 2011 or after, we consider their employment status in 2010 and subsequently, we determine their job occupation in 2010.</w:t>
      </w:r>
    </w:p>
  </w:footnote>
  <w:footnote w:id="17">
    <w:p w14:paraId="78198F15" w14:textId="2A5156BB" w:rsidR="00666DFE" w:rsidRPr="001C0AE1" w:rsidRDefault="00666DFE" w:rsidP="0086423A">
      <w:pPr>
        <w:pStyle w:val="FootnoteText"/>
        <w:jc w:val="both"/>
        <w:rPr>
          <w:rFonts w:ascii="Times New Roman" w:hAnsi="Times New Roman" w:cs="Times New Roman"/>
          <w:color w:val="000000" w:themeColor="text1"/>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w:t>
      </w:r>
      <w:r w:rsidRPr="001C0AE1">
        <w:rPr>
          <w:rFonts w:ascii="Times New Roman" w:hAnsi="Times New Roman" w:cs="Times New Roman"/>
          <w:color w:val="000000" w:themeColor="text1"/>
          <w:lang w:val="en-US"/>
        </w:rPr>
        <w:t>Agriculture refers to skilled agricultural, forestry</w:t>
      </w:r>
      <w:r w:rsidR="001C7CE8">
        <w:rPr>
          <w:rFonts w:ascii="Times New Roman" w:hAnsi="Times New Roman" w:cs="Times New Roman"/>
          <w:color w:val="000000" w:themeColor="text1"/>
          <w:lang w:val="en-US"/>
        </w:rPr>
        <w:t>,</w:t>
      </w:r>
      <w:r w:rsidRPr="001C0AE1">
        <w:rPr>
          <w:rFonts w:ascii="Times New Roman" w:hAnsi="Times New Roman" w:cs="Times New Roman"/>
          <w:color w:val="000000" w:themeColor="text1"/>
          <w:lang w:val="en-US"/>
        </w:rPr>
        <w:t xml:space="preserve"> and fishery work</w:t>
      </w:r>
      <w:r w:rsidR="001C7CE8">
        <w:rPr>
          <w:rFonts w:ascii="Times New Roman" w:hAnsi="Times New Roman" w:cs="Times New Roman"/>
          <w:color w:val="000000" w:themeColor="text1"/>
          <w:lang w:val="en-US"/>
        </w:rPr>
        <w:t>;</w:t>
      </w:r>
      <w:r w:rsidRPr="001C0AE1">
        <w:rPr>
          <w:rFonts w:ascii="Times New Roman" w:hAnsi="Times New Roman" w:cs="Times New Roman"/>
          <w:color w:val="000000" w:themeColor="text1"/>
          <w:lang w:val="en-US"/>
        </w:rPr>
        <w:t xml:space="preserve"> low-skilled blue-collar refers to plant and machine operators, assemblers and elementary occupations</w:t>
      </w:r>
      <w:r w:rsidR="001C7CE8">
        <w:rPr>
          <w:rFonts w:ascii="Times New Roman" w:hAnsi="Times New Roman" w:cs="Times New Roman"/>
          <w:color w:val="000000" w:themeColor="text1"/>
          <w:lang w:val="en-US"/>
        </w:rPr>
        <w:t>;</w:t>
      </w:r>
      <w:r w:rsidRPr="001C0AE1">
        <w:rPr>
          <w:rFonts w:ascii="Times New Roman" w:hAnsi="Times New Roman" w:cs="Times New Roman"/>
          <w:color w:val="000000" w:themeColor="text1"/>
          <w:lang w:val="en-US"/>
        </w:rPr>
        <w:t xml:space="preserve"> high-skilled blue-collar refers to craft and related trades</w:t>
      </w:r>
      <w:r w:rsidR="001C7CE8">
        <w:rPr>
          <w:rFonts w:ascii="Times New Roman" w:hAnsi="Times New Roman" w:cs="Times New Roman"/>
          <w:color w:val="000000" w:themeColor="text1"/>
          <w:lang w:val="en-US"/>
        </w:rPr>
        <w:t>;</w:t>
      </w:r>
      <w:r w:rsidRPr="001C0AE1">
        <w:rPr>
          <w:rFonts w:ascii="Times New Roman" w:hAnsi="Times New Roman" w:cs="Times New Roman"/>
          <w:color w:val="000000" w:themeColor="text1"/>
          <w:lang w:val="en-US"/>
        </w:rPr>
        <w:t xml:space="preserve"> low-skilled white-collar refers to clerical support workers and service and sales workers</w:t>
      </w:r>
      <w:r w:rsidR="001C7CE8">
        <w:rPr>
          <w:rFonts w:ascii="Times New Roman" w:hAnsi="Times New Roman" w:cs="Times New Roman"/>
          <w:color w:val="000000" w:themeColor="text1"/>
          <w:lang w:val="en-US"/>
        </w:rPr>
        <w:t>;</w:t>
      </w:r>
      <w:r w:rsidRPr="001C0AE1">
        <w:rPr>
          <w:rFonts w:ascii="Times New Roman" w:hAnsi="Times New Roman" w:cs="Times New Roman"/>
          <w:color w:val="000000" w:themeColor="text1"/>
          <w:lang w:val="en-US"/>
        </w:rPr>
        <w:t xml:space="preserve"> </w:t>
      </w:r>
      <w:r w:rsidR="001C7CE8">
        <w:rPr>
          <w:rFonts w:ascii="Times New Roman" w:hAnsi="Times New Roman" w:cs="Times New Roman"/>
          <w:color w:val="000000" w:themeColor="text1"/>
          <w:lang w:val="en-US"/>
        </w:rPr>
        <w:t>finally,</w:t>
      </w:r>
      <w:r w:rsidRPr="001C0AE1">
        <w:rPr>
          <w:rFonts w:ascii="Times New Roman" w:hAnsi="Times New Roman" w:cs="Times New Roman"/>
          <w:color w:val="000000" w:themeColor="text1"/>
          <w:lang w:val="en-US"/>
        </w:rPr>
        <w:t xml:space="preserve"> high-skilled white-collar refers to managers, professionals, technicians</w:t>
      </w:r>
      <w:r w:rsidR="001C7CE8">
        <w:rPr>
          <w:rFonts w:ascii="Times New Roman" w:hAnsi="Times New Roman" w:cs="Times New Roman"/>
          <w:color w:val="000000" w:themeColor="text1"/>
          <w:lang w:val="en-US"/>
        </w:rPr>
        <w:t>,</w:t>
      </w:r>
      <w:r w:rsidRPr="001C0AE1">
        <w:rPr>
          <w:rFonts w:ascii="Times New Roman" w:hAnsi="Times New Roman" w:cs="Times New Roman"/>
          <w:color w:val="000000" w:themeColor="text1"/>
          <w:lang w:val="en-US"/>
        </w:rPr>
        <w:t xml:space="preserve"> and associate professionals. </w:t>
      </w:r>
      <w:r w:rsidRPr="001C0AE1">
        <w:rPr>
          <w:rFonts w:ascii="Times New Roman" w:hAnsi="Times New Roman" w:cs="Times New Roman"/>
          <w:lang w:val="en-US"/>
        </w:rPr>
        <w:t>Armed forces occupations are eliminated.</w:t>
      </w:r>
    </w:p>
  </w:footnote>
  <w:footnote w:id="18">
    <w:p w14:paraId="588417FB" w14:textId="6F988D87" w:rsidR="00666DFE" w:rsidRPr="001C0AE1" w:rsidRDefault="00666DFE" w:rsidP="007B046A">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The monetary returns approach is fully consistent with the human capital approach to computing occupational rankings. </w:t>
      </w:r>
      <w:r w:rsidRPr="001C0AE1">
        <w:rPr>
          <w:rFonts w:ascii="Times New Roman" w:hAnsi="Times New Roman" w:cs="Times New Roman"/>
          <w:color w:val="000000" w:themeColor="text1"/>
          <w:lang w:val="en-US"/>
        </w:rPr>
        <w:t>We also computed occupational indices following the same methodology of Sicherman and Galor (1990) and Carletto and Kilic (2011) and found consistent occupational ranking.</w:t>
      </w:r>
    </w:p>
  </w:footnote>
  <w:footnote w:id="19">
    <w:p w14:paraId="342BD985" w14:textId="6CB44ECF" w:rsidR="00666DFE" w:rsidRPr="001C0AE1" w:rsidRDefault="00666DFE" w:rsidP="00E14B57">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Given that the percentage of stayers who had a high-skilled white-collar occupation at first job is higher than that of returnees</w:t>
      </w:r>
      <w:r w:rsidR="00C86001">
        <w:rPr>
          <w:rFonts w:ascii="Times New Roman" w:hAnsi="Times New Roman" w:cs="Times New Roman"/>
          <w:lang w:val="en-US"/>
        </w:rPr>
        <w:t xml:space="preserve"> (</w:t>
      </w:r>
      <w:r w:rsidRPr="001C0AE1">
        <w:rPr>
          <w:rFonts w:ascii="Times New Roman" w:hAnsi="Times New Roman" w:cs="Times New Roman"/>
          <w:lang w:val="en-US"/>
        </w:rPr>
        <w:t>25% versus 10</w:t>
      </w:r>
      <w:r w:rsidR="00C86001">
        <w:rPr>
          <w:rFonts w:ascii="Times New Roman" w:hAnsi="Times New Roman" w:cs="Times New Roman"/>
          <w:lang w:val="en-US"/>
        </w:rPr>
        <w:t>%)</w:t>
      </w:r>
      <w:r w:rsidRPr="001C0AE1">
        <w:rPr>
          <w:rFonts w:ascii="Times New Roman" w:hAnsi="Times New Roman" w:cs="Times New Roman"/>
          <w:lang w:val="en-US"/>
        </w:rPr>
        <w:t xml:space="preserve"> and since there is no potential upgrading for those who had a high-skilled white-collar occupation as their first job, in the robustness checks in Section 5.2 we eliminate individuals who had a high-skilled white-collar occupation at first job</w:t>
      </w:r>
      <w:r w:rsidR="00C86001">
        <w:rPr>
          <w:rFonts w:ascii="Times New Roman" w:hAnsi="Times New Roman" w:cs="Times New Roman"/>
          <w:lang w:val="en-US"/>
        </w:rPr>
        <w:t>. O</w:t>
      </w:r>
      <w:r w:rsidRPr="001C0AE1">
        <w:rPr>
          <w:rFonts w:ascii="Times New Roman" w:hAnsi="Times New Roman" w:cs="Times New Roman"/>
          <w:lang w:val="en-US"/>
        </w:rPr>
        <w:t>ur results remain robust.</w:t>
      </w:r>
    </w:p>
  </w:footnote>
  <w:footnote w:id="20">
    <w:p w14:paraId="6E7DCD66" w14:textId="1F98FB6B" w:rsidR="00666DFE" w:rsidRPr="001C0AE1" w:rsidRDefault="00666DFE" w:rsidP="001479E7">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w:t>
      </w:r>
      <w:r w:rsidRPr="001C0AE1">
        <w:rPr>
          <w:rFonts w:ascii="Times New Roman" w:eastAsia="Times New Roman" w:hAnsi="Times New Roman" w:cs="Times New Roman"/>
          <w:lang w:val="en-US"/>
        </w:rPr>
        <w:t>For robustness, we have also matched the oil prices with one year below and above the mean age at migration, and all results were robust. For the 1960s cohort, the mean age of migration is 26 years old</w:t>
      </w:r>
      <w:r w:rsidR="00C4496A">
        <w:rPr>
          <w:rFonts w:ascii="Times New Roman" w:eastAsia="Times New Roman" w:hAnsi="Times New Roman" w:cs="Times New Roman"/>
          <w:lang w:val="en-US"/>
        </w:rPr>
        <w:t>,</w:t>
      </w:r>
      <w:r w:rsidRPr="001C0AE1">
        <w:rPr>
          <w:rFonts w:ascii="Times New Roman" w:eastAsia="Times New Roman" w:hAnsi="Times New Roman" w:cs="Times New Roman"/>
          <w:lang w:val="en-US"/>
        </w:rPr>
        <w:t xml:space="preserve"> with a standard deviation of 5.1.</w:t>
      </w:r>
    </w:p>
  </w:footnote>
  <w:footnote w:id="21">
    <w:p w14:paraId="6B3DA735" w14:textId="6CC14D89" w:rsidR="00666DFE" w:rsidRPr="001C0AE1" w:rsidRDefault="00666DFE" w:rsidP="001479E7">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99% of Egyptian migrants, in our estimation sample (1960s cohort), migrated to other Arab countries during their first migration episode.</w:t>
      </w:r>
    </w:p>
  </w:footnote>
  <w:footnote w:id="22">
    <w:p w14:paraId="4820716D" w14:textId="4AF1EE45" w:rsidR="00666DFE" w:rsidRPr="001C0AE1" w:rsidRDefault="00666DFE" w:rsidP="00954D35">
      <w:pPr>
        <w:jc w:val="both"/>
        <w:rPr>
          <w:color w:val="000000" w:themeColor="text1"/>
          <w:sz w:val="20"/>
          <w:szCs w:val="20"/>
        </w:rPr>
      </w:pPr>
      <w:r w:rsidRPr="001C0AE1">
        <w:rPr>
          <w:rStyle w:val="FootnoteReference"/>
          <w:sz w:val="20"/>
          <w:szCs w:val="20"/>
        </w:rPr>
        <w:footnoteRef/>
      </w:r>
      <w:r w:rsidRPr="001C0AE1">
        <w:rPr>
          <w:sz w:val="20"/>
          <w:szCs w:val="20"/>
        </w:rPr>
        <w:t xml:space="preserve"> </w:t>
      </w:r>
      <w:r w:rsidRPr="001C0AE1">
        <w:rPr>
          <w:color w:val="000000" w:themeColor="text1"/>
          <w:sz w:val="20"/>
          <w:szCs w:val="20"/>
        </w:rPr>
        <w:t>We also find that the correlation between oil prices and men’s occupational distribution in Egypt in insignificant across all occupational categories, both in stocks and in flows</w:t>
      </w:r>
      <w:r w:rsidR="00C4496A">
        <w:rPr>
          <w:color w:val="000000" w:themeColor="text1"/>
          <w:sz w:val="20"/>
          <w:szCs w:val="20"/>
        </w:rPr>
        <w:t>,</w:t>
      </w:r>
      <w:r w:rsidRPr="001C0AE1">
        <w:rPr>
          <w:color w:val="000000" w:themeColor="text1"/>
          <w:sz w:val="20"/>
          <w:szCs w:val="20"/>
        </w:rPr>
        <w:t xml:space="preserve"> relying on data from 5 survey rounds of the ELMPS (1988, 1998, 2006, 2012 and 2018).</w:t>
      </w:r>
    </w:p>
  </w:footnote>
  <w:footnote w:id="23">
    <w:p w14:paraId="62FA9CF3" w14:textId="4BC32CC4" w:rsidR="00666DFE" w:rsidRPr="001C0AE1" w:rsidRDefault="00666DFE" w:rsidP="00BB42BC">
      <w:pPr>
        <w:ind w:right="-92"/>
        <w:jc w:val="both"/>
        <w:rPr>
          <w:sz w:val="20"/>
          <w:szCs w:val="20"/>
        </w:rPr>
      </w:pPr>
      <w:r w:rsidRPr="001C0AE1">
        <w:rPr>
          <w:rStyle w:val="FootnoteReference"/>
          <w:sz w:val="20"/>
          <w:szCs w:val="20"/>
        </w:rPr>
        <w:footnoteRef/>
      </w:r>
      <w:r w:rsidRPr="001C0AE1">
        <w:rPr>
          <w:sz w:val="20"/>
          <w:szCs w:val="20"/>
        </w:rPr>
        <w:t xml:space="preserve"> Data on labor force participation rate, employment in agriculture, industry</w:t>
      </w:r>
      <w:r w:rsidR="00A832F7">
        <w:rPr>
          <w:sz w:val="20"/>
          <w:szCs w:val="20"/>
        </w:rPr>
        <w:t>,</w:t>
      </w:r>
      <w:r w:rsidRPr="001C0AE1">
        <w:rPr>
          <w:sz w:val="20"/>
          <w:szCs w:val="20"/>
        </w:rPr>
        <w:t xml:space="preserve"> and services come from the International Labor Organization, Key indicators of the Labor Market Database. GDP growth rates come from the World Bank National accounts data files. The choice of the time period is dictated by data availability.</w:t>
      </w:r>
    </w:p>
  </w:footnote>
  <w:footnote w:id="24">
    <w:p w14:paraId="7ED123DB" w14:textId="24CB81B9" w:rsidR="00666DFE" w:rsidRPr="001C0AE1" w:rsidRDefault="00666DFE" w:rsidP="0023789C">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The community level corresponds to the smallest administrative unit in Egypt</w:t>
      </w:r>
      <w:r w:rsidR="00A832F7">
        <w:rPr>
          <w:rFonts w:ascii="Times New Roman" w:hAnsi="Times New Roman" w:cs="Times New Roman"/>
          <w:lang w:val="en-US"/>
        </w:rPr>
        <w:t>:</w:t>
      </w:r>
      <w:r w:rsidRPr="001C0AE1">
        <w:rPr>
          <w:rFonts w:ascii="Times New Roman" w:hAnsi="Times New Roman" w:cs="Times New Roman"/>
          <w:lang w:val="en-US"/>
        </w:rPr>
        <w:t xml:space="preserve"> </w:t>
      </w:r>
      <w:r w:rsidRPr="001C0AE1">
        <w:rPr>
          <w:rFonts w:ascii="Times New Roman" w:hAnsi="Times New Roman" w:cs="Times New Roman"/>
          <w:i/>
          <w:lang w:val="en-US"/>
        </w:rPr>
        <w:t>shyakha</w:t>
      </w:r>
      <w:r w:rsidRPr="001C0AE1">
        <w:rPr>
          <w:rFonts w:ascii="Times New Roman" w:hAnsi="Times New Roman" w:cs="Times New Roman"/>
          <w:lang w:val="en-US"/>
        </w:rPr>
        <w:t xml:space="preserve"> in urban areas and villages in rural areas.</w:t>
      </w:r>
    </w:p>
  </w:footnote>
  <w:footnote w:id="25">
    <w:p w14:paraId="1DABD4A6" w14:textId="274DFC2C" w:rsidR="00666DFE" w:rsidRPr="001C0AE1" w:rsidRDefault="00666DFE" w:rsidP="0019481A">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It is important to note that the dependent variable in the Difference-in-Differences matching model is equal to the occupational ranking for the five occupational categories. Thus, the results should be interpreted as how many steps return migrants are moving up the occupational ladder compared to stayers. </w:t>
      </w:r>
      <w:r w:rsidR="008E19E4">
        <w:rPr>
          <w:rFonts w:ascii="Times New Roman" w:hAnsi="Times New Roman" w:cs="Times New Roman"/>
          <w:lang w:val="en-US"/>
        </w:rPr>
        <w:t>Meanwhile,</w:t>
      </w:r>
      <w:r w:rsidRPr="001C0AE1">
        <w:rPr>
          <w:rFonts w:ascii="Times New Roman" w:hAnsi="Times New Roman" w:cs="Times New Roman"/>
          <w:lang w:val="en-US"/>
        </w:rPr>
        <w:t xml:space="preserve"> in the results reported using a linear probability and IV-regression models, the dependent variable is the probability of occupational upgrading between the first occupation and the 2010 occupation. </w:t>
      </w:r>
    </w:p>
  </w:footnote>
  <w:footnote w:id="26">
    <w:p w14:paraId="2F61D910" w14:textId="2DDE8287" w:rsidR="00666DFE" w:rsidRPr="001C0AE1" w:rsidRDefault="00666DFE" w:rsidP="00461801">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We aggregate all blue-collar occupations</w:t>
      </w:r>
      <w:r w:rsidR="005A6AAE">
        <w:rPr>
          <w:rFonts w:ascii="Times New Roman" w:hAnsi="Times New Roman" w:cs="Times New Roman"/>
          <w:lang w:val="en-US"/>
        </w:rPr>
        <w:t>,</w:t>
      </w:r>
      <w:r w:rsidRPr="001C0AE1">
        <w:rPr>
          <w:rFonts w:ascii="Times New Roman" w:hAnsi="Times New Roman" w:cs="Times New Roman"/>
          <w:lang w:val="en-US"/>
        </w:rPr>
        <w:t xml:space="preserve"> since the mean hourly and monthly wage</w:t>
      </w:r>
      <w:r w:rsidR="005A6AAE">
        <w:rPr>
          <w:rFonts w:ascii="Times New Roman" w:hAnsi="Times New Roman" w:cs="Times New Roman"/>
          <w:lang w:val="en-US"/>
        </w:rPr>
        <w:t xml:space="preserve"> differences</w:t>
      </w:r>
      <w:r w:rsidRPr="001C0AE1">
        <w:rPr>
          <w:rFonts w:ascii="Times New Roman" w:hAnsi="Times New Roman" w:cs="Times New Roman"/>
          <w:lang w:val="en-US"/>
        </w:rPr>
        <w:t xml:space="preserve"> between these two categories are not large, as shown in Table A1 in the Online Appendix. We </w:t>
      </w:r>
      <w:r w:rsidR="005A6AAE">
        <w:rPr>
          <w:rFonts w:ascii="Times New Roman" w:hAnsi="Times New Roman" w:cs="Times New Roman"/>
          <w:lang w:val="en-US"/>
        </w:rPr>
        <w:t xml:space="preserve">also </w:t>
      </w:r>
      <w:r w:rsidRPr="001C0AE1">
        <w:rPr>
          <w:rFonts w:ascii="Times New Roman" w:hAnsi="Times New Roman" w:cs="Times New Roman"/>
          <w:lang w:val="en-US"/>
        </w:rPr>
        <w:t>disaggregate the high-skilled white-collar occupations to better observe the heterogeneity in occupational mobility for high-skilled white-collar occupations</w:t>
      </w:r>
      <w:r w:rsidR="005A6AAE">
        <w:rPr>
          <w:rFonts w:ascii="Times New Roman" w:hAnsi="Times New Roman" w:cs="Times New Roman"/>
          <w:lang w:val="en-US"/>
        </w:rPr>
        <w:t>,</w:t>
      </w:r>
      <w:r w:rsidRPr="001C0AE1">
        <w:rPr>
          <w:rFonts w:ascii="Times New Roman" w:hAnsi="Times New Roman" w:cs="Times New Roman"/>
          <w:lang w:val="en-US"/>
        </w:rPr>
        <w:t xml:space="preserve"> since 39% of stayers and 31% of returnees in the 1960s cohort had high-skilled white-collar occupations in the 2010 job.</w:t>
      </w:r>
    </w:p>
  </w:footnote>
  <w:footnote w:id="27">
    <w:p w14:paraId="78BE832F" w14:textId="246661F8" w:rsidR="00666DFE" w:rsidRPr="001C0AE1" w:rsidRDefault="00666DFE" w:rsidP="00AA3C84">
      <w:pPr>
        <w:ind w:right="43"/>
        <w:jc w:val="both"/>
        <w:rPr>
          <w:color w:val="000000" w:themeColor="text1"/>
          <w:sz w:val="20"/>
          <w:szCs w:val="20"/>
        </w:rPr>
      </w:pPr>
      <w:r w:rsidRPr="001C0AE1">
        <w:rPr>
          <w:rStyle w:val="FootnoteReference"/>
          <w:sz w:val="20"/>
          <w:szCs w:val="20"/>
        </w:rPr>
        <w:footnoteRef/>
      </w:r>
      <w:r w:rsidRPr="001C0AE1">
        <w:rPr>
          <w:sz w:val="20"/>
          <w:szCs w:val="20"/>
        </w:rPr>
        <w:t xml:space="preserve"> Returnees were also asked about the main use of their savings and we find that 76% of the returnees in our sample used their savings either to build or buy a house, buy agricultural land</w:t>
      </w:r>
      <w:r w:rsidR="005A6AAE">
        <w:rPr>
          <w:sz w:val="20"/>
          <w:szCs w:val="20"/>
        </w:rPr>
        <w:t>,</w:t>
      </w:r>
      <w:r w:rsidRPr="001C0AE1">
        <w:rPr>
          <w:sz w:val="20"/>
          <w:szCs w:val="20"/>
        </w:rPr>
        <w:t xml:space="preserve"> or buy shares. Another 6% deposited their savings in banks. </w:t>
      </w:r>
      <w:r w:rsidRPr="001C0AE1">
        <w:rPr>
          <w:color w:val="000000" w:themeColor="text1"/>
          <w:sz w:val="20"/>
          <w:szCs w:val="20"/>
        </w:rPr>
        <w:t>A related issue is that returnees could be more likely to drop out of the labor market earlier than stayers</w:t>
      </w:r>
      <w:r w:rsidR="005A6AAE">
        <w:rPr>
          <w:color w:val="000000" w:themeColor="text1"/>
          <w:sz w:val="20"/>
          <w:szCs w:val="20"/>
        </w:rPr>
        <w:t>,</w:t>
      </w:r>
      <w:r w:rsidRPr="001C0AE1">
        <w:rPr>
          <w:color w:val="000000" w:themeColor="text1"/>
          <w:sz w:val="20"/>
          <w:szCs w:val="20"/>
        </w:rPr>
        <w:t xml:space="preserve"> perhaps since they have accumulated savings to see them through retirement. To address the issue, in Table A</w:t>
      </w:r>
      <w:r w:rsidR="00B975F1">
        <w:rPr>
          <w:color w:val="000000" w:themeColor="text1"/>
          <w:sz w:val="20"/>
          <w:szCs w:val="20"/>
        </w:rPr>
        <w:t>4</w:t>
      </w:r>
      <w:r w:rsidRPr="001C0AE1">
        <w:rPr>
          <w:color w:val="000000" w:themeColor="text1"/>
          <w:sz w:val="20"/>
          <w:szCs w:val="20"/>
        </w:rPr>
        <w:t xml:space="preserve"> in the Online Appendix, we examine the impact of return migration on current labor force participation in 2012 for the 1960s cohort. Using linear probability and IV regression models, we do not find any significant effect of return migration experience on labor force participation. These results suggest that returnees in the 1960s cohort are not more likely to drop out of the labor force compared to stayers. </w:t>
      </w:r>
    </w:p>
  </w:footnote>
  <w:footnote w:id="28">
    <w:p w14:paraId="2258B4AE" w14:textId="0FEEF5E0" w:rsidR="00666DFE" w:rsidRPr="001C0AE1" w:rsidRDefault="00666DFE" w:rsidP="00AA3C84">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To compute the share of individuals who migrated internally, we sum the share of the cells below and above the diagonal in each panel. </w:t>
      </w:r>
    </w:p>
  </w:footnote>
  <w:footnote w:id="29">
    <w:p w14:paraId="20380453" w14:textId="77777777" w:rsidR="005E3CC1" w:rsidRPr="001C0AE1" w:rsidRDefault="005E3CC1" w:rsidP="005E3CC1">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In 2018, individuals were asked if they worked abroad for more than 6 months, as well as the year of their most recent migration and the year of their return. Among returnees in the 1960s cohort (328 returnees, out of which 284 were successfully interviewed in 2018), we only found two individuals who migrated again in 2011 and 2015 and they returned to Egypt in 2013 and 2016, respectively.</w:t>
      </w:r>
    </w:p>
  </w:footnote>
  <w:footnote w:id="30">
    <w:p w14:paraId="53643918" w14:textId="77777777" w:rsidR="00666DFE" w:rsidRPr="001C0AE1" w:rsidRDefault="00666DFE" w:rsidP="007814CF">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The years considered for the 1950s cohort are from the 1950 to 1959, inclusive.</w:t>
      </w:r>
    </w:p>
  </w:footnote>
  <w:footnote w:id="31">
    <w:p w14:paraId="251A8969" w14:textId="733CCB30" w:rsidR="00666DFE" w:rsidRPr="001C0AE1" w:rsidRDefault="00666DFE" w:rsidP="007814CF">
      <w:pPr>
        <w:jc w:val="both"/>
        <w:rPr>
          <w:color w:val="000000" w:themeColor="text1"/>
          <w:sz w:val="20"/>
          <w:szCs w:val="20"/>
        </w:rPr>
      </w:pPr>
      <w:r w:rsidRPr="001C0AE1">
        <w:rPr>
          <w:rStyle w:val="FootnoteReference"/>
          <w:sz w:val="20"/>
          <w:szCs w:val="20"/>
        </w:rPr>
        <w:footnoteRef/>
      </w:r>
      <w:r w:rsidRPr="001C0AE1">
        <w:rPr>
          <w:sz w:val="20"/>
          <w:szCs w:val="20"/>
        </w:rPr>
        <w:t xml:space="preserve"> For the 1950s cohort, the mean age of migration is 29 with a standard deviation of 2.4.</w:t>
      </w:r>
    </w:p>
  </w:footnote>
  <w:footnote w:id="32">
    <w:p w14:paraId="27C8F707" w14:textId="06E63F6D" w:rsidR="00666DFE" w:rsidRPr="001C0AE1" w:rsidRDefault="00666DFE" w:rsidP="007814CF">
      <w:pPr>
        <w:pStyle w:val="FootnoteText"/>
        <w:jc w:val="both"/>
        <w:rPr>
          <w:rFonts w:ascii="Times New Roman" w:hAnsi="Times New Roman" w:cs="Times New Roman"/>
          <w:lang w:val="en-US"/>
        </w:rPr>
      </w:pPr>
      <w:r w:rsidRPr="001C0AE1">
        <w:rPr>
          <w:rStyle w:val="FootnoteReference"/>
          <w:rFonts w:ascii="Times New Roman" w:hAnsi="Times New Roman" w:cs="Times New Roman"/>
          <w:lang w:val="en-US"/>
        </w:rPr>
        <w:footnoteRef/>
      </w:r>
      <w:r w:rsidRPr="001C0AE1">
        <w:rPr>
          <w:rFonts w:ascii="Times New Roman" w:hAnsi="Times New Roman" w:cs="Times New Roman"/>
          <w:lang w:val="en-US"/>
        </w:rPr>
        <w:t xml:space="preserve"> As further robustness checks, we also relied on labor market entrant cohorts rather than birth cohort. Based on the 1980s (and 1990s) labor market entrant cohorts, all our results hold.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24CDE" w14:textId="77777777" w:rsidR="00666DFE" w:rsidRDefault="00666DFE" w:rsidP="0047397B">
    <w:pPr>
      <w:pStyle w:val="Header"/>
      <w:tabs>
        <w:tab w:val="clear" w:pos="4536"/>
        <w:tab w:val="clear" w:pos="9072"/>
        <w:tab w:val="left" w:pos="32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2A987" w14:textId="05A97877" w:rsidR="00666DFE" w:rsidRDefault="00666DFE" w:rsidP="00272ACC">
    <w:pPr>
      <w:pStyle w:val="Header"/>
      <w:tabs>
        <w:tab w:val="clear" w:pos="4536"/>
        <w:tab w:val="clear" w:pos="9072"/>
        <w:tab w:val="left" w:pos="3240"/>
      </w:tabs>
      <w:jc w:val="center"/>
      <w:rPr>
        <w:rFonts w:ascii="Times New Roman" w:hAnsi="Times New Roman" w:cs="Times New Roman"/>
        <w:b/>
        <w:bCs/>
        <w:sz w:val="28"/>
        <w:szCs w:val="28"/>
      </w:rPr>
    </w:pPr>
    <w:r w:rsidRPr="00272ACC">
      <w:rPr>
        <w:rFonts w:ascii="Times New Roman" w:hAnsi="Times New Roman" w:cs="Times New Roman"/>
        <w:b/>
        <w:bCs/>
        <w:sz w:val="28"/>
        <w:szCs w:val="28"/>
      </w:rPr>
      <w:t>Online Appendix</w:t>
    </w:r>
  </w:p>
  <w:p w14:paraId="4BFC8531" w14:textId="77777777" w:rsidR="00666DFE" w:rsidRPr="00272ACC" w:rsidRDefault="00666DFE" w:rsidP="00EB5456">
    <w:pPr>
      <w:pStyle w:val="Header"/>
      <w:tabs>
        <w:tab w:val="clear" w:pos="4536"/>
        <w:tab w:val="clear" w:pos="9072"/>
        <w:tab w:val="left" w:pos="3240"/>
      </w:tabs>
      <w:rPr>
        <w:rFonts w:ascii="Times New Roman" w:hAnsi="Times New Roman" w:cs="Times New Roman"/>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6DA0D" w14:textId="040C3041" w:rsidR="00666DFE" w:rsidRDefault="00666DFE" w:rsidP="00BA2F84">
    <w:pPr>
      <w:pStyle w:val="Header"/>
      <w:tabs>
        <w:tab w:val="clear" w:pos="4536"/>
        <w:tab w:val="clear" w:pos="9072"/>
        <w:tab w:val="left" w:pos="3240"/>
      </w:tabs>
      <w:jc w:val="center"/>
      <w:rPr>
        <w:rFonts w:ascii="Times New Roman" w:hAnsi="Times New Roman" w:cs="Times New Roman"/>
        <w:b/>
        <w:sz w:val="28"/>
        <w:szCs w:val="28"/>
      </w:rPr>
    </w:pPr>
    <w:r w:rsidRPr="008639C3">
      <w:rPr>
        <w:rFonts w:ascii="Times New Roman" w:hAnsi="Times New Roman" w:cs="Times New Roman"/>
        <w:b/>
        <w:sz w:val="28"/>
        <w:szCs w:val="28"/>
      </w:rPr>
      <w:t>Online Appendix</w:t>
    </w:r>
  </w:p>
  <w:p w14:paraId="62A3E210" w14:textId="77777777" w:rsidR="00666DFE" w:rsidRPr="008639C3" w:rsidRDefault="00666DFE" w:rsidP="00BA2F84">
    <w:pPr>
      <w:pStyle w:val="Header"/>
      <w:tabs>
        <w:tab w:val="clear" w:pos="4536"/>
        <w:tab w:val="clear" w:pos="9072"/>
        <w:tab w:val="left" w:pos="3240"/>
      </w:tabs>
      <w:jc w:val="center"/>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4773"/>
    <w:multiLevelType w:val="multilevel"/>
    <w:tmpl w:val="72B885CA"/>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A191515"/>
    <w:multiLevelType w:val="multilevel"/>
    <w:tmpl w:val="7C86A46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D0A4A54"/>
    <w:multiLevelType w:val="multilevel"/>
    <w:tmpl w:val="7C86A46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FC925AB"/>
    <w:multiLevelType w:val="multilevel"/>
    <w:tmpl w:val="7C86A46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7EE1A53"/>
    <w:multiLevelType w:val="multilevel"/>
    <w:tmpl w:val="7C86A46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B59329F"/>
    <w:multiLevelType w:val="hybridMultilevel"/>
    <w:tmpl w:val="47F60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E046C"/>
    <w:multiLevelType w:val="hybridMultilevel"/>
    <w:tmpl w:val="4A0C4272"/>
    <w:lvl w:ilvl="0" w:tplc="D4D0AB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C63CA3"/>
    <w:multiLevelType w:val="multilevel"/>
    <w:tmpl w:val="7C86A46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D4C5046"/>
    <w:multiLevelType w:val="hybridMultilevel"/>
    <w:tmpl w:val="99BC34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0AA0485"/>
    <w:multiLevelType w:val="multilevel"/>
    <w:tmpl w:val="7C86A46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1646590"/>
    <w:multiLevelType w:val="multilevel"/>
    <w:tmpl w:val="19AEAB4A"/>
    <w:lvl w:ilvl="0">
      <w:start w:val="1"/>
      <w:numFmt w:val="decimal"/>
      <w:lvlText w:val="%1."/>
      <w:lvlJc w:val="left"/>
      <w:pPr>
        <w:ind w:left="720" w:hanging="360"/>
      </w:pPr>
      <w:rPr>
        <w:lang w:val="en-US"/>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18725E7"/>
    <w:multiLevelType w:val="multilevel"/>
    <w:tmpl w:val="7C86A46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5F16C75"/>
    <w:multiLevelType w:val="hybridMultilevel"/>
    <w:tmpl w:val="185E24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16B2C93"/>
    <w:multiLevelType w:val="multilevel"/>
    <w:tmpl w:val="7C86A46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4D41220"/>
    <w:multiLevelType w:val="hybridMultilevel"/>
    <w:tmpl w:val="F03A990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5671045A"/>
    <w:multiLevelType w:val="multilevel"/>
    <w:tmpl w:val="7C86A46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7F269C5"/>
    <w:multiLevelType w:val="hybridMultilevel"/>
    <w:tmpl w:val="47F60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023CAA"/>
    <w:multiLevelType w:val="multilevel"/>
    <w:tmpl w:val="F70AFA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3F4702"/>
    <w:multiLevelType w:val="hybridMultilevel"/>
    <w:tmpl w:val="A3846910"/>
    <w:lvl w:ilvl="0" w:tplc="2FD6841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7D1A2D99"/>
    <w:multiLevelType w:val="hybridMultilevel"/>
    <w:tmpl w:val="3E8294AC"/>
    <w:lvl w:ilvl="0" w:tplc="0809000F">
      <w:start w:val="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F9C5FE8"/>
    <w:multiLevelType w:val="hybridMultilevel"/>
    <w:tmpl w:val="3E8294AC"/>
    <w:lvl w:ilvl="0" w:tplc="0809000F">
      <w:start w:val="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6"/>
  </w:num>
  <w:num w:numId="3">
    <w:abstractNumId w:val="14"/>
  </w:num>
  <w:num w:numId="4">
    <w:abstractNumId w:val="10"/>
  </w:num>
  <w:num w:numId="5">
    <w:abstractNumId w:val="20"/>
  </w:num>
  <w:num w:numId="6">
    <w:abstractNumId w:val="0"/>
  </w:num>
  <w:num w:numId="7">
    <w:abstractNumId w:val="17"/>
  </w:num>
  <w:num w:numId="8">
    <w:abstractNumId w:val="18"/>
  </w:num>
  <w:num w:numId="9">
    <w:abstractNumId w:val="19"/>
  </w:num>
  <w:num w:numId="10">
    <w:abstractNumId w:val="9"/>
  </w:num>
  <w:num w:numId="11">
    <w:abstractNumId w:val="1"/>
  </w:num>
  <w:num w:numId="12">
    <w:abstractNumId w:val="7"/>
  </w:num>
  <w:num w:numId="13">
    <w:abstractNumId w:val="6"/>
  </w:num>
  <w:num w:numId="14">
    <w:abstractNumId w:val="8"/>
  </w:num>
  <w:num w:numId="15">
    <w:abstractNumId w:val="2"/>
  </w:num>
  <w:num w:numId="16">
    <w:abstractNumId w:val="11"/>
  </w:num>
  <w:num w:numId="17">
    <w:abstractNumId w:val="4"/>
  </w:num>
  <w:num w:numId="18">
    <w:abstractNumId w:val="3"/>
  </w:num>
  <w:num w:numId="19">
    <w:abstractNumId w:val="15"/>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F6"/>
    <w:rsid w:val="0000004B"/>
    <w:rsid w:val="000004D5"/>
    <w:rsid w:val="00000D79"/>
    <w:rsid w:val="00001771"/>
    <w:rsid w:val="000023DB"/>
    <w:rsid w:val="00002DF8"/>
    <w:rsid w:val="00002FD3"/>
    <w:rsid w:val="0000309C"/>
    <w:rsid w:val="000036B3"/>
    <w:rsid w:val="00003783"/>
    <w:rsid w:val="000044F9"/>
    <w:rsid w:val="0000493C"/>
    <w:rsid w:val="00004C84"/>
    <w:rsid w:val="00004D2F"/>
    <w:rsid w:val="00005EE2"/>
    <w:rsid w:val="00006AF0"/>
    <w:rsid w:val="000073E8"/>
    <w:rsid w:val="00007A7A"/>
    <w:rsid w:val="00007A91"/>
    <w:rsid w:val="00010057"/>
    <w:rsid w:val="00010601"/>
    <w:rsid w:val="00011F9B"/>
    <w:rsid w:val="00013DD7"/>
    <w:rsid w:val="00014A34"/>
    <w:rsid w:val="00014E46"/>
    <w:rsid w:val="00014FAA"/>
    <w:rsid w:val="0001528E"/>
    <w:rsid w:val="00015451"/>
    <w:rsid w:val="000154BC"/>
    <w:rsid w:val="000172D2"/>
    <w:rsid w:val="000176EB"/>
    <w:rsid w:val="00017E09"/>
    <w:rsid w:val="00021D8A"/>
    <w:rsid w:val="00021ECA"/>
    <w:rsid w:val="00023578"/>
    <w:rsid w:val="000238C9"/>
    <w:rsid w:val="00023E48"/>
    <w:rsid w:val="000246D4"/>
    <w:rsid w:val="00024953"/>
    <w:rsid w:val="00024967"/>
    <w:rsid w:val="00024988"/>
    <w:rsid w:val="0002535F"/>
    <w:rsid w:val="00026177"/>
    <w:rsid w:val="000268FE"/>
    <w:rsid w:val="00027615"/>
    <w:rsid w:val="00027AB9"/>
    <w:rsid w:val="00030C01"/>
    <w:rsid w:val="000312CF"/>
    <w:rsid w:val="00031B4A"/>
    <w:rsid w:val="000330DE"/>
    <w:rsid w:val="0003327C"/>
    <w:rsid w:val="00034E0E"/>
    <w:rsid w:val="000353E9"/>
    <w:rsid w:val="000376BC"/>
    <w:rsid w:val="00037BE9"/>
    <w:rsid w:val="00040A6E"/>
    <w:rsid w:val="000414F4"/>
    <w:rsid w:val="000418A3"/>
    <w:rsid w:val="00041D41"/>
    <w:rsid w:val="00041E55"/>
    <w:rsid w:val="00042081"/>
    <w:rsid w:val="00042B88"/>
    <w:rsid w:val="0004370E"/>
    <w:rsid w:val="0004397A"/>
    <w:rsid w:val="00043C38"/>
    <w:rsid w:val="00044292"/>
    <w:rsid w:val="00044F91"/>
    <w:rsid w:val="0004546B"/>
    <w:rsid w:val="0004589E"/>
    <w:rsid w:val="0004664C"/>
    <w:rsid w:val="000477C9"/>
    <w:rsid w:val="00047C89"/>
    <w:rsid w:val="00050216"/>
    <w:rsid w:val="00050C08"/>
    <w:rsid w:val="00051D5A"/>
    <w:rsid w:val="000524D1"/>
    <w:rsid w:val="0005281D"/>
    <w:rsid w:val="000532E9"/>
    <w:rsid w:val="00053E50"/>
    <w:rsid w:val="0005458C"/>
    <w:rsid w:val="0005478A"/>
    <w:rsid w:val="00054EC8"/>
    <w:rsid w:val="000553A5"/>
    <w:rsid w:val="00055725"/>
    <w:rsid w:val="0005647E"/>
    <w:rsid w:val="00057A30"/>
    <w:rsid w:val="00057B5D"/>
    <w:rsid w:val="0006147D"/>
    <w:rsid w:val="000628DB"/>
    <w:rsid w:val="00062D5C"/>
    <w:rsid w:val="00062DE5"/>
    <w:rsid w:val="00063A99"/>
    <w:rsid w:val="00065342"/>
    <w:rsid w:val="00066E3D"/>
    <w:rsid w:val="00066F1D"/>
    <w:rsid w:val="00067393"/>
    <w:rsid w:val="00067467"/>
    <w:rsid w:val="00067617"/>
    <w:rsid w:val="0006779B"/>
    <w:rsid w:val="00067F3E"/>
    <w:rsid w:val="0007073B"/>
    <w:rsid w:val="00071187"/>
    <w:rsid w:val="000712F9"/>
    <w:rsid w:val="0007207D"/>
    <w:rsid w:val="00072096"/>
    <w:rsid w:val="00072E08"/>
    <w:rsid w:val="00073628"/>
    <w:rsid w:val="000736FE"/>
    <w:rsid w:val="00075663"/>
    <w:rsid w:val="000760BE"/>
    <w:rsid w:val="000761BF"/>
    <w:rsid w:val="000805B9"/>
    <w:rsid w:val="0008099D"/>
    <w:rsid w:val="00081222"/>
    <w:rsid w:val="00081480"/>
    <w:rsid w:val="00081595"/>
    <w:rsid w:val="00081635"/>
    <w:rsid w:val="00081D51"/>
    <w:rsid w:val="00083805"/>
    <w:rsid w:val="000844D4"/>
    <w:rsid w:val="000848C3"/>
    <w:rsid w:val="00084CC2"/>
    <w:rsid w:val="000853A9"/>
    <w:rsid w:val="0008608B"/>
    <w:rsid w:val="0008651D"/>
    <w:rsid w:val="000868D2"/>
    <w:rsid w:val="00086E5C"/>
    <w:rsid w:val="000871A8"/>
    <w:rsid w:val="00087C16"/>
    <w:rsid w:val="000903B1"/>
    <w:rsid w:val="00090AF6"/>
    <w:rsid w:val="000934DB"/>
    <w:rsid w:val="00093B6D"/>
    <w:rsid w:val="00094867"/>
    <w:rsid w:val="0009494F"/>
    <w:rsid w:val="00094DF9"/>
    <w:rsid w:val="00094E03"/>
    <w:rsid w:val="00095615"/>
    <w:rsid w:val="000957F5"/>
    <w:rsid w:val="00095D0E"/>
    <w:rsid w:val="00095D69"/>
    <w:rsid w:val="00096CCA"/>
    <w:rsid w:val="00097EE9"/>
    <w:rsid w:val="000A334D"/>
    <w:rsid w:val="000A4B23"/>
    <w:rsid w:val="000A4FBE"/>
    <w:rsid w:val="000A5A77"/>
    <w:rsid w:val="000A5D97"/>
    <w:rsid w:val="000A609A"/>
    <w:rsid w:val="000A6224"/>
    <w:rsid w:val="000A6333"/>
    <w:rsid w:val="000A7173"/>
    <w:rsid w:val="000A7D36"/>
    <w:rsid w:val="000A7DE3"/>
    <w:rsid w:val="000B1DC4"/>
    <w:rsid w:val="000B2163"/>
    <w:rsid w:val="000B3052"/>
    <w:rsid w:val="000B30F8"/>
    <w:rsid w:val="000B347C"/>
    <w:rsid w:val="000B3763"/>
    <w:rsid w:val="000B4939"/>
    <w:rsid w:val="000B4B49"/>
    <w:rsid w:val="000B4D97"/>
    <w:rsid w:val="000B5AC6"/>
    <w:rsid w:val="000B65B4"/>
    <w:rsid w:val="000B727C"/>
    <w:rsid w:val="000B72B2"/>
    <w:rsid w:val="000B7639"/>
    <w:rsid w:val="000C15E7"/>
    <w:rsid w:val="000C1616"/>
    <w:rsid w:val="000C51B5"/>
    <w:rsid w:val="000C57EA"/>
    <w:rsid w:val="000C5D64"/>
    <w:rsid w:val="000C6B9A"/>
    <w:rsid w:val="000C7CAB"/>
    <w:rsid w:val="000D0567"/>
    <w:rsid w:val="000D0A29"/>
    <w:rsid w:val="000D0D65"/>
    <w:rsid w:val="000D0EEA"/>
    <w:rsid w:val="000D1674"/>
    <w:rsid w:val="000D243E"/>
    <w:rsid w:val="000D2854"/>
    <w:rsid w:val="000D2A58"/>
    <w:rsid w:val="000D2ECA"/>
    <w:rsid w:val="000D35D4"/>
    <w:rsid w:val="000D3725"/>
    <w:rsid w:val="000D3C37"/>
    <w:rsid w:val="000D556F"/>
    <w:rsid w:val="000D6349"/>
    <w:rsid w:val="000D713D"/>
    <w:rsid w:val="000E14EB"/>
    <w:rsid w:val="000E1FF7"/>
    <w:rsid w:val="000E23D4"/>
    <w:rsid w:val="000E24B0"/>
    <w:rsid w:val="000E26F4"/>
    <w:rsid w:val="000E28BE"/>
    <w:rsid w:val="000E4902"/>
    <w:rsid w:val="000E4D9F"/>
    <w:rsid w:val="000E5F68"/>
    <w:rsid w:val="000E68CF"/>
    <w:rsid w:val="000E7319"/>
    <w:rsid w:val="000E77B0"/>
    <w:rsid w:val="000F119A"/>
    <w:rsid w:val="000F1465"/>
    <w:rsid w:val="000F1590"/>
    <w:rsid w:val="000F179D"/>
    <w:rsid w:val="000F1F50"/>
    <w:rsid w:val="000F504A"/>
    <w:rsid w:val="000F5501"/>
    <w:rsid w:val="000F56F7"/>
    <w:rsid w:val="000F5D60"/>
    <w:rsid w:val="000F612D"/>
    <w:rsid w:val="000F6436"/>
    <w:rsid w:val="000F6FBB"/>
    <w:rsid w:val="000F75F1"/>
    <w:rsid w:val="000F786B"/>
    <w:rsid w:val="000F7DAB"/>
    <w:rsid w:val="00101030"/>
    <w:rsid w:val="00101EAD"/>
    <w:rsid w:val="00104517"/>
    <w:rsid w:val="00104A56"/>
    <w:rsid w:val="0010520A"/>
    <w:rsid w:val="00105309"/>
    <w:rsid w:val="00105D0C"/>
    <w:rsid w:val="00105DE0"/>
    <w:rsid w:val="00105FAB"/>
    <w:rsid w:val="0010664C"/>
    <w:rsid w:val="00106E23"/>
    <w:rsid w:val="001070C8"/>
    <w:rsid w:val="001073EC"/>
    <w:rsid w:val="001106A8"/>
    <w:rsid w:val="001108CC"/>
    <w:rsid w:val="001108FF"/>
    <w:rsid w:val="00111684"/>
    <w:rsid w:val="00112210"/>
    <w:rsid w:val="00112779"/>
    <w:rsid w:val="00114FBB"/>
    <w:rsid w:val="00115BE3"/>
    <w:rsid w:val="0011606D"/>
    <w:rsid w:val="0011614E"/>
    <w:rsid w:val="00116EE2"/>
    <w:rsid w:val="00117B17"/>
    <w:rsid w:val="00117CDA"/>
    <w:rsid w:val="00117DCE"/>
    <w:rsid w:val="00120020"/>
    <w:rsid w:val="0012108C"/>
    <w:rsid w:val="0012217A"/>
    <w:rsid w:val="0012263F"/>
    <w:rsid w:val="0012278A"/>
    <w:rsid w:val="00123731"/>
    <w:rsid w:val="001240E5"/>
    <w:rsid w:val="00124BB5"/>
    <w:rsid w:val="00125230"/>
    <w:rsid w:val="001252E9"/>
    <w:rsid w:val="001267F1"/>
    <w:rsid w:val="001268FC"/>
    <w:rsid w:val="00126B93"/>
    <w:rsid w:val="0012712D"/>
    <w:rsid w:val="00130634"/>
    <w:rsid w:val="00131056"/>
    <w:rsid w:val="001328B9"/>
    <w:rsid w:val="00133980"/>
    <w:rsid w:val="001346B7"/>
    <w:rsid w:val="00134EAD"/>
    <w:rsid w:val="00135402"/>
    <w:rsid w:val="0013620D"/>
    <w:rsid w:val="00136274"/>
    <w:rsid w:val="0013661E"/>
    <w:rsid w:val="00136AA0"/>
    <w:rsid w:val="00136E9B"/>
    <w:rsid w:val="00137089"/>
    <w:rsid w:val="00137620"/>
    <w:rsid w:val="00137763"/>
    <w:rsid w:val="0014003B"/>
    <w:rsid w:val="001404DF"/>
    <w:rsid w:val="001405AA"/>
    <w:rsid w:val="00141CD2"/>
    <w:rsid w:val="00141F9B"/>
    <w:rsid w:val="00143334"/>
    <w:rsid w:val="00143866"/>
    <w:rsid w:val="001439E5"/>
    <w:rsid w:val="00143F0E"/>
    <w:rsid w:val="00144233"/>
    <w:rsid w:val="00144E70"/>
    <w:rsid w:val="00145A0C"/>
    <w:rsid w:val="00145DCB"/>
    <w:rsid w:val="00146D06"/>
    <w:rsid w:val="00146D1B"/>
    <w:rsid w:val="001479E7"/>
    <w:rsid w:val="00152486"/>
    <w:rsid w:val="001527CD"/>
    <w:rsid w:val="00153185"/>
    <w:rsid w:val="00154A1E"/>
    <w:rsid w:val="00155936"/>
    <w:rsid w:val="001570CE"/>
    <w:rsid w:val="00160BB3"/>
    <w:rsid w:val="00160D06"/>
    <w:rsid w:val="0016109D"/>
    <w:rsid w:val="001610F8"/>
    <w:rsid w:val="0016196B"/>
    <w:rsid w:val="00161F9D"/>
    <w:rsid w:val="00163DFC"/>
    <w:rsid w:val="00163E4A"/>
    <w:rsid w:val="00164135"/>
    <w:rsid w:val="001649D7"/>
    <w:rsid w:val="00164C6E"/>
    <w:rsid w:val="00164C92"/>
    <w:rsid w:val="001657AE"/>
    <w:rsid w:val="00167313"/>
    <w:rsid w:val="001676B9"/>
    <w:rsid w:val="001700E4"/>
    <w:rsid w:val="0017018E"/>
    <w:rsid w:val="00172559"/>
    <w:rsid w:val="0017267B"/>
    <w:rsid w:val="00173AF3"/>
    <w:rsid w:val="00175239"/>
    <w:rsid w:val="0017565F"/>
    <w:rsid w:val="0017612F"/>
    <w:rsid w:val="001767D1"/>
    <w:rsid w:val="0017763A"/>
    <w:rsid w:val="001816F0"/>
    <w:rsid w:val="001817D2"/>
    <w:rsid w:val="001829AF"/>
    <w:rsid w:val="001831F5"/>
    <w:rsid w:val="00183D28"/>
    <w:rsid w:val="001851C7"/>
    <w:rsid w:val="00185924"/>
    <w:rsid w:val="00185971"/>
    <w:rsid w:val="00187689"/>
    <w:rsid w:val="001914F3"/>
    <w:rsid w:val="00191EFB"/>
    <w:rsid w:val="001926E6"/>
    <w:rsid w:val="00193E7C"/>
    <w:rsid w:val="0019458F"/>
    <w:rsid w:val="0019481A"/>
    <w:rsid w:val="001949D1"/>
    <w:rsid w:val="001954EB"/>
    <w:rsid w:val="001958DE"/>
    <w:rsid w:val="001959E5"/>
    <w:rsid w:val="001961CD"/>
    <w:rsid w:val="00196BD4"/>
    <w:rsid w:val="00196CE5"/>
    <w:rsid w:val="00197D14"/>
    <w:rsid w:val="00197EB9"/>
    <w:rsid w:val="001A0274"/>
    <w:rsid w:val="001A20BE"/>
    <w:rsid w:val="001A2485"/>
    <w:rsid w:val="001A39FD"/>
    <w:rsid w:val="001A3ECE"/>
    <w:rsid w:val="001A4E7F"/>
    <w:rsid w:val="001A6B5E"/>
    <w:rsid w:val="001A6B94"/>
    <w:rsid w:val="001A6C88"/>
    <w:rsid w:val="001A6E6B"/>
    <w:rsid w:val="001A7416"/>
    <w:rsid w:val="001A7DE0"/>
    <w:rsid w:val="001B1429"/>
    <w:rsid w:val="001B1C9A"/>
    <w:rsid w:val="001B28E2"/>
    <w:rsid w:val="001B305E"/>
    <w:rsid w:val="001B34A9"/>
    <w:rsid w:val="001B36DE"/>
    <w:rsid w:val="001B3B23"/>
    <w:rsid w:val="001B4AE1"/>
    <w:rsid w:val="001B4B18"/>
    <w:rsid w:val="001B4FD1"/>
    <w:rsid w:val="001B527F"/>
    <w:rsid w:val="001B6228"/>
    <w:rsid w:val="001C0AE1"/>
    <w:rsid w:val="001C103C"/>
    <w:rsid w:val="001C2A16"/>
    <w:rsid w:val="001C3650"/>
    <w:rsid w:val="001C4668"/>
    <w:rsid w:val="001C7CE8"/>
    <w:rsid w:val="001C7E40"/>
    <w:rsid w:val="001D2170"/>
    <w:rsid w:val="001D26EB"/>
    <w:rsid w:val="001D3432"/>
    <w:rsid w:val="001D354E"/>
    <w:rsid w:val="001D3A1C"/>
    <w:rsid w:val="001D3B3C"/>
    <w:rsid w:val="001D3F5F"/>
    <w:rsid w:val="001D53D9"/>
    <w:rsid w:val="001D555B"/>
    <w:rsid w:val="001D5764"/>
    <w:rsid w:val="001D5CA5"/>
    <w:rsid w:val="001D7922"/>
    <w:rsid w:val="001E00BB"/>
    <w:rsid w:val="001E07A6"/>
    <w:rsid w:val="001E0C9F"/>
    <w:rsid w:val="001E1EC3"/>
    <w:rsid w:val="001E2668"/>
    <w:rsid w:val="001E2C0E"/>
    <w:rsid w:val="001E3626"/>
    <w:rsid w:val="001E3A59"/>
    <w:rsid w:val="001E3D67"/>
    <w:rsid w:val="001E43E4"/>
    <w:rsid w:val="001E4461"/>
    <w:rsid w:val="001E671A"/>
    <w:rsid w:val="001E72AD"/>
    <w:rsid w:val="001F0FD5"/>
    <w:rsid w:val="001F143A"/>
    <w:rsid w:val="001F157A"/>
    <w:rsid w:val="001F3E6E"/>
    <w:rsid w:val="001F44C1"/>
    <w:rsid w:val="001F4A3F"/>
    <w:rsid w:val="001F52BE"/>
    <w:rsid w:val="001F5CB9"/>
    <w:rsid w:val="001F7265"/>
    <w:rsid w:val="001F7CB1"/>
    <w:rsid w:val="00200358"/>
    <w:rsid w:val="00200F35"/>
    <w:rsid w:val="00201469"/>
    <w:rsid w:val="00202648"/>
    <w:rsid w:val="00203104"/>
    <w:rsid w:val="002065FC"/>
    <w:rsid w:val="0021023B"/>
    <w:rsid w:val="00211B6C"/>
    <w:rsid w:val="00211EC9"/>
    <w:rsid w:val="00212B67"/>
    <w:rsid w:val="002137CF"/>
    <w:rsid w:val="002152C5"/>
    <w:rsid w:val="0021641A"/>
    <w:rsid w:val="00217388"/>
    <w:rsid w:val="00217953"/>
    <w:rsid w:val="00217B93"/>
    <w:rsid w:val="00217E45"/>
    <w:rsid w:val="00220493"/>
    <w:rsid w:val="002205B8"/>
    <w:rsid w:val="00222B25"/>
    <w:rsid w:val="00223D22"/>
    <w:rsid w:val="00225FC1"/>
    <w:rsid w:val="0023048F"/>
    <w:rsid w:val="002307D6"/>
    <w:rsid w:val="0023256E"/>
    <w:rsid w:val="00233A3E"/>
    <w:rsid w:val="00233D45"/>
    <w:rsid w:val="00233DBC"/>
    <w:rsid w:val="00233F46"/>
    <w:rsid w:val="00234B5E"/>
    <w:rsid w:val="00234F3C"/>
    <w:rsid w:val="00235BD3"/>
    <w:rsid w:val="0023615B"/>
    <w:rsid w:val="00236343"/>
    <w:rsid w:val="002363A6"/>
    <w:rsid w:val="00236665"/>
    <w:rsid w:val="00236964"/>
    <w:rsid w:val="00236DD1"/>
    <w:rsid w:val="00236ED4"/>
    <w:rsid w:val="0023789C"/>
    <w:rsid w:val="00240416"/>
    <w:rsid w:val="00240912"/>
    <w:rsid w:val="00241576"/>
    <w:rsid w:val="002421C1"/>
    <w:rsid w:val="00242AC8"/>
    <w:rsid w:val="00242C11"/>
    <w:rsid w:val="00243F90"/>
    <w:rsid w:val="002450D3"/>
    <w:rsid w:val="002452F9"/>
    <w:rsid w:val="00245883"/>
    <w:rsid w:val="00246861"/>
    <w:rsid w:val="00246ACF"/>
    <w:rsid w:val="00247397"/>
    <w:rsid w:val="00247E39"/>
    <w:rsid w:val="002501FC"/>
    <w:rsid w:val="00251677"/>
    <w:rsid w:val="00251F1A"/>
    <w:rsid w:val="00252136"/>
    <w:rsid w:val="00252662"/>
    <w:rsid w:val="00252A22"/>
    <w:rsid w:val="0025337A"/>
    <w:rsid w:val="002543FC"/>
    <w:rsid w:val="0025465B"/>
    <w:rsid w:val="00254781"/>
    <w:rsid w:val="00254922"/>
    <w:rsid w:val="00254D90"/>
    <w:rsid w:val="0025729D"/>
    <w:rsid w:val="0025753C"/>
    <w:rsid w:val="00257D6B"/>
    <w:rsid w:val="0026006E"/>
    <w:rsid w:val="002602F8"/>
    <w:rsid w:val="002602FE"/>
    <w:rsid w:val="0026059F"/>
    <w:rsid w:val="00260827"/>
    <w:rsid w:val="0026137D"/>
    <w:rsid w:val="00261532"/>
    <w:rsid w:val="00261990"/>
    <w:rsid w:val="0026199C"/>
    <w:rsid w:val="002624D8"/>
    <w:rsid w:val="00262DED"/>
    <w:rsid w:val="00263EB4"/>
    <w:rsid w:val="002640AD"/>
    <w:rsid w:val="00264E93"/>
    <w:rsid w:val="0026554A"/>
    <w:rsid w:val="00270137"/>
    <w:rsid w:val="002707E1"/>
    <w:rsid w:val="002713B7"/>
    <w:rsid w:val="00271A74"/>
    <w:rsid w:val="00271B06"/>
    <w:rsid w:val="00271FE5"/>
    <w:rsid w:val="00272ACC"/>
    <w:rsid w:val="00273164"/>
    <w:rsid w:val="002736AB"/>
    <w:rsid w:val="00273E03"/>
    <w:rsid w:val="002743C1"/>
    <w:rsid w:val="00274F60"/>
    <w:rsid w:val="00275562"/>
    <w:rsid w:val="00275822"/>
    <w:rsid w:val="00275BD9"/>
    <w:rsid w:val="0027664F"/>
    <w:rsid w:val="00276D78"/>
    <w:rsid w:val="0027708E"/>
    <w:rsid w:val="00280210"/>
    <w:rsid w:val="00280684"/>
    <w:rsid w:val="0028105F"/>
    <w:rsid w:val="0028266C"/>
    <w:rsid w:val="00282E30"/>
    <w:rsid w:val="00283579"/>
    <w:rsid w:val="0028520E"/>
    <w:rsid w:val="002856A6"/>
    <w:rsid w:val="00285809"/>
    <w:rsid w:val="00285AEA"/>
    <w:rsid w:val="00285DB1"/>
    <w:rsid w:val="00286110"/>
    <w:rsid w:val="00287CDE"/>
    <w:rsid w:val="00290854"/>
    <w:rsid w:val="00292435"/>
    <w:rsid w:val="00292815"/>
    <w:rsid w:val="00294D13"/>
    <w:rsid w:val="00295003"/>
    <w:rsid w:val="002A0639"/>
    <w:rsid w:val="002A2224"/>
    <w:rsid w:val="002A24D2"/>
    <w:rsid w:val="002A3215"/>
    <w:rsid w:val="002A4B22"/>
    <w:rsid w:val="002A4D11"/>
    <w:rsid w:val="002A6606"/>
    <w:rsid w:val="002B00B3"/>
    <w:rsid w:val="002B1151"/>
    <w:rsid w:val="002B1174"/>
    <w:rsid w:val="002B1314"/>
    <w:rsid w:val="002B1E22"/>
    <w:rsid w:val="002B214A"/>
    <w:rsid w:val="002B3F51"/>
    <w:rsid w:val="002B4DF6"/>
    <w:rsid w:val="002B5D7A"/>
    <w:rsid w:val="002B621B"/>
    <w:rsid w:val="002B6B92"/>
    <w:rsid w:val="002B781C"/>
    <w:rsid w:val="002C057D"/>
    <w:rsid w:val="002C064C"/>
    <w:rsid w:val="002C3861"/>
    <w:rsid w:val="002C4AF7"/>
    <w:rsid w:val="002C5284"/>
    <w:rsid w:val="002C5EDE"/>
    <w:rsid w:val="002C62B0"/>
    <w:rsid w:val="002C668F"/>
    <w:rsid w:val="002C73B1"/>
    <w:rsid w:val="002D0792"/>
    <w:rsid w:val="002D0AC0"/>
    <w:rsid w:val="002D0C8E"/>
    <w:rsid w:val="002D150F"/>
    <w:rsid w:val="002D35BC"/>
    <w:rsid w:val="002D385F"/>
    <w:rsid w:val="002D3B9A"/>
    <w:rsid w:val="002D44CE"/>
    <w:rsid w:val="002D4783"/>
    <w:rsid w:val="002D58B9"/>
    <w:rsid w:val="002D5917"/>
    <w:rsid w:val="002D5C03"/>
    <w:rsid w:val="002D5E88"/>
    <w:rsid w:val="002D631A"/>
    <w:rsid w:val="002D6604"/>
    <w:rsid w:val="002D6632"/>
    <w:rsid w:val="002D684A"/>
    <w:rsid w:val="002D787C"/>
    <w:rsid w:val="002E0684"/>
    <w:rsid w:val="002E08F2"/>
    <w:rsid w:val="002E1C69"/>
    <w:rsid w:val="002E346E"/>
    <w:rsid w:val="002E3DB9"/>
    <w:rsid w:val="002E48B9"/>
    <w:rsid w:val="002E526A"/>
    <w:rsid w:val="002F1861"/>
    <w:rsid w:val="002F1C72"/>
    <w:rsid w:val="002F1EF1"/>
    <w:rsid w:val="002F202D"/>
    <w:rsid w:val="002F21C0"/>
    <w:rsid w:val="002F2352"/>
    <w:rsid w:val="002F314A"/>
    <w:rsid w:val="002F37B7"/>
    <w:rsid w:val="002F4148"/>
    <w:rsid w:val="002F43A5"/>
    <w:rsid w:val="002F4F7D"/>
    <w:rsid w:val="002F6C7B"/>
    <w:rsid w:val="002F72D6"/>
    <w:rsid w:val="002F7985"/>
    <w:rsid w:val="003020B7"/>
    <w:rsid w:val="0030217C"/>
    <w:rsid w:val="003023E3"/>
    <w:rsid w:val="00303B9E"/>
    <w:rsid w:val="0030453C"/>
    <w:rsid w:val="003046F6"/>
    <w:rsid w:val="00305218"/>
    <w:rsid w:val="00305261"/>
    <w:rsid w:val="0030560B"/>
    <w:rsid w:val="003058AD"/>
    <w:rsid w:val="00307698"/>
    <w:rsid w:val="00307B01"/>
    <w:rsid w:val="00307BE0"/>
    <w:rsid w:val="00307FEA"/>
    <w:rsid w:val="003101B6"/>
    <w:rsid w:val="00310A8B"/>
    <w:rsid w:val="003111E2"/>
    <w:rsid w:val="00312F0B"/>
    <w:rsid w:val="00314286"/>
    <w:rsid w:val="003146D5"/>
    <w:rsid w:val="00315FA4"/>
    <w:rsid w:val="00316178"/>
    <w:rsid w:val="003205BB"/>
    <w:rsid w:val="003206AE"/>
    <w:rsid w:val="003213BC"/>
    <w:rsid w:val="00321B2F"/>
    <w:rsid w:val="00321CBF"/>
    <w:rsid w:val="00321E29"/>
    <w:rsid w:val="003225D4"/>
    <w:rsid w:val="00322884"/>
    <w:rsid w:val="003230D5"/>
    <w:rsid w:val="00323780"/>
    <w:rsid w:val="00324B93"/>
    <w:rsid w:val="0032553C"/>
    <w:rsid w:val="00325699"/>
    <w:rsid w:val="00325D33"/>
    <w:rsid w:val="00325E5A"/>
    <w:rsid w:val="00325FA2"/>
    <w:rsid w:val="003261B7"/>
    <w:rsid w:val="003265ED"/>
    <w:rsid w:val="00326BF6"/>
    <w:rsid w:val="00327123"/>
    <w:rsid w:val="00331D57"/>
    <w:rsid w:val="003320BE"/>
    <w:rsid w:val="003324B7"/>
    <w:rsid w:val="00332528"/>
    <w:rsid w:val="00332FBE"/>
    <w:rsid w:val="00333BB1"/>
    <w:rsid w:val="00334418"/>
    <w:rsid w:val="00335229"/>
    <w:rsid w:val="00335491"/>
    <w:rsid w:val="00335546"/>
    <w:rsid w:val="00335570"/>
    <w:rsid w:val="00335726"/>
    <w:rsid w:val="0033618E"/>
    <w:rsid w:val="00337916"/>
    <w:rsid w:val="00337EEF"/>
    <w:rsid w:val="00340B28"/>
    <w:rsid w:val="00340F7F"/>
    <w:rsid w:val="00341A1E"/>
    <w:rsid w:val="0034264A"/>
    <w:rsid w:val="00342DFA"/>
    <w:rsid w:val="0034332A"/>
    <w:rsid w:val="00343A7E"/>
    <w:rsid w:val="00343F7D"/>
    <w:rsid w:val="003441E3"/>
    <w:rsid w:val="00344368"/>
    <w:rsid w:val="003444AB"/>
    <w:rsid w:val="00344844"/>
    <w:rsid w:val="003457FB"/>
    <w:rsid w:val="00345C06"/>
    <w:rsid w:val="003461D4"/>
    <w:rsid w:val="0034655D"/>
    <w:rsid w:val="003468C4"/>
    <w:rsid w:val="0035193E"/>
    <w:rsid w:val="00351E30"/>
    <w:rsid w:val="003532ED"/>
    <w:rsid w:val="00353363"/>
    <w:rsid w:val="003543CD"/>
    <w:rsid w:val="00354464"/>
    <w:rsid w:val="00356FEA"/>
    <w:rsid w:val="003576FC"/>
    <w:rsid w:val="00360DCE"/>
    <w:rsid w:val="003614B0"/>
    <w:rsid w:val="00362076"/>
    <w:rsid w:val="003621C0"/>
    <w:rsid w:val="003630A9"/>
    <w:rsid w:val="003633C0"/>
    <w:rsid w:val="00363969"/>
    <w:rsid w:val="003640D2"/>
    <w:rsid w:val="00365295"/>
    <w:rsid w:val="003659CC"/>
    <w:rsid w:val="00365AD2"/>
    <w:rsid w:val="00366BB5"/>
    <w:rsid w:val="00367272"/>
    <w:rsid w:val="00367C55"/>
    <w:rsid w:val="00371E22"/>
    <w:rsid w:val="00372B83"/>
    <w:rsid w:val="00372C09"/>
    <w:rsid w:val="00372C9B"/>
    <w:rsid w:val="00373068"/>
    <w:rsid w:val="003730CE"/>
    <w:rsid w:val="003738BA"/>
    <w:rsid w:val="00373BB8"/>
    <w:rsid w:val="003749E4"/>
    <w:rsid w:val="00374F83"/>
    <w:rsid w:val="00377393"/>
    <w:rsid w:val="00377D10"/>
    <w:rsid w:val="00380839"/>
    <w:rsid w:val="00380EF5"/>
    <w:rsid w:val="00383C9D"/>
    <w:rsid w:val="00384D61"/>
    <w:rsid w:val="003853B4"/>
    <w:rsid w:val="00386946"/>
    <w:rsid w:val="00386A03"/>
    <w:rsid w:val="0039057A"/>
    <w:rsid w:val="003926B1"/>
    <w:rsid w:val="0039335A"/>
    <w:rsid w:val="00394177"/>
    <w:rsid w:val="003946AE"/>
    <w:rsid w:val="003A2154"/>
    <w:rsid w:val="003A2D78"/>
    <w:rsid w:val="003A2F9F"/>
    <w:rsid w:val="003A3583"/>
    <w:rsid w:val="003A3F0D"/>
    <w:rsid w:val="003A4675"/>
    <w:rsid w:val="003A717A"/>
    <w:rsid w:val="003A77E8"/>
    <w:rsid w:val="003A7FAB"/>
    <w:rsid w:val="003B0218"/>
    <w:rsid w:val="003B298A"/>
    <w:rsid w:val="003B2A7B"/>
    <w:rsid w:val="003B3099"/>
    <w:rsid w:val="003B34B3"/>
    <w:rsid w:val="003B3BAD"/>
    <w:rsid w:val="003B48C5"/>
    <w:rsid w:val="003B496C"/>
    <w:rsid w:val="003B4EF5"/>
    <w:rsid w:val="003B524B"/>
    <w:rsid w:val="003B5788"/>
    <w:rsid w:val="003B6A04"/>
    <w:rsid w:val="003C00C0"/>
    <w:rsid w:val="003C038C"/>
    <w:rsid w:val="003C07E1"/>
    <w:rsid w:val="003C0F66"/>
    <w:rsid w:val="003C1159"/>
    <w:rsid w:val="003C1908"/>
    <w:rsid w:val="003C1B8B"/>
    <w:rsid w:val="003C2271"/>
    <w:rsid w:val="003C247D"/>
    <w:rsid w:val="003C2A35"/>
    <w:rsid w:val="003C3016"/>
    <w:rsid w:val="003C52B1"/>
    <w:rsid w:val="003C6EFF"/>
    <w:rsid w:val="003C76EF"/>
    <w:rsid w:val="003C7EAD"/>
    <w:rsid w:val="003D0346"/>
    <w:rsid w:val="003D1C12"/>
    <w:rsid w:val="003D1C79"/>
    <w:rsid w:val="003D1D69"/>
    <w:rsid w:val="003D2666"/>
    <w:rsid w:val="003D2A41"/>
    <w:rsid w:val="003D2C66"/>
    <w:rsid w:val="003D2F7F"/>
    <w:rsid w:val="003D31B4"/>
    <w:rsid w:val="003D36AB"/>
    <w:rsid w:val="003D4FE7"/>
    <w:rsid w:val="003D62C0"/>
    <w:rsid w:val="003D69B1"/>
    <w:rsid w:val="003D705E"/>
    <w:rsid w:val="003D7B6F"/>
    <w:rsid w:val="003D7BB1"/>
    <w:rsid w:val="003E0898"/>
    <w:rsid w:val="003E105D"/>
    <w:rsid w:val="003E19C2"/>
    <w:rsid w:val="003E2222"/>
    <w:rsid w:val="003E27DE"/>
    <w:rsid w:val="003E28E1"/>
    <w:rsid w:val="003E2C9A"/>
    <w:rsid w:val="003E2FDB"/>
    <w:rsid w:val="003E39D1"/>
    <w:rsid w:val="003E3EAB"/>
    <w:rsid w:val="003E434E"/>
    <w:rsid w:val="003E5DC9"/>
    <w:rsid w:val="003E6782"/>
    <w:rsid w:val="003F0179"/>
    <w:rsid w:val="003F06C2"/>
    <w:rsid w:val="003F0E8B"/>
    <w:rsid w:val="003F1381"/>
    <w:rsid w:val="003F1DAB"/>
    <w:rsid w:val="003F1F25"/>
    <w:rsid w:val="003F3632"/>
    <w:rsid w:val="003F74B3"/>
    <w:rsid w:val="003F7FFD"/>
    <w:rsid w:val="00400645"/>
    <w:rsid w:val="004006C0"/>
    <w:rsid w:val="00400FA9"/>
    <w:rsid w:val="00401089"/>
    <w:rsid w:val="0040197C"/>
    <w:rsid w:val="00401D8C"/>
    <w:rsid w:val="004021F5"/>
    <w:rsid w:val="00402465"/>
    <w:rsid w:val="00402FB3"/>
    <w:rsid w:val="00403F2F"/>
    <w:rsid w:val="00405F61"/>
    <w:rsid w:val="00406080"/>
    <w:rsid w:val="004069FB"/>
    <w:rsid w:val="00406EB4"/>
    <w:rsid w:val="0040726D"/>
    <w:rsid w:val="0041003B"/>
    <w:rsid w:val="0041010C"/>
    <w:rsid w:val="00410FA1"/>
    <w:rsid w:val="00412830"/>
    <w:rsid w:val="00412D98"/>
    <w:rsid w:val="00412E11"/>
    <w:rsid w:val="0041309D"/>
    <w:rsid w:val="00413499"/>
    <w:rsid w:val="00413F45"/>
    <w:rsid w:val="004156BC"/>
    <w:rsid w:val="00415BD5"/>
    <w:rsid w:val="00415C8D"/>
    <w:rsid w:val="00415D15"/>
    <w:rsid w:val="004208E1"/>
    <w:rsid w:val="00420994"/>
    <w:rsid w:val="00420C2E"/>
    <w:rsid w:val="004214BC"/>
    <w:rsid w:val="00421E7C"/>
    <w:rsid w:val="00421EBF"/>
    <w:rsid w:val="004223D7"/>
    <w:rsid w:val="00422B5B"/>
    <w:rsid w:val="004249C6"/>
    <w:rsid w:val="00425B62"/>
    <w:rsid w:val="004266F9"/>
    <w:rsid w:val="00426A3B"/>
    <w:rsid w:val="00427320"/>
    <w:rsid w:val="00427605"/>
    <w:rsid w:val="004276DC"/>
    <w:rsid w:val="00430A00"/>
    <w:rsid w:val="00430A54"/>
    <w:rsid w:val="004318E2"/>
    <w:rsid w:val="00432727"/>
    <w:rsid w:val="004344F2"/>
    <w:rsid w:val="004348AB"/>
    <w:rsid w:val="0043520B"/>
    <w:rsid w:val="00435682"/>
    <w:rsid w:val="004362E6"/>
    <w:rsid w:val="0043648A"/>
    <w:rsid w:val="00437570"/>
    <w:rsid w:val="00441CC9"/>
    <w:rsid w:val="00442480"/>
    <w:rsid w:val="00442B3F"/>
    <w:rsid w:val="00442D6E"/>
    <w:rsid w:val="004436BB"/>
    <w:rsid w:val="004436C1"/>
    <w:rsid w:val="00444FAF"/>
    <w:rsid w:val="00445C8C"/>
    <w:rsid w:val="004474B3"/>
    <w:rsid w:val="00450C01"/>
    <w:rsid w:val="00450C3A"/>
    <w:rsid w:val="004517BE"/>
    <w:rsid w:val="00451DF8"/>
    <w:rsid w:val="0045206D"/>
    <w:rsid w:val="0045249A"/>
    <w:rsid w:val="004529BA"/>
    <w:rsid w:val="00452DFD"/>
    <w:rsid w:val="00453320"/>
    <w:rsid w:val="00453838"/>
    <w:rsid w:val="00454E33"/>
    <w:rsid w:val="00455CB2"/>
    <w:rsid w:val="004561A1"/>
    <w:rsid w:val="00456790"/>
    <w:rsid w:val="00457097"/>
    <w:rsid w:val="00457C63"/>
    <w:rsid w:val="0046019F"/>
    <w:rsid w:val="004607B3"/>
    <w:rsid w:val="00460A84"/>
    <w:rsid w:val="00460CA0"/>
    <w:rsid w:val="004615F5"/>
    <w:rsid w:val="00461801"/>
    <w:rsid w:val="004619B0"/>
    <w:rsid w:val="00461DBE"/>
    <w:rsid w:val="00462416"/>
    <w:rsid w:val="0046315D"/>
    <w:rsid w:val="004637FB"/>
    <w:rsid w:val="00463BDD"/>
    <w:rsid w:val="00464442"/>
    <w:rsid w:val="004650C7"/>
    <w:rsid w:val="00465399"/>
    <w:rsid w:val="00465F18"/>
    <w:rsid w:val="00466979"/>
    <w:rsid w:val="00466A6C"/>
    <w:rsid w:val="00467568"/>
    <w:rsid w:val="0047008E"/>
    <w:rsid w:val="004700CC"/>
    <w:rsid w:val="00471824"/>
    <w:rsid w:val="00471DE3"/>
    <w:rsid w:val="00472407"/>
    <w:rsid w:val="00472581"/>
    <w:rsid w:val="00472F9A"/>
    <w:rsid w:val="0047397B"/>
    <w:rsid w:val="00473B78"/>
    <w:rsid w:val="004741BA"/>
    <w:rsid w:val="0047449D"/>
    <w:rsid w:val="0047462A"/>
    <w:rsid w:val="00475773"/>
    <w:rsid w:val="00475FEB"/>
    <w:rsid w:val="00476021"/>
    <w:rsid w:val="0047737E"/>
    <w:rsid w:val="004775D8"/>
    <w:rsid w:val="00480181"/>
    <w:rsid w:val="004801AF"/>
    <w:rsid w:val="004801D6"/>
    <w:rsid w:val="00480818"/>
    <w:rsid w:val="00480901"/>
    <w:rsid w:val="00480E5F"/>
    <w:rsid w:val="0048108B"/>
    <w:rsid w:val="004816EC"/>
    <w:rsid w:val="00481A34"/>
    <w:rsid w:val="00481AE5"/>
    <w:rsid w:val="00482488"/>
    <w:rsid w:val="004828EF"/>
    <w:rsid w:val="00482FD3"/>
    <w:rsid w:val="00484346"/>
    <w:rsid w:val="004848D6"/>
    <w:rsid w:val="00485284"/>
    <w:rsid w:val="00485375"/>
    <w:rsid w:val="004853AF"/>
    <w:rsid w:val="004854B8"/>
    <w:rsid w:val="00487ECB"/>
    <w:rsid w:val="00487F60"/>
    <w:rsid w:val="0049016F"/>
    <w:rsid w:val="004903AA"/>
    <w:rsid w:val="00490841"/>
    <w:rsid w:val="00490D2C"/>
    <w:rsid w:val="004912BA"/>
    <w:rsid w:val="004921B6"/>
    <w:rsid w:val="0049253F"/>
    <w:rsid w:val="00492748"/>
    <w:rsid w:val="0049459B"/>
    <w:rsid w:val="00494F35"/>
    <w:rsid w:val="00495083"/>
    <w:rsid w:val="00495683"/>
    <w:rsid w:val="00495876"/>
    <w:rsid w:val="0049675C"/>
    <w:rsid w:val="00497D8F"/>
    <w:rsid w:val="004A0358"/>
    <w:rsid w:val="004A0B70"/>
    <w:rsid w:val="004A0D95"/>
    <w:rsid w:val="004A172B"/>
    <w:rsid w:val="004A1C27"/>
    <w:rsid w:val="004A2B4C"/>
    <w:rsid w:val="004A2D60"/>
    <w:rsid w:val="004A3DAA"/>
    <w:rsid w:val="004A40A7"/>
    <w:rsid w:val="004A4103"/>
    <w:rsid w:val="004A4F59"/>
    <w:rsid w:val="004A5316"/>
    <w:rsid w:val="004A66CB"/>
    <w:rsid w:val="004A6951"/>
    <w:rsid w:val="004A6997"/>
    <w:rsid w:val="004A699C"/>
    <w:rsid w:val="004A7D47"/>
    <w:rsid w:val="004B2535"/>
    <w:rsid w:val="004B2FCF"/>
    <w:rsid w:val="004B37AB"/>
    <w:rsid w:val="004B6226"/>
    <w:rsid w:val="004B6412"/>
    <w:rsid w:val="004B69E7"/>
    <w:rsid w:val="004B7043"/>
    <w:rsid w:val="004B7356"/>
    <w:rsid w:val="004B79A5"/>
    <w:rsid w:val="004B7DBF"/>
    <w:rsid w:val="004C0A47"/>
    <w:rsid w:val="004C0B96"/>
    <w:rsid w:val="004C0BBA"/>
    <w:rsid w:val="004C10CE"/>
    <w:rsid w:val="004C27B7"/>
    <w:rsid w:val="004C2BAC"/>
    <w:rsid w:val="004C475E"/>
    <w:rsid w:val="004C49D3"/>
    <w:rsid w:val="004C4CA3"/>
    <w:rsid w:val="004C5035"/>
    <w:rsid w:val="004C6403"/>
    <w:rsid w:val="004C7891"/>
    <w:rsid w:val="004C7E10"/>
    <w:rsid w:val="004D0AA9"/>
    <w:rsid w:val="004D2BC2"/>
    <w:rsid w:val="004D32C8"/>
    <w:rsid w:val="004D39CA"/>
    <w:rsid w:val="004D47D6"/>
    <w:rsid w:val="004D5715"/>
    <w:rsid w:val="004D6C79"/>
    <w:rsid w:val="004D7F0E"/>
    <w:rsid w:val="004E0FC2"/>
    <w:rsid w:val="004E11E1"/>
    <w:rsid w:val="004E1B70"/>
    <w:rsid w:val="004E2380"/>
    <w:rsid w:val="004E2485"/>
    <w:rsid w:val="004E2678"/>
    <w:rsid w:val="004E2B06"/>
    <w:rsid w:val="004E4A8B"/>
    <w:rsid w:val="004E4D25"/>
    <w:rsid w:val="004E5CDF"/>
    <w:rsid w:val="004E5E46"/>
    <w:rsid w:val="004E6304"/>
    <w:rsid w:val="004E6817"/>
    <w:rsid w:val="004E693A"/>
    <w:rsid w:val="004E7504"/>
    <w:rsid w:val="004E77D4"/>
    <w:rsid w:val="004F130D"/>
    <w:rsid w:val="004F1B38"/>
    <w:rsid w:val="004F1D08"/>
    <w:rsid w:val="004F1D2F"/>
    <w:rsid w:val="004F2000"/>
    <w:rsid w:val="004F365C"/>
    <w:rsid w:val="004F3AE7"/>
    <w:rsid w:val="004F6F1E"/>
    <w:rsid w:val="004F77BB"/>
    <w:rsid w:val="00500927"/>
    <w:rsid w:val="00500BF7"/>
    <w:rsid w:val="00501E73"/>
    <w:rsid w:val="00503A47"/>
    <w:rsid w:val="00503BF4"/>
    <w:rsid w:val="00503E7E"/>
    <w:rsid w:val="005069A7"/>
    <w:rsid w:val="0050708C"/>
    <w:rsid w:val="005070D0"/>
    <w:rsid w:val="00507A69"/>
    <w:rsid w:val="005104F3"/>
    <w:rsid w:val="00510990"/>
    <w:rsid w:val="00510C62"/>
    <w:rsid w:val="00511132"/>
    <w:rsid w:val="0051146F"/>
    <w:rsid w:val="0051154E"/>
    <w:rsid w:val="0051191F"/>
    <w:rsid w:val="00511A8B"/>
    <w:rsid w:val="00512C97"/>
    <w:rsid w:val="00513962"/>
    <w:rsid w:val="00515A47"/>
    <w:rsid w:val="00516CCE"/>
    <w:rsid w:val="0051728C"/>
    <w:rsid w:val="00520A73"/>
    <w:rsid w:val="00521800"/>
    <w:rsid w:val="00522074"/>
    <w:rsid w:val="00522453"/>
    <w:rsid w:val="00523131"/>
    <w:rsid w:val="005234F9"/>
    <w:rsid w:val="0052404D"/>
    <w:rsid w:val="00524498"/>
    <w:rsid w:val="00525135"/>
    <w:rsid w:val="00525B2E"/>
    <w:rsid w:val="00525B3A"/>
    <w:rsid w:val="00525D9D"/>
    <w:rsid w:val="005260D0"/>
    <w:rsid w:val="00526299"/>
    <w:rsid w:val="00526A83"/>
    <w:rsid w:val="00527BD5"/>
    <w:rsid w:val="00531069"/>
    <w:rsid w:val="005317CF"/>
    <w:rsid w:val="00532591"/>
    <w:rsid w:val="00532885"/>
    <w:rsid w:val="005329CB"/>
    <w:rsid w:val="00533B44"/>
    <w:rsid w:val="00533BE9"/>
    <w:rsid w:val="00534512"/>
    <w:rsid w:val="00535202"/>
    <w:rsid w:val="00535DDE"/>
    <w:rsid w:val="0053654A"/>
    <w:rsid w:val="00536942"/>
    <w:rsid w:val="00537239"/>
    <w:rsid w:val="00537FE0"/>
    <w:rsid w:val="0054010E"/>
    <w:rsid w:val="00540447"/>
    <w:rsid w:val="00540C84"/>
    <w:rsid w:val="00541B8E"/>
    <w:rsid w:val="0054269D"/>
    <w:rsid w:val="005426A1"/>
    <w:rsid w:val="005426A2"/>
    <w:rsid w:val="0054383C"/>
    <w:rsid w:val="00544795"/>
    <w:rsid w:val="00544E0A"/>
    <w:rsid w:val="00545C28"/>
    <w:rsid w:val="005462D8"/>
    <w:rsid w:val="00550702"/>
    <w:rsid w:val="00550704"/>
    <w:rsid w:val="00551737"/>
    <w:rsid w:val="00551EA4"/>
    <w:rsid w:val="0055252B"/>
    <w:rsid w:val="00552DBA"/>
    <w:rsid w:val="005533C9"/>
    <w:rsid w:val="0055432A"/>
    <w:rsid w:val="00554596"/>
    <w:rsid w:val="00555021"/>
    <w:rsid w:val="00555837"/>
    <w:rsid w:val="005563F6"/>
    <w:rsid w:val="00556949"/>
    <w:rsid w:val="00556CB4"/>
    <w:rsid w:val="0055726E"/>
    <w:rsid w:val="005576A3"/>
    <w:rsid w:val="00557CE3"/>
    <w:rsid w:val="0056197F"/>
    <w:rsid w:val="005623C2"/>
    <w:rsid w:val="00562CA9"/>
    <w:rsid w:val="00562ED8"/>
    <w:rsid w:val="00563060"/>
    <w:rsid w:val="00563159"/>
    <w:rsid w:val="00563ACC"/>
    <w:rsid w:val="00563CAA"/>
    <w:rsid w:val="00563F96"/>
    <w:rsid w:val="00564ADF"/>
    <w:rsid w:val="0056539D"/>
    <w:rsid w:val="00565ADF"/>
    <w:rsid w:val="00566684"/>
    <w:rsid w:val="00566740"/>
    <w:rsid w:val="0056728A"/>
    <w:rsid w:val="0056741F"/>
    <w:rsid w:val="00567693"/>
    <w:rsid w:val="00567DFA"/>
    <w:rsid w:val="00567F6A"/>
    <w:rsid w:val="005707C1"/>
    <w:rsid w:val="0057093D"/>
    <w:rsid w:val="005718C2"/>
    <w:rsid w:val="005730EF"/>
    <w:rsid w:val="00573364"/>
    <w:rsid w:val="0057425B"/>
    <w:rsid w:val="005747DF"/>
    <w:rsid w:val="00575581"/>
    <w:rsid w:val="0057568D"/>
    <w:rsid w:val="0057721B"/>
    <w:rsid w:val="005804D2"/>
    <w:rsid w:val="00580F09"/>
    <w:rsid w:val="00581037"/>
    <w:rsid w:val="005811D7"/>
    <w:rsid w:val="0058158D"/>
    <w:rsid w:val="005820B3"/>
    <w:rsid w:val="0058275A"/>
    <w:rsid w:val="00582858"/>
    <w:rsid w:val="00582CEE"/>
    <w:rsid w:val="0058559C"/>
    <w:rsid w:val="005857F8"/>
    <w:rsid w:val="00586344"/>
    <w:rsid w:val="00587496"/>
    <w:rsid w:val="00587E09"/>
    <w:rsid w:val="00587ED6"/>
    <w:rsid w:val="005903C2"/>
    <w:rsid w:val="00590AFF"/>
    <w:rsid w:val="00591595"/>
    <w:rsid w:val="00591C71"/>
    <w:rsid w:val="005926BF"/>
    <w:rsid w:val="00592B15"/>
    <w:rsid w:val="00592D52"/>
    <w:rsid w:val="00593A12"/>
    <w:rsid w:val="0059425B"/>
    <w:rsid w:val="00595264"/>
    <w:rsid w:val="00595498"/>
    <w:rsid w:val="00595BA3"/>
    <w:rsid w:val="005961D5"/>
    <w:rsid w:val="005966CB"/>
    <w:rsid w:val="00596FFA"/>
    <w:rsid w:val="0059784D"/>
    <w:rsid w:val="005A0198"/>
    <w:rsid w:val="005A0207"/>
    <w:rsid w:val="005A0B41"/>
    <w:rsid w:val="005A0C7F"/>
    <w:rsid w:val="005A1C76"/>
    <w:rsid w:val="005A262C"/>
    <w:rsid w:val="005A325C"/>
    <w:rsid w:val="005A3BD4"/>
    <w:rsid w:val="005A4751"/>
    <w:rsid w:val="005A6539"/>
    <w:rsid w:val="005A662F"/>
    <w:rsid w:val="005A6AAE"/>
    <w:rsid w:val="005A6CAB"/>
    <w:rsid w:val="005A7B3F"/>
    <w:rsid w:val="005A7E75"/>
    <w:rsid w:val="005B0027"/>
    <w:rsid w:val="005B011C"/>
    <w:rsid w:val="005B1101"/>
    <w:rsid w:val="005B1269"/>
    <w:rsid w:val="005B31B5"/>
    <w:rsid w:val="005B3D1F"/>
    <w:rsid w:val="005B44A0"/>
    <w:rsid w:val="005B55B1"/>
    <w:rsid w:val="005B5FA1"/>
    <w:rsid w:val="005B68FC"/>
    <w:rsid w:val="005B7E08"/>
    <w:rsid w:val="005B7FD8"/>
    <w:rsid w:val="005C0CF1"/>
    <w:rsid w:val="005C1B2F"/>
    <w:rsid w:val="005C1F43"/>
    <w:rsid w:val="005C21DB"/>
    <w:rsid w:val="005C23C1"/>
    <w:rsid w:val="005C307E"/>
    <w:rsid w:val="005C34F6"/>
    <w:rsid w:val="005C46CC"/>
    <w:rsid w:val="005C6759"/>
    <w:rsid w:val="005C76EE"/>
    <w:rsid w:val="005C7A04"/>
    <w:rsid w:val="005D04FF"/>
    <w:rsid w:val="005D1801"/>
    <w:rsid w:val="005D2012"/>
    <w:rsid w:val="005D20A8"/>
    <w:rsid w:val="005D23A4"/>
    <w:rsid w:val="005D2724"/>
    <w:rsid w:val="005D35E7"/>
    <w:rsid w:val="005D3735"/>
    <w:rsid w:val="005D598F"/>
    <w:rsid w:val="005D5DC5"/>
    <w:rsid w:val="005D69D3"/>
    <w:rsid w:val="005D6BD4"/>
    <w:rsid w:val="005D77DB"/>
    <w:rsid w:val="005E064C"/>
    <w:rsid w:val="005E170B"/>
    <w:rsid w:val="005E1792"/>
    <w:rsid w:val="005E1852"/>
    <w:rsid w:val="005E1A47"/>
    <w:rsid w:val="005E2280"/>
    <w:rsid w:val="005E23F7"/>
    <w:rsid w:val="005E32A4"/>
    <w:rsid w:val="005E3CC1"/>
    <w:rsid w:val="005E4506"/>
    <w:rsid w:val="005E48F4"/>
    <w:rsid w:val="005E4C38"/>
    <w:rsid w:val="005E4E90"/>
    <w:rsid w:val="005E5EF2"/>
    <w:rsid w:val="005E62B7"/>
    <w:rsid w:val="005F1258"/>
    <w:rsid w:val="005F19FF"/>
    <w:rsid w:val="005F2BBB"/>
    <w:rsid w:val="005F2BE9"/>
    <w:rsid w:val="005F3BEC"/>
    <w:rsid w:val="005F4010"/>
    <w:rsid w:val="005F453B"/>
    <w:rsid w:val="005F4ADB"/>
    <w:rsid w:val="005F4B6C"/>
    <w:rsid w:val="005F5EB0"/>
    <w:rsid w:val="005F60F4"/>
    <w:rsid w:val="005F675E"/>
    <w:rsid w:val="005F6E40"/>
    <w:rsid w:val="005F7F53"/>
    <w:rsid w:val="00601290"/>
    <w:rsid w:val="00602090"/>
    <w:rsid w:val="0060266A"/>
    <w:rsid w:val="00604C74"/>
    <w:rsid w:val="00604FDD"/>
    <w:rsid w:val="006051B5"/>
    <w:rsid w:val="00605244"/>
    <w:rsid w:val="00606953"/>
    <w:rsid w:val="006071E2"/>
    <w:rsid w:val="00607EF1"/>
    <w:rsid w:val="00610BA3"/>
    <w:rsid w:val="0061223B"/>
    <w:rsid w:val="00612493"/>
    <w:rsid w:val="0061279A"/>
    <w:rsid w:val="00612A2B"/>
    <w:rsid w:val="00612EED"/>
    <w:rsid w:val="00613C84"/>
    <w:rsid w:val="0061441A"/>
    <w:rsid w:val="006169B3"/>
    <w:rsid w:val="00617632"/>
    <w:rsid w:val="00617695"/>
    <w:rsid w:val="00617926"/>
    <w:rsid w:val="006200DF"/>
    <w:rsid w:val="00622D55"/>
    <w:rsid w:val="00624196"/>
    <w:rsid w:val="00624A17"/>
    <w:rsid w:val="006276BB"/>
    <w:rsid w:val="006277D7"/>
    <w:rsid w:val="00627F4E"/>
    <w:rsid w:val="00630DAA"/>
    <w:rsid w:val="006310B1"/>
    <w:rsid w:val="0063134E"/>
    <w:rsid w:val="00631502"/>
    <w:rsid w:val="00631D66"/>
    <w:rsid w:val="00631ED8"/>
    <w:rsid w:val="006320D7"/>
    <w:rsid w:val="00633159"/>
    <w:rsid w:val="006344E0"/>
    <w:rsid w:val="00634B45"/>
    <w:rsid w:val="00634BE7"/>
    <w:rsid w:val="00634CC1"/>
    <w:rsid w:val="0063528F"/>
    <w:rsid w:val="00636390"/>
    <w:rsid w:val="00636599"/>
    <w:rsid w:val="006368F1"/>
    <w:rsid w:val="006372BC"/>
    <w:rsid w:val="00637300"/>
    <w:rsid w:val="0063750B"/>
    <w:rsid w:val="006378D5"/>
    <w:rsid w:val="0064054B"/>
    <w:rsid w:val="00640896"/>
    <w:rsid w:val="006412A9"/>
    <w:rsid w:val="00641602"/>
    <w:rsid w:val="00641AAC"/>
    <w:rsid w:val="00641AAF"/>
    <w:rsid w:val="00641FAD"/>
    <w:rsid w:val="006434EE"/>
    <w:rsid w:val="006437C4"/>
    <w:rsid w:val="00644788"/>
    <w:rsid w:val="00647126"/>
    <w:rsid w:val="006504D4"/>
    <w:rsid w:val="00651836"/>
    <w:rsid w:val="006530B1"/>
    <w:rsid w:val="006530C2"/>
    <w:rsid w:val="0065431D"/>
    <w:rsid w:val="0065483F"/>
    <w:rsid w:val="00656265"/>
    <w:rsid w:val="00656AD2"/>
    <w:rsid w:val="006571A1"/>
    <w:rsid w:val="0066236A"/>
    <w:rsid w:val="00662F7C"/>
    <w:rsid w:val="006641CF"/>
    <w:rsid w:val="0066501D"/>
    <w:rsid w:val="006652B1"/>
    <w:rsid w:val="006659BA"/>
    <w:rsid w:val="006660CE"/>
    <w:rsid w:val="00666C3B"/>
    <w:rsid w:val="00666D36"/>
    <w:rsid w:val="00666DFE"/>
    <w:rsid w:val="00666FBA"/>
    <w:rsid w:val="006702C0"/>
    <w:rsid w:val="006708DA"/>
    <w:rsid w:val="00671361"/>
    <w:rsid w:val="00671858"/>
    <w:rsid w:val="00671D75"/>
    <w:rsid w:val="00672198"/>
    <w:rsid w:val="006723C8"/>
    <w:rsid w:val="00673203"/>
    <w:rsid w:val="006735D5"/>
    <w:rsid w:val="00673A09"/>
    <w:rsid w:val="00674776"/>
    <w:rsid w:val="006749AD"/>
    <w:rsid w:val="006749C4"/>
    <w:rsid w:val="006750C8"/>
    <w:rsid w:val="006755E7"/>
    <w:rsid w:val="0067692D"/>
    <w:rsid w:val="00676CEF"/>
    <w:rsid w:val="0067727A"/>
    <w:rsid w:val="0067748B"/>
    <w:rsid w:val="006776C9"/>
    <w:rsid w:val="00677D1B"/>
    <w:rsid w:val="00677D4E"/>
    <w:rsid w:val="00681215"/>
    <w:rsid w:val="00683CDE"/>
    <w:rsid w:val="006842DE"/>
    <w:rsid w:val="00684545"/>
    <w:rsid w:val="006845E4"/>
    <w:rsid w:val="006866FC"/>
    <w:rsid w:val="006868C4"/>
    <w:rsid w:val="00687434"/>
    <w:rsid w:val="00690B31"/>
    <w:rsid w:val="006915D0"/>
    <w:rsid w:val="0069188A"/>
    <w:rsid w:val="006918A6"/>
    <w:rsid w:val="0069210F"/>
    <w:rsid w:val="0069228C"/>
    <w:rsid w:val="00692710"/>
    <w:rsid w:val="00693878"/>
    <w:rsid w:val="00694AF2"/>
    <w:rsid w:val="00694CD1"/>
    <w:rsid w:val="006954CB"/>
    <w:rsid w:val="00695F7D"/>
    <w:rsid w:val="00696270"/>
    <w:rsid w:val="006A0906"/>
    <w:rsid w:val="006A0FEA"/>
    <w:rsid w:val="006A1087"/>
    <w:rsid w:val="006A29D3"/>
    <w:rsid w:val="006A2A51"/>
    <w:rsid w:val="006A3D00"/>
    <w:rsid w:val="006A5B4F"/>
    <w:rsid w:val="006A6AB2"/>
    <w:rsid w:val="006B06EC"/>
    <w:rsid w:val="006B0DF7"/>
    <w:rsid w:val="006B1313"/>
    <w:rsid w:val="006B201B"/>
    <w:rsid w:val="006B295D"/>
    <w:rsid w:val="006B3245"/>
    <w:rsid w:val="006B3286"/>
    <w:rsid w:val="006B3DB3"/>
    <w:rsid w:val="006B5162"/>
    <w:rsid w:val="006B517C"/>
    <w:rsid w:val="006B5B8C"/>
    <w:rsid w:val="006B7F94"/>
    <w:rsid w:val="006C22BB"/>
    <w:rsid w:val="006C298A"/>
    <w:rsid w:val="006C2DD0"/>
    <w:rsid w:val="006C3AB9"/>
    <w:rsid w:val="006C4287"/>
    <w:rsid w:val="006C4784"/>
    <w:rsid w:val="006C5506"/>
    <w:rsid w:val="006C5B36"/>
    <w:rsid w:val="006C6457"/>
    <w:rsid w:val="006C6931"/>
    <w:rsid w:val="006C6E54"/>
    <w:rsid w:val="006C6F80"/>
    <w:rsid w:val="006C7225"/>
    <w:rsid w:val="006D1159"/>
    <w:rsid w:val="006D1CA4"/>
    <w:rsid w:val="006D2086"/>
    <w:rsid w:val="006D3790"/>
    <w:rsid w:val="006D42DC"/>
    <w:rsid w:val="006D4D15"/>
    <w:rsid w:val="006D503F"/>
    <w:rsid w:val="006D55F3"/>
    <w:rsid w:val="006D6312"/>
    <w:rsid w:val="006D6C1B"/>
    <w:rsid w:val="006D7A3F"/>
    <w:rsid w:val="006E0248"/>
    <w:rsid w:val="006E0A62"/>
    <w:rsid w:val="006E0FC7"/>
    <w:rsid w:val="006E10E3"/>
    <w:rsid w:val="006E1E00"/>
    <w:rsid w:val="006E2F25"/>
    <w:rsid w:val="006E3537"/>
    <w:rsid w:val="006E38BB"/>
    <w:rsid w:val="006E38F0"/>
    <w:rsid w:val="006E49BF"/>
    <w:rsid w:val="006E4E5C"/>
    <w:rsid w:val="006E5659"/>
    <w:rsid w:val="006E5957"/>
    <w:rsid w:val="006E5D2C"/>
    <w:rsid w:val="006E5DBB"/>
    <w:rsid w:val="006E5F2F"/>
    <w:rsid w:val="006E6344"/>
    <w:rsid w:val="006E7606"/>
    <w:rsid w:val="006F139A"/>
    <w:rsid w:val="006F14A8"/>
    <w:rsid w:val="006F1FC3"/>
    <w:rsid w:val="006F2810"/>
    <w:rsid w:val="006F3486"/>
    <w:rsid w:val="006F389F"/>
    <w:rsid w:val="006F4825"/>
    <w:rsid w:val="006F490F"/>
    <w:rsid w:val="006F4A33"/>
    <w:rsid w:val="006F52E5"/>
    <w:rsid w:val="006F56D9"/>
    <w:rsid w:val="006F728F"/>
    <w:rsid w:val="00700017"/>
    <w:rsid w:val="00702DA3"/>
    <w:rsid w:val="00703447"/>
    <w:rsid w:val="007042AF"/>
    <w:rsid w:val="007048B3"/>
    <w:rsid w:val="00705248"/>
    <w:rsid w:val="007053F8"/>
    <w:rsid w:val="00705AD7"/>
    <w:rsid w:val="00706564"/>
    <w:rsid w:val="00706C89"/>
    <w:rsid w:val="00706D2F"/>
    <w:rsid w:val="00707120"/>
    <w:rsid w:val="00710068"/>
    <w:rsid w:val="0071010E"/>
    <w:rsid w:val="00710B75"/>
    <w:rsid w:val="00711422"/>
    <w:rsid w:val="00711AB5"/>
    <w:rsid w:val="00711DD9"/>
    <w:rsid w:val="00712A36"/>
    <w:rsid w:val="00712EE2"/>
    <w:rsid w:val="007146EC"/>
    <w:rsid w:val="00714F1C"/>
    <w:rsid w:val="00715A5A"/>
    <w:rsid w:val="00715BEB"/>
    <w:rsid w:val="00715F21"/>
    <w:rsid w:val="007164F9"/>
    <w:rsid w:val="00716FAF"/>
    <w:rsid w:val="007173C2"/>
    <w:rsid w:val="00717918"/>
    <w:rsid w:val="00720611"/>
    <w:rsid w:val="00720C90"/>
    <w:rsid w:val="0072180D"/>
    <w:rsid w:val="00723014"/>
    <w:rsid w:val="00723D05"/>
    <w:rsid w:val="00723E17"/>
    <w:rsid w:val="0072767E"/>
    <w:rsid w:val="00727F63"/>
    <w:rsid w:val="007305ED"/>
    <w:rsid w:val="0073208E"/>
    <w:rsid w:val="00732EAF"/>
    <w:rsid w:val="00732FD7"/>
    <w:rsid w:val="007338B4"/>
    <w:rsid w:val="007347A0"/>
    <w:rsid w:val="007348B7"/>
    <w:rsid w:val="007354C0"/>
    <w:rsid w:val="0073593F"/>
    <w:rsid w:val="00736BE5"/>
    <w:rsid w:val="007416E2"/>
    <w:rsid w:val="00742B13"/>
    <w:rsid w:val="007442BC"/>
    <w:rsid w:val="00744710"/>
    <w:rsid w:val="0074497E"/>
    <w:rsid w:val="00745594"/>
    <w:rsid w:val="00745843"/>
    <w:rsid w:val="00745A70"/>
    <w:rsid w:val="00745C5F"/>
    <w:rsid w:val="0074641B"/>
    <w:rsid w:val="00746B3A"/>
    <w:rsid w:val="00746D4A"/>
    <w:rsid w:val="00750359"/>
    <w:rsid w:val="00750704"/>
    <w:rsid w:val="007510C1"/>
    <w:rsid w:val="0075150F"/>
    <w:rsid w:val="007516B8"/>
    <w:rsid w:val="007522BA"/>
    <w:rsid w:val="007524DD"/>
    <w:rsid w:val="007537F8"/>
    <w:rsid w:val="00753978"/>
    <w:rsid w:val="00754FE7"/>
    <w:rsid w:val="00755180"/>
    <w:rsid w:val="00755264"/>
    <w:rsid w:val="007556A1"/>
    <w:rsid w:val="007618A7"/>
    <w:rsid w:val="007621D1"/>
    <w:rsid w:val="0076283F"/>
    <w:rsid w:val="00764856"/>
    <w:rsid w:val="0076490A"/>
    <w:rsid w:val="0076518C"/>
    <w:rsid w:val="007656C0"/>
    <w:rsid w:val="00765848"/>
    <w:rsid w:val="00765B6B"/>
    <w:rsid w:val="00766552"/>
    <w:rsid w:val="007673D5"/>
    <w:rsid w:val="00767745"/>
    <w:rsid w:val="00767DE0"/>
    <w:rsid w:val="00767E3F"/>
    <w:rsid w:val="00770CFC"/>
    <w:rsid w:val="00771F7A"/>
    <w:rsid w:val="00772335"/>
    <w:rsid w:val="007727B9"/>
    <w:rsid w:val="0077280C"/>
    <w:rsid w:val="00772B77"/>
    <w:rsid w:val="0077466F"/>
    <w:rsid w:val="007755E2"/>
    <w:rsid w:val="00775923"/>
    <w:rsid w:val="00775D23"/>
    <w:rsid w:val="0077630C"/>
    <w:rsid w:val="00777631"/>
    <w:rsid w:val="00780BD1"/>
    <w:rsid w:val="007814CF"/>
    <w:rsid w:val="0078255A"/>
    <w:rsid w:val="007873E6"/>
    <w:rsid w:val="007879B6"/>
    <w:rsid w:val="0079009F"/>
    <w:rsid w:val="00790AB6"/>
    <w:rsid w:val="00790F42"/>
    <w:rsid w:val="0079150E"/>
    <w:rsid w:val="00793CC7"/>
    <w:rsid w:val="00793E26"/>
    <w:rsid w:val="0079419B"/>
    <w:rsid w:val="0079460E"/>
    <w:rsid w:val="007955BB"/>
    <w:rsid w:val="00795D68"/>
    <w:rsid w:val="00796044"/>
    <w:rsid w:val="00796D7A"/>
    <w:rsid w:val="00797361"/>
    <w:rsid w:val="0079795D"/>
    <w:rsid w:val="00797D68"/>
    <w:rsid w:val="00797E5F"/>
    <w:rsid w:val="007A11BB"/>
    <w:rsid w:val="007A227C"/>
    <w:rsid w:val="007A4F59"/>
    <w:rsid w:val="007A6811"/>
    <w:rsid w:val="007A706D"/>
    <w:rsid w:val="007A7B47"/>
    <w:rsid w:val="007A7DD0"/>
    <w:rsid w:val="007B046A"/>
    <w:rsid w:val="007B1E39"/>
    <w:rsid w:val="007B2EEF"/>
    <w:rsid w:val="007B39C8"/>
    <w:rsid w:val="007B5A53"/>
    <w:rsid w:val="007B6516"/>
    <w:rsid w:val="007B6616"/>
    <w:rsid w:val="007B67A3"/>
    <w:rsid w:val="007B685B"/>
    <w:rsid w:val="007B7281"/>
    <w:rsid w:val="007B7CCD"/>
    <w:rsid w:val="007C044B"/>
    <w:rsid w:val="007C0799"/>
    <w:rsid w:val="007C0EA6"/>
    <w:rsid w:val="007C1364"/>
    <w:rsid w:val="007C1D1F"/>
    <w:rsid w:val="007C2BC7"/>
    <w:rsid w:val="007C2E8C"/>
    <w:rsid w:val="007C4C77"/>
    <w:rsid w:val="007C5063"/>
    <w:rsid w:val="007C5720"/>
    <w:rsid w:val="007C599E"/>
    <w:rsid w:val="007C5A76"/>
    <w:rsid w:val="007C6CF9"/>
    <w:rsid w:val="007C77DA"/>
    <w:rsid w:val="007C7AD7"/>
    <w:rsid w:val="007C7CFC"/>
    <w:rsid w:val="007C7FB2"/>
    <w:rsid w:val="007D0136"/>
    <w:rsid w:val="007D0DDF"/>
    <w:rsid w:val="007D2D86"/>
    <w:rsid w:val="007D3943"/>
    <w:rsid w:val="007D4464"/>
    <w:rsid w:val="007D4EE3"/>
    <w:rsid w:val="007D5998"/>
    <w:rsid w:val="007D7189"/>
    <w:rsid w:val="007D71CB"/>
    <w:rsid w:val="007D722E"/>
    <w:rsid w:val="007D778B"/>
    <w:rsid w:val="007E1305"/>
    <w:rsid w:val="007E19EA"/>
    <w:rsid w:val="007E282E"/>
    <w:rsid w:val="007E299D"/>
    <w:rsid w:val="007E2CE4"/>
    <w:rsid w:val="007E2DC4"/>
    <w:rsid w:val="007E2F9F"/>
    <w:rsid w:val="007E3C7A"/>
    <w:rsid w:val="007E4192"/>
    <w:rsid w:val="007E4F93"/>
    <w:rsid w:val="007E542B"/>
    <w:rsid w:val="007E5C7E"/>
    <w:rsid w:val="007E5F90"/>
    <w:rsid w:val="007E66B6"/>
    <w:rsid w:val="007E77D4"/>
    <w:rsid w:val="007E7DDD"/>
    <w:rsid w:val="007E7FD4"/>
    <w:rsid w:val="007F1227"/>
    <w:rsid w:val="007F1BCF"/>
    <w:rsid w:val="007F20CD"/>
    <w:rsid w:val="007F3A45"/>
    <w:rsid w:val="007F45B6"/>
    <w:rsid w:val="007F5604"/>
    <w:rsid w:val="007F64B2"/>
    <w:rsid w:val="007F7302"/>
    <w:rsid w:val="0080227C"/>
    <w:rsid w:val="00803956"/>
    <w:rsid w:val="00804920"/>
    <w:rsid w:val="00804D74"/>
    <w:rsid w:val="00806070"/>
    <w:rsid w:val="008065A5"/>
    <w:rsid w:val="00806A57"/>
    <w:rsid w:val="00806EFC"/>
    <w:rsid w:val="00807EDC"/>
    <w:rsid w:val="00810285"/>
    <w:rsid w:val="008102AB"/>
    <w:rsid w:val="008111CD"/>
    <w:rsid w:val="0081148C"/>
    <w:rsid w:val="00812BDC"/>
    <w:rsid w:val="0081305D"/>
    <w:rsid w:val="008136AF"/>
    <w:rsid w:val="0081381D"/>
    <w:rsid w:val="00813838"/>
    <w:rsid w:val="00814633"/>
    <w:rsid w:val="008155D8"/>
    <w:rsid w:val="00815EE6"/>
    <w:rsid w:val="0081646E"/>
    <w:rsid w:val="00816744"/>
    <w:rsid w:val="0081687D"/>
    <w:rsid w:val="0082160F"/>
    <w:rsid w:val="00821C71"/>
    <w:rsid w:val="0082219A"/>
    <w:rsid w:val="008225EE"/>
    <w:rsid w:val="00822CF9"/>
    <w:rsid w:val="008233B7"/>
    <w:rsid w:val="0082443C"/>
    <w:rsid w:val="00824A66"/>
    <w:rsid w:val="00824D3B"/>
    <w:rsid w:val="00824D74"/>
    <w:rsid w:val="00825DD8"/>
    <w:rsid w:val="00826B8E"/>
    <w:rsid w:val="00826C8C"/>
    <w:rsid w:val="008313A8"/>
    <w:rsid w:val="00831D32"/>
    <w:rsid w:val="00832517"/>
    <w:rsid w:val="00832600"/>
    <w:rsid w:val="00832691"/>
    <w:rsid w:val="0083323A"/>
    <w:rsid w:val="00834692"/>
    <w:rsid w:val="00834C1B"/>
    <w:rsid w:val="00835F56"/>
    <w:rsid w:val="008365BA"/>
    <w:rsid w:val="00841B6B"/>
    <w:rsid w:val="0084235C"/>
    <w:rsid w:val="008423DA"/>
    <w:rsid w:val="008433D8"/>
    <w:rsid w:val="0084585B"/>
    <w:rsid w:val="00845FC2"/>
    <w:rsid w:val="008462F0"/>
    <w:rsid w:val="0084661D"/>
    <w:rsid w:val="00846C0A"/>
    <w:rsid w:val="00846F19"/>
    <w:rsid w:val="00846F85"/>
    <w:rsid w:val="008501DD"/>
    <w:rsid w:val="00850C7C"/>
    <w:rsid w:val="00851019"/>
    <w:rsid w:val="00851277"/>
    <w:rsid w:val="00852089"/>
    <w:rsid w:val="0085282D"/>
    <w:rsid w:val="00852A33"/>
    <w:rsid w:val="00852B22"/>
    <w:rsid w:val="00852BD5"/>
    <w:rsid w:val="008530C5"/>
    <w:rsid w:val="008535A2"/>
    <w:rsid w:val="00853679"/>
    <w:rsid w:val="00853A26"/>
    <w:rsid w:val="00853A3A"/>
    <w:rsid w:val="008540E1"/>
    <w:rsid w:val="00854408"/>
    <w:rsid w:val="0085587F"/>
    <w:rsid w:val="008560E9"/>
    <w:rsid w:val="0085631A"/>
    <w:rsid w:val="008567DF"/>
    <w:rsid w:val="00856B11"/>
    <w:rsid w:val="008575E7"/>
    <w:rsid w:val="00857BFC"/>
    <w:rsid w:val="00861156"/>
    <w:rsid w:val="00861400"/>
    <w:rsid w:val="008616A0"/>
    <w:rsid w:val="00862404"/>
    <w:rsid w:val="00863519"/>
    <w:rsid w:val="0086384B"/>
    <w:rsid w:val="008639C3"/>
    <w:rsid w:val="00863C40"/>
    <w:rsid w:val="0086423A"/>
    <w:rsid w:val="008652D0"/>
    <w:rsid w:val="008652D6"/>
    <w:rsid w:val="00865D59"/>
    <w:rsid w:val="008660D3"/>
    <w:rsid w:val="00866FEE"/>
    <w:rsid w:val="00867CB3"/>
    <w:rsid w:val="0087141C"/>
    <w:rsid w:val="00872325"/>
    <w:rsid w:val="00872807"/>
    <w:rsid w:val="00872862"/>
    <w:rsid w:val="008730FB"/>
    <w:rsid w:val="0087359C"/>
    <w:rsid w:val="00873ACB"/>
    <w:rsid w:val="00873CEC"/>
    <w:rsid w:val="008740CB"/>
    <w:rsid w:val="00876205"/>
    <w:rsid w:val="00876D52"/>
    <w:rsid w:val="00876E46"/>
    <w:rsid w:val="008775D3"/>
    <w:rsid w:val="0088087B"/>
    <w:rsid w:val="008825B4"/>
    <w:rsid w:val="00882E44"/>
    <w:rsid w:val="00885035"/>
    <w:rsid w:val="008860F4"/>
    <w:rsid w:val="00886ADB"/>
    <w:rsid w:val="00886C14"/>
    <w:rsid w:val="00886E45"/>
    <w:rsid w:val="00887483"/>
    <w:rsid w:val="0088771B"/>
    <w:rsid w:val="00887D71"/>
    <w:rsid w:val="00890399"/>
    <w:rsid w:val="008908F8"/>
    <w:rsid w:val="008937D0"/>
    <w:rsid w:val="00894614"/>
    <w:rsid w:val="0089477D"/>
    <w:rsid w:val="008949AA"/>
    <w:rsid w:val="00894B0B"/>
    <w:rsid w:val="008967E0"/>
    <w:rsid w:val="0089760B"/>
    <w:rsid w:val="008A0283"/>
    <w:rsid w:val="008A2583"/>
    <w:rsid w:val="008A3313"/>
    <w:rsid w:val="008A3588"/>
    <w:rsid w:val="008A40F5"/>
    <w:rsid w:val="008A43D8"/>
    <w:rsid w:val="008A5EF0"/>
    <w:rsid w:val="008A5F19"/>
    <w:rsid w:val="008A62D5"/>
    <w:rsid w:val="008A62FA"/>
    <w:rsid w:val="008A6A45"/>
    <w:rsid w:val="008B1188"/>
    <w:rsid w:val="008B27AC"/>
    <w:rsid w:val="008B2AE3"/>
    <w:rsid w:val="008B3F3C"/>
    <w:rsid w:val="008B46BC"/>
    <w:rsid w:val="008B4FAB"/>
    <w:rsid w:val="008B5109"/>
    <w:rsid w:val="008B6228"/>
    <w:rsid w:val="008B776E"/>
    <w:rsid w:val="008C098E"/>
    <w:rsid w:val="008C0B2C"/>
    <w:rsid w:val="008C0DA4"/>
    <w:rsid w:val="008C0E47"/>
    <w:rsid w:val="008C0F39"/>
    <w:rsid w:val="008C1905"/>
    <w:rsid w:val="008C35A1"/>
    <w:rsid w:val="008C397E"/>
    <w:rsid w:val="008C55C0"/>
    <w:rsid w:val="008C721A"/>
    <w:rsid w:val="008C7BCF"/>
    <w:rsid w:val="008D0223"/>
    <w:rsid w:val="008D0841"/>
    <w:rsid w:val="008D1CC0"/>
    <w:rsid w:val="008D1FD5"/>
    <w:rsid w:val="008D2556"/>
    <w:rsid w:val="008D2AEF"/>
    <w:rsid w:val="008D351B"/>
    <w:rsid w:val="008D4432"/>
    <w:rsid w:val="008D5307"/>
    <w:rsid w:val="008D557D"/>
    <w:rsid w:val="008D5DF5"/>
    <w:rsid w:val="008D6700"/>
    <w:rsid w:val="008D687D"/>
    <w:rsid w:val="008D6BB3"/>
    <w:rsid w:val="008E0715"/>
    <w:rsid w:val="008E19E4"/>
    <w:rsid w:val="008E30CB"/>
    <w:rsid w:val="008E3741"/>
    <w:rsid w:val="008E3F24"/>
    <w:rsid w:val="008E4557"/>
    <w:rsid w:val="008E463B"/>
    <w:rsid w:val="008E5504"/>
    <w:rsid w:val="008E6380"/>
    <w:rsid w:val="008E767F"/>
    <w:rsid w:val="008E7FC8"/>
    <w:rsid w:val="008F0231"/>
    <w:rsid w:val="008F04DD"/>
    <w:rsid w:val="008F0620"/>
    <w:rsid w:val="008F19C6"/>
    <w:rsid w:val="008F2056"/>
    <w:rsid w:val="008F20D6"/>
    <w:rsid w:val="008F2498"/>
    <w:rsid w:val="008F2C80"/>
    <w:rsid w:val="008F399E"/>
    <w:rsid w:val="008F3AE3"/>
    <w:rsid w:val="008F402D"/>
    <w:rsid w:val="008F5667"/>
    <w:rsid w:val="008F5966"/>
    <w:rsid w:val="008F62A6"/>
    <w:rsid w:val="008F66F4"/>
    <w:rsid w:val="008F6B37"/>
    <w:rsid w:val="008F75DA"/>
    <w:rsid w:val="009009F1"/>
    <w:rsid w:val="00901EB6"/>
    <w:rsid w:val="00902274"/>
    <w:rsid w:val="0090240D"/>
    <w:rsid w:val="00902FAE"/>
    <w:rsid w:val="0090513C"/>
    <w:rsid w:val="0090568D"/>
    <w:rsid w:val="009056F4"/>
    <w:rsid w:val="0090691E"/>
    <w:rsid w:val="00907183"/>
    <w:rsid w:val="009072E9"/>
    <w:rsid w:val="00910687"/>
    <w:rsid w:val="009116D1"/>
    <w:rsid w:val="00911D43"/>
    <w:rsid w:val="009122C7"/>
    <w:rsid w:val="009124B2"/>
    <w:rsid w:val="0091488B"/>
    <w:rsid w:val="00915F3C"/>
    <w:rsid w:val="00915F52"/>
    <w:rsid w:val="009166DE"/>
    <w:rsid w:val="00920BCA"/>
    <w:rsid w:val="00921657"/>
    <w:rsid w:val="00921ABF"/>
    <w:rsid w:val="00921B67"/>
    <w:rsid w:val="009229D3"/>
    <w:rsid w:val="00924A4A"/>
    <w:rsid w:val="00924E9C"/>
    <w:rsid w:val="00925391"/>
    <w:rsid w:val="00925600"/>
    <w:rsid w:val="009266DD"/>
    <w:rsid w:val="00930A2E"/>
    <w:rsid w:val="00931058"/>
    <w:rsid w:val="009313AF"/>
    <w:rsid w:val="00931C6F"/>
    <w:rsid w:val="009321D4"/>
    <w:rsid w:val="00932C03"/>
    <w:rsid w:val="0093323D"/>
    <w:rsid w:val="00936C70"/>
    <w:rsid w:val="00937B9B"/>
    <w:rsid w:val="00940DA3"/>
    <w:rsid w:val="009417C8"/>
    <w:rsid w:val="00943B30"/>
    <w:rsid w:val="00945023"/>
    <w:rsid w:val="0094502C"/>
    <w:rsid w:val="00945AEE"/>
    <w:rsid w:val="009478E8"/>
    <w:rsid w:val="00947B93"/>
    <w:rsid w:val="00950F1E"/>
    <w:rsid w:val="0095247C"/>
    <w:rsid w:val="00954D35"/>
    <w:rsid w:val="00955080"/>
    <w:rsid w:val="009550C0"/>
    <w:rsid w:val="009559BF"/>
    <w:rsid w:val="00956533"/>
    <w:rsid w:val="0095684A"/>
    <w:rsid w:val="00956E9F"/>
    <w:rsid w:val="00957083"/>
    <w:rsid w:val="0095720A"/>
    <w:rsid w:val="009576BF"/>
    <w:rsid w:val="00957CEF"/>
    <w:rsid w:val="00957F7F"/>
    <w:rsid w:val="00957FA5"/>
    <w:rsid w:val="00961A46"/>
    <w:rsid w:val="00961DA7"/>
    <w:rsid w:val="00961EC3"/>
    <w:rsid w:val="00961F46"/>
    <w:rsid w:val="00961FCD"/>
    <w:rsid w:val="00962CB6"/>
    <w:rsid w:val="0096314C"/>
    <w:rsid w:val="00963EA5"/>
    <w:rsid w:val="00964044"/>
    <w:rsid w:val="00964AB7"/>
    <w:rsid w:val="00965078"/>
    <w:rsid w:val="009650E5"/>
    <w:rsid w:val="00965F55"/>
    <w:rsid w:val="00966A84"/>
    <w:rsid w:val="00967923"/>
    <w:rsid w:val="00967B2A"/>
    <w:rsid w:val="00967C7D"/>
    <w:rsid w:val="00970567"/>
    <w:rsid w:val="00971DB4"/>
    <w:rsid w:val="00973E4E"/>
    <w:rsid w:val="009749AA"/>
    <w:rsid w:val="00974CD7"/>
    <w:rsid w:val="00975ABF"/>
    <w:rsid w:val="00975C88"/>
    <w:rsid w:val="0097696A"/>
    <w:rsid w:val="00976CED"/>
    <w:rsid w:val="0097754B"/>
    <w:rsid w:val="00980938"/>
    <w:rsid w:val="009811A8"/>
    <w:rsid w:val="0098146F"/>
    <w:rsid w:val="00981D37"/>
    <w:rsid w:val="00981E23"/>
    <w:rsid w:val="0098284A"/>
    <w:rsid w:val="00983E82"/>
    <w:rsid w:val="00984813"/>
    <w:rsid w:val="0098483A"/>
    <w:rsid w:val="00986CF9"/>
    <w:rsid w:val="00986D00"/>
    <w:rsid w:val="009904A6"/>
    <w:rsid w:val="00990578"/>
    <w:rsid w:val="00990CF7"/>
    <w:rsid w:val="00990FD1"/>
    <w:rsid w:val="0099101F"/>
    <w:rsid w:val="00991662"/>
    <w:rsid w:val="00992A62"/>
    <w:rsid w:val="009930AA"/>
    <w:rsid w:val="00993637"/>
    <w:rsid w:val="009942CD"/>
    <w:rsid w:val="009951E6"/>
    <w:rsid w:val="00996654"/>
    <w:rsid w:val="00997913"/>
    <w:rsid w:val="009A0A06"/>
    <w:rsid w:val="009A168D"/>
    <w:rsid w:val="009A1E70"/>
    <w:rsid w:val="009A2BBB"/>
    <w:rsid w:val="009A3773"/>
    <w:rsid w:val="009A4589"/>
    <w:rsid w:val="009A710C"/>
    <w:rsid w:val="009A7373"/>
    <w:rsid w:val="009A75D8"/>
    <w:rsid w:val="009A7C40"/>
    <w:rsid w:val="009B07A5"/>
    <w:rsid w:val="009B2274"/>
    <w:rsid w:val="009B2A16"/>
    <w:rsid w:val="009B2D98"/>
    <w:rsid w:val="009B3173"/>
    <w:rsid w:val="009B359E"/>
    <w:rsid w:val="009B37F8"/>
    <w:rsid w:val="009B5ED6"/>
    <w:rsid w:val="009B7132"/>
    <w:rsid w:val="009C3806"/>
    <w:rsid w:val="009C45B3"/>
    <w:rsid w:val="009C4BF4"/>
    <w:rsid w:val="009C5A12"/>
    <w:rsid w:val="009C60F0"/>
    <w:rsid w:val="009C7C86"/>
    <w:rsid w:val="009D0D89"/>
    <w:rsid w:val="009D0EAB"/>
    <w:rsid w:val="009D0F68"/>
    <w:rsid w:val="009D10E0"/>
    <w:rsid w:val="009D2312"/>
    <w:rsid w:val="009D2426"/>
    <w:rsid w:val="009D3310"/>
    <w:rsid w:val="009D3BF4"/>
    <w:rsid w:val="009D4546"/>
    <w:rsid w:val="009D5D31"/>
    <w:rsid w:val="009D63E8"/>
    <w:rsid w:val="009D6801"/>
    <w:rsid w:val="009D6B51"/>
    <w:rsid w:val="009D704B"/>
    <w:rsid w:val="009D799D"/>
    <w:rsid w:val="009E2F0D"/>
    <w:rsid w:val="009E45E7"/>
    <w:rsid w:val="009E4613"/>
    <w:rsid w:val="009E4693"/>
    <w:rsid w:val="009E49FC"/>
    <w:rsid w:val="009E5A6F"/>
    <w:rsid w:val="009E67E9"/>
    <w:rsid w:val="009E68DD"/>
    <w:rsid w:val="009F00A2"/>
    <w:rsid w:val="009F18F5"/>
    <w:rsid w:val="009F2322"/>
    <w:rsid w:val="009F291B"/>
    <w:rsid w:val="009F2C81"/>
    <w:rsid w:val="009F2DBC"/>
    <w:rsid w:val="009F2F03"/>
    <w:rsid w:val="009F4222"/>
    <w:rsid w:val="009F4A33"/>
    <w:rsid w:val="009F5D13"/>
    <w:rsid w:val="009F62D8"/>
    <w:rsid w:val="009F6C78"/>
    <w:rsid w:val="009F6F19"/>
    <w:rsid w:val="009F7096"/>
    <w:rsid w:val="009F7597"/>
    <w:rsid w:val="009F79E0"/>
    <w:rsid w:val="00A0045A"/>
    <w:rsid w:val="00A00E67"/>
    <w:rsid w:val="00A0134D"/>
    <w:rsid w:val="00A014CB"/>
    <w:rsid w:val="00A0210D"/>
    <w:rsid w:val="00A03CED"/>
    <w:rsid w:val="00A047D1"/>
    <w:rsid w:val="00A069A6"/>
    <w:rsid w:val="00A06CB1"/>
    <w:rsid w:val="00A07A08"/>
    <w:rsid w:val="00A12855"/>
    <w:rsid w:val="00A12994"/>
    <w:rsid w:val="00A12F12"/>
    <w:rsid w:val="00A13534"/>
    <w:rsid w:val="00A13F5D"/>
    <w:rsid w:val="00A1454E"/>
    <w:rsid w:val="00A14B49"/>
    <w:rsid w:val="00A161CC"/>
    <w:rsid w:val="00A16798"/>
    <w:rsid w:val="00A16E9B"/>
    <w:rsid w:val="00A16F36"/>
    <w:rsid w:val="00A1742A"/>
    <w:rsid w:val="00A176BE"/>
    <w:rsid w:val="00A17AE4"/>
    <w:rsid w:val="00A20569"/>
    <w:rsid w:val="00A21855"/>
    <w:rsid w:val="00A21A3E"/>
    <w:rsid w:val="00A2258B"/>
    <w:rsid w:val="00A22673"/>
    <w:rsid w:val="00A22FF3"/>
    <w:rsid w:val="00A2301B"/>
    <w:rsid w:val="00A231CF"/>
    <w:rsid w:val="00A238A3"/>
    <w:rsid w:val="00A24565"/>
    <w:rsid w:val="00A24EE3"/>
    <w:rsid w:val="00A251FA"/>
    <w:rsid w:val="00A25328"/>
    <w:rsid w:val="00A26C7C"/>
    <w:rsid w:val="00A26EA8"/>
    <w:rsid w:val="00A27F1A"/>
    <w:rsid w:val="00A27FF3"/>
    <w:rsid w:val="00A3068F"/>
    <w:rsid w:val="00A307EB"/>
    <w:rsid w:val="00A315BF"/>
    <w:rsid w:val="00A317E6"/>
    <w:rsid w:val="00A335D1"/>
    <w:rsid w:val="00A344DB"/>
    <w:rsid w:val="00A352DE"/>
    <w:rsid w:val="00A35F9B"/>
    <w:rsid w:val="00A3643A"/>
    <w:rsid w:val="00A36E13"/>
    <w:rsid w:val="00A36E40"/>
    <w:rsid w:val="00A41615"/>
    <w:rsid w:val="00A4266C"/>
    <w:rsid w:val="00A42726"/>
    <w:rsid w:val="00A44469"/>
    <w:rsid w:val="00A44DC2"/>
    <w:rsid w:val="00A45930"/>
    <w:rsid w:val="00A4633F"/>
    <w:rsid w:val="00A463B0"/>
    <w:rsid w:val="00A47FCB"/>
    <w:rsid w:val="00A51DEF"/>
    <w:rsid w:val="00A52800"/>
    <w:rsid w:val="00A53539"/>
    <w:rsid w:val="00A53C7E"/>
    <w:rsid w:val="00A542E6"/>
    <w:rsid w:val="00A553EC"/>
    <w:rsid w:val="00A5589F"/>
    <w:rsid w:val="00A559B4"/>
    <w:rsid w:val="00A55A4C"/>
    <w:rsid w:val="00A55FC0"/>
    <w:rsid w:val="00A56425"/>
    <w:rsid w:val="00A57C17"/>
    <w:rsid w:val="00A57CBA"/>
    <w:rsid w:val="00A6002E"/>
    <w:rsid w:val="00A6005B"/>
    <w:rsid w:val="00A60BB3"/>
    <w:rsid w:val="00A60D1F"/>
    <w:rsid w:val="00A610E9"/>
    <w:rsid w:val="00A613FF"/>
    <w:rsid w:val="00A623BB"/>
    <w:rsid w:val="00A64939"/>
    <w:rsid w:val="00A6581E"/>
    <w:rsid w:val="00A660DA"/>
    <w:rsid w:val="00A6676A"/>
    <w:rsid w:val="00A66C32"/>
    <w:rsid w:val="00A66C8F"/>
    <w:rsid w:val="00A67A40"/>
    <w:rsid w:val="00A70772"/>
    <w:rsid w:val="00A7100C"/>
    <w:rsid w:val="00A71C5B"/>
    <w:rsid w:val="00A72E37"/>
    <w:rsid w:val="00A72E86"/>
    <w:rsid w:val="00A73BB0"/>
    <w:rsid w:val="00A73FB5"/>
    <w:rsid w:val="00A740CE"/>
    <w:rsid w:val="00A742CF"/>
    <w:rsid w:val="00A74999"/>
    <w:rsid w:val="00A74A3C"/>
    <w:rsid w:val="00A74E3A"/>
    <w:rsid w:val="00A74FED"/>
    <w:rsid w:val="00A754F0"/>
    <w:rsid w:val="00A75DEE"/>
    <w:rsid w:val="00A76272"/>
    <w:rsid w:val="00A7629E"/>
    <w:rsid w:val="00A766C5"/>
    <w:rsid w:val="00A76970"/>
    <w:rsid w:val="00A80486"/>
    <w:rsid w:val="00A81A4D"/>
    <w:rsid w:val="00A82881"/>
    <w:rsid w:val="00A832F7"/>
    <w:rsid w:val="00A83EBE"/>
    <w:rsid w:val="00A84FA7"/>
    <w:rsid w:val="00A8532B"/>
    <w:rsid w:val="00A8534C"/>
    <w:rsid w:val="00A853AE"/>
    <w:rsid w:val="00A878B7"/>
    <w:rsid w:val="00A90CBC"/>
    <w:rsid w:val="00A9118E"/>
    <w:rsid w:val="00A913C6"/>
    <w:rsid w:val="00A917E1"/>
    <w:rsid w:val="00A9224F"/>
    <w:rsid w:val="00A929B1"/>
    <w:rsid w:val="00A93416"/>
    <w:rsid w:val="00A93571"/>
    <w:rsid w:val="00A93C0D"/>
    <w:rsid w:val="00A93E20"/>
    <w:rsid w:val="00A948F2"/>
    <w:rsid w:val="00A9618B"/>
    <w:rsid w:val="00A973F7"/>
    <w:rsid w:val="00A97620"/>
    <w:rsid w:val="00A97731"/>
    <w:rsid w:val="00A977A4"/>
    <w:rsid w:val="00A97800"/>
    <w:rsid w:val="00A97C17"/>
    <w:rsid w:val="00AA225C"/>
    <w:rsid w:val="00AA3C84"/>
    <w:rsid w:val="00AA43C1"/>
    <w:rsid w:val="00AA4564"/>
    <w:rsid w:val="00AA4626"/>
    <w:rsid w:val="00AA47DF"/>
    <w:rsid w:val="00AA4AA7"/>
    <w:rsid w:val="00AA5886"/>
    <w:rsid w:val="00AA5AF8"/>
    <w:rsid w:val="00AA5D7B"/>
    <w:rsid w:val="00AA786C"/>
    <w:rsid w:val="00AA7A4F"/>
    <w:rsid w:val="00AA7D1F"/>
    <w:rsid w:val="00AB335A"/>
    <w:rsid w:val="00AB47C8"/>
    <w:rsid w:val="00AB55DD"/>
    <w:rsid w:val="00AC0758"/>
    <w:rsid w:val="00AC0A83"/>
    <w:rsid w:val="00AC17CF"/>
    <w:rsid w:val="00AC263D"/>
    <w:rsid w:val="00AC2AB1"/>
    <w:rsid w:val="00AC2E47"/>
    <w:rsid w:val="00AC409C"/>
    <w:rsid w:val="00AC4866"/>
    <w:rsid w:val="00AC4A38"/>
    <w:rsid w:val="00AC6A36"/>
    <w:rsid w:val="00AC7182"/>
    <w:rsid w:val="00AC7F21"/>
    <w:rsid w:val="00AC7FC6"/>
    <w:rsid w:val="00AD0B18"/>
    <w:rsid w:val="00AD12A8"/>
    <w:rsid w:val="00AD1DF2"/>
    <w:rsid w:val="00AD2263"/>
    <w:rsid w:val="00AD24FB"/>
    <w:rsid w:val="00AD3819"/>
    <w:rsid w:val="00AD3B88"/>
    <w:rsid w:val="00AD4C91"/>
    <w:rsid w:val="00AD55AA"/>
    <w:rsid w:val="00AD59E0"/>
    <w:rsid w:val="00AD5F32"/>
    <w:rsid w:val="00AD5F9C"/>
    <w:rsid w:val="00AD6042"/>
    <w:rsid w:val="00AD641D"/>
    <w:rsid w:val="00AD71CF"/>
    <w:rsid w:val="00AE0040"/>
    <w:rsid w:val="00AE12A0"/>
    <w:rsid w:val="00AE19DB"/>
    <w:rsid w:val="00AE1AD0"/>
    <w:rsid w:val="00AE2BBA"/>
    <w:rsid w:val="00AE2CC8"/>
    <w:rsid w:val="00AE2DA0"/>
    <w:rsid w:val="00AE3179"/>
    <w:rsid w:val="00AE428D"/>
    <w:rsid w:val="00AE455E"/>
    <w:rsid w:val="00AE4877"/>
    <w:rsid w:val="00AE4C76"/>
    <w:rsid w:val="00AE5002"/>
    <w:rsid w:val="00AE53E4"/>
    <w:rsid w:val="00AE614E"/>
    <w:rsid w:val="00AE6799"/>
    <w:rsid w:val="00AE6FBC"/>
    <w:rsid w:val="00AE7157"/>
    <w:rsid w:val="00AE7987"/>
    <w:rsid w:val="00AF051B"/>
    <w:rsid w:val="00AF1156"/>
    <w:rsid w:val="00AF11A9"/>
    <w:rsid w:val="00AF29DE"/>
    <w:rsid w:val="00AF3652"/>
    <w:rsid w:val="00AF3D50"/>
    <w:rsid w:val="00AF409E"/>
    <w:rsid w:val="00AF413F"/>
    <w:rsid w:val="00AF4D1C"/>
    <w:rsid w:val="00AF5941"/>
    <w:rsid w:val="00AF6241"/>
    <w:rsid w:val="00AF6B28"/>
    <w:rsid w:val="00AF736F"/>
    <w:rsid w:val="00AF75CF"/>
    <w:rsid w:val="00AF7E3A"/>
    <w:rsid w:val="00AF7F99"/>
    <w:rsid w:val="00B00BD3"/>
    <w:rsid w:val="00B01A30"/>
    <w:rsid w:val="00B01BE9"/>
    <w:rsid w:val="00B0201D"/>
    <w:rsid w:val="00B0219F"/>
    <w:rsid w:val="00B038A1"/>
    <w:rsid w:val="00B0442B"/>
    <w:rsid w:val="00B046AE"/>
    <w:rsid w:val="00B04DEF"/>
    <w:rsid w:val="00B057E6"/>
    <w:rsid w:val="00B05C92"/>
    <w:rsid w:val="00B06D8D"/>
    <w:rsid w:val="00B07A7C"/>
    <w:rsid w:val="00B10CA1"/>
    <w:rsid w:val="00B11386"/>
    <w:rsid w:val="00B120BA"/>
    <w:rsid w:val="00B12943"/>
    <w:rsid w:val="00B132A6"/>
    <w:rsid w:val="00B136CA"/>
    <w:rsid w:val="00B13EEB"/>
    <w:rsid w:val="00B14936"/>
    <w:rsid w:val="00B14A4C"/>
    <w:rsid w:val="00B1565A"/>
    <w:rsid w:val="00B1636E"/>
    <w:rsid w:val="00B175E5"/>
    <w:rsid w:val="00B1765D"/>
    <w:rsid w:val="00B177B8"/>
    <w:rsid w:val="00B20757"/>
    <w:rsid w:val="00B210AE"/>
    <w:rsid w:val="00B22ABB"/>
    <w:rsid w:val="00B239A0"/>
    <w:rsid w:val="00B24E69"/>
    <w:rsid w:val="00B2573F"/>
    <w:rsid w:val="00B275D3"/>
    <w:rsid w:val="00B30F29"/>
    <w:rsid w:val="00B31697"/>
    <w:rsid w:val="00B32EAB"/>
    <w:rsid w:val="00B333AC"/>
    <w:rsid w:val="00B33704"/>
    <w:rsid w:val="00B34351"/>
    <w:rsid w:val="00B34734"/>
    <w:rsid w:val="00B34825"/>
    <w:rsid w:val="00B35E8B"/>
    <w:rsid w:val="00B35F44"/>
    <w:rsid w:val="00B3620C"/>
    <w:rsid w:val="00B36E48"/>
    <w:rsid w:val="00B374F5"/>
    <w:rsid w:val="00B3771B"/>
    <w:rsid w:val="00B4018C"/>
    <w:rsid w:val="00B40916"/>
    <w:rsid w:val="00B40AB8"/>
    <w:rsid w:val="00B41890"/>
    <w:rsid w:val="00B421F5"/>
    <w:rsid w:val="00B42CD9"/>
    <w:rsid w:val="00B44F1C"/>
    <w:rsid w:val="00B45089"/>
    <w:rsid w:val="00B45479"/>
    <w:rsid w:val="00B4558C"/>
    <w:rsid w:val="00B4578E"/>
    <w:rsid w:val="00B45E0C"/>
    <w:rsid w:val="00B47566"/>
    <w:rsid w:val="00B477F3"/>
    <w:rsid w:val="00B47C4C"/>
    <w:rsid w:val="00B507F6"/>
    <w:rsid w:val="00B509EB"/>
    <w:rsid w:val="00B50AA5"/>
    <w:rsid w:val="00B50DF5"/>
    <w:rsid w:val="00B51698"/>
    <w:rsid w:val="00B523AE"/>
    <w:rsid w:val="00B52692"/>
    <w:rsid w:val="00B5298D"/>
    <w:rsid w:val="00B5304C"/>
    <w:rsid w:val="00B53566"/>
    <w:rsid w:val="00B539A2"/>
    <w:rsid w:val="00B545A7"/>
    <w:rsid w:val="00B5514E"/>
    <w:rsid w:val="00B5611D"/>
    <w:rsid w:val="00B56A20"/>
    <w:rsid w:val="00B57C1B"/>
    <w:rsid w:val="00B60540"/>
    <w:rsid w:val="00B60553"/>
    <w:rsid w:val="00B60E51"/>
    <w:rsid w:val="00B61B2B"/>
    <w:rsid w:val="00B62673"/>
    <w:rsid w:val="00B628E2"/>
    <w:rsid w:val="00B62B3C"/>
    <w:rsid w:val="00B631F6"/>
    <w:rsid w:val="00B645E0"/>
    <w:rsid w:val="00B648E2"/>
    <w:rsid w:val="00B64CE6"/>
    <w:rsid w:val="00B65C18"/>
    <w:rsid w:val="00B66F7B"/>
    <w:rsid w:val="00B67A34"/>
    <w:rsid w:val="00B707B7"/>
    <w:rsid w:val="00B71D57"/>
    <w:rsid w:val="00B71FC2"/>
    <w:rsid w:val="00B72FF1"/>
    <w:rsid w:val="00B73A0A"/>
    <w:rsid w:val="00B74811"/>
    <w:rsid w:val="00B7504E"/>
    <w:rsid w:val="00B76D4E"/>
    <w:rsid w:val="00B76E11"/>
    <w:rsid w:val="00B774B9"/>
    <w:rsid w:val="00B774E1"/>
    <w:rsid w:val="00B80940"/>
    <w:rsid w:val="00B80BF2"/>
    <w:rsid w:val="00B810E4"/>
    <w:rsid w:val="00B82032"/>
    <w:rsid w:val="00B824C6"/>
    <w:rsid w:val="00B853A4"/>
    <w:rsid w:val="00B85A14"/>
    <w:rsid w:val="00B85B6F"/>
    <w:rsid w:val="00B87B81"/>
    <w:rsid w:val="00B87F54"/>
    <w:rsid w:val="00B905ED"/>
    <w:rsid w:val="00B906AE"/>
    <w:rsid w:val="00B906B4"/>
    <w:rsid w:val="00B91298"/>
    <w:rsid w:val="00B91725"/>
    <w:rsid w:val="00B917B9"/>
    <w:rsid w:val="00B92EA1"/>
    <w:rsid w:val="00B941CD"/>
    <w:rsid w:val="00B943FE"/>
    <w:rsid w:val="00B944C7"/>
    <w:rsid w:val="00B9464F"/>
    <w:rsid w:val="00B95AD9"/>
    <w:rsid w:val="00B95F33"/>
    <w:rsid w:val="00B9619B"/>
    <w:rsid w:val="00B96464"/>
    <w:rsid w:val="00B9703A"/>
    <w:rsid w:val="00B975F1"/>
    <w:rsid w:val="00B97ACE"/>
    <w:rsid w:val="00B97BFB"/>
    <w:rsid w:val="00B97C5C"/>
    <w:rsid w:val="00B97FF1"/>
    <w:rsid w:val="00BA1259"/>
    <w:rsid w:val="00BA1FBB"/>
    <w:rsid w:val="00BA2A9E"/>
    <w:rsid w:val="00BA2E8D"/>
    <w:rsid w:val="00BA2F84"/>
    <w:rsid w:val="00BA3F37"/>
    <w:rsid w:val="00BA4EBF"/>
    <w:rsid w:val="00BA5027"/>
    <w:rsid w:val="00BA5A18"/>
    <w:rsid w:val="00BA65AD"/>
    <w:rsid w:val="00BA7090"/>
    <w:rsid w:val="00BA74B7"/>
    <w:rsid w:val="00BA7829"/>
    <w:rsid w:val="00BB084E"/>
    <w:rsid w:val="00BB099D"/>
    <w:rsid w:val="00BB10D7"/>
    <w:rsid w:val="00BB1550"/>
    <w:rsid w:val="00BB1DC5"/>
    <w:rsid w:val="00BB2090"/>
    <w:rsid w:val="00BB22E0"/>
    <w:rsid w:val="00BB2FF2"/>
    <w:rsid w:val="00BB31D1"/>
    <w:rsid w:val="00BB42BC"/>
    <w:rsid w:val="00BB4821"/>
    <w:rsid w:val="00BB4D20"/>
    <w:rsid w:val="00BB4E97"/>
    <w:rsid w:val="00BB574D"/>
    <w:rsid w:val="00BB5B78"/>
    <w:rsid w:val="00BB5C25"/>
    <w:rsid w:val="00BB7A79"/>
    <w:rsid w:val="00BC0A28"/>
    <w:rsid w:val="00BC19B4"/>
    <w:rsid w:val="00BC1DEF"/>
    <w:rsid w:val="00BC280A"/>
    <w:rsid w:val="00BC2D61"/>
    <w:rsid w:val="00BC3714"/>
    <w:rsid w:val="00BC4003"/>
    <w:rsid w:val="00BC556F"/>
    <w:rsid w:val="00BC6777"/>
    <w:rsid w:val="00BC7D0A"/>
    <w:rsid w:val="00BD001D"/>
    <w:rsid w:val="00BD076B"/>
    <w:rsid w:val="00BD0F56"/>
    <w:rsid w:val="00BD146D"/>
    <w:rsid w:val="00BD1BBA"/>
    <w:rsid w:val="00BD20C4"/>
    <w:rsid w:val="00BD20CF"/>
    <w:rsid w:val="00BD29AD"/>
    <w:rsid w:val="00BD34D8"/>
    <w:rsid w:val="00BD4AEB"/>
    <w:rsid w:val="00BD5057"/>
    <w:rsid w:val="00BD5835"/>
    <w:rsid w:val="00BD5F45"/>
    <w:rsid w:val="00BD6238"/>
    <w:rsid w:val="00BD626A"/>
    <w:rsid w:val="00BD64BC"/>
    <w:rsid w:val="00BD6ECC"/>
    <w:rsid w:val="00BD72E8"/>
    <w:rsid w:val="00BD75CF"/>
    <w:rsid w:val="00BD79A6"/>
    <w:rsid w:val="00BD7C5A"/>
    <w:rsid w:val="00BD7F71"/>
    <w:rsid w:val="00BE04F5"/>
    <w:rsid w:val="00BE107C"/>
    <w:rsid w:val="00BE1F61"/>
    <w:rsid w:val="00BE3A5B"/>
    <w:rsid w:val="00BE5D86"/>
    <w:rsid w:val="00BE663F"/>
    <w:rsid w:val="00BE68AF"/>
    <w:rsid w:val="00BE785B"/>
    <w:rsid w:val="00BF0082"/>
    <w:rsid w:val="00BF0993"/>
    <w:rsid w:val="00BF0C20"/>
    <w:rsid w:val="00BF23B0"/>
    <w:rsid w:val="00BF2BB1"/>
    <w:rsid w:val="00BF331D"/>
    <w:rsid w:val="00BF341C"/>
    <w:rsid w:val="00BF3F37"/>
    <w:rsid w:val="00BF44B2"/>
    <w:rsid w:val="00BF622A"/>
    <w:rsid w:val="00BF65E5"/>
    <w:rsid w:val="00BF73BF"/>
    <w:rsid w:val="00C001C6"/>
    <w:rsid w:val="00C00C30"/>
    <w:rsid w:val="00C01284"/>
    <w:rsid w:val="00C01528"/>
    <w:rsid w:val="00C01BFF"/>
    <w:rsid w:val="00C01DF8"/>
    <w:rsid w:val="00C02345"/>
    <w:rsid w:val="00C02C08"/>
    <w:rsid w:val="00C04878"/>
    <w:rsid w:val="00C05B49"/>
    <w:rsid w:val="00C06838"/>
    <w:rsid w:val="00C07753"/>
    <w:rsid w:val="00C10B3B"/>
    <w:rsid w:val="00C1100A"/>
    <w:rsid w:val="00C12259"/>
    <w:rsid w:val="00C12F2F"/>
    <w:rsid w:val="00C130E8"/>
    <w:rsid w:val="00C13A91"/>
    <w:rsid w:val="00C15196"/>
    <w:rsid w:val="00C15592"/>
    <w:rsid w:val="00C16034"/>
    <w:rsid w:val="00C1696C"/>
    <w:rsid w:val="00C16D4B"/>
    <w:rsid w:val="00C17B0C"/>
    <w:rsid w:val="00C208F8"/>
    <w:rsid w:val="00C21034"/>
    <w:rsid w:val="00C227E0"/>
    <w:rsid w:val="00C2347D"/>
    <w:rsid w:val="00C236AB"/>
    <w:rsid w:val="00C24BB1"/>
    <w:rsid w:val="00C25028"/>
    <w:rsid w:val="00C253F0"/>
    <w:rsid w:val="00C25B07"/>
    <w:rsid w:val="00C2640C"/>
    <w:rsid w:val="00C27276"/>
    <w:rsid w:val="00C27D63"/>
    <w:rsid w:val="00C304C4"/>
    <w:rsid w:val="00C3134B"/>
    <w:rsid w:val="00C31421"/>
    <w:rsid w:val="00C315F4"/>
    <w:rsid w:val="00C31E39"/>
    <w:rsid w:val="00C3216D"/>
    <w:rsid w:val="00C334CA"/>
    <w:rsid w:val="00C33965"/>
    <w:rsid w:val="00C33C08"/>
    <w:rsid w:val="00C33E6B"/>
    <w:rsid w:val="00C345FE"/>
    <w:rsid w:val="00C34BDE"/>
    <w:rsid w:val="00C350B6"/>
    <w:rsid w:val="00C355DE"/>
    <w:rsid w:val="00C35867"/>
    <w:rsid w:val="00C3630C"/>
    <w:rsid w:val="00C36EEA"/>
    <w:rsid w:val="00C37457"/>
    <w:rsid w:val="00C37DA2"/>
    <w:rsid w:val="00C4028E"/>
    <w:rsid w:val="00C40F48"/>
    <w:rsid w:val="00C41148"/>
    <w:rsid w:val="00C41E63"/>
    <w:rsid w:val="00C42847"/>
    <w:rsid w:val="00C42A65"/>
    <w:rsid w:val="00C42B82"/>
    <w:rsid w:val="00C42C87"/>
    <w:rsid w:val="00C4355F"/>
    <w:rsid w:val="00C43ED1"/>
    <w:rsid w:val="00C4496A"/>
    <w:rsid w:val="00C44C4C"/>
    <w:rsid w:val="00C45BC0"/>
    <w:rsid w:val="00C46B41"/>
    <w:rsid w:val="00C4794A"/>
    <w:rsid w:val="00C479CA"/>
    <w:rsid w:val="00C47B71"/>
    <w:rsid w:val="00C5138A"/>
    <w:rsid w:val="00C5217A"/>
    <w:rsid w:val="00C52226"/>
    <w:rsid w:val="00C5280F"/>
    <w:rsid w:val="00C536D6"/>
    <w:rsid w:val="00C53706"/>
    <w:rsid w:val="00C543DB"/>
    <w:rsid w:val="00C54849"/>
    <w:rsid w:val="00C566E5"/>
    <w:rsid w:val="00C56BA1"/>
    <w:rsid w:val="00C6097A"/>
    <w:rsid w:val="00C6154C"/>
    <w:rsid w:val="00C622A3"/>
    <w:rsid w:val="00C62A50"/>
    <w:rsid w:val="00C63E40"/>
    <w:rsid w:val="00C65633"/>
    <w:rsid w:val="00C65C16"/>
    <w:rsid w:val="00C66615"/>
    <w:rsid w:val="00C66F57"/>
    <w:rsid w:val="00C70A97"/>
    <w:rsid w:val="00C70B65"/>
    <w:rsid w:val="00C70CC7"/>
    <w:rsid w:val="00C71C0A"/>
    <w:rsid w:val="00C72199"/>
    <w:rsid w:val="00C737FC"/>
    <w:rsid w:val="00C74617"/>
    <w:rsid w:val="00C752FE"/>
    <w:rsid w:val="00C76D9D"/>
    <w:rsid w:val="00C770CA"/>
    <w:rsid w:val="00C77135"/>
    <w:rsid w:val="00C775EF"/>
    <w:rsid w:val="00C8002A"/>
    <w:rsid w:val="00C80E2E"/>
    <w:rsid w:val="00C814D1"/>
    <w:rsid w:val="00C81D4F"/>
    <w:rsid w:val="00C81EA3"/>
    <w:rsid w:val="00C83536"/>
    <w:rsid w:val="00C83C03"/>
    <w:rsid w:val="00C84FE6"/>
    <w:rsid w:val="00C85327"/>
    <w:rsid w:val="00C86001"/>
    <w:rsid w:val="00C8619C"/>
    <w:rsid w:val="00C86BF4"/>
    <w:rsid w:val="00C86D46"/>
    <w:rsid w:val="00C86E4C"/>
    <w:rsid w:val="00C90F30"/>
    <w:rsid w:val="00C9167B"/>
    <w:rsid w:val="00C91CC1"/>
    <w:rsid w:val="00C91D72"/>
    <w:rsid w:val="00C91DEC"/>
    <w:rsid w:val="00C91EC5"/>
    <w:rsid w:val="00C93C63"/>
    <w:rsid w:val="00C93CFA"/>
    <w:rsid w:val="00C948B0"/>
    <w:rsid w:val="00C94AA4"/>
    <w:rsid w:val="00C94BE5"/>
    <w:rsid w:val="00C94D5E"/>
    <w:rsid w:val="00C962C6"/>
    <w:rsid w:val="00C96438"/>
    <w:rsid w:val="00C97CBD"/>
    <w:rsid w:val="00CA0D55"/>
    <w:rsid w:val="00CA2249"/>
    <w:rsid w:val="00CA2475"/>
    <w:rsid w:val="00CA346B"/>
    <w:rsid w:val="00CA383E"/>
    <w:rsid w:val="00CA5ADB"/>
    <w:rsid w:val="00CA7C8F"/>
    <w:rsid w:val="00CA7DAB"/>
    <w:rsid w:val="00CB0FA7"/>
    <w:rsid w:val="00CB1024"/>
    <w:rsid w:val="00CB1DF3"/>
    <w:rsid w:val="00CB3224"/>
    <w:rsid w:val="00CB327F"/>
    <w:rsid w:val="00CB3508"/>
    <w:rsid w:val="00CB36F2"/>
    <w:rsid w:val="00CB3B59"/>
    <w:rsid w:val="00CB40B5"/>
    <w:rsid w:val="00CB4A5D"/>
    <w:rsid w:val="00CB5824"/>
    <w:rsid w:val="00CB6C3C"/>
    <w:rsid w:val="00CB7695"/>
    <w:rsid w:val="00CC0546"/>
    <w:rsid w:val="00CC0796"/>
    <w:rsid w:val="00CC1E0F"/>
    <w:rsid w:val="00CC2A4F"/>
    <w:rsid w:val="00CC2E9A"/>
    <w:rsid w:val="00CC495A"/>
    <w:rsid w:val="00CC4DF3"/>
    <w:rsid w:val="00CC4FEF"/>
    <w:rsid w:val="00CC52D7"/>
    <w:rsid w:val="00CC557E"/>
    <w:rsid w:val="00CC5871"/>
    <w:rsid w:val="00CC681E"/>
    <w:rsid w:val="00CC75DD"/>
    <w:rsid w:val="00CC7D40"/>
    <w:rsid w:val="00CD0F9E"/>
    <w:rsid w:val="00CD2504"/>
    <w:rsid w:val="00CD26FE"/>
    <w:rsid w:val="00CD2B8C"/>
    <w:rsid w:val="00CD33AB"/>
    <w:rsid w:val="00CD41DB"/>
    <w:rsid w:val="00CD4B5D"/>
    <w:rsid w:val="00CD4F3E"/>
    <w:rsid w:val="00CD63B8"/>
    <w:rsid w:val="00CD7EBE"/>
    <w:rsid w:val="00CE0E4C"/>
    <w:rsid w:val="00CE10E1"/>
    <w:rsid w:val="00CE1235"/>
    <w:rsid w:val="00CE1E83"/>
    <w:rsid w:val="00CE211E"/>
    <w:rsid w:val="00CE23FE"/>
    <w:rsid w:val="00CE2A1C"/>
    <w:rsid w:val="00CE54C2"/>
    <w:rsid w:val="00CE62F1"/>
    <w:rsid w:val="00CE6B05"/>
    <w:rsid w:val="00CE743F"/>
    <w:rsid w:val="00CE78A4"/>
    <w:rsid w:val="00CE7C56"/>
    <w:rsid w:val="00CF0C34"/>
    <w:rsid w:val="00CF1731"/>
    <w:rsid w:val="00CF1858"/>
    <w:rsid w:val="00CF1D14"/>
    <w:rsid w:val="00CF2265"/>
    <w:rsid w:val="00CF28E8"/>
    <w:rsid w:val="00CF2C1E"/>
    <w:rsid w:val="00CF2EB2"/>
    <w:rsid w:val="00CF3D5F"/>
    <w:rsid w:val="00CF4890"/>
    <w:rsid w:val="00CF585F"/>
    <w:rsid w:val="00D00545"/>
    <w:rsid w:val="00D009F4"/>
    <w:rsid w:val="00D00B97"/>
    <w:rsid w:val="00D03E6F"/>
    <w:rsid w:val="00D0496A"/>
    <w:rsid w:val="00D0586B"/>
    <w:rsid w:val="00D061CB"/>
    <w:rsid w:val="00D0642F"/>
    <w:rsid w:val="00D06453"/>
    <w:rsid w:val="00D06726"/>
    <w:rsid w:val="00D07291"/>
    <w:rsid w:val="00D07937"/>
    <w:rsid w:val="00D07939"/>
    <w:rsid w:val="00D07C54"/>
    <w:rsid w:val="00D07E03"/>
    <w:rsid w:val="00D10898"/>
    <w:rsid w:val="00D10965"/>
    <w:rsid w:val="00D113CE"/>
    <w:rsid w:val="00D118B6"/>
    <w:rsid w:val="00D124F5"/>
    <w:rsid w:val="00D135BB"/>
    <w:rsid w:val="00D138CC"/>
    <w:rsid w:val="00D13B70"/>
    <w:rsid w:val="00D145B0"/>
    <w:rsid w:val="00D146DB"/>
    <w:rsid w:val="00D14EB7"/>
    <w:rsid w:val="00D1583A"/>
    <w:rsid w:val="00D167D4"/>
    <w:rsid w:val="00D17257"/>
    <w:rsid w:val="00D20554"/>
    <w:rsid w:val="00D2060C"/>
    <w:rsid w:val="00D207B9"/>
    <w:rsid w:val="00D20CEE"/>
    <w:rsid w:val="00D21A50"/>
    <w:rsid w:val="00D2251C"/>
    <w:rsid w:val="00D22B6F"/>
    <w:rsid w:val="00D22CA4"/>
    <w:rsid w:val="00D23573"/>
    <w:rsid w:val="00D239B5"/>
    <w:rsid w:val="00D23C62"/>
    <w:rsid w:val="00D23E37"/>
    <w:rsid w:val="00D24580"/>
    <w:rsid w:val="00D24684"/>
    <w:rsid w:val="00D24688"/>
    <w:rsid w:val="00D24EAF"/>
    <w:rsid w:val="00D263FA"/>
    <w:rsid w:val="00D26728"/>
    <w:rsid w:val="00D271C4"/>
    <w:rsid w:val="00D30650"/>
    <w:rsid w:val="00D318DD"/>
    <w:rsid w:val="00D31B3B"/>
    <w:rsid w:val="00D349D0"/>
    <w:rsid w:val="00D34A12"/>
    <w:rsid w:val="00D3554C"/>
    <w:rsid w:val="00D35C3E"/>
    <w:rsid w:val="00D36054"/>
    <w:rsid w:val="00D362B6"/>
    <w:rsid w:val="00D37740"/>
    <w:rsid w:val="00D379F3"/>
    <w:rsid w:val="00D37B81"/>
    <w:rsid w:val="00D40017"/>
    <w:rsid w:val="00D40FD9"/>
    <w:rsid w:val="00D41D6B"/>
    <w:rsid w:val="00D41E08"/>
    <w:rsid w:val="00D41FB7"/>
    <w:rsid w:val="00D428FC"/>
    <w:rsid w:val="00D42DB1"/>
    <w:rsid w:val="00D43124"/>
    <w:rsid w:val="00D432AD"/>
    <w:rsid w:val="00D43405"/>
    <w:rsid w:val="00D434E0"/>
    <w:rsid w:val="00D4544E"/>
    <w:rsid w:val="00D45A7E"/>
    <w:rsid w:val="00D464AF"/>
    <w:rsid w:val="00D46C06"/>
    <w:rsid w:val="00D47005"/>
    <w:rsid w:val="00D478FD"/>
    <w:rsid w:val="00D47AB1"/>
    <w:rsid w:val="00D47EFD"/>
    <w:rsid w:val="00D510DB"/>
    <w:rsid w:val="00D51CB5"/>
    <w:rsid w:val="00D5291F"/>
    <w:rsid w:val="00D52A49"/>
    <w:rsid w:val="00D52A4E"/>
    <w:rsid w:val="00D52EC5"/>
    <w:rsid w:val="00D54018"/>
    <w:rsid w:val="00D55B71"/>
    <w:rsid w:val="00D56D0E"/>
    <w:rsid w:val="00D5737B"/>
    <w:rsid w:val="00D57E86"/>
    <w:rsid w:val="00D57E90"/>
    <w:rsid w:val="00D60604"/>
    <w:rsid w:val="00D60817"/>
    <w:rsid w:val="00D62292"/>
    <w:rsid w:val="00D6474D"/>
    <w:rsid w:val="00D64A3F"/>
    <w:rsid w:val="00D652E7"/>
    <w:rsid w:val="00D66238"/>
    <w:rsid w:val="00D66B2E"/>
    <w:rsid w:val="00D67C7B"/>
    <w:rsid w:val="00D702EF"/>
    <w:rsid w:val="00D70801"/>
    <w:rsid w:val="00D7096E"/>
    <w:rsid w:val="00D70A20"/>
    <w:rsid w:val="00D7140F"/>
    <w:rsid w:val="00D7147E"/>
    <w:rsid w:val="00D719CC"/>
    <w:rsid w:val="00D727AD"/>
    <w:rsid w:val="00D731F2"/>
    <w:rsid w:val="00D732F0"/>
    <w:rsid w:val="00D7422D"/>
    <w:rsid w:val="00D74494"/>
    <w:rsid w:val="00D75A07"/>
    <w:rsid w:val="00D76868"/>
    <w:rsid w:val="00D774CD"/>
    <w:rsid w:val="00D8024E"/>
    <w:rsid w:val="00D803C1"/>
    <w:rsid w:val="00D81320"/>
    <w:rsid w:val="00D81C7B"/>
    <w:rsid w:val="00D81F7A"/>
    <w:rsid w:val="00D825B8"/>
    <w:rsid w:val="00D82A44"/>
    <w:rsid w:val="00D83003"/>
    <w:rsid w:val="00D830A8"/>
    <w:rsid w:val="00D837F7"/>
    <w:rsid w:val="00D847A7"/>
    <w:rsid w:val="00D86DFB"/>
    <w:rsid w:val="00D90387"/>
    <w:rsid w:val="00D90A6F"/>
    <w:rsid w:val="00D914FF"/>
    <w:rsid w:val="00D9201D"/>
    <w:rsid w:val="00D9203F"/>
    <w:rsid w:val="00D928F8"/>
    <w:rsid w:val="00D92C6A"/>
    <w:rsid w:val="00D92ED1"/>
    <w:rsid w:val="00D93796"/>
    <w:rsid w:val="00D94E84"/>
    <w:rsid w:val="00D94F50"/>
    <w:rsid w:val="00D97143"/>
    <w:rsid w:val="00D9771A"/>
    <w:rsid w:val="00D97960"/>
    <w:rsid w:val="00D97D98"/>
    <w:rsid w:val="00DA0073"/>
    <w:rsid w:val="00DA10DA"/>
    <w:rsid w:val="00DA1265"/>
    <w:rsid w:val="00DA1B9D"/>
    <w:rsid w:val="00DA2796"/>
    <w:rsid w:val="00DA27E5"/>
    <w:rsid w:val="00DA2902"/>
    <w:rsid w:val="00DA4921"/>
    <w:rsid w:val="00DA4A99"/>
    <w:rsid w:val="00DA4E76"/>
    <w:rsid w:val="00DA5739"/>
    <w:rsid w:val="00DA58F9"/>
    <w:rsid w:val="00DA5DC0"/>
    <w:rsid w:val="00DA79AE"/>
    <w:rsid w:val="00DB01B7"/>
    <w:rsid w:val="00DB060D"/>
    <w:rsid w:val="00DB1F91"/>
    <w:rsid w:val="00DB2A1D"/>
    <w:rsid w:val="00DB2DE7"/>
    <w:rsid w:val="00DB3D86"/>
    <w:rsid w:val="00DB428D"/>
    <w:rsid w:val="00DB4DA1"/>
    <w:rsid w:val="00DB4F4D"/>
    <w:rsid w:val="00DB69C1"/>
    <w:rsid w:val="00DB73D4"/>
    <w:rsid w:val="00DB74E6"/>
    <w:rsid w:val="00DC07E8"/>
    <w:rsid w:val="00DC115D"/>
    <w:rsid w:val="00DC18CC"/>
    <w:rsid w:val="00DC2578"/>
    <w:rsid w:val="00DC3E45"/>
    <w:rsid w:val="00DC5C37"/>
    <w:rsid w:val="00DC62FA"/>
    <w:rsid w:val="00DC644E"/>
    <w:rsid w:val="00DC68F3"/>
    <w:rsid w:val="00DC6E99"/>
    <w:rsid w:val="00DC70C4"/>
    <w:rsid w:val="00DC71B9"/>
    <w:rsid w:val="00DD0E15"/>
    <w:rsid w:val="00DD2540"/>
    <w:rsid w:val="00DD334B"/>
    <w:rsid w:val="00DD33BE"/>
    <w:rsid w:val="00DD34FB"/>
    <w:rsid w:val="00DD3F74"/>
    <w:rsid w:val="00DD4028"/>
    <w:rsid w:val="00DD4125"/>
    <w:rsid w:val="00DD52EF"/>
    <w:rsid w:val="00DD5C5A"/>
    <w:rsid w:val="00DD6AAA"/>
    <w:rsid w:val="00DD7697"/>
    <w:rsid w:val="00DE0793"/>
    <w:rsid w:val="00DE103D"/>
    <w:rsid w:val="00DE3E24"/>
    <w:rsid w:val="00DE41C2"/>
    <w:rsid w:val="00DE43AE"/>
    <w:rsid w:val="00DE62CB"/>
    <w:rsid w:val="00DE6301"/>
    <w:rsid w:val="00DE7978"/>
    <w:rsid w:val="00DF11A1"/>
    <w:rsid w:val="00DF1511"/>
    <w:rsid w:val="00DF19ED"/>
    <w:rsid w:val="00DF1AA5"/>
    <w:rsid w:val="00DF1C80"/>
    <w:rsid w:val="00DF2708"/>
    <w:rsid w:val="00DF3E46"/>
    <w:rsid w:val="00DF446D"/>
    <w:rsid w:val="00DF48F4"/>
    <w:rsid w:val="00DF5366"/>
    <w:rsid w:val="00DF6007"/>
    <w:rsid w:val="00DF6222"/>
    <w:rsid w:val="00DF623B"/>
    <w:rsid w:val="00DF6DFB"/>
    <w:rsid w:val="00DF720B"/>
    <w:rsid w:val="00E009DE"/>
    <w:rsid w:val="00E031DE"/>
    <w:rsid w:val="00E03CE2"/>
    <w:rsid w:val="00E0416C"/>
    <w:rsid w:val="00E047F4"/>
    <w:rsid w:val="00E04C98"/>
    <w:rsid w:val="00E05BB8"/>
    <w:rsid w:val="00E05F61"/>
    <w:rsid w:val="00E102BE"/>
    <w:rsid w:val="00E106F7"/>
    <w:rsid w:val="00E109F7"/>
    <w:rsid w:val="00E10E53"/>
    <w:rsid w:val="00E10FB4"/>
    <w:rsid w:val="00E11040"/>
    <w:rsid w:val="00E112E5"/>
    <w:rsid w:val="00E114C1"/>
    <w:rsid w:val="00E11732"/>
    <w:rsid w:val="00E11E7E"/>
    <w:rsid w:val="00E13CC6"/>
    <w:rsid w:val="00E143F6"/>
    <w:rsid w:val="00E14B57"/>
    <w:rsid w:val="00E15F53"/>
    <w:rsid w:val="00E16A1A"/>
    <w:rsid w:val="00E173A9"/>
    <w:rsid w:val="00E17CD4"/>
    <w:rsid w:val="00E17E17"/>
    <w:rsid w:val="00E20265"/>
    <w:rsid w:val="00E2088D"/>
    <w:rsid w:val="00E20FA0"/>
    <w:rsid w:val="00E2122B"/>
    <w:rsid w:val="00E227A2"/>
    <w:rsid w:val="00E2364A"/>
    <w:rsid w:val="00E244B6"/>
    <w:rsid w:val="00E24733"/>
    <w:rsid w:val="00E2498D"/>
    <w:rsid w:val="00E25518"/>
    <w:rsid w:val="00E263C4"/>
    <w:rsid w:val="00E26C97"/>
    <w:rsid w:val="00E3040B"/>
    <w:rsid w:val="00E31E29"/>
    <w:rsid w:val="00E3216A"/>
    <w:rsid w:val="00E324FB"/>
    <w:rsid w:val="00E32F81"/>
    <w:rsid w:val="00E32FB3"/>
    <w:rsid w:val="00E336B6"/>
    <w:rsid w:val="00E33BBA"/>
    <w:rsid w:val="00E33DA7"/>
    <w:rsid w:val="00E34D33"/>
    <w:rsid w:val="00E35E0F"/>
    <w:rsid w:val="00E35E2D"/>
    <w:rsid w:val="00E35E9C"/>
    <w:rsid w:val="00E36502"/>
    <w:rsid w:val="00E36993"/>
    <w:rsid w:val="00E372E6"/>
    <w:rsid w:val="00E37DE9"/>
    <w:rsid w:val="00E4006B"/>
    <w:rsid w:val="00E41527"/>
    <w:rsid w:val="00E41674"/>
    <w:rsid w:val="00E4174F"/>
    <w:rsid w:val="00E4259E"/>
    <w:rsid w:val="00E44F12"/>
    <w:rsid w:val="00E471E2"/>
    <w:rsid w:val="00E47D5F"/>
    <w:rsid w:val="00E5019D"/>
    <w:rsid w:val="00E51391"/>
    <w:rsid w:val="00E52DDB"/>
    <w:rsid w:val="00E532FA"/>
    <w:rsid w:val="00E5394A"/>
    <w:rsid w:val="00E54796"/>
    <w:rsid w:val="00E54898"/>
    <w:rsid w:val="00E54A3C"/>
    <w:rsid w:val="00E54A8C"/>
    <w:rsid w:val="00E54E1F"/>
    <w:rsid w:val="00E555CD"/>
    <w:rsid w:val="00E566CC"/>
    <w:rsid w:val="00E56724"/>
    <w:rsid w:val="00E56983"/>
    <w:rsid w:val="00E56C80"/>
    <w:rsid w:val="00E607EB"/>
    <w:rsid w:val="00E61C56"/>
    <w:rsid w:val="00E61E74"/>
    <w:rsid w:val="00E6235C"/>
    <w:rsid w:val="00E63ABB"/>
    <w:rsid w:val="00E64039"/>
    <w:rsid w:val="00E640EF"/>
    <w:rsid w:val="00E64264"/>
    <w:rsid w:val="00E648D9"/>
    <w:rsid w:val="00E64EE4"/>
    <w:rsid w:val="00E65042"/>
    <w:rsid w:val="00E65479"/>
    <w:rsid w:val="00E6657A"/>
    <w:rsid w:val="00E665A7"/>
    <w:rsid w:val="00E66FC6"/>
    <w:rsid w:val="00E67032"/>
    <w:rsid w:val="00E67834"/>
    <w:rsid w:val="00E6798F"/>
    <w:rsid w:val="00E67CBE"/>
    <w:rsid w:val="00E71618"/>
    <w:rsid w:val="00E719FC"/>
    <w:rsid w:val="00E725A3"/>
    <w:rsid w:val="00E73DD4"/>
    <w:rsid w:val="00E74153"/>
    <w:rsid w:val="00E7480B"/>
    <w:rsid w:val="00E74A4E"/>
    <w:rsid w:val="00E7540F"/>
    <w:rsid w:val="00E764AA"/>
    <w:rsid w:val="00E76766"/>
    <w:rsid w:val="00E767A5"/>
    <w:rsid w:val="00E772AD"/>
    <w:rsid w:val="00E773BD"/>
    <w:rsid w:val="00E8020F"/>
    <w:rsid w:val="00E8113B"/>
    <w:rsid w:val="00E82EC0"/>
    <w:rsid w:val="00E84844"/>
    <w:rsid w:val="00E84C9C"/>
    <w:rsid w:val="00E86379"/>
    <w:rsid w:val="00E864FB"/>
    <w:rsid w:val="00E87110"/>
    <w:rsid w:val="00E875AF"/>
    <w:rsid w:val="00E92B59"/>
    <w:rsid w:val="00E932CE"/>
    <w:rsid w:val="00E93880"/>
    <w:rsid w:val="00E954B9"/>
    <w:rsid w:val="00E969F7"/>
    <w:rsid w:val="00E97F10"/>
    <w:rsid w:val="00EA18F6"/>
    <w:rsid w:val="00EA20F7"/>
    <w:rsid w:val="00EA29CE"/>
    <w:rsid w:val="00EA4A6F"/>
    <w:rsid w:val="00EA7AB6"/>
    <w:rsid w:val="00EA7F77"/>
    <w:rsid w:val="00EB005E"/>
    <w:rsid w:val="00EB04F9"/>
    <w:rsid w:val="00EB0D87"/>
    <w:rsid w:val="00EB10A5"/>
    <w:rsid w:val="00EB1689"/>
    <w:rsid w:val="00EB3148"/>
    <w:rsid w:val="00EB38E7"/>
    <w:rsid w:val="00EB4082"/>
    <w:rsid w:val="00EB49EC"/>
    <w:rsid w:val="00EB5086"/>
    <w:rsid w:val="00EB5324"/>
    <w:rsid w:val="00EB5456"/>
    <w:rsid w:val="00EB6B64"/>
    <w:rsid w:val="00EB74F9"/>
    <w:rsid w:val="00EB7B47"/>
    <w:rsid w:val="00EC0D0B"/>
    <w:rsid w:val="00EC2024"/>
    <w:rsid w:val="00EC2590"/>
    <w:rsid w:val="00EC2F1A"/>
    <w:rsid w:val="00EC336B"/>
    <w:rsid w:val="00EC3A55"/>
    <w:rsid w:val="00EC4E39"/>
    <w:rsid w:val="00EC646D"/>
    <w:rsid w:val="00EC70B4"/>
    <w:rsid w:val="00EC7EA2"/>
    <w:rsid w:val="00ED03A3"/>
    <w:rsid w:val="00ED1E18"/>
    <w:rsid w:val="00ED2C6F"/>
    <w:rsid w:val="00ED37E3"/>
    <w:rsid w:val="00ED3B52"/>
    <w:rsid w:val="00ED41BE"/>
    <w:rsid w:val="00ED5506"/>
    <w:rsid w:val="00ED5E34"/>
    <w:rsid w:val="00ED5F8B"/>
    <w:rsid w:val="00ED6139"/>
    <w:rsid w:val="00ED6288"/>
    <w:rsid w:val="00ED642B"/>
    <w:rsid w:val="00ED6621"/>
    <w:rsid w:val="00ED6704"/>
    <w:rsid w:val="00ED6A6E"/>
    <w:rsid w:val="00ED6C09"/>
    <w:rsid w:val="00ED7684"/>
    <w:rsid w:val="00ED7719"/>
    <w:rsid w:val="00EE028B"/>
    <w:rsid w:val="00EE05F4"/>
    <w:rsid w:val="00EE0981"/>
    <w:rsid w:val="00EE129F"/>
    <w:rsid w:val="00EE1DFE"/>
    <w:rsid w:val="00EE22C5"/>
    <w:rsid w:val="00EE2FB4"/>
    <w:rsid w:val="00EE3165"/>
    <w:rsid w:val="00EE3603"/>
    <w:rsid w:val="00EE39E4"/>
    <w:rsid w:val="00EE443E"/>
    <w:rsid w:val="00EE52AB"/>
    <w:rsid w:val="00EE58B0"/>
    <w:rsid w:val="00EE593C"/>
    <w:rsid w:val="00EE76DE"/>
    <w:rsid w:val="00EE78DD"/>
    <w:rsid w:val="00EE7A54"/>
    <w:rsid w:val="00EE7EC3"/>
    <w:rsid w:val="00EF0170"/>
    <w:rsid w:val="00EF0E91"/>
    <w:rsid w:val="00EF0EBF"/>
    <w:rsid w:val="00EF11E2"/>
    <w:rsid w:val="00EF165D"/>
    <w:rsid w:val="00EF181C"/>
    <w:rsid w:val="00EF1E86"/>
    <w:rsid w:val="00EF3356"/>
    <w:rsid w:val="00EF336E"/>
    <w:rsid w:val="00EF3B5B"/>
    <w:rsid w:val="00EF45A0"/>
    <w:rsid w:val="00EF506F"/>
    <w:rsid w:val="00EF513F"/>
    <w:rsid w:val="00EF554E"/>
    <w:rsid w:val="00EF56A4"/>
    <w:rsid w:val="00EF6119"/>
    <w:rsid w:val="00EF6320"/>
    <w:rsid w:val="00EF670A"/>
    <w:rsid w:val="00EF6D11"/>
    <w:rsid w:val="00F00D32"/>
    <w:rsid w:val="00F01282"/>
    <w:rsid w:val="00F01332"/>
    <w:rsid w:val="00F01511"/>
    <w:rsid w:val="00F01AF2"/>
    <w:rsid w:val="00F024C1"/>
    <w:rsid w:val="00F04987"/>
    <w:rsid w:val="00F04ED0"/>
    <w:rsid w:val="00F06B21"/>
    <w:rsid w:val="00F06EF3"/>
    <w:rsid w:val="00F0713E"/>
    <w:rsid w:val="00F07F11"/>
    <w:rsid w:val="00F109A6"/>
    <w:rsid w:val="00F1183D"/>
    <w:rsid w:val="00F12485"/>
    <w:rsid w:val="00F1386C"/>
    <w:rsid w:val="00F13C6C"/>
    <w:rsid w:val="00F14117"/>
    <w:rsid w:val="00F1476F"/>
    <w:rsid w:val="00F15046"/>
    <w:rsid w:val="00F15A19"/>
    <w:rsid w:val="00F15FD8"/>
    <w:rsid w:val="00F17B18"/>
    <w:rsid w:val="00F20372"/>
    <w:rsid w:val="00F2197B"/>
    <w:rsid w:val="00F21BC0"/>
    <w:rsid w:val="00F224A9"/>
    <w:rsid w:val="00F233F1"/>
    <w:rsid w:val="00F23C6C"/>
    <w:rsid w:val="00F24C1B"/>
    <w:rsid w:val="00F253C0"/>
    <w:rsid w:val="00F25CE2"/>
    <w:rsid w:val="00F27575"/>
    <w:rsid w:val="00F30E8C"/>
    <w:rsid w:val="00F31D74"/>
    <w:rsid w:val="00F32528"/>
    <w:rsid w:val="00F32A33"/>
    <w:rsid w:val="00F32D94"/>
    <w:rsid w:val="00F333A4"/>
    <w:rsid w:val="00F33A52"/>
    <w:rsid w:val="00F33BC3"/>
    <w:rsid w:val="00F33C22"/>
    <w:rsid w:val="00F34980"/>
    <w:rsid w:val="00F34F8F"/>
    <w:rsid w:val="00F35254"/>
    <w:rsid w:val="00F3619B"/>
    <w:rsid w:val="00F3658B"/>
    <w:rsid w:val="00F373F4"/>
    <w:rsid w:val="00F37457"/>
    <w:rsid w:val="00F37CBE"/>
    <w:rsid w:val="00F400CD"/>
    <w:rsid w:val="00F40389"/>
    <w:rsid w:val="00F407D9"/>
    <w:rsid w:val="00F41B2E"/>
    <w:rsid w:val="00F41B90"/>
    <w:rsid w:val="00F423DB"/>
    <w:rsid w:val="00F42CD9"/>
    <w:rsid w:val="00F44283"/>
    <w:rsid w:val="00F45251"/>
    <w:rsid w:val="00F45F58"/>
    <w:rsid w:val="00F47742"/>
    <w:rsid w:val="00F47F48"/>
    <w:rsid w:val="00F50E60"/>
    <w:rsid w:val="00F50F1E"/>
    <w:rsid w:val="00F52682"/>
    <w:rsid w:val="00F52B95"/>
    <w:rsid w:val="00F53A9F"/>
    <w:rsid w:val="00F54A87"/>
    <w:rsid w:val="00F551AB"/>
    <w:rsid w:val="00F55555"/>
    <w:rsid w:val="00F557BA"/>
    <w:rsid w:val="00F57167"/>
    <w:rsid w:val="00F57709"/>
    <w:rsid w:val="00F62048"/>
    <w:rsid w:val="00F620E9"/>
    <w:rsid w:val="00F62BFE"/>
    <w:rsid w:val="00F630F9"/>
    <w:rsid w:val="00F63575"/>
    <w:rsid w:val="00F64472"/>
    <w:rsid w:val="00F644BB"/>
    <w:rsid w:val="00F6491A"/>
    <w:rsid w:val="00F64A3A"/>
    <w:rsid w:val="00F64BE6"/>
    <w:rsid w:val="00F661C6"/>
    <w:rsid w:val="00F66D2B"/>
    <w:rsid w:val="00F70672"/>
    <w:rsid w:val="00F716A7"/>
    <w:rsid w:val="00F71832"/>
    <w:rsid w:val="00F71C95"/>
    <w:rsid w:val="00F7246C"/>
    <w:rsid w:val="00F72CB5"/>
    <w:rsid w:val="00F72D09"/>
    <w:rsid w:val="00F72DF6"/>
    <w:rsid w:val="00F730B7"/>
    <w:rsid w:val="00F73EB4"/>
    <w:rsid w:val="00F74289"/>
    <w:rsid w:val="00F74B94"/>
    <w:rsid w:val="00F75EA7"/>
    <w:rsid w:val="00F7658A"/>
    <w:rsid w:val="00F769A8"/>
    <w:rsid w:val="00F76C8C"/>
    <w:rsid w:val="00F76DD0"/>
    <w:rsid w:val="00F76ED8"/>
    <w:rsid w:val="00F76FAC"/>
    <w:rsid w:val="00F77326"/>
    <w:rsid w:val="00F773C3"/>
    <w:rsid w:val="00F818DE"/>
    <w:rsid w:val="00F81BCE"/>
    <w:rsid w:val="00F821F2"/>
    <w:rsid w:val="00F82477"/>
    <w:rsid w:val="00F8320A"/>
    <w:rsid w:val="00F83376"/>
    <w:rsid w:val="00F83E37"/>
    <w:rsid w:val="00F84023"/>
    <w:rsid w:val="00F84A5B"/>
    <w:rsid w:val="00F84DDF"/>
    <w:rsid w:val="00F85560"/>
    <w:rsid w:val="00F85DDC"/>
    <w:rsid w:val="00F8609C"/>
    <w:rsid w:val="00F86398"/>
    <w:rsid w:val="00F86928"/>
    <w:rsid w:val="00F86A4E"/>
    <w:rsid w:val="00F877D5"/>
    <w:rsid w:val="00F87FC5"/>
    <w:rsid w:val="00F90127"/>
    <w:rsid w:val="00F90BCA"/>
    <w:rsid w:val="00F925F2"/>
    <w:rsid w:val="00F93A45"/>
    <w:rsid w:val="00FA08B0"/>
    <w:rsid w:val="00FA0D1C"/>
    <w:rsid w:val="00FA1F6D"/>
    <w:rsid w:val="00FA2252"/>
    <w:rsid w:val="00FA27CD"/>
    <w:rsid w:val="00FA2F75"/>
    <w:rsid w:val="00FA3922"/>
    <w:rsid w:val="00FA3B2E"/>
    <w:rsid w:val="00FA3EDA"/>
    <w:rsid w:val="00FA4951"/>
    <w:rsid w:val="00FA4F48"/>
    <w:rsid w:val="00FA51CA"/>
    <w:rsid w:val="00FA5B8E"/>
    <w:rsid w:val="00FA5C37"/>
    <w:rsid w:val="00FA7171"/>
    <w:rsid w:val="00FA7279"/>
    <w:rsid w:val="00FA79C3"/>
    <w:rsid w:val="00FA7B61"/>
    <w:rsid w:val="00FB1100"/>
    <w:rsid w:val="00FB287C"/>
    <w:rsid w:val="00FB2AF1"/>
    <w:rsid w:val="00FB319E"/>
    <w:rsid w:val="00FB3B01"/>
    <w:rsid w:val="00FB58BF"/>
    <w:rsid w:val="00FB6AB5"/>
    <w:rsid w:val="00FB7E02"/>
    <w:rsid w:val="00FC01AA"/>
    <w:rsid w:val="00FC01C6"/>
    <w:rsid w:val="00FC1BED"/>
    <w:rsid w:val="00FC1D0D"/>
    <w:rsid w:val="00FC20FD"/>
    <w:rsid w:val="00FC2E18"/>
    <w:rsid w:val="00FC2F4C"/>
    <w:rsid w:val="00FC3A97"/>
    <w:rsid w:val="00FC4DAF"/>
    <w:rsid w:val="00FC5314"/>
    <w:rsid w:val="00FC563B"/>
    <w:rsid w:val="00FC5CEE"/>
    <w:rsid w:val="00FC632A"/>
    <w:rsid w:val="00FC6496"/>
    <w:rsid w:val="00FC7F8A"/>
    <w:rsid w:val="00FD0C7F"/>
    <w:rsid w:val="00FD1353"/>
    <w:rsid w:val="00FD186E"/>
    <w:rsid w:val="00FD1DF3"/>
    <w:rsid w:val="00FD289B"/>
    <w:rsid w:val="00FD2A67"/>
    <w:rsid w:val="00FD3902"/>
    <w:rsid w:val="00FD3C4E"/>
    <w:rsid w:val="00FD4D95"/>
    <w:rsid w:val="00FD627E"/>
    <w:rsid w:val="00FD68E3"/>
    <w:rsid w:val="00FD6C9D"/>
    <w:rsid w:val="00FD6F89"/>
    <w:rsid w:val="00FD74A3"/>
    <w:rsid w:val="00FD7712"/>
    <w:rsid w:val="00FD7A5D"/>
    <w:rsid w:val="00FE07D2"/>
    <w:rsid w:val="00FE0AEB"/>
    <w:rsid w:val="00FE1504"/>
    <w:rsid w:val="00FE1D07"/>
    <w:rsid w:val="00FE2814"/>
    <w:rsid w:val="00FE2F14"/>
    <w:rsid w:val="00FE34B7"/>
    <w:rsid w:val="00FE3864"/>
    <w:rsid w:val="00FE3BD1"/>
    <w:rsid w:val="00FE4191"/>
    <w:rsid w:val="00FE548F"/>
    <w:rsid w:val="00FE5B47"/>
    <w:rsid w:val="00FF104C"/>
    <w:rsid w:val="00FF105B"/>
    <w:rsid w:val="00FF16EA"/>
    <w:rsid w:val="00FF1894"/>
    <w:rsid w:val="00FF1CB4"/>
    <w:rsid w:val="00FF4B70"/>
    <w:rsid w:val="00FF5725"/>
    <w:rsid w:val="00FF63C1"/>
    <w:rsid w:val="00FF6FB5"/>
    <w:rsid w:val="00FF74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E593A"/>
  <w15:docId w15:val="{548F974D-107D-D74A-83ED-368D4F77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4B0"/>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5C46C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eastAsia="fr-FR"/>
    </w:rPr>
  </w:style>
  <w:style w:type="paragraph" w:styleId="Heading3">
    <w:name w:val="heading 3"/>
    <w:basedOn w:val="Normal"/>
    <w:next w:val="Normal"/>
    <w:link w:val="Heading3Char"/>
    <w:uiPriority w:val="9"/>
    <w:semiHidden/>
    <w:unhideWhenUsed/>
    <w:qFormat/>
    <w:rsid w:val="00555021"/>
    <w:pPr>
      <w:keepNext/>
      <w:keepLines/>
      <w:spacing w:before="200" w:line="276" w:lineRule="auto"/>
      <w:outlineLvl w:val="2"/>
    </w:pPr>
    <w:rPr>
      <w:rFonts w:asciiTheme="majorHAnsi" w:eastAsiaTheme="majorEastAsia" w:hAnsiTheme="majorHAnsi" w:cstheme="majorBidi"/>
      <w:b/>
      <w:bCs/>
      <w:color w:val="4F81BD" w:themeColor="accent1"/>
      <w:sz w:val="22"/>
      <w:szCs w:val="22"/>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E7A54"/>
    <w:rPr>
      <w:rFonts w:asciiTheme="minorHAnsi" w:eastAsiaTheme="minorEastAsia" w:hAnsiTheme="minorHAnsi" w:cstheme="minorBidi"/>
      <w:sz w:val="20"/>
      <w:szCs w:val="20"/>
      <w:lang w:val="en-GB" w:eastAsia="fr-FR"/>
    </w:rPr>
  </w:style>
  <w:style w:type="character" w:customStyle="1" w:styleId="FootnoteTextChar">
    <w:name w:val="Footnote Text Char"/>
    <w:basedOn w:val="DefaultParagraphFont"/>
    <w:link w:val="FootnoteText"/>
    <w:uiPriority w:val="99"/>
    <w:rsid w:val="00EE7A54"/>
    <w:rPr>
      <w:sz w:val="20"/>
      <w:szCs w:val="20"/>
    </w:rPr>
  </w:style>
  <w:style w:type="character" w:styleId="FootnoteReference">
    <w:name w:val="footnote reference"/>
    <w:basedOn w:val="DefaultParagraphFont"/>
    <w:uiPriority w:val="99"/>
    <w:unhideWhenUsed/>
    <w:rsid w:val="00EE7A54"/>
    <w:rPr>
      <w:vertAlign w:val="superscript"/>
    </w:rPr>
  </w:style>
  <w:style w:type="character" w:styleId="PlaceholderText">
    <w:name w:val="Placeholder Text"/>
    <w:basedOn w:val="DefaultParagraphFont"/>
    <w:uiPriority w:val="99"/>
    <w:semiHidden/>
    <w:rsid w:val="004A2B4C"/>
    <w:rPr>
      <w:color w:val="808080"/>
    </w:rPr>
  </w:style>
  <w:style w:type="paragraph" w:styleId="BalloonText">
    <w:name w:val="Balloon Text"/>
    <w:basedOn w:val="Normal"/>
    <w:link w:val="BalloonTextChar"/>
    <w:uiPriority w:val="99"/>
    <w:semiHidden/>
    <w:unhideWhenUsed/>
    <w:rsid w:val="004A2B4C"/>
    <w:rPr>
      <w:rFonts w:ascii="Tahoma" w:eastAsiaTheme="minorEastAsia" w:hAnsi="Tahoma" w:cs="Tahoma"/>
      <w:sz w:val="16"/>
      <w:szCs w:val="16"/>
      <w:lang w:val="en-GB" w:eastAsia="fr-FR"/>
    </w:rPr>
  </w:style>
  <w:style w:type="character" w:customStyle="1" w:styleId="BalloonTextChar">
    <w:name w:val="Balloon Text Char"/>
    <w:basedOn w:val="DefaultParagraphFont"/>
    <w:link w:val="BalloonText"/>
    <w:uiPriority w:val="99"/>
    <w:semiHidden/>
    <w:rsid w:val="004A2B4C"/>
    <w:rPr>
      <w:rFonts w:ascii="Tahoma" w:hAnsi="Tahoma" w:cs="Tahoma"/>
      <w:sz w:val="16"/>
      <w:szCs w:val="16"/>
    </w:rPr>
  </w:style>
  <w:style w:type="paragraph" w:styleId="ListParagraph">
    <w:name w:val="List Paragraph"/>
    <w:basedOn w:val="Normal"/>
    <w:uiPriority w:val="34"/>
    <w:qFormat/>
    <w:rsid w:val="006D4D15"/>
    <w:pPr>
      <w:spacing w:after="200" w:line="276" w:lineRule="auto"/>
      <w:ind w:left="720"/>
      <w:contextualSpacing/>
    </w:pPr>
    <w:rPr>
      <w:rFonts w:asciiTheme="minorHAnsi" w:eastAsiaTheme="minorEastAsia" w:hAnsiTheme="minorHAnsi" w:cstheme="minorBidi"/>
      <w:sz w:val="22"/>
      <w:szCs w:val="22"/>
      <w:lang w:val="en-GB" w:eastAsia="fr-FR"/>
    </w:rPr>
  </w:style>
  <w:style w:type="character" w:customStyle="1" w:styleId="apple-converted-space">
    <w:name w:val="apple-converted-space"/>
    <w:basedOn w:val="DefaultParagraphFont"/>
    <w:rsid w:val="003225D4"/>
  </w:style>
  <w:style w:type="paragraph" w:styleId="Header">
    <w:name w:val="header"/>
    <w:basedOn w:val="Normal"/>
    <w:link w:val="HeaderChar"/>
    <w:uiPriority w:val="99"/>
    <w:unhideWhenUsed/>
    <w:rsid w:val="00E84844"/>
    <w:pPr>
      <w:tabs>
        <w:tab w:val="center" w:pos="4536"/>
        <w:tab w:val="right" w:pos="9072"/>
      </w:tabs>
    </w:pPr>
    <w:rPr>
      <w:rFonts w:asciiTheme="minorHAnsi" w:eastAsiaTheme="minorEastAsia" w:hAnsiTheme="minorHAnsi" w:cstheme="minorBidi"/>
      <w:sz w:val="22"/>
      <w:szCs w:val="22"/>
      <w:lang w:val="en-GB" w:eastAsia="fr-FR"/>
    </w:rPr>
  </w:style>
  <w:style w:type="character" w:customStyle="1" w:styleId="HeaderChar">
    <w:name w:val="Header Char"/>
    <w:basedOn w:val="DefaultParagraphFont"/>
    <w:link w:val="Header"/>
    <w:uiPriority w:val="99"/>
    <w:rsid w:val="00E84844"/>
  </w:style>
  <w:style w:type="paragraph" w:styleId="Footer">
    <w:name w:val="footer"/>
    <w:basedOn w:val="Normal"/>
    <w:link w:val="FooterChar"/>
    <w:uiPriority w:val="99"/>
    <w:unhideWhenUsed/>
    <w:rsid w:val="00E84844"/>
    <w:pPr>
      <w:tabs>
        <w:tab w:val="center" w:pos="4536"/>
        <w:tab w:val="right" w:pos="9072"/>
      </w:tabs>
    </w:pPr>
    <w:rPr>
      <w:rFonts w:asciiTheme="minorHAnsi" w:eastAsiaTheme="minorEastAsia" w:hAnsiTheme="minorHAnsi" w:cstheme="minorBidi"/>
      <w:sz w:val="22"/>
      <w:szCs w:val="22"/>
      <w:lang w:val="en-GB" w:eastAsia="fr-FR"/>
    </w:rPr>
  </w:style>
  <w:style w:type="character" w:customStyle="1" w:styleId="FooterChar">
    <w:name w:val="Footer Char"/>
    <w:basedOn w:val="DefaultParagraphFont"/>
    <w:link w:val="Footer"/>
    <w:uiPriority w:val="99"/>
    <w:rsid w:val="00E84844"/>
  </w:style>
  <w:style w:type="character" w:styleId="Emphasis">
    <w:name w:val="Emphasis"/>
    <w:basedOn w:val="DefaultParagraphFont"/>
    <w:uiPriority w:val="20"/>
    <w:qFormat/>
    <w:rsid w:val="00D24580"/>
    <w:rPr>
      <w:i/>
      <w:iCs/>
    </w:rPr>
  </w:style>
  <w:style w:type="character" w:styleId="Strong">
    <w:name w:val="Strong"/>
    <w:basedOn w:val="DefaultParagraphFont"/>
    <w:uiPriority w:val="22"/>
    <w:qFormat/>
    <w:rsid w:val="00D24580"/>
    <w:rPr>
      <w:b/>
      <w:bCs/>
    </w:rPr>
  </w:style>
  <w:style w:type="paragraph" w:styleId="NoSpacing">
    <w:name w:val="No Spacing"/>
    <w:uiPriority w:val="1"/>
    <w:qFormat/>
    <w:rsid w:val="00D94F50"/>
    <w:pPr>
      <w:spacing w:after="0" w:line="240" w:lineRule="auto"/>
    </w:pPr>
  </w:style>
  <w:style w:type="character" w:customStyle="1" w:styleId="Heading1Char">
    <w:name w:val="Heading 1 Char"/>
    <w:basedOn w:val="DefaultParagraphFont"/>
    <w:link w:val="Heading1"/>
    <w:uiPriority w:val="9"/>
    <w:rsid w:val="005C46C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F6C7B"/>
    <w:rPr>
      <w:color w:val="0000FF"/>
      <w:u w:val="single"/>
    </w:rPr>
  </w:style>
  <w:style w:type="paragraph" w:customStyle="1" w:styleId="Default">
    <w:name w:val="Default"/>
    <w:rsid w:val="00790AB6"/>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3Char">
    <w:name w:val="Heading 3 Char"/>
    <w:basedOn w:val="DefaultParagraphFont"/>
    <w:link w:val="Heading3"/>
    <w:uiPriority w:val="9"/>
    <w:semiHidden/>
    <w:rsid w:val="00555021"/>
    <w:rPr>
      <w:rFonts w:asciiTheme="majorHAnsi" w:eastAsiaTheme="majorEastAsia" w:hAnsiTheme="majorHAnsi" w:cstheme="majorBidi"/>
      <w:b/>
      <w:bCs/>
      <w:color w:val="4F81BD" w:themeColor="accent1"/>
      <w:lang w:val="en-GB"/>
    </w:rPr>
  </w:style>
  <w:style w:type="paragraph" w:customStyle="1" w:styleId="Footnotes">
    <w:name w:val="Footnotes"/>
    <w:basedOn w:val="FootnoteText"/>
    <w:qFormat/>
    <w:rsid w:val="00325D33"/>
    <w:pPr>
      <w:jc w:val="both"/>
    </w:pPr>
    <w:rPr>
      <w:rFonts w:ascii="Times New Roman" w:hAnsi="Times New Roman" w:cs="Times New Roman"/>
      <w:sz w:val="18"/>
      <w:szCs w:val="18"/>
    </w:rPr>
  </w:style>
  <w:style w:type="paragraph" w:styleId="NormalWeb">
    <w:name w:val="Normal (Web)"/>
    <w:basedOn w:val="Normal"/>
    <w:uiPriority w:val="99"/>
    <w:unhideWhenUsed/>
    <w:rsid w:val="001831F5"/>
    <w:pPr>
      <w:spacing w:after="200" w:line="276" w:lineRule="auto"/>
    </w:pPr>
    <w:rPr>
      <w:rFonts w:eastAsiaTheme="minorEastAsia"/>
      <w:lang w:val="en-GB" w:eastAsia="fr-FR"/>
    </w:rPr>
  </w:style>
  <w:style w:type="character" w:styleId="CommentReference">
    <w:name w:val="annotation reference"/>
    <w:basedOn w:val="DefaultParagraphFont"/>
    <w:uiPriority w:val="99"/>
    <w:semiHidden/>
    <w:unhideWhenUsed/>
    <w:rsid w:val="006E3537"/>
    <w:rPr>
      <w:sz w:val="16"/>
      <w:szCs w:val="16"/>
    </w:rPr>
  </w:style>
  <w:style w:type="paragraph" w:styleId="CommentText">
    <w:name w:val="annotation text"/>
    <w:basedOn w:val="Normal"/>
    <w:link w:val="CommentTextChar"/>
    <w:uiPriority w:val="99"/>
    <w:semiHidden/>
    <w:unhideWhenUsed/>
    <w:rsid w:val="006E3537"/>
    <w:pPr>
      <w:spacing w:after="200"/>
    </w:pPr>
    <w:rPr>
      <w:rFonts w:asciiTheme="minorHAnsi" w:eastAsiaTheme="minorEastAsia" w:hAnsiTheme="minorHAnsi" w:cstheme="minorBidi"/>
      <w:sz w:val="20"/>
      <w:szCs w:val="20"/>
      <w:lang w:val="en-GB" w:eastAsia="fr-FR"/>
    </w:rPr>
  </w:style>
  <w:style w:type="character" w:customStyle="1" w:styleId="CommentTextChar">
    <w:name w:val="Comment Text Char"/>
    <w:basedOn w:val="DefaultParagraphFont"/>
    <w:link w:val="CommentText"/>
    <w:uiPriority w:val="99"/>
    <w:semiHidden/>
    <w:rsid w:val="006E3537"/>
    <w:rPr>
      <w:sz w:val="20"/>
      <w:szCs w:val="20"/>
      <w:lang w:val="en-GB"/>
    </w:rPr>
  </w:style>
  <w:style w:type="paragraph" w:styleId="CommentSubject">
    <w:name w:val="annotation subject"/>
    <w:basedOn w:val="CommentText"/>
    <w:next w:val="CommentText"/>
    <w:link w:val="CommentSubjectChar"/>
    <w:uiPriority w:val="99"/>
    <w:semiHidden/>
    <w:unhideWhenUsed/>
    <w:rsid w:val="006E3537"/>
    <w:rPr>
      <w:b/>
      <w:bCs/>
    </w:rPr>
  </w:style>
  <w:style w:type="character" w:customStyle="1" w:styleId="CommentSubjectChar">
    <w:name w:val="Comment Subject Char"/>
    <w:basedOn w:val="CommentTextChar"/>
    <w:link w:val="CommentSubject"/>
    <w:uiPriority w:val="99"/>
    <w:semiHidden/>
    <w:rsid w:val="006E3537"/>
    <w:rPr>
      <w:b/>
      <w:bCs/>
      <w:sz w:val="20"/>
      <w:szCs w:val="20"/>
      <w:lang w:val="en-GB"/>
    </w:rPr>
  </w:style>
  <w:style w:type="paragraph" w:styleId="Revision">
    <w:name w:val="Revision"/>
    <w:hidden/>
    <w:uiPriority w:val="99"/>
    <w:semiHidden/>
    <w:rsid w:val="003532ED"/>
    <w:pPr>
      <w:spacing w:after="0" w:line="240" w:lineRule="auto"/>
    </w:pPr>
    <w:rPr>
      <w:lang w:val="en-GB"/>
    </w:rPr>
  </w:style>
  <w:style w:type="character" w:customStyle="1" w:styleId="il">
    <w:name w:val="il"/>
    <w:basedOn w:val="DefaultParagraphFont"/>
    <w:rsid w:val="00EE3603"/>
  </w:style>
  <w:style w:type="character" w:styleId="UnresolvedMention">
    <w:name w:val="Unresolved Mention"/>
    <w:basedOn w:val="DefaultParagraphFont"/>
    <w:uiPriority w:val="99"/>
    <w:semiHidden/>
    <w:unhideWhenUsed/>
    <w:rsid w:val="0005647E"/>
    <w:rPr>
      <w:color w:val="605E5C"/>
      <w:shd w:val="clear" w:color="auto" w:fill="E1DFDD"/>
    </w:rPr>
  </w:style>
  <w:style w:type="character" w:customStyle="1" w:styleId="contribdegrees">
    <w:name w:val="contribdegrees"/>
    <w:basedOn w:val="DefaultParagraphFont"/>
    <w:rsid w:val="004607B3"/>
  </w:style>
  <w:style w:type="character" w:styleId="FollowedHyperlink">
    <w:name w:val="FollowedHyperlink"/>
    <w:basedOn w:val="DefaultParagraphFont"/>
    <w:uiPriority w:val="99"/>
    <w:semiHidden/>
    <w:unhideWhenUsed/>
    <w:rsid w:val="00775D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4948">
      <w:bodyDiv w:val="1"/>
      <w:marLeft w:val="0"/>
      <w:marRight w:val="0"/>
      <w:marTop w:val="0"/>
      <w:marBottom w:val="0"/>
      <w:divBdr>
        <w:top w:val="none" w:sz="0" w:space="0" w:color="auto"/>
        <w:left w:val="none" w:sz="0" w:space="0" w:color="auto"/>
        <w:bottom w:val="none" w:sz="0" w:space="0" w:color="auto"/>
        <w:right w:val="none" w:sz="0" w:space="0" w:color="auto"/>
      </w:divBdr>
    </w:div>
    <w:div w:id="24140770">
      <w:bodyDiv w:val="1"/>
      <w:marLeft w:val="0"/>
      <w:marRight w:val="0"/>
      <w:marTop w:val="0"/>
      <w:marBottom w:val="0"/>
      <w:divBdr>
        <w:top w:val="none" w:sz="0" w:space="0" w:color="auto"/>
        <w:left w:val="none" w:sz="0" w:space="0" w:color="auto"/>
        <w:bottom w:val="none" w:sz="0" w:space="0" w:color="auto"/>
        <w:right w:val="none" w:sz="0" w:space="0" w:color="auto"/>
      </w:divBdr>
    </w:div>
    <w:div w:id="30763736">
      <w:bodyDiv w:val="1"/>
      <w:marLeft w:val="0"/>
      <w:marRight w:val="0"/>
      <w:marTop w:val="0"/>
      <w:marBottom w:val="0"/>
      <w:divBdr>
        <w:top w:val="none" w:sz="0" w:space="0" w:color="auto"/>
        <w:left w:val="none" w:sz="0" w:space="0" w:color="auto"/>
        <w:bottom w:val="none" w:sz="0" w:space="0" w:color="auto"/>
        <w:right w:val="none" w:sz="0" w:space="0" w:color="auto"/>
      </w:divBdr>
    </w:div>
    <w:div w:id="42482597">
      <w:bodyDiv w:val="1"/>
      <w:marLeft w:val="0"/>
      <w:marRight w:val="0"/>
      <w:marTop w:val="0"/>
      <w:marBottom w:val="0"/>
      <w:divBdr>
        <w:top w:val="none" w:sz="0" w:space="0" w:color="auto"/>
        <w:left w:val="none" w:sz="0" w:space="0" w:color="auto"/>
        <w:bottom w:val="none" w:sz="0" w:space="0" w:color="auto"/>
        <w:right w:val="none" w:sz="0" w:space="0" w:color="auto"/>
      </w:divBdr>
    </w:div>
    <w:div w:id="48770486">
      <w:bodyDiv w:val="1"/>
      <w:marLeft w:val="0"/>
      <w:marRight w:val="0"/>
      <w:marTop w:val="0"/>
      <w:marBottom w:val="0"/>
      <w:divBdr>
        <w:top w:val="none" w:sz="0" w:space="0" w:color="auto"/>
        <w:left w:val="none" w:sz="0" w:space="0" w:color="auto"/>
        <w:bottom w:val="none" w:sz="0" w:space="0" w:color="auto"/>
        <w:right w:val="none" w:sz="0" w:space="0" w:color="auto"/>
      </w:divBdr>
    </w:div>
    <w:div w:id="51008392">
      <w:bodyDiv w:val="1"/>
      <w:marLeft w:val="0"/>
      <w:marRight w:val="0"/>
      <w:marTop w:val="0"/>
      <w:marBottom w:val="0"/>
      <w:divBdr>
        <w:top w:val="none" w:sz="0" w:space="0" w:color="auto"/>
        <w:left w:val="none" w:sz="0" w:space="0" w:color="auto"/>
        <w:bottom w:val="none" w:sz="0" w:space="0" w:color="auto"/>
        <w:right w:val="none" w:sz="0" w:space="0" w:color="auto"/>
      </w:divBdr>
    </w:div>
    <w:div w:id="66466770">
      <w:bodyDiv w:val="1"/>
      <w:marLeft w:val="0"/>
      <w:marRight w:val="0"/>
      <w:marTop w:val="0"/>
      <w:marBottom w:val="0"/>
      <w:divBdr>
        <w:top w:val="none" w:sz="0" w:space="0" w:color="auto"/>
        <w:left w:val="none" w:sz="0" w:space="0" w:color="auto"/>
        <w:bottom w:val="none" w:sz="0" w:space="0" w:color="auto"/>
        <w:right w:val="none" w:sz="0" w:space="0" w:color="auto"/>
      </w:divBdr>
    </w:div>
    <w:div w:id="67922314">
      <w:bodyDiv w:val="1"/>
      <w:marLeft w:val="0"/>
      <w:marRight w:val="0"/>
      <w:marTop w:val="0"/>
      <w:marBottom w:val="0"/>
      <w:divBdr>
        <w:top w:val="none" w:sz="0" w:space="0" w:color="auto"/>
        <w:left w:val="none" w:sz="0" w:space="0" w:color="auto"/>
        <w:bottom w:val="none" w:sz="0" w:space="0" w:color="auto"/>
        <w:right w:val="none" w:sz="0" w:space="0" w:color="auto"/>
      </w:divBdr>
    </w:div>
    <w:div w:id="68503300">
      <w:bodyDiv w:val="1"/>
      <w:marLeft w:val="0"/>
      <w:marRight w:val="0"/>
      <w:marTop w:val="0"/>
      <w:marBottom w:val="0"/>
      <w:divBdr>
        <w:top w:val="none" w:sz="0" w:space="0" w:color="auto"/>
        <w:left w:val="none" w:sz="0" w:space="0" w:color="auto"/>
        <w:bottom w:val="none" w:sz="0" w:space="0" w:color="auto"/>
        <w:right w:val="none" w:sz="0" w:space="0" w:color="auto"/>
      </w:divBdr>
    </w:div>
    <w:div w:id="72707244">
      <w:bodyDiv w:val="1"/>
      <w:marLeft w:val="0"/>
      <w:marRight w:val="0"/>
      <w:marTop w:val="0"/>
      <w:marBottom w:val="0"/>
      <w:divBdr>
        <w:top w:val="none" w:sz="0" w:space="0" w:color="auto"/>
        <w:left w:val="none" w:sz="0" w:space="0" w:color="auto"/>
        <w:bottom w:val="none" w:sz="0" w:space="0" w:color="auto"/>
        <w:right w:val="none" w:sz="0" w:space="0" w:color="auto"/>
      </w:divBdr>
    </w:div>
    <w:div w:id="73866740">
      <w:bodyDiv w:val="1"/>
      <w:marLeft w:val="0"/>
      <w:marRight w:val="0"/>
      <w:marTop w:val="0"/>
      <w:marBottom w:val="0"/>
      <w:divBdr>
        <w:top w:val="none" w:sz="0" w:space="0" w:color="auto"/>
        <w:left w:val="none" w:sz="0" w:space="0" w:color="auto"/>
        <w:bottom w:val="none" w:sz="0" w:space="0" w:color="auto"/>
        <w:right w:val="none" w:sz="0" w:space="0" w:color="auto"/>
      </w:divBdr>
    </w:div>
    <w:div w:id="73937396">
      <w:bodyDiv w:val="1"/>
      <w:marLeft w:val="0"/>
      <w:marRight w:val="0"/>
      <w:marTop w:val="0"/>
      <w:marBottom w:val="0"/>
      <w:divBdr>
        <w:top w:val="none" w:sz="0" w:space="0" w:color="auto"/>
        <w:left w:val="none" w:sz="0" w:space="0" w:color="auto"/>
        <w:bottom w:val="none" w:sz="0" w:space="0" w:color="auto"/>
        <w:right w:val="none" w:sz="0" w:space="0" w:color="auto"/>
      </w:divBdr>
    </w:div>
    <w:div w:id="74672741">
      <w:bodyDiv w:val="1"/>
      <w:marLeft w:val="0"/>
      <w:marRight w:val="0"/>
      <w:marTop w:val="0"/>
      <w:marBottom w:val="0"/>
      <w:divBdr>
        <w:top w:val="none" w:sz="0" w:space="0" w:color="auto"/>
        <w:left w:val="none" w:sz="0" w:space="0" w:color="auto"/>
        <w:bottom w:val="none" w:sz="0" w:space="0" w:color="auto"/>
        <w:right w:val="none" w:sz="0" w:space="0" w:color="auto"/>
      </w:divBdr>
    </w:div>
    <w:div w:id="74936054">
      <w:bodyDiv w:val="1"/>
      <w:marLeft w:val="0"/>
      <w:marRight w:val="0"/>
      <w:marTop w:val="0"/>
      <w:marBottom w:val="0"/>
      <w:divBdr>
        <w:top w:val="none" w:sz="0" w:space="0" w:color="auto"/>
        <w:left w:val="none" w:sz="0" w:space="0" w:color="auto"/>
        <w:bottom w:val="none" w:sz="0" w:space="0" w:color="auto"/>
        <w:right w:val="none" w:sz="0" w:space="0" w:color="auto"/>
      </w:divBdr>
    </w:div>
    <w:div w:id="84689047">
      <w:bodyDiv w:val="1"/>
      <w:marLeft w:val="0"/>
      <w:marRight w:val="0"/>
      <w:marTop w:val="0"/>
      <w:marBottom w:val="0"/>
      <w:divBdr>
        <w:top w:val="none" w:sz="0" w:space="0" w:color="auto"/>
        <w:left w:val="none" w:sz="0" w:space="0" w:color="auto"/>
        <w:bottom w:val="none" w:sz="0" w:space="0" w:color="auto"/>
        <w:right w:val="none" w:sz="0" w:space="0" w:color="auto"/>
      </w:divBdr>
    </w:div>
    <w:div w:id="91898981">
      <w:bodyDiv w:val="1"/>
      <w:marLeft w:val="0"/>
      <w:marRight w:val="0"/>
      <w:marTop w:val="0"/>
      <w:marBottom w:val="0"/>
      <w:divBdr>
        <w:top w:val="none" w:sz="0" w:space="0" w:color="auto"/>
        <w:left w:val="none" w:sz="0" w:space="0" w:color="auto"/>
        <w:bottom w:val="none" w:sz="0" w:space="0" w:color="auto"/>
        <w:right w:val="none" w:sz="0" w:space="0" w:color="auto"/>
      </w:divBdr>
    </w:div>
    <w:div w:id="94449712">
      <w:bodyDiv w:val="1"/>
      <w:marLeft w:val="0"/>
      <w:marRight w:val="0"/>
      <w:marTop w:val="0"/>
      <w:marBottom w:val="0"/>
      <w:divBdr>
        <w:top w:val="none" w:sz="0" w:space="0" w:color="auto"/>
        <w:left w:val="none" w:sz="0" w:space="0" w:color="auto"/>
        <w:bottom w:val="none" w:sz="0" w:space="0" w:color="auto"/>
        <w:right w:val="none" w:sz="0" w:space="0" w:color="auto"/>
      </w:divBdr>
    </w:div>
    <w:div w:id="95173602">
      <w:bodyDiv w:val="1"/>
      <w:marLeft w:val="0"/>
      <w:marRight w:val="0"/>
      <w:marTop w:val="0"/>
      <w:marBottom w:val="0"/>
      <w:divBdr>
        <w:top w:val="none" w:sz="0" w:space="0" w:color="auto"/>
        <w:left w:val="none" w:sz="0" w:space="0" w:color="auto"/>
        <w:bottom w:val="none" w:sz="0" w:space="0" w:color="auto"/>
        <w:right w:val="none" w:sz="0" w:space="0" w:color="auto"/>
      </w:divBdr>
    </w:div>
    <w:div w:id="99223133">
      <w:bodyDiv w:val="1"/>
      <w:marLeft w:val="0"/>
      <w:marRight w:val="0"/>
      <w:marTop w:val="0"/>
      <w:marBottom w:val="0"/>
      <w:divBdr>
        <w:top w:val="none" w:sz="0" w:space="0" w:color="auto"/>
        <w:left w:val="none" w:sz="0" w:space="0" w:color="auto"/>
        <w:bottom w:val="none" w:sz="0" w:space="0" w:color="auto"/>
        <w:right w:val="none" w:sz="0" w:space="0" w:color="auto"/>
      </w:divBdr>
    </w:div>
    <w:div w:id="107625636">
      <w:bodyDiv w:val="1"/>
      <w:marLeft w:val="0"/>
      <w:marRight w:val="0"/>
      <w:marTop w:val="0"/>
      <w:marBottom w:val="0"/>
      <w:divBdr>
        <w:top w:val="none" w:sz="0" w:space="0" w:color="auto"/>
        <w:left w:val="none" w:sz="0" w:space="0" w:color="auto"/>
        <w:bottom w:val="none" w:sz="0" w:space="0" w:color="auto"/>
        <w:right w:val="none" w:sz="0" w:space="0" w:color="auto"/>
      </w:divBdr>
    </w:div>
    <w:div w:id="109470089">
      <w:bodyDiv w:val="1"/>
      <w:marLeft w:val="0"/>
      <w:marRight w:val="0"/>
      <w:marTop w:val="0"/>
      <w:marBottom w:val="0"/>
      <w:divBdr>
        <w:top w:val="none" w:sz="0" w:space="0" w:color="auto"/>
        <w:left w:val="none" w:sz="0" w:space="0" w:color="auto"/>
        <w:bottom w:val="none" w:sz="0" w:space="0" w:color="auto"/>
        <w:right w:val="none" w:sz="0" w:space="0" w:color="auto"/>
      </w:divBdr>
    </w:div>
    <w:div w:id="109977498">
      <w:bodyDiv w:val="1"/>
      <w:marLeft w:val="0"/>
      <w:marRight w:val="0"/>
      <w:marTop w:val="0"/>
      <w:marBottom w:val="0"/>
      <w:divBdr>
        <w:top w:val="none" w:sz="0" w:space="0" w:color="auto"/>
        <w:left w:val="none" w:sz="0" w:space="0" w:color="auto"/>
        <w:bottom w:val="none" w:sz="0" w:space="0" w:color="auto"/>
        <w:right w:val="none" w:sz="0" w:space="0" w:color="auto"/>
      </w:divBdr>
    </w:div>
    <w:div w:id="112067182">
      <w:bodyDiv w:val="1"/>
      <w:marLeft w:val="0"/>
      <w:marRight w:val="0"/>
      <w:marTop w:val="0"/>
      <w:marBottom w:val="0"/>
      <w:divBdr>
        <w:top w:val="none" w:sz="0" w:space="0" w:color="auto"/>
        <w:left w:val="none" w:sz="0" w:space="0" w:color="auto"/>
        <w:bottom w:val="none" w:sz="0" w:space="0" w:color="auto"/>
        <w:right w:val="none" w:sz="0" w:space="0" w:color="auto"/>
      </w:divBdr>
    </w:div>
    <w:div w:id="113180836">
      <w:bodyDiv w:val="1"/>
      <w:marLeft w:val="0"/>
      <w:marRight w:val="0"/>
      <w:marTop w:val="0"/>
      <w:marBottom w:val="0"/>
      <w:divBdr>
        <w:top w:val="none" w:sz="0" w:space="0" w:color="auto"/>
        <w:left w:val="none" w:sz="0" w:space="0" w:color="auto"/>
        <w:bottom w:val="none" w:sz="0" w:space="0" w:color="auto"/>
        <w:right w:val="none" w:sz="0" w:space="0" w:color="auto"/>
      </w:divBdr>
    </w:div>
    <w:div w:id="126436587">
      <w:bodyDiv w:val="1"/>
      <w:marLeft w:val="0"/>
      <w:marRight w:val="0"/>
      <w:marTop w:val="0"/>
      <w:marBottom w:val="0"/>
      <w:divBdr>
        <w:top w:val="none" w:sz="0" w:space="0" w:color="auto"/>
        <w:left w:val="none" w:sz="0" w:space="0" w:color="auto"/>
        <w:bottom w:val="none" w:sz="0" w:space="0" w:color="auto"/>
        <w:right w:val="none" w:sz="0" w:space="0" w:color="auto"/>
      </w:divBdr>
    </w:div>
    <w:div w:id="131337112">
      <w:bodyDiv w:val="1"/>
      <w:marLeft w:val="0"/>
      <w:marRight w:val="0"/>
      <w:marTop w:val="0"/>
      <w:marBottom w:val="0"/>
      <w:divBdr>
        <w:top w:val="none" w:sz="0" w:space="0" w:color="auto"/>
        <w:left w:val="none" w:sz="0" w:space="0" w:color="auto"/>
        <w:bottom w:val="none" w:sz="0" w:space="0" w:color="auto"/>
        <w:right w:val="none" w:sz="0" w:space="0" w:color="auto"/>
      </w:divBdr>
    </w:div>
    <w:div w:id="135072579">
      <w:bodyDiv w:val="1"/>
      <w:marLeft w:val="0"/>
      <w:marRight w:val="0"/>
      <w:marTop w:val="0"/>
      <w:marBottom w:val="0"/>
      <w:divBdr>
        <w:top w:val="none" w:sz="0" w:space="0" w:color="auto"/>
        <w:left w:val="none" w:sz="0" w:space="0" w:color="auto"/>
        <w:bottom w:val="none" w:sz="0" w:space="0" w:color="auto"/>
        <w:right w:val="none" w:sz="0" w:space="0" w:color="auto"/>
      </w:divBdr>
    </w:div>
    <w:div w:id="153841028">
      <w:bodyDiv w:val="1"/>
      <w:marLeft w:val="0"/>
      <w:marRight w:val="0"/>
      <w:marTop w:val="0"/>
      <w:marBottom w:val="0"/>
      <w:divBdr>
        <w:top w:val="none" w:sz="0" w:space="0" w:color="auto"/>
        <w:left w:val="none" w:sz="0" w:space="0" w:color="auto"/>
        <w:bottom w:val="none" w:sz="0" w:space="0" w:color="auto"/>
        <w:right w:val="none" w:sz="0" w:space="0" w:color="auto"/>
      </w:divBdr>
    </w:div>
    <w:div w:id="153959892">
      <w:bodyDiv w:val="1"/>
      <w:marLeft w:val="0"/>
      <w:marRight w:val="0"/>
      <w:marTop w:val="0"/>
      <w:marBottom w:val="0"/>
      <w:divBdr>
        <w:top w:val="none" w:sz="0" w:space="0" w:color="auto"/>
        <w:left w:val="none" w:sz="0" w:space="0" w:color="auto"/>
        <w:bottom w:val="none" w:sz="0" w:space="0" w:color="auto"/>
        <w:right w:val="none" w:sz="0" w:space="0" w:color="auto"/>
      </w:divBdr>
    </w:div>
    <w:div w:id="159779507">
      <w:bodyDiv w:val="1"/>
      <w:marLeft w:val="0"/>
      <w:marRight w:val="0"/>
      <w:marTop w:val="0"/>
      <w:marBottom w:val="0"/>
      <w:divBdr>
        <w:top w:val="none" w:sz="0" w:space="0" w:color="auto"/>
        <w:left w:val="none" w:sz="0" w:space="0" w:color="auto"/>
        <w:bottom w:val="none" w:sz="0" w:space="0" w:color="auto"/>
        <w:right w:val="none" w:sz="0" w:space="0" w:color="auto"/>
      </w:divBdr>
    </w:div>
    <w:div w:id="160658251">
      <w:bodyDiv w:val="1"/>
      <w:marLeft w:val="0"/>
      <w:marRight w:val="0"/>
      <w:marTop w:val="0"/>
      <w:marBottom w:val="0"/>
      <w:divBdr>
        <w:top w:val="none" w:sz="0" w:space="0" w:color="auto"/>
        <w:left w:val="none" w:sz="0" w:space="0" w:color="auto"/>
        <w:bottom w:val="none" w:sz="0" w:space="0" w:color="auto"/>
        <w:right w:val="none" w:sz="0" w:space="0" w:color="auto"/>
      </w:divBdr>
    </w:div>
    <w:div w:id="172452304">
      <w:bodyDiv w:val="1"/>
      <w:marLeft w:val="0"/>
      <w:marRight w:val="0"/>
      <w:marTop w:val="0"/>
      <w:marBottom w:val="0"/>
      <w:divBdr>
        <w:top w:val="none" w:sz="0" w:space="0" w:color="auto"/>
        <w:left w:val="none" w:sz="0" w:space="0" w:color="auto"/>
        <w:bottom w:val="none" w:sz="0" w:space="0" w:color="auto"/>
        <w:right w:val="none" w:sz="0" w:space="0" w:color="auto"/>
      </w:divBdr>
    </w:div>
    <w:div w:id="174730429">
      <w:bodyDiv w:val="1"/>
      <w:marLeft w:val="0"/>
      <w:marRight w:val="0"/>
      <w:marTop w:val="0"/>
      <w:marBottom w:val="0"/>
      <w:divBdr>
        <w:top w:val="none" w:sz="0" w:space="0" w:color="auto"/>
        <w:left w:val="none" w:sz="0" w:space="0" w:color="auto"/>
        <w:bottom w:val="none" w:sz="0" w:space="0" w:color="auto"/>
        <w:right w:val="none" w:sz="0" w:space="0" w:color="auto"/>
      </w:divBdr>
    </w:div>
    <w:div w:id="193273237">
      <w:bodyDiv w:val="1"/>
      <w:marLeft w:val="0"/>
      <w:marRight w:val="0"/>
      <w:marTop w:val="0"/>
      <w:marBottom w:val="0"/>
      <w:divBdr>
        <w:top w:val="none" w:sz="0" w:space="0" w:color="auto"/>
        <w:left w:val="none" w:sz="0" w:space="0" w:color="auto"/>
        <w:bottom w:val="none" w:sz="0" w:space="0" w:color="auto"/>
        <w:right w:val="none" w:sz="0" w:space="0" w:color="auto"/>
      </w:divBdr>
      <w:divsChild>
        <w:div w:id="1198615426">
          <w:marLeft w:val="0"/>
          <w:marRight w:val="0"/>
          <w:marTop w:val="0"/>
          <w:marBottom w:val="0"/>
          <w:divBdr>
            <w:top w:val="none" w:sz="0" w:space="0" w:color="auto"/>
            <w:left w:val="none" w:sz="0" w:space="0" w:color="auto"/>
            <w:bottom w:val="none" w:sz="0" w:space="0" w:color="auto"/>
            <w:right w:val="none" w:sz="0" w:space="0" w:color="auto"/>
          </w:divBdr>
          <w:divsChild>
            <w:div w:id="674384316">
              <w:marLeft w:val="0"/>
              <w:marRight w:val="0"/>
              <w:marTop w:val="0"/>
              <w:marBottom w:val="0"/>
              <w:divBdr>
                <w:top w:val="none" w:sz="0" w:space="0" w:color="auto"/>
                <w:left w:val="none" w:sz="0" w:space="0" w:color="auto"/>
                <w:bottom w:val="none" w:sz="0" w:space="0" w:color="auto"/>
                <w:right w:val="none" w:sz="0" w:space="0" w:color="auto"/>
              </w:divBdr>
              <w:divsChild>
                <w:div w:id="853299337">
                  <w:marLeft w:val="0"/>
                  <w:marRight w:val="0"/>
                  <w:marTop w:val="0"/>
                  <w:marBottom w:val="0"/>
                  <w:divBdr>
                    <w:top w:val="none" w:sz="0" w:space="0" w:color="auto"/>
                    <w:left w:val="none" w:sz="0" w:space="0" w:color="auto"/>
                    <w:bottom w:val="none" w:sz="0" w:space="0" w:color="auto"/>
                    <w:right w:val="none" w:sz="0" w:space="0" w:color="auto"/>
                  </w:divBdr>
                  <w:divsChild>
                    <w:div w:id="14511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0376">
      <w:bodyDiv w:val="1"/>
      <w:marLeft w:val="0"/>
      <w:marRight w:val="0"/>
      <w:marTop w:val="0"/>
      <w:marBottom w:val="0"/>
      <w:divBdr>
        <w:top w:val="none" w:sz="0" w:space="0" w:color="auto"/>
        <w:left w:val="none" w:sz="0" w:space="0" w:color="auto"/>
        <w:bottom w:val="none" w:sz="0" w:space="0" w:color="auto"/>
        <w:right w:val="none" w:sz="0" w:space="0" w:color="auto"/>
      </w:divBdr>
    </w:div>
    <w:div w:id="238903728">
      <w:bodyDiv w:val="1"/>
      <w:marLeft w:val="0"/>
      <w:marRight w:val="0"/>
      <w:marTop w:val="0"/>
      <w:marBottom w:val="0"/>
      <w:divBdr>
        <w:top w:val="none" w:sz="0" w:space="0" w:color="auto"/>
        <w:left w:val="none" w:sz="0" w:space="0" w:color="auto"/>
        <w:bottom w:val="none" w:sz="0" w:space="0" w:color="auto"/>
        <w:right w:val="none" w:sz="0" w:space="0" w:color="auto"/>
      </w:divBdr>
    </w:div>
    <w:div w:id="249508849">
      <w:bodyDiv w:val="1"/>
      <w:marLeft w:val="0"/>
      <w:marRight w:val="0"/>
      <w:marTop w:val="0"/>
      <w:marBottom w:val="0"/>
      <w:divBdr>
        <w:top w:val="none" w:sz="0" w:space="0" w:color="auto"/>
        <w:left w:val="none" w:sz="0" w:space="0" w:color="auto"/>
        <w:bottom w:val="none" w:sz="0" w:space="0" w:color="auto"/>
        <w:right w:val="none" w:sz="0" w:space="0" w:color="auto"/>
      </w:divBdr>
    </w:div>
    <w:div w:id="249973837">
      <w:bodyDiv w:val="1"/>
      <w:marLeft w:val="0"/>
      <w:marRight w:val="0"/>
      <w:marTop w:val="0"/>
      <w:marBottom w:val="0"/>
      <w:divBdr>
        <w:top w:val="none" w:sz="0" w:space="0" w:color="auto"/>
        <w:left w:val="none" w:sz="0" w:space="0" w:color="auto"/>
        <w:bottom w:val="none" w:sz="0" w:space="0" w:color="auto"/>
        <w:right w:val="none" w:sz="0" w:space="0" w:color="auto"/>
      </w:divBdr>
    </w:div>
    <w:div w:id="251403247">
      <w:bodyDiv w:val="1"/>
      <w:marLeft w:val="0"/>
      <w:marRight w:val="0"/>
      <w:marTop w:val="0"/>
      <w:marBottom w:val="0"/>
      <w:divBdr>
        <w:top w:val="none" w:sz="0" w:space="0" w:color="auto"/>
        <w:left w:val="none" w:sz="0" w:space="0" w:color="auto"/>
        <w:bottom w:val="none" w:sz="0" w:space="0" w:color="auto"/>
        <w:right w:val="none" w:sz="0" w:space="0" w:color="auto"/>
      </w:divBdr>
    </w:div>
    <w:div w:id="252327673">
      <w:bodyDiv w:val="1"/>
      <w:marLeft w:val="0"/>
      <w:marRight w:val="0"/>
      <w:marTop w:val="0"/>
      <w:marBottom w:val="0"/>
      <w:divBdr>
        <w:top w:val="none" w:sz="0" w:space="0" w:color="auto"/>
        <w:left w:val="none" w:sz="0" w:space="0" w:color="auto"/>
        <w:bottom w:val="none" w:sz="0" w:space="0" w:color="auto"/>
        <w:right w:val="none" w:sz="0" w:space="0" w:color="auto"/>
      </w:divBdr>
    </w:div>
    <w:div w:id="266430030">
      <w:bodyDiv w:val="1"/>
      <w:marLeft w:val="0"/>
      <w:marRight w:val="0"/>
      <w:marTop w:val="0"/>
      <w:marBottom w:val="0"/>
      <w:divBdr>
        <w:top w:val="none" w:sz="0" w:space="0" w:color="auto"/>
        <w:left w:val="none" w:sz="0" w:space="0" w:color="auto"/>
        <w:bottom w:val="none" w:sz="0" w:space="0" w:color="auto"/>
        <w:right w:val="none" w:sz="0" w:space="0" w:color="auto"/>
      </w:divBdr>
    </w:div>
    <w:div w:id="267854453">
      <w:bodyDiv w:val="1"/>
      <w:marLeft w:val="0"/>
      <w:marRight w:val="0"/>
      <w:marTop w:val="0"/>
      <w:marBottom w:val="0"/>
      <w:divBdr>
        <w:top w:val="none" w:sz="0" w:space="0" w:color="auto"/>
        <w:left w:val="none" w:sz="0" w:space="0" w:color="auto"/>
        <w:bottom w:val="none" w:sz="0" w:space="0" w:color="auto"/>
        <w:right w:val="none" w:sz="0" w:space="0" w:color="auto"/>
      </w:divBdr>
    </w:div>
    <w:div w:id="268856003">
      <w:bodyDiv w:val="1"/>
      <w:marLeft w:val="0"/>
      <w:marRight w:val="0"/>
      <w:marTop w:val="0"/>
      <w:marBottom w:val="0"/>
      <w:divBdr>
        <w:top w:val="none" w:sz="0" w:space="0" w:color="auto"/>
        <w:left w:val="none" w:sz="0" w:space="0" w:color="auto"/>
        <w:bottom w:val="none" w:sz="0" w:space="0" w:color="auto"/>
        <w:right w:val="none" w:sz="0" w:space="0" w:color="auto"/>
      </w:divBdr>
    </w:div>
    <w:div w:id="272785575">
      <w:bodyDiv w:val="1"/>
      <w:marLeft w:val="0"/>
      <w:marRight w:val="0"/>
      <w:marTop w:val="0"/>
      <w:marBottom w:val="0"/>
      <w:divBdr>
        <w:top w:val="none" w:sz="0" w:space="0" w:color="auto"/>
        <w:left w:val="none" w:sz="0" w:space="0" w:color="auto"/>
        <w:bottom w:val="none" w:sz="0" w:space="0" w:color="auto"/>
        <w:right w:val="none" w:sz="0" w:space="0" w:color="auto"/>
      </w:divBdr>
    </w:div>
    <w:div w:id="284166338">
      <w:bodyDiv w:val="1"/>
      <w:marLeft w:val="0"/>
      <w:marRight w:val="0"/>
      <w:marTop w:val="0"/>
      <w:marBottom w:val="0"/>
      <w:divBdr>
        <w:top w:val="none" w:sz="0" w:space="0" w:color="auto"/>
        <w:left w:val="none" w:sz="0" w:space="0" w:color="auto"/>
        <w:bottom w:val="none" w:sz="0" w:space="0" w:color="auto"/>
        <w:right w:val="none" w:sz="0" w:space="0" w:color="auto"/>
      </w:divBdr>
    </w:div>
    <w:div w:id="285627579">
      <w:bodyDiv w:val="1"/>
      <w:marLeft w:val="0"/>
      <w:marRight w:val="0"/>
      <w:marTop w:val="0"/>
      <w:marBottom w:val="0"/>
      <w:divBdr>
        <w:top w:val="none" w:sz="0" w:space="0" w:color="auto"/>
        <w:left w:val="none" w:sz="0" w:space="0" w:color="auto"/>
        <w:bottom w:val="none" w:sz="0" w:space="0" w:color="auto"/>
        <w:right w:val="none" w:sz="0" w:space="0" w:color="auto"/>
      </w:divBdr>
    </w:div>
    <w:div w:id="291374223">
      <w:bodyDiv w:val="1"/>
      <w:marLeft w:val="0"/>
      <w:marRight w:val="0"/>
      <w:marTop w:val="0"/>
      <w:marBottom w:val="0"/>
      <w:divBdr>
        <w:top w:val="none" w:sz="0" w:space="0" w:color="auto"/>
        <w:left w:val="none" w:sz="0" w:space="0" w:color="auto"/>
        <w:bottom w:val="none" w:sz="0" w:space="0" w:color="auto"/>
        <w:right w:val="none" w:sz="0" w:space="0" w:color="auto"/>
      </w:divBdr>
    </w:div>
    <w:div w:id="294798241">
      <w:bodyDiv w:val="1"/>
      <w:marLeft w:val="0"/>
      <w:marRight w:val="0"/>
      <w:marTop w:val="0"/>
      <w:marBottom w:val="0"/>
      <w:divBdr>
        <w:top w:val="none" w:sz="0" w:space="0" w:color="auto"/>
        <w:left w:val="none" w:sz="0" w:space="0" w:color="auto"/>
        <w:bottom w:val="none" w:sz="0" w:space="0" w:color="auto"/>
        <w:right w:val="none" w:sz="0" w:space="0" w:color="auto"/>
      </w:divBdr>
    </w:div>
    <w:div w:id="302544283">
      <w:bodyDiv w:val="1"/>
      <w:marLeft w:val="0"/>
      <w:marRight w:val="0"/>
      <w:marTop w:val="0"/>
      <w:marBottom w:val="0"/>
      <w:divBdr>
        <w:top w:val="none" w:sz="0" w:space="0" w:color="auto"/>
        <w:left w:val="none" w:sz="0" w:space="0" w:color="auto"/>
        <w:bottom w:val="none" w:sz="0" w:space="0" w:color="auto"/>
        <w:right w:val="none" w:sz="0" w:space="0" w:color="auto"/>
      </w:divBdr>
    </w:div>
    <w:div w:id="302925525">
      <w:bodyDiv w:val="1"/>
      <w:marLeft w:val="0"/>
      <w:marRight w:val="0"/>
      <w:marTop w:val="0"/>
      <w:marBottom w:val="0"/>
      <w:divBdr>
        <w:top w:val="none" w:sz="0" w:space="0" w:color="auto"/>
        <w:left w:val="none" w:sz="0" w:space="0" w:color="auto"/>
        <w:bottom w:val="none" w:sz="0" w:space="0" w:color="auto"/>
        <w:right w:val="none" w:sz="0" w:space="0" w:color="auto"/>
      </w:divBdr>
    </w:div>
    <w:div w:id="303968730">
      <w:bodyDiv w:val="1"/>
      <w:marLeft w:val="0"/>
      <w:marRight w:val="0"/>
      <w:marTop w:val="0"/>
      <w:marBottom w:val="0"/>
      <w:divBdr>
        <w:top w:val="none" w:sz="0" w:space="0" w:color="auto"/>
        <w:left w:val="none" w:sz="0" w:space="0" w:color="auto"/>
        <w:bottom w:val="none" w:sz="0" w:space="0" w:color="auto"/>
        <w:right w:val="none" w:sz="0" w:space="0" w:color="auto"/>
      </w:divBdr>
    </w:div>
    <w:div w:id="312564491">
      <w:bodyDiv w:val="1"/>
      <w:marLeft w:val="0"/>
      <w:marRight w:val="0"/>
      <w:marTop w:val="0"/>
      <w:marBottom w:val="0"/>
      <w:divBdr>
        <w:top w:val="none" w:sz="0" w:space="0" w:color="auto"/>
        <w:left w:val="none" w:sz="0" w:space="0" w:color="auto"/>
        <w:bottom w:val="none" w:sz="0" w:space="0" w:color="auto"/>
        <w:right w:val="none" w:sz="0" w:space="0" w:color="auto"/>
      </w:divBdr>
    </w:div>
    <w:div w:id="322002995">
      <w:bodyDiv w:val="1"/>
      <w:marLeft w:val="0"/>
      <w:marRight w:val="0"/>
      <w:marTop w:val="0"/>
      <w:marBottom w:val="0"/>
      <w:divBdr>
        <w:top w:val="none" w:sz="0" w:space="0" w:color="auto"/>
        <w:left w:val="none" w:sz="0" w:space="0" w:color="auto"/>
        <w:bottom w:val="none" w:sz="0" w:space="0" w:color="auto"/>
        <w:right w:val="none" w:sz="0" w:space="0" w:color="auto"/>
      </w:divBdr>
    </w:div>
    <w:div w:id="322662287">
      <w:bodyDiv w:val="1"/>
      <w:marLeft w:val="0"/>
      <w:marRight w:val="0"/>
      <w:marTop w:val="0"/>
      <w:marBottom w:val="0"/>
      <w:divBdr>
        <w:top w:val="none" w:sz="0" w:space="0" w:color="auto"/>
        <w:left w:val="none" w:sz="0" w:space="0" w:color="auto"/>
        <w:bottom w:val="none" w:sz="0" w:space="0" w:color="auto"/>
        <w:right w:val="none" w:sz="0" w:space="0" w:color="auto"/>
      </w:divBdr>
    </w:div>
    <w:div w:id="333461068">
      <w:bodyDiv w:val="1"/>
      <w:marLeft w:val="0"/>
      <w:marRight w:val="0"/>
      <w:marTop w:val="0"/>
      <w:marBottom w:val="0"/>
      <w:divBdr>
        <w:top w:val="none" w:sz="0" w:space="0" w:color="auto"/>
        <w:left w:val="none" w:sz="0" w:space="0" w:color="auto"/>
        <w:bottom w:val="none" w:sz="0" w:space="0" w:color="auto"/>
        <w:right w:val="none" w:sz="0" w:space="0" w:color="auto"/>
      </w:divBdr>
    </w:div>
    <w:div w:id="341277976">
      <w:bodyDiv w:val="1"/>
      <w:marLeft w:val="0"/>
      <w:marRight w:val="0"/>
      <w:marTop w:val="0"/>
      <w:marBottom w:val="0"/>
      <w:divBdr>
        <w:top w:val="none" w:sz="0" w:space="0" w:color="auto"/>
        <w:left w:val="none" w:sz="0" w:space="0" w:color="auto"/>
        <w:bottom w:val="none" w:sz="0" w:space="0" w:color="auto"/>
        <w:right w:val="none" w:sz="0" w:space="0" w:color="auto"/>
      </w:divBdr>
    </w:div>
    <w:div w:id="344332289">
      <w:bodyDiv w:val="1"/>
      <w:marLeft w:val="0"/>
      <w:marRight w:val="0"/>
      <w:marTop w:val="0"/>
      <w:marBottom w:val="0"/>
      <w:divBdr>
        <w:top w:val="none" w:sz="0" w:space="0" w:color="auto"/>
        <w:left w:val="none" w:sz="0" w:space="0" w:color="auto"/>
        <w:bottom w:val="none" w:sz="0" w:space="0" w:color="auto"/>
        <w:right w:val="none" w:sz="0" w:space="0" w:color="auto"/>
      </w:divBdr>
    </w:div>
    <w:div w:id="352418286">
      <w:bodyDiv w:val="1"/>
      <w:marLeft w:val="0"/>
      <w:marRight w:val="0"/>
      <w:marTop w:val="0"/>
      <w:marBottom w:val="0"/>
      <w:divBdr>
        <w:top w:val="none" w:sz="0" w:space="0" w:color="auto"/>
        <w:left w:val="none" w:sz="0" w:space="0" w:color="auto"/>
        <w:bottom w:val="none" w:sz="0" w:space="0" w:color="auto"/>
        <w:right w:val="none" w:sz="0" w:space="0" w:color="auto"/>
      </w:divBdr>
    </w:div>
    <w:div w:id="354699416">
      <w:bodyDiv w:val="1"/>
      <w:marLeft w:val="0"/>
      <w:marRight w:val="0"/>
      <w:marTop w:val="0"/>
      <w:marBottom w:val="0"/>
      <w:divBdr>
        <w:top w:val="none" w:sz="0" w:space="0" w:color="auto"/>
        <w:left w:val="none" w:sz="0" w:space="0" w:color="auto"/>
        <w:bottom w:val="none" w:sz="0" w:space="0" w:color="auto"/>
        <w:right w:val="none" w:sz="0" w:space="0" w:color="auto"/>
      </w:divBdr>
    </w:div>
    <w:div w:id="364260293">
      <w:bodyDiv w:val="1"/>
      <w:marLeft w:val="0"/>
      <w:marRight w:val="0"/>
      <w:marTop w:val="0"/>
      <w:marBottom w:val="0"/>
      <w:divBdr>
        <w:top w:val="none" w:sz="0" w:space="0" w:color="auto"/>
        <w:left w:val="none" w:sz="0" w:space="0" w:color="auto"/>
        <w:bottom w:val="none" w:sz="0" w:space="0" w:color="auto"/>
        <w:right w:val="none" w:sz="0" w:space="0" w:color="auto"/>
      </w:divBdr>
    </w:div>
    <w:div w:id="367296448">
      <w:bodyDiv w:val="1"/>
      <w:marLeft w:val="0"/>
      <w:marRight w:val="0"/>
      <w:marTop w:val="0"/>
      <w:marBottom w:val="0"/>
      <w:divBdr>
        <w:top w:val="none" w:sz="0" w:space="0" w:color="auto"/>
        <w:left w:val="none" w:sz="0" w:space="0" w:color="auto"/>
        <w:bottom w:val="none" w:sz="0" w:space="0" w:color="auto"/>
        <w:right w:val="none" w:sz="0" w:space="0" w:color="auto"/>
      </w:divBdr>
    </w:div>
    <w:div w:id="367879649">
      <w:bodyDiv w:val="1"/>
      <w:marLeft w:val="0"/>
      <w:marRight w:val="0"/>
      <w:marTop w:val="0"/>
      <w:marBottom w:val="0"/>
      <w:divBdr>
        <w:top w:val="none" w:sz="0" w:space="0" w:color="auto"/>
        <w:left w:val="none" w:sz="0" w:space="0" w:color="auto"/>
        <w:bottom w:val="none" w:sz="0" w:space="0" w:color="auto"/>
        <w:right w:val="none" w:sz="0" w:space="0" w:color="auto"/>
      </w:divBdr>
    </w:div>
    <w:div w:id="369958114">
      <w:bodyDiv w:val="1"/>
      <w:marLeft w:val="0"/>
      <w:marRight w:val="0"/>
      <w:marTop w:val="0"/>
      <w:marBottom w:val="0"/>
      <w:divBdr>
        <w:top w:val="none" w:sz="0" w:space="0" w:color="auto"/>
        <w:left w:val="none" w:sz="0" w:space="0" w:color="auto"/>
        <w:bottom w:val="none" w:sz="0" w:space="0" w:color="auto"/>
        <w:right w:val="none" w:sz="0" w:space="0" w:color="auto"/>
      </w:divBdr>
    </w:div>
    <w:div w:id="370225692">
      <w:bodyDiv w:val="1"/>
      <w:marLeft w:val="0"/>
      <w:marRight w:val="0"/>
      <w:marTop w:val="0"/>
      <w:marBottom w:val="0"/>
      <w:divBdr>
        <w:top w:val="none" w:sz="0" w:space="0" w:color="auto"/>
        <w:left w:val="none" w:sz="0" w:space="0" w:color="auto"/>
        <w:bottom w:val="none" w:sz="0" w:space="0" w:color="auto"/>
        <w:right w:val="none" w:sz="0" w:space="0" w:color="auto"/>
      </w:divBdr>
    </w:div>
    <w:div w:id="372967148">
      <w:bodyDiv w:val="1"/>
      <w:marLeft w:val="0"/>
      <w:marRight w:val="0"/>
      <w:marTop w:val="0"/>
      <w:marBottom w:val="0"/>
      <w:divBdr>
        <w:top w:val="none" w:sz="0" w:space="0" w:color="auto"/>
        <w:left w:val="none" w:sz="0" w:space="0" w:color="auto"/>
        <w:bottom w:val="none" w:sz="0" w:space="0" w:color="auto"/>
        <w:right w:val="none" w:sz="0" w:space="0" w:color="auto"/>
      </w:divBdr>
    </w:div>
    <w:div w:id="373621884">
      <w:bodyDiv w:val="1"/>
      <w:marLeft w:val="0"/>
      <w:marRight w:val="0"/>
      <w:marTop w:val="0"/>
      <w:marBottom w:val="0"/>
      <w:divBdr>
        <w:top w:val="none" w:sz="0" w:space="0" w:color="auto"/>
        <w:left w:val="none" w:sz="0" w:space="0" w:color="auto"/>
        <w:bottom w:val="none" w:sz="0" w:space="0" w:color="auto"/>
        <w:right w:val="none" w:sz="0" w:space="0" w:color="auto"/>
      </w:divBdr>
    </w:div>
    <w:div w:id="376706483">
      <w:bodyDiv w:val="1"/>
      <w:marLeft w:val="0"/>
      <w:marRight w:val="0"/>
      <w:marTop w:val="0"/>
      <w:marBottom w:val="0"/>
      <w:divBdr>
        <w:top w:val="none" w:sz="0" w:space="0" w:color="auto"/>
        <w:left w:val="none" w:sz="0" w:space="0" w:color="auto"/>
        <w:bottom w:val="none" w:sz="0" w:space="0" w:color="auto"/>
        <w:right w:val="none" w:sz="0" w:space="0" w:color="auto"/>
      </w:divBdr>
    </w:div>
    <w:div w:id="377631282">
      <w:bodyDiv w:val="1"/>
      <w:marLeft w:val="0"/>
      <w:marRight w:val="0"/>
      <w:marTop w:val="0"/>
      <w:marBottom w:val="0"/>
      <w:divBdr>
        <w:top w:val="none" w:sz="0" w:space="0" w:color="auto"/>
        <w:left w:val="none" w:sz="0" w:space="0" w:color="auto"/>
        <w:bottom w:val="none" w:sz="0" w:space="0" w:color="auto"/>
        <w:right w:val="none" w:sz="0" w:space="0" w:color="auto"/>
      </w:divBdr>
    </w:div>
    <w:div w:id="388919531">
      <w:bodyDiv w:val="1"/>
      <w:marLeft w:val="0"/>
      <w:marRight w:val="0"/>
      <w:marTop w:val="0"/>
      <w:marBottom w:val="0"/>
      <w:divBdr>
        <w:top w:val="none" w:sz="0" w:space="0" w:color="auto"/>
        <w:left w:val="none" w:sz="0" w:space="0" w:color="auto"/>
        <w:bottom w:val="none" w:sz="0" w:space="0" w:color="auto"/>
        <w:right w:val="none" w:sz="0" w:space="0" w:color="auto"/>
      </w:divBdr>
    </w:div>
    <w:div w:id="405809784">
      <w:bodyDiv w:val="1"/>
      <w:marLeft w:val="0"/>
      <w:marRight w:val="0"/>
      <w:marTop w:val="0"/>
      <w:marBottom w:val="0"/>
      <w:divBdr>
        <w:top w:val="none" w:sz="0" w:space="0" w:color="auto"/>
        <w:left w:val="none" w:sz="0" w:space="0" w:color="auto"/>
        <w:bottom w:val="none" w:sz="0" w:space="0" w:color="auto"/>
        <w:right w:val="none" w:sz="0" w:space="0" w:color="auto"/>
      </w:divBdr>
    </w:div>
    <w:div w:id="407120504">
      <w:bodyDiv w:val="1"/>
      <w:marLeft w:val="0"/>
      <w:marRight w:val="0"/>
      <w:marTop w:val="0"/>
      <w:marBottom w:val="0"/>
      <w:divBdr>
        <w:top w:val="none" w:sz="0" w:space="0" w:color="auto"/>
        <w:left w:val="none" w:sz="0" w:space="0" w:color="auto"/>
        <w:bottom w:val="none" w:sz="0" w:space="0" w:color="auto"/>
        <w:right w:val="none" w:sz="0" w:space="0" w:color="auto"/>
      </w:divBdr>
    </w:div>
    <w:div w:id="416757968">
      <w:bodyDiv w:val="1"/>
      <w:marLeft w:val="0"/>
      <w:marRight w:val="0"/>
      <w:marTop w:val="0"/>
      <w:marBottom w:val="0"/>
      <w:divBdr>
        <w:top w:val="none" w:sz="0" w:space="0" w:color="auto"/>
        <w:left w:val="none" w:sz="0" w:space="0" w:color="auto"/>
        <w:bottom w:val="none" w:sz="0" w:space="0" w:color="auto"/>
        <w:right w:val="none" w:sz="0" w:space="0" w:color="auto"/>
      </w:divBdr>
    </w:div>
    <w:div w:id="420104962">
      <w:bodyDiv w:val="1"/>
      <w:marLeft w:val="0"/>
      <w:marRight w:val="0"/>
      <w:marTop w:val="0"/>
      <w:marBottom w:val="0"/>
      <w:divBdr>
        <w:top w:val="none" w:sz="0" w:space="0" w:color="auto"/>
        <w:left w:val="none" w:sz="0" w:space="0" w:color="auto"/>
        <w:bottom w:val="none" w:sz="0" w:space="0" w:color="auto"/>
        <w:right w:val="none" w:sz="0" w:space="0" w:color="auto"/>
      </w:divBdr>
    </w:div>
    <w:div w:id="427505305">
      <w:bodyDiv w:val="1"/>
      <w:marLeft w:val="0"/>
      <w:marRight w:val="0"/>
      <w:marTop w:val="0"/>
      <w:marBottom w:val="0"/>
      <w:divBdr>
        <w:top w:val="none" w:sz="0" w:space="0" w:color="auto"/>
        <w:left w:val="none" w:sz="0" w:space="0" w:color="auto"/>
        <w:bottom w:val="none" w:sz="0" w:space="0" w:color="auto"/>
        <w:right w:val="none" w:sz="0" w:space="0" w:color="auto"/>
      </w:divBdr>
    </w:div>
    <w:div w:id="429011166">
      <w:bodyDiv w:val="1"/>
      <w:marLeft w:val="0"/>
      <w:marRight w:val="0"/>
      <w:marTop w:val="0"/>
      <w:marBottom w:val="0"/>
      <w:divBdr>
        <w:top w:val="none" w:sz="0" w:space="0" w:color="auto"/>
        <w:left w:val="none" w:sz="0" w:space="0" w:color="auto"/>
        <w:bottom w:val="none" w:sz="0" w:space="0" w:color="auto"/>
        <w:right w:val="none" w:sz="0" w:space="0" w:color="auto"/>
      </w:divBdr>
    </w:div>
    <w:div w:id="432435030">
      <w:bodyDiv w:val="1"/>
      <w:marLeft w:val="0"/>
      <w:marRight w:val="0"/>
      <w:marTop w:val="0"/>
      <w:marBottom w:val="0"/>
      <w:divBdr>
        <w:top w:val="none" w:sz="0" w:space="0" w:color="auto"/>
        <w:left w:val="none" w:sz="0" w:space="0" w:color="auto"/>
        <w:bottom w:val="none" w:sz="0" w:space="0" w:color="auto"/>
        <w:right w:val="none" w:sz="0" w:space="0" w:color="auto"/>
      </w:divBdr>
    </w:div>
    <w:div w:id="435909469">
      <w:bodyDiv w:val="1"/>
      <w:marLeft w:val="0"/>
      <w:marRight w:val="0"/>
      <w:marTop w:val="0"/>
      <w:marBottom w:val="0"/>
      <w:divBdr>
        <w:top w:val="none" w:sz="0" w:space="0" w:color="auto"/>
        <w:left w:val="none" w:sz="0" w:space="0" w:color="auto"/>
        <w:bottom w:val="none" w:sz="0" w:space="0" w:color="auto"/>
        <w:right w:val="none" w:sz="0" w:space="0" w:color="auto"/>
      </w:divBdr>
    </w:div>
    <w:div w:id="436026851">
      <w:bodyDiv w:val="1"/>
      <w:marLeft w:val="0"/>
      <w:marRight w:val="0"/>
      <w:marTop w:val="0"/>
      <w:marBottom w:val="0"/>
      <w:divBdr>
        <w:top w:val="none" w:sz="0" w:space="0" w:color="auto"/>
        <w:left w:val="none" w:sz="0" w:space="0" w:color="auto"/>
        <w:bottom w:val="none" w:sz="0" w:space="0" w:color="auto"/>
        <w:right w:val="none" w:sz="0" w:space="0" w:color="auto"/>
      </w:divBdr>
    </w:div>
    <w:div w:id="455947772">
      <w:bodyDiv w:val="1"/>
      <w:marLeft w:val="0"/>
      <w:marRight w:val="0"/>
      <w:marTop w:val="0"/>
      <w:marBottom w:val="0"/>
      <w:divBdr>
        <w:top w:val="none" w:sz="0" w:space="0" w:color="auto"/>
        <w:left w:val="none" w:sz="0" w:space="0" w:color="auto"/>
        <w:bottom w:val="none" w:sz="0" w:space="0" w:color="auto"/>
        <w:right w:val="none" w:sz="0" w:space="0" w:color="auto"/>
      </w:divBdr>
    </w:div>
    <w:div w:id="458257431">
      <w:bodyDiv w:val="1"/>
      <w:marLeft w:val="0"/>
      <w:marRight w:val="0"/>
      <w:marTop w:val="0"/>
      <w:marBottom w:val="0"/>
      <w:divBdr>
        <w:top w:val="none" w:sz="0" w:space="0" w:color="auto"/>
        <w:left w:val="none" w:sz="0" w:space="0" w:color="auto"/>
        <w:bottom w:val="none" w:sz="0" w:space="0" w:color="auto"/>
        <w:right w:val="none" w:sz="0" w:space="0" w:color="auto"/>
      </w:divBdr>
    </w:div>
    <w:div w:id="467359359">
      <w:bodyDiv w:val="1"/>
      <w:marLeft w:val="0"/>
      <w:marRight w:val="0"/>
      <w:marTop w:val="0"/>
      <w:marBottom w:val="0"/>
      <w:divBdr>
        <w:top w:val="none" w:sz="0" w:space="0" w:color="auto"/>
        <w:left w:val="none" w:sz="0" w:space="0" w:color="auto"/>
        <w:bottom w:val="none" w:sz="0" w:space="0" w:color="auto"/>
        <w:right w:val="none" w:sz="0" w:space="0" w:color="auto"/>
      </w:divBdr>
    </w:div>
    <w:div w:id="469172375">
      <w:bodyDiv w:val="1"/>
      <w:marLeft w:val="0"/>
      <w:marRight w:val="0"/>
      <w:marTop w:val="0"/>
      <w:marBottom w:val="0"/>
      <w:divBdr>
        <w:top w:val="none" w:sz="0" w:space="0" w:color="auto"/>
        <w:left w:val="none" w:sz="0" w:space="0" w:color="auto"/>
        <w:bottom w:val="none" w:sz="0" w:space="0" w:color="auto"/>
        <w:right w:val="none" w:sz="0" w:space="0" w:color="auto"/>
      </w:divBdr>
    </w:div>
    <w:div w:id="469325307">
      <w:bodyDiv w:val="1"/>
      <w:marLeft w:val="0"/>
      <w:marRight w:val="0"/>
      <w:marTop w:val="0"/>
      <w:marBottom w:val="0"/>
      <w:divBdr>
        <w:top w:val="none" w:sz="0" w:space="0" w:color="auto"/>
        <w:left w:val="none" w:sz="0" w:space="0" w:color="auto"/>
        <w:bottom w:val="none" w:sz="0" w:space="0" w:color="auto"/>
        <w:right w:val="none" w:sz="0" w:space="0" w:color="auto"/>
      </w:divBdr>
    </w:div>
    <w:div w:id="469782556">
      <w:bodyDiv w:val="1"/>
      <w:marLeft w:val="0"/>
      <w:marRight w:val="0"/>
      <w:marTop w:val="0"/>
      <w:marBottom w:val="0"/>
      <w:divBdr>
        <w:top w:val="none" w:sz="0" w:space="0" w:color="auto"/>
        <w:left w:val="none" w:sz="0" w:space="0" w:color="auto"/>
        <w:bottom w:val="none" w:sz="0" w:space="0" w:color="auto"/>
        <w:right w:val="none" w:sz="0" w:space="0" w:color="auto"/>
      </w:divBdr>
    </w:div>
    <w:div w:id="475882665">
      <w:bodyDiv w:val="1"/>
      <w:marLeft w:val="0"/>
      <w:marRight w:val="0"/>
      <w:marTop w:val="0"/>
      <w:marBottom w:val="0"/>
      <w:divBdr>
        <w:top w:val="none" w:sz="0" w:space="0" w:color="auto"/>
        <w:left w:val="none" w:sz="0" w:space="0" w:color="auto"/>
        <w:bottom w:val="none" w:sz="0" w:space="0" w:color="auto"/>
        <w:right w:val="none" w:sz="0" w:space="0" w:color="auto"/>
      </w:divBdr>
    </w:div>
    <w:div w:id="487794099">
      <w:bodyDiv w:val="1"/>
      <w:marLeft w:val="0"/>
      <w:marRight w:val="0"/>
      <w:marTop w:val="0"/>
      <w:marBottom w:val="0"/>
      <w:divBdr>
        <w:top w:val="none" w:sz="0" w:space="0" w:color="auto"/>
        <w:left w:val="none" w:sz="0" w:space="0" w:color="auto"/>
        <w:bottom w:val="none" w:sz="0" w:space="0" w:color="auto"/>
        <w:right w:val="none" w:sz="0" w:space="0" w:color="auto"/>
      </w:divBdr>
    </w:div>
    <w:div w:id="490099400">
      <w:bodyDiv w:val="1"/>
      <w:marLeft w:val="0"/>
      <w:marRight w:val="0"/>
      <w:marTop w:val="0"/>
      <w:marBottom w:val="0"/>
      <w:divBdr>
        <w:top w:val="none" w:sz="0" w:space="0" w:color="auto"/>
        <w:left w:val="none" w:sz="0" w:space="0" w:color="auto"/>
        <w:bottom w:val="none" w:sz="0" w:space="0" w:color="auto"/>
        <w:right w:val="none" w:sz="0" w:space="0" w:color="auto"/>
      </w:divBdr>
    </w:div>
    <w:div w:id="511457609">
      <w:bodyDiv w:val="1"/>
      <w:marLeft w:val="0"/>
      <w:marRight w:val="0"/>
      <w:marTop w:val="0"/>
      <w:marBottom w:val="0"/>
      <w:divBdr>
        <w:top w:val="none" w:sz="0" w:space="0" w:color="auto"/>
        <w:left w:val="none" w:sz="0" w:space="0" w:color="auto"/>
        <w:bottom w:val="none" w:sz="0" w:space="0" w:color="auto"/>
        <w:right w:val="none" w:sz="0" w:space="0" w:color="auto"/>
      </w:divBdr>
    </w:div>
    <w:div w:id="511721292">
      <w:bodyDiv w:val="1"/>
      <w:marLeft w:val="0"/>
      <w:marRight w:val="0"/>
      <w:marTop w:val="0"/>
      <w:marBottom w:val="0"/>
      <w:divBdr>
        <w:top w:val="none" w:sz="0" w:space="0" w:color="auto"/>
        <w:left w:val="none" w:sz="0" w:space="0" w:color="auto"/>
        <w:bottom w:val="none" w:sz="0" w:space="0" w:color="auto"/>
        <w:right w:val="none" w:sz="0" w:space="0" w:color="auto"/>
      </w:divBdr>
    </w:div>
    <w:div w:id="521092550">
      <w:bodyDiv w:val="1"/>
      <w:marLeft w:val="0"/>
      <w:marRight w:val="0"/>
      <w:marTop w:val="0"/>
      <w:marBottom w:val="0"/>
      <w:divBdr>
        <w:top w:val="none" w:sz="0" w:space="0" w:color="auto"/>
        <w:left w:val="none" w:sz="0" w:space="0" w:color="auto"/>
        <w:bottom w:val="none" w:sz="0" w:space="0" w:color="auto"/>
        <w:right w:val="none" w:sz="0" w:space="0" w:color="auto"/>
      </w:divBdr>
    </w:div>
    <w:div w:id="529685344">
      <w:bodyDiv w:val="1"/>
      <w:marLeft w:val="0"/>
      <w:marRight w:val="0"/>
      <w:marTop w:val="0"/>
      <w:marBottom w:val="0"/>
      <w:divBdr>
        <w:top w:val="none" w:sz="0" w:space="0" w:color="auto"/>
        <w:left w:val="none" w:sz="0" w:space="0" w:color="auto"/>
        <w:bottom w:val="none" w:sz="0" w:space="0" w:color="auto"/>
        <w:right w:val="none" w:sz="0" w:space="0" w:color="auto"/>
      </w:divBdr>
    </w:div>
    <w:div w:id="537163849">
      <w:bodyDiv w:val="1"/>
      <w:marLeft w:val="0"/>
      <w:marRight w:val="0"/>
      <w:marTop w:val="0"/>
      <w:marBottom w:val="0"/>
      <w:divBdr>
        <w:top w:val="none" w:sz="0" w:space="0" w:color="auto"/>
        <w:left w:val="none" w:sz="0" w:space="0" w:color="auto"/>
        <w:bottom w:val="none" w:sz="0" w:space="0" w:color="auto"/>
        <w:right w:val="none" w:sz="0" w:space="0" w:color="auto"/>
      </w:divBdr>
    </w:div>
    <w:div w:id="538784213">
      <w:bodyDiv w:val="1"/>
      <w:marLeft w:val="0"/>
      <w:marRight w:val="0"/>
      <w:marTop w:val="0"/>
      <w:marBottom w:val="0"/>
      <w:divBdr>
        <w:top w:val="none" w:sz="0" w:space="0" w:color="auto"/>
        <w:left w:val="none" w:sz="0" w:space="0" w:color="auto"/>
        <w:bottom w:val="none" w:sz="0" w:space="0" w:color="auto"/>
        <w:right w:val="none" w:sz="0" w:space="0" w:color="auto"/>
      </w:divBdr>
    </w:div>
    <w:div w:id="555358369">
      <w:bodyDiv w:val="1"/>
      <w:marLeft w:val="0"/>
      <w:marRight w:val="0"/>
      <w:marTop w:val="0"/>
      <w:marBottom w:val="0"/>
      <w:divBdr>
        <w:top w:val="none" w:sz="0" w:space="0" w:color="auto"/>
        <w:left w:val="none" w:sz="0" w:space="0" w:color="auto"/>
        <w:bottom w:val="none" w:sz="0" w:space="0" w:color="auto"/>
        <w:right w:val="none" w:sz="0" w:space="0" w:color="auto"/>
      </w:divBdr>
      <w:divsChild>
        <w:div w:id="1102184942">
          <w:marLeft w:val="0"/>
          <w:marRight w:val="0"/>
          <w:marTop w:val="0"/>
          <w:marBottom w:val="0"/>
          <w:divBdr>
            <w:top w:val="single" w:sz="6" w:space="0" w:color="CCCCCC"/>
            <w:left w:val="single" w:sz="6" w:space="0" w:color="CCCCCC"/>
            <w:bottom w:val="single" w:sz="6" w:space="0" w:color="CCCCCC"/>
            <w:right w:val="single" w:sz="6" w:space="0" w:color="CCCCCC"/>
          </w:divBdr>
          <w:divsChild>
            <w:div w:id="8437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2872">
      <w:bodyDiv w:val="1"/>
      <w:marLeft w:val="0"/>
      <w:marRight w:val="0"/>
      <w:marTop w:val="0"/>
      <w:marBottom w:val="0"/>
      <w:divBdr>
        <w:top w:val="none" w:sz="0" w:space="0" w:color="auto"/>
        <w:left w:val="none" w:sz="0" w:space="0" w:color="auto"/>
        <w:bottom w:val="none" w:sz="0" w:space="0" w:color="auto"/>
        <w:right w:val="none" w:sz="0" w:space="0" w:color="auto"/>
      </w:divBdr>
    </w:div>
    <w:div w:id="565071360">
      <w:bodyDiv w:val="1"/>
      <w:marLeft w:val="0"/>
      <w:marRight w:val="0"/>
      <w:marTop w:val="0"/>
      <w:marBottom w:val="0"/>
      <w:divBdr>
        <w:top w:val="none" w:sz="0" w:space="0" w:color="auto"/>
        <w:left w:val="none" w:sz="0" w:space="0" w:color="auto"/>
        <w:bottom w:val="none" w:sz="0" w:space="0" w:color="auto"/>
        <w:right w:val="none" w:sz="0" w:space="0" w:color="auto"/>
      </w:divBdr>
    </w:div>
    <w:div w:id="567153359">
      <w:bodyDiv w:val="1"/>
      <w:marLeft w:val="0"/>
      <w:marRight w:val="0"/>
      <w:marTop w:val="0"/>
      <w:marBottom w:val="0"/>
      <w:divBdr>
        <w:top w:val="none" w:sz="0" w:space="0" w:color="auto"/>
        <w:left w:val="none" w:sz="0" w:space="0" w:color="auto"/>
        <w:bottom w:val="none" w:sz="0" w:space="0" w:color="auto"/>
        <w:right w:val="none" w:sz="0" w:space="0" w:color="auto"/>
      </w:divBdr>
    </w:div>
    <w:div w:id="573515386">
      <w:bodyDiv w:val="1"/>
      <w:marLeft w:val="0"/>
      <w:marRight w:val="0"/>
      <w:marTop w:val="0"/>
      <w:marBottom w:val="0"/>
      <w:divBdr>
        <w:top w:val="none" w:sz="0" w:space="0" w:color="auto"/>
        <w:left w:val="none" w:sz="0" w:space="0" w:color="auto"/>
        <w:bottom w:val="none" w:sz="0" w:space="0" w:color="auto"/>
        <w:right w:val="none" w:sz="0" w:space="0" w:color="auto"/>
      </w:divBdr>
    </w:div>
    <w:div w:id="589051027">
      <w:bodyDiv w:val="1"/>
      <w:marLeft w:val="0"/>
      <w:marRight w:val="0"/>
      <w:marTop w:val="0"/>
      <w:marBottom w:val="0"/>
      <w:divBdr>
        <w:top w:val="none" w:sz="0" w:space="0" w:color="auto"/>
        <w:left w:val="none" w:sz="0" w:space="0" w:color="auto"/>
        <w:bottom w:val="none" w:sz="0" w:space="0" w:color="auto"/>
        <w:right w:val="none" w:sz="0" w:space="0" w:color="auto"/>
      </w:divBdr>
    </w:div>
    <w:div w:id="590431346">
      <w:bodyDiv w:val="1"/>
      <w:marLeft w:val="0"/>
      <w:marRight w:val="0"/>
      <w:marTop w:val="0"/>
      <w:marBottom w:val="0"/>
      <w:divBdr>
        <w:top w:val="none" w:sz="0" w:space="0" w:color="auto"/>
        <w:left w:val="none" w:sz="0" w:space="0" w:color="auto"/>
        <w:bottom w:val="none" w:sz="0" w:space="0" w:color="auto"/>
        <w:right w:val="none" w:sz="0" w:space="0" w:color="auto"/>
      </w:divBdr>
    </w:div>
    <w:div w:id="592011200">
      <w:bodyDiv w:val="1"/>
      <w:marLeft w:val="0"/>
      <w:marRight w:val="0"/>
      <w:marTop w:val="0"/>
      <w:marBottom w:val="0"/>
      <w:divBdr>
        <w:top w:val="none" w:sz="0" w:space="0" w:color="auto"/>
        <w:left w:val="none" w:sz="0" w:space="0" w:color="auto"/>
        <w:bottom w:val="none" w:sz="0" w:space="0" w:color="auto"/>
        <w:right w:val="none" w:sz="0" w:space="0" w:color="auto"/>
      </w:divBdr>
    </w:div>
    <w:div w:id="596257126">
      <w:bodyDiv w:val="1"/>
      <w:marLeft w:val="0"/>
      <w:marRight w:val="0"/>
      <w:marTop w:val="0"/>
      <w:marBottom w:val="0"/>
      <w:divBdr>
        <w:top w:val="none" w:sz="0" w:space="0" w:color="auto"/>
        <w:left w:val="none" w:sz="0" w:space="0" w:color="auto"/>
        <w:bottom w:val="none" w:sz="0" w:space="0" w:color="auto"/>
        <w:right w:val="none" w:sz="0" w:space="0" w:color="auto"/>
      </w:divBdr>
    </w:div>
    <w:div w:id="603078407">
      <w:bodyDiv w:val="1"/>
      <w:marLeft w:val="0"/>
      <w:marRight w:val="0"/>
      <w:marTop w:val="0"/>
      <w:marBottom w:val="0"/>
      <w:divBdr>
        <w:top w:val="none" w:sz="0" w:space="0" w:color="auto"/>
        <w:left w:val="none" w:sz="0" w:space="0" w:color="auto"/>
        <w:bottom w:val="none" w:sz="0" w:space="0" w:color="auto"/>
        <w:right w:val="none" w:sz="0" w:space="0" w:color="auto"/>
      </w:divBdr>
    </w:div>
    <w:div w:id="611205031">
      <w:bodyDiv w:val="1"/>
      <w:marLeft w:val="0"/>
      <w:marRight w:val="0"/>
      <w:marTop w:val="0"/>
      <w:marBottom w:val="0"/>
      <w:divBdr>
        <w:top w:val="none" w:sz="0" w:space="0" w:color="auto"/>
        <w:left w:val="none" w:sz="0" w:space="0" w:color="auto"/>
        <w:bottom w:val="none" w:sz="0" w:space="0" w:color="auto"/>
        <w:right w:val="none" w:sz="0" w:space="0" w:color="auto"/>
      </w:divBdr>
    </w:div>
    <w:div w:id="625237947">
      <w:bodyDiv w:val="1"/>
      <w:marLeft w:val="0"/>
      <w:marRight w:val="0"/>
      <w:marTop w:val="0"/>
      <w:marBottom w:val="0"/>
      <w:divBdr>
        <w:top w:val="none" w:sz="0" w:space="0" w:color="auto"/>
        <w:left w:val="none" w:sz="0" w:space="0" w:color="auto"/>
        <w:bottom w:val="none" w:sz="0" w:space="0" w:color="auto"/>
        <w:right w:val="none" w:sz="0" w:space="0" w:color="auto"/>
      </w:divBdr>
    </w:div>
    <w:div w:id="625623564">
      <w:bodyDiv w:val="1"/>
      <w:marLeft w:val="0"/>
      <w:marRight w:val="0"/>
      <w:marTop w:val="0"/>
      <w:marBottom w:val="0"/>
      <w:divBdr>
        <w:top w:val="none" w:sz="0" w:space="0" w:color="auto"/>
        <w:left w:val="none" w:sz="0" w:space="0" w:color="auto"/>
        <w:bottom w:val="none" w:sz="0" w:space="0" w:color="auto"/>
        <w:right w:val="none" w:sz="0" w:space="0" w:color="auto"/>
      </w:divBdr>
    </w:div>
    <w:div w:id="626931883">
      <w:bodyDiv w:val="1"/>
      <w:marLeft w:val="0"/>
      <w:marRight w:val="0"/>
      <w:marTop w:val="0"/>
      <w:marBottom w:val="0"/>
      <w:divBdr>
        <w:top w:val="none" w:sz="0" w:space="0" w:color="auto"/>
        <w:left w:val="none" w:sz="0" w:space="0" w:color="auto"/>
        <w:bottom w:val="none" w:sz="0" w:space="0" w:color="auto"/>
        <w:right w:val="none" w:sz="0" w:space="0" w:color="auto"/>
      </w:divBdr>
    </w:div>
    <w:div w:id="641426475">
      <w:bodyDiv w:val="1"/>
      <w:marLeft w:val="0"/>
      <w:marRight w:val="0"/>
      <w:marTop w:val="0"/>
      <w:marBottom w:val="0"/>
      <w:divBdr>
        <w:top w:val="none" w:sz="0" w:space="0" w:color="auto"/>
        <w:left w:val="none" w:sz="0" w:space="0" w:color="auto"/>
        <w:bottom w:val="none" w:sz="0" w:space="0" w:color="auto"/>
        <w:right w:val="none" w:sz="0" w:space="0" w:color="auto"/>
      </w:divBdr>
    </w:div>
    <w:div w:id="647130873">
      <w:bodyDiv w:val="1"/>
      <w:marLeft w:val="0"/>
      <w:marRight w:val="0"/>
      <w:marTop w:val="0"/>
      <w:marBottom w:val="0"/>
      <w:divBdr>
        <w:top w:val="none" w:sz="0" w:space="0" w:color="auto"/>
        <w:left w:val="none" w:sz="0" w:space="0" w:color="auto"/>
        <w:bottom w:val="none" w:sz="0" w:space="0" w:color="auto"/>
        <w:right w:val="none" w:sz="0" w:space="0" w:color="auto"/>
      </w:divBdr>
    </w:div>
    <w:div w:id="664282196">
      <w:bodyDiv w:val="1"/>
      <w:marLeft w:val="0"/>
      <w:marRight w:val="0"/>
      <w:marTop w:val="0"/>
      <w:marBottom w:val="0"/>
      <w:divBdr>
        <w:top w:val="none" w:sz="0" w:space="0" w:color="auto"/>
        <w:left w:val="none" w:sz="0" w:space="0" w:color="auto"/>
        <w:bottom w:val="none" w:sz="0" w:space="0" w:color="auto"/>
        <w:right w:val="none" w:sz="0" w:space="0" w:color="auto"/>
      </w:divBdr>
      <w:divsChild>
        <w:div w:id="570048174">
          <w:marLeft w:val="0"/>
          <w:marRight w:val="0"/>
          <w:marTop w:val="0"/>
          <w:marBottom w:val="0"/>
          <w:divBdr>
            <w:top w:val="none" w:sz="0" w:space="0" w:color="auto"/>
            <w:left w:val="none" w:sz="0" w:space="0" w:color="auto"/>
            <w:bottom w:val="none" w:sz="0" w:space="0" w:color="auto"/>
            <w:right w:val="none" w:sz="0" w:space="0" w:color="auto"/>
          </w:divBdr>
          <w:divsChild>
            <w:div w:id="1419254063">
              <w:marLeft w:val="0"/>
              <w:marRight w:val="0"/>
              <w:marTop w:val="0"/>
              <w:marBottom w:val="0"/>
              <w:divBdr>
                <w:top w:val="none" w:sz="0" w:space="0" w:color="auto"/>
                <w:left w:val="none" w:sz="0" w:space="0" w:color="auto"/>
                <w:bottom w:val="none" w:sz="0" w:space="0" w:color="auto"/>
                <w:right w:val="none" w:sz="0" w:space="0" w:color="auto"/>
              </w:divBdr>
              <w:divsChild>
                <w:div w:id="18341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2738">
      <w:bodyDiv w:val="1"/>
      <w:marLeft w:val="0"/>
      <w:marRight w:val="0"/>
      <w:marTop w:val="0"/>
      <w:marBottom w:val="0"/>
      <w:divBdr>
        <w:top w:val="none" w:sz="0" w:space="0" w:color="auto"/>
        <w:left w:val="none" w:sz="0" w:space="0" w:color="auto"/>
        <w:bottom w:val="none" w:sz="0" w:space="0" w:color="auto"/>
        <w:right w:val="none" w:sz="0" w:space="0" w:color="auto"/>
      </w:divBdr>
    </w:div>
    <w:div w:id="680936510">
      <w:bodyDiv w:val="1"/>
      <w:marLeft w:val="0"/>
      <w:marRight w:val="0"/>
      <w:marTop w:val="0"/>
      <w:marBottom w:val="0"/>
      <w:divBdr>
        <w:top w:val="none" w:sz="0" w:space="0" w:color="auto"/>
        <w:left w:val="none" w:sz="0" w:space="0" w:color="auto"/>
        <w:bottom w:val="none" w:sz="0" w:space="0" w:color="auto"/>
        <w:right w:val="none" w:sz="0" w:space="0" w:color="auto"/>
      </w:divBdr>
    </w:div>
    <w:div w:id="684869342">
      <w:bodyDiv w:val="1"/>
      <w:marLeft w:val="0"/>
      <w:marRight w:val="0"/>
      <w:marTop w:val="0"/>
      <w:marBottom w:val="0"/>
      <w:divBdr>
        <w:top w:val="none" w:sz="0" w:space="0" w:color="auto"/>
        <w:left w:val="none" w:sz="0" w:space="0" w:color="auto"/>
        <w:bottom w:val="none" w:sz="0" w:space="0" w:color="auto"/>
        <w:right w:val="none" w:sz="0" w:space="0" w:color="auto"/>
      </w:divBdr>
    </w:div>
    <w:div w:id="690763816">
      <w:bodyDiv w:val="1"/>
      <w:marLeft w:val="0"/>
      <w:marRight w:val="0"/>
      <w:marTop w:val="0"/>
      <w:marBottom w:val="0"/>
      <w:divBdr>
        <w:top w:val="none" w:sz="0" w:space="0" w:color="auto"/>
        <w:left w:val="none" w:sz="0" w:space="0" w:color="auto"/>
        <w:bottom w:val="none" w:sz="0" w:space="0" w:color="auto"/>
        <w:right w:val="none" w:sz="0" w:space="0" w:color="auto"/>
      </w:divBdr>
    </w:div>
    <w:div w:id="692193056">
      <w:bodyDiv w:val="1"/>
      <w:marLeft w:val="0"/>
      <w:marRight w:val="0"/>
      <w:marTop w:val="0"/>
      <w:marBottom w:val="0"/>
      <w:divBdr>
        <w:top w:val="none" w:sz="0" w:space="0" w:color="auto"/>
        <w:left w:val="none" w:sz="0" w:space="0" w:color="auto"/>
        <w:bottom w:val="none" w:sz="0" w:space="0" w:color="auto"/>
        <w:right w:val="none" w:sz="0" w:space="0" w:color="auto"/>
      </w:divBdr>
    </w:div>
    <w:div w:id="692655760">
      <w:bodyDiv w:val="1"/>
      <w:marLeft w:val="0"/>
      <w:marRight w:val="0"/>
      <w:marTop w:val="0"/>
      <w:marBottom w:val="0"/>
      <w:divBdr>
        <w:top w:val="none" w:sz="0" w:space="0" w:color="auto"/>
        <w:left w:val="none" w:sz="0" w:space="0" w:color="auto"/>
        <w:bottom w:val="none" w:sz="0" w:space="0" w:color="auto"/>
        <w:right w:val="none" w:sz="0" w:space="0" w:color="auto"/>
      </w:divBdr>
    </w:div>
    <w:div w:id="705718790">
      <w:bodyDiv w:val="1"/>
      <w:marLeft w:val="0"/>
      <w:marRight w:val="0"/>
      <w:marTop w:val="0"/>
      <w:marBottom w:val="0"/>
      <w:divBdr>
        <w:top w:val="none" w:sz="0" w:space="0" w:color="auto"/>
        <w:left w:val="none" w:sz="0" w:space="0" w:color="auto"/>
        <w:bottom w:val="none" w:sz="0" w:space="0" w:color="auto"/>
        <w:right w:val="none" w:sz="0" w:space="0" w:color="auto"/>
      </w:divBdr>
    </w:div>
    <w:div w:id="706100334">
      <w:bodyDiv w:val="1"/>
      <w:marLeft w:val="0"/>
      <w:marRight w:val="0"/>
      <w:marTop w:val="0"/>
      <w:marBottom w:val="0"/>
      <w:divBdr>
        <w:top w:val="none" w:sz="0" w:space="0" w:color="auto"/>
        <w:left w:val="none" w:sz="0" w:space="0" w:color="auto"/>
        <w:bottom w:val="none" w:sz="0" w:space="0" w:color="auto"/>
        <w:right w:val="none" w:sz="0" w:space="0" w:color="auto"/>
      </w:divBdr>
    </w:div>
    <w:div w:id="706367880">
      <w:bodyDiv w:val="1"/>
      <w:marLeft w:val="0"/>
      <w:marRight w:val="0"/>
      <w:marTop w:val="0"/>
      <w:marBottom w:val="0"/>
      <w:divBdr>
        <w:top w:val="none" w:sz="0" w:space="0" w:color="auto"/>
        <w:left w:val="none" w:sz="0" w:space="0" w:color="auto"/>
        <w:bottom w:val="none" w:sz="0" w:space="0" w:color="auto"/>
        <w:right w:val="none" w:sz="0" w:space="0" w:color="auto"/>
      </w:divBdr>
    </w:div>
    <w:div w:id="720983814">
      <w:bodyDiv w:val="1"/>
      <w:marLeft w:val="0"/>
      <w:marRight w:val="0"/>
      <w:marTop w:val="0"/>
      <w:marBottom w:val="0"/>
      <w:divBdr>
        <w:top w:val="none" w:sz="0" w:space="0" w:color="auto"/>
        <w:left w:val="none" w:sz="0" w:space="0" w:color="auto"/>
        <w:bottom w:val="none" w:sz="0" w:space="0" w:color="auto"/>
        <w:right w:val="none" w:sz="0" w:space="0" w:color="auto"/>
      </w:divBdr>
    </w:div>
    <w:div w:id="726295463">
      <w:bodyDiv w:val="1"/>
      <w:marLeft w:val="0"/>
      <w:marRight w:val="0"/>
      <w:marTop w:val="0"/>
      <w:marBottom w:val="0"/>
      <w:divBdr>
        <w:top w:val="none" w:sz="0" w:space="0" w:color="auto"/>
        <w:left w:val="none" w:sz="0" w:space="0" w:color="auto"/>
        <w:bottom w:val="none" w:sz="0" w:space="0" w:color="auto"/>
        <w:right w:val="none" w:sz="0" w:space="0" w:color="auto"/>
      </w:divBdr>
    </w:div>
    <w:div w:id="749473304">
      <w:bodyDiv w:val="1"/>
      <w:marLeft w:val="0"/>
      <w:marRight w:val="0"/>
      <w:marTop w:val="0"/>
      <w:marBottom w:val="0"/>
      <w:divBdr>
        <w:top w:val="none" w:sz="0" w:space="0" w:color="auto"/>
        <w:left w:val="none" w:sz="0" w:space="0" w:color="auto"/>
        <w:bottom w:val="none" w:sz="0" w:space="0" w:color="auto"/>
        <w:right w:val="none" w:sz="0" w:space="0" w:color="auto"/>
      </w:divBdr>
    </w:div>
    <w:div w:id="752774850">
      <w:bodyDiv w:val="1"/>
      <w:marLeft w:val="0"/>
      <w:marRight w:val="0"/>
      <w:marTop w:val="0"/>
      <w:marBottom w:val="0"/>
      <w:divBdr>
        <w:top w:val="none" w:sz="0" w:space="0" w:color="auto"/>
        <w:left w:val="none" w:sz="0" w:space="0" w:color="auto"/>
        <w:bottom w:val="none" w:sz="0" w:space="0" w:color="auto"/>
        <w:right w:val="none" w:sz="0" w:space="0" w:color="auto"/>
      </w:divBdr>
    </w:div>
    <w:div w:id="754594419">
      <w:bodyDiv w:val="1"/>
      <w:marLeft w:val="0"/>
      <w:marRight w:val="0"/>
      <w:marTop w:val="0"/>
      <w:marBottom w:val="0"/>
      <w:divBdr>
        <w:top w:val="none" w:sz="0" w:space="0" w:color="auto"/>
        <w:left w:val="none" w:sz="0" w:space="0" w:color="auto"/>
        <w:bottom w:val="none" w:sz="0" w:space="0" w:color="auto"/>
        <w:right w:val="none" w:sz="0" w:space="0" w:color="auto"/>
      </w:divBdr>
    </w:div>
    <w:div w:id="757365183">
      <w:bodyDiv w:val="1"/>
      <w:marLeft w:val="0"/>
      <w:marRight w:val="0"/>
      <w:marTop w:val="0"/>
      <w:marBottom w:val="0"/>
      <w:divBdr>
        <w:top w:val="none" w:sz="0" w:space="0" w:color="auto"/>
        <w:left w:val="none" w:sz="0" w:space="0" w:color="auto"/>
        <w:bottom w:val="none" w:sz="0" w:space="0" w:color="auto"/>
        <w:right w:val="none" w:sz="0" w:space="0" w:color="auto"/>
      </w:divBdr>
    </w:div>
    <w:div w:id="758906951">
      <w:bodyDiv w:val="1"/>
      <w:marLeft w:val="0"/>
      <w:marRight w:val="0"/>
      <w:marTop w:val="0"/>
      <w:marBottom w:val="0"/>
      <w:divBdr>
        <w:top w:val="none" w:sz="0" w:space="0" w:color="auto"/>
        <w:left w:val="none" w:sz="0" w:space="0" w:color="auto"/>
        <w:bottom w:val="none" w:sz="0" w:space="0" w:color="auto"/>
        <w:right w:val="none" w:sz="0" w:space="0" w:color="auto"/>
      </w:divBdr>
    </w:div>
    <w:div w:id="764955655">
      <w:bodyDiv w:val="1"/>
      <w:marLeft w:val="0"/>
      <w:marRight w:val="0"/>
      <w:marTop w:val="0"/>
      <w:marBottom w:val="0"/>
      <w:divBdr>
        <w:top w:val="none" w:sz="0" w:space="0" w:color="auto"/>
        <w:left w:val="none" w:sz="0" w:space="0" w:color="auto"/>
        <w:bottom w:val="none" w:sz="0" w:space="0" w:color="auto"/>
        <w:right w:val="none" w:sz="0" w:space="0" w:color="auto"/>
      </w:divBdr>
    </w:div>
    <w:div w:id="773791823">
      <w:bodyDiv w:val="1"/>
      <w:marLeft w:val="0"/>
      <w:marRight w:val="0"/>
      <w:marTop w:val="0"/>
      <w:marBottom w:val="0"/>
      <w:divBdr>
        <w:top w:val="none" w:sz="0" w:space="0" w:color="auto"/>
        <w:left w:val="none" w:sz="0" w:space="0" w:color="auto"/>
        <w:bottom w:val="none" w:sz="0" w:space="0" w:color="auto"/>
        <w:right w:val="none" w:sz="0" w:space="0" w:color="auto"/>
      </w:divBdr>
    </w:div>
    <w:div w:id="777257333">
      <w:bodyDiv w:val="1"/>
      <w:marLeft w:val="0"/>
      <w:marRight w:val="0"/>
      <w:marTop w:val="0"/>
      <w:marBottom w:val="0"/>
      <w:divBdr>
        <w:top w:val="none" w:sz="0" w:space="0" w:color="auto"/>
        <w:left w:val="none" w:sz="0" w:space="0" w:color="auto"/>
        <w:bottom w:val="none" w:sz="0" w:space="0" w:color="auto"/>
        <w:right w:val="none" w:sz="0" w:space="0" w:color="auto"/>
      </w:divBdr>
    </w:div>
    <w:div w:id="795835326">
      <w:bodyDiv w:val="1"/>
      <w:marLeft w:val="0"/>
      <w:marRight w:val="0"/>
      <w:marTop w:val="0"/>
      <w:marBottom w:val="0"/>
      <w:divBdr>
        <w:top w:val="none" w:sz="0" w:space="0" w:color="auto"/>
        <w:left w:val="none" w:sz="0" w:space="0" w:color="auto"/>
        <w:bottom w:val="none" w:sz="0" w:space="0" w:color="auto"/>
        <w:right w:val="none" w:sz="0" w:space="0" w:color="auto"/>
      </w:divBdr>
    </w:div>
    <w:div w:id="796989398">
      <w:bodyDiv w:val="1"/>
      <w:marLeft w:val="0"/>
      <w:marRight w:val="0"/>
      <w:marTop w:val="0"/>
      <w:marBottom w:val="0"/>
      <w:divBdr>
        <w:top w:val="none" w:sz="0" w:space="0" w:color="auto"/>
        <w:left w:val="none" w:sz="0" w:space="0" w:color="auto"/>
        <w:bottom w:val="none" w:sz="0" w:space="0" w:color="auto"/>
        <w:right w:val="none" w:sz="0" w:space="0" w:color="auto"/>
      </w:divBdr>
    </w:div>
    <w:div w:id="809982299">
      <w:bodyDiv w:val="1"/>
      <w:marLeft w:val="0"/>
      <w:marRight w:val="0"/>
      <w:marTop w:val="0"/>
      <w:marBottom w:val="0"/>
      <w:divBdr>
        <w:top w:val="none" w:sz="0" w:space="0" w:color="auto"/>
        <w:left w:val="none" w:sz="0" w:space="0" w:color="auto"/>
        <w:bottom w:val="none" w:sz="0" w:space="0" w:color="auto"/>
        <w:right w:val="none" w:sz="0" w:space="0" w:color="auto"/>
      </w:divBdr>
    </w:div>
    <w:div w:id="822502742">
      <w:bodyDiv w:val="1"/>
      <w:marLeft w:val="0"/>
      <w:marRight w:val="0"/>
      <w:marTop w:val="0"/>
      <w:marBottom w:val="0"/>
      <w:divBdr>
        <w:top w:val="none" w:sz="0" w:space="0" w:color="auto"/>
        <w:left w:val="none" w:sz="0" w:space="0" w:color="auto"/>
        <w:bottom w:val="none" w:sz="0" w:space="0" w:color="auto"/>
        <w:right w:val="none" w:sz="0" w:space="0" w:color="auto"/>
      </w:divBdr>
    </w:div>
    <w:div w:id="826240024">
      <w:bodyDiv w:val="1"/>
      <w:marLeft w:val="0"/>
      <w:marRight w:val="0"/>
      <w:marTop w:val="0"/>
      <w:marBottom w:val="0"/>
      <w:divBdr>
        <w:top w:val="none" w:sz="0" w:space="0" w:color="auto"/>
        <w:left w:val="none" w:sz="0" w:space="0" w:color="auto"/>
        <w:bottom w:val="none" w:sz="0" w:space="0" w:color="auto"/>
        <w:right w:val="none" w:sz="0" w:space="0" w:color="auto"/>
      </w:divBdr>
    </w:div>
    <w:div w:id="828062332">
      <w:bodyDiv w:val="1"/>
      <w:marLeft w:val="0"/>
      <w:marRight w:val="0"/>
      <w:marTop w:val="0"/>
      <w:marBottom w:val="0"/>
      <w:divBdr>
        <w:top w:val="none" w:sz="0" w:space="0" w:color="auto"/>
        <w:left w:val="none" w:sz="0" w:space="0" w:color="auto"/>
        <w:bottom w:val="none" w:sz="0" w:space="0" w:color="auto"/>
        <w:right w:val="none" w:sz="0" w:space="0" w:color="auto"/>
      </w:divBdr>
    </w:div>
    <w:div w:id="839858527">
      <w:bodyDiv w:val="1"/>
      <w:marLeft w:val="0"/>
      <w:marRight w:val="0"/>
      <w:marTop w:val="0"/>
      <w:marBottom w:val="0"/>
      <w:divBdr>
        <w:top w:val="none" w:sz="0" w:space="0" w:color="auto"/>
        <w:left w:val="none" w:sz="0" w:space="0" w:color="auto"/>
        <w:bottom w:val="none" w:sz="0" w:space="0" w:color="auto"/>
        <w:right w:val="none" w:sz="0" w:space="0" w:color="auto"/>
      </w:divBdr>
    </w:div>
    <w:div w:id="842664636">
      <w:bodyDiv w:val="1"/>
      <w:marLeft w:val="0"/>
      <w:marRight w:val="0"/>
      <w:marTop w:val="0"/>
      <w:marBottom w:val="0"/>
      <w:divBdr>
        <w:top w:val="none" w:sz="0" w:space="0" w:color="auto"/>
        <w:left w:val="none" w:sz="0" w:space="0" w:color="auto"/>
        <w:bottom w:val="none" w:sz="0" w:space="0" w:color="auto"/>
        <w:right w:val="none" w:sz="0" w:space="0" w:color="auto"/>
      </w:divBdr>
    </w:div>
    <w:div w:id="876350766">
      <w:bodyDiv w:val="1"/>
      <w:marLeft w:val="0"/>
      <w:marRight w:val="0"/>
      <w:marTop w:val="0"/>
      <w:marBottom w:val="0"/>
      <w:divBdr>
        <w:top w:val="none" w:sz="0" w:space="0" w:color="auto"/>
        <w:left w:val="none" w:sz="0" w:space="0" w:color="auto"/>
        <w:bottom w:val="none" w:sz="0" w:space="0" w:color="auto"/>
        <w:right w:val="none" w:sz="0" w:space="0" w:color="auto"/>
      </w:divBdr>
    </w:div>
    <w:div w:id="886377252">
      <w:bodyDiv w:val="1"/>
      <w:marLeft w:val="0"/>
      <w:marRight w:val="0"/>
      <w:marTop w:val="0"/>
      <w:marBottom w:val="0"/>
      <w:divBdr>
        <w:top w:val="none" w:sz="0" w:space="0" w:color="auto"/>
        <w:left w:val="none" w:sz="0" w:space="0" w:color="auto"/>
        <w:bottom w:val="none" w:sz="0" w:space="0" w:color="auto"/>
        <w:right w:val="none" w:sz="0" w:space="0" w:color="auto"/>
      </w:divBdr>
    </w:div>
    <w:div w:id="894008928">
      <w:bodyDiv w:val="1"/>
      <w:marLeft w:val="0"/>
      <w:marRight w:val="0"/>
      <w:marTop w:val="0"/>
      <w:marBottom w:val="0"/>
      <w:divBdr>
        <w:top w:val="none" w:sz="0" w:space="0" w:color="auto"/>
        <w:left w:val="none" w:sz="0" w:space="0" w:color="auto"/>
        <w:bottom w:val="none" w:sz="0" w:space="0" w:color="auto"/>
        <w:right w:val="none" w:sz="0" w:space="0" w:color="auto"/>
      </w:divBdr>
    </w:div>
    <w:div w:id="899437597">
      <w:bodyDiv w:val="1"/>
      <w:marLeft w:val="0"/>
      <w:marRight w:val="0"/>
      <w:marTop w:val="0"/>
      <w:marBottom w:val="0"/>
      <w:divBdr>
        <w:top w:val="none" w:sz="0" w:space="0" w:color="auto"/>
        <w:left w:val="none" w:sz="0" w:space="0" w:color="auto"/>
        <w:bottom w:val="none" w:sz="0" w:space="0" w:color="auto"/>
        <w:right w:val="none" w:sz="0" w:space="0" w:color="auto"/>
      </w:divBdr>
    </w:div>
    <w:div w:id="901595818">
      <w:bodyDiv w:val="1"/>
      <w:marLeft w:val="0"/>
      <w:marRight w:val="0"/>
      <w:marTop w:val="0"/>
      <w:marBottom w:val="0"/>
      <w:divBdr>
        <w:top w:val="none" w:sz="0" w:space="0" w:color="auto"/>
        <w:left w:val="none" w:sz="0" w:space="0" w:color="auto"/>
        <w:bottom w:val="none" w:sz="0" w:space="0" w:color="auto"/>
        <w:right w:val="none" w:sz="0" w:space="0" w:color="auto"/>
      </w:divBdr>
    </w:div>
    <w:div w:id="905260816">
      <w:bodyDiv w:val="1"/>
      <w:marLeft w:val="0"/>
      <w:marRight w:val="0"/>
      <w:marTop w:val="0"/>
      <w:marBottom w:val="0"/>
      <w:divBdr>
        <w:top w:val="none" w:sz="0" w:space="0" w:color="auto"/>
        <w:left w:val="none" w:sz="0" w:space="0" w:color="auto"/>
        <w:bottom w:val="none" w:sz="0" w:space="0" w:color="auto"/>
        <w:right w:val="none" w:sz="0" w:space="0" w:color="auto"/>
      </w:divBdr>
    </w:div>
    <w:div w:id="906844713">
      <w:bodyDiv w:val="1"/>
      <w:marLeft w:val="0"/>
      <w:marRight w:val="0"/>
      <w:marTop w:val="0"/>
      <w:marBottom w:val="0"/>
      <w:divBdr>
        <w:top w:val="none" w:sz="0" w:space="0" w:color="auto"/>
        <w:left w:val="none" w:sz="0" w:space="0" w:color="auto"/>
        <w:bottom w:val="none" w:sz="0" w:space="0" w:color="auto"/>
        <w:right w:val="none" w:sz="0" w:space="0" w:color="auto"/>
      </w:divBdr>
    </w:div>
    <w:div w:id="907418824">
      <w:bodyDiv w:val="1"/>
      <w:marLeft w:val="0"/>
      <w:marRight w:val="0"/>
      <w:marTop w:val="0"/>
      <w:marBottom w:val="0"/>
      <w:divBdr>
        <w:top w:val="none" w:sz="0" w:space="0" w:color="auto"/>
        <w:left w:val="none" w:sz="0" w:space="0" w:color="auto"/>
        <w:bottom w:val="none" w:sz="0" w:space="0" w:color="auto"/>
        <w:right w:val="none" w:sz="0" w:space="0" w:color="auto"/>
      </w:divBdr>
    </w:div>
    <w:div w:id="915867655">
      <w:bodyDiv w:val="1"/>
      <w:marLeft w:val="0"/>
      <w:marRight w:val="0"/>
      <w:marTop w:val="0"/>
      <w:marBottom w:val="0"/>
      <w:divBdr>
        <w:top w:val="none" w:sz="0" w:space="0" w:color="auto"/>
        <w:left w:val="none" w:sz="0" w:space="0" w:color="auto"/>
        <w:bottom w:val="none" w:sz="0" w:space="0" w:color="auto"/>
        <w:right w:val="none" w:sz="0" w:space="0" w:color="auto"/>
      </w:divBdr>
    </w:div>
    <w:div w:id="925263704">
      <w:bodyDiv w:val="1"/>
      <w:marLeft w:val="0"/>
      <w:marRight w:val="0"/>
      <w:marTop w:val="0"/>
      <w:marBottom w:val="0"/>
      <w:divBdr>
        <w:top w:val="none" w:sz="0" w:space="0" w:color="auto"/>
        <w:left w:val="none" w:sz="0" w:space="0" w:color="auto"/>
        <w:bottom w:val="none" w:sz="0" w:space="0" w:color="auto"/>
        <w:right w:val="none" w:sz="0" w:space="0" w:color="auto"/>
      </w:divBdr>
    </w:div>
    <w:div w:id="932665253">
      <w:bodyDiv w:val="1"/>
      <w:marLeft w:val="0"/>
      <w:marRight w:val="0"/>
      <w:marTop w:val="0"/>
      <w:marBottom w:val="0"/>
      <w:divBdr>
        <w:top w:val="none" w:sz="0" w:space="0" w:color="auto"/>
        <w:left w:val="none" w:sz="0" w:space="0" w:color="auto"/>
        <w:bottom w:val="none" w:sz="0" w:space="0" w:color="auto"/>
        <w:right w:val="none" w:sz="0" w:space="0" w:color="auto"/>
      </w:divBdr>
    </w:div>
    <w:div w:id="956789257">
      <w:bodyDiv w:val="1"/>
      <w:marLeft w:val="0"/>
      <w:marRight w:val="0"/>
      <w:marTop w:val="0"/>
      <w:marBottom w:val="0"/>
      <w:divBdr>
        <w:top w:val="none" w:sz="0" w:space="0" w:color="auto"/>
        <w:left w:val="none" w:sz="0" w:space="0" w:color="auto"/>
        <w:bottom w:val="none" w:sz="0" w:space="0" w:color="auto"/>
        <w:right w:val="none" w:sz="0" w:space="0" w:color="auto"/>
      </w:divBdr>
    </w:div>
    <w:div w:id="963653947">
      <w:bodyDiv w:val="1"/>
      <w:marLeft w:val="0"/>
      <w:marRight w:val="0"/>
      <w:marTop w:val="0"/>
      <w:marBottom w:val="0"/>
      <w:divBdr>
        <w:top w:val="none" w:sz="0" w:space="0" w:color="auto"/>
        <w:left w:val="none" w:sz="0" w:space="0" w:color="auto"/>
        <w:bottom w:val="none" w:sz="0" w:space="0" w:color="auto"/>
        <w:right w:val="none" w:sz="0" w:space="0" w:color="auto"/>
      </w:divBdr>
    </w:div>
    <w:div w:id="967123163">
      <w:bodyDiv w:val="1"/>
      <w:marLeft w:val="0"/>
      <w:marRight w:val="0"/>
      <w:marTop w:val="0"/>
      <w:marBottom w:val="0"/>
      <w:divBdr>
        <w:top w:val="none" w:sz="0" w:space="0" w:color="auto"/>
        <w:left w:val="none" w:sz="0" w:space="0" w:color="auto"/>
        <w:bottom w:val="none" w:sz="0" w:space="0" w:color="auto"/>
        <w:right w:val="none" w:sz="0" w:space="0" w:color="auto"/>
      </w:divBdr>
    </w:div>
    <w:div w:id="969437814">
      <w:bodyDiv w:val="1"/>
      <w:marLeft w:val="0"/>
      <w:marRight w:val="0"/>
      <w:marTop w:val="0"/>
      <w:marBottom w:val="0"/>
      <w:divBdr>
        <w:top w:val="none" w:sz="0" w:space="0" w:color="auto"/>
        <w:left w:val="none" w:sz="0" w:space="0" w:color="auto"/>
        <w:bottom w:val="none" w:sz="0" w:space="0" w:color="auto"/>
        <w:right w:val="none" w:sz="0" w:space="0" w:color="auto"/>
      </w:divBdr>
    </w:div>
    <w:div w:id="983706008">
      <w:bodyDiv w:val="1"/>
      <w:marLeft w:val="0"/>
      <w:marRight w:val="0"/>
      <w:marTop w:val="0"/>
      <w:marBottom w:val="0"/>
      <w:divBdr>
        <w:top w:val="none" w:sz="0" w:space="0" w:color="auto"/>
        <w:left w:val="none" w:sz="0" w:space="0" w:color="auto"/>
        <w:bottom w:val="none" w:sz="0" w:space="0" w:color="auto"/>
        <w:right w:val="none" w:sz="0" w:space="0" w:color="auto"/>
      </w:divBdr>
    </w:div>
    <w:div w:id="984510762">
      <w:bodyDiv w:val="1"/>
      <w:marLeft w:val="0"/>
      <w:marRight w:val="0"/>
      <w:marTop w:val="0"/>
      <w:marBottom w:val="0"/>
      <w:divBdr>
        <w:top w:val="none" w:sz="0" w:space="0" w:color="auto"/>
        <w:left w:val="none" w:sz="0" w:space="0" w:color="auto"/>
        <w:bottom w:val="none" w:sz="0" w:space="0" w:color="auto"/>
        <w:right w:val="none" w:sz="0" w:space="0" w:color="auto"/>
      </w:divBdr>
    </w:div>
    <w:div w:id="985861683">
      <w:bodyDiv w:val="1"/>
      <w:marLeft w:val="0"/>
      <w:marRight w:val="0"/>
      <w:marTop w:val="0"/>
      <w:marBottom w:val="0"/>
      <w:divBdr>
        <w:top w:val="none" w:sz="0" w:space="0" w:color="auto"/>
        <w:left w:val="none" w:sz="0" w:space="0" w:color="auto"/>
        <w:bottom w:val="none" w:sz="0" w:space="0" w:color="auto"/>
        <w:right w:val="none" w:sz="0" w:space="0" w:color="auto"/>
      </w:divBdr>
    </w:div>
    <w:div w:id="1000542470">
      <w:bodyDiv w:val="1"/>
      <w:marLeft w:val="0"/>
      <w:marRight w:val="0"/>
      <w:marTop w:val="0"/>
      <w:marBottom w:val="0"/>
      <w:divBdr>
        <w:top w:val="none" w:sz="0" w:space="0" w:color="auto"/>
        <w:left w:val="none" w:sz="0" w:space="0" w:color="auto"/>
        <w:bottom w:val="none" w:sz="0" w:space="0" w:color="auto"/>
        <w:right w:val="none" w:sz="0" w:space="0" w:color="auto"/>
      </w:divBdr>
    </w:div>
    <w:div w:id="1038967449">
      <w:bodyDiv w:val="1"/>
      <w:marLeft w:val="0"/>
      <w:marRight w:val="0"/>
      <w:marTop w:val="0"/>
      <w:marBottom w:val="0"/>
      <w:divBdr>
        <w:top w:val="none" w:sz="0" w:space="0" w:color="auto"/>
        <w:left w:val="none" w:sz="0" w:space="0" w:color="auto"/>
        <w:bottom w:val="none" w:sz="0" w:space="0" w:color="auto"/>
        <w:right w:val="none" w:sz="0" w:space="0" w:color="auto"/>
      </w:divBdr>
    </w:div>
    <w:div w:id="1051811221">
      <w:bodyDiv w:val="1"/>
      <w:marLeft w:val="0"/>
      <w:marRight w:val="0"/>
      <w:marTop w:val="0"/>
      <w:marBottom w:val="0"/>
      <w:divBdr>
        <w:top w:val="none" w:sz="0" w:space="0" w:color="auto"/>
        <w:left w:val="none" w:sz="0" w:space="0" w:color="auto"/>
        <w:bottom w:val="none" w:sz="0" w:space="0" w:color="auto"/>
        <w:right w:val="none" w:sz="0" w:space="0" w:color="auto"/>
      </w:divBdr>
    </w:div>
    <w:div w:id="1086417129">
      <w:bodyDiv w:val="1"/>
      <w:marLeft w:val="0"/>
      <w:marRight w:val="0"/>
      <w:marTop w:val="0"/>
      <w:marBottom w:val="0"/>
      <w:divBdr>
        <w:top w:val="none" w:sz="0" w:space="0" w:color="auto"/>
        <w:left w:val="none" w:sz="0" w:space="0" w:color="auto"/>
        <w:bottom w:val="none" w:sz="0" w:space="0" w:color="auto"/>
        <w:right w:val="none" w:sz="0" w:space="0" w:color="auto"/>
      </w:divBdr>
    </w:div>
    <w:div w:id="1098520987">
      <w:bodyDiv w:val="1"/>
      <w:marLeft w:val="0"/>
      <w:marRight w:val="0"/>
      <w:marTop w:val="0"/>
      <w:marBottom w:val="0"/>
      <w:divBdr>
        <w:top w:val="none" w:sz="0" w:space="0" w:color="auto"/>
        <w:left w:val="none" w:sz="0" w:space="0" w:color="auto"/>
        <w:bottom w:val="none" w:sz="0" w:space="0" w:color="auto"/>
        <w:right w:val="none" w:sz="0" w:space="0" w:color="auto"/>
      </w:divBdr>
    </w:div>
    <w:div w:id="1098713486">
      <w:bodyDiv w:val="1"/>
      <w:marLeft w:val="0"/>
      <w:marRight w:val="0"/>
      <w:marTop w:val="0"/>
      <w:marBottom w:val="0"/>
      <w:divBdr>
        <w:top w:val="none" w:sz="0" w:space="0" w:color="auto"/>
        <w:left w:val="none" w:sz="0" w:space="0" w:color="auto"/>
        <w:bottom w:val="none" w:sz="0" w:space="0" w:color="auto"/>
        <w:right w:val="none" w:sz="0" w:space="0" w:color="auto"/>
      </w:divBdr>
    </w:div>
    <w:div w:id="1101098833">
      <w:bodyDiv w:val="1"/>
      <w:marLeft w:val="0"/>
      <w:marRight w:val="0"/>
      <w:marTop w:val="0"/>
      <w:marBottom w:val="0"/>
      <w:divBdr>
        <w:top w:val="none" w:sz="0" w:space="0" w:color="auto"/>
        <w:left w:val="none" w:sz="0" w:space="0" w:color="auto"/>
        <w:bottom w:val="none" w:sz="0" w:space="0" w:color="auto"/>
        <w:right w:val="none" w:sz="0" w:space="0" w:color="auto"/>
      </w:divBdr>
    </w:div>
    <w:div w:id="1114980825">
      <w:bodyDiv w:val="1"/>
      <w:marLeft w:val="0"/>
      <w:marRight w:val="0"/>
      <w:marTop w:val="0"/>
      <w:marBottom w:val="0"/>
      <w:divBdr>
        <w:top w:val="none" w:sz="0" w:space="0" w:color="auto"/>
        <w:left w:val="none" w:sz="0" w:space="0" w:color="auto"/>
        <w:bottom w:val="none" w:sz="0" w:space="0" w:color="auto"/>
        <w:right w:val="none" w:sz="0" w:space="0" w:color="auto"/>
      </w:divBdr>
    </w:div>
    <w:div w:id="1116949981">
      <w:bodyDiv w:val="1"/>
      <w:marLeft w:val="0"/>
      <w:marRight w:val="0"/>
      <w:marTop w:val="0"/>
      <w:marBottom w:val="0"/>
      <w:divBdr>
        <w:top w:val="none" w:sz="0" w:space="0" w:color="auto"/>
        <w:left w:val="none" w:sz="0" w:space="0" w:color="auto"/>
        <w:bottom w:val="none" w:sz="0" w:space="0" w:color="auto"/>
        <w:right w:val="none" w:sz="0" w:space="0" w:color="auto"/>
      </w:divBdr>
    </w:div>
    <w:div w:id="1117258776">
      <w:bodyDiv w:val="1"/>
      <w:marLeft w:val="0"/>
      <w:marRight w:val="0"/>
      <w:marTop w:val="0"/>
      <w:marBottom w:val="0"/>
      <w:divBdr>
        <w:top w:val="none" w:sz="0" w:space="0" w:color="auto"/>
        <w:left w:val="none" w:sz="0" w:space="0" w:color="auto"/>
        <w:bottom w:val="none" w:sz="0" w:space="0" w:color="auto"/>
        <w:right w:val="none" w:sz="0" w:space="0" w:color="auto"/>
      </w:divBdr>
    </w:div>
    <w:div w:id="1118181530">
      <w:bodyDiv w:val="1"/>
      <w:marLeft w:val="0"/>
      <w:marRight w:val="0"/>
      <w:marTop w:val="0"/>
      <w:marBottom w:val="0"/>
      <w:divBdr>
        <w:top w:val="none" w:sz="0" w:space="0" w:color="auto"/>
        <w:left w:val="none" w:sz="0" w:space="0" w:color="auto"/>
        <w:bottom w:val="none" w:sz="0" w:space="0" w:color="auto"/>
        <w:right w:val="none" w:sz="0" w:space="0" w:color="auto"/>
      </w:divBdr>
    </w:div>
    <w:div w:id="1135369671">
      <w:bodyDiv w:val="1"/>
      <w:marLeft w:val="0"/>
      <w:marRight w:val="0"/>
      <w:marTop w:val="0"/>
      <w:marBottom w:val="0"/>
      <w:divBdr>
        <w:top w:val="none" w:sz="0" w:space="0" w:color="auto"/>
        <w:left w:val="none" w:sz="0" w:space="0" w:color="auto"/>
        <w:bottom w:val="none" w:sz="0" w:space="0" w:color="auto"/>
        <w:right w:val="none" w:sz="0" w:space="0" w:color="auto"/>
      </w:divBdr>
    </w:div>
    <w:div w:id="1152256102">
      <w:bodyDiv w:val="1"/>
      <w:marLeft w:val="0"/>
      <w:marRight w:val="0"/>
      <w:marTop w:val="0"/>
      <w:marBottom w:val="0"/>
      <w:divBdr>
        <w:top w:val="none" w:sz="0" w:space="0" w:color="auto"/>
        <w:left w:val="none" w:sz="0" w:space="0" w:color="auto"/>
        <w:bottom w:val="none" w:sz="0" w:space="0" w:color="auto"/>
        <w:right w:val="none" w:sz="0" w:space="0" w:color="auto"/>
      </w:divBdr>
    </w:div>
    <w:div w:id="1152602889">
      <w:bodyDiv w:val="1"/>
      <w:marLeft w:val="0"/>
      <w:marRight w:val="0"/>
      <w:marTop w:val="0"/>
      <w:marBottom w:val="0"/>
      <w:divBdr>
        <w:top w:val="none" w:sz="0" w:space="0" w:color="auto"/>
        <w:left w:val="none" w:sz="0" w:space="0" w:color="auto"/>
        <w:bottom w:val="none" w:sz="0" w:space="0" w:color="auto"/>
        <w:right w:val="none" w:sz="0" w:space="0" w:color="auto"/>
      </w:divBdr>
    </w:div>
    <w:div w:id="1152796016">
      <w:bodyDiv w:val="1"/>
      <w:marLeft w:val="0"/>
      <w:marRight w:val="0"/>
      <w:marTop w:val="0"/>
      <w:marBottom w:val="0"/>
      <w:divBdr>
        <w:top w:val="none" w:sz="0" w:space="0" w:color="auto"/>
        <w:left w:val="none" w:sz="0" w:space="0" w:color="auto"/>
        <w:bottom w:val="none" w:sz="0" w:space="0" w:color="auto"/>
        <w:right w:val="none" w:sz="0" w:space="0" w:color="auto"/>
      </w:divBdr>
    </w:div>
    <w:div w:id="1160654380">
      <w:bodyDiv w:val="1"/>
      <w:marLeft w:val="0"/>
      <w:marRight w:val="0"/>
      <w:marTop w:val="0"/>
      <w:marBottom w:val="0"/>
      <w:divBdr>
        <w:top w:val="none" w:sz="0" w:space="0" w:color="auto"/>
        <w:left w:val="none" w:sz="0" w:space="0" w:color="auto"/>
        <w:bottom w:val="none" w:sz="0" w:space="0" w:color="auto"/>
        <w:right w:val="none" w:sz="0" w:space="0" w:color="auto"/>
      </w:divBdr>
    </w:div>
    <w:div w:id="1163427662">
      <w:bodyDiv w:val="1"/>
      <w:marLeft w:val="0"/>
      <w:marRight w:val="0"/>
      <w:marTop w:val="0"/>
      <w:marBottom w:val="0"/>
      <w:divBdr>
        <w:top w:val="none" w:sz="0" w:space="0" w:color="auto"/>
        <w:left w:val="none" w:sz="0" w:space="0" w:color="auto"/>
        <w:bottom w:val="none" w:sz="0" w:space="0" w:color="auto"/>
        <w:right w:val="none" w:sz="0" w:space="0" w:color="auto"/>
      </w:divBdr>
    </w:div>
    <w:div w:id="1164319118">
      <w:bodyDiv w:val="1"/>
      <w:marLeft w:val="0"/>
      <w:marRight w:val="0"/>
      <w:marTop w:val="0"/>
      <w:marBottom w:val="0"/>
      <w:divBdr>
        <w:top w:val="none" w:sz="0" w:space="0" w:color="auto"/>
        <w:left w:val="none" w:sz="0" w:space="0" w:color="auto"/>
        <w:bottom w:val="none" w:sz="0" w:space="0" w:color="auto"/>
        <w:right w:val="none" w:sz="0" w:space="0" w:color="auto"/>
      </w:divBdr>
    </w:div>
    <w:div w:id="1172720737">
      <w:bodyDiv w:val="1"/>
      <w:marLeft w:val="0"/>
      <w:marRight w:val="0"/>
      <w:marTop w:val="0"/>
      <w:marBottom w:val="0"/>
      <w:divBdr>
        <w:top w:val="none" w:sz="0" w:space="0" w:color="auto"/>
        <w:left w:val="none" w:sz="0" w:space="0" w:color="auto"/>
        <w:bottom w:val="none" w:sz="0" w:space="0" w:color="auto"/>
        <w:right w:val="none" w:sz="0" w:space="0" w:color="auto"/>
      </w:divBdr>
    </w:div>
    <w:div w:id="1182431831">
      <w:bodyDiv w:val="1"/>
      <w:marLeft w:val="0"/>
      <w:marRight w:val="0"/>
      <w:marTop w:val="0"/>
      <w:marBottom w:val="0"/>
      <w:divBdr>
        <w:top w:val="none" w:sz="0" w:space="0" w:color="auto"/>
        <w:left w:val="none" w:sz="0" w:space="0" w:color="auto"/>
        <w:bottom w:val="none" w:sz="0" w:space="0" w:color="auto"/>
        <w:right w:val="none" w:sz="0" w:space="0" w:color="auto"/>
      </w:divBdr>
    </w:div>
    <w:div w:id="1183588358">
      <w:bodyDiv w:val="1"/>
      <w:marLeft w:val="0"/>
      <w:marRight w:val="0"/>
      <w:marTop w:val="0"/>
      <w:marBottom w:val="0"/>
      <w:divBdr>
        <w:top w:val="none" w:sz="0" w:space="0" w:color="auto"/>
        <w:left w:val="none" w:sz="0" w:space="0" w:color="auto"/>
        <w:bottom w:val="none" w:sz="0" w:space="0" w:color="auto"/>
        <w:right w:val="none" w:sz="0" w:space="0" w:color="auto"/>
      </w:divBdr>
    </w:div>
    <w:div w:id="1187644141">
      <w:bodyDiv w:val="1"/>
      <w:marLeft w:val="0"/>
      <w:marRight w:val="0"/>
      <w:marTop w:val="0"/>
      <w:marBottom w:val="0"/>
      <w:divBdr>
        <w:top w:val="none" w:sz="0" w:space="0" w:color="auto"/>
        <w:left w:val="none" w:sz="0" w:space="0" w:color="auto"/>
        <w:bottom w:val="none" w:sz="0" w:space="0" w:color="auto"/>
        <w:right w:val="none" w:sz="0" w:space="0" w:color="auto"/>
      </w:divBdr>
    </w:div>
    <w:div w:id="1196847502">
      <w:bodyDiv w:val="1"/>
      <w:marLeft w:val="0"/>
      <w:marRight w:val="0"/>
      <w:marTop w:val="0"/>
      <w:marBottom w:val="0"/>
      <w:divBdr>
        <w:top w:val="none" w:sz="0" w:space="0" w:color="auto"/>
        <w:left w:val="none" w:sz="0" w:space="0" w:color="auto"/>
        <w:bottom w:val="none" w:sz="0" w:space="0" w:color="auto"/>
        <w:right w:val="none" w:sz="0" w:space="0" w:color="auto"/>
      </w:divBdr>
    </w:div>
    <w:div w:id="1201212013">
      <w:bodyDiv w:val="1"/>
      <w:marLeft w:val="0"/>
      <w:marRight w:val="0"/>
      <w:marTop w:val="0"/>
      <w:marBottom w:val="0"/>
      <w:divBdr>
        <w:top w:val="none" w:sz="0" w:space="0" w:color="auto"/>
        <w:left w:val="none" w:sz="0" w:space="0" w:color="auto"/>
        <w:bottom w:val="none" w:sz="0" w:space="0" w:color="auto"/>
        <w:right w:val="none" w:sz="0" w:space="0" w:color="auto"/>
      </w:divBdr>
    </w:div>
    <w:div w:id="1201361676">
      <w:bodyDiv w:val="1"/>
      <w:marLeft w:val="0"/>
      <w:marRight w:val="0"/>
      <w:marTop w:val="0"/>
      <w:marBottom w:val="0"/>
      <w:divBdr>
        <w:top w:val="none" w:sz="0" w:space="0" w:color="auto"/>
        <w:left w:val="none" w:sz="0" w:space="0" w:color="auto"/>
        <w:bottom w:val="none" w:sz="0" w:space="0" w:color="auto"/>
        <w:right w:val="none" w:sz="0" w:space="0" w:color="auto"/>
      </w:divBdr>
    </w:div>
    <w:div w:id="1224634445">
      <w:bodyDiv w:val="1"/>
      <w:marLeft w:val="0"/>
      <w:marRight w:val="0"/>
      <w:marTop w:val="0"/>
      <w:marBottom w:val="0"/>
      <w:divBdr>
        <w:top w:val="none" w:sz="0" w:space="0" w:color="auto"/>
        <w:left w:val="none" w:sz="0" w:space="0" w:color="auto"/>
        <w:bottom w:val="none" w:sz="0" w:space="0" w:color="auto"/>
        <w:right w:val="none" w:sz="0" w:space="0" w:color="auto"/>
      </w:divBdr>
    </w:div>
    <w:div w:id="1228954939">
      <w:bodyDiv w:val="1"/>
      <w:marLeft w:val="0"/>
      <w:marRight w:val="0"/>
      <w:marTop w:val="0"/>
      <w:marBottom w:val="0"/>
      <w:divBdr>
        <w:top w:val="none" w:sz="0" w:space="0" w:color="auto"/>
        <w:left w:val="none" w:sz="0" w:space="0" w:color="auto"/>
        <w:bottom w:val="none" w:sz="0" w:space="0" w:color="auto"/>
        <w:right w:val="none" w:sz="0" w:space="0" w:color="auto"/>
      </w:divBdr>
    </w:div>
    <w:div w:id="1236746821">
      <w:bodyDiv w:val="1"/>
      <w:marLeft w:val="0"/>
      <w:marRight w:val="0"/>
      <w:marTop w:val="0"/>
      <w:marBottom w:val="0"/>
      <w:divBdr>
        <w:top w:val="none" w:sz="0" w:space="0" w:color="auto"/>
        <w:left w:val="none" w:sz="0" w:space="0" w:color="auto"/>
        <w:bottom w:val="none" w:sz="0" w:space="0" w:color="auto"/>
        <w:right w:val="none" w:sz="0" w:space="0" w:color="auto"/>
      </w:divBdr>
    </w:div>
    <w:div w:id="1249342752">
      <w:bodyDiv w:val="1"/>
      <w:marLeft w:val="0"/>
      <w:marRight w:val="0"/>
      <w:marTop w:val="0"/>
      <w:marBottom w:val="0"/>
      <w:divBdr>
        <w:top w:val="none" w:sz="0" w:space="0" w:color="auto"/>
        <w:left w:val="none" w:sz="0" w:space="0" w:color="auto"/>
        <w:bottom w:val="none" w:sz="0" w:space="0" w:color="auto"/>
        <w:right w:val="none" w:sz="0" w:space="0" w:color="auto"/>
      </w:divBdr>
    </w:div>
    <w:div w:id="1253123146">
      <w:bodyDiv w:val="1"/>
      <w:marLeft w:val="0"/>
      <w:marRight w:val="0"/>
      <w:marTop w:val="0"/>
      <w:marBottom w:val="0"/>
      <w:divBdr>
        <w:top w:val="none" w:sz="0" w:space="0" w:color="auto"/>
        <w:left w:val="none" w:sz="0" w:space="0" w:color="auto"/>
        <w:bottom w:val="none" w:sz="0" w:space="0" w:color="auto"/>
        <w:right w:val="none" w:sz="0" w:space="0" w:color="auto"/>
      </w:divBdr>
    </w:div>
    <w:div w:id="1254779754">
      <w:bodyDiv w:val="1"/>
      <w:marLeft w:val="0"/>
      <w:marRight w:val="0"/>
      <w:marTop w:val="0"/>
      <w:marBottom w:val="0"/>
      <w:divBdr>
        <w:top w:val="none" w:sz="0" w:space="0" w:color="auto"/>
        <w:left w:val="none" w:sz="0" w:space="0" w:color="auto"/>
        <w:bottom w:val="none" w:sz="0" w:space="0" w:color="auto"/>
        <w:right w:val="none" w:sz="0" w:space="0" w:color="auto"/>
      </w:divBdr>
    </w:div>
    <w:div w:id="1258513993">
      <w:bodyDiv w:val="1"/>
      <w:marLeft w:val="0"/>
      <w:marRight w:val="0"/>
      <w:marTop w:val="0"/>
      <w:marBottom w:val="0"/>
      <w:divBdr>
        <w:top w:val="none" w:sz="0" w:space="0" w:color="auto"/>
        <w:left w:val="none" w:sz="0" w:space="0" w:color="auto"/>
        <w:bottom w:val="none" w:sz="0" w:space="0" w:color="auto"/>
        <w:right w:val="none" w:sz="0" w:space="0" w:color="auto"/>
      </w:divBdr>
    </w:div>
    <w:div w:id="1259604781">
      <w:bodyDiv w:val="1"/>
      <w:marLeft w:val="0"/>
      <w:marRight w:val="0"/>
      <w:marTop w:val="0"/>
      <w:marBottom w:val="0"/>
      <w:divBdr>
        <w:top w:val="none" w:sz="0" w:space="0" w:color="auto"/>
        <w:left w:val="none" w:sz="0" w:space="0" w:color="auto"/>
        <w:bottom w:val="none" w:sz="0" w:space="0" w:color="auto"/>
        <w:right w:val="none" w:sz="0" w:space="0" w:color="auto"/>
      </w:divBdr>
      <w:divsChild>
        <w:div w:id="771970159">
          <w:marLeft w:val="0"/>
          <w:marRight w:val="0"/>
          <w:marTop w:val="0"/>
          <w:marBottom w:val="0"/>
          <w:divBdr>
            <w:top w:val="none" w:sz="0" w:space="0" w:color="auto"/>
            <w:left w:val="none" w:sz="0" w:space="0" w:color="auto"/>
            <w:bottom w:val="none" w:sz="0" w:space="0" w:color="auto"/>
            <w:right w:val="none" w:sz="0" w:space="0" w:color="auto"/>
          </w:divBdr>
          <w:divsChild>
            <w:div w:id="841243896">
              <w:marLeft w:val="0"/>
              <w:marRight w:val="0"/>
              <w:marTop w:val="0"/>
              <w:marBottom w:val="0"/>
              <w:divBdr>
                <w:top w:val="none" w:sz="0" w:space="0" w:color="auto"/>
                <w:left w:val="none" w:sz="0" w:space="0" w:color="auto"/>
                <w:bottom w:val="none" w:sz="0" w:space="0" w:color="auto"/>
                <w:right w:val="none" w:sz="0" w:space="0" w:color="auto"/>
              </w:divBdr>
              <w:divsChild>
                <w:div w:id="8380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22015">
      <w:bodyDiv w:val="1"/>
      <w:marLeft w:val="0"/>
      <w:marRight w:val="0"/>
      <w:marTop w:val="0"/>
      <w:marBottom w:val="0"/>
      <w:divBdr>
        <w:top w:val="none" w:sz="0" w:space="0" w:color="auto"/>
        <w:left w:val="none" w:sz="0" w:space="0" w:color="auto"/>
        <w:bottom w:val="none" w:sz="0" w:space="0" w:color="auto"/>
        <w:right w:val="none" w:sz="0" w:space="0" w:color="auto"/>
      </w:divBdr>
      <w:divsChild>
        <w:div w:id="2010209697">
          <w:marLeft w:val="0"/>
          <w:marRight w:val="0"/>
          <w:marTop w:val="0"/>
          <w:marBottom w:val="0"/>
          <w:divBdr>
            <w:top w:val="none" w:sz="0" w:space="0" w:color="auto"/>
            <w:left w:val="none" w:sz="0" w:space="0" w:color="auto"/>
            <w:bottom w:val="none" w:sz="0" w:space="0" w:color="auto"/>
            <w:right w:val="none" w:sz="0" w:space="0" w:color="auto"/>
          </w:divBdr>
        </w:div>
      </w:divsChild>
    </w:div>
    <w:div w:id="1263342946">
      <w:bodyDiv w:val="1"/>
      <w:marLeft w:val="0"/>
      <w:marRight w:val="0"/>
      <w:marTop w:val="0"/>
      <w:marBottom w:val="0"/>
      <w:divBdr>
        <w:top w:val="none" w:sz="0" w:space="0" w:color="auto"/>
        <w:left w:val="none" w:sz="0" w:space="0" w:color="auto"/>
        <w:bottom w:val="none" w:sz="0" w:space="0" w:color="auto"/>
        <w:right w:val="none" w:sz="0" w:space="0" w:color="auto"/>
      </w:divBdr>
    </w:div>
    <w:div w:id="1272936581">
      <w:bodyDiv w:val="1"/>
      <w:marLeft w:val="0"/>
      <w:marRight w:val="0"/>
      <w:marTop w:val="0"/>
      <w:marBottom w:val="0"/>
      <w:divBdr>
        <w:top w:val="none" w:sz="0" w:space="0" w:color="auto"/>
        <w:left w:val="none" w:sz="0" w:space="0" w:color="auto"/>
        <w:bottom w:val="none" w:sz="0" w:space="0" w:color="auto"/>
        <w:right w:val="none" w:sz="0" w:space="0" w:color="auto"/>
      </w:divBdr>
    </w:div>
    <w:div w:id="1276447144">
      <w:bodyDiv w:val="1"/>
      <w:marLeft w:val="0"/>
      <w:marRight w:val="0"/>
      <w:marTop w:val="0"/>
      <w:marBottom w:val="0"/>
      <w:divBdr>
        <w:top w:val="none" w:sz="0" w:space="0" w:color="auto"/>
        <w:left w:val="none" w:sz="0" w:space="0" w:color="auto"/>
        <w:bottom w:val="none" w:sz="0" w:space="0" w:color="auto"/>
        <w:right w:val="none" w:sz="0" w:space="0" w:color="auto"/>
      </w:divBdr>
    </w:div>
    <w:div w:id="1277297556">
      <w:bodyDiv w:val="1"/>
      <w:marLeft w:val="0"/>
      <w:marRight w:val="0"/>
      <w:marTop w:val="0"/>
      <w:marBottom w:val="0"/>
      <w:divBdr>
        <w:top w:val="none" w:sz="0" w:space="0" w:color="auto"/>
        <w:left w:val="none" w:sz="0" w:space="0" w:color="auto"/>
        <w:bottom w:val="none" w:sz="0" w:space="0" w:color="auto"/>
        <w:right w:val="none" w:sz="0" w:space="0" w:color="auto"/>
      </w:divBdr>
    </w:div>
    <w:div w:id="1290747849">
      <w:bodyDiv w:val="1"/>
      <w:marLeft w:val="0"/>
      <w:marRight w:val="0"/>
      <w:marTop w:val="0"/>
      <w:marBottom w:val="0"/>
      <w:divBdr>
        <w:top w:val="none" w:sz="0" w:space="0" w:color="auto"/>
        <w:left w:val="none" w:sz="0" w:space="0" w:color="auto"/>
        <w:bottom w:val="none" w:sz="0" w:space="0" w:color="auto"/>
        <w:right w:val="none" w:sz="0" w:space="0" w:color="auto"/>
      </w:divBdr>
    </w:div>
    <w:div w:id="1293248055">
      <w:bodyDiv w:val="1"/>
      <w:marLeft w:val="0"/>
      <w:marRight w:val="0"/>
      <w:marTop w:val="0"/>
      <w:marBottom w:val="0"/>
      <w:divBdr>
        <w:top w:val="none" w:sz="0" w:space="0" w:color="auto"/>
        <w:left w:val="none" w:sz="0" w:space="0" w:color="auto"/>
        <w:bottom w:val="none" w:sz="0" w:space="0" w:color="auto"/>
        <w:right w:val="none" w:sz="0" w:space="0" w:color="auto"/>
      </w:divBdr>
    </w:div>
    <w:div w:id="1308323300">
      <w:bodyDiv w:val="1"/>
      <w:marLeft w:val="0"/>
      <w:marRight w:val="0"/>
      <w:marTop w:val="0"/>
      <w:marBottom w:val="0"/>
      <w:divBdr>
        <w:top w:val="none" w:sz="0" w:space="0" w:color="auto"/>
        <w:left w:val="none" w:sz="0" w:space="0" w:color="auto"/>
        <w:bottom w:val="none" w:sz="0" w:space="0" w:color="auto"/>
        <w:right w:val="none" w:sz="0" w:space="0" w:color="auto"/>
      </w:divBdr>
    </w:div>
    <w:div w:id="1308628088">
      <w:bodyDiv w:val="1"/>
      <w:marLeft w:val="0"/>
      <w:marRight w:val="0"/>
      <w:marTop w:val="0"/>
      <w:marBottom w:val="0"/>
      <w:divBdr>
        <w:top w:val="none" w:sz="0" w:space="0" w:color="auto"/>
        <w:left w:val="none" w:sz="0" w:space="0" w:color="auto"/>
        <w:bottom w:val="none" w:sz="0" w:space="0" w:color="auto"/>
        <w:right w:val="none" w:sz="0" w:space="0" w:color="auto"/>
      </w:divBdr>
    </w:div>
    <w:div w:id="1312363833">
      <w:bodyDiv w:val="1"/>
      <w:marLeft w:val="0"/>
      <w:marRight w:val="0"/>
      <w:marTop w:val="0"/>
      <w:marBottom w:val="0"/>
      <w:divBdr>
        <w:top w:val="none" w:sz="0" w:space="0" w:color="auto"/>
        <w:left w:val="none" w:sz="0" w:space="0" w:color="auto"/>
        <w:bottom w:val="none" w:sz="0" w:space="0" w:color="auto"/>
        <w:right w:val="none" w:sz="0" w:space="0" w:color="auto"/>
      </w:divBdr>
    </w:div>
    <w:div w:id="1324896001">
      <w:bodyDiv w:val="1"/>
      <w:marLeft w:val="0"/>
      <w:marRight w:val="0"/>
      <w:marTop w:val="0"/>
      <w:marBottom w:val="0"/>
      <w:divBdr>
        <w:top w:val="none" w:sz="0" w:space="0" w:color="auto"/>
        <w:left w:val="none" w:sz="0" w:space="0" w:color="auto"/>
        <w:bottom w:val="none" w:sz="0" w:space="0" w:color="auto"/>
        <w:right w:val="none" w:sz="0" w:space="0" w:color="auto"/>
      </w:divBdr>
    </w:div>
    <w:div w:id="1325620287">
      <w:bodyDiv w:val="1"/>
      <w:marLeft w:val="0"/>
      <w:marRight w:val="0"/>
      <w:marTop w:val="0"/>
      <w:marBottom w:val="0"/>
      <w:divBdr>
        <w:top w:val="none" w:sz="0" w:space="0" w:color="auto"/>
        <w:left w:val="none" w:sz="0" w:space="0" w:color="auto"/>
        <w:bottom w:val="none" w:sz="0" w:space="0" w:color="auto"/>
        <w:right w:val="none" w:sz="0" w:space="0" w:color="auto"/>
      </w:divBdr>
    </w:div>
    <w:div w:id="1338313042">
      <w:bodyDiv w:val="1"/>
      <w:marLeft w:val="0"/>
      <w:marRight w:val="0"/>
      <w:marTop w:val="0"/>
      <w:marBottom w:val="0"/>
      <w:divBdr>
        <w:top w:val="none" w:sz="0" w:space="0" w:color="auto"/>
        <w:left w:val="none" w:sz="0" w:space="0" w:color="auto"/>
        <w:bottom w:val="none" w:sz="0" w:space="0" w:color="auto"/>
        <w:right w:val="none" w:sz="0" w:space="0" w:color="auto"/>
      </w:divBdr>
    </w:div>
    <w:div w:id="1343706627">
      <w:bodyDiv w:val="1"/>
      <w:marLeft w:val="0"/>
      <w:marRight w:val="0"/>
      <w:marTop w:val="0"/>
      <w:marBottom w:val="0"/>
      <w:divBdr>
        <w:top w:val="none" w:sz="0" w:space="0" w:color="auto"/>
        <w:left w:val="none" w:sz="0" w:space="0" w:color="auto"/>
        <w:bottom w:val="none" w:sz="0" w:space="0" w:color="auto"/>
        <w:right w:val="none" w:sz="0" w:space="0" w:color="auto"/>
      </w:divBdr>
    </w:div>
    <w:div w:id="1360593654">
      <w:bodyDiv w:val="1"/>
      <w:marLeft w:val="0"/>
      <w:marRight w:val="0"/>
      <w:marTop w:val="0"/>
      <w:marBottom w:val="0"/>
      <w:divBdr>
        <w:top w:val="none" w:sz="0" w:space="0" w:color="auto"/>
        <w:left w:val="none" w:sz="0" w:space="0" w:color="auto"/>
        <w:bottom w:val="none" w:sz="0" w:space="0" w:color="auto"/>
        <w:right w:val="none" w:sz="0" w:space="0" w:color="auto"/>
      </w:divBdr>
    </w:div>
    <w:div w:id="1362706495">
      <w:bodyDiv w:val="1"/>
      <w:marLeft w:val="0"/>
      <w:marRight w:val="0"/>
      <w:marTop w:val="0"/>
      <w:marBottom w:val="0"/>
      <w:divBdr>
        <w:top w:val="none" w:sz="0" w:space="0" w:color="auto"/>
        <w:left w:val="none" w:sz="0" w:space="0" w:color="auto"/>
        <w:bottom w:val="none" w:sz="0" w:space="0" w:color="auto"/>
        <w:right w:val="none" w:sz="0" w:space="0" w:color="auto"/>
      </w:divBdr>
    </w:div>
    <w:div w:id="1378354271">
      <w:bodyDiv w:val="1"/>
      <w:marLeft w:val="0"/>
      <w:marRight w:val="0"/>
      <w:marTop w:val="0"/>
      <w:marBottom w:val="0"/>
      <w:divBdr>
        <w:top w:val="none" w:sz="0" w:space="0" w:color="auto"/>
        <w:left w:val="none" w:sz="0" w:space="0" w:color="auto"/>
        <w:bottom w:val="none" w:sz="0" w:space="0" w:color="auto"/>
        <w:right w:val="none" w:sz="0" w:space="0" w:color="auto"/>
      </w:divBdr>
    </w:div>
    <w:div w:id="1384865449">
      <w:bodyDiv w:val="1"/>
      <w:marLeft w:val="0"/>
      <w:marRight w:val="0"/>
      <w:marTop w:val="0"/>
      <w:marBottom w:val="0"/>
      <w:divBdr>
        <w:top w:val="none" w:sz="0" w:space="0" w:color="auto"/>
        <w:left w:val="none" w:sz="0" w:space="0" w:color="auto"/>
        <w:bottom w:val="none" w:sz="0" w:space="0" w:color="auto"/>
        <w:right w:val="none" w:sz="0" w:space="0" w:color="auto"/>
      </w:divBdr>
    </w:div>
    <w:div w:id="1385980114">
      <w:bodyDiv w:val="1"/>
      <w:marLeft w:val="0"/>
      <w:marRight w:val="0"/>
      <w:marTop w:val="0"/>
      <w:marBottom w:val="0"/>
      <w:divBdr>
        <w:top w:val="none" w:sz="0" w:space="0" w:color="auto"/>
        <w:left w:val="none" w:sz="0" w:space="0" w:color="auto"/>
        <w:bottom w:val="none" w:sz="0" w:space="0" w:color="auto"/>
        <w:right w:val="none" w:sz="0" w:space="0" w:color="auto"/>
      </w:divBdr>
    </w:div>
    <w:div w:id="1386678759">
      <w:bodyDiv w:val="1"/>
      <w:marLeft w:val="0"/>
      <w:marRight w:val="0"/>
      <w:marTop w:val="0"/>
      <w:marBottom w:val="0"/>
      <w:divBdr>
        <w:top w:val="none" w:sz="0" w:space="0" w:color="auto"/>
        <w:left w:val="none" w:sz="0" w:space="0" w:color="auto"/>
        <w:bottom w:val="none" w:sz="0" w:space="0" w:color="auto"/>
        <w:right w:val="none" w:sz="0" w:space="0" w:color="auto"/>
      </w:divBdr>
    </w:div>
    <w:div w:id="1391533292">
      <w:bodyDiv w:val="1"/>
      <w:marLeft w:val="0"/>
      <w:marRight w:val="0"/>
      <w:marTop w:val="0"/>
      <w:marBottom w:val="0"/>
      <w:divBdr>
        <w:top w:val="none" w:sz="0" w:space="0" w:color="auto"/>
        <w:left w:val="none" w:sz="0" w:space="0" w:color="auto"/>
        <w:bottom w:val="none" w:sz="0" w:space="0" w:color="auto"/>
        <w:right w:val="none" w:sz="0" w:space="0" w:color="auto"/>
      </w:divBdr>
    </w:div>
    <w:div w:id="1395808558">
      <w:bodyDiv w:val="1"/>
      <w:marLeft w:val="0"/>
      <w:marRight w:val="0"/>
      <w:marTop w:val="0"/>
      <w:marBottom w:val="0"/>
      <w:divBdr>
        <w:top w:val="none" w:sz="0" w:space="0" w:color="auto"/>
        <w:left w:val="none" w:sz="0" w:space="0" w:color="auto"/>
        <w:bottom w:val="none" w:sz="0" w:space="0" w:color="auto"/>
        <w:right w:val="none" w:sz="0" w:space="0" w:color="auto"/>
      </w:divBdr>
    </w:div>
    <w:div w:id="1400327286">
      <w:bodyDiv w:val="1"/>
      <w:marLeft w:val="0"/>
      <w:marRight w:val="0"/>
      <w:marTop w:val="0"/>
      <w:marBottom w:val="0"/>
      <w:divBdr>
        <w:top w:val="none" w:sz="0" w:space="0" w:color="auto"/>
        <w:left w:val="none" w:sz="0" w:space="0" w:color="auto"/>
        <w:bottom w:val="none" w:sz="0" w:space="0" w:color="auto"/>
        <w:right w:val="none" w:sz="0" w:space="0" w:color="auto"/>
      </w:divBdr>
    </w:div>
    <w:div w:id="1401781404">
      <w:bodyDiv w:val="1"/>
      <w:marLeft w:val="0"/>
      <w:marRight w:val="0"/>
      <w:marTop w:val="0"/>
      <w:marBottom w:val="0"/>
      <w:divBdr>
        <w:top w:val="none" w:sz="0" w:space="0" w:color="auto"/>
        <w:left w:val="none" w:sz="0" w:space="0" w:color="auto"/>
        <w:bottom w:val="none" w:sz="0" w:space="0" w:color="auto"/>
        <w:right w:val="none" w:sz="0" w:space="0" w:color="auto"/>
      </w:divBdr>
    </w:div>
    <w:div w:id="1405377181">
      <w:bodyDiv w:val="1"/>
      <w:marLeft w:val="0"/>
      <w:marRight w:val="0"/>
      <w:marTop w:val="0"/>
      <w:marBottom w:val="0"/>
      <w:divBdr>
        <w:top w:val="none" w:sz="0" w:space="0" w:color="auto"/>
        <w:left w:val="none" w:sz="0" w:space="0" w:color="auto"/>
        <w:bottom w:val="none" w:sz="0" w:space="0" w:color="auto"/>
        <w:right w:val="none" w:sz="0" w:space="0" w:color="auto"/>
      </w:divBdr>
    </w:div>
    <w:div w:id="1426731516">
      <w:bodyDiv w:val="1"/>
      <w:marLeft w:val="0"/>
      <w:marRight w:val="0"/>
      <w:marTop w:val="0"/>
      <w:marBottom w:val="0"/>
      <w:divBdr>
        <w:top w:val="none" w:sz="0" w:space="0" w:color="auto"/>
        <w:left w:val="none" w:sz="0" w:space="0" w:color="auto"/>
        <w:bottom w:val="none" w:sz="0" w:space="0" w:color="auto"/>
        <w:right w:val="none" w:sz="0" w:space="0" w:color="auto"/>
      </w:divBdr>
    </w:div>
    <w:div w:id="1428305296">
      <w:bodyDiv w:val="1"/>
      <w:marLeft w:val="0"/>
      <w:marRight w:val="0"/>
      <w:marTop w:val="0"/>
      <w:marBottom w:val="0"/>
      <w:divBdr>
        <w:top w:val="none" w:sz="0" w:space="0" w:color="auto"/>
        <w:left w:val="none" w:sz="0" w:space="0" w:color="auto"/>
        <w:bottom w:val="none" w:sz="0" w:space="0" w:color="auto"/>
        <w:right w:val="none" w:sz="0" w:space="0" w:color="auto"/>
      </w:divBdr>
    </w:div>
    <w:div w:id="1428379953">
      <w:bodyDiv w:val="1"/>
      <w:marLeft w:val="0"/>
      <w:marRight w:val="0"/>
      <w:marTop w:val="0"/>
      <w:marBottom w:val="0"/>
      <w:divBdr>
        <w:top w:val="none" w:sz="0" w:space="0" w:color="auto"/>
        <w:left w:val="none" w:sz="0" w:space="0" w:color="auto"/>
        <w:bottom w:val="none" w:sz="0" w:space="0" w:color="auto"/>
        <w:right w:val="none" w:sz="0" w:space="0" w:color="auto"/>
      </w:divBdr>
    </w:div>
    <w:div w:id="1431927272">
      <w:bodyDiv w:val="1"/>
      <w:marLeft w:val="0"/>
      <w:marRight w:val="0"/>
      <w:marTop w:val="0"/>
      <w:marBottom w:val="0"/>
      <w:divBdr>
        <w:top w:val="none" w:sz="0" w:space="0" w:color="auto"/>
        <w:left w:val="none" w:sz="0" w:space="0" w:color="auto"/>
        <w:bottom w:val="none" w:sz="0" w:space="0" w:color="auto"/>
        <w:right w:val="none" w:sz="0" w:space="0" w:color="auto"/>
      </w:divBdr>
    </w:div>
    <w:div w:id="1440756602">
      <w:bodyDiv w:val="1"/>
      <w:marLeft w:val="0"/>
      <w:marRight w:val="0"/>
      <w:marTop w:val="0"/>
      <w:marBottom w:val="0"/>
      <w:divBdr>
        <w:top w:val="none" w:sz="0" w:space="0" w:color="auto"/>
        <w:left w:val="none" w:sz="0" w:space="0" w:color="auto"/>
        <w:bottom w:val="none" w:sz="0" w:space="0" w:color="auto"/>
        <w:right w:val="none" w:sz="0" w:space="0" w:color="auto"/>
      </w:divBdr>
    </w:div>
    <w:div w:id="1445231370">
      <w:bodyDiv w:val="1"/>
      <w:marLeft w:val="0"/>
      <w:marRight w:val="0"/>
      <w:marTop w:val="0"/>
      <w:marBottom w:val="0"/>
      <w:divBdr>
        <w:top w:val="none" w:sz="0" w:space="0" w:color="auto"/>
        <w:left w:val="none" w:sz="0" w:space="0" w:color="auto"/>
        <w:bottom w:val="none" w:sz="0" w:space="0" w:color="auto"/>
        <w:right w:val="none" w:sz="0" w:space="0" w:color="auto"/>
      </w:divBdr>
    </w:div>
    <w:div w:id="1447651142">
      <w:bodyDiv w:val="1"/>
      <w:marLeft w:val="0"/>
      <w:marRight w:val="0"/>
      <w:marTop w:val="0"/>
      <w:marBottom w:val="0"/>
      <w:divBdr>
        <w:top w:val="none" w:sz="0" w:space="0" w:color="auto"/>
        <w:left w:val="none" w:sz="0" w:space="0" w:color="auto"/>
        <w:bottom w:val="none" w:sz="0" w:space="0" w:color="auto"/>
        <w:right w:val="none" w:sz="0" w:space="0" w:color="auto"/>
      </w:divBdr>
    </w:div>
    <w:div w:id="1465655170">
      <w:bodyDiv w:val="1"/>
      <w:marLeft w:val="0"/>
      <w:marRight w:val="0"/>
      <w:marTop w:val="0"/>
      <w:marBottom w:val="0"/>
      <w:divBdr>
        <w:top w:val="none" w:sz="0" w:space="0" w:color="auto"/>
        <w:left w:val="none" w:sz="0" w:space="0" w:color="auto"/>
        <w:bottom w:val="none" w:sz="0" w:space="0" w:color="auto"/>
        <w:right w:val="none" w:sz="0" w:space="0" w:color="auto"/>
      </w:divBdr>
    </w:div>
    <w:div w:id="1478570085">
      <w:bodyDiv w:val="1"/>
      <w:marLeft w:val="0"/>
      <w:marRight w:val="0"/>
      <w:marTop w:val="0"/>
      <w:marBottom w:val="0"/>
      <w:divBdr>
        <w:top w:val="none" w:sz="0" w:space="0" w:color="auto"/>
        <w:left w:val="none" w:sz="0" w:space="0" w:color="auto"/>
        <w:bottom w:val="none" w:sz="0" w:space="0" w:color="auto"/>
        <w:right w:val="none" w:sz="0" w:space="0" w:color="auto"/>
      </w:divBdr>
    </w:div>
    <w:div w:id="1480731249">
      <w:bodyDiv w:val="1"/>
      <w:marLeft w:val="0"/>
      <w:marRight w:val="0"/>
      <w:marTop w:val="0"/>
      <w:marBottom w:val="0"/>
      <w:divBdr>
        <w:top w:val="none" w:sz="0" w:space="0" w:color="auto"/>
        <w:left w:val="none" w:sz="0" w:space="0" w:color="auto"/>
        <w:bottom w:val="none" w:sz="0" w:space="0" w:color="auto"/>
        <w:right w:val="none" w:sz="0" w:space="0" w:color="auto"/>
      </w:divBdr>
    </w:div>
    <w:div w:id="1502770538">
      <w:bodyDiv w:val="1"/>
      <w:marLeft w:val="0"/>
      <w:marRight w:val="0"/>
      <w:marTop w:val="0"/>
      <w:marBottom w:val="0"/>
      <w:divBdr>
        <w:top w:val="none" w:sz="0" w:space="0" w:color="auto"/>
        <w:left w:val="none" w:sz="0" w:space="0" w:color="auto"/>
        <w:bottom w:val="none" w:sz="0" w:space="0" w:color="auto"/>
        <w:right w:val="none" w:sz="0" w:space="0" w:color="auto"/>
      </w:divBdr>
    </w:div>
    <w:div w:id="1520073963">
      <w:bodyDiv w:val="1"/>
      <w:marLeft w:val="0"/>
      <w:marRight w:val="0"/>
      <w:marTop w:val="0"/>
      <w:marBottom w:val="0"/>
      <w:divBdr>
        <w:top w:val="none" w:sz="0" w:space="0" w:color="auto"/>
        <w:left w:val="none" w:sz="0" w:space="0" w:color="auto"/>
        <w:bottom w:val="none" w:sz="0" w:space="0" w:color="auto"/>
        <w:right w:val="none" w:sz="0" w:space="0" w:color="auto"/>
      </w:divBdr>
    </w:div>
    <w:div w:id="1526478993">
      <w:bodyDiv w:val="1"/>
      <w:marLeft w:val="0"/>
      <w:marRight w:val="0"/>
      <w:marTop w:val="0"/>
      <w:marBottom w:val="0"/>
      <w:divBdr>
        <w:top w:val="none" w:sz="0" w:space="0" w:color="auto"/>
        <w:left w:val="none" w:sz="0" w:space="0" w:color="auto"/>
        <w:bottom w:val="none" w:sz="0" w:space="0" w:color="auto"/>
        <w:right w:val="none" w:sz="0" w:space="0" w:color="auto"/>
      </w:divBdr>
    </w:div>
    <w:div w:id="1527981669">
      <w:bodyDiv w:val="1"/>
      <w:marLeft w:val="0"/>
      <w:marRight w:val="0"/>
      <w:marTop w:val="0"/>
      <w:marBottom w:val="0"/>
      <w:divBdr>
        <w:top w:val="none" w:sz="0" w:space="0" w:color="auto"/>
        <w:left w:val="none" w:sz="0" w:space="0" w:color="auto"/>
        <w:bottom w:val="none" w:sz="0" w:space="0" w:color="auto"/>
        <w:right w:val="none" w:sz="0" w:space="0" w:color="auto"/>
      </w:divBdr>
    </w:div>
    <w:div w:id="1530023763">
      <w:bodyDiv w:val="1"/>
      <w:marLeft w:val="0"/>
      <w:marRight w:val="0"/>
      <w:marTop w:val="0"/>
      <w:marBottom w:val="0"/>
      <w:divBdr>
        <w:top w:val="none" w:sz="0" w:space="0" w:color="auto"/>
        <w:left w:val="none" w:sz="0" w:space="0" w:color="auto"/>
        <w:bottom w:val="none" w:sz="0" w:space="0" w:color="auto"/>
        <w:right w:val="none" w:sz="0" w:space="0" w:color="auto"/>
      </w:divBdr>
    </w:div>
    <w:div w:id="1531410005">
      <w:bodyDiv w:val="1"/>
      <w:marLeft w:val="0"/>
      <w:marRight w:val="0"/>
      <w:marTop w:val="0"/>
      <w:marBottom w:val="0"/>
      <w:divBdr>
        <w:top w:val="none" w:sz="0" w:space="0" w:color="auto"/>
        <w:left w:val="none" w:sz="0" w:space="0" w:color="auto"/>
        <w:bottom w:val="none" w:sz="0" w:space="0" w:color="auto"/>
        <w:right w:val="none" w:sz="0" w:space="0" w:color="auto"/>
      </w:divBdr>
    </w:div>
    <w:div w:id="1531644214">
      <w:bodyDiv w:val="1"/>
      <w:marLeft w:val="0"/>
      <w:marRight w:val="0"/>
      <w:marTop w:val="0"/>
      <w:marBottom w:val="0"/>
      <w:divBdr>
        <w:top w:val="none" w:sz="0" w:space="0" w:color="auto"/>
        <w:left w:val="none" w:sz="0" w:space="0" w:color="auto"/>
        <w:bottom w:val="none" w:sz="0" w:space="0" w:color="auto"/>
        <w:right w:val="none" w:sz="0" w:space="0" w:color="auto"/>
      </w:divBdr>
    </w:div>
    <w:div w:id="1535995535">
      <w:bodyDiv w:val="1"/>
      <w:marLeft w:val="0"/>
      <w:marRight w:val="0"/>
      <w:marTop w:val="0"/>
      <w:marBottom w:val="0"/>
      <w:divBdr>
        <w:top w:val="none" w:sz="0" w:space="0" w:color="auto"/>
        <w:left w:val="none" w:sz="0" w:space="0" w:color="auto"/>
        <w:bottom w:val="none" w:sz="0" w:space="0" w:color="auto"/>
        <w:right w:val="none" w:sz="0" w:space="0" w:color="auto"/>
      </w:divBdr>
    </w:div>
    <w:div w:id="1544439210">
      <w:bodyDiv w:val="1"/>
      <w:marLeft w:val="0"/>
      <w:marRight w:val="0"/>
      <w:marTop w:val="0"/>
      <w:marBottom w:val="0"/>
      <w:divBdr>
        <w:top w:val="none" w:sz="0" w:space="0" w:color="auto"/>
        <w:left w:val="none" w:sz="0" w:space="0" w:color="auto"/>
        <w:bottom w:val="none" w:sz="0" w:space="0" w:color="auto"/>
        <w:right w:val="none" w:sz="0" w:space="0" w:color="auto"/>
      </w:divBdr>
    </w:div>
    <w:div w:id="1545361704">
      <w:bodyDiv w:val="1"/>
      <w:marLeft w:val="0"/>
      <w:marRight w:val="0"/>
      <w:marTop w:val="0"/>
      <w:marBottom w:val="0"/>
      <w:divBdr>
        <w:top w:val="none" w:sz="0" w:space="0" w:color="auto"/>
        <w:left w:val="none" w:sz="0" w:space="0" w:color="auto"/>
        <w:bottom w:val="none" w:sz="0" w:space="0" w:color="auto"/>
        <w:right w:val="none" w:sz="0" w:space="0" w:color="auto"/>
      </w:divBdr>
    </w:div>
    <w:div w:id="1555658453">
      <w:bodyDiv w:val="1"/>
      <w:marLeft w:val="0"/>
      <w:marRight w:val="0"/>
      <w:marTop w:val="0"/>
      <w:marBottom w:val="0"/>
      <w:divBdr>
        <w:top w:val="none" w:sz="0" w:space="0" w:color="auto"/>
        <w:left w:val="none" w:sz="0" w:space="0" w:color="auto"/>
        <w:bottom w:val="none" w:sz="0" w:space="0" w:color="auto"/>
        <w:right w:val="none" w:sz="0" w:space="0" w:color="auto"/>
      </w:divBdr>
    </w:div>
    <w:div w:id="1564754649">
      <w:bodyDiv w:val="1"/>
      <w:marLeft w:val="0"/>
      <w:marRight w:val="0"/>
      <w:marTop w:val="0"/>
      <w:marBottom w:val="0"/>
      <w:divBdr>
        <w:top w:val="none" w:sz="0" w:space="0" w:color="auto"/>
        <w:left w:val="none" w:sz="0" w:space="0" w:color="auto"/>
        <w:bottom w:val="none" w:sz="0" w:space="0" w:color="auto"/>
        <w:right w:val="none" w:sz="0" w:space="0" w:color="auto"/>
      </w:divBdr>
    </w:div>
    <w:div w:id="1599680952">
      <w:bodyDiv w:val="1"/>
      <w:marLeft w:val="0"/>
      <w:marRight w:val="0"/>
      <w:marTop w:val="0"/>
      <w:marBottom w:val="0"/>
      <w:divBdr>
        <w:top w:val="none" w:sz="0" w:space="0" w:color="auto"/>
        <w:left w:val="none" w:sz="0" w:space="0" w:color="auto"/>
        <w:bottom w:val="none" w:sz="0" w:space="0" w:color="auto"/>
        <w:right w:val="none" w:sz="0" w:space="0" w:color="auto"/>
      </w:divBdr>
    </w:div>
    <w:div w:id="1605191124">
      <w:bodyDiv w:val="1"/>
      <w:marLeft w:val="0"/>
      <w:marRight w:val="0"/>
      <w:marTop w:val="0"/>
      <w:marBottom w:val="0"/>
      <w:divBdr>
        <w:top w:val="none" w:sz="0" w:space="0" w:color="auto"/>
        <w:left w:val="none" w:sz="0" w:space="0" w:color="auto"/>
        <w:bottom w:val="none" w:sz="0" w:space="0" w:color="auto"/>
        <w:right w:val="none" w:sz="0" w:space="0" w:color="auto"/>
      </w:divBdr>
    </w:div>
    <w:div w:id="1612514332">
      <w:bodyDiv w:val="1"/>
      <w:marLeft w:val="0"/>
      <w:marRight w:val="0"/>
      <w:marTop w:val="0"/>
      <w:marBottom w:val="0"/>
      <w:divBdr>
        <w:top w:val="none" w:sz="0" w:space="0" w:color="auto"/>
        <w:left w:val="none" w:sz="0" w:space="0" w:color="auto"/>
        <w:bottom w:val="none" w:sz="0" w:space="0" w:color="auto"/>
        <w:right w:val="none" w:sz="0" w:space="0" w:color="auto"/>
      </w:divBdr>
    </w:div>
    <w:div w:id="1612666207">
      <w:bodyDiv w:val="1"/>
      <w:marLeft w:val="0"/>
      <w:marRight w:val="0"/>
      <w:marTop w:val="0"/>
      <w:marBottom w:val="0"/>
      <w:divBdr>
        <w:top w:val="none" w:sz="0" w:space="0" w:color="auto"/>
        <w:left w:val="none" w:sz="0" w:space="0" w:color="auto"/>
        <w:bottom w:val="none" w:sz="0" w:space="0" w:color="auto"/>
        <w:right w:val="none" w:sz="0" w:space="0" w:color="auto"/>
      </w:divBdr>
    </w:div>
    <w:div w:id="1620532748">
      <w:bodyDiv w:val="1"/>
      <w:marLeft w:val="0"/>
      <w:marRight w:val="0"/>
      <w:marTop w:val="0"/>
      <w:marBottom w:val="0"/>
      <w:divBdr>
        <w:top w:val="none" w:sz="0" w:space="0" w:color="auto"/>
        <w:left w:val="none" w:sz="0" w:space="0" w:color="auto"/>
        <w:bottom w:val="none" w:sz="0" w:space="0" w:color="auto"/>
        <w:right w:val="none" w:sz="0" w:space="0" w:color="auto"/>
      </w:divBdr>
    </w:div>
    <w:div w:id="1622036297">
      <w:bodyDiv w:val="1"/>
      <w:marLeft w:val="0"/>
      <w:marRight w:val="0"/>
      <w:marTop w:val="0"/>
      <w:marBottom w:val="0"/>
      <w:divBdr>
        <w:top w:val="none" w:sz="0" w:space="0" w:color="auto"/>
        <w:left w:val="none" w:sz="0" w:space="0" w:color="auto"/>
        <w:bottom w:val="none" w:sz="0" w:space="0" w:color="auto"/>
        <w:right w:val="none" w:sz="0" w:space="0" w:color="auto"/>
      </w:divBdr>
    </w:div>
    <w:div w:id="1632056703">
      <w:bodyDiv w:val="1"/>
      <w:marLeft w:val="0"/>
      <w:marRight w:val="0"/>
      <w:marTop w:val="0"/>
      <w:marBottom w:val="0"/>
      <w:divBdr>
        <w:top w:val="none" w:sz="0" w:space="0" w:color="auto"/>
        <w:left w:val="none" w:sz="0" w:space="0" w:color="auto"/>
        <w:bottom w:val="none" w:sz="0" w:space="0" w:color="auto"/>
        <w:right w:val="none" w:sz="0" w:space="0" w:color="auto"/>
      </w:divBdr>
    </w:div>
    <w:div w:id="1635789092">
      <w:bodyDiv w:val="1"/>
      <w:marLeft w:val="0"/>
      <w:marRight w:val="0"/>
      <w:marTop w:val="0"/>
      <w:marBottom w:val="0"/>
      <w:divBdr>
        <w:top w:val="none" w:sz="0" w:space="0" w:color="auto"/>
        <w:left w:val="none" w:sz="0" w:space="0" w:color="auto"/>
        <w:bottom w:val="none" w:sz="0" w:space="0" w:color="auto"/>
        <w:right w:val="none" w:sz="0" w:space="0" w:color="auto"/>
      </w:divBdr>
    </w:div>
    <w:div w:id="1638951842">
      <w:bodyDiv w:val="1"/>
      <w:marLeft w:val="0"/>
      <w:marRight w:val="0"/>
      <w:marTop w:val="0"/>
      <w:marBottom w:val="0"/>
      <w:divBdr>
        <w:top w:val="none" w:sz="0" w:space="0" w:color="auto"/>
        <w:left w:val="none" w:sz="0" w:space="0" w:color="auto"/>
        <w:bottom w:val="none" w:sz="0" w:space="0" w:color="auto"/>
        <w:right w:val="none" w:sz="0" w:space="0" w:color="auto"/>
      </w:divBdr>
    </w:div>
    <w:div w:id="1642076245">
      <w:bodyDiv w:val="1"/>
      <w:marLeft w:val="0"/>
      <w:marRight w:val="0"/>
      <w:marTop w:val="0"/>
      <w:marBottom w:val="0"/>
      <w:divBdr>
        <w:top w:val="none" w:sz="0" w:space="0" w:color="auto"/>
        <w:left w:val="none" w:sz="0" w:space="0" w:color="auto"/>
        <w:bottom w:val="none" w:sz="0" w:space="0" w:color="auto"/>
        <w:right w:val="none" w:sz="0" w:space="0" w:color="auto"/>
      </w:divBdr>
    </w:div>
    <w:div w:id="1647078717">
      <w:bodyDiv w:val="1"/>
      <w:marLeft w:val="0"/>
      <w:marRight w:val="0"/>
      <w:marTop w:val="0"/>
      <w:marBottom w:val="0"/>
      <w:divBdr>
        <w:top w:val="none" w:sz="0" w:space="0" w:color="auto"/>
        <w:left w:val="none" w:sz="0" w:space="0" w:color="auto"/>
        <w:bottom w:val="none" w:sz="0" w:space="0" w:color="auto"/>
        <w:right w:val="none" w:sz="0" w:space="0" w:color="auto"/>
      </w:divBdr>
    </w:div>
    <w:div w:id="1652900374">
      <w:bodyDiv w:val="1"/>
      <w:marLeft w:val="0"/>
      <w:marRight w:val="0"/>
      <w:marTop w:val="0"/>
      <w:marBottom w:val="0"/>
      <w:divBdr>
        <w:top w:val="none" w:sz="0" w:space="0" w:color="auto"/>
        <w:left w:val="none" w:sz="0" w:space="0" w:color="auto"/>
        <w:bottom w:val="none" w:sz="0" w:space="0" w:color="auto"/>
        <w:right w:val="none" w:sz="0" w:space="0" w:color="auto"/>
      </w:divBdr>
    </w:div>
    <w:div w:id="1653437909">
      <w:bodyDiv w:val="1"/>
      <w:marLeft w:val="0"/>
      <w:marRight w:val="0"/>
      <w:marTop w:val="0"/>
      <w:marBottom w:val="0"/>
      <w:divBdr>
        <w:top w:val="none" w:sz="0" w:space="0" w:color="auto"/>
        <w:left w:val="none" w:sz="0" w:space="0" w:color="auto"/>
        <w:bottom w:val="none" w:sz="0" w:space="0" w:color="auto"/>
        <w:right w:val="none" w:sz="0" w:space="0" w:color="auto"/>
      </w:divBdr>
    </w:div>
    <w:div w:id="1655068593">
      <w:bodyDiv w:val="1"/>
      <w:marLeft w:val="0"/>
      <w:marRight w:val="0"/>
      <w:marTop w:val="0"/>
      <w:marBottom w:val="0"/>
      <w:divBdr>
        <w:top w:val="none" w:sz="0" w:space="0" w:color="auto"/>
        <w:left w:val="none" w:sz="0" w:space="0" w:color="auto"/>
        <w:bottom w:val="none" w:sz="0" w:space="0" w:color="auto"/>
        <w:right w:val="none" w:sz="0" w:space="0" w:color="auto"/>
      </w:divBdr>
    </w:div>
    <w:div w:id="1657103519">
      <w:bodyDiv w:val="1"/>
      <w:marLeft w:val="0"/>
      <w:marRight w:val="0"/>
      <w:marTop w:val="0"/>
      <w:marBottom w:val="0"/>
      <w:divBdr>
        <w:top w:val="none" w:sz="0" w:space="0" w:color="auto"/>
        <w:left w:val="none" w:sz="0" w:space="0" w:color="auto"/>
        <w:bottom w:val="none" w:sz="0" w:space="0" w:color="auto"/>
        <w:right w:val="none" w:sz="0" w:space="0" w:color="auto"/>
      </w:divBdr>
    </w:div>
    <w:div w:id="1660382836">
      <w:bodyDiv w:val="1"/>
      <w:marLeft w:val="0"/>
      <w:marRight w:val="0"/>
      <w:marTop w:val="0"/>
      <w:marBottom w:val="0"/>
      <w:divBdr>
        <w:top w:val="none" w:sz="0" w:space="0" w:color="auto"/>
        <w:left w:val="none" w:sz="0" w:space="0" w:color="auto"/>
        <w:bottom w:val="none" w:sz="0" w:space="0" w:color="auto"/>
        <w:right w:val="none" w:sz="0" w:space="0" w:color="auto"/>
      </w:divBdr>
    </w:div>
    <w:div w:id="1667902639">
      <w:bodyDiv w:val="1"/>
      <w:marLeft w:val="0"/>
      <w:marRight w:val="0"/>
      <w:marTop w:val="0"/>
      <w:marBottom w:val="0"/>
      <w:divBdr>
        <w:top w:val="none" w:sz="0" w:space="0" w:color="auto"/>
        <w:left w:val="none" w:sz="0" w:space="0" w:color="auto"/>
        <w:bottom w:val="none" w:sz="0" w:space="0" w:color="auto"/>
        <w:right w:val="none" w:sz="0" w:space="0" w:color="auto"/>
      </w:divBdr>
    </w:div>
    <w:div w:id="1670447395">
      <w:bodyDiv w:val="1"/>
      <w:marLeft w:val="0"/>
      <w:marRight w:val="0"/>
      <w:marTop w:val="0"/>
      <w:marBottom w:val="0"/>
      <w:divBdr>
        <w:top w:val="none" w:sz="0" w:space="0" w:color="auto"/>
        <w:left w:val="none" w:sz="0" w:space="0" w:color="auto"/>
        <w:bottom w:val="none" w:sz="0" w:space="0" w:color="auto"/>
        <w:right w:val="none" w:sz="0" w:space="0" w:color="auto"/>
      </w:divBdr>
    </w:div>
    <w:div w:id="1671255787">
      <w:bodyDiv w:val="1"/>
      <w:marLeft w:val="0"/>
      <w:marRight w:val="0"/>
      <w:marTop w:val="0"/>
      <w:marBottom w:val="0"/>
      <w:divBdr>
        <w:top w:val="none" w:sz="0" w:space="0" w:color="auto"/>
        <w:left w:val="none" w:sz="0" w:space="0" w:color="auto"/>
        <w:bottom w:val="none" w:sz="0" w:space="0" w:color="auto"/>
        <w:right w:val="none" w:sz="0" w:space="0" w:color="auto"/>
      </w:divBdr>
    </w:div>
    <w:div w:id="1685669210">
      <w:bodyDiv w:val="1"/>
      <w:marLeft w:val="0"/>
      <w:marRight w:val="0"/>
      <w:marTop w:val="0"/>
      <w:marBottom w:val="0"/>
      <w:divBdr>
        <w:top w:val="none" w:sz="0" w:space="0" w:color="auto"/>
        <w:left w:val="none" w:sz="0" w:space="0" w:color="auto"/>
        <w:bottom w:val="none" w:sz="0" w:space="0" w:color="auto"/>
        <w:right w:val="none" w:sz="0" w:space="0" w:color="auto"/>
      </w:divBdr>
    </w:div>
    <w:div w:id="1690569387">
      <w:bodyDiv w:val="1"/>
      <w:marLeft w:val="0"/>
      <w:marRight w:val="0"/>
      <w:marTop w:val="0"/>
      <w:marBottom w:val="0"/>
      <w:divBdr>
        <w:top w:val="none" w:sz="0" w:space="0" w:color="auto"/>
        <w:left w:val="none" w:sz="0" w:space="0" w:color="auto"/>
        <w:bottom w:val="none" w:sz="0" w:space="0" w:color="auto"/>
        <w:right w:val="none" w:sz="0" w:space="0" w:color="auto"/>
      </w:divBdr>
    </w:div>
    <w:div w:id="1692144473">
      <w:bodyDiv w:val="1"/>
      <w:marLeft w:val="0"/>
      <w:marRight w:val="0"/>
      <w:marTop w:val="0"/>
      <w:marBottom w:val="0"/>
      <w:divBdr>
        <w:top w:val="none" w:sz="0" w:space="0" w:color="auto"/>
        <w:left w:val="none" w:sz="0" w:space="0" w:color="auto"/>
        <w:bottom w:val="none" w:sz="0" w:space="0" w:color="auto"/>
        <w:right w:val="none" w:sz="0" w:space="0" w:color="auto"/>
      </w:divBdr>
    </w:div>
    <w:div w:id="1693531683">
      <w:bodyDiv w:val="1"/>
      <w:marLeft w:val="0"/>
      <w:marRight w:val="0"/>
      <w:marTop w:val="0"/>
      <w:marBottom w:val="0"/>
      <w:divBdr>
        <w:top w:val="none" w:sz="0" w:space="0" w:color="auto"/>
        <w:left w:val="none" w:sz="0" w:space="0" w:color="auto"/>
        <w:bottom w:val="none" w:sz="0" w:space="0" w:color="auto"/>
        <w:right w:val="none" w:sz="0" w:space="0" w:color="auto"/>
      </w:divBdr>
    </w:div>
    <w:div w:id="1706834124">
      <w:bodyDiv w:val="1"/>
      <w:marLeft w:val="0"/>
      <w:marRight w:val="0"/>
      <w:marTop w:val="0"/>
      <w:marBottom w:val="0"/>
      <w:divBdr>
        <w:top w:val="none" w:sz="0" w:space="0" w:color="auto"/>
        <w:left w:val="none" w:sz="0" w:space="0" w:color="auto"/>
        <w:bottom w:val="none" w:sz="0" w:space="0" w:color="auto"/>
        <w:right w:val="none" w:sz="0" w:space="0" w:color="auto"/>
      </w:divBdr>
    </w:div>
    <w:div w:id="1707942865">
      <w:bodyDiv w:val="1"/>
      <w:marLeft w:val="0"/>
      <w:marRight w:val="0"/>
      <w:marTop w:val="0"/>
      <w:marBottom w:val="0"/>
      <w:divBdr>
        <w:top w:val="none" w:sz="0" w:space="0" w:color="auto"/>
        <w:left w:val="none" w:sz="0" w:space="0" w:color="auto"/>
        <w:bottom w:val="none" w:sz="0" w:space="0" w:color="auto"/>
        <w:right w:val="none" w:sz="0" w:space="0" w:color="auto"/>
      </w:divBdr>
      <w:divsChild>
        <w:div w:id="1291595261">
          <w:marLeft w:val="0"/>
          <w:marRight w:val="0"/>
          <w:marTop w:val="0"/>
          <w:marBottom w:val="0"/>
          <w:divBdr>
            <w:top w:val="none" w:sz="0" w:space="0" w:color="auto"/>
            <w:left w:val="none" w:sz="0" w:space="0" w:color="auto"/>
            <w:bottom w:val="none" w:sz="0" w:space="0" w:color="auto"/>
            <w:right w:val="none" w:sz="0" w:space="0" w:color="auto"/>
          </w:divBdr>
          <w:divsChild>
            <w:div w:id="404575633">
              <w:marLeft w:val="0"/>
              <w:marRight w:val="0"/>
              <w:marTop w:val="0"/>
              <w:marBottom w:val="0"/>
              <w:divBdr>
                <w:top w:val="none" w:sz="0" w:space="0" w:color="auto"/>
                <w:left w:val="none" w:sz="0" w:space="0" w:color="auto"/>
                <w:bottom w:val="none" w:sz="0" w:space="0" w:color="auto"/>
                <w:right w:val="none" w:sz="0" w:space="0" w:color="auto"/>
              </w:divBdr>
              <w:divsChild>
                <w:div w:id="1485194886">
                  <w:marLeft w:val="0"/>
                  <w:marRight w:val="0"/>
                  <w:marTop w:val="0"/>
                  <w:marBottom w:val="0"/>
                  <w:divBdr>
                    <w:top w:val="none" w:sz="0" w:space="0" w:color="auto"/>
                    <w:left w:val="none" w:sz="0" w:space="0" w:color="auto"/>
                    <w:bottom w:val="none" w:sz="0" w:space="0" w:color="auto"/>
                    <w:right w:val="none" w:sz="0" w:space="0" w:color="auto"/>
                  </w:divBdr>
                  <w:divsChild>
                    <w:div w:id="10185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85151">
      <w:bodyDiv w:val="1"/>
      <w:marLeft w:val="0"/>
      <w:marRight w:val="0"/>
      <w:marTop w:val="0"/>
      <w:marBottom w:val="0"/>
      <w:divBdr>
        <w:top w:val="none" w:sz="0" w:space="0" w:color="auto"/>
        <w:left w:val="none" w:sz="0" w:space="0" w:color="auto"/>
        <w:bottom w:val="none" w:sz="0" w:space="0" w:color="auto"/>
        <w:right w:val="none" w:sz="0" w:space="0" w:color="auto"/>
      </w:divBdr>
    </w:div>
    <w:div w:id="1729257648">
      <w:bodyDiv w:val="1"/>
      <w:marLeft w:val="0"/>
      <w:marRight w:val="0"/>
      <w:marTop w:val="0"/>
      <w:marBottom w:val="0"/>
      <w:divBdr>
        <w:top w:val="none" w:sz="0" w:space="0" w:color="auto"/>
        <w:left w:val="none" w:sz="0" w:space="0" w:color="auto"/>
        <w:bottom w:val="none" w:sz="0" w:space="0" w:color="auto"/>
        <w:right w:val="none" w:sz="0" w:space="0" w:color="auto"/>
      </w:divBdr>
    </w:div>
    <w:div w:id="1755275934">
      <w:bodyDiv w:val="1"/>
      <w:marLeft w:val="0"/>
      <w:marRight w:val="0"/>
      <w:marTop w:val="0"/>
      <w:marBottom w:val="0"/>
      <w:divBdr>
        <w:top w:val="none" w:sz="0" w:space="0" w:color="auto"/>
        <w:left w:val="none" w:sz="0" w:space="0" w:color="auto"/>
        <w:bottom w:val="none" w:sz="0" w:space="0" w:color="auto"/>
        <w:right w:val="none" w:sz="0" w:space="0" w:color="auto"/>
      </w:divBdr>
    </w:div>
    <w:div w:id="1760518658">
      <w:bodyDiv w:val="1"/>
      <w:marLeft w:val="0"/>
      <w:marRight w:val="0"/>
      <w:marTop w:val="0"/>
      <w:marBottom w:val="0"/>
      <w:divBdr>
        <w:top w:val="none" w:sz="0" w:space="0" w:color="auto"/>
        <w:left w:val="none" w:sz="0" w:space="0" w:color="auto"/>
        <w:bottom w:val="none" w:sz="0" w:space="0" w:color="auto"/>
        <w:right w:val="none" w:sz="0" w:space="0" w:color="auto"/>
      </w:divBdr>
    </w:div>
    <w:div w:id="1762097950">
      <w:bodyDiv w:val="1"/>
      <w:marLeft w:val="0"/>
      <w:marRight w:val="0"/>
      <w:marTop w:val="0"/>
      <w:marBottom w:val="0"/>
      <w:divBdr>
        <w:top w:val="none" w:sz="0" w:space="0" w:color="auto"/>
        <w:left w:val="none" w:sz="0" w:space="0" w:color="auto"/>
        <w:bottom w:val="none" w:sz="0" w:space="0" w:color="auto"/>
        <w:right w:val="none" w:sz="0" w:space="0" w:color="auto"/>
      </w:divBdr>
    </w:div>
    <w:div w:id="1767261454">
      <w:bodyDiv w:val="1"/>
      <w:marLeft w:val="0"/>
      <w:marRight w:val="0"/>
      <w:marTop w:val="0"/>
      <w:marBottom w:val="0"/>
      <w:divBdr>
        <w:top w:val="none" w:sz="0" w:space="0" w:color="auto"/>
        <w:left w:val="none" w:sz="0" w:space="0" w:color="auto"/>
        <w:bottom w:val="none" w:sz="0" w:space="0" w:color="auto"/>
        <w:right w:val="none" w:sz="0" w:space="0" w:color="auto"/>
      </w:divBdr>
    </w:div>
    <w:div w:id="1770153749">
      <w:bodyDiv w:val="1"/>
      <w:marLeft w:val="0"/>
      <w:marRight w:val="0"/>
      <w:marTop w:val="0"/>
      <w:marBottom w:val="0"/>
      <w:divBdr>
        <w:top w:val="none" w:sz="0" w:space="0" w:color="auto"/>
        <w:left w:val="none" w:sz="0" w:space="0" w:color="auto"/>
        <w:bottom w:val="none" w:sz="0" w:space="0" w:color="auto"/>
        <w:right w:val="none" w:sz="0" w:space="0" w:color="auto"/>
      </w:divBdr>
    </w:div>
    <w:div w:id="1777092227">
      <w:bodyDiv w:val="1"/>
      <w:marLeft w:val="0"/>
      <w:marRight w:val="0"/>
      <w:marTop w:val="0"/>
      <w:marBottom w:val="0"/>
      <w:divBdr>
        <w:top w:val="none" w:sz="0" w:space="0" w:color="auto"/>
        <w:left w:val="none" w:sz="0" w:space="0" w:color="auto"/>
        <w:bottom w:val="none" w:sz="0" w:space="0" w:color="auto"/>
        <w:right w:val="none" w:sz="0" w:space="0" w:color="auto"/>
      </w:divBdr>
    </w:div>
    <w:div w:id="1777168865">
      <w:bodyDiv w:val="1"/>
      <w:marLeft w:val="0"/>
      <w:marRight w:val="0"/>
      <w:marTop w:val="0"/>
      <w:marBottom w:val="0"/>
      <w:divBdr>
        <w:top w:val="none" w:sz="0" w:space="0" w:color="auto"/>
        <w:left w:val="none" w:sz="0" w:space="0" w:color="auto"/>
        <w:bottom w:val="none" w:sz="0" w:space="0" w:color="auto"/>
        <w:right w:val="none" w:sz="0" w:space="0" w:color="auto"/>
      </w:divBdr>
    </w:div>
    <w:div w:id="1783181787">
      <w:bodyDiv w:val="1"/>
      <w:marLeft w:val="0"/>
      <w:marRight w:val="0"/>
      <w:marTop w:val="0"/>
      <w:marBottom w:val="0"/>
      <w:divBdr>
        <w:top w:val="none" w:sz="0" w:space="0" w:color="auto"/>
        <w:left w:val="none" w:sz="0" w:space="0" w:color="auto"/>
        <w:bottom w:val="none" w:sz="0" w:space="0" w:color="auto"/>
        <w:right w:val="none" w:sz="0" w:space="0" w:color="auto"/>
      </w:divBdr>
    </w:div>
    <w:div w:id="1784566716">
      <w:bodyDiv w:val="1"/>
      <w:marLeft w:val="0"/>
      <w:marRight w:val="0"/>
      <w:marTop w:val="0"/>
      <w:marBottom w:val="0"/>
      <w:divBdr>
        <w:top w:val="none" w:sz="0" w:space="0" w:color="auto"/>
        <w:left w:val="none" w:sz="0" w:space="0" w:color="auto"/>
        <w:bottom w:val="none" w:sz="0" w:space="0" w:color="auto"/>
        <w:right w:val="none" w:sz="0" w:space="0" w:color="auto"/>
      </w:divBdr>
    </w:div>
    <w:div w:id="1787772966">
      <w:bodyDiv w:val="1"/>
      <w:marLeft w:val="0"/>
      <w:marRight w:val="0"/>
      <w:marTop w:val="0"/>
      <w:marBottom w:val="0"/>
      <w:divBdr>
        <w:top w:val="none" w:sz="0" w:space="0" w:color="auto"/>
        <w:left w:val="none" w:sz="0" w:space="0" w:color="auto"/>
        <w:bottom w:val="none" w:sz="0" w:space="0" w:color="auto"/>
        <w:right w:val="none" w:sz="0" w:space="0" w:color="auto"/>
      </w:divBdr>
    </w:div>
    <w:div w:id="1792825517">
      <w:bodyDiv w:val="1"/>
      <w:marLeft w:val="0"/>
      <w:marRight w:val="0"/>
      <w:marTop w:val="0"/>
      <w:marBottom w:val="0"/>
      <w:divBdr>
        <w:top w:val="none" w:sz="0" w:space="0" w:color="auto"/>
        <w:left w:val="none" w:sz="0" w:space="0" w:color="auto"/>
        <w:bottom w:val="none" w:sz="0" w:space="0" w:color="auto"/>
        <w:right w:val="none" w:sz="0" w:space="0" w:color="auto"/>
      </w:divBdr>
    </w:div>
    <w:div w:id="1793134216">
      <w:bodyDiv w:val="1"/>
      <w:marLeft w:val="0"/>
      <w:marRight w:val="0"/>
      <w:marTop w:val="0"/>
      <w:marBottom w:val="0"/>
      <w:divBdr>
        <w:top w:val="none" w:sz="0" w:space="0" w:color="auto"/>
        <w:left w:val="none" w:sz="0" w:space="0" w:color="auto"/>
        <w:bottom w:val="none" w:sz="0" w:space="0" w:color="auto"/>
        <w:right w:val="none" w:sz="0" w:space="0" w:color="auto"/>
      </w:divBdr>
    </w:div>
    <w:div w:id="1794208247">
      <w:bodyDiv w:val="1"/>
      <w:marLeft w:val="0"/>
      <w:marRight w:val="0"/>
      <w:marTop w:val="0"/>
      <w:marBottom w:val="0"/>
      <w:divBdr>
        <w:top w:val="none" w:sz="0" w:space="0" w:color="auto"/>
        <w:left w:val="none" w:sz="0" w:space="0" w:color="auto"/>
        <w:bottom w:val="none" w:sz="0" w:space="0" w:color="auto"/>
        <w:right w:val="none" w:sz="0" w:space="0" w:color="auto"/>
      </w:divBdr>
    </w:div>
    <w:div w:id="1802309123">
      <w:bodyDiv w:val="1"/>
      <w:marLeft w:val="0"/>
      <w:marRight w:val="0"/>
      <w:marTop w:val="0"/>
      <w:marBottom w:val="0"/>
      <w:divBdr>
        <w:top w:val="none" w:sz="0" w:space="0" w:color="auto"/>
        <w:left w:val="none" w:sz="0" w:space="0" w:color="auto"/>
        <w:bottom w:val="none" w:sz="0" w:space="0" w:color="auto"/>
        <w:right w:val="none" w:sz="0" w:space="0" w:color="auto"/>
      </w:divBdr>
    </w:div>
    <w:div w:id="1805731215">
      <w:bodyDiv w:val="1"/>
      <w:marLeft w:val="0"/>
      <w:marRight w:val="0"/>
      <w:marTop w:val="0"/>
      <w:marBottom w:val="0"/>
      <w:divBdr>
        <w:top w:val="none" w:sz="0" w:space="0" w:color="auto"/>
        <w:left w:val="none" w:sz="0" w:space="0" w:color="auto"/>
        <w:bottom w:val="none" w:sz="0" w:space="0" w:color="auto"/>
        <w:right w:val="none" w:sz="0" w:space="0" w:color="auto"/>
      </w:divBdr>
    </w:div>
    <w:div w:id="1808469461">
      <w:bodyDiv w:val="1"/>
      <w:marLeft w:val="0"/>
      <w:marRight w:val="0"/>
      <w:marTop w:val="0"/>
      <w:marBottom w:val="0"/>
      <w:divBdr>
        <w:top w:val="none" w:sz="0" w:space="0" w:color="auto"/>
        <w:left w:val="none" w:sz="0" w:space="0" w:color="auto"/>
        <w:bottom w:val="none" w:sz="0" w:space="0" w:color="auto"/>
        <w:right w:val="none" w:sz="0" w:space="0" w:color="auto"/>
      </w:divBdr>
    </w:div>
    <w:div w:id="1814248885">
      <w:bodyDiv w:val="1"/>
      <w:marLeft w:val="0"/>
      <w:marRight w:val="0"/>
      <w:marTop w:val="0"/>
      <w:marBottom w:val="0"/>
      <w:divBdr>
        <w:top w:val="none" w:sz="0" w:space="0" w:color="auto"/>
        <w:left w:val="none" w:sz="0" w:space="0" w:color="auto"/>
        <w:bottom w:val="none" w:sz="0" w:space="0" w:color="auto"/>
        <w:right w:val="none" w:sz="0" w:space="0" w:color="auto"/>
      </w:divBdr>
    </w:div>
    <w:div w:id="1839150396">
      <w:bodyDiv w:val="1"/>
      <w:marLeft w:val="0"/>
      <w:marRight w:val="0"/>
      <w:marTop w:val="0"/>
      <w:marBottom w:val="0"/>
      <w:divBdr>
        <w:top w:val="none" w:sz="0" w:space="0" w:color="auto"/>
        <w:left w:val="none" w:sz="0" w:space="0" w:color="auto"/>
        <w:bottom w:val="none" w:sz="0" w:space="0" w:color="auto"/>
        <w:right w:val="none" w:sz="0" w:space="0" w:color="auto"/>
      </w:divBdr>
    </w:div>
    <w:div w:id="1839809772">
      <w:bodyDiv w:val="1"/>
      <w:marLeft w:val="0"/>
      <w:marRight w:val="0"/>
      <w:marTop w:val="0"/>
      <w:marBottom w:val="0"/>
      <w:divBdr>
        <w:top w:val="none" w:sz="0" w:space="0" w:color="auto"/>
        <w:left w:val="none" w:sz="0" w:space="0" w:color="auto"/>
        <w:bottom w:val="none" w:sz="0" w:space="0" w:color="auto"/>
        <w:right w:val="none" w:sz="0" w:space="0" w:color="auto"/>
      </w:divBdr>
    </w:div>
    <w:div w:id="1842117087">
      <w:bodyDiv w:val="1"/>
      <w:marLeft w:val="0"/>
      <w:marRight w:val="0"/>
      <w:marTop w:val="0"/>
      <w:marBottom w:val="0"/>
      <w:divBdr>
        <w:top w:val="none" w:sz="0" w:space="0" w:color="auto"/>
        <w:left w:val="none" w:sz="0" w:space="0" w:color="auto"/>
        <w:bottom w:val="none" w:sz="0" w:space="0" w:color="auto"/>
        <w:right w:val="none" w:sz="0" w:space="0" w:color="auto"/>
      </w:divBdr>
    </w:div>
    <w:div w:id="1844662735">
      <w:bodyDiv w:val="1"/>
      <w:marLeft w:val="0"/>
      <w:marRight w:val="0"/>
      <w:marTop w:val="0"/>
      <w:marBottom w:val="0"/>
      <w:divBdr>
        <w:top w:val="none" w:sz="0" w:space="0" w:color="auto"/>
        <w:left w:val="none" w:sz="0" w:space="0" w:color="auto"/>
        <w:bottom w:val="none" w:sz="0" w:space="0" w:color="auto"/>
        <w:right w:val="none" w:sz="0" w:space="0" w:color="auto"/>
      </w:divBdr>
      <w:divsChild>
        <w:div w:id="1095200982">
          <w:marLeft w:val="0"/>
          <w:marRight w:val="0"/>
          <w:marTop w:val="0"/>
          <w:marBottom w:val="0"/>
          <w:divBdr>
            <w:top w:val="none" w:sz="0" w:space="0" w:color="auto"/>
            <w:left w:val="none" w:sz="0" w:space="0" w:color="auto"/>
            <w:bottom w:val="none" w:sz="0" w:space="0" w:color="auto"/>
            <w:right w:val="none" w:sz="0" w:space="0" w:color="auto"/>
          </w:divBdr>
          <w:divsChild>
            <w:div w:id="1061250991">
              <w:marLeft w:val="0"/>
              <w:marRight w:val="0"/>
              <w:marTop w:val="0"/>
              <w:marBottom w:val="0"/>
              <w:divBdr>
                <w:top w:val="none" w:sz="0" w:space="0" w:color="auto"/>
                <w:left w:val="none" w:sz="0" w:space="0" w:color="auto"/>
                <w:bottom w:val="none" w:sz="0" w:space="0" w:color="auto"/>
                <w:right w:val="none" w:sz="0" w:space="0" w:color="auto"/>
              </w:divBdr>
              <w:divsChild>
                <w:div w:id="10063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9998">
      <w:bodyDiv w:val="1"/>
      <w:marLeft w:val="0"/>
      <w:marRight w:val="0"/>
      <w:marTop w:val="0"/>
      <w:marBottom w:val="0"/>
      <w:divBdr>
        <w:top w:val="none" w:sz="0" w:space="0" w:color="auto"/>
        <w:left w:val="none" w:sz="0" w:space="0" w:color="auto"/>
        <w:bottom w:val="none" w:sz="0" w:space="0" w:color="auto"/>
        <w:right w:val="none" w:sz="0" w:space="0" w:color="auto"/>
      </w:divBdr>
    </w:div>
    <w:div w:id="1890602530">
      <w:bodyDiv w:val="1"/>
      <w:marLeft w:val="0"/>
      <w:marRight w:val="0"/>
      <w:marTop w:val="0"/>
      <w:marBottom w:val="0"/>
      <w:divBdr>
        <w:top w:val="none" w:sz="0" w:space="0" w:color="auto"/>
        <w:left w:val="none" w:sz="0" w:space="0" w:color="auto"/>
        <w:bottom w:val="none" w:sz="0" w:space="0" w:color="auto"/>
        <w:right w:val="none" w:sz="0" w:space="0" w:color="auto"/>
      </w:divBdr>
    </w:div>
    <w:div w:id="1891644740">
      <w:bodyDiv w:val="1"/>
      <w:marLeft w:val="0"/>
      <w:marRight w:val="0"/>
      <w:marTop w:val="0"/>
      <w:marBottom w:val="0"/>
      <w:divBdr>
        <w:top w:val="none" w:sz="0" w:space="0" w:color="auto"/>
        <w:left w:val="none" w:sz="0" w:space="0" w:color="auto"/>
        <w:bottom w:val="none" w:sz="0" w:space="0" w:color="auto"/>
        <w:right w:val="none" w:sz="0" w:space="0" w:color="auto"/>
      </w:divBdr>
    </w:div>
    <w:div w:id="1920555009">
      <w:bodyDiv w:val="1"/>
      <w:marLeft w:val="0"/>
      <w:marRight w:val="0"/>
      <w:marTop w:val="0"/>
      <w:marBottom w:val="0"/>
      <w:divBdr>
        <w:top w:val="none" w:sz="0" w:space="0" w:color="auto"/>
        <w:left w:val="none" w:sz="0" w:space="0" w:color="auto"/>
        <w:bottom w:val="none" w:sz="0" w:space="0" w:color="auto"/>
        <w:right w:val="none" w:sz="0" w:space="0" w:color="auto"/>
      </w:divBdr>
    </w:div>
    <w:div w:id="1921598576">
      <w:bodyDiv w:val="1"/>
      <w:marLeft w:val="0"/>
      <w:marRight w:val="0"/>
      <w:marTop w:val="0"/>
      <w:marBottom w:val="0"/>
      <w:divBdr>
        <w:top w:val="none" w:sz="0" w:space="0" w:color="auto"/>
        <w:left w:val="none" w:sz="0" w:space="0" w:color="auto"/>
        <w:bottom w:val="none" w:sz="0" w:space="0" w:color="auto"/>
        <w:right w:val="none" w:sz="0" w:space="0" w:color="auto"/>
      </w:divBdr>
    </w:div>
    <w:div w:id="1932351331">
      <w:bodyDiv w:val="1"/>
      <w:marLeft w:val="0"/>
      <w:marRight w:val="0"/>
      <w:marTop w:val="0"/>
      <w:marBottom w:val="0"/>
      <w:divBdr>
        <w:top w:val="none" w:sz="0" w:space="0" w:color="auto"/>
        <w:left w:val="none" w:sz="0" w:space="0" w:color="auto"/>
        <w:bottom w:val="none" w:sz="0" w:space="0" w:color="auto"/>
        <w:right w:val="none" w:sz="0" w:space="0" w:color="auto"/>
      </w:divBdr>
    </w:div>
    <w:div w:id="1937593731">
      <w:bodyDiv w:val="1"/>
      <w:marLeft w:val="0"/>
      <w:marRight w:val="0"/>
      <w:marTop w:val="0"/>
      <w:marBottom w:val="0"/>
      <w:divBdr>
        <w:top w:val="none" w:sz="0" w:space="0" w:color="auto"/>
        <w:left w:val="none" w:sz="0" w:space="0" w:color="auto"/>
        <w:bottom w:val="none" w:sz="0" w:space="0" w:color="auto"/>
        <w:right w:val="none" w:sz="0" w:space="0" w:color="auto"/>
      </w:divBdr>
    </w:div>
    <w:div w:id="1945310575">
      <w:bodyDiv w:val="1"/>
      <w:marLeft w:val="0"/>
      <w:marRight w:val="0"/>
      <w:marTop w:val="0"/>
      <w:marBottom w:val="0"/>
      <w:divBdr>
        <w:top w:val="none" w:sz="0" w:space="0" w:color="auto"/>
        <w:left w:val="none" w:sz="0" w:space="0" w:color="auto"/>
        <w:bottom w:val="none" w:sz="0" w:space="0" w:color="auto"/>
        <w:right w:val="none" w:sz="0" w:space="0" w:color="auto"/>
      </w:divBdr>
      <w:divsChild>
        <w:div w:id="1283415310">
          <w:marLeft w:val="0"/>
          <w:marRight w:val="0"/>
          <w:marTop w:val="0"/>
          <w:marBottom w:val="0"/>
          <w:divBdr>
            <w:top w:val="none" w:sz="0" w:space="0" w:color="auto"/>
            <w:left w:val="none" w:sz="0" w:space="0" w:color="auto"/>
            <w:bottom w:val="none" w:sz="0" w:space="0" w:color="auto"/>
            <w:right w:val="none" w:sz="0" w:space="0" w:color="auto"/>
          </w:divBdr>
          <w:divsChild>
            <w:div w:id="915669795">
              <w:marLeft w:val="0"/>
              <w:marRight w:val="0"/>
              <w:marTop w:val="0"/>
              <w:marBottom w:val="0"/>
              <w:divBdr>
                <w:top w:val="none" w:sz="0" w:space="0" w:color="auto"/>
                <w:left w:val="none" w:sz="0" w:space="0" w:color="auto"/>
                <w:bottom w:val="none" w:sz="0" w:space="0" w:color="auto"/>
                <w:right w:val="none" w:sz="0" w:space="0" w:color="auto"/>
              </w:divBdr>
              <w:divsChild>
                <w:div w:id="1605112785">
                  <w:marLeft w:val="0"/>
                  <w:marRight w:val="0"/>
                  <w:marTop w:val="0"/>
                  <w:marBottom w:val="0"/>
                  <w:divBdr>
                    <w:top w:val="none" w:sz="0" w:space="0" w:color="auto"/>
                    <w:left w:val="none" w:sz="0" w:space="0" w:color="auto"/>
                    <w:bottom w:val="none" w:sz="0" w:space="0" w:color="auto"/>
                    <w:right w:val="none" w:sz="0" w:space="0" w:color="auto"/>
                  </w:divBdr>
                  <w:divsChild>
                    <w:div w:id="6065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05583">
      <w:bodyDiv w:val="1"/>
      <w:marLeft w:val="0"/>
      <w:marRight w:val="0"/>
      <w:marTop w:val="0"/>
      <w:marBottom w:val="0"/>
      <w:divBdr>
        <w:top w:val="none" w:sz="0" w:space="0" w:color="auto"/>
        <w:left w:val="none" w:sz="0" w:space="0" w:color="auto"/>
        <w:bottom w:val="none" w:sz="0" w:space="0" w:color="auto"/>
        <w:right w:val="none" w:sz="0" w:space="0" w:color="auto"/>
      </w:divBdr>
    </w:div>
    <w:div w:id="1957330571">
      <w:bodyDiv w:val="1"/>
      <w:marLeft w:val="0"/>
      <w:marRight w:val="0"/>
      <w:marTop w:val="0"/>
      <w:marBottom w:val="0"/>
      <w:divBdr>
        <w:top w:val="none" w:sz="0" w:space="0" w:color="auto"/>
        <w:left w:val="none" w:sz="0" w:space="0" w:color="auto"/>
        <w:bottom w:val="none" w:sz="0" w:space="0" w:color="auto"/>
        <w:right w:val="none" w:sz="0" w:space="0" w:color="auto"/>
      </w:divBdr>
    </w:div>
    <w:div w:id="1961839823">
      <w:bodyDiv w:val="1"/>
      <w:marLeft w:val="0"/>
      <w:marRight w:val="0"/>
      <w:marTop w:val="0"/>
      <w:marBottom w:val="0"/>
      <w:divBdr>
        <w:top w:val="none" w:sz="0" w:space="0" w:color="auto"/>
        <w:left w:val="none" w:sz="0" w:space="0" w:color="auto"/>
        <w:bottom w:val="none" w:sz="0" w:space="0" w:color="auto"/>
        <w:right w:val="none" w:sz="0" w:space="0" w:color="auto"/>
      </w:divBdr>
    </w:div>
    <w:div w:id="1966617104">
      <w:bodyDiv w:val="1"/>
      <w:marLeft w:val="0"/>
      <w:marRight w:val="0"/>
      <w:marTop w:val="0"/>
      <w:marBottom w:val="0"/>
      <w:divBdr>
        <w:top w:val="none" w:sz="0" w:space="0" w:color="auto"/>
        <w:left w:val="none" w:sz="0" w:space="0" w:color="auto"/>
        <w:bottom w:val="none" w:sz="0" w:space="0" w:color="auto"/>
        <w:right w:val="none" w:sz="0" w:space="0" w:color="auto"/>
      </w:divBdr>
    </w:div>
    <w:div w:id="1969358467">
      <w:bodyDiv w:val="1"/>
      <w:marLeft w:val="0"/>
      <w:marRight w:val="0"/>
      <w:marTop w:val="0"/>
      <w:marBottom w:val="0"/>
      <w:divBdr>
        <w:top w:val="none" w:sz="0" w:space="0" w:color="auto"/>
        <w:left w:val="none" w:sz="0" w:space="0" w:color="auto"/>
        <w:bottom w:val="none" w:sz="0" w:space="0" w:color="auto"/>
        <w:right w:val="none" w:sz="0" w:space="0" w:color="auto"/>
      </w:divBdr>
    </w:div>
    <w:div w:id="1972322329">
      <w:bodyDiv w:val="1"/>
      <w:marLeft w:val="0"/>
      <w:marRight w:val="0"/>
      <w:marTop w:val="0"/>
      <w:marBottom w:val="0"/>
      <w:divBdr>
        <w:top w:val="none" w:sz="0" w:space="0" w:color="auto"/>
        <w:left w:val="none" w:sz="0" w:space="0" w:color="auto"/>
        <w:bottom w:val="none" w:sz="0" w:space="0" w:color="auto"/>
        <w:right w:val="none" w:sz="0" w:space="0" w:color="auto"/>
      </w:divBdr>
    </w:div>
    <w:div w:id="1980567691">
      <w:bodyDiv w:val="1"/>
      <w:marLeft w:val="0"/>
      <w:marRight w:val="0"/>
      <w:marTop w:val="0"/>
      <w:marBottom w:val="0"/>
      <w:divBdr>
        <w:top w:val="none" w:sz="0" w:space="0" w:color="auto"/>
        <w:left w:val="none" w:sz="0" w:space="0" w:color="auto"/>
        <w:bottom w:val="none" w:sz="0" w:space="0" w:color="auto"/>
        <w:right w:val="none" w:sz="0" w:space="0" w:color="auto"/>
      </w:divBdr>
    </w:div>
    <w:div w:id="1982036989">
      <w:bodyDiv w:val="1"/>
      <w:marLeft w:val="0"/>
      <w:marRight w:val="0"/>
      <w:marTop w:val="0"/>
      <w:marBottom w:val="0"/>
      <w:divBdr>
        <w:top w:val="none" w:sz="0" w:space="0" w:color="auto"/>
        <w:left w:val="none" w:sz="0" w:space="0" w:color="auto"/>
        <w:bottom w:val="none" w:sz="0" w:space="0" w:color="auto"/>
        <w:right w:val="none" w:sz="0" w:space="0" w:color="auto"/>
      </w:divBdr>
    </w:div>
    <w:div w:id="1984651421">
      <w:bodyDiv w:val="1"/>
      <w:marLeft w:val="0"/>
      <w:marRight w:val="0"/>
      <w:marTop w:val="0"/>
      <w:marBottom w:val="0"/>
      <w:divBdr>
        <w:top w:val="none" w:sz="0" w:space="0" w:color="auto"/>
        <w:left w:val="none" w:sz="0" w:space="0" w:color="auto"/>
        <w:bottom w:val="none" w:sz="0" w:space="0" w:color="auto"/>
        <w:right w:val="none" w:sz="0" w:space="0" w:color="auto"/>
      </w:divBdr>
    </w:div>
    <w:div w:id="1985428540">
      <w:bodyDiv w:val="1"/>
      <w:marLeft w:val="0"/>
      <w:marRight w:val="0"/>
      <w:marTop w:val="0"/>
      <w:marBottom w:val="0"/>
      <w:divBdr>
        <w:top w:val="none" w:sz="0" w:space="0" w:color="auto"/>
        <w:left w:val="none" w:sz="0" w:space="0" w:color="auto"/>
        <w:bottom w:val="none" w:sz="0" w:space="0" w:color="auto"/>
        <w:right w:val="none" w:sz="0" w:space="0" w:color="auto"/>
      </w:divBdr>
    </w:div>
    <w:div w:id="1986618329">
      <w:bodyDiv w:val="1"/>
      <w:marLeft w:val="0"/>
      <w:marRight w:val="0"/>
      <w:marTop w:val="0"/>
      <w:marBottom w:val="0"/>
      <w:divBdr>
        <w:top w:val="none" w:sz="0" w:space="0" w:color="auto"/>
        <w:left w:val="none" w:sz="0" w:space="0" w:color="auto"/>
        <w:bottom w:val="none" w:sz="0" w:space="0" w:color="auto"/>
        <w:right w:val="none" w:sz="0" w:space="0" w:color="auto"/>
      </w:divBdr>
    </w:div>
    <w:div w:id="1986931582">
      <w:bodyDiv w:val="1"/>
      <w:marLeft w:val="0"/>
      <w:marRight w:val="0"/>
      <w:marTop w:val="0"/>
      <w:marBottom w:val="0"/>
      <w:divBdr>
        <w:top w:val="none" w:sz="0" w:space="0" w:color="auto"/>
        <w:left w:val="none" w:sz="0" w:space="0" w:color="auto"/>
        <w:bottom w:val="none" w:sz="0" w:space="0" w:color="auto"/>
        <w:right w:val="none" w:sz="0" w:space="0" w:color="auto"/>
      </w:divBdr>
    </w:div>
    <w:div w:id="2002156613">
      <w:bodyDiv w:val="1"/>
      <w:marLeft w:val="0"/>
      <w:marRight w:val="0"/>
      <w:marTop w:val="0"/>
      <w:marBottom w:val="0"/>
      <w:divBdr>
        <w:top w:val="none" w:sz="0" w:space="0" w:color="auto"/>
        <w:left w:val="none" w:sz="0" w:space="0" w:color="auto"/>
        <w:bottom w:val="none" w:sz="0" w:space="0" w:color="auto"/>
        <w:right w:val="none" w:sz="0" w:space="0" w:color="auto"/>
      </w:divBdr>
    </w:div>
    <w:div w:id="2018384824">
      <w:bodyDiv w:val="1"/>
      <w:marLeft w:val="0"/>
      <w:marRight w:val="0"/>
      <w:marTop w:val="0"/>
      <w:marBottom w:val="0"/>
      <w:divBdr>
        <w:top w:val="none" w:sz="0" w:space="0" w:color="auto"/>
        <w:left w:val="none" w:sz="0" w:space="0" w:color="auto"/>
        <w:bottom w:val="none" w:sz="0" w:space="0" w:color="auto"/>
        <w:right w:val="none" w:sz="0" w:space="0" w:color="auto"/>
      </w:divBdr>
    </w:div>
    <w:div w:id="2020887069">
      <w:bodyDiv w:val="1"/>
      <w:marLeft w:val="0"/>
      <w:marRight w:val="0"/>
      <w:marTop w:val="0"/>
      <w:marBottom w:val="0"/>
      <w:divBdr>
        <w:top w:val="none" w:sz="0" w:space="0" w:color="auto"/>
        <w:left w:val="none" w:sz="0" w:space="0" w:color="auto"/>
        <w:bottom w:val="none" w:sz="0" w:space="0" w:color="auto"/>
        <w:right w:val="none" w:sz="0" w:space="0" w:color="auto"/>
      </w:divBdr>
    </w:div>
    <w:div w:id="2022974958">
      <w:bodyDiv w:val="1"/>
      <w:marLeft w:val="0"/>
      <w:marRight w:val="0"/>
      <w:marTop w:val="0"/>
      <w:marBottom w:val="0"/>
      <w:divBdr>
        <w:top w:val="none" w:sz="0" w:space="0" w:color="auto"/>
        <w:left w:val="none" w:sz="0" w:space="0" w:color="auto"/>
        <w:bottom w:val="none" w:sz="0" w:space="0" w:color="auto"/>
        <w:right w:val="none" w:sz="0" w:space="0" w:color="auto"/>
      </w:divBdr>
    </w:div>
    <w:div w:id="2032993964">
      <w:bodyDiv w:val="1"/>
      <w:marLeft w:val="0"/>
      <w:marRight w:val="0"/>
      <w:marTop w:val="0"/>
      <w:marBottom w:val="0"/>
      <w:divBdr>
        <w:top w:val="none" w:sz="0" w:space="0" w:color="auto"/>
        <w:left w:val="none" w:sz="0" w:space="0" w:color="auto"/>
        <w:bottom w:val="none" w:sz="0" w:space="0" w:color="auto"/>
        <w:right w:val="none" w:sz="0" w:space="0" w:color="auto"/>
      </w:divBdr>
    </w:div>
    <w:div w:id="2041590581">
      <w:bodyDiv w:val="1"/>
      <w:marLeft w:val="0"/>
      <w:marRight w:val="0"/>
      <w:marTop w:val="0"/>
      <w:marBottom w:val="0"/>
      <w:divBdr>
        <w:top w:val="none" w:sz="0" w:space="0" w:color="auto"/>
        <w:left w:val="none" w:sz="0" w:space="0" w:color="auto"/>
        <w:bottom w:val="none" w:sz="0" w:space="0" w:color="auto"/>
        <w:right w:val="none" w:sz="0" w:space="0" w:color="auto"/>
      </w:divBdr>
    </w:div>
    <w:div w:id="2046443631">
      <w:bodyDiv w:val="1"/>
      <w:marLeft w:val="0"/>
      <w:marRight w:val="0"/>
      <w:marTop w:val="0"/>
      <w:marBottom w:val="0"/>
      <w:divBdr>
        <w:top w:val="none" w:sz="0" w:space="0" w:color="auto"/>
        <w:left w:val="none" w:sz="0" w:space="0" w:color="auto"/>
        <w:bottom w:val="none" w:sz="0" w:space="0" w:color="auto"/>
        <w:right w:val="none" w:sz="0" w:space="0" w:color="auto"/>
      </w:divBdr>
    </w:div>
    <w:div w:id="2046834181">
      <w:bodyDiv w:val="1"/>
      <w:marLeft w:val="0"/>
      <w:marRight w:val="0"/>
      <w:marTop w:val="0"/>
      <w:marBottom w:val="0"/>
      <w:divBdr>
        <w:top w:val="none" w:sz="0" w:space="0" w:color="auto"/>
        <w:left w:val="none" w:sz="0" w:space="0" w:color="auto"/>
        <w:bottom w:val="none" w:sz="0" w:space="0" w:color="auto"/>
        <w:right w:val="none" w:sz="0" w:space="0" w:color="auto"/>
      </w:divBdr>
    </w:div>
    <w:div w:id="2055814193">
      <w:bodyDiv w:val="1"/>
      <w:marLeft w:val="0"/>
      <w:marRight w:val="0"/>
      <w:marTop w:val="0"/>
      <w:marBottom w:val="0"/>
      <w:divBdr>
        <w:top w:val="none" w:sz="0" w:space="0" w:color="auto"/>
        <w:left w:val="none" w:sz="0" w:space="0" w:color="auto"/>
        <w:bottom w:val="none" w:sz="0" w:space="0" w:color="auto"/>
        <w:right w:val="none" w:sz="0" w:space="0" w:color="auto"/>
      </w:divBdr>
    </w:div>
    <w:div w:id="2057731728">
      <w:bodyDiv w:val="1"/>
      <w:marLeft w:val="0"/>
      <w:marRight w:val="0"/>
      <w:marTop w:val="0"/>
      <w:marBottom w:val="0"/>
      <w:divBdr>
        <w:top w:val="none" w:sz="0" w:space="0" w:color="auto"/>
        <w:left w:val="none" w:sz="0" w:space="0" w:color="auto"/>
        <w:bottom w:val="none" w:sz="0" w:space="0" w:color="auto"/>
        <w:right w:val="none" w:sz="0" w:space="0" w:color="auto"/>
      </w:divBdr>
    </w:div>
    <w:div w:id="2065252321">
      <w:bodyDiv w:val="1"/>
      <w:marLeft w:val="0"/>
      <w:marRight w:val="0"/>
      <w:marTop w:val="0"/>
      <w:marBottom w:val="0"/>
      <w:divBdr>
        <w:top w:val="none" w:sz="0" w:space="0" w:color="auto"/>
        <w:left w:val="none" w:sz="0" w:space="0" w:color="auto"/>
        <w:bottom w:val="none" w:sz="0" w:space="0" w:color="auto"/>
        <w:right w:val="none" w:sz="0" w:space="0" w:color="auto"/>
      </w:divBdr>
    </w:div>
    <w:div w:id="2065635985">
      <w:bodyDiv w:val="1"/>
      <w:marLeft w:val="0"/>
      <w:marRight w:val="0"/>
      <w:marTop w:val="0"/>
      <w:marBottom w:val="0"/>
      <w:divBdr>
        <w:top w:val="none" w:sz="0" w:space="0" w:color="auto"/>
        <w:left w:val="none" w:sz="0" w:space="0" w:color="auto"/>
        <w:bottom w:val="none" w:sz="0" w:space="0" w:color="auto"/>
        <w:right w:val="none" w:sz="0" w:space="0" w:color="auto"/>
      </w:divBdr>
    </w:div>
    <w:div w:id="2089419905">
      <w:bodyDiv w:val="1"/>
      <w:marLeft w:val="0"/>
      <w:marRight w:val="0"/>
      <w:marTop w:val="0"/>
      <w:marBottom w:val="0"/>
      <w:divBdr>
        <w:top w:val="none" w:sz="0" w:space="0" w:color="auto"/>
        <w:left w:val="none" w:sz="0" w:space="0" w:color="auto"/>
        <w:bottom w:val="none" w:sz="0" w:space="0" w:color="auto"/>
        <w:right w:val="none" w:sz="0" w:space="0" w:color="auto"/>
      </w:divBdr>
    </w:div>
    <w:div w:id="2105875506">
      <w:bodyDiv w:val="1"/>
      <w:marLeft w:val="0"/>
      <w:marRight w:val="0"/>
      <w:marTop w:val="0"/>
      <w:marBottom w:val="0"/>
      <w:divBdr>
        <w:top w:val="none" w:sz="0" w:space="0" w:color="auto"/>
        <w:left w:val="none" w:sz="0" w:space="0" w:color="auto"/>
        <w:bottom w:val="none" w:sz="0" w:space="0" w:color="auto"/>
        <w:right w:val="none" w:sz="0" w:space="0" w:color="auto"/>
      </w:divBdr>
    </w:div>
    <w:div w:id="2112237361">
      <w:bodyDiv w:val="1"/>
      <w:marLeft w:val="0"/>
      <w:marRight w:val="0"/>
      <w:marTop w:val="0"/>
      <w:marBottom w:val="0"/>
      <w:divBdr>
        <w:top w:val="none" w:sz="0" w:space="0" w:color="auto"/>
        <w:left w:val="none" w:sz="0" w:space="0" w:color="auto"/>
        <w:bottom w:val="none" w:sz="0" w:space="0" w:color="auto"/>
        <w:right w:val="none" w:sz="0" w:space="0" w:color="auto"/>
      </w:divBdr>
    </w:div>
    <w:div w:id="2128575477">
      <w:bodyDiv w:val="1"/>
      <w:marLeft w:val="0"/>
      <w:marRight w:val="0"/>
      <w:marTop w:val="0"/>
      <w:marBottom w:val="0"/>
      <w:divBdr>
        <w:top w:val="none" w:sz="0" w:space="0" w:color="auto"/>
        <w:left w:val="none" w:sz="0" w:space="0" w:color="auto"/>
        <w:bottom w:val="none" w:sz="0" w:space="0" w:color="auto"/>
        <w:right w:val="none" w:sz="0" w:space="0" w:color="auto"/>
      </w:divBdr>
    </w:div>
    <w:div w:id="214573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mailto:j.wahba@soton.ac.uk" TargetMode="External"/><Relationship Id="rId1" Type="http://schemas.openxmlformats.org/officeDocument/2006/relationships/hyperlink" Target="mailto:nelly.elmallakh@psemail.e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Nelly\Dropbox\Return%20migration%20and%20occupational%20mobility_MAY_2020\estimates_16_june_2020\Final%20tables_16_june_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Nelly\Dropbox\Return%20migration%20and%20occupational%20mobility_MAY_2020\estimates_16_june_2020\Final%20tables_16_june_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2"/>
          <c:order val="1"/>
          <c:tx>
            <c:strRef>
              <c:f>'/Users/Nelly/Dropbox/Return migration and occupational mobility_MAY_2020/Papier/Submission World Development - December 2019/Revision 1/Figures/[Figure 2.xlsx]Feuil1'!$C$1</c:f>
              <c:strCache>
                <c:ptCount val="1"/>
                <c:pt idx="0">
                  <c:v>Inflation adjusted oil prices, in $/Barrel</c:v>
                </c:pt>
              </c:strCache>
            </c:strRef>
          </c:tx>
          <c:spPr>
            <a:ln w="25400">
              <a:solidFill>
                <a:schemeClr val="accent3"/>
              </a:solidFill>
            </a:ln>
          </c:spPr>
          <c:marker>
            <c:symbol val="none"/>
          </c:marker>
          <c:cat>
            <c:numRef>
              <c:f>[2]Feuil1!$A$2:$A$46</c:f>
              <c:numCache>
                <c:formatCode>General</c:formatCode>
                <c:ptCount val="45"/>
                <c:pt idx="0">
                  <c:v>1964</c:v>
                </c:pt>
                <c:pt idx="1">
                  <c:v>1968</c:v>
                </c:pt>
                <c:pt idx="2">
                  <c:v>1969</c:v>
                </c:pt>
                <c:pt idx="3">
                  <c:v>1970</c:v>
                </c:pt>
                <c:pt idx="4">
                  <c:v>1972</c:v>
                </c:pt>
                <c:pt idx="5">
                  <c:v>1973</c:v>
                </c:pt>
                <c:pt idx="6">
                  <c:v>1974</c:v>
                </c:pt>
                <c:pt idx="7">
                  <c:v>1975</c:v>
                </c:pt>
                <c:pt idx="8">
                  <c:v>1976</c:v>
                </c:pt>
                <c:pt idx="9">
                  <c:v>1977</c:v>
                </c:pt>
                <c:pt idx="10">
                  <c:v>1978</c:v>
                </c:pt>
                <c:pt idx="11">
                  <c:v>1979</c:v>
                </c:pt>
                <c:pt idx="12">
                  <c:v>1980</c:v>
                </c:pt>
                <c:pt idx="13">
                  <c:v>1981</c:v>
                </c:pt>
                <c:pt idx="14">
                  <c:v>1982</c:v>
                </c:pt>
                <c:pt idx="15">
                  <c:v>1983</c:v>
                </c:pt>
                <c:pt idx="16">
                  <c:v>1984</c:v>
                </c:pt>
                <c:pt idx="17">
                  <c:v>1985</c:v>
                </c:pt>
                <c:pt idx="18">
                  <c:v>1986</c:v>
                </c:pt>
                <c:pt idx="19">
                  <c:v>1987</c:v>
                </c:pt>
                <c:pt idx="20">
                  <c:v>1988</c:v>
                </c:pt>
                <c:pt idx="21">
                  <c:v>1989</c:v>
                </c:pt>
                <c:pt idx="22">
                  <c:v>1990</c:v>
                </c:pt>
                <c:pt idx="23">
                  <c:v>1991</c:v>
                </c:pt>
                <c:pt idx="24">
                  <c:v>1992</c:v>
                </c:pt>
                <c:pt idx="25">
                  <c:v>1993</c:v>
                </c:pt>
                <c:pt idx="26">
                  <c:v>1994</c:v>
                </c:pt>
                <c:pt idx="27">
                  <c:v>1995</c:v>
                </c:pt>
                <c:pt idx="28">
                  <c:v>1996</c:v>
                </c:pt>
                <c:pt idx="29">
                  <c:v>1997</c:v>
                </c:pt>
                <c:pt idx="30">
                  <c:v>1998</c:v>
                </c:pt>
                <c:pt idx="31">
                  <c:v>1999</c:v>
                </c:pt>
                <c:pt idx="32">
                  <c:v>2000</c:v>
                </c:pt>
                <c:pt idx="33">
                  <c:v>2001</c:v>
                </c:pt>
                <c:pt idx="34">
                  <c:v>2002</c:v>
                </c:pt>
                <c:pt idx="35">
                  <c:v>2003</c:v>
                </c:pt>
                <c:pt idx="36">
                  <c:v>2004</c:v>
                </c:pt>
                <c:pt idx="37">
                  <c:v>2005</c:v>
                </c:pt>
                <c:pt idx="38">
                  <c:v>2006</c:v>
                </c:pt>
                <c:pt idx="39">
                  <c:v>2007</c:v>
                </c:pt>
                <c:pt idx="40">
                  <c:v>2008</c:v>
                </c:pt>
                <c:pt idx="41">
                  <c:v>2009</c:v>
                </c:pt>
                <c:pt idx="42">
                  <c:v>2010</c:v>
                </c:pt>
                <c:pt idx="43">
                  <c:v>2011</c:v>
                </c:pt>
                <c:pt idx="44">
                  <c:v>2012</c:v>
                </c:pt>
              </c:numCache>
            </c:numRef>
          </c:cat>
          <c:val>
            <c:numRef>
              <c:f>[2]Feuil1!$C$2:$C$46</c:f>
              <c:numCache>
                <c:formatCode>General</c:formatCode>
                <c:ptCount val="45"/>
                <c:pt idx="0">
                  <c:v>23.3</c:v>
                </c:pt>
                <c:pt idx="1">
                  <c:v>21.99</c:v>
                </c:pt>
                <c:pt idx="2">
                  <c:v>21.81</c:v>
                </c:pt>
                <c:pt idx="3">
                  <c:v>20.63</c:v>
                </c:pt>
                <c:pt idx="4">
                  <c:v>20.329999999999998</c:v>
                </c:pt>
                <c:pt idx="5">
                  <c:v>25.06</c:v>
                </c:pt>
                <c:pt idx="6">
                  <c:v>44.71</c:v>
                </c:pt>
                <c:pt idx="7">
                  <c:v>53.55</c:v>
                </c:pt>
                <c:pt idx="8">
                  <c:v>54.37</c:v>
                </c:pt>
                <c:pt idx="9">
                  <c:v>56.08</c:v>
                </c:pt>
                <c:pt idx="10">
                  <c:v>54.16</c:v>
                </c:pt>
                <c:pt idx="11">
                  <c:v>80.900000000000006</c:v>
                </c:pt>
                <c:pt idx="12">
                  <c:v>107.37</c:v>
                </c:pt>
                <c:pt idx="13">
                  <c:v>92.98</c:v>
                </c:pt>
                <c:pt idx="14">
                  <c:v>77.95</c:v>
                </c:pt>
                <c:pt idx="15">
                  <c:v>68.97</c:v>
                </c:pt>
                <c:pt idx="16">
                  <c:v>65.37</c:v>
                </c:pt>
                <c:pt idx="17">
                  <c:v>59.1</c:v>
                </c:pt>
                <c:pt idx="18">
                  <c:v>31.1</c:v>
                </c:pt>
                <c:pt idx="19">
                  <c:v>36.89</c:v>
                </c:pt>
                <c:pt idx="20">
                  <c:v>29.73</c:v>
                </c:pt>
                <c:pt idx="21">
                  <c:v>34.909999999999997</c:v>
                </c:pt>
                <c:pt idx="22">
                  <c:v>41.79</c:v>
                </c:pt>
                <c:pt idx="23">
                  <c:v>35.03</c:v>
                </c:pt>
                <c:pt idx="24">
                  <c:v>32.4</c:v>
                </c:pt>
                <c:pt idx="25">
                  <c:v>27.39</c:v>
                </c:pt>
                <c:pt idx="26">
                  <c:v>24.94</c:v>
                </c:pt>
                <c:pt idx="27">
                  <c:v>25.96</c:v>
                </c:pt>
                <c:pt idx="28">
                  <c:v>30.79</c:v>
                </c:pt>
                <c:pt idx="29">
                  <c:v>27.43</c:v>
                </c:pt>
                <c:pt idx="30">
                  <c:v>17.260000000000002</c:v>
                </c:pt>
                <c:pt idx="31">
                  <c:v>23.42</c:v>
                </c:pt>
                <c:pt idx="32">
                  <c:v>37.549999999999997</c:v>
                </c:pt>
                <c:pt idx="33">
                  <c:v>30.69</c:v>
                </c:pt>
                <c:pt idx="34">
                  <c:v>29.92</c:v>
                </c:pt>
                <c:pt idx="35">
                  <c:v>35.549999999999997</c:v>
                </c:pt>
                <c:pt idx="36">
                  <c:v>47.05</c:v>
                </c:pt>
                <c:pt idx="37">
                  <c:v>60.45</c:v>
                </c:pt>
                <c:pt idx="38">
                  <c:v>68.28</c:v>
                </c:pt>
                <c:pt idx="39">
                  <c:v>72.989999999999995</c:v>
                </c:pt>
                <c:pt idx="40">
                  <c:v>100.01</c:v>
                </c:pt>
                <c:pt idx="41">
                  <c:v>58.76</c:v>
                </c:pt>
                <c:pt idx="42">
                  <c:v>77.11</c:v>
                </c:pt>
                <c:pt idx="43">
                  <c:v>91.39</c:v>
                </c:pt>
                <c:pt idx="44">
                  <c:v>88.95</c:v>
                </c:pt>
              </c:numCache>
            </c:numRef>
          </c:val>
          <c:smooth val="0"/>
          <c:extLst>
            <c:ext xmlns:c16="http://schemas.microsoft.com/office/drawing/2014/chart" uri="{C3380CC4-5D6E-409C-BE32-E72D297353CC}">
              <c16:uniqueId val="{00000000-D8E8-0F4F-B7B1-709EEA6BDEC8}"/>
            </c:ext>
          </c:extLst>
        </c:ser>
        <c:dLbls>
          <c:showLegendKey val="0"/>
          <c:showVal val="0"/>
          <c:showCatName val="0"/>
          <c:showSerName val="0"/>
          <c:showPercent val="0"/>
          <c:showBubbleSize val="0"/>
        </c:dLbls>
        <c:marker val="1"/>
        <c:smooth val="0"/>
        <c:axId val="214066688"/>
        <c:axId val="250037376"/>
      </c:lineChart>
      <c:lineChart>
        <c:grouping val="standard"/>
        <c:varyColors val="0"/>
        <c:ser>
          <c:idx val="1"/>
          <c:order val="0"/>
          <c:tx>
            <c:strRef>
              <c:f>'/Users/Nelly/Dropbox/Return migration and occupational mobility_MAY_2020/Papier/Submission World Development - December 2019/Revision 1/Figures/[Figure 2.xlsx]Feuil1'!$B$1</c:f>
              <c:strCache>
                <c:ptCount val="1"/>
                <c:pt idx="0">
                  <c:v>Share of migrants, % of total migrants</c:v>
                </c:pt>
              </c:strCache>
            </c:strRef>
          </c:tx>
          <c:spPr>
            <a:ln w="25400">
              <a:solidFill>
                <a:srgbClr val="C00000"/>
              </a:solidFill>
              <a:prstDash val="sysDash"/>
            </a:ln>
          </c:spPr>
          <c:marker>
            <c:symbol val="none"/>
          </c:marker>
          <c:cat>
            <c:numRef>
              <c:f>[2]Feuil1!$A$2:$A$46</c:f>
              <c:numCache>
                <c:formatCode>General</c:formatCode>
                <c:ptCount val="45"/>
                <c:pt idx="0">
                  <c:v>1964</c:v>
                </c:pt>
                <c:pt idx="1">
                  <c:v>1968</c:v>
                </c:pt>
                <c:pt idx="2">
                  <c:v>1969</c:v>
                </c:pt>
                <c:pt idx="3">
                  <c:v>1970</c:v>
                </c:pt>
                <c:pt idx="4">
                  <c:v>1972</c:v>
                </c:pt>
                <c:pt idx="5">
                  <c:v>1973</c:v>
                </c:pt>
                <c:pt idx="6">
                  <c:v>1974</c:v>
                </c:pt>
                <c:pt idx="7">
                  <c:v>1975</c:v>
                </c:pt>
                <c:pt idx="8">
                  <c:v>1976</c:v>
                </c:pt>
                <c:pt idx="9">
                  <c:v>1977</c:v>
                </c:pt>
                <c:pt idx="10">
                  <c:v>1978</c:v>
                </c:pt>
                <c:pt idx="11">
                  <c:v>1979</c:v>
                </c:pt>
                <c:pt idx="12">
                  <c:v>1980</c:v>
                </c:pt>
                <c:pt idx="13">
                  <c:v>1981</c:v>
                </c:pt>
                <c:pt idx="14">
                  <c:v>1982</c:v>
                </c:pt>
                <c:pt idx="15">
                  <c:v>1983</c:v>
                </c:pt>
                <c:pt idx="16">
                  <c:v>1984</c:v>
                </c:pt>
                <c:pt idx="17">
                  <c:v>1985</c:v>
                </c:pt>
                <c:pt idx="18">
                  <c:v>1986</c:v>
                </c:pt>
                <c:pt idx="19">
                  <c:v>1987</c:v>
                </c:pt>
                <c:pt idx="20">
                  <c:v>1988</c:v>
                </c:pt>
                <c:pt idx="21">
                  <c:v>1989</c:v>
                </c:pt>
                <c:pt idx="22">
                  <c:v>1990</c:v>
                </c:pt>
                <c:pt idx="23">
                  <c:v>1991</c:v>
                </c:pt>
                <c:pt idx="24">
                  <c:v>1992</c:v>
                </c:pt>
                <c:pt idx="25">
                  <c:v>1993</c:v>
                </c:pt>
                <c:pt idx="26">
                  <c:v>1994</c:v>
                </c:pt>
                <c:pt idx="27">
                  <c:v>1995</c:v>
                </c:pt>
                <c:pt idx="28">
                  <c:v>1996</c:v>
                </c:pt>
                <c:pt idx="29">
                  <c:v>1997</c:v>
                </c:pt>
                <c:pt idx="30">
                  <c:v>1998</c:v>
                </c:pt>
                <c:pt idx="31">
                  <c:v>1999</c:v>
                </c:pt>
                <c:pt idx="32">
                  <c:v>2000</c:v>
                </c:pt>
                <c:pt idx="33">
                  <c:v>2001</c:v>
                </c:pt>
                <c:pt idx="34">
                  <c:v>2002</c:v>
                </c:pt>
                <c:pt idx="35">
                  <c:v>2003</c:v>
                </c:pt>
                <c:pt idx="36">
                  <c:v>2004</c:v>
                </c:pt>
                <c:pt idx="37">
                  <c:v>2005</c:v>
                </c:pt>
                <c:pt idx="38">
                  <c:v>2006</c:v>
                </c:pt>
                <c:pt idx="39">
                  <c:v>2007</c:v>
                </c:pt>
                <c:pt idx="40">
                  <c:v>2008</c:v>
                </c:pt>
                <c:pt idx="41">
                  <c:v>2009</c:v>
                </c:pt>
                <c:pt idx="42">
                  <c:v>2010</c:v>
                </c:pt>
                <c:pt idx="43">
                  <c:v>2011</c:v>
                </c:pt>
                <c:pt idx="44">
                  <c:v>2012</c:v>
                </c:pt>
              </c:numCache>
            </c:numRef>
          </c:cat>
          <c:val>
            <c:numRef>
              <c:f>[2]Feuil1!$B$2:$B$46</c:f>
              <c:numCache>
                <c:formatCode>General</c:formatCode>
                <c:ptCount val="45"/>
                <c:pt idx="0">
                  <c:v>4.6146699999999999E-2</c:v>
                </c:pt>
                <c:pt idx="1">
                  <c:v>9.2293500000000001E-2</c:v>
                </c:pt>
                <c:pt idx="2">
                  <c:v>4.6146699999999999E-2</c:v>
                </c:pt>
                <c:pt idx="3">
                  <c:v>4.6146699999999999E-2</c:v>
                </c:pt>
                <c:pt idx="4">
                  <c:v>9.2293500000000001E-2</c:v>
                </c:pt>
                <c:pt idx="5">
                  <c:v>0.23073370000000001</c:v>
                </c:pt>
                <c:pt idx="6">
                  <c:v>0.13844020000000001</c:v>
                </c:pt>
                <c:pt idx="7">
                  <c:v>0.64605440000000003</c:v>
                </c:pt>
                <c:pt idx="8">
                  <c:v>0.50761420000000002</c:v>
                </c:pt>
                <c:pt idx="9">
                  <c:v>0.41532069999999999</c:v>
                </c:pt>
                <c:pt idx="10">
                  <c:v>0.69220119999999996</c:v>
                </c:pt>
                <c:pt idx="11">
                  <c:v>0.78449469999999999</c:v>
                </c:pt>
                <c:pt idx="12">
                  <c:v>1.6151359999999999</c:v>
                </c:pt>
                <c:pt idx="13">
                  <c:v>2.1688969999999999</c:v>
                </c:pt>
                <c:pt idx="14">
                  <c:v>2.0304570000000002</c:v>
                </c:pt>
                <c:pt idx="15">
                  <c:v>2.1688969999999999</c:v>
                </c:pt>
                <c:pt idx="16">
                  <c:v>2.6303649999999998</c:v>
                </c:pt>
                <c:pt idx="17">
                  <c:v>2.768805</c:v>
                </c:pt>
                <c:pt idx="18">
                  <c:v>2.1688969999999999</c:v>
                </c:pt>
                <c:pt idx="19">
                  <c:v>2.491924</c:v>
                </c:pt>
                <c:pt idx="20">
                  <c:v>2.9995379999999998</c:v>
                </c:pt>
                <c:pt idx="21">
                  <c:v>2.9995379999999998</c:v>
                </c:pt>
                <c:pt idx="22">
                  <c:v>2.6303649999999998</c:v>
                </c:pt>
                <c:pt idx="23">
                  <c:v>1.70743</c:v>
                </c:pt>
                <c:pt idx="24">
                  <c:v>2.1688969999999999</c:v>
                </c:pt>
                <c:pt idx="25">
                  <c:v>1.8920170000000001</c:v>
                </c:pt>
                <c:pt idx="26">
                  <c:v>2.768805</c:v>
                </c:pt>
                <c:pt idx="27">
                  <c:v>1.98431</c:v>
                </c:pt>
                <c:pt idx="28">
                  <c:v>1.568989</c:v>
                </c:pt>
                <c:pt idx="29">
                  <c:v>1.1998150000000001</c:v>
                </c:pt>
                <c:pt idx="30">
                  <c:v>2.0766040000000001</c:v>
                </c:pt>
                <c:pt idx="31">
                  <c:v>1.568989</c:v>
                </c:pt>
                <c:pt idx="32">
                  <c:v>2.5842179999999999</c:v>
                </c:pt>
                <c:pt idx="33">
                  <c:v>2.6303649999999998</c:v>
                </c:pt>
                <c:pt idx="34">
                  <c:v>2.9995379999999998</c:v>
                </c:pt>
                <c:pt idx="35">
                  <c:v>2.491924</c:v>
                </c:pt>
                <c:pt idx="36">
                  <c:v>2.5842179999999999</c:v>
                </c:pt>
                <c:pt idx="37">
                  <c:v>3.96862</c:v>
                </c:pt>
                <c:pt idx="38">
                  <c:v>4.014767</c:v>
                </c:pt>
                <c:pt idx="39">
                  <c:v>4.014767</c:v>
                </c:pt>
                <c:pt idx="40">
                  <c:v>5.8144900000000002</c:v>
                </c:pt>
                <c:pt idx="41">
                  <c:v>6.4605449999999998</c:v>
                </c:pt>
                <c:pt idx="42">
                  <c:v>6.0452240000000002</c:v>
                </c:pt>
                <c:pt idx="43">
                  <c:v>7.2450390000000002</c:v>
                </c:pt>
                <c:pt idx="44">
                  <c:v>1.799723</c:v>
                </c:pt>
              </c:numCache>
            </c:numRef>
          </c:val>
          <c:smooth val="0"/>
          <c:extLst>
            <c:ext xmlns:c16="http://schemas.microsoft.com/office/drawing/2014/chart" uri="{C3380CC4-5D6E-409C-BE32-E72D297353CC}">
              <c16:uniqueId val="{00000001-D8E8-0F4F-B7B1-709EEA6BDEC8}"/>
            </c:ext>
          </c:extLst>
        </c:ser>
        <c:dLbls>
          <c:showLegendKey val="0"/>
          <c:showVal val="0"/>
          <c:showCatName val="0"/>
          <c:showSerName val="0"/>
          <c:showPercent val="0"/>
          <c:showBubbleSize val="0"/>
        </c:dLbls>
        <c:marker val="1"/>
        <c:smooth val="0"/>
        <c:axId val="214067712"/>
        <c:axId val="250039680"/>
      </c:lineChart>
      <c:catAx>
        <c:axId val="214066688"/>
        <c:scaling>
          <c:orientation val="minMax"/>
        </c:scaling>
        <c:delete val="0"/>
        <c:axPos val="b"/>
        <c:numFmt formatCode="General" sourceLinked="1"/>
        <c:majorTickMark val="out"/>
        <c:minorTickMark val="none"/>
        <c:tickLblPos val="nextTo"/>
        <c:crossAx val="250037376"/>
        <c:crosses val="autoZero"/>
        <c:auto val="1"/>
        <c:lblAlgn val="ctr"/>
        <c:lblOffset val="100"/>
        <c:noMultiLvlLbl val="0"/>
      </c:catAx>
      <c:valAx>
        <c:axId val="250037376"/>
        <c:scaling>
          <c:orientation val="minMax"/>
        </c:scaling>
        <c:delete val="0"/>
        <c:axPos val="l"/>
        <c:majorGridlines>
          <c:spPr>
            <a:ln>
              <a:noFill/>
            </a:ln>
          </c:spPr>
        </c:majorGridlines>
        <c:numFmt formatCode="General" sourceLinked="1"/>
        <c:majorTickMark val="out"/>
        <c:minorTickMark val="none"/>
        <c:tickLblPos val="nextTo"/>
        <c:crossAx val="214066688"/>
        <c:crosses val="autoZero"/>
        <c:crossBetween val="between"/>
      </c:valAx>
      <c:valAx>
        <c:axId val="250039680"/>
        <c:scaling>
          <c:orientation val="minMax"/>
        </c:scaling>
        <c:delete val="0"/>
        <c:axPos val="r"/>
        <c:numFmt formatCode="General" sourceLinked="1"/>
        <c:majorTickMark val="out"/>
        <c:minorTickMark val="none"/>
        <c:tickLblPos val="nextTo"/>
        <c:crossAx val="214067712"/>
        <c:crosses val="max"/>
        <c:crossBetween val="between"/>
      </c:valAx>
      <c:catAx>
        <c:axId val="214067712"/>
        <c:scaling>
          <c:orientation val="minMax"/>
        </c:scaling>
        <c:delete val="1"/>
        <c:axPos val="b"/>
        <c:numFmt formatCode="General" sourceLinked="1"/>
        <c:majorTickMark val="out"/>
        <c:minorTickMark val="none"/>
        <c:tickLblPos val="nextTo"/>
        <c:crossAx val="250039680"/>
        <c:crosses val="autoZero"/>
        <c:auto val="1"/>
        <c:lblAlgn val="ctr"/>
        <c:lblOffset val="100"/>
        <c:noMultiLvlLbl val="0"/>
      </c:cat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'/Users/Nelly/Dropbox/Return migration and occupational mobility_MAY_2020/Papier/Submission World Development - December 2019/Revision 1/Figures/[Figure 1.xlsx]Sheet1'!$B$3</c:f>
              <c:strCache>
                <c:ptCount val="1"/>
                <c:pt idx="0">
                  <c:v>GDP growth (annual %)</c:v>
                </c:pt>
              </c:strCache>
            </c:strRef>
          </c:tx>
          <c:marker>
            <c:symbol val="none"/>
          </c:marker>
          <c:cat>
            <c:strRef>
              <c:f>[1]Sheet1!$A$4:$A$28</c:f>
              <c:strCache>
                <c:ptCount val="25"/>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strCache>
            </c:strRef>
          </c:cat>
          <c:val>
            <c:numRef>
              <c:f>[1]Sheet1!$B$4:$B$28</c:f>
              <c:numCache>
                <c:formatCode>General</c:formatCode>
                <c:ptCount val="25"/>
                <c:pt idx="0">
                  <c:v>4.9723785723223983</c:v>
                </c:pt>
                <c:pt idx="1">
                  <c:v>5.7017532926796406</c:v>
                </c:pt>
                <c:pt idx="2">
                  <c:v>1.0788379847089828</c:v>
                </c:pt>
                <c:pt idx="3">
                  <c:v>4.4319960911724365</c:v>
                </c:pt>
                <c:pt idx="4">
                  <c:v>2.900790829239412</c:v>
                </c:pt>
                <c:pt idx="5">
                  <c:v>3.9731721602519201</c:v>
                </c:pt>
                <c:pt idx="6">
                  <c:v>4.6424587834767266</c:v>
                </c:pt>
                <c:pt idx="7">
                  <c:v>4.9887305516225382</c:v>
                </c:pt>
                <c:pt idx="8">
                  <c:v>5.4911315086617805</c:v>
                </c:pt>
                <c:pt idx="9">
                  <c:v>4.0363670658381636</c:v>
                </c:pt>
                <c:pt idx="10">
                  <c:v>6.1054603994576127</c:v>
                </c:pt>
                <c:pt idx="11">
                  <c:v>5.3680059667528042</c:v>
                </c:pt>
                <c:pt idx="12">
                  <c:v>3.5352256758875313</c:v>
                </c:pt>
                <c:pt idx="13">
                  <c:v>2.3704891075601751</c:v>
                </c:pt>
                <c:pt idx="14">
                  <c:v>3.1934547332634651</c:v>
                </c:pt>
                <c:pt idx="15">
                  <c:v>4.0919191812782856</c:v>
                </c:pt>
                <c:pt idx="16">
                  <c:v>4.4713527531708337</c:v>
                </c:pt>
                <c:pt idx="17">
                  <c:v>6.8429605866360248</c:v>
                </c:pt>
                <c:pt idx="18">
                  <c:v>7.0880159569947239</c:v>
                </c:pt>
                <c:pt idx="19">
                  <c:v>7.1520510336621612</c:v>
                </c:pt>
                <c:pt idx="20">
                  <c:v>4.6854451880405463</c:v>
                </c:pt>
                <c:pt idx="21">
                  <c:v>5.1391260870983189</c:v>
                </c:pt>
                <c:pt idx="22">
                  <c:v>1.8166466440314224</c:v>
                </c:pt>
                <c:pt idx="23">
                  <c:v>2.1938783536751885</c:v>
                </c:pt>
                <c:pt idx="24">
                  <c:v>2.1067246166847724</c:v>
                </c:pt>
              </c:numCache>
            </c:numRef>
          </c:val>
          <c:smooth val="0"/>
          <c:extLst>
            <c:ext xmlns:c16="http://schemas.microsoft.com/office/drawing/2014/chart" uri="{C3380CC4-5D6E-409C-BE32-E72D297353CC}">
              <c16:uniqueId val="{00000000-68D1-A74B-995E-780CAAACB20A}"/>
            </c:ext>
          </c:extLst>
        </c:ser>
        <c:ser>
          <c:idx val="1"/>
          <c:order val="1"/>
          <c:tx>
            <c:strRef>
              <c:f>'/Users/Nelly/Dropbox/Return migration and occupational mobility_MAY_2020/Papier/Submission World Development - December 2019/Revision 1/Figures/[Figure 1.xlsx]Sheet1'!$C$3</c:f>
              <c:strCache>
                <c:ptCount val="1"/>
                <c:pt idx="0">
                  <c:v>Inflation adjusted oil prices</c:v>
                </c:pt>
              </c:strCache>
            </c:strRef>
          </c:tx>
          <c:spPr>
            <a:ln>
              <a:prstDash val="solid"/>
            </a:ln>
          </c:spPr>
          <c:marker>
            <c:symbol val="none"/>
          </c:marker>
          <c:cat>
            <c:strRef>
              <c:f>[1]Sheet1!$A$4:$A$28</c:f>
              <c:strCache>
                <c:ptCount val="25"/>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strCache>
            </c:strRef>
          </c:cat>
          <c:val>
            <c:numRef>
              <c:f>[1]Sheet1!$C$4:$C$28</c:f>
              <c:numCache>
                <c:formatCode>General</c:formatCode>
                <c:ptCount val="25"/>
                <c:pt idx="0">
                  <c:v>35.6</c:v>
                </c:pt>
                <c:pt idx="1">
                  <c:v>42.62</c:v>
                </c:pt>
                <c:pt idx="2">
                  <c:v>35.729999999999997</c:v>
                </c:pt>
                <c:pt idx="3">
                  <c:v>33.04</c:v>
                </c:pt>
                <c:pt idx="4">
                  <c:v>27.94</c:v>
                </c:pt>
                <c:pt idx="5">
                  <c:v>25.44</c:v>
                </c:pt>
                <c:pt idx="6">
                  <c:v>26.48</c:v>
                </c:pt>
                <c:pt idx="7">
                  <c:v>31.4</c:v>
                </c:pt>
                <c:pt idx="8">
                  <c:v>27.98</c:v>
                </c:pt>
                <c:pt idx="9">
                  <c:v>17.600000000000001</c:v>
                </c:pt>
                <c:pt idx="10">
                  <c:v>23.89</c:v>
                </c:pt>
                <c:pt idx="11">
                  <c:v>38.29</c:v>
                </c:pt>
                <c:pt idx="12">
                  <c:v>31.3</c:v>
                </c:pt>
                <c:pt idx="13">
                  <c:v>30.52</c:v>
                </c:pt>
                <c:pt idx="14">
                  <c:v>36.26</c:v>
                </c:pt>
                <c:pt idx="15">
                  <c:v>47.98</c:v>
                </c:pt>
                <c:pt idx="16">
                  <c:v>61.65</c:v>
                </c:pt>
                <c:pt idx="17">
                  <c:v>69.64</c:v>
                </c:pt>
                <c:pt idx="18">
                  <c:v>74.44</c:v>
                </c:pt>
                <c:pt idx="19">
                  <c:v>102</c:v>
                </c:pt>
                <c:pt idx="20">
                  <c:v>59.93</c:v>
                </c:pt>
                <c:pt idx="21">
                  <c:v>78.650000000000006</c:v>
                </c:pt>
                <c:pt idx="22">
                  <c:v>93.21</c:v>
                </c:pt>
                <c:pt idx="23">
                  <c:v>90.72</c:v>
                </c:pt>
                <c:pt idx="24">
                  <c:v>94.25</c:v>
                </c:pt>
              </c:numCache>
            </c:numRef>
          </c:val>
          <c:smooth val="0"/>
          <c:extLst>
            <c:ext xmlns:c16="http://schemas.microsoft.com/office/drawing/2014/chart" uri="{C3380CC4-5D6E-409C-BE32-E72D297353CC}">
              <c16:uniqueId val="{00000001-68D1-A74B-995E-780CAAACB20A}"/>
            </c:ext>
          </c:extLst>
        </c:ser>
        <c:ser>
          <c:idx val="2"/>
          <c:order val="2"/>
          <c:tx>
            <c:strRef>
              <c:f>'/Users/Nelly/Dropbox/Return migration and occupational mobility_MAY_2020/Papier/Submission World Development - December 2019/Revision 1/Figures/[Figure 1.xlsx]Sheet1'!$D$3</c:f>
              <c:strCache>
                <c:ptCount val="1"/>
                <c:pt idx="0">
                  <c:v>Labor force participation rate, male (% of male population ages 15+)</c:v>
                </c:pt>
              </c:strCache>
            </c:strRef>
          </c:tx>
          <c:marker>
            <c:symbol val="none"/>
          </c:marker>
          <c:cat>
            <c:strRef>
              <c:f>[1]Sheet1!$A$4:$A$28</c:f>
              <c:strCache>
                <c:ptCount val="25"/>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strCache>
            </c:strRef>
          </c:cat>
          <c:val>
            <c:numRef>
              <c:f>[1]Sheet1!$D$4:$D$28</c:f>
              <c:numCache>
                <c:formatCode>General</c:formatCode>
                <c:ptCount val="25"/>
                <c:pt idx="1">
                  <c:v>74.599998474121094</c:v>
                </c:pt>
                <c:pt idx="2">
                  <c:v>73.5</c:v>
                </c:pt>
                <c:pt idx="3">
                  <c:v>70.900001525878906</c:v>
                </c:pt>
                <c:pt idx="4">
                  <c:v>72.599998474121094</c:v>
                </c:pt>
                <c:pt idx="5">
                  <c:v>73.800003051757798</c:v>
                </c:pt>
                <c:pt idx="6">
                  <c:v>72.699996948242202</c:v>
                </c:pt>
                <c:pt idx="7">
                  <c:v>72.5</c:v>
                </c:pt>
                <c:pt idx="8">
                  <c:v>72.199996948242202</c:v>
                </c:pt>
                <c:pt idx="9">
                  <c:v>71.800003051757798</c:v>
                </c:pt>
                <c:pt idx="10">
                  <c:v>74</c:v>
                </c:pt>
                <c:pt idx="11">
                  <c:v>73.099998474121094</c:v>
                </c:pt>
                <c:pt idx="12">
                  <c:v>71.699996948242202</c:v>
                </c:pt>
                <c:pt idx="13">
                  <c:v>71.800003051757798</c:v>
                </c:pt>
                <c:pt idx="14">
                  <c:v>73.099998474121094</c:v>
                </c:pt>
                <c:pt idx="15">
                  <c:v>74.400001525878906</c:v>
                </c:pt>
                <c:pt idx="16">
                  <c:v>75.5</c:v>
                </c:pt>
                <c:pt idx="17">
                  <c:v>73.199996948242202</c:v>
                </c:pt>
                <c:pt idx="18">
                  <c:v>73.400001525878906</c:v>
                </c:pt>
                <c:pt idx="19">
                  <c:v>73.599998474121094</c:v>
                </c:pt>
                <c:pt idx="20">
                  <c:v>73.900001525878906</c:v>
                </c:pt>
                <c:pt idx="21">
                  <c:v>74.099998474121094</c:v>
                </c:pt>
                <c:pt idx="22">
                  <c:v>74.300003051757798</c:v>
                </c:pt>
                <c:pt idx="23">
                  <c:v>74.599998474121094</c:v>
                </c:pt>
                <c:pt idx="24">
                  <c:v>74.800003051757798</c:v>
                </c:pt>
              </c:numCache>
            </c:numRef>
          </c:val>
          <c:smooth val="0"/>
          <c:extLst>
            <c:ext xmlns:c16="http://schemas.microsoft.com/office/drawing/2014/chart" uri="{C3380CC4-5D6E-409C-BE32-E72D297353CC}">
              <c16:uniqueId val="{00000002-68D1-A74B-995E-780CAAACB20A}"/>
            </c:ext>
          </c:extLst>
        </c:ser>
        <c:ser>
          <c:idx val="3"/>
          <c:order val="3"/>
          <c:tx>
            <c:strRef>
              <c:f>'/Users/Nelly/Dropbox/Return migration and occupational mobility_MAY_2020/Papier/Submission World Development - December 2019/Revision 1/Figures/[Figure 1.xlsx]Sheet1'!$E$3</c:f>
              <c:strCache>
                <c:ptCount val="1"/>
                <c:pt idx="0">
                  <c:v>Employment in agriculture, male (% of male employment)</c:v>
                </c:pt>
              </c:strCache>
            </c:strRef>
          </c:tx>
          <c:marker>
            <c:symbol val="none"/>
          </c:marker>
          <c:cat>
            <c:strRef>
              <c:f>[1]Sheet1!$A$4:$A$28</c:f>
              <c:strCache>
                <c:ptCount val="25"/>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strCache>
            </c:strRef>
          </c:cat>
          <c:val>
            <c:numRef>
              <c:f>[1]Sheet1!$E$4:$E$28</c:f>
              <c:numCache>
                <c:formatCode>General</c:formatCode>
                <c:ptCount val="25"/>
                <c:pt idx="0">
                  <c:v>34.599998474121101</c:v>
                </c:pt>
                <c:pt idx="1">
                  <c:v>34.900001525878899</c:v>
                </c:pt>
                <c:pt idx="2">
                  <c:v>29.399999618530298</c:v>
                </c:pt>
                <c:pt idx="3">
                  <c:v>34.5</c:v>
                </c:pt>
                <c:pt idx="4">
                  <c:v>32.5</c:v>
                </c:pt>
                <c:pt idx="5">
                  <c:v>32.200000762939503</c:v>
                </c:pt>
                <c:pt idx="6">
                  <c:v>32</c:v>
                </c:pt>
                <c:pt idx="7">
                  <c:v>34</c:v>
                </c:pt>
                <c:pt idx="8">
                  <c:v>29.100000381469702</c:v>
                </c:pt>
                <c:pt idx="9">
                  <c:v>28.5</c:v>
                </c:pt>
                <c:pt idx="10">
                  <c:v>28</c:v>
                </c:pt>
                <c:pt idx="11">
                  <c:v>27.399999618530298</c:v>
                </c:pt>
                <c:pt idx="12">
                  <c:v>27.799999237060501</c:v>
                </c:pt>
                <c:pt idx="13">
                  <c:v>27.5</c:v>
                </c:pt>
                <c:pt idx="14">
                  <c:v>27.700000762939499</c:v>
                </c:pt>
                <c:pt idx="15">
                  <c:v>28.100000381469702</c:v>
                </c:pt>
                <c:pt idx="16">
                  <c:v>27.100000381469702</c:v>
                </c:pt>
                <c:pt idx="17">
                  <c:v>28.299999237060501</c:v>
                </c:pt>
                <c:pt idx="18">
                  <c:v>27.700000762939499</c:v>
                </c:pt>
                <c:pt idx="19">
                  <c:v>28.200000762939499</c:v>
                </c:pt>
                <c:pt idx="20">
                  <c:v>25.899999618530298</c:v>
                </c:pt>
                <c:pt idx="21">
                  <c:v>24.700000762939499</c:v>
                </c:pt>
                <c:pt idx="22">
                  <c:v>25.700000762939499</c:v>
                </c:pt>
                <c:pt idx="23">
                  <c:v>24.5</c:v>
                </c:pt>
                <c:pt idx="24">
                  <c:v>24.100000381469702</c:v>
                </c:pt>
              </c:numCache>
            </c:numRef>
          </c:val>
          <c:smooth val="0"/>
          <c:extLst>
            <c:ext xmlns:c16="http://schemas.microsoft.com/office/drawing/2014/chart" uri="{C3380CC4-5D6E-409C-BE32-E72D297353CC}">
              <c16:uniqueId val="{00000003-68D1-A74B-995E-780CAAACB20A}"/>
            </c:ext>
          </c:extLst>
        </c:ser>
        <c:ser>
          <c:idx val="4"/>
          <c:order val="4"/>
          <c:tx>
            <c:strRef>
              <c:f>'/Users/Nelly/Dropbox/Return migration and occupational mobility_MAY_2020/Papier/Submission World Development - December 2019/Revision 1/Figures/[Figure 1.xlsx]Sheet1'!$F$3</c:f>
              <c:strCache>
                <c:ptCount val="1"/>
                <c:pt idx="0">
                  <c:v>Employment in industry, male (% of male employment)</c:v>
                </c:pt>
              </c:strCache>
            </c:strRef>
          </c:tx>
          <c:marker>
            <c:symbol val="none"/>
          </c:marker>
          <c:cat>
            <c:strRef>
              <c:f>[1]Sheet1!$A$4:$A$28</c:f>
              <c:strCache>
                <c:ptCount val="25"/>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strCache>
            </c:strRef>
          </c:cat>
          <c:val>
            <c:numRef>
              <c:f>[1]Sheet1!$F$4:$F$28</c:f>
              <c:numCache>
                <c:formatCode>General</c:formatCode>
                <c:ptCount val="25"/>
                <c:pt idx="0">
                  <c:v>25.100000381469702</c:v>
                </c:pt>
                <c:pt idx="1">
                  <c:v>23.899999618530298</c:v>
                </c:pt>
                <c:pt idx="2">
                  <c:v>26.899999618530298</c:v>
                </c:pt>
                <c:pt idx="3">
                  <c:v>24.600000381469702</c:v>
                </c:pt>
                <c:pt idx="4">
                  <c:v>25.100000381469702</c:v>
                </c:pt>
                <c:pt idx="5">
                  <c:v>25.100000381469702</c:v>
                </c:pt>
                <c:pt idx="6">
                  <c:v>24.899999618530298</c:v>
                </c:pt>
                <c:pt idx="7">
                  <c:v>25.100000381469702</c:v>
                </c:pt>
                <c:pt idx="8">
                  <c:v>25.600000381469702</c:v>
                </c:pt>
                <c:pt idx="9">
                  <c:v>25.200000762939499</c:v>
                </c:pt>
                <c:pt idx="10">
                  <c:v>25.200000762939499</c:v>
                </c:pt>
                <c:pt idx="11">
                  <c:v>24.600000381469702</c:v>
                </c:pt>
                <c:pt idx="12">
                  <c:v>23.799999237060501</c:v>
                </c:pt>
                <c:pt idx="13">
                  <c:v>22.899999618530298</c:v>
                </c:pt>
                <c:pt idx="14">
                  <c:v>22.899999618530298</c:v>
                </c:pt>
                <c:pt idx="15">
                  <c:v>23.5</c:v>
                </c:pt>
                <c:pt idx="16">
                  <c:v>25.399999618530298</c:v>
                </c:pt>
                <c:pt idx="17">
                  <c:v>25.799999237060501</c:v>
                </c:pt>
                <c:pt idx="18">
                  <c:v>26.5</c:v>
                </c:pt>
                <c:pt idx="19">
                  <c:v>27.299999237060501</c:v>
                </c:pt>
                <c:pt idx="20">
                  <c:v>28.399999618530298</c:v>
                </c:pt>
                <c:pt idx="21">
                  <c:v>30.100000381469702</c:v>
                </c:pt>
                <c:pt idx="22">
                  <c:v>28.100000381469702</c:v>
                </c:pt>
                <c:pt idx="23">
                  <c:v>29.600000381469702</c:v>
                </c:pt>
                <c:pt idx="24">
                  <c:v>29</c:v>
                </c:pt>
              </c:numCache>
            </c:numRef>
          </c:val>
          <c:smooth val="0"/>
          <c:extLst>
            <c:ext xmlns:c16="http://schemas.microsoft.com/office/drawing/2014/chart" uri="{C3380CC4-5D6E-409C-BE32-E72D297353CC}">
              <c16:uniqueId val="{00000004-68D1-A74B-995E-780CAAACB20A}"/>
            </c:ext>
          </c:extLst>
        </c:ser>
        <c:ser>
          <c:idx val="5"/>
          <c:order val="5"/>
          <c:tx>
            <c:strRef>
              <c:f>'/Users/Nelly/Dropbox/Return migration and occupational mobility_MAY_2020/Papier/Submission World Development - December 2019/Revision 1/Figures/[Figure 1.xlsx]Sheet1'!$G$3</c:f>
              <c:strCache>
                <c:ptCount val="1"/>
                <c:pt idx="0">
                  <c:v>Employment in services, male (% of male employment)</c:v>
                </c:pt>
              </c:strCache>
            </c:strRef>
          </c:tx>
          <c:marker>
            <c:symbol val="none"/>
          </c:marker>
          <c:cat>
            <c:strRef>
              <c:f>[1]Sheet1!$A$4:$A$28</c:f>
              <c:strCache>
                <c:ptCount val="25"/>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strCache>
            </c:strRef>
          </c:cat>
          <c:val>
            <c:numRef>
              <c:f>[1]Sheet1!$G$4:$G$28</c:f>
              <c:numCache>
                <c:formatCode>General</c:formatCode>
                <c:ptCount val="25"/>
                <c:pt idx="0">
                  <c:v>40.200000762939503</c:v>
                </c:pt>
                <c:pt idx="1">
                  <c:v>40.900001525878899</c:v>
                </c:pt>
                <c:pt idx="2">
                  <c:v>43.700000762939503</c:v>
                </c:pt>
                <c:pt idx="3">
                  <c:v>40.900001525878899</c:v>
                </c:pt>
                <c:pt idx="4">
                  <c:v>42.400001525878899</c:v>
                </c:pt>
                <c:pt idx="5">
                  <c:v>42.700000762939503</c:v>
                </c:pt>
                <c:pt idx="6">
                  <c:v>43.099998474121101</c:v>
                </c:pt>
                <c:pt idx="7">
                  <c:v>39.799999237060497</c:v>
                </c:pt>
                <c:pt idx="8">
                  <c:v>44.900001525878899</c:v>
                </c:pt>
                <c:pt idx="9">
                  <c:v>46.200000762939503</c:v>
                </c:pt>
                <c:pt idx="10">
                  <c:v>46.799999237060497</c:v>
                </c:pt>
                <c:pt idx="11">
                  <c:v>48</c:v>
                </c:pt>
                <c:pt idx="12">
                  <c:v>48.400001525878899</c:v>
                </c:pt>
                <c:pt idx="13">
                  <c:v>49.599998474121101</c:v>
                </c:pt>
                <c:pt idx="14">
                  <c:v>49.299999237060497</c:v>
                </c:pt>
                <c:pt idx="15">
                  <c:v>48.400001525878899</c:v>
                </c:pt>
                <c:pt idx="16">
                  <c:v>47.200000762939503</c:v>
                </c:pt>
                <c:pt idx="17">
                  <c:v>45.599998474121101</c:v>
                </c:pt>
                <c:pt idx="18">
                  <c:v>45.700000762939503</c:v>
                </c:pt>
                <c:pt idx="19">
                  <c:v>44.400001525878899</c:v>
                </c:pt>
                <c:pt idx="20">
                  <c:v>45.599998474121101</c:v>
                </c:pt>
                <c:pt idx="21">
                  <c:v>45.099998474121101</c:v>
                </c:pt>
                <c:pt idx="22">
                  <c:v>46</c:v>
                </c:pt>
                <c:pt idx="23">
                  <c:v>45.900001525878899</c:v>
                </c:pt>
                <c:pt idx="24">
                  <c:v>46.900001525878899</c:v>
                </c:pt>
              </c:numCache>
            </c:numRef>
          </c:val>
          <c:smooth val="0"/>
          <c:extLst>
            <c:ext xmlns:c16="http://schemas.microsoft.com/office/drawing/2014/chart" uri="{C3380CC4-5D6E-409C-BE32-E72D297353CC}">
              <c16:uniqueId val="{00000005-68D1-A74B-995E-780CAAACB20A}"/>
            </c:ext>
          </c:extLst>
        </c:ser>
        <c:dLbls>
          <c:showLegendKey val="0"/>
          <c:showVal val="0"/>
          <c:showCatName val="0"/>
          <c:showSerName val="0"/>
          <c:showPercent val="0"/>
          <c:showBubbleSize val="0"/>
        </c:dLbls>
        <c:smooth val="0"/>
        <c:axId val="231153664"/>
        <c:axId val="200688192"/>
      </c:lineChart>
      <c:catAx>
        <c:axId val="231153664"/>
        <c:scaling>
          <c:orientation val="minMax"/>
        </c:scaling>
        <c:delete val="0"/>
        <c:axPos val="b"/>
        <c:numFmt formatCode="General" sourceLinked="0"/>
        <c:majorTickMark val="out"/>
        <c:minorTickMark val="none"/>
        <c:tickLblPos val="nextTo"/>
        <c:crossAx val="200688192"/>
        <c:crosses val="autoZero"/>
        <c:auto val="1"/>
        <c:lblAlgn val="ctr"/>
        <c:lblOffset val="100"/>
        <c:noMultiLvlLbl val="0"/>
      </c:catAx>
      <c:valAx>
        <c:axId val="200688192"/>
        <c:scaling>
          <c:orientation val="minMax"/>
        </c:scaling>
        <c:delete val="0"/>
        <c:axPos val="l"/>
        <c:majorGridlines>
          <c:spPr>
            <a:ln>
              <a:noFill/>
            </a:ln>
          </c:spPr>
        </c:majorGridlines>
        <c:numFmt formatCode="General" sourceLinked="1"/>
        <c:majorTickMark val="out"/>
        <c:minorTickMark val="none"/>
        <c:tickLblPos val="nextTo"/>
        <c:crossAx val="2311536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73636-2D6C-9749-9447-AE130F65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12932</Words>
  <Characters>73715</Characters>
  <Application>Microsoft Office Word</Application>
  <DocSecurity>0</DocSecurity>
  <Lines>614</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UMR8174</Company>
  <LinksUpToDate>false</LinksUpToDate>
  <CharactersWithSpaces>86475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Mallakh</dc:creator>
  <cp:lastModifiedBy>Nelly El Mallakh</cp:lastModifiedBy>
  <cp:revision>2</cp:revision>
  <cp:lastPrinted>2020-07-02T15:56:00Z</cp:lastPrinted>
  <dcterms:created xsi:type="dcterms:W3CDTF">2020-09-22T06:33:00Z</dcterms:created>
  <dcterms:modified xsi:type="dcterms:W3CDTF">2020-09-22T06:33:00Z</dcterms:modified>
</cp:coreProperties>
</file>