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6836A" w14:textId="77777777" w:rsidR="00286D15" w:rsidRPr="003D099F" w:rsidRDefault="00286D15" w:rsidP="00286D15">
      <w:pPr>
        <w:rPr>
          <w:rFonts w:asciiTheme="minorHAnsi" w:hAnsiTheme="minorHAnsi" w:cstheme="minorHAnsi"/>
          <w:sz w:val="24"/>
        </w:rPr>
      </w:pPr>
      <w:bookmarkStart w:id="0" w:name="_Toc19031322"/>
      <w:r w:rsidRPr="003D099F">
        <w:rPr>
          <w:rFonts w:asciiTheme="minorHAnsi" w:hAnsiTheme="minorHAnsi" w:cstheme="minorHAnsi"/>
          <w:sz w:val="24"/>
        </w:rPr>
        <w:t>Understanding the decline in under-18 conception rates throughout England’s local authorities between 1998 and 2017</w:t>
      </w:r>
    </w:p>
    <w:p w14:paraId="1ED26C1E" w14:textId="77777777" w:rsidR="00497630" w:rsidRPr="003D099F" w:rsidRDefault="00497630" w:rsidP="00497630">
      <w:pPr>
        <w:rPr>
          <w:rFonts w:asciiTheme="minorHAnsi" w:hAnsiTheme="minorHAnsi" w:cstheme="minorHAnsi"/>
          <w:b/>
          <w:bCs/>
          <w:sz w:val="24"/>
        </w:rPr>
      </w:pPr>
    </w:p>
    <w:p w14:paraId="44EDE78D" w14:textId="4120B527" w:rsidR="00497630" w:rsidRPr="003D099F" w:rsidRDefault="00497630" w:rsidP="00497630">
      <w:pPr>
        <w:rPr>
          <w:rFonts w:asciiTheme="minorHAnsi" w:hAnsiTheme="minorHAnsi" w:cstheme="minorHAnsi"/>
          <w:b/>
          <w:bCs/>
          <w:sz w:val="24"/>
        </w:rPr>
      </w:pPr>
      <w:r w:rsidRPr="003D099F">
        <w:rPr>
          <w:rFonts w:asciiTheme="minorHAnsi" w:hAnsiTheme="minorHAnsi" w:cstheme="minorHAnsi"/>
          <w:b/>
          <w:bCs/>
          <w:sz w:val="24"/>
        </w:rPr>
        <w:t xml:space="preserve">Abstract </w:t>
      </w:r>
    </w:p>
    <w:p w14:paraId="0FCACC63" w14:textId="6BD67B36" w:rsidR="00497630" w:rsidRPr="003D099F" w:rsidRDefault="0092249B" w:rsidP="00497630">
      <w:pPr>
        <w:rPr>
          <w:rFonts w:asciiTheme="minorHAnsi" w:hAnsiTheme="minorHAnsi" w:cstheme="minorHAnsi"/>
          <w:sz w:val="24"/>
        </w:rPr>
      </w:pPr>
      <w:r w:rsidRPr="003D099F">
        <w:rPr>
          <w:rFonts w:asciiTheme="minorHAnsi" w:hAnsiTheme="minorHAnsi" w:cstheme="minorHAnsi"/>
          <w:sz w:val="24"/>
        </w:rPr>
        <w:t>We c</w:t>
      </w:r>
      <w:r w:rsidR="00497630" w:rsidRPr="003D099F">
        <w:rPr>
          <w:rFonts w:asciiTheme="minorHAnsi" w:hAnsiTheme="minorHAnsi" w:cstheme="minorHAnsi"/>
          <w:sz w:val="24"/>
        </w:rPr>
        <w:t xml:space="preserve">onsider </w:t>
      </w:r>
      <w:r w:rsidR="00076261" w:rsidRPr="003D099F">
        <w:rPr>
          <w:rFonts w:asciiTheme="minorHAnsi" w:hAnsiTheme="minorHAnsi" w:cstheme="minorHAnsi"/>
          <w:sz w:val="24"/>
        </w:rPr>
        <w:t xml:space="preserve">England’s </w:t>
      </w:r>
      <w:r w:rsidR="001C3CDF" w:rsidRPr="003D099F">
        <w:rPr>
          <w:rFonts w:asciiTheme="minorHAnsi" w:hAnsiTheme="minorHAnsi" w:cstheme="minorHAnsi"/>
          <w:sz w:val="24"/>
        </w:rPr>
        <w:t xml:space="preserve">two-decade teenage conception </w:t>
      </w:r>
      <w:r w:rsidR="00497630" w:rsidRPr="003D099F">
        <w:rPr>
          <w:rFonts w:asciiTheme="minorHAnsi" w:hAnsiTheme="minorHAnsi" w:cstheme="minorHAnsi"/>
          <w:sz w:val="24"/>
        </w:rPr>
        <w:t>decline in the context of societal changes</w:t>
      </w:r>
      <w:r w:rsidR="005E0CE1" w:rsidRPr="003D099F">
        <w:rPr>
          <w:rFonts w:asciiTheme="minorHAnsi" w:hAnsiTheme="minorHAnsi" w:cstheme="minorHAnsi"/>
          <w:sz w:val="24"/>
        </w:rPr>
        <w:t xml:space="preserve">: rising educational </w:t>
      </w:r>
      <w:r w:rsidR="007C3C9C" w:rsidRPr="003D099F">
        <w:rPr>
          <w:rFonts w:asciiTheme="minorHAnsi" w:hAnsiTheme="minorHAnsi" w:cstheme="minorHAnsi"/>
          <w:sz w:val="24"/>
        </w:rPr>
        <w:t>aspirations</w:t>
      </w:r>
      <w:r w:rsidR="005E0CE1" w:rsidRPr="003D099F">
        <w:rPr>
          <w:rFonts w:asciiTheme="minorHAnsi" w:hAnsiTheme="minorHAnsi" w:cstheme="minorHAnsi"/>
          <w:sz w:val="24"/>
        </w:rPr>
        <w:t xml:space="preserve">; growing second- and third-generation </w:t>
      </w:r>
      <w:r w:rsidR="007C3C9C" w:rsidRPr="003D099F">
        <w:rPr>
          <w:rFonts w:asciiTheme="minorHAnsi" w:hAnsiTheme="minorHAnsi" w:cstheme="minorHAnsi"/>
          <w:sz w:val="24"/>
        </w:rPr>
        <w:t>teenage</w:t>
      </w:r>
      <w:r w:rsidR="005E0CE1" w:rsidRPr="003D099F">
        <w:rPr>
          <w:rFonts w:asciiTheme="minorHAnsi" w:hAnsiTheme="minorHAnsi" w:cstheme="minorHAnsi"/>
          <w:sz w:val="24"/>
        </w:rPr>
        <w:t xml:space="preserve"> ethnic minority populations; </w:t>
      </w:r>
      <w:r w:rsidR="008F5EF5" w:rsidRPr="003D099F">
        <w:rPr>
          <w:rFonts w:asciiTheme="minorHAnsi" w:hAnsiTheme="minorHAnsi" w:cstheme="minorHAnsi"/>
          <w:sz w:val="24"/>
        </w:rPr>
        <w:t xml:space="preserve">increased deprivation associated with economic recession and </w:t>
      </w:r>
      <w:r w:rsidR="00D41FC9" w:rsidRPr="003D099F">
        <w:rPr>
          <w:rFonts w:asciiTheme="minorHAnsi" w:hAnsiTheme="minorHAnsi" w:cstheme="minorHAnsi"/>
          <w:sz w:val="24"/>
        </w:rPr>
        <w:t xml:space="preserve">post-2008 </w:t>
      </w:r>
      <w:r w:rsidR="008F5EF5" w:rsidRPr="003D099F">
        <w:rPr>
          <w:rFonts w:asciiTheme="minorHAnsi" w:hAnsiTheme="minorHAnsi" w:cstheme="minorHAnsi"/>
          <w:sz w:val="24"/>
        </w:rPr>
        <w:t>Government austerity</w:t>
      </w:r>
      <w:r w:rsidR="00412D58" w:rsidRPr="003D099F">
        <w:rPr>
          <w:rFonts w:asciiTheme="minorHAnsi" w:hAnsiTheme="minorHAnsi" w:cstheme="minorHAnsi"/>
          <w:sz w:val="24"/>
        </w:rPr>
        <w:t>; and changing housing availability</w:t>
      </w:r>
      <w:r w:rsidR="00852B00" w:rsidRPr="003D099F">
        <w:rPr>
          <w:rFonts w:asciiTheme="minorHAnsi" w:hAnsiTheme="minorHAnsi" w:cstheme="minorHAnsi"/>
          <w:sz w:val="24"/>
        </w:rPr>
        <w:t xml:space="preserve">. </w:t>
      </w:r>
      <w:r w:rsidR="000E35FA" w:rsidRPr="003D099F">
        <w:rPr>
          <w:rFonts w:asciiTheme="minorHAnsi" w:hAnsiTheme="minorHAnsi" w:cstheme="minorHAnsi"/>
          <w:sz w:val="24"/>
        </w:rPr>
        <w:t>Using England’s Local Authority Districts (LAD) 1998-2017, w</w:t>
      </w:r>
      <w:r w:rsidR="005964C8" w:rsidRPr="003D099F">
        <w:rPr>
          <w:rFonts w:asciiTheme="minorHAnsi" w:hAnsiTheme="minorHAnsi" w:cstheme="minorHAnsi"/>
          <w:sz w:val="24"/>
        </w:rPr>
        <w:t>e</w:t>
      </w:r>
      <w:r w:rsidR="00497630" w:rsidRPr="003D099F">
        <w:rPr>
          <w:rFonts w:asciiTheme="minorHAnsi" w:hAnsiTheme="minorHAnsi" w:cstheme="minorHAnsi"/>
          <w:sz w:val="24"/>
        </w:rPr>
        <w:t xml:space="preserve"> explore the role of area characteristics in explaining </w:t>
      </w:r>
      <w:r w:rsidR="00E11B8A" w:rsidRPr="003D099F">
        <w:rPr>
          <w:rFonts w:asciiTheme="minorHAnsi" w:hAnsiTheme="minorHAnsi" w:cstheme="minorHAnsi"/>
          <w:sz w:val="24"/>
        </w:rPr>
        <w:t>spatial</w:t>
      </w:r>
      <w:r w:rsidR="00497630" w:rsidRPr="003D099F">
        <w:rPr>
          <w:rFonts w:asciiTheme="minorHAnsi" w:hAnsiTheme="minorHAnsi" w:cstheme="minorHAnsi"/>
          <w:sz w:val="24"/>
        </w:rPr>
        <w:t xml:space="preserve"> differences in under-18 conception rates a</w:t>
      </w:r>
      <w:r w:rsidR="0059628D" w:rsidRPr="003D099F">
        <w:rPr>
          <w:rFonts w:asciiTheme="minorHAnsi" w:hAnsiTheme="minorHAnsi" w:cstheme="minorHAnsi"/>
          <w:sz w:val="24"/>
        </w:rPr>
        <w:t>nd</w:t>
      </w:r>
      <w:r w:rsidR="00497630" w:rsidRPr="003D099F">
        <w:rPr>
          <w:rFonts w:asciiTheme="minorHAnsi" w:hAnsiTheme="minorHAnsi" w:cstheme="minorHAnsi"/>
          <w:sz w:val="24"/>
        </w:rPr>
        <w:t xml:space="preserve"> </w:t>
      </w:r>
      <w:r w:rsidR="002B37FD" w:rsidRPr="003D099F">
        <w:rPr>
          <w:rFonts w:asciiTheme="minorHAnsi" w:hAnsiTheme="minorHAnsi" w:cstheme="minorHAnsi"/>
          <w:sz w:val="24"/>
        </w:rPr>
        <w:t>how changing</w:t>
      </w:r>
      <w:r w:rsidR="004223B3" w:rsidRPr="003D099F">
        <w:rPr>
          <w:rFonts w:asciiTheme="minorHAnsi" w:hAnsiTheme="minorHAnsi" w:cstheme="minorHAnsi"/>
          <w:sz w:val="24"/>
        </w:rPr>
        <w:t xml:space="preserve"> </w:t>
      </w:r>
      <w:r w:rsidR="000E35FA" w:rsidRPr="003D099F">
        <w:rPr>
          <w:rFonts w:asciiTheme="minorHAnsi" w:hAnsiTheme="minorHAnsi" w:cstheme="minorHAnsi"/>
          <w:sz w:val="24"/>
        </w:rPr>
        <w:t>characteristics</w:t>
      </w:r>
      <w:r w:rsidR="004223B3" w:rsidRPr="003D099F">
        <w:rPr>
          <w:rFonts w:asciiTheme="minorHAnsi" w:hAnsiTheme="minorHAnsi" w:cstheme="minorHAnsi"/>
          <w:sz w:val="24"/>
        </w:rPr>
        <w:t xml:space="preserve"> may</w:t>
      </w:r>
      <w:r w:rsidR="000E35FA" w:rsidRPr="003D099F">
        <w:rPr>
          <w:rFonts w:asciiTheme="minorHAnsi" w:hAnsiTheme="minorHAnsi" w:cstheme="minorHAnsi"/>
          <w:sz w:val="24"/>
        </w:rPr>
        <w:t xml:space="preserve"> </w:t>
      </w:r>
      <w:r w:rsidR="002B37FD" w:rsidRPr="003D099F">
        <w:rPr>
          <w:rFonts w:asciiTheme="minorHAnsi" w:hAnsiTheme="minorHAnsi" w:cstheme="minorHAnsi"/>
          <w:sz w:val="24"/>
        </w:rPr>
        <w:t xml:space="preserve">explain </w:t>
      </w:r>
      <w:r w:rsidR="00E11B8A" w:rsidRPr="003D099F">
        <w:rPr>
          <w:rFonts w:asciiTheme="minorHAnsi" w:hAnsiTheme="minorHAnsi" w:cstheme="minorHAnsi"/>
          <w:sz w:val="24"/>
        </w:rPr>
        <w:t>temporal changes.</w:t>
      </w:r>
      <w:r w:rsidR="006D3340">
        <w:rPr>
          <w:rFonts w:asciiTheme="minorHAnsi" w:hAnsiTheme="minorHAnsi" w:cstheme="minorHAnsi"/>
          <w:sz w:val="24"/>
        </w:rPr>
        <w:t xml:space="preserve"> </w:t>
      </w:r>
      <w:r w:rsidR="00B869F5">
        <w:rPr>
          <w:rFonts w:asciiTheme="minorHAnsi" w:hAnsiTheme="minorHAnsi" w:cstheme="minorHAnsi"/>
          <w:sz w:val="24"/>
        </w:rPr>
        <w:t xml:space="preserve">Urban/rural </w:t>
      </w:r>
      <w:r w:rsidR="00497630" w:rsidRPr="003D099F">
        <w:rPr>
          <w:rFonts w:asciiTheme="minorHAnsi" w:hAnsiTheme="minorHAnsi" w:cstheme="minorHAnsi"/>
          <w:sz w:val="24"/>
        </w:rPr>
        <w:t xml:space="preserve">distinctions in teenage conceptions </w:t>
      </w:r>
      <w:r w:rsidR="006805B3" w:rsidRPr="003D099F">
        <w:rPr>
          <w:rFonts w:asciiTheme="minorHAnsi" w:hAnsiTheme="minorHAnsi" w:cstheme="minorHAnsi"/>
          <w:sz w:val="24"/>
        </w:rPr>
        <w:t xml:space="preserve">are </w:t>
      </w:r>
      <w:r w:rsidR="00497630" w:rsidRPr="003D099F">
        <w:rPr>
          <w:rFonts w:asciiTheme="minorHAnsi" w:hAnsiTheme="minorHAnsi" w:cstheme="minorHAnsi"/>
          <w:sz w:val="24"/>
        </w:rPr>
        <w:t xml:space="preserve">largely minimised after considering </w:t>
      </w:r>
      <w:r w:rsidR="00741759" w:rsidRPr="003D099F">
        <w:rPr>
          <w:rFonts w:asciiTheme="minorHAnsi" w:hAnsiTheme="minorHAnsi" w:cstheme="minorHAnsi"/>
          <w:sz w:val="24"/>
        </w:rPr>
        <w:t>LAD</w:t>
      </w:r>
      <w:r w:rsidR="00E660E7" w:rsidRPr="003D099F">
        <w:rPr>
          <w:rFonts w:asciiTheme="minorHAnsi" w:hAnsiTheme="minorHAnsi" w:cstheme="minorHAnsi"/>
          <w:sz w:val="24"/>
        </w:rPr>
        <w:t xml:space="preserve"> </w:t>
      </w:r>
      <w:r w:rsidR="00741759" w:rsidRPr="003D099F">
        <w:rPr>
          <w:rFonts w:asciiTheme="minorHAnsi" w:hAnsiTheme="minorHAnsi" w:cstheme="minorHAnsi"/>
          <w:sz w:val="24"/>
        </w:rPr>
        <w:t>characteristics</w:t>
      </w:r>
      <w:r w:rsidR="00497630" w:rsidRPr="003D099F">
        <w:rPr>
          <w:rFonts w:asciiTheme="minorHAnsi" w:hAnsiTheme="minorHAnsi" w:cstheme="minorHAnsi"/>
          <w:sz w:val="24"/>
        </w:rPr>
        <w:t xml:space="preserve">. </w:t>
      </w:r>
      <w:r w:rsidR="00E11B8A" w:rsidRPr="003D099F">
        <w:rPr>
          <w:rFonts w:asciiTheme="minorHAnsi" w:hAnsiTheme="minorHAnsi" w:cstheme="minorHAnsi"/>
          <w:sz w:val="24"/>
        </w:rPr>
        <w:t>A</w:t>
      </w:r>
      <w:r w:rsidR="00497630" w:rsidRPr="003D099F">
        <w:rPr>
          <w:rFonts w:asciiTheme="minorHAnsi" w:hAnsiTheme="minorHAnsi" w:cstheme="minorHAnsi"/>
          <w:sz w:val="24"/>
        </w:rPr>
        <w:t xml:space="preserve">rea characteristics continue to partly explain teenage conception </w:t>
      </w:r>
      <w:r w:rsidR="003C4745" w:rsidRPr="003D099F">
        <w:rPr>
          <w:rFonts w:asciiTheme="minorHAnsi" w:hAnsiTheme="minorHAnsi" w:cstheme="minorHAnsi"/>
          <w:sz w:val="24"/>
        </w:rPr>
        <w:t>rates but</w:t>
      </w:r>
      <w:r w:rsidR="00497630" w:rsidRPr="003D099F">
        <w:rPr>
          <w:rFonts w:asciiTheme="minorHAnsi" w:hAnsiTheme="minorHAnsi" w:cstheme="minorHAnsi"/>
          <w:sz w:val="24"/>
        </w:rPr>
        <w:t xml:space="preserve"> </w:t>
      </w:r>
      <w:r w:rsidR="00C91EB3" w:rsidRPr="003D099F">
        <w:rPr>
          <w:rFonts w:asciiTheme="minorHAnsi" w:hAnsiTheme="minorHAnsi" w:cstheme="minorHAnsi"/>
          <w:sz w:val="24"/>
        </w:rPr>
        <w:t xml:space="preserve">are better at explaining area differences than </w:t>
      </w:r>
      <w:r w:rsidR="00D572C6" w:rsidRPr="003D099F">
        <w:rPr>
          <w:rFonts w:asciiTheme="minorHAnsi" w:hAnsiTheme="minorHAnsi" w:cstheme="minorHAnsi"/>
          <w:sz w:val="24"/>
        </w:rPr>
        <w:t>variation over time</w:t>
      </w:r>
      <w:r w:rsidR="00497630" w:rsidRPr="003D099F">
        <w:rPr>
          <w:rFonts w:asciiTheme="minorHAnsi" w:hAnsiTheme="minorHAnsi" w:cstheme="minorHAnsi"/>
          <w:sz w:val="24"/>
        </w:rPr>
        <w:t xml:space="preserve">. </w:t>
      </w:r>
    </w:p>
    <w:p w14:paraId="7B0407BB" w14:textId="77777777" w:rsidR="00F47608" w:rsidRPr="003D099F" w:rsidRDefault="00F47608" w:rsidP="00497630">
      <w:pPr>
        <w:rPr>
          <w:rFonts w:asciiTheme="minorHAnsi" w:hAnsiTheme="minorHAnsi" w:cstheme="minorHAnsi"/>
          <w:sz w:val="24"/>
        </w:rPr>
      </w:pPr>
    </w:p>
    <w:p w14:paraId="720F9F98" w14:textId="3A50F36E" w:rsidR="00497630" w:rsidRPr="003D099F" w:rsidRDefault="00497630" w:rsidP="00497630">
      <w:pPr>
        <w:rPr>
          <w:rFonts w:asciiTheme="minorHAnsi" w:hAnsiTheme="minorHAnsi" w:cstheme="minorHAnsi"/>
          <w:b/>
          <w:bCs/>
          <w:sz w:val="24"/>
        </w:rPr>
      </w:pPr>
      <w:r w:rsidRPr="003D099F">
        <w:rPr>
          <w:rFonts w:asciiTheme="minorHAnsi" w:hAnsiTheme="minorHAnsi" w:cstheme="minorHAnsi"/>
          <w:b/>
          <w:bCs/>
          <w:sz w:val="24"/>
        </w:rPr>
        <w:t>Keywords</w:t>
      </w:r>
    </w:p>
    <w:p w14:paraId="5C6A7BCF" w14:textId="7477C8F1" w:rsidR="00497630" w:rsidRPr="003D099F" w:rsidRDefault="00497630" w:rsidP="00497630">
      <w:pPr>
        <w:rPr>
          <w:rFonts w:asciiTheme="minorHAnsi" w:hAnsiTheme="minorHAnsi" w:cstheme="minorHAnsi"/>
          <w:sz w:val="24"/>
        </w:rPr>
      </w:pPr>
      <w:r w:rsidRPr="003D099F">
        <w:rPr>
          <w:rFonts w:asciiTheme="minorHAnsi" w:hAnsiTheme="minorHAnsi" w:cstheme="minorHAnsi"/>
          <w:sz w:val="24"/>
        </w:rPr>
        <w:t>‘Teenage pregnancy’; ‘adolescents’; ‘England’; ‘spatial variation’</w:t>
      </w:r>
      <w:r w:rsidR="00635312" w:rsidRPr="003D099F">
        <w:rPr>
          <w:rFonts w:asciiTheme="minorHAnsi" w:hAnsiTheme="minorHAnsi" w:cstheme="minorHAnsi"/>
          <w:sz w:val="24"/>
        </w:rPr>
        <w:t>; ‘trends’</w:t>
      </w:r>
      <w:r w:rsidR="00CD11E2" w:rsidRPr="003D099F">
        <w:rPr>
          <w:rFonts w:asciiTheme="minorHAnsi" w:hAnsiTheme="minorHAnsi" w:cstheme="minorHAnsi"/>
          <w:sz w:val="24"/>
        </w:rPr>
        <w:t xml:space="preserve"> </w:t>
      </w:r>
    </w:p>
    <w:p w14:paraId="7C1C9C1F" w14:textId="77777777" w:rsidR="00497630" w:rsidRPr="003D099F" w:rsidRDefault="00497630" w:rsidP="00497630">
      <w:pPr>
        <w:rPr>
          <w:rFonts w:asciiTheme="minorHAnsi" w:hAnsiTheme="minorHAnsi" w:cstheme="minorHAnsi"/>
          <w:sz w:val="24"/>
        </w:rPr>
      </w:pPr>
    </w:p>
    <w:p w14:paraId="638AF0E9" w14:textId="09EE2741" w:rsidR="00497630" w:rsidRPr="003D099F" w:rsidRDefault="00497630">
      <w:pPr>
        <w:rPr>
          <w:rFonts w:asciiTheme="minorHAnsi" w:hAnsiTheme="minorHAnsi" w:cstheme="minorHAnsi"/>
          <w:sz w:val="24"/>
        </w:rPr>
      </w:pPr>
      <w:r w:rsidRPr="003D099F">
        <w:rPr>
          <w:rFonts w:asciiTheme="minorHAnsi" w:hAnsiTheme="minorHAnsi" w:cstheme="minorHAnsi"/>
          <w:sz w:val="24"/>
        </w:rPr>
        <w:br w:type="page"/>
      </w:r>
    </w:p>
    <w:p w14:paraId="1F3FC39C" w14:textId="5A6C769D" w:rsidR="002B793F" w:rsidRPr="003D099F" w:rsidRDefault="002B793F" w:rsidP="00CD0462">
      <w:pPr>
        <w:rPr>
          <w:rFonts w:asciiTheme="minorHAnsi" w:hAnsiTheme="minorHAnsi" w:cstheme="minorHAnsi"/>
          <w:b/>
          <w:sz w:val="24"/>
          <w:u w:val="single"/>
        </w:rPr>
      </w:pPr>
      <w:r w:rsidRPr="003D099F">
        <w:rPr>
          <w:rFonts w:asciiTheme="minorHAnsi" w:hAnsiTheme="minorHAnsi" w:cstheme="minorHAnsi"/>
          <w:b/>
          <w:sz w:val="24"/>
        </w:rPr>
        <w:lastRenderedPageBreak/>
        <w:t>Introduction</w:t>
      </w:r>
      <w:bookmarkEnd w:id="0"/>
      <w:r w:rsidR="007400B9" w:rsidRPr="003D099F">
        <w:rPr>
          <w:rFonts w:asciiTheme="minorHAnsi" w:hAnsiTheme="minorHAnsi" w:cstheme="minorHAnsi"/>
          <w:sz w:val="24"/>
          <w:u w:val="single"/>
        </w:rPr>
        <w:t xml:space="preserve"> </w:t>
      </w:r>
    </w:p>
    <w:p w14:paraId="5A3C388D" w14:textId="25F451C9" w:rsidR="004C2666" w:rsidRPr="0044286B" w:rsidRDefault="000F64AB" w:rsidP="00CD0462">
      <w:pPr>
        <w:rPr>
          <w:rFonts w:asciiTheme="minorHAnsi" w:hAnsiTheme="minorHAnsi" w:cstheme="minorHAnsi"/>
          <w:sz w:val="24"/>
          <w:szCs w:val="24"/>
        </w:rPr>
      </w:pPr>
      <w:r w:rsidRPr="003D099F">
        <w:rPr>
          <w:rFonts w:asciiTheme="minorHAnsi" w:hAnsiTheme="minorHAnsi" w:cstheme="minorHAnsi"/>
          <w:sz w:val="24"/>
          <w:szCs w:val="24"/>
        </w:rPr>
        <w:t>The decline in u</w:t>
      </w:r>
      <w:r w:rsidR="007400B9" w:rsidRPr="003D099F">
        <w:rPr>
          <w:rFonts w:asciiTheme="minorHAnsi" w:hAnsiTheme="minorHAnsi" w:cstheme="minorHAnsi"/>
          <w:sz w:val="24"/>
          <w:szCs w:val="24"/>
        </w:rPr>
        <w:t xml:space="preserve">nder-18 fertility </w:t>
      </w:r>
      <w:r w:rsidR="002B793F" w:rsidRPr="003D099F">
        <w:rPr>
          <w:rFonts w:asciiTheme="minorHAnsi" w:hAnsiTheme="minorHAnsi" w:cstheme="minorHAnsi"/>
          <w:sz w:val="24"/>
          <w:szCs w:val="24"/>
        </w:rPr>
        <w:t>rates in England ha</w:t>
      </w:r>
      <w:r w:rsidRPr="003D099F">
        <w:rPr>
          <w:rFonts w:asciiTheme="minorHAnsi" w:hAnsiTheme="minorHAnsi" w:cstheme="minorHAnsi"/>
          <w:sz w:val="24"/>
          <w:szCs w:val="24"/>
        </w:rPr>
        <w:t>s recently accelerated. Rates</w:t>
      </w:r>
      <w:r w:rsidR="00976DAE" w:rsidRPr="003D099F">
        <w:rPr>
          <w:rFonts w:asciiTheme="minorHAnsi" w:hAnsiTheme="minorHAnsi" w:cstheme="minorHAnsi"/>
          <w:sz w:val="24"/>
          <w:szCs w:val="24"/>
        </w:rPr>
        <w:t xml:space="preserve"> st</w:t>
      </w:r>
      <w:r w:rsidR="00976DAE" w:rsidRPr="009C4969">
        <w:rPr>
          <w:rFonts w:asciiTheme="minorHAnsi" w:hAnsiTheme="minorHAnsi" w:cstheme="minorHAnsi"/>
          <w:sz w:val="24"/>
          <w:szCs w:val="24"/>
        </w:rPr>
        <w:t xml:space="preserve">arted </w:t>
      </w:r>
      <w:r w:rsidR="002A4CD3" w:rsidRPr="00682940">
        <w:rPr>
          <w:rFonts w:asciiTheme="minorHAnsi" w:hAnsiTheme="minorHAnsi" w:cstheme="minorHAnsi"/>
          <w:sz w:val="24"/>
          <w:szCs w:val="24"/>
        </w:rPr>
        <w:t xml:space="preserve">at </w:t>
      </w:r>
      <w:r w:rsidR="00976DAE" w:rsidRPr="00682940">
        <w:rPr>
          <w:rFonts w:asciiTheme="minorHAnsi" w:hAnsiTheme="minorHAnsi" w:cstheme="minorHAnsi"/>
          <w:sz w:val="24"/>
          <w:szCs w:val="24"/>
        </w:rPr>
        <w:t xml:space="preserve">27 births </w:t>
      </w:r>
      <w:r w:rsidR="00976DAE" w:rsidRPr="005B55D1">
        <w:rPr>
          <w:rFonts w:asciiTheme="minorHAnsi" w:hAnsiTheme="minorHAnsi" w:cstheme="minorHAnsi"/>
          <w:sz w:val="24"/>
          <w:szCs w:val="24"/>
        </w:rPr>
        <w:t>per 1,000 15-17</w:t>
      </w:r>
      <w:r w:rsidR="00976DAE" w:rsidRPr="004D0536">
        <w:rPr>
          <w:rFonts w:asciiTheme="minorHAnsi" w:hAnsiTheme="minorHAnsi" w:cstheme="minorHAnsi"/>
          <w:sz w:val="24"/>
          <w:szCs w:val="24"/>
        </w:rPr>
        <w:t>-year-old women in 1998 and</w:t>
      </w:r>
      <w:r w:rsidRPr="009E6D3D">
        <w:rPr>
          <w:rFonts w:asciiTheme="minorHAnsi" w:hAnsiTheme="minorHAnsi" w:cstheme="minorHAnsi"/>
          <w:sz w:val="24"/>
          <w:szCs w:val="24"/>
        </w:rPr>
        <w:t xml:space="preserve"> </w:t>
      </w:r>
      <w:r w:rsidR="00505014" w:rsidRPr="009E6D3D">
        <w:rPr>
          <w:rFonts w:asciiTheme="minorHAnsi" w:hAnsiTheme="minorHAnsi" w:cstheme="minorHAnsi"/>
          <w:sz w:val="24"/>
          <w:szCs w:val="24"/>
        </w:rPr>
        <w:t>f</w:t>
      </w:r>
      <w:r w:rsidRPr="009E6D3D">
        <w:rPr>
          <w:rFonts w:asciiTheme="minorHAnsi" w:hAnsiTheme="minorHAnsi" w:cstheme="minorHAnsi"/>
          <w:sz w:val="24"/>
          <w:szCs w:val="24"/>
        </w:rPr>
        <w:t>e</w:t>
      </w:r>
      <w:r w:rsidR="00505014" w:rsidRPr="0023691D">
        <w:rPr>
          <w:rFonts w:asciiTheme="minorHAnsi" w:hAnsiTheme="minorHAnsi" w:cstheme="minorHAnsi"/>
          <w:sz w:val="24"/>
          <w:szCs w:val="24"/>
        </w:rPr>
        <w:t>ll</w:t>
      </w:r>
      <w:r w:rsidR="002B793F" w:rsidRPr="00846EE2">
        <w:rPr>
          <w:rFonts w:asciiTheme="minorHAnsi" w:hAnsiTheme="minorHAnsi" w:cstheme="minorHAnsi"/>
          <w:sz w:val="24"/>
          <w:szCs w:val="24"/>
        </w:rPr>
        <w:t xml:space="preserve"> </w:t>
      </w:r>
      <w:r w:rsidR="00D419AE" w:rsidRPr="00846EE2">
        <w:rPr>
          <w:rFonts w:asciiTheme="minorHAnsi" w:hAnsiTheme="minorHAnsi" w:cstheme="minorHAnsi"/>
          <w:sz w:val="24"/>
          <w:szCs w:val="24"/>
        </w:rPr>
        <w:t xml:space="preserve">by around </w:t>
      </w:r>
      <w:r w:rsidR="0030024C">
        <w:rPr>
          <w:rFonts w:asciiTheme="minorHAnsi" w:hAnsiTheme="minorHAnsi" w:cstheme="minorHAnsi"/>
          <w:sz w:val="24"/>
          <w:szCs w:val="24"/>
        </w:rPr>
        <w:t>a quarter</w:t>
      </w:r>
      <w:r w:rsidR="00D419AE" w:rsidRPr="00846EE2">
        <w:rPr>
          <w:rFonts w:asciiTheme="minorHAnsi" w:hAnsiTheme="minorHAnsi" w:cstheme="minorHAnsi"/>
          <w:sz w:val="24"/>
          <w:szCs w:val="24"/>
        </w:rPr>
        <w:t xml:space="preserve"> </w:t>
      </w:r>
      <w:r w:rsidR="002A4CD3" w:rsidRPr="0044286B">
        <w:rPr>
          <w:rFonts w:asciiTheme="minorHAnsi" w:hAnsiTheme="minorHAnsi" w:cstheme="minorHAnsi"/>
          <w:sz w:val="24"/>
          <w:szCs w:val="24"/>
        </w:rPr>
        <w:t>to 20 per 1,000 in</w:t>
      </w:r>
      <w:r w:rsidRPr="0044286B">
        <w:rPr>
          <w:rFonts w:asciiTheme="minorHAnsi" w:hAnsiTheme="minorHAnsi" w:cstheme="minorHAnsi"/>
          <w:sz w:val="24"/>
          <w:szCs w:val="24"/>
        </w:rPr>
        <w:t xml:space="preserve"> 2008</w:t>
      </w:r>
      <w:r w:rsidR="002A4CD3" w:rsidRPr="0044286B">
        <w:rPr>
          <w:rFonts w:asciiTheme="minorHAnsi" w:hAnsiTheme="minorHAnsi" w:cstheme="minorHAnsi"/>
          <w:sz w:val="24"/>
          <w:szCs w:val="24"/>
        </w:rPr>
        <w:t xml:space="preserve">, </w:t>
      </w:r>
      <w:r w:rsidR="00D419AE" w:rsidRPr="0044286B">
        <w:rPr>
          <w:rFonts w:asciiTheme="minorHAnsi" w:hAnsiTheme="minorHAnsi" w:cstheme="minorHAnsi"/>
          <w:sz w:val="24"/>
          <w:szCs w:val="24"/>
        </w:rPr>
        <w:t>but</w:t>
      </w:r>
      <w:r w:rsidRPr="0044286B">
        <w:rPr>
          <w:rFonts w:asciiTheme="minorHAnsi" w:hAnsiTheme="minorHAnsi" w:cstheme="minorHAnsi"/>
          <w:sz w:val="24"/>
          <w:szCs w:val="24"/>
        </w:rPr>
        <w:t xml:space="preserve"> </w:t>
      </w:r>
      <w:r w:rsidR="002A4CD3" w:rsidRPr="0044286B">
        <w:rPr>
          <w:rFonts w:asciiTheme="minorHAnsi" w:hAnsiTheme="minorHAnsi" w:cstheme="minorHAnsi"/>
          <w:sz w:val="24"/>
          <w:szCs w:val="24"/>
        </w:rPr>
        <w:t xml:space="preserve">then </w:t>
      </w:r>
      <w:r w:rsidR="002B793F" w:rsidRPr="0044286B">
        <w:rPr>
          <w:rFonts w:asciiTheme="minorHAnsi" w:hAnsiTheme="minorHAnsi" w:cstheme="minorHAnsi"/>
          <w:sz w:val="24"/>
          <w:szCs w:val="24"/>
        </w:rPr>
        <w:t>halv</w:t>
      </w:r>
      <w:r w:rsidR="00E20EDF" w:rsidRPr="0044286B">
        <w:rPr>
          <w:rFonts w:asciiTheme="minorHAnsi" w:hAnsiTheme="minorHAnsi" w:cstheme="minorHAnsi"/>
          <w:sz w:val="24"/>
          <w:szCs w:val="24"/>
        </w:rPr>
        <w:t>ed</w:t>
      </w:r>
      <w:r w:rsidR="002B793F" w:rsidRPr="0044286B">
        <w:rPr>
          <w:rFonts w:asciiTheme="minorHAnsi" w:hAnsiTheme="minorHAnsi" w:cstheme="minorHAnsi"/>
          <w:sz w:val="24"/>
          <w:szCs w:val="24"/>
        </w:rPr>
        <w:t xml:space="preserve"> in the subsequent eight years (to 9 births per 1,000 in 2017). </w:t>
      </w:r>
      <w:r w:rsidR="002B793F" w:rsidRPr="003D099F">
        <w:rPr>
          <w:rFonts w:asciiTheme="minorHAnsi" w:hAnsiTheme="minorHAnsi" w:cstheme="minorHAnsi"/>
          <w:sz w:val="24"/>
          <w:szCs w:val="24"/>
        </w:rPr>
        <w:t>This decline was primarily driven by reductions in conception rates (from 43 conceptions per 1,000 in 1998</w:t>
      </w:r>
      <w:r w:rsidR="002B793F" w:rsidRPr="005B55D1">
        <w:rPr>
          <w:rFonts w:asciiTheme="minorHAnsi" w:hAnsiTheme="minorHAnsi" w:cstheme="minorHAnsi"/>
          <w:sz w:val="24"/>
          <w:szCs w:val="24"/>
        </w:rPr>
        <w:t xml:space="preserve"> to 18</w:t>
      </w:r>
      <w:r w:rsidR="00314B2D" w:rsidRPr="005B55D1">
        <w:rPr>
          <w:rFonts w:asciiTheme="minorHAnsi" w:hAnsiTheme="minorHAnsi" w:cstheme="minorHAnsi"/>
          <w:sz w:val="24"/>
          <w:szCs w:val="24"/>
        </w:rPr>
        <w:t xml:space="preserve"> per 1000</w:t>
      </w:r>
      <w:r w:rsidR="002B793F" w:rsidRPr="004D0536">
        <w:rPr>
          <w:rFonts w:asciiTheme="minorHAnsi" w:hAnsiTheme="minorHAnsi" w:cstheme="minorHAnsi"/>
          <w:sz w:val="24"/>
          <w:szCs w:val="24"/>
        </w:rPr>
        <w:t xml:space="preserve"> in 2017) and, to a lesser extent, higher proportions of conceptions ending in abortion (</w:t>
      </w:r>
      <w:r w:rsidR="004E7CDA" w:rsidRPr="00846EE2">
        <w:rPr>
          <w:rFonts w:asciiTheme="minorHAnsi" w:hAnsiTheme="minorHAnsi" w:cstheme="minorHAnsi"/>
          <w:sz w:val="24"/>
          <w:szCs w:val="24"/>
        </w:rPr>
        <w:t xml:space="preserve">42% in 1998 to </w:t>
      </w:r>
      <w:r w:rsidR="002B793F" w:rsidRPr="00624EA4">
        <w:rPr>
          <w:rFonts w:asciiTheme="minorHAnsi" w:hAnsiTheme="minorHAnsi" w:cstheme="minorHAnsi"/>
          <w:sz w:val="24"/>
          <w:szCs w:val="24"/>
        </w:rPr>
        <w:t xml:space="preserve">52% in 2017). </w:t>
      </w:r>
      <w:r w:rsidR="00D7224B" w:rsidRPr="006532EE">
        <w:rPr>
          <w:rFonts w:asciiTheme="minorHAnsi" w:hAnsiTheme="minorHAnsi" w:cstheme="minorHAnsi"/>
          <w:sz w:val="24"/>
          <w:szCs w:val="24"/>
        </w:rPr>
        <w:t xml:space="preserve">Whilst </w:t>
      </w:r>
      <w:r w:rsidR="00B861DD" w:rsidRPr="006532EE">
        <w:rPr>
          <w:rFonts w:asciiTheme="minorHAnsi" w:hAnsiTheme="minorHAnsi" w:cstheme="minorHAnsi"/>
          <w:sz w:val="24"/>
          <w:szCs w:val="24"/>
        </w:rPr>
        <w:t xml:space="preserve">all </w:t>
      </w:r>
      <w:r w:rsidR="00E20EDF" w:rsidRPr="006532EE">
        <w:rPr>
          <w:rFonts w:asciiTheme="minorHAnsi" w:hAnsiTheme="minorHAnsi" w:cstheme="minorHAnsi"/>
          <w:sz w:val="24"/>
          <w:szCs w:val="24"/>
        </w:rPr>
        <w:t xml:space="preserve">English </w:t>
      </w:r>
      <w:r w:rsidR="00D7224B" w:rsidRPr="006532EE">
        <w:rPr>
          <w:rFonts w:asciiTheme="minorHAnsi" w:hAnsiTheme="minorHAnsi" w:cstheme="minorHAnsi"/>
          <w:sz w:val="24"/>
          <w:szCs w:val="24"/>
        </w:rPr>
        <w:t>regions have seen a decline</w:t>
      </w:r>
      <w:r w:rsidR="00314B2D" w:rsidRPr="006532EE">
        <w:rPr>
          <w:rFonts w:asciiTheme="minorHAnsi" w:hAnsiTheme="minorHAnsi" w:cstheme="minorHAnsi"/>
          <w:sz w:val="24"/>
          <w:szCs w:val="24"/>
        </w:rPr>
        <w:t xml:space="preserve"> in under-18 conception rates</w:t>
      </w:r>
      <w:r w:rsidR="00D7224B" w:rsidRPr="006532EE">
        <w:rPr>
          <w:rFonts w:asciiTheme="minorHAnsi" w:hAnsiTheme="minorHAnsi" w:cstheme="minorHAnsi"/>
          <w:sz w:val="24"/>
          <w:szCs w:val="24"/>
        </w:rPr>
        <w:t>, t</w:t>
      </w:r>
      <w:r w:rsidR="002B793F" w:rsidRPr="005B55D1">
        <w:rPr>
          <w:rFonts w:asciiTheme="minorHAnsi" w:hAnsiTheme="minorHAnsi" w:cstheme="minorHAnsi"/>
          <w:sz w:val="24"/>
          <w:szCs w:val="24"/>
        </w:rPr>
        <w:t>here are significant geographical differences in the level</w:t>
      </w:r>
      <w:r w:rsidR="002E52D5" w:rsidRPr="005B55D1">
        <w:rPr>
          <w:rFonts w:asciiTheme="minorHAnsi" w:hAnsiTheme="minorHAnsi" w:cstheme="minorHAnsi"/>
          <w:sz w:val="24"/>
          <w:szCs w:val="24"/>
        </w:rPr>
        <w:t>s</w:t>
      </w:r>
      <w:r w:rsidR="002B793F" w:rsidRPr="005B55D1">
        <w:rPr>
          <w:rFonts w:asciiTheme="minorHAnsi" w:hAnsiTheme="minorHAnsi" w:cstheme="minorHAnsi"/>
          <w:sz w:val="24"/>
          <w:szCs w:val="24"/>
        </w:rPr>
        <w:t xml:space="preserve"> and rate</w:t>
      </w:r>
      <w:r w:rsidR="002E52D5" w:rsidRPr="004D0536">
        <w:rPr>
          <w:rFonts w:asciiTheme="minorHAnsi" w:hAnsiTheme="minorHAnsi" w:cstheme="minorHAnsi"/>
          <w:sz w:val="24"/>
          <w:szCs w:val="24"/>
        </w:rPr>
        <w:t>s</w:t>
      </w:r>
      <w:r w:rsidR="002B793F" w:rsidRPr="004D0536">
        <w:rPr>
          <w:rFonts w:asciiTheme="minorHAnsi" w:hAnsiTheme="minorHAnsi" w:cstheme="minorHAnsi"/>
          <w:sz w:val="24"/>
          <w:szCs w:val="24"/>
        </w:rPr>
        <w:t xml:space="preserve"> of decline. Northern regions have highe</w:t>
      </w:r>
      <w:r w:rsidR="002B793F" w:rsidRPr="009E6D3D">
        <w:rPr>
          <w:rFonts w:asciiTheme="minorHAnsi" w:hAnsiTheme="minorHAnsi" w:cstheme="minorHAnsi"/>
          <w:sz w:val="24"/>
          <w:szCs w:val="24"/>
        </w:rPr>
        <w:t>r conception rates than southern regions (</w:t>
      </w:r>
      <w:r w:rsidR="00D419AE" w:rsidRPr="00846EE2">
        <w:rPr>
          <w:rFonts w:asciiTheme="minorHAnsi" w:hAnsiTheme="minorHAnsi" w:cstheme="minorHAnsi"/>
          <w:sz w:val="24"/>
          <w:szCs w:val="24"/>
        </w:rPr>
        <w:t>Figure 1</w:t>
      </w:r>
      <w:r w:rsidR="002B793F" w:rsidRPr="00846EE2">
        <w:rPr>
          <w:rFonts w:asciiTheme="minorHAnsi" w:hAnsiTheme="minorHAnsi" w:cstheme="minorHAnsi"/>
          <w:sz w:val="24"/>
          <w:szCs w:val="24"/>
        </w:rPr>
        <w:t xml:space="preserve">). Inner London </w:t>
      </w:r>
      <w:r w:rsidR="00861DB1" w:rsidRPr="00624EA4">
        <w:rPr>
          <w:rFonts w:asciiTheme="minorHAnsi" w:hAnsiTheme="minorHAnsi" w:cstheme="minorHAnsi"/>
          <w:sz w:val="24"/>
          <w:szCs w:val="24"/>
        </w:rPr>
        <w:t xml:space="preserve">has much </w:t>
      </w:r>
      <w:r w:rsidR="002B793F" w:rsidRPr="00624EA4">
        <w:rPr>
          <w:rFonts w:asciiTheme="minorHAnsi" w:hAnsiTheme="minorHAnsi" w:cstheme="minorHAnsi"/>
          <w:sz w:val="24"/>
          <w:szCs w:val="24"/>
        </w:rPr>
        <w:t xml:space="preserve">higher initial </w:t>
      </w:r>
      <w:r w:rsidR="002B793F" w:rsidRPr="008C153F">
        <w:rPr>
          <w:rFonts w:asciiTheme="minorHAnsi" w:hAnsiTheme="minorHAnsi" w:cstheme="minorHAnsi"/>
          <w:sz w:val="24"/>
          <w:szCs w:val="24"/>
        </w:rPr>
        <w:t xml:space="preserve">conception rates but a faster decline. </w:t>
      </w:r>
      <w:bookmarkStart w:id="1" w:name="_Ref18607613"/>
      <w:bookmarkStart w:id="2" w:name="_Toc18625161"/>
    </w:p>
    <w:p w14:paraId="041E1149" w14:textId="77777777" w:rsidR="00F40BF3" w:rsidRPr="00B30A6C" w:rsidRDefault="00F40BF3" w:rsidP="00CD0462">
      <w:pPr>
        <w:rPr>
          <w:rFonts w:asciiTheme="minorHAnsi" w:hAnsiTheme="minorHAnsi" w:cstheme="minorHAnsi"/>
          <w:sz w:val="24"/>
          <w:szCs w:val="24"/>
        </w:rPr>
      </w:pPr>
    </w:p>
    <w:p w14:paraId="4475DDD2" w14:textId="566E1256" w:rsidR="003A18BF" w:rsidRPr="009912AE" w:rsidRDefault="003A18BF" w:rsidP="00CD0462">
      <w:pPr>
        <w:rPr>
          <w:rFonts w:asciiTheme="minorHAnsi" w:hAnsiTheme="minorHAnsi" w:cstheme="minorHAnsi"/>
          <w:sz w:val="24"/>
          <w:szCs w:val="24"/>
        </w:rPr>
      </w:pPr>
      <w:r w:rsidRPr="00B30A6C">
        <w:rPr>
          <w:rFonts w:asciiTheme="minorHAnsi" w:hAnsiTheme="minorHAnsi" w:cstheme="minorHAnsi"/>
          <w:sz w:val="24"/>
          <w:szCs w:val="24"/>
        </w:rPr>
        <w:t xml:space="preserve">Figure </w:t>
      </w:r>
      <w:bookmarkEnd w:id="1"/>
      <w:r w:rsidR="00D419AE" w:rsidRPr="00B30A6C">
        <w:rPr>
          <w:rFonts w:asciiTheme="minorHAnsi" w:hAnsiTheme="minorHAnsi" w:cstheme="minorHAnsi"/>
          <w:sz w:val="24"/>
          <w:szCs w:val="24"/>
        </w:rPr>
        <w:t>1</w:t>
      </w:r>
      <w:r w:rsidRPr="00B30A6C">
        <w:rPr>
          <w:rFonts w:asciiTheme="minorHAnsi" w:hAnsiTheme="minorHAnsi" w:cstheme="minorHAnsi"/>
          <w:sz w:val="24"/>
          <w:szCs w:val="24"/>
        </w:rPr>
        <w:t xml:space="preserve"> The Regional Under-18 Conception Rates in England, 1998-2017</w:t>
      </w:r>
      <w:bookmarkEnd w:id="2"/>
    </w:p>
    <w:p w14:paraId="33EE791E" w14:textId="1E2CE03B" w:rsidR="002B793F" w:rsidRPr="003D099F" w:rsidRDefault="002B793F" w:rsidP="00CD0462">
      <w:pPr>
        <w:rPr>
          <w:rFonts w:asciiTheme="minorHAnsi" w:hAnsiTheme="minorHAnsi" w:cstheme="minorHAnsi"/>
          <w:sz w:val="24"/>
          <w:szCs w:val="24"/>
        </w:rPr>
      </w:pPr>
      <w:r w:rsidRPr="00FA4E70">
        <w:rPr>
          <w:rFonts w:asciiTheme="minorHAnsi" w:hAnsiTheme="minorHAnsi" w:cstheme="minorHAnsi"/>
          <w:noProof/>
          <w:sz w:val="24"/>
          <w:szCs w:val="24"/>
          <w:lang w:eastAsia="en-GB"/>
        </w:rPr>
        <w:drawing>
          <wp:inline distT="0" distB="0" distL="0" distR="0" wp14:anchorId="1F5D45BE" wp14:editId="524CCEC3">
            <wp:extent cx="5956300" cy="3975100"/>
            <wp:effectExtent l="0" t="0" r="6350" b="6350"/>
            <wp:docPr id="8" name="Chart 8">
              <a:extLst xmlns:a="http://schemas.openxmlformats.org/drawingml/2006/main">
                <a:ext uri="{FF2B5EF4-FFF2-40B4-BE49-F238E27FC236}">
                  <a16:creationId xmlns:a16="http://schemas.microsoft.com/office/drawing/2014/main" id="{20BDB3B1-3AA0-4F56-B011-35C181887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A2E990" w14:textId="3A965D0A" w:rsidR="00F01169" w:rsidRDefault="002A4CD3" w:rsidP="005851B6">
      <w:pPr>
        <w:rPr>
          <w:rFonts w:asciiTheme="minorHAnsi" w:hAnsiTheme="minorHAnsi" w:cstheme="minorHAnsi"/>
          <w:sz w:val="24"/>
          <w:szCs w:val="24"/>
        </w:rPr>
      </w:pPr>
      <w:r w:rsidRPr="006532EE">
        <w:rPr>
          <w:rFonts w:asciiTheme="minorHAnsi" w:hAnsiTheme="minorHAnsi" w:cstheme="minorHAnsi"/>
          <w:sz w:val="24"/>
          <w:szCs w:val="24"/>
        </w:rPr>
        <w:t xml:space="preserve">Although regional trends </w:t>
      </w:r>
      <w:r w:rsidRPr="005851B6">
        <w:rPr>
          <w:rFonts w:asciiTheme="minorHAnsi" w:hAnsiTheme="minorHAnsi" w:cstheme="minorHAnsi"/>
          <w:sz w:val="24"/>
          <w:szCs w:val="24"/>
        </w:rPr>
        <w:t>are clear</w:t>
      </w:r>
      <w:r w:rsidR="004D3F7F" w:rsidRPr="005851B6">
        <w:rPr>
          <w:rFonts w:asciiTheme="minorHAnsi" w:hAnsiTheme="minorHAnsi" w:cstheme="minorHAnsi"/>
          <w:sz w:val="24"/>
          <w:szCs w:val="24"/>
        </w:rPr>
        <w:t xml:space="preserve">, as presented in Figure 2, </w:t>
      </w:r>
      <w:r w:rsidRPr="005851B6">
        <w:rPr>
          <w:rFonts w:asciiTheme="minorHAnsi" w:hAnsiTheme="minorHAnsi" w:cstheme="minorHAnsi"/>
          <w:sz w:val="24"/>
          <w:szCs w:val="24"/>
        </w:rPr>
        <w:t xml:space="preserve">they condense heterogeneity </w:t>
      </w:r>
      <w:r w:rsidRPr="00564D6D">
        <w:rPr>
          <w:rFonts w:asciiTheme="minorHAnsi" w:hAnsiTheme="minorHAnsi" w:cstheme="minorHAnsi"/>
          <w:sz w:val="24"/>
          <w:szCs w:val="24"/>
        </w:rPr>
        <w:t xml:space="preserve">at lower geographies such as Local </w:t>
      </w:r>
      <w:r w:rsidRPr="005B55D1">
        <w:rPr>
          <w:rFonts w:asciiTheme="minorHAnsi" w:hAnsiTheme="minorHAnsi" w:cstheme="minorHAnsi"/>
          <w:sz w:val="24"/>
          <w:szCs w:val="24"/>
        </w:rPr>
        <w:t>Authority Districts (</w:t>
      </w:r>
      <w:proofErr w:type="spellStart"/>
      <w:r w:rsidRPr="005B55D1">
        <w:rPr>
          <w:rFonts w:asciiTheme="minorHAnsi" w:hAnsiTheme="minorHAnsi" w:cstheme="minorHAnsi"/>
          <w:sz w:val="24"/>
          <w:szCs w:val="24"/>
        </w:rPr>
        <w:t>LADs</w:t>
      </w:r>
      <w:proofErr w:type="spellEnd"/>
      <w:r w:rsidRPr="005B55D1">
        <w:rPr>
          <w:rFonts w:asciiTheme="minorHAnsi" w:hAnsiTheme="minorHAnsi" w:cstheme="minorHAnsi"/>
          <w:sz w:val="24"/>
          <w:szCs w:val="24"/>
        </w:rPr>
        <w:t>)</w:t>
      </w:r>
      <w:r w:rsidR="004D3F7F" w:rsidRPr="004D3F7F">
        <w:rPr>
          <w:rFonts w:asciiTheme="minorHAnsi" w:hAnsiTheme="minorHAnsi" w:cstheme="minorHAnsi"/>
          <w:sz w:val="24"/>
          <w:szCs w:val="24"/>
        </w:rPr>
        <w:t xml:space="preserve"> </w:t>
      </w:r>
      <w:r w:rsidR="004D3F7F" w:rsidRPr="005B55D1">
        <w:rPr>
          <w:rFonts w:asciiTheme="minorHAnsi" w:hAnsiTheme="minorHAnsi" w:cstheme="minorHAnsi"/>
          <w:sz w:val="24"/>
          <w:szCs w:val="24"/>
        </w:rPr>
        <w:t>and may be expl</w:t>
      </w:r>
      <w:r w:rsidR="004D3F7F" w:rsidRPr="004D0536">
        <w:rPr>
          <w:rFonts w:asciiTheme="minorHAnsi" w:hAnsiTheme="minorHAnsi" w:cstheme="minorHAnsi"/>
          <w:sz w:val="24"/>
          <w:szCs w:val="24"/>
        </w:rPr>
        <w:t xml:space="preserve">ained by </w:t>
      </w:r>
      <w:r w:rsidR="004D3F7F">
        <w:rPr>
          <w:rFonts w:asciiTheme="minorHAnsi" w:hAnsiTheme="minorHAnsi" w:cstheme="minorHAnsi"/>
          <w:sz w:val="24"/>
          <w:szCs w:val="24"/>
        </w:rPr>
        <w:t xml:space="preserve">areas in </w:t>
      </w:r>
      <w:r w:rsidR="004D3F7F" w:rsidRPr="004D0536">
        <w:rPr>
          <w:rFonts w:asciiTheme="minorHAnsi" w:hAnsiTheme="minorHAnsi" w:cstheme="minorHAnsi"/>
          <w:sz w:val="24"/>
          <w:szCs w:val="24"/>
        </w:rPr>
        <w:t xml:space="preserve">regions </w:t>
      </w:r>
      <w:r w:rsidR="004D3F7F" w:rsidRPr="004D0536">
        <w:rPr>
          <w:rFonts w:asciiTheme="minorHAnsi" w:hAnsiTheme="minorHAnsi" w:cstheme="minorHAnsi"/>
          <w:sz w:val="24"/>
          <w:szCs w:val="24"/>
        </w:rPr>
        <w:lastRenderedPageBreak/>
        <w:t xml:space="preserve">having </w:t>
      </w:r>
      <w:proofErr w:type="gramStart"/>
      <w:r w:rsidR="004D3F7F" w:rsidRPr="00846EE2">
        <w:rPr>
          <w:rFonts w:asciiTheme="minorHAnsi" w:hAnsiTheme="minorHAnsi" w:cstheme="minorHAnsi"/>
          <w:sz w:val="24"/>
          <w:szCs w:val="24"/>
        </w:rPr>
        <w:t>particul</w:t>
      </w:r>
      <w:r w:rsidR="004D3F7F" w:rsidRPr="00624EA4">
        <w:rPr>
          <w:rFonts w:asciiTheme="minorHAnsi" w:hAnsiTheme="minorHAnsi" w:cstheme="minorHAnsi"/>
          <w:sz w:val="24"/>
          <w:szCs w:val="24"/>
        </w:rPr>
        <w:t>ar local</w:t>
      </w:r>
      <w:proofErr w:type="gramEnd"/>
      <w:r w:rsidR="004D3F7F" w:rsidRPr="00624EA4">
        <w:rPr>
          <w:rFonts w:asciiTheme="minorHAnsi" w:hAnsiTheme="minorHAnsi" w:cstheme="minorHAnsi"/>
          <w:sz w:val="24"/>
          <w:szCs w:val="24"/>
        </w:rPr>
        <w:t xml:space="preserve"> area characteristics.</w:t>
      </w:r>
      <w:r w:rsidR="006D3340">
        <w:rPr>
          <w:rFonts w:asciiTheme="minorHAnsi" w:hAnsiTheme="minorHAnsi" w:cstheme="minorHAnsi"/>
          <w:sz w:val="24"/>
          <w:szCs w:val="24"/>
        </w:rPr>
        <w:t xml:space="preserve"> </w:t>
      </w:r>
      <w:r w:rsidRPr="005851B6">
        <w:rPr>
          <w:rFonts w:asciiTheme="minorHAnsi" w:hAnsiTheme="minorHAnsi" w:cstheme="minorHAnsi"/>
          <w:sz w:val="24"/>
          <w:szCs w:val="24"/>
        </w:rPr>
        <w:t>This paper provides new insight into local area characteristics associations with these d</w:t>
      </w:r>
      <w:r w:rsidRPr="00564D6D">
        <w:rPr>
          <w:rFonts w:asciiTheme="minorHAnsi" w:hAnsiTheme="minorHAnsi" w:cstheme="minorHAnsi"/>
          <w:sz w:val="24"/>
          <w:szCs w:val="24"/>
        </w:rPr>
        <w:t xml:space="preserve">ifferential rates of decline. </w:t>
      </w:r>
      <w:r w:rsidRPr="006532EE">
        <w:rPr>
          <w:rFonts w:asciiTheme="minorHAnsi" w:hAnsiTheme="minorHAnsi" w:cstheme="minorHAnsi"/>
          <w:sz w:val="24"/>
          <w:szCs w:val="24"/>
        </w:rPr>
        <w:t xml:space="preserve">It moves beyond existing work in </w:t>
      </w:r>
      <w:r w:rsidRPr="005851B6">
        <w:rPr>
          <w:rFonts w:asciiTheme="minorHAnsi" w:hAnsiTheme="minorHAnsi" w:cstheme="minorHAnsi"/>
          <w:sz w:val="24"/>
          <w:szCs w:val="24"/>
        </w:rPr>
        <w:t xml:space="preserve">several ways; firstly, much of the </w:t>
      </w:r>
      <w:r w:rsidRPr="00564D6D">
        <w:rPr>
          <w:rFonts w:asciiTheme="minorHAnsi" w:hAnsiTheme="minorHAnsi" w:cstheme="minorHAnsi"/>
          <w:sz w:val="24"/>
          <w:szCs w:val="24"/>
        </w:rPr>
        <w:t>existi</w:t>
      </w:r>
      <w:r w:rsidRPr="005B55D1">
        <w:rPr>
          <w:rFonts w:asciiTheme="minorHAnsi" w:hAnsiTheme="minorHAnsi" w:cstheme="minorHAnsi"/>
          <w:sz w:val="24"/>
          <w:szCs w:val="24"/>
        </w:rPr>
        <w:t>ng literature focuses on the 2000s (prior to the accelerat</w:t>
      </w:r>
      <w:r w:rsidRPr="004D0536">
        <w:rPr>
          <w:rFonts w:asciiTheme="minorHAnsi" w:hAnsiTheme="minorHAnsi" w:cstheme="minorHAnsi"/>
          <w:sz w:val="24"/>
          <w:szCs w:val="24"/>
        </w:rPr>
        <w:t>ed decline</w:t>
      </w:r>
      <w:r w:rsidRPr="009E6D3D">
        <w:rPr>
          <w:rFonts w:asciiTheme="minorHAnsi" w:hAnsiTheme="minorHAnsi" w:cstheme="minorHAnsi"/>
          <w:sz w:val="24"/>
          <w:szCs w:val="24"/>
        </w:rPr>
        <w:t xml:space="preserve">). </w:t>
      </w:r>
      <w:r w:rsidRPr="00846EE2">
        <w:rPr>
          <w:rFonts w:asciiTheme="minorHAnsi" w:hAnsiTheme="minorHAnsi" w:cstheme="minorHAnsi"/>
          <w:sz w:val="24"/>
          <w:szCs w:val="24"/>
        </w:rPr>
        <w:t>Indeed, the</w:t>
      </w:r>
      <w:r w:rsidRPr="00624EA4">
        <w:rPr>
          <w:rFonts w:asciiTheme="minorHAnsi" w:hAnsiTheme="minorHAnsi" w:cstheme="minorHAnsi"/>
          <w:sz w:val="24"/>
          <w:szCs w:val="24"/>
        </w:rPr>
        <w:t xml:space="preserve"> nationally representative source of individual-level data on teenage sexual behaviour </w:t>
      </w:r>
      <w:r w:rsidRPr="007B5855">
        <w:rPr>
          <w:rFonts w:asciiTheme="minorHAnsi" w:hAnsiTheme="minorHAnsi" w:cstheme="minorHAnsi"/>
          <w:sz w:val="24"/>
          <w:szCs w:val="24"/>
        </w:rPr>
        <w:t>previously used to consider teenage fertility</w:t>
      </w:r>
      <w:r w:rsidRPr="002F64ED">
        <w:rPr>
          <w:rFonts w:asciiTheme="minorHAnsi" w:hAnsiTheme="minorHAnsi" w:cstheme="minorHAnsi"/>
          <w:sz w:val="24"/>
          <w:szCs w:val="24"/>
        </w:rPr>
        <w:t xml:space="preserve"> </w:t>
      </w:r>
      <w:r w:rsidRPr="00B869F5">
        <w:rPr>
          <w:rFonts w:asciiTheme="minorHAnsi" w:hAnsiTheme="minorHAnsi" w:cstheme="minorHAnsi"/>
          <w:sz w:val="24"/>
          <w:szCs w:val="24"/>
        </w:rPr>
        <w:t xml:space="preserve">(Wellings et al., 2016; Scott et al., 2020) is nearly a decade old, necessitating our ecological approach. </w:t>
      </w:r>
      <w:r w:rsidR="005851B6">
        <w:rPr>
          <w:rFonts w:asciiTheme="minorHAnsi" w:hAnsiTheme="minorHAnsi" w:cstheme="minorHAnsi"/>
          <w:sz w:val="24"/>
          <w:szCs w:val="24"/>
        </w:rPr>
        <w:t xml:space="preserve">Secondly, </w:t>
      </w:r>
      <w:r w:rsidR="0087290C">
        <w:rPr>
          <w:rFonts w:asciiTheme="minorHAnsi" w:hAnsiTheme="minorHAnsi" w:cstheme="minorHAnsi"/>
          <w:sz w:val="24"/>
          <w:szCs w:val="24"/>
        </w:rPr>
        <w:t>multitude</w:t>
      </w:r>
      <w:r w:rsidR="00533EDC">
        <w:rPr>
          <w:rFonts w:asciiTheme="minorHAnsi" w:hAnsiTheme="minorHAnsi" w:cstheme="minorHAnsi"/>
          <w:sz w:val="24"/>
          <w:szCs w:val="24"/>
        </w:rPr>
        <w:t>s</w:t>
      </w:r>
      <w:r w:rsidR="0087290C">
        <w:rPr>
          <w:rFonts w:asciiTheme="minorHAnsi" w:hAnsiTheme="minorHAnsi" w:cstheme="minorHAnsi"/>
          <w:sz w:val="24"/>
          <w:szCs w:val="24"/>
        </w:rPr>
        <w:t xml:space="preserve"> of societal changes have occurred alongside the decline in teenage conceptions such as rising educational attainment and aspirations, growing populations of teenagers who are second- and third-generation Black and South Asian, and rising economic deprivation and youth unemployment around the 2008 economic recession. We specifically capture these measures regarding teenagers in conjunction with</w:t>
      </w:r>
      <w:r w:rsidR="0087290C" w:rsidRPr="005851B6">
        <w:rPr>
          <w:rFonts w:asciiTheme="minorHAnsi" w:hAnsiTheme="minorHAnsi" w:cstheme="minorHAnsi"/>
          <w:sz w:val="24"/>
          <w:szCs w:val="24"/>
        </w:rPr>
        <w:t xml:space="preserve"> </w:t>
      </w:r>
      <w:r w:rsidRPr="005851B6">
        <w:rPr>
          <w:rFonts w:asciiTheme="minorHAnsi" w:hAnsiTheme="minorHAnsi" w:cstheme="minorHAnsi"/>
          <w:sz w:val="24"/>
          <w:szCs w:val="24"/>
        </w:rPr>
        <w:t xml:space="preserve">a wider range of socio-economic factors than hitherto examined, including the per capita local stock of </w:t>
      </w:r>
      <w:r w:rsidR="006E4FB0">
        <w:rPr>
          <w:rFonts w:asciiTheme="minorHAnsi" w:hAnsiTheme="minorHAnsi" w:cstheme="minorHAnsi"/>
          <w:sz w:val="24"/>
          <w:szCs w:val="24"/>
        </w:rPr>
        <w:t>state-</w:t>
      </w:r>
      <w:r w:rsidRPr="005851B6">
        <w:rPr>
          <w:rFonts w:asciiTheme="minorHAnsi" w:hAnsiTheme="minorHAnsi" w:cstheme="minorHAnsi"/>
          <w:sz w:val="24"/>
          <w:szCs w:val="24"/>
        </w:rPr>
        <w:t>subsidised social rented housing, and housing affordability.</w:t>
      </w:r>
      <w:r w:rsidRPr="003D099F">
        <w:rPr>
          <w:rFonts w:asciiTheme="minorHAnsi" w:hAnsiTheme="minorHAnsi" w:cstheme="minorHAnsi"/>
          <w:sz w:val="24"/>
          <w:szCs w:val="24"/>
        </w:rPr>
        <w:t xml:space="preserve"> Thirdly, we use variables </w:t>
      </w:r>
      <w:r w:rsidRPr="009C4969">
        <w:rPr>
          <w:rFonts w:asciiTheme="minorHAnsi" w:hAnsiTheme="minorHAnsi" w:cstheme="minorHAnsi"/>
          <w:sz w:val="24"/>
          <w:szCs w:val="24"/>
        </w:rPr>
        <w:t>capturing</w:t>
      </w:r>
      <w:r w:rsidRPr="00682940">
        <w:rPr>
          <w:rFonts w:asciiTheme="minorHAnsi" w:hAnsiTheme="minorHAnsi" w:cstheme="minorHAnsi"/>
          <w:sz w:val="24"/>
          <w:szCs w:val="24"/>
        </w:rPr>
        <w:t xml:space="preserve"> teenage- and youth-specific changes in local authorities, such as the changing </w:t>
      </w:r>
      <w:r w:rsidRPr="006532EE">
        <w:rPr>
          <w:rFonts w:asciiTheme="minorHAnsi" w:hAnsiTheme="minorHAnsi" w:cstheme="minorHAnsi"/>
          <w:sz w:val="24"/>
          <w:szCs w:val="24"/>
        </w:rPr>
        <w:t>teenage ethnic composition. Finally, by using both random effects and fixed effects models</w:t>
      </w:r>
      <w:r w:rsidRPr="005851B6">
        <w:rPr>
          <w:rFonts w:asciiTheme="minorHAnsi" w:hAnsiTheme="minorHAnsi" w:cstheme="minorHAnsi"/>
          <w:sz w:val="24"/>
          <w:szCs w:val="24"/>
        </w:rPr>
        <w:t xml:space="preserve"> we demonstrate how relationships between these area characteristics and under-18 conception rates have altered throughout 1998 to 2017.</w:t>
      </w:r>
      <w:r w:rsidR="00DF1ADE">
        <w:rPr>
          <w:rFonts w:asciiTheme="minorHAnsi" w:hAnsiTheme="minorHAnsi" w:cstheme="minorHAnsi"/>
          <w:sz w:val="24"/>
          <w:szCs w:val="24"/>
        </w:rPr>
        <w:t xml:space="preserve"> </w:t>
      </w:r>
    </w:p>
    <w:p w14:paraId="19EC5D5B" w14:textId="77777777" w:rsidR="00DF1ADE" w:rsidRDefault="00DF1ADE" w:rsidP="00CD0462">
      <w:pPr>
        <w:rPr>
          <w:rFonts w:asciiTheme="minorHAnsi" w:hAnsiTheme="minorHAnsi" w:cstheme="minorHAnsi"/>
          <w:sz w:val="24"/>
          <w:szCs w:val="24"/>
        </w:rPr>
      </w:pPr>
    </w:p>
    <w:p w14:paraId="75AB355C" w14:textId="77777777" w:rsidR="00DF1ADE" w:rsidRDefault="00DF1ADE" w:rsidP="00CD0462">
      <w:pPr>
        <w:rPr>
          <w:rFonts w:asciiTheme="minorHAnsi" w:hAnsiTheme="minorHAnsi" w:cstheme="minorHAnsi"/>
          <w:sz w:val="24"/>
          <w:szCs w:val="24"/>
        </w:rPr>
        <w:sectPr w:rsidR="00DF1ADE" w:rsidSect="005E06A6">
          <w:headerReference w:type="default" r:id="rId12"/>
          <w:footerReference w:type="even" r:id="rId13"/>
          <w:footerReference w:type="default" r:id="rId14"/>
          <w:type w:val="continuous"/>
          <w:pgSz w:w="11907" w:h="16840" w:code="9"/>
          <w:pgMar w:top="1440" w:right="1080" w:bottom="1440" w:left="1080" w:header="425" w:footer="425" w:gutter="0"/>
          <w:lnNumType w:countBy="1"/>
          <w:cols w:space="708"/>
          <w:formProt w:val="0"/>
          <w:docGrid w:linePitch="360"/>
        </w:sectPr>
      </w:pPr>
    </w:p>
    <w:p w14:paraId="55E4186E" w14:textId="0835091C" w:rsidR="00C43A24" w:rsidRDefault="002A4CD3" w:rsidP="00CD0462">
      <w:pPr>
        <w:rPr>
          <w:rFonts w:asciiTheme="minorHAnsi" w:hAnsiTheme="minorHAnsi" w:cstheme="minorHAnsi"/>
          <w:sz w:val="24"/>
          <w:szCs w:val="24"/>
        </w:rPr>
      </w:pPr>
      <w:r w:rsidRPr="005851B6">
        <w:rPr>
          <w:rFonts w:asciiTheme="minorHAnsi" w:hAnsiTheme="minorHAnsi" w:cstheme="minorHAnsi"/>
          <w:sz w:val="24"/>
          <w:szCs w:val="24"/>
        </w:rPr>
        <w:lastRenderedPageBreak/>
        <w:t>Figure 2.</w:t>
      </w:r>
      <w:r w:rsidR="007E37E1">
        <w:rPr>
          <w:rFonts w:asciiTheme="minorHAnsi" w:hAnsiTheme="minorHAnsi" w:cstheme="minorHAnsi"/>
          <w:sz w:val="24"/>
          <w:szCs w:val="24"/>
        </w:rPr>
        <w:t xml:space="preserve">- </w:t>
      </w:r>
      <w:r w:rsidR="007E37E1" w:rsidRPr="007E37E1">
        <w:rPr>
          <w:rFonts w:asciiTheme="minorHAnsi" w:hAnsiTheme="minorHAnsi" w:cstheme="minorHAnsi"/>
          <w:sz w:val="24"/>
          <w:szCs w:val="24"/>
        </w:rPr>
        <w:t xml:space="preserve">A visualisation of the under-18 conception rate in 2017 across England with examples highlighting the hierarchical nature of the English geography </w:t>
      </w:r>
    </w:p>
    <w:p w14:paraId="31D01394" w14:textId="28335F84" w:rsidR="002A4CD3" w:rsidRPr="003D099F" w:rsidRDefault="00C92147" w:rsidP="00CD0462">
      <w:pPr>
        <w:rPr>
          <w:rFonts w:asciiTheme="minorHAnsi" w:hAnsiTheme="minorHAnsi" w:cstheme="minorHAnsi"/>
          <w:sz w:val="24"/>
          <w:szCs w:val="24"/>
        </w:rPr>
      </w:pPr>
      <w:r>
        <w:rPr>
          <w:noProof/>
        </w:rPr>
        <w:drawing>
          <wp:inline distT="0" distB="0" distL="0" distR="0" wp14:anchorId="584C4273" wp14:editId="08DFB7E4">
            <wp:extent cx="6189345" cy="396811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9345" cy="3968115"/>
                    </a:xfrm>
                    <a:prstGeom prst="rect">
                      <a:avLst/>
                    </a:prstGeom>
                    <a:noFill/>
                    <a:ln>
                      <a:noFill/>
                    </a:ln>
                  </pic:spPr>
                </pic:pic>
              </a:graphicData>
            </a:graphic>
          </wp:inline>
        </w:drawing>
      </w:r>
    </w:p>
    <w:p w14:paraId="492427F9" w14:textId="7F65D8A3" w:rsidR="003F2D10" w:rsidRPr="00564D6D" w:rsidRDefault="00616DAF" w:rsidP="00CD0462">
      <w:pPr>
        <w:rPr>
          <w:rFonts w:asciiTheme="minorHAnsi" w:hAnsiTheme="minorHAnsi" w:cstheme="minorHAnsi"/>
          <w:sz w:val="24"/>
          <w:szCs w:val="24"/>
        </w:rPr>
      </w:pPr>
      <w:r w:rsidRPr="005851B6">
        <w:rPr>
          <w:rFonts w:asciiTheme="minorHAnsi" w:hAnsiTheme="minorHAnsi" w:cstheme="minorHAnsi"/>
          <w:sz w:val="24"/>
          <w:szCs w:val="24"/>
        </w:rPr>
        <w:t>Past research has consistently found higher rates of teenage conceptions in m</w:t>
      </w:r>
      <w:r w:rsidR="002B793F" w:rsidRPr="005851B6">
        <w:rPr>
          <w:rFonts w:asciiTheme="minorHAnsi" w:hAnsiTheme="minorHAnsi" w:cstheme="minorHAnsi"/>
          <w:sz w:val="24"/>
          <w:szCs w:val="24"/>
        </w:rPr>
        <w:t>ore socio-economically deprived areas</w:t>
      </w:r>
      <w:bookmarkStart w:id="3" w:name="_Ref15302164"/>
      <w:r w:rsidR="009E6BFE" w:rsidRPr="005851B6">
        <w:rPr>
          <w:rFonts w:asciiTheme="minorHAnsi" w:hAnsiTheme="minorHAnsi" w:cstheme="minorHAnsi"/>
          <w:sz w:val="24"/>
          <w:szCs w:val="24"/>
        </w:rPr>
        <w:t xml:space="preserve"> </w:t>
      </w:r>
      <w:r w:rsidR="00F56296" w:rsidRPr="00564D6D">
        <w:rPr>
          <w:rFonts w:asciiTheme="minorHAnsi" w:hAnsiTheme="minorHAnsi" w:cstheme="minorHAnsi"/>
          <w:sz w:val="24"/>
          <w:szCs w:val="24"/>
        </w:rPr>
        <w:t>(</w:t>
      </w:r>
      <w:r w:rsidR="00755719" w:rsidRPr="00564D6D">
        <w:rPr>
          <w:rFonts w:asciiTheme="minorHAnsi" w:hAnsiTheme="minorHAnsi" w:cstheme="minorHAnsi"/>
          <w:sz w:val="24"/>
          <w:szCs w:val="24"/>
        </w:rPr>
        <w:t xml:space="preserve">Author et al., 1999; </w:t>
      </w:r>
      <w:r w:rsidR="00853D57" w:rsidRPr="00564D6D">
        <w:rPr>
          <w:rFonts w:asciiTheme="minorHAnsi" w:hAnsiTheme="minorHAnsi" w:cstheme="minorHAnsi"/>
          <w:sz w:val="24"/>
          <w:szCs w:val="24"/>
        </w:rPr>
        <w:t>Conrad, 2012; Girma and Paton, 2015;</w:t>
      </w:r>
      <w:r w:rsidR="00DD0F1E" w:rsidRPr="00564D6D">
        <w:rPr>
          <w:rFonts w:asciiTheme="minorHAnsi" w:hAnsiTheme="minorHAnsi" w:cstheme="minorHAnsi"/>
          <w:sz w:val="24"/>
          <w:szCs w:val="24"/>
        </w:rPr>
        <w:t xml:space="preserve"> </w:t>
      </w:r>
      <w:r w:rsidR="00F56296" w:rsidRPr="00564D6D">
        <w:rPr>
          <w:rFonts w:asciiTheme="minorHAnsi" w:hAnsiTheme="minorHAnsi" w:cstheme="minorHAnsi"/>
          <w:sz w:val="24"/>
          <w:szCs w:val="24"/>
        </w:rPr>
        <w:t>Mc</w:t>
      </w:r>
      <w:r w:rsidR="00E86837" w:rsidRPr="00564D6D">
        <w:rPr>
          <w:rFonts w:asciiTheme="minorHAnsi" w:hAnsiTheme="minorHAnsi" w:cstheme="minorHAnsi"/>
          <w:sz w:val="24"/>
          <w:szCs w:val="24"/>
        </w:rPr>
        <w:t xml:space="preserve">Leod, 2001; </w:t>
      </w:r>
      <w:r w:rsidR="00C50912" w:rsidRPr="00564D6D">
        <w:rPr>
          <w:rFonts w:asciiTheme="minorHAnsi" w:hAnsiTheme="minorHAnsi" w:cstheme="minorHAnsi"/>
          <w:sz w:val="24"/>
          <w:szCs w:val="24"/>
        </w:rPr>
        <w:t>Uren</w:t>
      </w:r>
      <w:r w:rsidR="00966081" w:rsidRPr="00564D6D">
        <w:rPr>
          <w:rFonts w:asciiTheme="minorHAnsi" w:hAnsiTheme="minorHAnsi" w:cstheme="minorHAnsi"/>
          <w:sz w:val="24"/>
          <w:szCs w:val="24"/>
        </w:rPr>
        <w:t xml:space="preserve"> et al., 2007; </w:t>
      </w:r>
      <w:r w:rsidR="00853D57" w:rsidRPr="00564D6D">
        <w:rPr>
          <w:rFonts w:asciiTheme="minorHAnsi" w:hAnsiTheme="minorHAnsi" w:cstheme="minorHAnsi"/>
          <w:sz w:val="24"/>
          <w:szCs w:val="24"/>
        </w:rPr>
        <w:t xml:space="preserve">Wellings et al., 2016; </w:t>
      </w:r>
      <w:r w:rsidR="00E16DC7" w:rsidRPr="00564D6D">
        <w:rPr>
          <w:rFonts w:asciiTheme="minorHAnsi" w:hAnsiTheme="minorHAnsi" w:cstheme="minorHAnsi"/>
          <w:sz w:val="24"/>
          <w:szCs w:val="24"/>
        </w:rPr>
        <w:t>Wright et al., 2016)</w:t>
      </w:r>
      <w:bookmarkEnd w:id="3"/>
      <w:r w:rsidR="006A2A52" w:rsidRPr="00564D6D">
        <w:rPr>
          <w:rFonts w:asciiTheme="minorHAnsi" w:hAnsiTheme="minorHAnsi" w:cstheme="minorHAnsi"/>
          <w:sz w:val="24"/>
          <w:szCs w:val="24"/>
        </w:rPr>
        <w:t xml:space="preserve">, </w:t>
      </w:r>
      <w:r w:rsidR="002B793F" w:rsidRPr="00564D6D">
        <w:rPr>
          <w:rFonts w:asciiTheme="minorHAnsi" w:hAnsiTheme="minorHAnsi" w:cstheme="minorHAnsi"/>
          <w:sz w:val="24"/>
          <w:szCs w:val="24"/>
        </w:rPr>
        <w:t>whilst areas with larger proportions of non-White populations (at all ages) were found to experience higher rates of teenage conceptions</w:t>
      </w:r>
      <w:bookmarkStart w:id="4" w:name="_Ref15303028"/>
      <w:r w:rsidR="002B793F" w:rsidRPr="00564D6D">
        <w:rPr>
          <w:rFonts w:asciiTheme="minorHAnsi" w:hAnsiTheme="minorHAnsi" w:cstheme="minorHAnsi"/>
          <w:sz w:val="24"/>
          <w:szCs w:val="24"/>
        </w:rPr>
        <w:t xml:space="preserve"> </w:t>
      </w:r>
      <w:r w:rsidR="00DD0F1E" w:rsidRPr="00564D6D">
        <w:rPr>
          <w:rFonts w:asciiTheme="minorHAnsi" w:hAnsiTheme="minorHAnsi" w:cstheme="minorHAnsi"/>
          <w:sz w:val="24"/>
          <w:szCs w:val="24"/>
        </w:rPr>
        <w:t>(Blackman, 2013; Bradshaw</w:t>
      </w:r>
      <w:r w:rsidR="009B3B61" w:rsidRPr="00564D6D">
        <w:rPr>
          <w:rFonts w:asciiTheme="minorHAnsi" w:hAnsiTheme="minorHAnsi" w:cstheme="minorHAnsi"/>
          <w:sz w:val="24"/>
          <w:szCs w:val="24"/>
        </w:rPr>
        <w:t xml:space="preserve"> et al., 2005)</w:t>
      </w:r>
      <w:bookmarkEnd w:id="4"/>
      <w:r w:rsidR="002B793F" w:rsidRPr="00564D6D">
        <w:rPr>
          <w:rFonts w:asciiTheme="minorHAnsi" w:hAnsiTheme="minorHAnsi" w:cstheme="minorHAnsi"/>
          <w:sz w:val="24"/>
          <w:szCs w:val="24"/>
        </w:rPr>
        <w:t xml:space="preserve">. The generally higher conception rates found in urban areas </w:t>
      </w:r>
      <w:r w:rsidR="00117175" w:rsidRPr="00564D6D">
        <w:rPr>
          <w:rFonts w:asciiTheme="minorHAnsi" w:hAnsiTheme="minorHAnsi" w:cstheme="minorHAnsi"/>
          <w:sz w:val="24"/>
          <w:szCs w:val="24"/>
        </w:rPr>
        <w:t xml:space="preserve">have thus been </w:t>
      </w:r>
      <w:r w:rsidR="002B793F" w:rsidRPr="00564D6D">
        <w:rPr>
          <w:rFonts w:asciiTheme="minorHAnsi" w:hAnsiTheme="minorHAnsi" w:cstheme="minorHAnsi"/>
          <w:sz w:val="24"/>
          <w:szCs w:val="24"/>
        </w:rPr>
        <w:t>explained by accompanying higher levels of economic deprivation and ethnic diversity</w:t>
      </w:r>
      <w:r w:rsidR="00695DE2" w:rsidRPr="00564D6D">
        <w:rPr>
          <w:rFonts w:asciiTheme="minorHAnsi" w:hAnsiTheme="minorHAnsi" w:cstheme="minorHAnsi"/>
          <w:sz w:val="24"/>
          <w:szCs w:val="24"/>
        </w:rPr>
        <w:t xml:space="preserve"> </w:t>
      </w:r>
      <w:r w:rsidR="009B3B61" w:rsidRPr="00564D6D">
        <w:rPr>
          <w:rFonts w:asciiTheme="minorHAnsi" w:hAnsiTheme="minorHAnsi" w:cstheme="minorHAnsi"/>
          <w:sz w:val="24"/>
          <w:szCs w:val="24"/>
        </w:rPr>
        <w:t>(</w:t>
      </w:r>
      <w:r w:rsidR="00755719" w:rsidRPr="00564D6D">
        <w:rPr>
          <w:rFonts w:asciiTheme="minorHAnsi" w:hAnsiTheme="minorHAnsi" w:cstheme="minorHAnsi"/>
          <w:sz w:val="24"/>
          <w:szCs w:val="24"/>
        </w:rPr>
        <w:t>Author</w:t>
      </w:r>
      <w:r w:rsidR="009B3B61" w:rsidRPr="00564D6D">
        <w:rPr>
          <w:rFonts w:asciiTheme="minorHAnsi" w:hAnsiTheme="minorHAnsi" w:cstheme="minorHAnsi"/>
          <w:sz w:val="24"/>
          <w:szCs w:val="24"/>
        </w:rPr>
        <w:t xml:space="preserve"> et al., 1999; McLeod</w:t>
      </w:r>
      <w:r w:rsidR="00105514" w:rsidRPr="00564D6D">
        <w:rPr>
          <w:rFonts w:asciiTheme="minorHAnsi" w:hAnsiTheme="minorHAnsi" w:cstheme="minorHAnsi"/>
          <w:sz w:val="24"/>
          <w:szCs w:val="24"/>
        </w:rPr>
        <w:t>, 2001; Wright et al., 2016)</w:t>
      </w:r>
      <w:r w:rsidR="002B793F" w:rsidRPr="00564D6D">
        <w:rPr>
          <w:rFonts w:asciiTheme="minorHAnsi" w:hAnsiTheme="minorHAnsi" w:cstheme="minorHAnsi"/>
          <w:sz w:val="24"/>
          <w:szCs w:val="24"/>
        </w:rPr>
        <w:t xml:space="preserve">. </w:t>
      </w:r>
      <w:r w:rsidR="00117175" w:rsidRPr="00564D6D">
        <w:rPr>
          <w:rFonts w:asciiTheme="minorHAnsi" w:hAnsiTheme="minorHAnsi" w:cstheme="minorHAnsi"/>
          <w:sz w:val="24"/>
          <w:szCs w:val="24"/>
        </w:rPr>
        <w:t>P</w:t>
      </w:r>
      <w:r w:rsidR="008E4897" w:rsidRPr="00564D6D">
        <w:rPr>
          <w:rFonts w:asciiTheme="minorHAnsi" w:hAnsiTheme="minorHAnsi" w:cstheme="minorHAnsi"/>
          <w:sz w:val="24"/>
          <w:szCs w:val="24"/>
        </w:rPr>
        <w:t>ast</w:t>
      </w:r>
      <w:r w:rsidR="00117175" w:rsidRPr="00564D6D">
        <w:rPr>
          <w:rFonts w:asciiTheme="minorHAnsi" w:hAnsiTheme="minorHAnsi" w:cstheme="minorHAnsi"/>
          <w:sz w:val="24"/>
          <w:szCs w:val="24"/>
        </w:rPr>
        <w:t xml:space="preserve"> research highlighted educational attainment as a key factor associated with </w:t>
      </w:r>
      <w:r w:rsidR="002070D4" w:rsidRPr="00564D6D">
        <w:rPr>
          <w:rFonts w:asciiTheme="minorHAnsi" w:hAnsiTheme="minorHAnsi" w:cstheme="minorHAnsi"/>
          <w:sz w:val="24"/>
          <w:szCs w:val="24"/>
        </w:rPr>
        <w:t xml:space="preserve">levels of </w:t>
      </w:r>
      <w:r w:rsidR="00117175" w:rsidRPr="00564D6D">
        <w:rPr>
          <w:rFonts w:asciiTheme="minorHAnsi" w:hAnsiTheme="minorHAnsi" w:cstheme="minorHAnsi"/>
          <w:sz w:val="24"/>
          <w:szCs w:val="24"/>
        </w:rPr>
        <w:t>tee</w:t>
      </w:r>
      <w:r w:rsidR="00E27E7D" w:rsidRPr="00564D6D">
        <w:rPr>
          <w:rFonts w:asciiTheme="minorHAnsi" w:hAnsiTheme="minorHAnsi" w:cstheme="minorHAnsi"/>
          <w:sz w:val="24"/>
          <w:szCs w:val="24"/>
        </w:rPr>
        <w:t>n</w:t>
      </w:r>
      <w:r w:rsidR="00117175" w:rsidRPr="00564D6D">
        <w:rPr>
          <w:rFonts w:asciiTheme="minorHAnsi" w:hAnsiTheme="minorHAnsi" w:cstheme="minorHAnsi"/>
          <w:sz w:val="24"/>
          <w:szCs w:val="24"/>
        </w:rPr>
        <w:t>age pregnancy</w:t>
      </w:r>
      <w:r w:rsidR="002070D4" w:rsidRPr="00564D6D">
        <w:rPr>
          <w:rFonts w:asciiTheme="minorHAnsi" w:hAnsiTheme="minorHAnsi" w:cstheme="minorHAnsi"/>
          <w:sz w:val="24"/>
          <w:szCs w:val="24"/>
        </w:rPr>
        <w:t xml:space="preserve"> at the individual</w:t>
      </w:r>
      <w:r w:rsidR="00E27E7D" w:rsidRPr="00564D6D">
        <w:rPr>
          <w:rFonts w:asciiTheme="minorHAnsi" w:hAnsiTheme="minorHAnsi" w:cstheme="minorHAnsi"/>
          <w:sz w:val="24"/>
          <w:szCs w:val="24"/>
        </w:rPr>
        <w:t xml:space="preserve"> </w:t>
      </w:r>
      <w:r w:rsidR="00105514" w:rsidRPr="00564D6D">
        <w:rPr>
          <w:rFonts w:asciiTheme="minorHAnsi" w:hAnsiTheme="minorHAnsi" w:cstheme="minorHAnsi"/>
          <w:sz w:val="24"/>
          <w:szCs w:val="24"/>
        </w:rPr>
        <w:t>(</w:t>
      </w:r>
      <w:r w:rsidR="00A2103F" w:rsidRPr="00564D6D">
        <w:rPr>
          <w:rFonts w:asciiTheme="minorHAnsi" w:hAnsiTheme="minorHAnsi" w:cstheme="minorHAnsi"/>
          <w:sz w:val="24"/>
          <w:szCs w:val="24"/>
        </w:rPr>
        <w:t xml:space="preserve">Crawford et al., 2013; </w:t>
      </w:r>
      <w:r w:rsidR="00105514" w:rsidRPr="00564D6D">
        <w:rPr>
          <w:rFonts w:asciiTheme="minorHAnsi" w:hAnsiTheme="minorHAnsi" w:cstheme="minorHAnsi"/>
          <w:sz w:val="24"/>
          <w:szCs w:val="24"/>
        </w:rPr>
        <w:t>Wellings et al., 2016</w:t>
      </w:r>
      <w:r w:rsidR="00A2103F" w:rsidRPr="00564D6D">
        <w:rPr>
          <w:rFonts w:asciiTheme="minorHAnsi" w:hAnsiTheme="minorHAnsi" w:cstheme="minorHAnsi"/>
          <w:sz w:val="24"/>
          <w:szCs w:val="24"/>
        </w:rPr>
        <w:t>)</w:t>
      </w:r>
      <w:r w:rsidR="002070D4" w:rsidRPr="00564D6D">
        <w:rPr>
          <w:rFonts w:asciiTheme="minorHAnsi" w:hAnsiTheme="minorHAnsi" w:cstheme="minorHAnsi"/>
          <w:sz w:val="24"/>
          <w:szCs w:val="24"/>
        </w:rPr>
        <w:t>, school</w:t>
      </w:r>
      <w:r w:rsidR="007D6BE8" w:rsidRPr="00564D6D">
        <w:rPr>
          <w:rFonts w:asciiTheme="minorHAnsi" w:hAnsiTheme="minorHAnsi" w:cstheme="minorHAnsi"/>
          <w:sz w:val="24"/>
          <w:szCs w:val="24"/>
        </w:rPr>
        <w:t xml:space="preserve"> </w:t>
      </w:r>
      <w:r w:rsidR="00383036" w:rsidRPr="00564D6D">
        <w:rPr>
          <w:rFonts w:asciiTheme="minorHAnsi" w:hAnsiTheme="minorHAnsi" w:cstheme="minorHAnsi"/>
          <w:sz w:val="24"/>
          <w:szCs w:val="24"/>
        </w:rPr>
        <w:t>(</w:t>
      </w:r>
      <w:r w:rsidR="00A2103F" w:rsidRPr="00564D6D">
        <w:rPr>
          <w:rFonts w:asciiTheme="minorHAnsi" w:hAnsiTheme="minorHAnsi" w:cstheme="minorHAnsi"/>
          <w:sz w:val="24"/>
          <w:szCs w:val="24"/>
        </w:rPr>
        <w:t>Crawford et al., 2013</w:t>
      </w:r>
      <w:r w:rsidR="00383036" w:rsidRPr="00564D6D">
        <w:rPr>
          <w:rFonts w:asciiTheme="minorHAnsi" w:hAnsiTheme="minorHAnsi" w:cstheme="minorHAnsi"/>
          <w:sz w:val="24"/>
          <w:szCs w:val="24"/>
        </w:rPr>
        <w:t>)</w:t>
      </w:r>
      <w:r w:rsidR="005773C6" w:rsidRPr="00564D6D">
        <w:rPr>
          <w:rFonts w:asciiTheme="minorHAnsi" w:hAnsiTheme="minorHAnsi" w:cstheme="minorHAnsi"/>
          <w:sz w:val="24"/>
          <w:szCs w:val="24"/>
        </w:rPr>
        <w:t>,</w:t>
      </w:r>
      <w:r w:rsidR="002070D4" w:rsidRPr="00564D6D">
        <w:rPr>
          <w:rFonts w:asciiTheme="minorHAnsi" w:hAnsiTheme="minorHAnsi" w:cstheme="minorHAnsi"/>
          <w:sz w:val="24"/>
          <w:szCs w:val="24"/>
        </w:rPr>
        <w:t xml:space="preserve"> and neighbourhood level</w:t>
      </w:r>
      <w:r w:rsidR="00D25EDD" w:rsidRPr="00564D6D">
        <w:rPr>
          <w:rFonts w:asciiTheme="minorHAnsi" w:hAnsiTheme="minorHAnsi" w:cstheme="minorHAnsi"/>
          <w:sz w:val="24"/>
          <w:szCs w:val="24"/>
        </w:rPr>
        <w:t xml:space="preserve"> </w:t>
      </w:r>
      <w:r w:rsidR="00383036" w:rsidRPr="00564D6D">
        <w:rPr>
          <w:rFonts w:asciiTheme="minorHAnsi" w:hAnsiTheme="minorHAnsi" w:cstheme="minorHAnsi"/>
          <w:sz w:val="24"/>
          <w:szCs w:val="24"/>
        </w:rPr>
        <w:t>(</w:t>
      </w:r>
      <w:r w:rsidR="00B40CB3" w:rsidRPr="00564D6D">
        <w:rPr>
          <w:rFonts w:asciiTheme="minorHAnsi" w:hAnsiTheme="minorHAnsi" w:cstheme="minorHAnsi"/>
          <w:sz w:val="24"/>
          <w:szCs w:val="24"/>
        </w:rPr>
        <w:t>Girma and Paton, 2015; Paton and Wright, 2017)</w:t>
      </w:r>
      <w:r w:rsidR="00117175" w:rsidRPr="00564D6D">
        <w:rPr>
          <w:rFonts w:asciiTheme="minorHAnsi" w:hAnsiTheme="minorHAnsi" w:cstheme="minorHAnsi"/>
          <w:sz w:val="24"/>
          <w:szCs w:val="24"/>
        </w:rPr>
        <w:t xml:space="preserve">. </w:t>
      </w:r>
      <w:r w:rsidR="008E4897" w:rsidRPr="00564D6D">
        <w:rPr>
          <w:rFonts w:asciiTheme="minorHAnsi" w:hAnsiTheme="minorHAnsi" w:cstheme="minorHAnsi"/>
          <w:sz w:val="24"/>
          <w:szCs w:val="24"/>
        </w:rPr>
        <w:t>In</w:t>
      </w:r>
      <w:r w:rsidR="00117175" w:rsidRPr="00564D6D">
        <w:rPr>
          <w:rFonts w:asciiTheme="minorHAnsi" w:hAnsiTheme="minorHAnsi" w:cstheme="minorHAnsi"/>
          <w:sz w:val="24"/>
          <w:szCs w:val="24"/>
        </w:rPr>
        <w:t xml:space="preserve"> local area</w:t>
      </w:r>
      <w:r w:rsidR="008E4897" w:rsidRPr="00564D6D">
        <w:rPr>
          <w:rFonts w:asciiTheme="minorHAnsi" w:hAnsiTheme="minorHAnsi" w:cstheme="minorHAnsi"/>
          <w:sz w:val="24"/>
          <w:szCs w:val="24"/>
        </w:rPr>
        <w:t>s</w:t>
      </w:r>
      <w:r w:rsidR="00117175" w:rsidRPr="00564D6D">
        <w:rPr>
          <w:rFonts w:asciiTheme="minorHAnsi" w:hAnsiTheme="minorHAnsi" w:cstheme="minorHAnsi"/>
          <w:sz w:val="24"/>
          <w:szCs w:val="24"/>
        </w:rPr>
        <w:t xml:space="preserve">, </w:t>
      </w:r>
      <w:r w:rsidR="002B793F" w:rsidRPr="00564D6D">
        <w:rPr>
          <w:rFonts w:asciiTheme="minorHAnsi" w:hAnsiTheme="minorHAnsi" w:cstheme="minorHAnsi"/>
          <w:sz w:val="24"/>
          <w:szCs w:val="24"/>
        </w:rPr>
        <w:t xml:space="preserve">educational attainment </w:t>
      </w:r>
      <w:r w:rsidR="008E4897" w:rsidRPr="00564D6D">
        <w:rPr>
          <w:rFonts w:asciiTheme="minorHAnsi" w:hAnsiTheme="minorHAnsi" w:cstheme="minorHAnsi"/>
          <w:sz w:val="24"/>
          <w:szCs w:val="24"/>
        </w:rPr>
        <w:t xml:space="preserve">improvements </w:t>
      </w:r>
      <w:r w:rsidR="002B793F" w:rsidRPr="00564D6D">
        <w:rPr>
          <w:rFonts w:asciiTheme="minorHAnsi" w:hAnsiTheme="minorHAnsi" w:cstheme="minorHAnsi"/>
          <w:sz w:val="24"/>
          <w:szCs w:val="24"/>
        </w:rPr>
        <w:t xml:space="preserve">were found to be the </w:t>
      </w:r>
      <w:r w:rsidR="00F70FD0" w:rsidRPr="00564D6D">
        <w:rPr>
          <w:rFonts w:asciiTheme="minorHAnsi" w:hAnsiTheme="minorHAnsi" w:cstheme="minorHAnsi"/>
          <w:sz w:val="24"/>
          <w:szCs w:val="24"/>
        </w:rPr>
        <w:t xml:space="preserve">biggest predictor of </w:t>
      </w:r>
      <w:r w:rsidR="002B793F" w:rsidRPr="00564D6D">
        <w:rPr>
          <w:rFonts w:asciiTheme="minorHAnsi" w:hAnsiTheme="minorHAnsi" w:cstheme="minorHAnsi"/>
          <w:sz w:val="24"/>
          <w:szCs w:val="24"/>
        </w:rPr>
        <w:t>a drop in teenage conception rates</w:t>
      </w:r>
      <w:r w:rsidR="002070D4" w:rsidRPr="00564D6D">
        <w:rPr>
          <w:rFonts w:asciiTheme="minorHAnsi" w:hAnsiTheme="minorHAnsi" w:cstheme="minorHAnsi"/>
          <w:sz w:val="24"/>
          <w:szCs w:val="24"/>
        </w:rPr>
        <w:t xml:space="preserve"> in the period </w:t>
      </w:r>
      <w:r w:rsidR="00B86B9C" w:rsidRPr="00564D6D">
        <w:rPr>
          <w:rFonts w:asciiTheme="minorHAnsi" w:hAnsiTheme="minorHAnsi" w:cstheme="minorHAnsi"/>
          <w:sz w:val="24"/>
          <w:szCs w:val="24"/>
        </w:rPr>
        <w:t>2004</w:t>
      </w:r>
      <w:r w:rsidR="002070D4" w:rsidRPr="00564D6D">
        <w:rPr>
          <w:rFonts w:asciiTheme="minorHAnsi" w:hAnsiTheme="minorHAnsi" w:cstheme="minorHAnsi"/>
          <w:sz w:val="24"/>
          <w:szCs w:val="24"/>
        </w:rPr>
        <w:t xml:space="preserve"> to </w:t>
      </w:r>
      <w:r w:rsidR="00B86B9C" w:rsidRPr="00564D6D">
        <w:rPr>
          <w:rFonts w:asciiTheme="minorHAnsi" w:hAnsiTheme="minorHAnsi" w:cstheme="minorHAnsi"/>
          <w:sz w:val="24"/>
          <w:szCs w:val="24"/>
        </w:rPr>
        <w:t>2012</w:t>
      </w:r>
      <w:r w:rsidR="00867024" w:rsidRPr="00564D6D">
        <w:rPr>
          <w:rFonts w:asciiTheme="minorHAnsi" w:hAnsiTheme="minorHAnsi" w:cstheme="minorHAnsi"/>
          <w:sz w:val="24"/>
          <w:szCs w:val="24"/>
        </w:rPr>
        <w:t xml:space="preserve"> (Girma and Paton, 2015)</w:t>
      </w:r>
      <w:r w:rsidR="002B793F" w:rsidRPr="00564D6D">
        <w:rPr>
          <w:rFonts w:asciiTheme="minorHAnsi" w:hAnsiTheme="minorHAnsi" w:cstheme="minorHAnsi"/>
          <w:sz w:val="24"/>
          <w:szCs w:val="24"/>
        </w:rPr>
        <w:t xml:space="preserve">. Individuals attending schools with lower performance in results at age 15/16 </w:t>
      </w:r>
      <w:r w:rsidR="00867024" w:rsidRPr="00564D6D">
        <w:rPr>
          <w:rFonts w:asciiTheme="minorHAnsi" w:hAnsiTheme="minorHAnsi" w:cstheme="minorHAnsi"/>
          <w:sz w:val="24"/>
          <w:szCs w:val="24"/>
        </w:rPr>
        <w:t xml:space="preserve">have been </w:t>
      </w:r>
      <w:r w:rsidR="002B793F" w:rsidRPr="00564D6D">
        <w:rPr>
          <w:rFonts w:asciiTheme="minorHAnsi" w:hAnsiTheme="minorHAnsi" w:cstheme="minorHAnsi"/>
          <w:sz w:val="24"/>
          <w:szCs w:val="24"/>
        </w:rPr>
        <w:t>found to have greater odds of</w:t>
      </w:r>
      <w:r w:rsidR="00FE198A" w:rsidRPr="00564D6D">
        <w:rPr>
          <w:rFonts w:asciiTheme="minorHAnsi" w:hAnsiTheme="minorHAnsi" w:cstheme="minorHAnsi"/>
          <w:sz w:val="24"/>
          <w:szCs w:val="24"/>
        </w:rPr>
        <w:t xml:space="preserve"> conceiving </w:t>
      </w:r>
      <w:r w:rsidR="00F70FD0" w:rsidRPr="00564D6D">
        <w:rPr>
          <w:rFonts w:asciiTheme="minorHAnsi" w:hAnsiTheme="minorHAnsi" w:cstheme="minorHAnsi"/>
          <w:sz w:val="24"/>
          <w:szCs w:val="24"/>
        </w:rPr>
        <w:lastRenderedPageBreak/>
        <w:t xml:space="preserve">by </w:t>
      </w:r>
      <w:r w:rsidR="002B793F" w:rsidRPr="00564D6D">
        <w:rPr>
          <w:rFonts w:asciiTheme="minorHAnsi" w:hAnsiTheme="minorHAnsi" w:cstheme="minorHAnsi"/>
          <w:sz w:val="24"/>
          <w:szCs w:val="24"/>
        </w:rPr>
        <w:t>age 16 even after accounting for individual attainment</w:t>
      </w:r>
      <w:r w:rsidR="00867024" w:rsidRPr="00564D6D">
        <w:rPr>
          <w:rFonts w:asciiTheme="minorHAnsi" w:hAnsiTheme="minorHAnsi" w:cstheme="minorHAnsi"/>
          <w:sz w:val="24"/>
          <w:szCs w:val="24"/>
        </w:rPr>
        <w:t xml:space="preserve"> (Crawford et al., 2013)</w:t>
      </w:r>
      <w:r w:rsidR="002B793F" w:rsidRPr="00564D6D">
        <w:rPr>
          <w:rFonts w:asciiTheme="minorHAnsi" w:hAnsiTheme="minorHAnsi" w:cstheme="minorHAnsi"/>
          <w:sz w:val="24"/>
          <w:szCs w:val="24"/>
        </w:rPr>
        <w:t>.</w:t>
      </w:r>
      <w:r w:rsidR="002C359D" w:rsidRPr="00564D6D">
        <w:rPr>
          <w:rFonts w:asciiTheme="minorHAnsi" w:hAnsiTheme="minorHAnsi" w:cstheme="minorHAnsi"/>
          <w:sz w:val="24"/>
          <w:szCs w:val="24"/>
        </w:rPr>
        <w:t xml:space="preserve"> However, </w:t>
      </w:r>
      <w:r w:rsidR="00EB3545" w:rsidRPr="00564D6D">
        <w:rPr>
          <w:rFonts w:asciiTheme="minorHAnsi" w:hAnsiTheme="minorHAnsi" w:cstheme="minorHAnsi"/>
          <w:sz w:val="24"/>
          <w:szCs w:val="24"/>
        </w:rPr>
        <w:t xml:space="preserve">the </w:t>
      </w:r>
      <w:r w:rsidR="002C359D" w:rsidRPr="00564D6D">
        <w:rPr>
          <w:rFonts w:asciiTheme="minorHAnsi" w:hAnsiTheme="minorHAnsi" w:cstheme="minorHAnsi"/>
          <w:sz w:val="24"/>
          <w:szCs w:val="24"/>
        </w:rPr>
        <w:t>individual</w:t>
      </w:r>
      <w:r w:rsidR="006507B0" w:rsidRPr="00564D6D">
        <w:rPr>
          <w:rFonts w:asciiTheme="minorHAnsi" w:hAnsiTheme="minorHAnsi" w:cstheme="minorHAnsi"/>
          <w:sz w:val="24"/>
          <w:szCs w:val="24"/>
        </w:rPr>
        <w:t>-</w:t>
      </w:r>
      <w:r w:rsidR="002C359D" w:rsidRPr="00564D6D">
        <w:rPr>
          <w:rFonts w:asciiTheme="minorHAnsi" w:hAnsiTheme="minorHAnsi" w:cstheme="minorHAnsi"/>
          <w:sz w:val="24"/>
          <w:szCs w:val="24"/>
        </w:rPr>
        <w:t xml:space="preserve">level </w:t>
      </w:r>
      <w:r w:rsidR="00E27E7D" w:rsidRPr="00564D6D">
        <w:rPr>
          <w:rFonts w:asciiTheme="minorHAnsi" w:hAnsiTheme="minorHAnsi" w:cstheme="minorHAnsi"/>
          <w:sz w:val="24"/>
          <w:szCs w:val="24"/>
        </w:rPr>
        <w:t>National Survey of Sexual Attitudes and Lifestyles</w:t>
      </w:r>
      <w:r w:rsidR="002C359D" w:rsidRPr="00564D6D">
        <w:rPr>
          <w:rFonts w:asciiTheme="minorHAnsi" w:hAnsiTheme="minorHAnsi" w:cstheme="minorHAnsi"/>
          <w:sz w:val="24"/>
          <w:szCs w:val="24"/>
        </w:rPr>
        <w:t xml:space="preserve"> </w:t>
      </w:r>
      <w:r w:rsidR="0016785B" w:rsidRPr="00564D6D">
        <w:rPr>
          <w:rFonts w:asciiTheme="minorHAnsi" w:hAnsiTheme="minorHAnsi" w:cstheme="minorHAnsi"/>
          <w:sz w:val="24"/>
          <w:szCs w:val="24"/>
        </w:rPr>
        <w:t>data suggested</w:t>
      </w:r>
      <w:r w:rsidR="002C359D" w:rsidRPr="00564D6D">
        <w:rPr>
          <w:rFonts w:asciiTheme="minorHAnsi" w:hAnsiTheme="minorHAnsi" w:cstheme="minorHAnsi"/>
          <w:sz w:val="24"/>
          <w:szCs w:val="24"/>
        </w:rPr>
        <w:t xml:space="preserve"> a weakening relationship between educational attainment and the likelihood of </w:t>
      </w:r>
      <w:r w:rsidR="00803403" w:rsidRPr="00564D6D">
        <w:rPr>
          <w:rFonts w:asciiTheme="minorHAnsi" w:hAnsiTheme="minorHAnsi" w:cstheme="minorHAnsi"/>
          <w:sz w:val="24"/>
          <w:szCs w:val="24"/>
        </w:rPr>
        <w:t xml:space="preserve">teenagers experiencing a conception </w:t>
      </w:r>
      <w:r w:rsidR="0015051E" w:rsidRPr="00564D6D">
        <w:rPr>
          <w:rFonts w:asciiTheme="minorHAnsi" w:hAnsiTheme="minorHAnsi" w:cstheme="minorHAnsi"/>
          <w:sz w:val="24"/>
          <w:szCs w:val="24"/>
        </w:rPr>
        <w:t>between 1999-2001 and 2010-2012</w:t>
      </w:r>
      <w:r w:rsidR="003F2D10" w:rsidRPr="00564D6D">
        <w:rPr>
          <w:rFonts w:asciiTheme="minorHAnsi" w:hAnsiTheme="minorHAnsi" w:cstheme="minorHAnsi"/>
          <w:sz w:val="24"/>
          <w:szCs w:val="24"/>
        </w:rPr>
        <w:t xml:space="preserve"> </w:t>
      </w:r>
      <w:r w:rsidR="00E2120C" w:rsidRPr="00564D6D">
        <w:rPr>
          <w:rFonts w:asciiTheme="minorHAnsi" w:hAnsiTheme="minorHAnsi" w:cstheme="minorHAnsi"/>
          <w:sz w:val="24"/>
          <w:szCs w:val="24"/>
        </w:rPr>
        <w:t>(Wellings et al., 2016)</w:t>
      </w:r>
      <w:r w:rsidR="003F2D10" w:rsidRPr="00564D6D">
        <w:rPr>
          <w:rFonts w:asciiTheme="minorHAnsi" w:hAnsiTheme="minorHAnsi" w:cstheme="minorHAnsi"/>
          <w:sz w:val="24"/>
          <w:szCs w:val="24"/>
        </w:rPr>
        <w:t>.</w:t>
      </w:r>
    </w:p>
    <w:p w14:paraId="1B16E6A7" w14:textId="530A0CAC" w:rsidR="002B793F" w:rsidRPr="00624EA4" w:rsidRDefault="002B793F" w:rsidP="00CD0462">
      <w:pPr>
        <w:rPr>
          <w:rFonts w:asciiTheme="minorHAnsi" w:hAnsiTheme="minorHAnsi" w:cstheme="minorHAnsi"/>
          <w:sz w:val="24"/>
          <w:szCs w:val="24"/>
        </w:rPr>
      </w:pPr>
      <w:r w:rsidRPr="00564D6D">
        <w:rPr>
          <w:rFonts w:asciiTheme="minorHAnsi" w:hAnsiTheme="minorHAnsi" w:cstheme="minorHAnsi"/>
          <w:sz w:val="24"/>
          <w:szCs w:val="24"/>
        </w:rPr>
        <w:t xml:space="preserve">A number of studies have attempted to quantify the impact of the 10-year governmental Teenage Pregnancy Strategy (TPS), which aimed to halve under-18 conception </w:t>
      </w:r>
      <w:r w:rsidR="00042797" w:rsidRPr="00564D6D">
        <w:rPr>
          <w:rFonts w:asciiTheme="minorHAnsi" w:hAnsiTheme="minorHAnsi" w:cstheme="minorHAnsi"/>
          <w:sz w:val="24"/>
          <w:szCs w:val="24"/>
        </w:rPr>
        <w:t xml:space="preserve">rates in England </w:t>
      </w:r>
      <w:r w:rsidRPr="00564D6D">
        <w:rPr>
          <w:rFonts w:asciiTheme="minorHAnsi" w:hAnsiTheme="minorHAnsi" w:cstheme="minorHAnsi"/>
          <w:sz w:val="24"/>
          <w:szCs w:val="24"/>
        </w:rPr>
        <w:t>by 2010</w:t>
      </w:r>
      <w:r w:rsidR="00A10315" w:rsidRPr="00564D6D">
        <w:rPr>
          <w:rFonts w:asciiTheme="minorHAnsi" w:hAnsiTheme="minorHAnsi" w:cstheme="minorHAnsi"/>
          <w:sz w:val="24"/>
          <w:szCs w:val="24"/>
        </w:rPr>
        <w:t xml:space="preserve"> by a national</w:t>
      </w:r>
      <w:r w:rsidR="00853B03" w:rsidRPr="00564D6D">
        <w:rPr>
          <w:rFonts w:asciiTheme="minorHAnsi" w:hAnsiTheme="minorHAnsi" w:cstheme="minorHAnsi"/>
          <w:sz w:val="24"/>
          <w:szCs w:val="24"/>
        </w:rPr>
        <w:t xml:space="preserve"> and local</w:t>
      </w:r>
      <w:r w:rsidR="00A10315" w:rsidRPr="00564D6D">
        <w:rPr>
          <w:rFonts w:asciiTheme="minorHAnsi" w:hAnsiTheme="minorHAnsi" w:cstheme="minorHAnsi"/>
          <w:sz w:val="24"/>
          <w:szCs w:val="24"/>
        </w:rPr>
        <w:t xml:space="preserve"> joined-up strategy aimed to improve access to contraception and sex and relationships education alongside a communications campaign for </w:t>
      </w:r>
      <w:r w:rsidR="00853B03" w:rsidRPr="00564D6D">
        <w:rPr>
          <w:rFonts w:asciiTheme="minorHAnsi" w:hAnsiTheme="minorHAnsi" w:cstheme="minorHAnsi"/>
          <w:sz w:val="24"/>
          <w:szCs w:val="24"/>
        </w:rPr>
        <w:t>young people</w:t>
      </w:r>
      <w:r w:rsidR="00A10315" w:rsidRPr="00564D6D">
        <w:rPr>
          <w:rFonts w:asciiTheme="minorHAnsi" w:hAnsiTheme="minorHAnsi" w:cstheme="minorHAnsi"/>
          <w:sz w:val="24"/>
          <w:szCs w:val="24"/>
        </w:rPr>
        <w:t xml:space="preserve"> and </w:t>
      </w:r>
      <w:r w:rsidR="00853B03" w:rsidRPr="00564D6D">
        <w:rPr>
          <w:rFonts w:asciiTheme="minorHAnsi" w:hAnsiTheme="minorHAnsi" w:cstheme="minorHAnsi"/>
          <w:sz w:val="24"/>
          <w:szCs w:val="24"/>
        </w:rPr>
        <w:t xml:space="preserve">their </w:t>
      </w:r>
      <w:r w:rsidR="00A10315" w:rsidRPr="00564D6D">
        <w:rPr>
          <w:rFonts w:asciiTheme="minorHAnsi" w:hAnsiTheme="minorHAnsi" w:cstheme="minorHAnsi"/>
          <w:sz w:val="24"/>
          <w:szCs w:val="24"/>
        </w:rPr>
        <w:t>parents</w:t>
      </w:r>
      <w:r w:rsidR="00853B03" w:rsidRPr="00564D6D">
        <w:rPr>
          <w:rFonts w:asciiTheme="minorHAnsi" w:hAnsiTheme="minorHAnsi" w:cstheme="minorHAnsi"/>
          <w:sz w:val="24"/>
          <w:szCs w:val="24"/>
        </w:rPr>
        <w:t xml:space="preserve"> (Author, 2016)</w:t>
      </w:r>
      <w:r w:rsidRPr="00564D6D">
        <w:rPr>
          <w:rFonts w:asciiTheme="minorHAnsi" w:hAnsiTheme="minorHAnsi" w:cstheme="minorHAnsi"/>
          <w:sz w:val="24"/>
          <w:szCs w:val="24"/>
        </w:rPr>
        <w:t xml:space="preserve">. </w:t>
      </w:r>
      <w:r w:rsidR="009239C1" w:rsidRPr="003D099F">
        <w:rPr>
          <w:rFonts w:asciiTheme="minorHAnsi" w:hAnsiTheme="minorHAnsi" w:cstheme="minorHAnsi"/>
          <w:sz w:val="24"/>
          <w:szCs w:val="24"/>
        </w:rPr>
        <w:t>A</w:t>
      </w:r>
      <w:r w:rsidR="002117EF" w:rsidRPr="003D099F">
        <w:rPr>
          <w:rFonts w:asciiTheme="minorHAnsi" w:hAnsiTheme="minorHAnsi" w:cstheme="minorHAnsi"/>
          <w:sz w:val="24"/>
          <w:szCs w:val="24"/>
        </w:rPr>
        <w:t>uthors hav</w:t>
      </w:r>
      <w:r w:rsidR="002117EF" w:rsidRPr="009C4969">
        <w:rPr>
          <w:rFonts w:asciiTheme="minorHAnsi" w:hAnsiTheme="minorHAnsi" w:cstheme="minorHAnsi"/>
          <w:sz w:val="24"/>
          <w:szCs w:val="24"/>
        </w:rPr>
        <w:t xml:space="preserve">e suggested that the declines in under-18 </w:t>
      </w:r>
      <w:r w:rsidR="002117EF" w:rsidRPr="00682940">
        <w:rPr>
          <w:rFonts w:asciiTheme="minorHAnsi" w:hAnsiTheme="minorHAnsi" w:cstheme="minorHAnsi"/>
          <w:sz w:val="24"/>
          <w:szCs w:val="24"/>
        </w:rPr>
        <w:t>conception rates were greater</w:t>
      </w:r>
      <w:r w:rsidR="002B0B46" w:rsidRPr="005851B6">
        <w:rPr>
          <w:rFonts w:asciiTheme="minorHAnsi" w:hAnsiTheme="minorHAnsi" w:cstheme="minorHAnsi"/>
          <w:sz w:val="24"/>
          <w:szCs w:val="24"/>
        </w:rPr>
        <w:t xml:space="preserve"> </w:t>
      </w:r>
      <w:r w:rsidR="002117EF" w:rsidRPr="00564D6D">
        <w:rPr>
          <w:rFonts w:asciiTheme="minorHAnsi" w:hAnsiTheme="minorHAnsi" w:cstheme="minorHAnsi"/>
          <w:sz w:val="24"/>
          <w:szCs w:val="24"/>
        </w:rPr>
        <w:t>in areas receiving more TPS funding</w:t>
      </w:r>
      <w:r w:rsidR="00850240" w:rsidRPr="00564D6D">
        <w:rPr>
          <w:rFonts w:asciiTheme="minorHAnsi" w:hAnsiTheme="minorHAnsi" w:cstheme="minorHAnsi"/>
          <w:sz w:val="24"/>
          <w:szCs w:val="24"/>
        </w:rPr>
        <w:t xml:space="preserve"> </w:t>
      </w:r>
      <w:r w:rsidR="00383036" w:rsidRPr="00624EA4">
        <w:rPr>
          <w:rFonts w:asciiTheme="minorHAnsi" w:hAnsiTheme="minorHAnsi" w:cstheme="minorHAnsi"/>
          <w:sz w:val="24"/>
          <w:szCs w:val="24"/>
        </w:rPr>
        <w:t>(</w:t>
      </w:r>
      <w:r w:rsidR="004126A5" w:rsidRPr="00624EA4">
        <w:rPr>
          <w:rFonts w:asciiTheme="minorHAnsi" w:hAnsiTheme="minorHAnsi" w:cstheme="minorHAnsi"/>
          <w:sz w:val="24"/>
          <w:szCs w:val="24"/>
        </w:rPr>
        <w:t xml:space="preserve">Paton and Wright, 2017; Wellings et al., 2016; </w:t>
      </w:r>
      <w:r w:rsidR="0012647F" w:rsidRPr="00624EA4">
        <w:rPr>
          <w:rFonts w:asciiTheme="minorHAnsi" w:hAnsiTheme="minorHAnsi" w:cstheme="minorHAnsi"/>
          <w:sz w:val="24"/>
          <w:szCs w:val="24"/>
        </w:rPr>
        <w:t>Wilkinson et al., 2006)</w:t>
      </w:r>
      <w:r w:rsidR="00914B53" w:rsidRPr="00624EA4">
        <w:rPr>
          <w:rFonts w:asciiTheme="minorHAnsi" w:hAnsiTheme="minorHAnsi" w:cstheme="minorHAnsi"/>
          <w:sz w:val="24"/>
          <w:szCs w:val="24"/>
        </w:rPr>
        <w:t>.</w:t>
      </w:r>
      <w:r w:rsidR="002117EF" w:rsidRPr="00624EA4">
        <w:rPr>
          <w:rFonts w:asciiTheme="minorHAnsi" w:hAnsiTheme="minorHAnsi" w:cstheme="minorHAnsi"/>
          <w:sz w:val="24"/>
          <w:szCs w:val="24"/>
        </w:rPr>
        <w:t xml:space="preserve"> </w:t>
      </w:r>
      <w:r w:rsidR="00042797" w:rsidRPr="00624EA4">
        <w:rPr>
          <w:rFonts w:asciiTheme="minorHAnsi" w:hAnsiTheme="minorHAnsi" w:cstheme="minorHAnsi"/>
          <w:sz w:val="24"/>
          <w:szCs w:val="24"/>
        </w:rPr>
        <w:t xml:space="preserve">However, </w:t>
      </w:r>
      <w:r w:rsidR="00D364D0" w:rsidRPr="00624EA4">
        <w:rPr>
          <w:rFonts w:asciiTheme="minorHAnsi" w:hAnsiTheme="minorHAnsi" w:cstheme="minorHAnsi"/>
          <w:sz w:val="24"/>
          <w:szCs w:val="24"/>
        </w:rPr>
        <w:t>we argue that it is not possible</w:t>
      </w:r>
      <w:r w:rsidR="00042797" w:rsidRPr="00624EA4">
        <w:rPr>
          <w:rFonts w:asciiTheme="minorHAnsi" w:hAnsiTheme="minorHAnsi" w:cstheme="minorHAnsi"/>
          <w:sz w:val="24"/>
          <w:szCs w:val="24"/>
        </w:rPr>
        <w:t xml:space="preserve"> to </w:t>
      </w:r>
      <w:r w:rsidR="00D364D0" w:rsidRPr="00624EA4">
        <w:rPr>
          <w:rFonts w:asciiTheme="minorHAnsi" w:hAnsiTheme="minorHAnsi" w:cstheme="minorHAnsi"/>
          <w:sz w:val="24"/>
          <w:szCs w:val="24"/>
        </w:rPr>
        <w:t xml:space="preserve">precisely </w:t>
      </w:r>
      <w:r w:rsidR="00042797" w:rsidRPr="00624EA4">
        <w:rPr>
          <w:rFonts w:asciiTheme="minorHAnsi" w:hAnsiTheme="minorHAnsi" w:cstheme="minorHAnsi"/>
          <w:sz w:val="24"/>
          <w:szCs w:val="24"/>
        </w:rPr>
        <w:t xml:space="preserve">attribute reductions to the strategy for </w:t>
      </w:r>
      <w:r w:rsidR="006507B0" w:rsidRPr="00624EA4">
        <w:rPr>
          <w:rFonts w:asciiTheme="minorHAnsi" w:hAnsiTheme="minorHAnsi" w:cstheme="minorHAnsi"/>
          <w:sz w:val="24"/>
          <w:szCs w:val="24"/>
        </w:rPr>
        <w:t>several</w:t>
      </w:r>
      <w:r w:rsidR="00042797" w:rsidRPr="00624EA4">
        <w:rPr>
          <w:rFonts w:asciiTheme="minorHAnsi" w:hAnsiTheme="minorHAnsi" w:cstheme="minorHAnsi"/>
          <w:sz w:val="24"/>
          <w:szCs w:val="24"/>
        </w:rPr>
        <w:t xml:space="preserve"> reasons: Firstly</w:t>
      </w:r>
      <w:r w:rsidR="0058277D" w:rsidRPr="00624EA4">
        <w:rPr>
          <w:rFonts w:asciiTheme="minorHAnsi" w:hAnsiTheme="minorHAnsi" w:cstheme="minorHAnsi"/>
          <w:sz w:val="24"/>
          <w:szCs w:val="24"/>
        </w:rPr>
        <w:t>,</w:t>
      </w:r>
      <w:r w:rsidR="00042797" w:rsidRPr="00624EA4">
        <w:rPr>
          <w:rFonts w:asciiTheme="minorHAnsi" w:hAnsiTheme="minorHAnsi" w:cstheme="minorHAnsi"/>
          <w:sz w:val="24"/>
          <w:szCs w:val="24"/>
        </w:rPr>
        <w:t xml:space="preserve"> a</w:t>
      </w:r>
      <w:r w:rsidRPr="00624EA4">
        <w:rPr>
          <w:rFonts w:asciiTheme="minorHAnsi" w:hAnsiTheme="minorHAnsi" w:cstheme="minorHAnsi"/>
          <w:sz w:val="24"/>
          <w:szCs w:val="24"/>
        </w:rPr>
        <w:t xml:space="preserve">reas with higher </w:t>
      </w:r>
      <w:r w:rsidR="005222D0" w:rsidRPr="00624EA4">
        <w:rPr>
          <w:rFonts w:asciiTheme="minorHAnsi" w:hAnsiTheme="minorHAnsi" w:cstheme="minorHAnsi"/>
          <w:sz w:val="24"/>
          <w:szCs w:val="24"/>
        </w:rPr>
        <w:t>initial l</w:t>
      </w:r>
      <w:r w:rsidRPr="00624EA4">
        <w:rPr>
          <w:rFonts w:asciiTheme="minorHAnsi" w:hAnsiTheme="minorHAnsi" w:cstheme="minorHAnsi"/>
          <w:sz w:val="24"/>
          <w:szCs w:val="24"/>
        </w:rPr>
        <w:t xml:space="preserve">evels of under-18 conception rates, </w:t>
      </w:r>
      <w:r w:rsidR="002B0B46" w:rsidRPr="00624EA4">
        <w:rPr>
          <w:rFonts w:asciiTheme="minorHAnsi" w:hAnsiTheme="minorHAnsi" w:cstheme="minorHAnsi"/>
          <w:sz w:val="24"/>
          <w:szCs w:val="24"/>
        </w:rPr>
        <w:t>and/</w:t>
      </w:r>
      <w:r w:rsidRPr="00624EA4">
        <w:rPr>
          <w:rFonts w:asciiTheme="minorHAnsi" w:hAnsiTheme="minorHAnsi" w:cstheme="minorHAnsi"/>
          <w:sz w:val="24"/>
          <w:szCs w:val="24"/>
        </w:rPr>
        <w:t>or greater numbers of teenagers, received higher amounts of TPS funding grants</w:t>
      </w:r>
      <w:r w:rsidR="003407A4" w:rsidRPr="00624EA4">
        <w:rPr>
          <w:rFonts w:asciiTheme="minorHAnsi" w:hAnsiTheme="minorHAnsi" w:cstheme="minorHAnsi"/>
          <w:sz w:val="24"/>
          <w:szCs w:val="24"/>
        </w:rPr>
        <w:t xml:space="preserve"> </w:t>
      </w:r>
      <w:r w:rsidR="0012647F" w:rsidRPr="00624EA4">
        <w:rPr>
          <w:rFonts w:asciiTheme="minorHAnsi" w:hAnsiTheme="minorHAnsi" w:cstheme="minorHAnsi"/>
          <w:sz w:val="24"/>
          <w:szCs w:val="24"/>
        </w:rPr>
        <w:t>(</w:t>
      </w:r>
      <w:r w:rsidR="00EF1701" w:rsidRPr="00624EA4">
        <w:rPr>
          <w:rFonts w:asciiTheme="minorHAnsi" w:hAnsiTheme="minorHAnsi" w:cstheme="minorHAnsi"/>
          <w:sz w:val="24"/>
          <w:szCs w:val="24"/>
        </w:rPr>
        <w:t xml:space="preserve">Author </w:t>
      </w:r>
      <w:r w:rsidR="0012647F" w:rsidRPr="00624EA4">
        <w:rPr>
          <w:rFonts w:asciiTheme="minorHAnsi" w:hAnsiTheme="minorHAnsi" w:cstheme="minorHAnsi"/>
          <w:sz w:val="24"/>
          <w:szCs w:val="24"/>
        </w:rPr>
        <w:t xml:space="preserve">et al., </w:t>
      </w:r>
      <w:r w:rsidR="00570A9F" w:rsidRPr="00624EA4">
        <w:rPr>
          <w:rFonts w:asciiTheme="minorHAnsi" w:hAnsiTheme="minorHAnsi" w:cstheme="minorHAnsi"/>
          <w:sz w:val="24"/>
          <w:szCs w:val="24"/>
        </w:rPr>
        <w:t>2017)</w:t>
      </w:r>
      <w:r w:rsidR="003407A4" w:rsidRPr="00624EA4">
        <w:rPr>
          <w:rFonts w:asciiTheme="minorHAnsi" w:hAnsiTheme="minorHAnsi" w:cstheme="minorHAnsi"/>
          <w:sz w:val="24"/>
          <w:szCs w:val="24"/>
        </w:rPr>
        <w:t>.</w:t>
      </w:r>
      <w:r w:rsidRPr="00624EA4">
        <w:rPr>
          <w:rFonts w:asciiTheme="minorHAnsi" w:hAnsiTheme="minorHAnsi" w:cstheme="minorHAnsi"/>
          <w:sz w:val="24"/>
          <w:szCs w:val="24"/>
        </w:rPr>
        <w:t xml:space="preserve"> </w:t>
      </w:r>
      <w:r w:rsidR="00042797" w:rsidRPr="00624EA4">
        <w:rPr>
          <w:rFonts w:asciiTheme="minorHAnsi" w:hAnsiTheme="minorHAnsi" w:cstheme="minorHAnsi"/>
          <w:sz w:val="24"/>
          <w:szCs w:val="24"/>
        </w:rPr>
        <w:t>Furthermore, h</w:t>
      </w:r>
      <w:r w:rsidRPr="00624EA4">
        <w:rPr>
          <w:rFonts w:asciiTheme="minorHAnsi" w:hAnsiTheme="minorHAnsi" w:cstheme="minorHAnsi"/>
          <w:sz w:val="24"/>
          <w:szCs w:val="24"/>
        </w:rPr>
        <w:t xml:space="preserve">igh conception rate areas </w:t>
      </w:r>
      <w:r w:rsidR="006B3C18" w:rsidRPr="00624EA4">
        <w:rPr>
          <w:rFonts w:asciiTheme="minorHAnsi" w:hAnsiTheme="minorHAnsi" w:cstheme="minorHAnsi"/>
          <w:sz w:val="24"/>
          <w:szCs w:val="24"/>
        </w:rPr>
        <w:t>with</w:t>
      </w:r>
      <w:r w:rsidRPr="00624EA4">
        <w:rPr>
          <w:rFonts w:asciiTheme="minorHAnsi" w:hAnsiTheme="minorHAnsi" w:cstheme="minorHAnsi"/>
          <w:sz w:val="24"/>
          <w:szCs w:val="24"/>
        </w:rPr>
        <w:t xml:space="preserve"> slower declines </w:t>
      </w:r>
      <w:r w:rsidR="00560ED0" w:rsidRPr="00624EA4">
        <w:rPr>
          <w:rFonts w:asciiTheme="minorHAnsi" w:hAnsiTheme="minorHAnsi" w:cstheme="minorHAnsi"/>
          <w:sz w:val="24"/>
          <w:szCs w:val="24"/>
        </w:rPr>
        <w:t xml:space="preserve">during </w:t>
      </w:r>
      <w:r w:rsidRPr="00624EA4">
        <w:rPr>
          <w:rFonts w:asciiTheme="minorHAnsi" w:hAnsiTheme="minorHAnsi" w:cstheme="minorHAnsi"/>
          <w:sz w:val="24"/>
          <w:szCs w:val="24"/>
        </w:rPr>
        <w:t xml:space="preserve">the first half of the TPS received additional funding </w:t>
      </w:r>
      <w:r w:rsidR="002911A7" w:rsidRPr="00624EA4">
        <w:rPr>
          <w:rFonts w:asciiTheme="minorHAnsi" w:hAnsiTheme="minorHAnsi" w:cstheme="minorHAnsi"/>
          <w:sz w:val="24"/>
          <w:szCs w:val="24"/>
        </w:rPr>
        <w:t xml:space="preserve">after </w:t>
      </w:r>
      <w:r w:rsidRPr="00624EA4">
        <w:rPr>
          <w:rFonts w:asciiTheme="minorHAnsi" w:hAnsiTheme="minorHAnsi" w:cstheme="minorHAnsi"/>
          <w:sz w:val="24"/>
          <w:szCs w:val="24"/>
        </w:rPr>
        <w:t xml:space="preserve">the mid-course review </w:t>
      </w:r>
      <w:r w:rsidR="00570A9F" w:rsidRPr="00624EA4">
        <w:rPr>
          <w:rFonts w:asciiTheme="minorHAnsi" w:hAnsiTheme="minorHAnsi" w:cstheme="minorHAnsi"/>
          <w:sz w:val="24"/>
          <w:szCs w:val="24"/>
        </w:rPr>
        <w:t>(</w:t>
      </w:r>
      <w:r w:rsidR="00EF1701" w:rsidRPr="00624EA4">
        <w:rPr>
          <w:rFonts w:asciiTheme="minorHAnsi" w:hAnsiTheme="minorHAnsi" w:cstheme="minorHAnsi"/>
          <w:sz w:val="24"/>
          <w:szCs w:val="24"/>
        </w:rPr>
        <w:t>Author</w:t>
      </w:r>
      <w:r w:rsidR="00570A9F" w:rsidRPr="00624EA4">
        <w:rPr>
          <w:rFonts w:asciiTheme="minorHAnsi" w:hAnsiTheme="minorHAnsi" w:cstheme="minorHAnsi"/>
          <w:sz w:val="24"/>
          <w:szCs w:val="24"/>
        </w:rPr>
        <w:t xml:space="preserve"> et al., 2017)</w:t>
      </w:r>
      <w:r w:rsidR="003407A4" w:rsidRPr="00624EA4">
        <w:rPr>
          <w:rFonts w:asciiTheme="minorHAnsi" w:hAnsiTheme="minorHAnsi" w:cstheme="minorHAnsi"/>
          <w:sz w:val="24"/>
          <w:szCs w:val="24"/>
        </w:rPr>
        <w:t>.</w:t>
      </w:r>
      <w:r w:rsidRPr="00624EA4">
        <w:rPr>
          <w:rFonts w:asciiTheme="minorHAnsi" w:hAnsiTheme="minorHAnsi" w:cstheme="minorHAnsi"/>
          <w:sz w:val="24"/>
          <w:szCs w:val="24"/>
        </w:rPr>
        <w:t xml:space="preserve"> </w:t>
      </w:r>
      <w:r w:rsidR="002117EF" w:rsidRPr="00624EA4">
        <w:rPr>
          <w:rFonts w:asciiTheme="minorHAnsi" w:hAnsiTheme="minorHAnsi" w:cstheme="minorHAnsi"/>
          <w:sz w:val="24"/>
          <w:szCs w:val="24"/>
        </w:rPr>
        <w:t xml:space="preserve">It is </w:t>
      </w:r>
      <w:r w:rsidR="005222D0" w:rsidRPr="00624EA4">
        <w:rPr>
          <w:rFonts w:asciiTheme="minorHAnsi" w:hAnsiTheme="minorHAnsi" w:cstheme="minorHAnsi"/>
          <w:sz w:val="24"/>
          <w:szCs w:val="24"/>
        </w:rPr>
        <w:t xml:space="preserve">therefore </w:t>
      </w:r>
      <w:r w:rsidR="002117EF" w:rsidRPr="00624EA4">
        <w:rPr>
          <w:rFonts w:asciiTheme="minorHAnsi" w:hAnsiTheme="minorHAnsi" w:cstheme="minorHAnsi"/>
          <w:sz w:val="24"/>
          <w:szCs w:val="24"/>
        </w:rPr>
        <w:t xml:space="preserve">difficult to disentangle the </w:t>
      </w:r>
      <w:r w:rsidR="005222D0" w:rsidRPr="00624EA4">
        <w:rPr>
          <w:rFonts w:asciiTheme="minorHAnsi" w:hAnsiTheme="minorHAnsi" w:cstheme="minorHAnsi"/>
          <w:sz w:val="24"/>
          <w:szCs w:val="24"/>
        </w:rPr>
        <w:t xml:space="preserve">causal </w:t>
      </w:r>
      <w:r w:rsidR="002117EF" w:rsidRPr="00624EA4">
        <w:rPr>
          <w:rFonts w:asciiTheme="minorHAnsi" w:hAnsiTheme="minorHAnsi" w:cstheme="minorHAnsi"/>
          <w:sz w:val="24"/>
          <w:szCs w:val="24"/>
        </w:rPr>
        <w:t xml:space="preserve">direction </w:t>
      </w:r>
      <w:r w:rsidR="00F634DA" w:rsidRPr="00624EA4">
        <w:rPr>
          <w:rFonts w:asciiTheme="minorHAnsi" w:hAnsiTheme="minorHAnsi" w:cstheme="minorHAnsi"/>
          <w:sz w:val="24"/>
          <w:szCs w:val="24"/>
        </w:rPr>
        <w:t>of a</w:t>
      </w:r>
      <w:r w:rsidR="002117EF" w:rsidRPr="00624EA4">
        <w:rPr>
          <w:rFonts w:asciiTheme="minorHAnsi" w:hAnsiTheme="minorHAnsi" w:cstheme="minorHAnsi"/>
          <w:sz w:val="24"/>
          <w:szCs w:val="24"/>
        </w:rPr>
        <w:t>ssociations between funding amounts and declines in teenage conceptions. Finally, the decline in teenage conception rates accelerated just at the point when the Government policy officially finished.</w:t>
      </w:r>
      <w:r w:rsidR="009239C1" w:rsidRPr="00624EA4">
        <w:rPr>
          <w:rFonts w:asciiTheme="minorHAnsi" w:hAnsiTheme="minorHAnsi" w:cstheme="minorHAnsi"/>
          <w:sz w:val="24"/>
          <w:szCs w:val="24"/>
        </w:rPr>
        <w:t xml:space="preserve"> </w:t>
      </w:r>
      <w:r w:rsidR="008D54BF" w:rsidRPr="00624EA4">
        <w:rPr>
          <w:rFonts w:asciiTheme="minorHAnsi" w:hAnsiTheme="minorHAnsi" w:cstheme="minorHAnsi"/>
          <w:sz w:val="24"/>
          <w:szCs w:val="24"/>
        </w:rPr>
        <w:t>L</w:t>
      </w:r>
      <w:r w:rsidR="009239C1" w:rsidRPr="00624EA4">
        <w:rPr>
          <w:rFonts w:asciiTheme="minorHAnsi" w:hAnsiTheme="minorHAnsi" w:cstheme="minorHAnsi"/>
          <w:sz w:val="24"/>
          <w:szCs w:val="24"/>
        </w:rPr>
        <w:t>ocal authorities</w:t>
      </w:r>
      <w:r w:rsidR="002117EF" w:rsidRPr="00624EA4">
        <w:rPr>
          <w:rFonts w:asciiTheme="minorHAnsi" w:hAnsiTheme="minorHAnsi" w:cstheme="minorHAnsi"/>
          <w:sz w:val="24"/>
          <w:szCs w:val="24"/>
        </w:rPr>
        <w:t xml:space="preserve"> </w:t>
      </w:r>
      <w:r w:rsidR="004719D0" w:rsidRPr="00624EA4">
        <w:rPr>
          <w:rFonts w:asciiTheme="minorHAnsi" w:hAnsiTheme="minorHAnsi" w:cstheme="minorHAnsi"/>
          <w:sz w:val="24"/>
          <w:szCs w:val="24"/>
        </w:rPr>
        <w:t xml:space="preserve">have taken different approaches since 2010 in the funding and nature of young adult sexual health provision which is not captured in the earlier funding figures. </w:t>
      </w:r>
      <w:r w:rsidR="002117EF" w:rsidRPr="00624EA4">
        <w:rPr>
          <w:rFonts w:asciiTheme="minorHAnsi" w:hAnsiTheme="minorHAnsi" w:cstheme="minorHAnsi"/>
          <w:sz w:val="24"/>
          <w:szCs w:val="24"/>
        </w:rPr>
        <w:t>Whilst some have argued for potential lagged effects of the policy</w:t>
      </w:r>
      <w:r w:rsidR="005C74FA" w:rsidRPr="00624EA4">
        <w:rPr>
          <w:rFonts w:asciiTheme="minorHAnsi" w:hAnsiTheme="minorHAnsi" w:cstheme="minorHAnsi"/>
          <w:sz w:val="24"/>
          <w:szCs w:val="24"/>
        </w:rPr>
        <w:t xml:space="preserve"> </w:t>
      </w:r>
      <w:r w:rsidR="00BF1546" w:rsidRPr="00624EA4">
        <w:rPr>
          <w:rFonts w:asciiTheme="minorHAnsi" w:hAnsiTheme="minorHAnsi" w:cstheme="minorHAnsi"/>
          <w:sz w:val="24"/>
          <w:szCs w:val="24"/>
        </w:rPr>
        <w:t>(</w:t>
      </w:r>
      <w:r w:rsidR="00EF1701" w:rsidRPr="00624EA4">
        <w:rPr>
          <w:rFonts w:asciiTheme="minorHAnsi" w:hAnsiTheme="minorHAnsi" w:cstheme="minorHAnsi"/>
          <w:sz w:val="24"/>
          <w:szCs w:val="24"/>
        </w:rPr>
        <w:t xml:space="preserve">Author </w:t>
      </w:r>
      <w:r w:rsidR="00BF1546" w:rsidRPr="00624EA4">
        <w:rPr>
          <w:rFonts w:asciiTheme="minorHAnsi" w:hAnsiTheme="minorHAnsi" w:cstheme="minorHAnsi"/>
          <w:sz w:val="24"/>
          <w:szCs w:val="24"/>
        </w:rPr>
        <w:t>et al., 2017)</w:t>
      </w:r>
      <w:r w:rsidR="002117EF" w:rsidRPr="00624EA4">
        <w:rPr>
          <w:rFonts w:asciiTheme="minorHAnsi" w:hAnsiTheme="minorHAnsi" w:cstheme="minorHAnsi"/>
          <w:sz w:val="24"/>
          <w:szCs w:val="24"/>
        </w:rPr>
        <w:t xml:space="preserve"> it also seems likely that these declines in teenage conception rates (which were mirrored</w:t>
      </w:r>
      <w:r w:rsidR="00786E2B" w:rsidRPr="00624EA4">
        <w:rPr>
          <w:rFonts w:asciiTheme="minorHAnsi" w:hAnsiTheme="minorHAnsi" w:cstheme="minorHAnsi"/>
          <w:sz w:val="24"/>
          <w:szCs w:val="24"/>
        </w:rPr>
        <w:t>, albeit less dramatically so,</w:t>
      </w:r>
      <w:r w:rsidR="002117EF" w:rsidRPr="00624EA4">
        <w:rPr>
          <w:rFonts w:asciiTheme="minorHAnsi" w:hAnsiTheme="minorHAnsi" w:cstheme="minorHAnsi"/>
          <w:sz w:val="24"/>
          <w:szCs w:val="24"/>
        </w:rPr>
        <w:t xml:space="preserve"> in many other high</w:t>
      </w:r>
      <w:r w:rsidR="006507B0" w:rsidRPr="00624EA4">
        <w:rPr>
          <w:rFonts w:asciiTheme="minorHAnsi" w:hAnsiTheme="minorHAnsi" w:cstheme="minorHAnsi"/>
          <w:sz w:val="24"/>
          <w:szCs w:val="24"/>
        </w:rPr>
        <w:t>-</w:t>
      </w:r>
      <w:r w:rsidR="002117EF" w:rsidRPr="00624EA4">
        <w:rPr>
          <w:rFonts w:asciiTheme="minorHAnsi" w:hAnsiTheme="minorHAnsi" w:cstheme="minorHAnsi"/>
          <w:sz w:val="24"/>
          <w:szCs w:val="24"/>
        </w:rPr>
        <w:t xml:space="preserve">income countries) could </w:t>
      </w:r>
      <w:r w:rsidRPr="00624EA4">
        <w:rPr>
          <w:rFonts w:asciiTheme="minorHAnsi" w:hAnsiTheme="minorHAnsi" w:cstheme="minorHAnsi"/>
          <w:sz w:val="24"/>
          <w:szCs w:val="24"/>
        </w:rPr>
        <w:t xml:space="preserve">also </w:t>
      </w:r>
      <w:r w:rsidR="004D386B" w:rsidRPr="00624EA4">
        <w:rPr>
          <w:rFonts w:asciiTheme="minorHAnsi" w:hAnsiTheme="minorHAnsi" w:cstheme="minorHAnsi"/>
          <w:sz w:val="24"/>
          <w:szCs w:val="24"/>
        </w:rPr>
        <w:t>be</w:t>
      </w:r>
      <w:r w:rsidR="004D386B">
        <w:rPr>
          <w:rFonts w:asciiTheme="minorHAnsi" w:hAnsiTheme="minorHAnsi" w:cstheme="minorHAnsi"/>
          <w:sz w:val="24"/>
          <w:szCs w:val="24"/>
        </w:rPr>
        <w:t>, at</w:t>
      </w:r>
      <w:r w:rsidRPr="00624EA4">
        <w:rPr>
          <w:rFonts w:asciiTheme="minorHAnsi" w:hAnsiTheme="minorHAnsi" w:cstheme="minorHAnsi"/>
          <w:sz w:val="24"/>
          <w:szCs w:val="24"/>
        </w:rPr>
        <w:t xml:space="preserve"> least partly</w:t>
      </w:r>
      <w:r w:rsidR="00A10315" w:rsidRPr="00624EA4">
        <w:rPr>
          <w:rFonts w:asciiTheme="minorHAnsi" w:hAnsiTheme="minorHAnsi" w:cstheme="minorHAnsi"/>
          <w:sz w:val="24"/>
          <w:szCs w:val="24"/>
        </w:rPr>
        <w:t>,</w:t>
      </w:r>
      <w:r w:rsidRPr="00624EA4">
        <w:rPr>
          <w:rFonts w:asciiTheme="minorHAnsi" w:hAnsiTheme="minorHAnsi" w:cstheme="minorHAnsi"/>
          <w:sz w:val="24"/>
          <w:szCs w:val="24"/>
        </w:rPr>
        <w:t xml:space="preserve"> explained by </w:t>
      </w:r>
      <w:r w:rsidR="00560ED0" w:rsidRPr="00624EA4">
        <w:rPr>
          <w:rFonts w:asciiTheme="minorHAnsi" w:hAnsiTheme="minorHAnsi" w:cstheme="minorHAnsi"/>
          <w:sz w:val="24"/>
          <w:szCs w:val="24"/>
        </w:rPr>
        <w:t>broader</w:t>
      </w:r>
      <w:r w:rsidRPr="00624EA4">
        <w:rPr>
          <w:rFonts w:asciiTheme="minorHAnsi" w:hAnsiTheme="minorHAnsi" w:cstheme="minorHAnsi"/>
          <w:sz w:val="24"/>
          <w:szCs w:val="24"/>
        </w:rPr>
        <w:t xml:space="preserve"> changes in society</w:t>
      </w:r>
      <w:r w:rsidR="00560ED0" w:rsidRPr="00624EA4">
        <w:rPr>
          <w:rFonts w:asciiTheme="minorHAnsi" w:hAnsiTheme="minorHAnsi" w:cstheme="minorHAnsi"/>
          <w:sz w:val="24"/>
          <w:szCs w:val="24"/>
        </w:rPr>
        <w:t xml:space="preserve"> </w:t>
      </w:r>
      <w:r w:rsidR="00F634DA" w:rsidRPr="00624EA4">
        <w:rPr>
          <w:rFonts w:asciiTheme="minorHAnsi" w:hAnsiTheme="minorHAnsi" w:cstheme="minorHAnsi"/>
          <w:sz w:val="24"/>
          <w:szCs w:val="24"/>
        </w:rPr>
        <w:t xml:space="preserve">beyond </w:t>
      </w:r>
      <w:r w:rsidR="00560ED0" w:rsidRPr="00624EA4">
        <w:rPr>
          <w:rFonts w:asciiTheme="minorHAnsi" w:hAnsiTheme="minorHAnsi" w:cstheme="minorHAnsi"/>
          <w:sz w:val="24"/>
          <w:szCs w:val="24"/>
        </w:rPr>
        <w:t>considering earmarked funding</w:t>
      </w:r>
      <w:r w:rsidRPr="00624EA4">
        <w:rPr>
          <w:rFonts w:asciiTheme="minorHAnsi" w:hAnsiTheme="minorHAnsi" w:cstheme="minorHAnsi"/>
          <w:sz w:val="24"/>
          <w:szCs w:val="24"/>
        </w:rPr>
        <w:t xml:space="preserve">. </w:t>
      </w:r>
    </w:p>
    <w:p w14:paraId="3BE36241" w14:textId="0C959D53" w:rsidR="003A0954" w:rsidRDefault="00E27E7D" w:rsidP="00CD0462">
      <w:pPr>
        <w:rPr>
          <w:rFonts w:asciiTheme="minorHAnsi" w:hAnsiTheme="minorHAnsi" w:cstheme="minorHAnsi"/>
          <w:sz w:val="24"/>
          <w:szCs w:val="24"/>
        </w:rPr>
      </w:pPr>
      <w:r w:rsidRPr="00624EA4">
        <w:rPr>
          <w:rFonts w:asciiTheme="minorHAnsi" w:hAnsiTheme="minorHAnsi" w:cstheme="minorHAnsi"/>
          <w:sz w:val="24"/>
          <w:szCs w:val="24"/>
        </w:rPr>
        <w:t>F</w:t>
      </w:r>
      <w:r w:rsidR="002B793F" w:rsidRPr="00624EA4">
        <w:rPr>
          <w:rFonts w:asciiTheme="minorHAnsi" w:hAnsiTheme="minorHAnsi" w:cstheme="minorHAnsi"/>
          <w:sz w:val="24"/>
          <w:szCs w:val="24"/>
        </w:rPr>
        <w:t xml:space="preserve">actors </w:t>
      </w:r>
      <w:r w:rsidR="00F16E96" w:rsidRPr="00624EA4">
        <w:rPr>
          <w:rFonts w:asciiTheme="minorHAnsi" w:hAnsiTheme="minorHAnsi" w:cstheme="minorHAnsi"/>
          <w:sz w:val="24"/>
          <w:szCs w:val="24"/>
        </w:rPr>
        <w:t xml:space="preserve">- </w:t>
      </w:r>
      <w:r w:rsidR="002B793F" w:rsidRPr="00624EA4">
        <w:rPr>
          <w:rFonts w:asciiTheme="minorHAnsi" w:hAnsiTheme="minorHAnsi" w:cstheme="minorHAnsi"/>
          <w:sz w:val="24"/>
          <w:szCs w:val="24"/>
        </w:rPr>
        <w:t>such as increased education</w:t>
      </w:r>
      <w:r w:rsidR="00F16E96" w:rsidRPr="00624EA4">
        <w:rPr>
          <w:rFonts w:asciiTheme="minorHAnsi" w:hAnsiTheme="minorHAnsi" w:cstheme="minorHAnsi"/>
          <w:sz w:val="24"/>
          <w:szCs w:val="24"/>
        </w:rPr>
        <w:t xml:space="preserve"> </w:t>
      </w:r>
      <w:r w:rsidR="00AC2DDA" w:rsidRPr="00624EA4">
        <w:rPr>
          <w:rFonts w:asciiTheme="minorHAnsi" w:hAnsiTheme="minorHAnsi" w:cstheme="minorHAnsi"/>
          <w:sz w:val="24"/>
          <w:szCs w:val="24"/>
        </w:rPr>
        <w:t>–</w:t>
      </w:r>
      <w:r w:rsidR="002B793F" w:rsidRPr="00624EA4">
        <w:rPr>
          <w:rFonts w:asciiTheme="minorHAnsi" w:hAnsiTheme="minorHAnsi" w:cstheme="minorHAnsi"/>
          <w:sz w:val="24"/>
          <w:szCs w:val="24"/>
        </w:rPr>
        <w:t xml:space="preserve"> </w:t>
      </w:r>
      <w:r w:rsidR="00AC2DDA" w:rsidRPr="00624EA4">
        <w:rPr>
          <w:rFonts w:asciiTheme="minorHAnsi" w:hAnsiTheme="minorHAnsi" w:cstheme="minorHAnsi"/>
          <w:sz w:val="24"/>
          <w:szCs w:val="24"/>
        </w:rPr>
        <w:t xml:space="preserve">must </w:t>
      </w:r>
      <w:r w:rsidR="002B793F" w:rsidRPr="00624EA4">
        <w:rPr>
          <w:rFonts w:asciiTheme="minorHAnsi" w:hAnsiTheme="minorHAnsi" w:cstheme="minorHAnsi"/>
          <w:sz w:val="24"/>
          <w:szCs w:val="24"/>
        </w:rPr>
        <w:t>work through more proximate variables</w:t>
      </w:r>
      <w:r w:rsidR="00FA28D9" w:rsidRPr="00624EA4">
        <w:rPr>
          <w:rFonts w:asciiTheme="minorHAnsi" w:hAnsiTheme="minorHAnsi" w:cstheme="minorHAnsi"/>
          <w:sz w:val="24"/>
          <w:szCs w:val="24"/>
        </w:rPr>
        <w:t xml:space="preserve"> </w:t>
      </w:r>
      <w:r w:rsidR="00383036" w:rsidRPr="00624EA4">
        <w:rPr>
          <w:rFonts w:asciiTheme="minorHAnsi" w:hAnsiTheme="minorHAnsi" w:cstheme="minorHAnsi"/>
          <w:sz w:val="24"/>
          <w:szCs w:val="24"/>
        </w:rPr>
        <w:t>(</w:t>
      </w:r>
      <w:proofErr w:type="spellStart"/>
      <w:r w:rsidR="00BF1546" w:rsidRPr="00624EA4">
        <w:rPr>
          <w:rFonts w:asciiTheme="minorHAnsi" w:hAnsiTheme="minorHAnsi" w:cstheme="minorHAnsi"/>
          <w:sz w:val="24"/>
          <w:szCs w:val="24"/>
        </w:rPr>
        <w:t>Bongaarts</w:t>
      </w:r>
      <w:proofErr w:type="spellEnd"/>
      <w:r w:rsidR="00B830F0" w:rsidRPr="00624EA4">
        <w:rPr>
          <w:rFonts w:asciiTheme="minorHAnsi" w:hAnsiTheme="minorHAnsi" w:cstheme="minorHAnsi"/>
          <w:sz w:val="24"/>
          <w:szCs w:val="24"/>
        </w:rPr>
        <w:t>, 1978)</w:t>
      </w:r>
      <w:r w:rsidR="00FA28D9" w:rsidRPr="00624EA4">
        <w:rPr>
          <w:rFonts w:asciiTheme="minorHAnsi" w:hAnsiTheme="minorHAnsi" w:cstheme="minorHAnsi"/>
          <w:sz w:val="24"/>
          <w:szCs w:val="24"/>
        </w:rPr>
        <w:t xml:space="preserve"> </w:t>
      </w:r>
      <w:r w:rsidR="002B793F" w:rsidRPr="00624EA4">
        <w:rPr>
          <w:rFonts w:asciiTheme="minorHAnsi" w:hAnsiTheme="minorHAnsi" w:cstheme="minorHAnsi"/>
          <w:sz w:val="24"/>
          <w:szCs w:val="24"/>
        </w:rPr>
        <w:t xml:space="preserve">like levels of teenage sexual activity and contraceptive use, to determine conception rates. The contribution of changes in contraception </w:t>
      </w:r>
      <w:r w:rsidR="00F16E96" w:rsidRPr="00624EA4">
        <w:rPr>
          <w:rFonts w:asciiTheme="minorHAnsi" w:hAnsiTheme="minorHAnsi" w:cstheme="minorHAnsi"/>
          <w:sz w:val="24"/>
          <w:szCs w:val="24"/>
        </w:rPr>
        <w:t xml:space="preserve">use </w:t>
      </w:r>
      <w:r w:rsidR="002B793F" w:rsidRPr="00624EA4">
        <w:rPr>
          <w:rFonts w:asciiTheme="minorHAnsi" w:hAnsiTheme="minorHAnsi" w:cstheme="minorHAnsi"/>
          <w:sz w:val="24"/>
          <w:szCs w:val="24"/>
        </w:rPr>
        <w:t>and sexual activity in the decline of teenage fertility ha</w:t>
      </w:r>
      <w:r w:rsidR="008978B4" w:rsidRPr="00624EA4">
        <w:rPr>
          <w:rFonts w:asciiTheme="minorHAnsi" w:hAnsiTheme="minorHAnsi" w:cstheme="minorHAnsi"/>
          <w:sz w:val="24"/>
          <w:szCs w:val="24"/>
        </w:rPr>
        <w:t>s</w:t>
      </w:r>
      <w:r w:rsidR="002B793F" w:rsidRPr="00624EA4">
        <w:rPr>
          <w:rFonts w:asciiTheme="minorHAnsi" w:hAnsiTheme="minorHAnsi" w:cstheme="minorHAnsi"/>
          <w:sz w:val="24"/>
          <w:szCs w:val="24"/>
        </w:rPr>
        <w:t xml:space="preserve"> been examined in the </w:t>
      </w:r>
      <w:r w:rsidR="008D54BF" w:rsidRPr="00624EA4">
        <w:rPr>
          <w:rFonts w:asciiTheme="minorHAnsi" w:hAnsiTheme="minorHAnsi" w:cstheme="minorHAnsi"/>
          <w:sz w:val="24"/>
          <w:szCs w:val="24"/>
        </w:rPr>
        <w:t>United States</w:t>
      </w:r>
      <w:r w:rsidR="002B72D2" w:rsidRPr="00624EA4">
        <w:rPr>
          <w:rFonts w:asciiTheme="minorHAnsi" w:hAnsiTheme="minorHAnsi" w:cstheme="minorHAnsi"/>
          <w:sz w:val="24"/>
          <w:szCs w:val="24"/>
        </w:rPr>
        <w:t xml:space="preserve"> </w:t>
      </w:r>
      <w:r w:rsidR="00383036" w:rsidRPr="00624EA4">
        <w:rPr>
          <w:rFonts w:asciiTheme="minorHAnsi" w:hAnsiTheme="minorHAnsi" w:cstheme="minorHAnsi"/>
          <w:sz w:val="24"/>
          <w:szCs w:val="24"/>
        </w:rPr>
        <w:t>(</w:t>
      </w:r>
      <w:r w:rsidR="00B830F0" w:rsidRPr="00624EA4">
        <w:rPr>
          <w:rFonts w:asciiTheme="minorHAnsi" w:hAnsiTheme="minorHAnsi" w:cstheme="minorHAnsi"/>
          <w:sz w:val="24"/>
          <w:szCs w:val="24"/>
        </w:rPr>
        <w:t xml:space="preserve">Lindberg et al., 2018; Santelli et al., </w:t>
      </w:r>
      <w:r w:rsidR="00177E3E" w:rsidRPr="00624EA4">
        <w:rPr>
          <w:rFonts w:asciiTheme="minorHAnsi" w:hAnsiTheme="minorHAnsi" w:cstheme="minorHAnsi"/>
          <w:sz w:val="24"/>
          <w:szCs w:val="24"/>
        </w:rPr>
        <w:t>2007)</w:t>
      </w:r>
      <w:r w:rsidR="002B793F" w:rsidRPr="00624EA4">
        <w:rPr>
          <w:rFonts w:asciiTheme="minorHAnsi" w:hAnsiTheme="minorHAnsi" w:cstheme="minorHAnsi"/>
          <w:sz w:val="24"/>
          <w:szCs w:val="24"/>
        </w:rPr>
        <w:t xml:space="preserve"> </w:t>
      </w:r>
      <w:r w:rsidR="00332D37" w:rsidRPr="00624EA4">
        <w:rPr>
          <w:rFonts w:asciiTheme="minorHAnsi" w:hAnsiTheme="minorHAnsi" w:cstheme="minorHAnsi"/>
          <w:sz w:val="24"/>
          <w:szCs w:val="24"/>
        </w:rPr>
        <w:t xml:space="preserve">but are difficult to measure for the UK due to </w:t>
      </w:r>
      <w:r w:rsidR="00C75B8D" w:rsidRPr="00624EA4">
        <w:rPr>
          <w:rFonts w:asciiTheme="minorHAnsi" w:hAnsiTheme="minorHAnsi" w:cstheme="minorHAnsi"/>
          <w:sz w:val="24"/>
          <w:szCs w:val="24"/>
        </w:rPr>
        <w:t xml:space="preserve">lacking </w:t>
      </w:r>
      <w:r w:rsidR="00CD20ED" w:rsidRPr="00624EA4">
        <w:rPr>
          <w:rFonts w:asciiTheme="minorHAnsi" w:hAnsiTheme="minorHAnsi" w:cstheme="minorHAnsi"/>
          <w:sz w:val="24"/>
          <w:szCs w:val="24"/>
        </w:rPr>
        <w:t xml:space="preserve">detailed </w:t>
      </w:r>
      <w:r w:rsidR="00332D37" w:rsidRPr="00624EA4">
        <w:rPr>
          <w:rFonts w:asciiTheme="minorHAnsi" w:hAnsiTheme="minorHAnsi" w:cstheme="minorHAnsi"/>
          <w:sz w:val="24"/>
          <w:szCs w:val="24"/>
        </w:rPr>
        <w:t>comparative data</w:t>
      </w:r>
      <w:r w:rsidR="002B793F" w:rsidRPr="00624EA4">
        <w:rPr>
          <w:rFonts w:asciiTheme="minorHAnsi" w:hAnsiTheme="minorHAnsi" w:cstheme="minorHAnsi"/>
          <w:sz w:val="24"/>
          <w:szCs w:val="24"/>
        </w:rPr>
        <w:t>.</w:t>
      </w:r>
      <w:r w:rsidR="008978B4" w:rsidRPr="00624EA4">
        <w:rPr>
          <w:rFonts w:asciiTheme="minorHAnsi" w:hAnsiTheme="minorHAnsi" w:cstheme="minorHAnsi"/>
          <w:sz w:val="24"/>
          <w:szCs w:val="24"/>
        </w:rPr>
        <w:t xml:space="preserve"> </w:t>
      </w:r>
      <w:r w:rsidR="002B793F" w:rsidRPr="00624EA4">
        <w:rPr>
          <w:rFonts w:asciiTheme="minorHAnsi" w:hAnsiTheme="minorHAnsi" w:cstheme="minorHAnsi"/>
          <w:sz w:val="24"/>
          <w:szCs w:val="24"/>
        </w:rPr>
        <w:t>Wellings and colleagues</w:t>
      </w:r>
      <w:bookmarkStart w:id="5" w:name="_Ref16085605"/>
      <w:r w:rsidR="002B793F" w:rsidRPr="00624EA4">
        <w:rPr>
          <w:rFonts w:asciiTheme="minorHAnsi" w:hAnsiTheme="minorHAnsi" w:cstheme="minorHAnsi"/>
          <w:sz w:val="24"/>
          <w:szCs w:val="24"/>
        </w:rPr>
        <w:t xml:space="preserve"> </w:t>
      </w:r>
      <w:bookmarkEnd w:id="5"/>
      <w:r w:rsidR="002B793F" w:rsidRPr="00624EA4">
        <w:rPr>
          <w:rFonts w:asciiTheme="minorHAnsi" w:hAnsiTheme="minorHAnsi" w:cstheme="minorHAnsi"/>
          <w:sz w:val="24"/>
          <w:szCs w:val="24"/>
        </w:rPr>
        <w:t xml:space="preserve">found lower </w:t>
      </w:r>
      <w:r w:rsidR="00491214" w:rsidRPr="00624EA4">
        <w:rPr>
          <w:rFonts w:asciiTheme="minorHAnsi" w:hAnsiTheme="minorHAnsi" w:cstheme="minorHAnsi"/>
          <w:sz w:val="24"/>
          <w:szCs w:val="24"/>
        </w:rPr>
        <w:t xml:space="preserve">reported </w:t>
      </w:r>
      <w:r w:rsidR="004719D0" w:rsidRPr="00624EA4">
        <w:rPr>
          <w:rFonts w:asciiTheme="minorHAnsi" w:hAnsiTheme="minorHAnsi" w:cstheme="minorHAnsi"/>
          <w:sz w:val="24"/>
          <w:szCs w:val="24"/>
        </w:rPr>
        <w:t xml:space="preserve">levels of sexual behaviour among </w:t>
      </w:r>
      <w:r w:rsidR="002B793F" w:rsidRPr="00624EA4">
        <w:rPr>
          <w:rFonts w:asciiTheme="minorHAnsi" w:hAnsiTheme="minorHAnsi" w:cstheme="minorHAnsi"/>
          <w:sz w:val="24"/>
          <w:szCs w:val="24"/>
        </w:rPr>
        <w:t xml:space="preserve">men and </w:t>
      </w:r>
      <w:r w:rsidR="004719D0" w:rsidRPr="00624EA4">
        <w:rPr>
          <w:rFonts w:asciiTheme="minorHAnsi" w:hAnsiTheme="minorHAnsi" w:cstheme="minorHAnsi"/>
          <w:sz w:val="24"/>
          <w:szCs w:val="24"/>
        </w:rPr>
        <w:t>wo</w:t>
      </w:r>
      <w:r w:rsidR="002B793F" w:rsidRPr="00624EA4">
        <w:rPr>
          <w:rFonts w:asciiTheme="minorHAnsi" w:hAnsiTheme="minorHAnsi" w:cstheme="minorHAnsi"/>
          <w:sz w:val="24"/>
          <w:szCs w:val="24"/>
        </w:rPr>
        <w:t xml:space="preserve">men </w:t>
      </w:r>
      <w:r w:rsidR="00F16E96" w:rsidRPr="00624EA4">
        <w:rPr>
          <w:rFonts w:asciiTheme="minorHAnsi" w:hAnsiTheme="minorHAnsi" w:cstheme="minorHAnsi"/>
          <w:sz w:val="24"/>
          <w:szCs w:val="24"/>
        </w:rPr>
        <w:t xml:space="preserve">aged 16 </w:t>
      </w:r>
      <w:r w:rsidR="005D0EEE" w:rsidRPr="00624EA4">
        <w:rPr>
          <w:rFonts w:asciiTheme="minorHAnsi" w:hAnsiTheme="minorHAnsi" w:cstheme="minorHAnsi"/>
          <w:sz w:val="24"/>
          <w:szCs w:val="24"/>
        </w:rPr>
        <w:t>to</w:t>
      </w:r>
      <w:r w:rsidR="00F16E96" w:rsidRPr="00624EA4">
        <w:rPr>
          <w:rFonts w:asciiTheme="minorHAnsi" w:hAnsiTheme="minorHAnsi" w:cstheme="minorHAnsi"/>
          <w:sz w:val="24"/>
          <w:szCs w:val="24"/>
        </w:rPr>
        <w:t xml:space="preserve"> 24 </w:t>
      </w:r>
      <w:r w:rsidR="002E6BB0" w:rsidRPr="00624EA4">
        <w:rPr>
          <w:rFonts w:asciiTheme="minorHAnsi" w:hAnsiTheme="minorHAnsi" w:cstheme="minorHAnsi"/>
          <w:sz w:val="24"/>
          <w:szCs w:val="24"/>
        </w:rPr>
        <w:t xml:space="preserve">in </w:t>
      </w:r>
      <w:r w:rsidR="002B793F" w:rsidRPr="00624EA4">
        <w:rPr>
          <w:rFonts w:asciiTheme="minorHAnsi" w:hAnsiTheme="minorHAnsi" w:cstheme="minorHAnsi"/>
          <w:sz w:val="24"/>
          <w:szCs w:val="24"/>
        </w:rPr>
        <w:t xml:space="preserve">Britain </w:t>
      </w:r>
      <w:r w:rsidR="004719D0" w:rsidRPr="00624EA4">
        <w:rPr>
          <w:rFonts w:asciiTheme="minorHAnsi" w:hAnsiTheme="minorHAnsi" w:cstheme="minorHAnsi"/>
          <w:sz w:val="24"/>
          <w:szCs w:val="24"/>
        </w:rPr>
        <w:t xml:space="preserve">in </w:t>
      </w:r>
      <w:r w:rsidR="002B793F" w:rsidRPr="00624EA4">
        <w:rPr>
          <w:rFonts w:asciiTheme="minorHAnsi" w:hAnsiTheme="minorHAnsi" w:cstheme="minorHAnsi"/>
          <w:sz w:val="24"/>
          <w:szCs w:val="24"/>
        </w:rPr>
        <w:t>2010-2012</w:t>
      </w:r>
      <w:r w:rsidR="004719D0" w:rsidRPr="00624EA4">
        <w:rPr>
          <w:rFonts w:asciiTheme="minorHAnsi" w:hAnsiTheme="minorHAnsi" w:cstheme="minorHAnsi"/>
          <w:sz w:val="24"/>
          <w:szCs w:val="24"/>
        </w:rPr>
        <w:t xml:space="preserve"> c</w:t>
      </w:r>
      <w:r w:rsidR="002B793F" w:rsidRPr="00624EA4">
        <w:rPr>
          <w:rFonts w:asciiTheme="minorHAnsi" w:hAnsiTheme="minorHAnsi" w:cstheme="minorHAnsi"/>
          <w:sz w:val="24"/>
          <w:szCs w:val="24"/>
        </w:rPr>
        <w:t xml:space="preserve">ompared to </w:t>
      </w:r>
      <w:r w:rsidR="004719D0" w:rsidRPr="00624EA4">
        <w:rPr>
          <w:rFonts w:asciiTheme="minorHAnsi" w:hAnsiTheme="minorHAnsi" w:cstheme="minorHAnsi"/>
          <w:sz w:val="24"/>
          <w:szCs w:val="24"/>
        </w:rPr>
        <w:t>1999</w:t>
      </w:r>
      <w:r w:rsidR="002B793F" w:rsidRPr="00624EA4">
        <w:rPr>
          <w:rFonts w:asciiTheme="minorHAnsi" w:hAnsiTheme="minorHAnsi" w:cstheme="minorHAnsi"/>
          <w:sz w:val="24"/>
          <w:szCs w:val="24"/>
        </w:rPr>
        <w:t>-2001</w:t>
      </w:r>
      <w:r w:rsidR="00580C52" w:rsidRPr="00624EA4">
        <w:rPr>
          <w:rFonts w:asciiTheme="minorHAnsi" w:hAnsiTheme="minorHAnsi" w:cstheme="minorHAnsi"/>
          <w:sz w:val="24"/>
          <w:szCs w:val="24"/>
        </w:rPr>
        <w:t>, but no data are available since that time</w:t>
      </w:r>
      <w:r w:rsidR="00867024" w:rsidRPr="00624EA4">
        <w:rPr>
          <w:rFonts w:asciiTheme="minorHAnsi" w:hAnsiTheme="minorHAnsi" w:cstheme="minorHAnsi"/>
          <w:sz w:val="24"/>
          <w:szCs w:val="24"/>
        </w:rPr>
        <w:t xml:space="preserve"> (Wellings et al., 2019)</w:t>
      </w:r>
      <w:r w:rsidR="00580C52" w:rsidRPr="00624EA4">
        <w:rPr>
          <w:rFonts w:asciiTheme="minorHAnsi" w:hAnsiTheme="minorHAnsi" w:cstheme="minorHAnsi"/>
          <w:sz w:val="24"/>
          <w:szCs w:val="24"/>
        </w:rPr>
        <w:t xml:space="preserve">. </w:t>
      </w:r>
      <w:r w:rsidR="00867024" w:rsidRPr="00624EA4">
        <w:rPr>
          <w:rFonts w:asciiTheme="minorHAnsi" w:hAnsiTheme="minorHAnsi" w:cstheme="minorHAnsi"/>
          <w:sz w:val="24"/>
          <w:szCs w:val="24"/>
        </w:rPr>
        <w:lastRenderedPageBreak/>
        <w:t xml:space="preserve">Another study, </w:t>
      </w:r>
      <w:r w:rsidR="001643CC">
        <w:rPr>
          <w:rFonts w:asciiTheme="minorHAnsi" w:hAnsiTheme="minorHAnsi" w:cstheme="minorHAnsi"/>
          <w:sz w:val="24"/>
          <w:szCs w:val="24"/>
        </w:rPr>
        <w:t xml:space="preserve">by Scott and </w:t>
      </w:r>
      <w:r w:rsidR="00EB36CB">
        <w:rPr>
          <w:rFonts w:asciiTheme="minorHAnsi" w:hAnsiTheme="minorHAnsi" w:cstheme="minorHAnsi"/>
          <w:sz w:val="24"/>
          <w:szCs w:val="24"/>
        </w:rPr>
        <w:t>colleagues</w:t>
      </w:r>
      <w:r w:rsidR="001643CC">
        <w:rPr>
          <w:rFonts w:asciiTheme="minorHAnsi" w:hAnsiTheme="minorHAnsi" w:cstheme="minorHAnsi"/>
          <w:sz w:val="24"/>
          <w:szCs w:val="24"/>
        </w:rPr>
        <w:t xml:space="preserve"> </w:t>
      </w:r>
      <w:r w:rsidR="00384457" w:rsidRPr="00624EA4">
        <w:rPr>
          <w:rFonts w:asciiTheme="minorHAnsi" w:hAnsiTheme="minorHAnsi" w:cstheme="minorHAnsi"/>
          <w:sz w:val="24"/>
          <w:szCs w:val="24"/>
        </w:rPr>
        <w:t>using the same representative data</w:t>
      </w:r>
      <w:r w:rsidR="00580C52" w:rsidRPr="00624EA4">
        <w:rPr>
          <w:rFonts w:asciiTheme="minorHAnsi" w:hAnsiTheme="minorHAnsi" w:cstheme="minorHAnsi"/>
          <w:sz w:val="24"/>
          <w:szCs w:val="24"/>
        </w:rPr>
        <w:t>,</w:t>
      </w:r>
      <w:r w:rsidR="00384457" w:rsidRPr="00624EA4">
        <w:rPr>
          <w:rFonts w:asciiTheme="minorHAnsi" w:hAnsiTheme="minorHAnsi" w:cstheme="minorHAnsi"/>
          <w:sz w:val="24"/>
          <w:szCs w:val="24"/>
        </w:rPr>
        <w:t xml:space="preserve"> found no difference</w:t>
      </w:r>
      <w:r w:rsidR="00580C52" w:rsidRPr="00624EA4">
        <w:rPr>
          <w:rFonts w:asciiTheme="minorHAnsi" w:hAnsiTheme="minorHAnsi" w:cstheme="minorHAnsi"/>
          <w:sz w:val="24"/>
          <w:szCs w:val="24"/>
        </w:rPr>
        <w:t xml:space="preserve"> in </w:t>
      </w:r>
      <w:r w:rsidR="003128AD" w:rsidRPr="00624EA4">
        <w:rPr>
          <w:rFonts w:asciiTheme="minorHAnsi" w:hAnsiTheme="minorHAnsi" w:cstheme="minorHAnsi"/>
          <w:sz w:val="24"/>
          <w:szCs w:val="24"/>
        </w:rPr>
        <w:t xml:space="preserve">reporting of </w:t>
      </w:r>
      <w:r w:rsidR="00580C52" w:rsidRPr="00624EA4">
        <w:rPr>
          <w:rFonts w:asciiTheme="minorHAnsi" w:hAnsiTheme="minorHAnsi" w:cstheme="minorHAnsi"/>
          <w:sz w:val="24"/>
          <w:szCs w:val="24"/>
        </w:rPr>
        <w:t xml:space="preserve">ever having </w:t>
      </w:r>
      <w:r w:rsidR="00014BBF" w:rsidRPr="00624EA4">
        <w:rPr>
          <w:rFonts w:asciiTheme="minorHAnsi" w:hAnsiTheme="minorHAnsi" w:cstheme="minorHAnsi"/>
          <w:sz w:val="24"/>
          <w:szCs w:val="24"/>
        </w:rPr>
        <w:t xml:space="preserve">had </w:t>
      </w:r>
      <w:r w:rsidR="00580C52" w:rsidRPr="00624EA4">
        <w:rPr>
          <w:rFonts w:asciiTheme="minorHAnsi" w:hAnsiTheme="minorHAnsi" w:cstheme="minorHAnsi"/>
          <w:sz w:val="24"/>
          <w:szCs w:val="24"/>
        </w:rPr>
        <w:t>vaginal sex or the frequency of sexual activity within 16 to 19</w:t>
      </w:r>
      <w:r w:rsidR="00DC7FA0" w:rsidRPr="00624EA4">
        <w:rPr>
          <w:rFonts w:asciiTheme="minorHAnsi" w:hAnsiTheme="minorHAnsi" w:cstheme="minorHAnsi"/>
          <w:sz w:val="24"/>
          <w:szCs w:val="24"/>
        </w:rPr>
        <w:t xml:space="preserve"> </w:t>
      </w:r>
      <w:r w:rsidR="00580C52" w:rsidRPr="00624EA4">
        <w:rPr>
          <w:rFonts w:asciiTheme="minorHAnsi" w:hAnsiTheme="minorHAnsi" w:cstheme="minorHAnsi"/>
          <w:sz w:val="24"/>
          <w:szCs w:val="24"/>
        </w:rPr>
        <w:t xml:space="preserve">year-olds between </w:t>
      </w:r>
      <w:r w:rsidR="005D0EEE" w:rsidRPr="00624EA4">
        <w:rPr>
          <w:rFonts w:asciiTheme="minorHAnsi" w:hAnsiTheme="minorHAnsi" w:cstheme="minorHAnsi"/>
          <w:sz w:val="24"/>
          <w:szCs w:val="24"/>
        </w:rPr>
        <w:t>the surveys,</w:t>
      </w:r>
      <w:r w:rsidR="00580C52" w:rsidRPr="00624EA4">
        <w:rPr>
          <w:rFonts w:asciiTheme="minorHAnsi" w:hAnsiTheme="minorHAnsi" w:cstheme="minorHAnsi"/>
          <w:sz w:val="24"/>
          <w:szCs w:val="24"/>
        </w:rPr>
        <w:t xml:space="preserve"> which highlights how teenagers are </w:t>
      </w:r>
      <w:r w:rsidR="005D0EEE" w:rsidRPr="00624EA4">
        <w:rPr>
          <w:rFonts w:asciiTheme="minorHAnsi" w:hAnsiTheme="minorHAnsi" w:cstheme="minorHAnsi"/>
          <w:sz w:val="24"/>
          <w:szCs w:val="24"/>
        </w:rPr>
        <w:t xml:space="preserve">distinctive within </w:t>
      </w:r>
      <w:r w:rsidR="00580C52" w:rsidRPr="00624EA4">
        <w:rPr>
          <w:rFonts w:asciiTheme="minorHAnsi" w:hAnsiTheme="minorHAnsi" w:cstheme="minorHAnsi"/>
          <w:sz w:val="24"/>
          <w:szCs w:val="24"/>
        </w:rPr>
        <w:t>young persons</w:t>
      </w:r>
      <w:r w:rsidR="00D14933">
        <w:rPr>
          <w:rFonts w:asciiTheme="minorHAnsi" w:hAnsiTheme="minorHAnsi" w:cstheme="minorHAnsi"/>
          <w:sz w:val="24"/>
          <w:szCs w:val="24"/>
        </w:rPr>
        <w:t xml:space="preserve"> and that </w:t>
      </w:r>
      <w:r w:rsidR="00691C67">
        <w:rPr>
          <w:rFonts w:asciiTheme="minorHAnsi" w:hAnsiTheme="minorHAnsi" w:cstheme="minorHAnsi"/>
          <w:sz w:val="24"/>
          <w:szCs w:val="24"/>
        </w:rPr>
        <w:t xml:space="preserve">declines in teenage conceptions may not be due to </w:t>
      </w:r>
      <w:r w:rsidR="001C2DF6">
        <w:rPr>
          <w:rFonts w:asciiTheme="minorHAnsi" w:hAnsiTheme="minorHAnsi" w:cstheme="minorHAnsi"/>
          <w:sz w:val="24"/>
          <w:szCs w:val="24"/>
        </w:rPr>
        <w:t>reductions in teenagers engaging in vaginal sex</w:t>
      </w:r>
      <w:r w:rsidR="00740C74">
        <w:rPr>
          <w:rFonts w:asciiTheme="minorHAnsi" w:hAnsiTheme="minorHAnsi" w:cstheme="minorHAnsi"/>
          <w:sz w:val="24"/>
          <w:szCs w:val="24"/>
        </w:rPr>
        <w:t xml:space="preserve"> </w:t>
      </w:r>
      <w:r w:rsidR="00867024" w:rsidRPr="00624EA4">
        <w:rPr>
          <w:rFonts w:asciiTheme="minorHAnsi" w:hAnsiTheme="minorHAnsi" w:cstheme="minorHAnsi"/>
          <w:sz w:val="24"/>
          <w:szCs w:val="24"/>
        </w:rPr>
        <w:t>(Scott et al., 2020)</w:t>
      </w:r>
      <w:r w:rsidR="00580C52" w:rsidRPr="00624EA4">
        <w:rPr>
          <w:rFonts w:asciiTheme="minorHAnsi" w:hAnsiTheme="minorHAnsi" w:cstheme="minorHAnsi"/>
          <w:sz w:val="24"/>
          <w:szCs w:val="24"/>
        </w:rPr>
        <w:t xml:space="preserve">. </w:t>
      </w:r>
    </w:p>
    <w:p w14:paraId="57F99A25" w14:textId="0F73E211" w:rsidR="006A0A24" w:rsidRDefault="003A0954" w:rsidP="00CD0462">
      <w:pPr>
        <w:rPr>
          <w:rFonts w:asciiTheme="minorHAnsi" w:hAnsiTheme="minorHAnsi" w:cstheme="minorHAnsi"/>
          <w:sz w:val="24"/>
          <w:szCs w:val="24"/>
        </w:rPr>
      </w:pPr>
      <w:r>
        <w:rPr>
          <w:rFonts w:asciiTheme="minorHAnsi" w:hAnsiTheme="minorHAnsi" w:cstheme="minorHAnsi"/>
          <w:sz w:val="24"/>
          <w:szCs w:val="24"/>
        </w:rPr>
        <w:t xml:space="preserve">Teenagers can access Sexual Health Services (otherwise known as genitourinary medicine or GUM clinics, family planning, and reproductive health) </w:t>
      </w:r>
      <w:r w:rsidR="00D04761">
        <w:rPr>
          <w:rFonts w:asciiTheme="minorHAnsi" w:hAnsiTheme="minorHAnsi" w:cstheme="minorHAnsi"/>
          <w:sz w:val="24"/>
          <w:szCs w:val="24"/>
        </w:rPr>
        <w:t>alongside General Practi</w:t>
      </w:r>
      <w:r w:rsidR="00AB4C31">
        <w:rPr>
          <w:rFonts w:asciiTheme="minorHAnsi" w:hAnsiTheme="minorHAnsi" w:cstheme="minorHAnsi"/>
          <w:sz w:val="24"/>
          <w:szCs w:val="24"/>
        </w:rPr>
        <w:t>c</w:t>
      </w:r>
      <w:r w:rsidR="00D04761">
        <w:rPr>
          <w:rFonts w:asciiTheme="minorHAnsi" w:hAnsiTheme="minorHAnsi" w:cstheme="minorHAnsi"/>
          <w:sz w:val="24"/>
          <w:szCs w:val="24"/>
        </w:rPr>
        <w:t xml:space="preserve">e </w:t>
      </w:r>
      <w:r w:rsidR="00C778EB">
        <w:rPr>
          <w:rFonts w:asciiTheme="minorHAnsi" w:hAnsiTheme="minorHAnsi" w:cstheme="minorHAnsi"/>
          <w:sz w:val="24"/>
          <w:szCs w:val="24"/>
        </w:rPr>
        <w:t xml:space="preserve">(GP) </w:t>
      </w:r>
      <w:r w:rsidR="00425784">
        <w:rPr>
          <w:rFonts w:asciiTheme="minorHAnsi" w:hAnsiTheme="minorHAnsi" w:cstheme="minorHAnsi"/>
          <w:sz w:val="24"/>
          <w:szCs w:val="24"/>
        </w:rPr>
        <w:t xml:space="preserve">for free </w:t>
      </w:r>
      <w:r>
        <w:rPr>
          <w:rFonts w:asciiTheme="minorHAnsi" w:hAnsiTheme="minorHAnsi" w:cstheme="minorHAnsi"/>
          <w:sz w:val="24"/>
          <w:szCs w:val="24"/>
        </w:rPr>
        <w:t>in England</w:t>
      </w:r>
      <w:r w:rsidR="002848C2">
        <w:rPr>
          <w:rFonts w:asciiTheme="minorHAnsi" w:hAnsiTheme="minorHAnsi" w:cstheme="minorHAnsi"/>
          <w:sz w:val="24"/>
          <w:szCs w:val="24"/>
        </w:rPr>
        <w:t>,</w:t>
      </w:r>
      <w:r>
        <w:rPr>
          <w:rFonts w:asciiTheme="minorHAnsi" w:hAnsiTheme="minorHAnsi" w:cstheme="minorHAnsi"/>
          <w:sz w:val="24"/>
          <w:szCs w:val="24"/>
        </w:rPr>
        <w:t xml:space="preserve"> </w:t>
      </w:r>
      <w:r w:rsidR="00263D50">
        <w:rPr>
          <w:rFonts w:asciiTheme="minorHAnsi" w:hAnsiTheme="minorHAnsi" w:cstheme="minorHAnsi"/>
          <w:sz w:val="24"/>
          <w:szCs w:val="24"/>
        </w:rPr>
        <w:t xml:space="preserve">and </w:t>
      </w:r>
      <w:r w:rsidR="00425784">
        <w:rPr>
          <w:rFonts w:asciiTheme="minorHAnsi" w:hAnsiTheme="minorHAnsi" w:cstheme="minorHAnsi"/>
          <w:sz w:val="24"/>
          <w:szCs w:val="24"/>
        </w:rPr>
        <w:t>the</w:t>
      </w:r>
      <w:r w:rsidR="00AB4C31">
        <w:rPr>
          <w:rFonts w:asciiTheme="minorHAnsi" w:hAnsiTheme="minorHAnsi" w:cstheme="minorHAnsi"/>
          <w:sz w:val="24"/>
          <w:szCs w:val="24"/>
        </w:rPr>
        <w:t xml:space="preserve"> former</w:t>
      </w:r>
      <w:r w:rsidR="00425784">
        <w:rPr>
          <w:rFonts w:asciiTheme="minorHAnsi" w:hAnsiTheme="minorHAnsi" w:cstheme="minorHAnsi"/>
          <w:sz w:val="24"/>
          <w:szCs w:val="24"/>
        </w:rPr>
        <w:t xml:space="preserve"> </w:t>
      </w:r>
      <w:r>
        <w:rPr>
          <w:rFonts w:asciiTheme="minorHAnsi" w:hAnsiTheme="minorHAnsi" w:cstheme="minorHAnsi"/>
          <w:sz w:val="24"/>
          <w:szCs w:val="24"/>
        </w:rPr>
        <w:t xml:space="preserve">are often located in easily accessible areas and are centres providing free contraception and testing for sexually transmitted infections among other related services. </w:t>
      </w:r>
      <w:r w:rsidR="00B7777F">
        <w:rPr>
          <w:rFonts w:asciiTheme="minorHAnsi" w:hAnsiTheme="minorHAnsi" w:cstheme="minorHAnsi"/>
          <w:sz w:val="24"/>
          <w:szCs w:val="24"/>
        </w:rPr>
        <w:t>Throughout the TPS</w:t>
      </w:r>
      <w:r w:rsidR="00C831E7">
        <w:rPr>
          <w:rFonts w:asciiTheme="minorHAnsi" w:hAnsiTheme="minorHAnsi" w:cstheme="minorHAnsi"/>
          <w:sz w:val="24"/>
          <w:szCs w:val="24"/>
        </w:rPr>
        <w:t>,</w:t>
      </w:r>
      <w:r w:rsidR="00B7777F">
        <w:rPr>
          <w:rFonts w:asciiTheme="minorHAnsi" w:hAnsiTheme="minorHAnsi" w:cstheme="minorHAnsi"/>
          <w:sz w:val="24"/>
          <w:szCs w:val="24"/>
        </w:rPr>
        <w:t xml:space="preserve"> </w:t>
      </w:r>
      <w:r w:rsidR="00B3003B">
        <w:rPr>
          <w:rFonts w:asciiTheme="minorHAnsi" w:hAnsiTheme="minorHAnsi" w:cstheme="minorHAnsi"/>
          <w:sz w:val="24"/>
          <w:szCs w:val="24"/>
        </w:rPr>
        <w:t xml:space="preserve">condom access </w:t>
      </w:r>
      <w:r w:rsidR="001B0CD2">
        <w:rPr>
          <w:rFonts w:asciiTheme="minorHAnsi" w:hAnsiTheme="minorHAnsi" w:cstheme="minorHAnsi"/>
          <w:sz w:val="24"/>
          <w:szCs w:val="24"/>
        </w:rPr>
        <w:t xml:space="preserve">through the post, schools, </w:t>
      </w:r>
      <w:r w:rsidR="0023784F">
        <w:rPr>
          <w:rFonts w:asciiTheme="minorHAnsi" w:hAnsiTheme="minorHAnsi" w:cstheme="minorHAnsi"/>
          <w:sz w:val="24"/>
          <w:szCs w:val="24"/>
        </w:rPr>
        <w:t xml:space="preserve">or </w:t>
      </w:r>
      <w:r w:rsidR="00013318">
        <w:rPr>
          <w:rFonts w:asciiTheme="minorHAnsi" w:hAnsiTheme="minorHAnsi" w:cstheme="minorHAnsi"/>
          <w:sz w:val="24"/>
          <w:szCs w:val="24"/>
        </w:rPr>
        <w:t xml:space="preserve">at sites </w:t>
      </w:r>
      <w:r w:rsidR="00440415">
        <w:rPr>
          <w:rFonts w:asciiTheme="minorHAnsi" w:hAnsiTheme="minorHAnsi" w:cstheme="minorHAnsi"/>
          <w:sz w:val="24"/>
          <w:szCs w:val="24"/>
        </w:rPr>
        <w:t>throughout the community</w:t>
      </w:r>
      <w:r w:rsidR="004D5FE0">
        <w:rPr>
          <w:rFonts w:asciiTheme="minorHAnsi" w:hAnsiTheme="minorHAnsi" w:cstheme="minorHAnsi"/>
          <w:sz w:val="24"/>
          <w:szCs w:val="24"/>
        </w:rPr>
        <w:t xml:space="preserve"> were introduced in various local </w:t>
      </w:r>
      <w:r w:rsidR="004D5FE0" w:rsidRPr="00FE7241">
        <w:rPr>
          <w:rFonts w:asciiTheme="minorHAnsi" w:hAnsiTheme="minorHAnsi" w:cstheme="minorHAnsi"/>
          <w:sz w:val="24"/>
          <w:szCs w:val="24"/>
        </w:rPr>
        <w:t>areas</w:t>
      </w:r>
      <w:r w:rsidR="00E66A3D" w:rsidRPr="00FE7241">
        <w:rPr>
          <w:rFonts w:asciiTheme="minorHAnsi" w:hAnsiTheme="minorHAnsi" w:cstheme="minorHAnsi"/>
          <w:sz w:val="24"/>
          <w:szCs w:val="24"/>
        </w:rPr>
        <w:t xml:space="preserve"> (</w:t>
      </w:r>
      <w:r w:rsidR="00200EB3" w:rsidRPr="00FE7241">
        <w:rPr>
          <w:rFonts w:asciiTheme="minorHAnsi" w:hAnsiTheme="minorHAnsi" w:cstheme="minorHAnsi"/>
          <w:sz w:val="24"/>
          <w:szCs w:val="24"/>
        </w:rPr>
        <w:t>Author et</w:t>
      </w:r>
      <w:r w:rsidR="00FE7241" w:rsidRPr="00FE7241">
        <w:rPr>
          <w:rFonts w:asciiTheme="minorHAnsi" w:hAnsiTheme="minorHAnsi" w:cstheme="minorHAnsi"/>
          <w:sz w:val="24"/>
          <w:szCs w:val="24"/>
        </w:rPr>
        <w:t xml:space="preserve"> al., 2017</w:t>
      </w:r>
      <w:r w:rsidR="00E66A3D" w:rsidRPr="00FE7241">
        <w:rPr>
          <w:rFonts w:asciiTheme="minorHAnsi" w:hAnsiTheme="minorHAnsi" w:cstheme="minorHAnsi"/>
          <w:sz w:val="24"/>
          <w:szCs w:val="24"/>
        </w:rPr>
        <w:t>)</w:t>
      </w:r>
      <w:r w:rsidR="004D5FE0" w:rsidRPr="00FE7241">
        <w:rPr>
          <w:rFonts w:asciiTheme="minorHAnsi" w:hAnsiTheme="minorHAnsi" w:cstheme="minorHAnsi"/>
          <w:sz w:val="24"/>
          <w:szCs w:val="24"/>
        </w:rPr>
        <w:t xml:space="preserve">. </w:t>
      </w:r>
      <w:r w:rsidR="00CC5C53" w:rsidRPr="00FE7241">
        <w:rPr>
          <w:rFonts w:asciiTheme="minorHAnsi" w:hAnsiTheme="minorHAnsi" w:cstheme="minorHAnsi"/>
          <w:sz w:val="24"/>
          <w:szCs w:val="24"/>
        </w:rPr>
        <w:t>Overall</w:t>
      </w:r>
      <w:r w:rsidR="002870EB">
        <w:rPr>
          <w:rFonts w:asciiTheme="minorHAnsi" w:hAnsiTheme="minorHAnsi" w:cstheme="minorHAnsi"/>
          <w:sz w:val="24"/>
          <w:szCs w:val="24"/>
        </w:rPr>
        <w:t>,</w:t>
      </w:r>
      <w:r w:rsidR="00CC5C53">
        <w:rPr>
          <w:rFonts w:asciiTheme="minorHAnsi" w:hAnsiTheme="minorHAnsi" w:cstheme="minorHAnsi"/>
          <w:sz w:val="24"/>
          <w:szCs w:val="24"/>
        </w:rPr>
        <w:t xml:space="preserve"> i</w:t>
      </w:r>
      <w:r w:rsidR="00354A58">
        <w:rPr>
          <w:rFonts w:asciiTheme="minorHAnsi" w:hAnsiTheme="minorHAnsi" w:cstheme="minorHAnsi"/>
          <w:sz w:val="24"/>
          <w:szCs w:val="24"/>
        </w:rPr>
        <w:t xml:space="preserve">n Britain, </w:t>
      </w:r>
      <w:r w:rsidR="002870EB">
        <w:rPr>
          <w:rFonts w:asciiTheme="minorHAnsi" w:hAnsiTheme="minorHAnsi" w:cstheme="minorHAnsi"/>
          <w:sz w:val="24"/>
          <w:szCs w:val="24"/>
        </w:rPr>
        <w:t xml:space="preserve">condom use at first heterosexual sex has grown from </w:t>
      </w:r>
      <w:r w:rsidR="003F3AB2">
        <w:rPr>
          <w:rFonts w:asciiTheme="minorHAnsi" w:hAnsiTheme="minorHAnsi" w:cstheme="minorHAnsi"/>
          <w:sz w:val="24"/>
          <w:szCs w:val="24"/>
        </w:rPr>
        <w:t xml:space="preserve">around </w:t>
      </w:r>
      <w:r w:rsidR="00DC6218">
        <w:rPr>
          <w:rFonts w:asciiTheme="minorHAnsi" w:hAnsiTheme="minorHAnsi" w:cstheme="minorHAnsi"/>
          <w:sz w:val="24"/>
          <w:szCs w:val="24"/>
        </w:rPr>
        <w:t>80% of men and women</w:t>
      </w:r>
      <w:r w:rsidR="003934A0">
        <w:rPr>
          <w:rFonts w:asciiTheme="minorHAnsi" w:hAnsiTheme="minorHAnsi" w:cstheme="minorHAnsi"/>
          <w:sz w:val="24"/>
          <w:szCs w:val="24"/>
        </w:rPr>
        <w:t xml:space="preserve"> aged 16-24 in 2010-2012 </w:t>
      </w:r>
      <w:r w:rsidR="00890036">
        <w:rPr>
          <w:rFonts w:asciiTheme="minorHAnsi" w:hAnsiTheme="minorHAnsi" w:cstheme="minorHAnsi"/>
          <w:sz w:val="24"/>
          <w:szCs w:val="24"/>
        </w:rPr>
        <w:t>co</w:t>
      </w:r>
      <w:r w:rsidR="00354A58">
        <w:rPr>
          <w:rFonts w:asciiTheme="minorHAnsi" w:hAnsiTheme="minorHAnsi" w:cstheme="minorHAnsi"/>
          <w:sz w:val="24"/>
          <w:szCs w:val="24"/>
        </w:rPr>
        <w:t>m</w:t>
      </w:r>
      <w:r w:rsidR="00890036">
        <w:rPr>
          <w:rFonts w:asciiTheme="minorHAnsi" w:hAnsiTheme="minorHAnsi" w:cstheme="minorHAnsi"/>
          <w:sz w:val="24"/>
          <w:szCs w:val="24"/>
        </w:rPr>
        <w:t xml:space="preserve">pared </w:t>
      </w:r>
      <w:r w:rsidR="003F3AB2">
        <w:rPr>
          <w:rFonts w:asciiTheme="minorHAnsi" w:hAnsiTheme="minorHAnsi" w:cstheme="minorHAnsi"/>
          <w:sz w:val="24"/>
          <w:szCs w:val="24"/>
        </w:rPr>
        <w:t xml:space="preserve">to </w:t>
      </w:r>
      <w:r w:rsidR="00DC6218">
        <w:rPr>
          <w:rFonts w:asciiTheme="minorHAnsi" w:hAnsiTheme="minorHAnsi" w:cstheme="minorHAnsi"/>
          <w:sz w:val="24"/>
          <w:szCs w:val="24"/>
        </w:rPr>
        <w:t xml:space="preserve">68% and 73% respectively in </w:t>
      </w:r>
      <w:r w:rsidR="00890036">
        <w:rPr>
          <w:rFonts w:asciiTheme="minorHAnsi" w:hAnsiTheme="minorHAnsi" w:cstheme="minorHAnsi"/>
          <w:sz w:val="24"/>
          <w:szCs w:val="24"/>
        </w:rPr>
        <w:t xml:space="preserve">the older cohort aged </w:t>
      </w:r>
      <w:r w:rsidR="0011313F">
        <w:rPr>
          <w:rFonts w:asciiTheme="minorHAnsi" w:hAnsiTheme="minorHAnsi" w:cstheme="minorHAnsi"/>
          <w:sz w:val="24"/>
          <w:szCs w:val="24"/>
        </w:rPr>
        <w:t xml:space="preserve">25-34 </w:t>
      </w:r>
      <w:r w:rsidR="00354A58">
        <w:rPr>
          <w:rFonts w:asciiTheme="minorHAnsi" w:hAnsiTheme="minorHAnsi" w:cstheme="minorHAnsi"/>
          <w:sz w:val="24"/>
          <w:szCs w:val="24"/>
        </w:rPr>
        <w:t>in 2010</w:t>
      </w:r>
      <w:r w:rsidR="003F3AB2">
        <w:rPr>
          <w:rFonts w:asciiTheme="minorHAnsi" w:hAnsiTheme="minorHAnsi" w:cstheme="minorHAnsi"/>
          <w:sz w:val="24"/>
          <w:szCs w:val="24"/>
        </w:rPr>
        <w:t>-2012</w:t>
      </w:r>
      <w:r w:rsidR="009718B3">
        <w:rPr>
          <w:rFonts w:asciiTheme="minorHAnsi" w:hAnsiTheme="minorHAnsi" w:cstheme="minorHAnsi"/>
          <w:sz w:val="24"/>
          <w:szCs w:val="24"/>
        </w:rPr>
        <w:t xml:space="preserve"> (</w:t>
      </w:r>
      <w:r w:rsidR="003C6711" w:rsidRPr="00FE7241">
        <w:rPr>
          <w:rFonts w:asciiTheme="minorHAnsi" w:hAnsiTheme="minorHAnsi" w:cstheme="minorHAnsi"/>
          <w:sz w:val="24"/>
          <w:szCs w:val="24"/>
        </w:rPr>
        <w:t xml:space="preserve">Clifton et al., </w:t>
      </w:r>
      <w:r w:rsidR="00DF0D27" w:rsidRPr="00FE7241">
        <w:rPr>
          <w:rFonts w:asciiTheme="minorHAnsi" w:hAnsiTheme="minorHAnsi" w:cstheme="minorHAnsi"/>
          <w:sz w:val="24"/>
          <w:szCs w:val="24"/>
        </w:rPr>
        <w:t>2015</w:t>
      </w:r>
      <w:r w:rsidR="00DF0D27">
        <w:rPr>
          <w:rFonts w:asciiTheme="minorHAnsi" w:hAnsiTheme="minorHAnsi" w:cstheme="minorHAnsi"/>
          <w:sz w:val="24"/>
          <w:szCs w:val="24"/>
        </w:rPr>
        <w:t>)</w:t>
      </w:r>
      <w:r w:rsidR="0011313F">
        <w:rPr>
          <w:rFonts w:asciiTheme="minorHAnsi" w:hAnsiTheme="minorHAnsi" w:cstheme="minorHAnsi"/>
          <w:sz w:val="24"/>
          <w:szCs w:val="24"/>
        </w:rPr>
        <w:t>.</w:t>
      </w:r>
      <w:r w:rsidR="006D3340">
        <w:rPr>
          <w:rFonts w:asciiTheme="minorHAnsi" w:hAnsiTheme="minorHAnsi" w:cstheme="minorHAnsi"/>
          <w:sz w:val="24"/>
          <w:szCs w:val="24"/>
        </w:rPr>
        <w:t xml:space="preserve"> </w:t>
      </w:r>
      <w:r w:rsidR="00B15021" w:rsidRPr="0005294E">
        <w:rPr>
          <w:rFonts w:asciiTheme="minorHAnsi" w:hAnsiTheme="minorHAnsi" w:cstheme="minorHAnsi"/>
          <w:sz w:val="24"/>
          <w:szCs w:val="24"/>
        </w:rPr>
        <w:t>Th</w:t>
      </w:r>
      <w:r w:rsidR="003E7A00">
        <w:rPr>
          <w:rFonts w:asciiTheme="minorHAnsi" w:hAnsiTheme="minorHAnsi" w:cstheme="minorHAnsi"/>
          <w:sz w:val="24"/>
          <w:szCs w:val="24"/>
        </w:rPr>
        <w:t>is</w:t>
      </w:r>
      <w:r w:rsidR="00B15021" w:rsidRPr="0005294E">
        <w:rPr>
          <w:rFonts w:asciiTheme="minorHAnsi" w:hAnsiTheme="minorHAnsi" w:cstheme="minorHAnsi"/>
          <w:sz w:val="24"/>
          <w:szCs w:val="24"/>
        </w:rPr>
        <w:t xml:space="preserve"> other proximate determinant of teenage </w:t>
      </w:r>
      <w:r w:rsidR="00B15021" w:rsidRPr="006E6323">
        <w:rPr>
          <w:rFonts w:asciiTheme="minorHAnsi" w:hAnsiTheme="minorHAnsi" w:cstheme="minorHAnsi"/>
          <w:i/>
          <w:iCs/>
          <w:sz w:val="24"/>
          <w:szCs w:val="24"/>
        </w:rPr>
        <w:t>conceptions</w:t>
      </w:r>
      <w:r w:rsidR="00B15021" w:rsidRPr="0005294E">
        <w:rPr>
          <w:rFonts w:asciiTheme="minorHAnsi" w:hAnsiTheme="minorHAnsi" w:cstheme="minorHAnsi"/>
          <w:sz w:val="24"/>
          <w:szCs w:val="24"/>
        </w:rPr>
        <w:t xml:space="preserve">, contraceptive use, has limited data for England. </w:t>
      </w:r>
      <w:r w:rsidR="00717681">
        <w:rPr>
          <w:rFonts w:asciiTheme="minorHAnsi" w:hAnsiTheme="minorHAnsi" w:cstheme="minorHAnsi"/>
          <w:sz w:val="24"/>
          <w:szCs w:val="24"/>
        </w:rPr>
        <w:t xml:space="preserve">Although </w:t>
      </w:r>
      <w:r w:rsidR="00E86125">
        <w:rPr>
          <w:rFonts w:asciiTheme="minorHAnsi" w:hAnsiTheme="minorHAnsi" w:cstheme="minorHAnsi"/>
          <w:sz w:val="24"/>
          <w:szCs w:val="24"/>
        </w:rPr>
        <w:t>t</w:t>
      </w:r>
      <w:r w:rsidR="00580C52" w:rsidRPr="00624EA4">
        <w:rPr>
          <w:rFonts w:asciiTheme="minorHAnsi" w:hAnsiTheme="minorHAnsi" w:cstheme="minorHAnsi"/>
          <w:sz w:val="24"/>
          <w:szCs w:val="24"/>
        </w:rPr>
        <w:t>h</w:t>
      </w:r>
      <w:r w:rsidR="002B793F" w:rsidRPr="00624EA4">
        <w:rPr>
          <w:rFonts w:asciiTheme="minorHAnsi" w:hAnsiTheme="minorHAnsi" w:cstheme="minorHAnsi"/>
          <w:sz w:val="24"/>
          <w:szCs w:val="24"/>
        </w:rPr>
        <w:t>e</w:t>
      </w:r>
      <w:r w:rsidR="00332D37" w:rsidRPr="00624EA4">
        <w:rPr>
          <w:rFonts w:asciiTheme="minorHAnsi" w:hAnsiTheme="minorHAnsi" w:cstheme="minorHAnsi"/>
          <w:sz w:val="24"/>
          <w:szCs w:val="24"/>
        </w:rPr>
        <w:t xml:space="preserve"> </w:t>
      </w:r>
      <w:r w:rsidR="002E6BB0" w:rsidRPr="00624EA4">
        <w:rPr>
          <w:rFonts w:asciiTheme="minorHAnsi" w:hAnsiTheme="minorHAnsi" w:cstheme="minorHAnsi"/>
          <w:sz w:val="24"/>
          <w:szCs w:val="24"/>
        </w:rPr>
        <w:t>TPS</w:t>
      </w:r>
      <w:r w:rsidR="00580C52" w:rsidRPr="00624EA4">
        <w:rPr>
          <w:rFonts w:asciiTheme="minorHAnsi" w:hAnsiTheme="minorHAnsi" w:cstheme="minorHAnsi"/>
          <w:sz w:val="24"/>
          <w:szCs w:val="24"/>
        </w:rPr>
        <w:t xml:space="preserve"> promoted</w:t>
      </w:r>
      <w:r w:rsidR="002B793F" w:rsidRPr="00624EA4">
        <w:rPr>
          <w:rFonts w:asciiTheme="minorHAnsi" w:hAnsiTheme="minorHAnsi" w:cstheme="minorHAnsi"/>
          <w:sz w:val="24"/>
          <w:szCs w:val="24"/>
        </w:rPr>
        <w:t xml:space="preserve"> </w:t>
      </w:r>
      <w:r w:rsidR="00332D37" w:rsidRPr="00624EA4">
        <w:rPr>
          <w:rFonts w:asciiTheme="minorHAnsi" w:hAnsiTheme="minorHAnsi" w:cstheme="minorHAnsi"/>
          <w:sz w:val="24"/>
          <w:szCs w:val="24"/>
        </w:rPr>
        <w:t>increased</w:t>
      </w:r>
      <w:r w:rsidR="002B793F" w:rsidRPr="00624EA4">
        <w:rPr>
          <w:rFonts w:asciiTheme="minorHAnsi" w:hAnsiTheme="minorHAnsi" w:cstheme="minorHAnsi"/>
          <w:sz w:val="24"/>
          <w:szCs w:val="24"/>
        </w:rPr>
        <w:t xml:space="preserve"> availability and uptake of reliable contraception</w:t>
      </w:r>
      <w:r w:rsidR="0003390B">
        <w:rPr>
          <w:rFonts w:asciiTheme="minorHAnsi" w:hAnsiTheme="minorHAnsi" w:cstheme="minorHAnsi"/>
          <w:sz w:val="24"/>
          <w:szCs w:val="24"/>
        </w:rPr>
        <w:t xml:space="preserve"> </w:t>
      </w:r>
      <w:r w:rsidR="0003390B" w:rsidRPr="00624EA4">
        <w:rPr>
          <w:rFonts w:asciiTheme="minorHAnsi" w:hAnsiTheme="minorHAnsi" w:cstheme="minorHAnsi"/>
          <w:sz w:val="24"/>
          <w:szCs w:val="24"/>
        </w:rPr>
        <w:t>(Connolly et al., 2014)</w:t>
      </w:r>
      <w:r w:rsidR="0003390B">
        <w:rPr>
          <w:rFonts w:asciiTheme="minorHAnsi" w:hAnsiTheme="minorHAnsi" w:cstheme="minorHAnsi"/>
          <w:sz w:val="24"/>
          <w:szCs w:val="24"/>
        </w:rPr>
        <w:t>,</w:t>
      </w:r>
      <w:r w:rsidR="004A4DCE">
        <w:rPr>
          <w:rFonts w:asciiTheme="minorHAnsi" w:hAnsiTheme="minorHAnsi" w:cstheme="minorHAnsi"/>
          <w:sz w:val="24"/>
          <w:szCs w:val="24"/>
        </w:rPr>
        <w:t xml:space="preserve"> measures of </w:t>
      </w:r>
      <w:r w:rsidR="006A1FA9" w:rsidRPr="008C153F">
        <w:rPr>
          <w:rFonts w:asciiTheme="minorHAnsi" w:hAnsiTheme="minorHAnsi" w:cstheme="minorHAnsi"/>
          <w:sz w:val="24"/>
          <w:szCs w:val="24"/>
        </w:rPr>
        <w:t>contraceptive</w:t>
      </w:r>
      <w:r w:rsidR="00667FE5">
        <w:rPr>
          <w:rFonts w:asciiTheme="minorHAnsi" w:hAnsiTheme="minorHAnsi" w:cstheme="minorHAnsi"/>
          <w:sz w:val="24"/>
          <w:szCs w:val="24"/>
        </w:rPr>
        <w:t xml:space="preserve"> pill or LARC </w:t>
      </w:r>
      <w:r w:rsidR="00B93C7C">
        <w:rPr>
          <w:rFonts w:asciiTheme="minorHAnsi" w:hAnsiTheme="minorHAnsi" w:cstheme="minorHAnsi"/>
          <w:sz w:val="24"/>
          <w:szCs w:val="24"/>
        </w:rPr>
        <w:t xml:space="preserve">(Long-Acting Reversible Contraception) </w:t>
      </w:r>
      <w:r w:rsidR="00667FE5">
        <w:rPr>
          <w:rFonts w:asciiTheme="minorHAnsi" w:hAnsiTheme="minorHAnsi" w:cstheme="minorHAnsi"/>
          <w:sz w:val="24"/>
          <w:szCs w:val="24"/>
        </w:rPr>
        <w:t>uptake</w:t>
      </w:r>
      <w:r w:rsidR="007516E7">
        <w:rPr>
          <w:rFonts w:asciiTheme="minorHAnsi" w:hAnsiTheme="minorHAnsi" w:cstheme="minorHAnsi"/>
          <w:sz w:val="24"/>
          <w:szCs w:val="24"/>
        </w:rPr>
        <w:t>s</w:t>
      </w:r>
      <w:r w:rsidR="006A1FA9" w:rsidRPr="008C153F">
        <w:rPr>
          <w:rFonts w:asciiTheme="minorHAnsi" w:hAnsiTheme="minorHAnsi" w:cstheme="minorHAnsi"/>
          <w:sz w:val="24"/>
          <w:szCs w:val="24"/>
        </w:rPr>
        <w:t xml:space="preserve"> </w:t>
      </w:r>
      <w:r w:rsidR="004A4DCE">
        <w:rPr>
          <w:rFonts w:asciiTheme="minorHAnsi" w:hAnsiTheme="minorHAnsi" w:cstheme="minorHAnsi"/>
          <w:sz w:val="24"/>
          <w:szCs w:val="24"/>
        </w:rPr>
        <w:t>are</w:t>
      </w:r>
      <w:r w:rsidR="006A1FA9" w:rsidRPr="00201A11">
        <w:rPr>
          <w:rFonts w:asciiTheme="minorHAnsi" w:hAnsiTheme="minorHAnsi" w:cstheme="minorHAnsi"/>
          <w:sz w:val="24"/>
          <w:szCs w:val="24"/>
        </w:rPr>
        <w:t xml:space="preserve"> n</w:t>
      </w:r>
      <w:r w:rsidR="006A1FA9" w:rsidRPr="007B5855">
        <w:rPr>
          <w:rFonts w:asciiTheme="minorHAnsi" w:hAnsiTheme="minorHAnsi" w:cstheme="minorHAnsi"/>
          <w:sz w:val="24"/>
          <w:szCs w:val="24"/>
        </w:rPr>
        <w:t>ot available at the LAD level for teenagers or adults</w:t>
      </w:r>
      <w:r w:rsidR="00667FE5">
        <w:rPr>
          <w:rFonts w:asciiTheme="minorHAnsi" w:hAnsiTheme="minorHAnsi" w:cstheme="minorHAnsi"/>
          <w:sz w:val="24"/>
          <w:szCs w:val="24"/>
        </w:rPr>
        <w:t xml:space="preserve">. Where </w:t>
      </w:r>
      <w:r w:rsidR="00212A2F">
        <w:rPr>
          <w:rFonts w:asciiTheme="minorHAnsi" w:hAnsiTheme="minorHAnsi" w:cstheme="minorHAnsi"/>
          <w:sz w:val="24"/>
          <w:szCs w:val="24"/>
        </w:rPr>
        <w:t xml:space="preserve">contraceptive use data is </w:t>
      </w:r>
      <w:r w:rsidR="006A1FA9" w:rsidRPr="00B869F5">
        <w:rPr>
          <w:rFonts w:asciiTheme="minorHAnsi" w:hAnsiTheme="minorHAnsi" w:cstheme="minorHAnsi"/>
          <w:sz w:val="24"/>
          <w:szCs w:val="24"/>
        </w:rPr>
        <w:t xml:space="preserve">available for larger </w:t>
      </w:r>
      <w:r w:rsidR="003F7BC1">
        <w:rPr>
          <w:rFonts w:asciiTheme="minorHAnsi" w:hAnsiTheme="minorHAnsi" w:cstheme="minorHAnsi"/>
          <w:sz w:val="24"/>
          <w:szCs w:val="24"/>
        </w:rPr>
        <w:t xml:space="preserve">geographical </w:t>
      </w:r>
      <w:r w:rsidR="006A1FA9" w:rsidRPr="00B869F5">
        <w:rPr>
          <w:rFonts w:asciiTheme="minorHAnsi" w:hAnsiTheme="minorHAnsi" w:cstheme="minorHAnsi"/>
          <w:sz w:val="24"/>
          <w:szCs w:val="24"/>
        </w:rPr>
        <w:t>areas</w:t>
      </w:r>
      <w:r w:rsidR="00212A2F">
        <w:rPr>
          <w:rFonts w:asciiTheme="minorHAnsi" w:hAnsiTheme="minorHAnsi" w:cstheme="minorHAnsi"/>
          <w:sz w:val="24"/>
          <w:szCs w:val="24"/>
        </w:rPr>
        <w:t>, they</w:t>
      </w:r>
      <w:r w:rsidR="006A1FA9" w:rsidRPr="00B869F5">
        <w:rPr>
          <w:rFonts w:asciiTheme="minorHAnsi" w:hAnsiTheme="minorHAnsi" w:cstheme="minorHAnsi"/>
          <w:sz w:val="24"/>
          <w:szCs w:val="24"/>
        </w:rPr>
        <w:t xml:space="preserve"> </w:t>
      </w:r>
      <w:r w:rsidR="006A1FA9" w:rsidRPr="0014445C">
        <w:rPr>
          <w:rFonts w:asciiTheme="minorHAnsi" w:hAnsiTheme="minorHAnsi" w:cstheme="minorHAnsi"/>
          <w:sz w:val="24"/>
          <w:szCs w:val="24"/>
        </w:rPr>
        <w:t xml:space="preserve">do not </w:t>
      </w:r>
      <w:r w:rsidR="003F7BC1">
        <w:rPr>
          <w:rFonts w:asciiTheme="minorHAnsi" w:hAnsiTheme="minorHAnsi" w:cstheme="minorHAnsi"/>
          <w:sz w:val="24"/>
          <w:szCs w:val="24"/>
        </w:rPr>
        <w:t>include</w:t>
      </w:r>
      <w:r w:rsidR="006A1FA9" w:rsidRPr="0014445C">
        <w:rPr>
          <w:rFonts w:asciiTheme="minorHAnsi" w:hAnsiTheme="minorHAnsi" w:cstheme="minorHAnsi"/>
          <w:sz w:val="24"/>
          <w:szCs w:val="24"/>
        </w:rPr>
        <w:t xml:space="preserve"> access from every setting (i.e. </w:t>
      </w:r>
      <w:r w:rsidR="00FC6F29">
        <w:rPr>
          <w:rFonts w:asciiTheme="minorHAnsi" w:hAnsiTheme="minorHAnsi" w:cstheme="minorHAnsi"/>
          <w:sz w:val="24"/>
          <w:szCs w:val="24"/>
        </w:rPr>
        <w:t xml:space="preserve">LARCS from </w:t>
      </w:r>
      <w:r w:rsidR="006A1FA9" w:rsidRPr="0014445C">
        <w:rPr>
          <w:rFonts w:asciiTheme="minorHAnsi" w:hAnsiTheme="minorHAnsi" w:cstheme="minorHAnsi"/>
          <w:sz w:val="24"/>
          <w:szCs w:val="24"/>
        </w:rPr>
        <w:t xml:space="preserve">GPs </w:t>
      </w:r>
      <w:r w:rsidR="006A1FA9" w:rsidRPr="007E37E1">
        <w:rPr>
          <w:rFonts w:asciiTheme="minorHAnsi" w:hAnsiTheme="minorHAnsi" w:cstheme="minorHAnsi"/>
          <w:sz w:val="24"/>
          <w:szCs w:val="24"/>
        </w:rPr>
        <w:t xml:space="preserve">were the only </w:t>
      </w:r>
      <w:r w:rsidR="00FC6F29">
        <w:rPr>
          <w:rFonts w:asciiTheme="minorHAnsi" w:hAnsiTheme="minorHAnsi" w:cstheme="minorHAnsi"/>
          <w:sz w:val="24"/>
          <w:szCs w:val="24"/>
        </w:rPr>
        <w:t xml:space="preserve">measured setting until </w:t>
      </w:r>
      <w:r w:rsidR="006A1FA9" w:rsidRPr="00C633C2">
        <w:rPr>
          <w:rFonts w:asciiTheme="minorHAnsi" w:hAnsiTheme="minorHAnsi" w:cstheme="minorHAnsi"/>
          <w:sz w:val="24"/>
          <w:szCs w:val="24"/>
        </w:rPr>
        <w:t>2014)</w:t>
      </w:r>
      <w:r w:rsidR="006A1FA9" w:rsidRPr="00F93349">
        <w:rPr>
          <w:rFonts w:asciiTheme="minorHAnsi" w:hAnsiTheme="minorHAnsi" w:cstheme="minorHAnsi"/>
          <w:sz w:val="24"/>
          <w:szCs w:val="24"/>
        </w:rPr>
        <w:t>, are often not teenage-specific, and do not cover an extensive time period before the 2010s</w:t>
      </w:r>
      <w:r w:rsidR="00522381">
        <w:rPr>
          <w:rFonts w:asciiTheme="minorHAnsi" w:hAnsiTheme="minorHAnsi" w:cstheme="minorHAnsi"/>
          <w:sz w:val="24"/>
          <w:szCs w:val="24"/>
        </w:rPr>
        <w:t xml:space="preserve">. </w:t>
      </w:r>
      <w:r w:rsidR="002B2037">
        <w:rPr>
          <w:rFonts w:asciiTheme="minorHAnsi" w:hAnsiTheme="minorHAnsi" w:cstheme="minorHAnsi"/>
          <w:sz w:val="24"/>
          <w:szCs w:val="24"/>
        </w:rPr>
        <w:t>Nonetheless, i</w:t>
      </w:r>
      <w:r w:rsidR="005A17CC">
        <w:rPr>
          <w:rFonts w:asciiTheme="minorHAnsi" w:hAnsiTheme="minorHAnsi" w:cstheme="minorHAnsi"/>
          <w:sz w:val="24"/>
          <w:szCs w:val="24"/>
        </w:rPr>
        <w:t>n</w:t>
      </w:r>
      <w:r w:rsidR="00305E40">
        <w:rPr>
          <w:rFonts w:asciiTheme="minorHAnsi" w:hAnsiTheme="minorHAnsi" w:cstheme="minorHAnsi"/>
          <w:sz w:val="24"/>
          <w:szCs w:val="24"/>
        </w:rPr>
        <w:t xml:space="preserve"> </w:t>
      </w:r>
      <w:r w:rsidR="00F940F0">
        <w:rPr>
          <w:rFonts w:asciiTheme="minorHAnsi" w:hAnsiTheme="minorHAnsi" w:cstheme="minorHAnsi"/>
          <w:sz w:val="24"/>
          <w:szCs w:val="24"/>
        </w:rPr>
        <w:t>the most recently available</w:t>
      </w:r>
      <w:r w:rsidR="00305E40">
        <w:rPr>
          <w:rFonts w:asciiTheme="minorHAnsi" w:hAnsiTheme="minorHAnsi" w:cstheme="minorHAnsi"/>
          <w:sz w:val="24"/>
          <w:szCs w:val="24"/>
        </w:rPr>
        <w:t xml:space="preserve"> national</w:t>
      </w:r>
      <w:r w:rsidR="005A17CC">
        <w:rPr>
          <w:rFonts w:asciiTheme="minorHAnsi" w:hAnsiTheme="minorHAnsi" w:cstheme="minorHAnsi"/>
          <w:sz w:val="24"/>
          <w:szCs w:val="24"/>
        </w:rPr>
        <w:t>ly representative survey</w:t>
      </w:r>
      <w:r w:rsidR="003F11CD">
        <w:rPr>
          <w:rFonts w:asciiTheme="minorHAnsi" w:hAnsiTheme="minorHAnsi" w:cstheme="minorHAnsi"/>
          <w:sz w:val="24"/>
          <w:szCs w:val="24"/>
        </w:rPr>
        <w:t>, t</w:t>
      </w:r>
      <w:r w:rsidR="00580C52" w:rsidRPr="00624EA4">
        <w:rPr>
          <w:rFonts w:asciiTheme="minorHAnsi" w:hAnsiTheme="minorHAnsi" w:cstheme="minorHAnsi"/>
          <w:sz w:val="24"/>
          <w:szCs w:val="24"/>
        </w:rPr>
        <w:t xml:space="preserve">eenagers </w:t>
      </w:r>
      <w:r w:rsidR="00A47CE2" w:rsidRPr="00624EA4">
        <w:rPr>
          <w:rFonts w:asciiTheme="minorHAnsi" w:hAnsiTheme="minorHAnsi" w:cstheme="minorHAnsi"/>
          <w:sz w:val="24"/>
          <w:szCs w:val="24"/>
        </w:rPr>
        <w:t xml:space="preserve">aged 16 to 19 were significantly more likely to use LARCs in 2010 to 2012 (13%) than in </w:t>
      </w:r>
      <w:r w:rsidR="0015051E" w:rsidRPr="00624EA4">
        <w:rPr>
          <w:rFonts w:asciiTheme="minorHAnsi" w:hAnsiTheme="minorHAnsi" w:cstheme="minorHAnsi"/>
          <w:sz w:val="24"/>
          <w:szCs w:val="24"/>
        </w:rPr>
        <w:t>1999</w:t>
      </w:r>
      <w:r w:rsidR="00A47CE2" w:rsidRPr="00624EA4">
        <w:rPr>
          <w:rFonts w:asciiTheme="minorHAnsi" w:hAnsiTheme="minorHAnsi" w:cstheme="minorHAnsi"/>
          <w:sz w:val="24"/>
          <w:szCs w:val="24"/>
        </w:rPr>
        <w:t xml:space="preserve"> to 2001 (1%) </w:t>
      </w:r>
      <w:r w:rsidR="00867024" w:rsidRPr="00624EA4">
        <w:rPr>
          <w:rFonts w:asciiTheme="minorHAnsi" w:hAnsiTheme="minorHAnsi" w:cstheme="minorHAnsi"/>
          <w:sz w:val="24"/>
          <w:szCs w:val="24"/>
        </w:rPr>
        <w:t>(</w:t>
      </w:r>
      <w:r w:rsidR="00580C52" w:rsidRPr="00624EA4">
        <w:rPr>
          <w:rFonts w:asciiTheme="minorHAnsi" w:hAnsiTheme="minorHAnsi" w:cstheme="minorHAnsi"/>
          <w:sz w:val="24"/>
          <w:szCs w:val="24"/>
        </w:rPr>
        <w:t>Scott</w:t>
      </w:r>
      <w:r w:rsidR="00867024" w:rsidRPr="00624EA4">
        <w:rPr>
          <w:rFonts w:asciiTheme="minorHAnsi" w:hAnsiTheme="minorHAnsi" w:cstheme="minorHAnsi"/>
          <w:sz w:val="24"/>
          <w:szCs w:val="24"/>
        </w:rPr>
        <w:t xml:space="preserve"> et al., </w:t>
      </w:r>
      <w:r w:rsidR="00AB74D7" w:rsidRPr="00624EA4">
        <w:rPr>
          <w:rFonts w:asciiTheme="minorHAnsi" w:hAnsiTheme="minorHAnsi" w:cstheme="minorHAnsi"/>
          <w:sz w:val="24"/>
          <w:szCs w:val="24"/>
        </w:rPr>
        <w:t>2020</w:t>
      </w:r>
      <w:r w:rsidR="00383036" w:rsidRPr="00624EA4">
        <w:rPr>
          <w:rFonts w:asciiTheme="minorHAnsi" w:hAnsiTheme="minorHAnsi" w:cstheme="minorHAnsi"/>
          <w:sz w:val="24"/>
          <w:szCs w:val="24"/>
        </w:rPr>
        <w:t>)</w:t>
      </w:r>
      <w:r w:rsidR="006C31FE" w:rsidRPr="00624EA4">
        <w:rPr>
          <w:rFonts w:asciiTheme="minorHAnsi" w:hAnsiTheme="minorHAnsi" w:cstheme="minorHAnsi"/>
          <w:sz w:val="24"/>
          <w:szCs w:val="24"/>
        </w:rPr>
        <w:t xml:space="preserve">. </w:t>
      </w:r>
      <w:r w:rsidR="00751FAB">
        <w:rPr>
          <w:rFonts w:asciiTheme="minorHAnsi" w:hAnsiTheme="minorHAnsi" w:cstheme="minorHAnsi"/>
          <w:sz w:val="24"/>
          <w:szCs w:val="24"/>
        </w:rPr>
        <w:t xml:space="preserve">Whilst </w:t>
      </w:r>
      <w:r w:rsidR="002B793F" w:rsidRPr="00624EA4">
        <w:rPr>
          <w:rFonts w:asciiTheme="minorHAnsi" w:hAnsiTheme="minorHAnsi" w:cstheme="minorHAnsi"/>
          <w:sz w:val="24"/>
          <w:szCs w:val="24"/>
        </w:rPr>
        <w:t xml:space="preserve">Girma and Paton </w:t>
      </w:r>
      <w:r w:rsidR="00383036" w:rsidRPr="00624EA4">
        <w:rPr>
          <w:rFonts w:asciiTheme="minorHAnsi" w:hAnsiTheme="minorHAnsi" w:cstheme="minorHAnsi"/>
          <w:sz w:val="24"/>
          <w:szCs w:val="24"/>
        </w:rPr>
        <w:t>(</w:t>
      </w:r>
      <w:r w:rsidR="00E12EB6" w:rsidRPr="00624EA4">
        <w:rPr>
          <w:rFonts w:asciiTheme="minorHAnsi" w:hAnsiTheme="minorHAnsi" w:cstheme="minorHAnsi"/>
          <w:sz w:val="24"/>
          <w:szCs w:val="24"/>
        </w:rPr>
        <w:t>2015</w:t>
      </w:r>
      <w:r w:rsidR="00383036" w:rsidRPr="00624EA4">
        <w:rPr>
          <w:rFonts w:asciiTheme="minorHAnsi" w:hAnsiTheme="minorHAnsi" w:cstheme="minorHAnsi"/>
          <w:sz w:val="24"/>
          <w:szCs w:val="24"/>
        </w:rPr>
        <w:t>)</w:t>
      </w:r>
      <w:r w:rsidR="002B793F" w:rsidRPr="00624EA4">
        <w:rPr>
          <w:rFonts w:asciiTheme="minorHAnsi" w:hAnsiTheme="minorHAnsi" w:cstheme="minorHAnsi"/>
          <w:sz w:val="24"/>
          <w:szCs w:val="24"/>
        </w:rPr>
        <w:t xml:space="preserve"> did not find LARC uptake to be significantly associated with declines in teenage conception rate, they did not use youth-specific uptake. </w:t>
      </w:r>
    </w:p>
    <w:p w14:paraId="5BD49AF4" w14:textId="2A03F8E1" w:rsidR="002B793F" w:rsidRPr="0044286B" w:rsidRDefault="002B793F" w:rsidP="00CD0462">
      <w:pPr>
        <w:rPr>
          <w:rFonts w:asciiTheme="minorHAnsi" w:hAnsiTheme="minorHAnsi" w:cstheme="minorHAnsi"/>
          <w:sz w:val="24"/>
          <w:szCs w:val="24"/>
        </w:rPr>
      </w:pPr>
      <w:r w:rsidRPr="00624EA4">
        <w:rPr>
          <w:rFonts w:asciiTheme="minorHAnsi" w:hAnsiTheme="minorHAnsi" w:cstheme="minorHAnsi"/>
          <w:sz w:val="24"/>
          <w:szCs w:val="24"/>
        </w:rPr>
        <w:t xml:space="preserve">The </w:t>
      </w:r>
      <w:r w:rsidR="00B0584F">
        <w:rPr>
          <w:rFonts w:asciiTheme="minorHAnsi" w:hAnsiTheme="minorHAnsi" w:cstheme="minorHAnsi"/>
          <w:sz w:val="24"/>
          <w:szCs w:val="24"/>
        </w:rPr>
        <w:t xml:space="preserve">UK government </w:t>
      </w:r>
      <w:r w:rsidRPr="00624EA4">
        <w:rPr>
          <w:rFonts w:asciiTheme="minorHAnsi" w:hAnsiTheme="minorHAnsi" w:cstheme="minorHAnsi"/>
          <w:sz w:val="24"/>
          <w:szCs w:val="24"/>
        </w:rPr>
        <w:t xml:space="preserve">also introduced </w:t>
      </w:r>
      <w:r w:rsidR="00151EDD">
        <w:rPr>
          <w:rFonts w:asciiTheme="minorHAnsi" w:hAnsiTheme="minorHAnsi" w:cstheme="minorHAnsi"/>
          <w:sz w:val="24"/>
          <w:szCs w:val="24"/>
        </w:rPr>
        <w:t xml:space="preserve">access to </w:t>
      </w:r>
      <w:r w:rsidRPr="00624EA4">
        <w:rPr>
          <w:rFonts w:asciiTheme="minorHAnsi" w:hAnsiTheme="minorHAnsi" w:cstheme="minorHAnsi"/>
          <w:sz w:val="24"/>
          <w:szCs w:val="24"/>
        </w:rPr>
        <w:t xml:space="preserve">over-the-counter </w:t>
      </w:r>
      <w:r w:rsidR="003F2636" w:rsidRPr="00624EA4">
        <w:rPr>
          <w:rFonts w:asciiTheme="minorHAnsi" w:hAnsiTheme="minorHAnsi" w:cstheme="minorHAnsi"/>
          <w:sz w:val="24"/>
          <w:szCs w:val="24"/>
        </w:rPr>
        <w:t>e</w:t>
      </w:r>
      <w:r w:rsidRPr="00624EA4">
        <w:rPr>
          <w:rFonts w:asciiTheme="minorHAnsi" w:hAnsiTheme="minorHAnsi" w:cstheme="minorHAnsi"/>
          <w:sz w:val="24"/>
          <w:szCs w:val="24"/>
        </w:rPr>
        <w:t xml:space="preserve">mergency </w:t>
      </w:r>
      <w:r w:rsidR="003F2636" w:rsidRPr="00624EA4">
        <w:rPr>
          <w:rFonts w:asciiTheme="minorHAnsi" w:hAnsiTheme="minorHAnsi" w:cstheme="minorHAnsi"/>
          <w:sz w:val="24"/>
          <w:szCs w:val="24"/>
        </w:rPr>
        <w:t>h</w:t>
      </w:r>
      <w:r w:rsidR="00F61E26" w:rsidRPr="00624EA4">
        <w:rPr>
          <w:rFonts w:asciiTheme="minorHAnsi" w:hAnsiTheme="minorHAnsi" w:cstheme="minorHAnsi"/>
          <w:sz w:val="24"/>
          <w:szCs w:val="24"/>
        </w:rPr>
        <w:t xml:space="preserve">ormonal </w:t>
      </w:r>
      <w:r w:rsidR="003F2636" w:rsidRPr="00624EA4">
        <w:rPr>
          <w:rFonts w:asciiTheme="minorHAnsi" w:hAnsiTheme="minorHAnsi" w:cstheme="minorHAnsi"/>
          <w:sz w:val="24"/>
          <w:szCs w:val="24"/>
        </w:rPr>
        <w:t>c</w:t>
      </w:r>
      <w:r w:rsidRPr="00624EA4">
        <w:rPr>
          <w:rFonts w:asciiTheme="minorHAnsi" w:hAnsiTheme="minorHAnsi" w:cstheme="minorHAnsi"/>
          <w:sz w:val="24"/>
          <w:szCs w:val="24"/>
        </w:rPr>
        <w:t xml:space="preserve">ontraception </w:t>
      </w:r>
      <w:r w:rsidR="00F847C4">
        <w:rPr>
          <w:rFonts w:asciiTheme="minorHAnsi" w:hAnsiTheme="minorHAnsi" w:cstheme="minorHAnsi"/>
          <w:sz w:val="24"/>
          <w:szCs w:val="24"/>
        </w:rPr>
        <w:t xml:space="preserve">or </w:t>
      </w:r>
      <w:r w:rsidR="00176B47">
        <w:rPr>
          <w:rFonts w:asciiTheme="minorHAnsi" w:hAnsiTheme="minorHAnsi" w:cstheme="minorHAnsi"/>
          <w:sz w:val="24"/>
          <w:szCs w:val="24"/>
        </w:rPr>
        <w:t>‘</w:t>
      </w:r>
      <w:r w:rsidR="00F1236F">
        <w:rPr>
          <w:rFonts w:asciiTheme="minorHAnsi" w:hAnsiTheme="minorHAnsi" w:cstheme="minorHAnsi"/>
          <w:sz w:val="24"/>
          <w:szCs w:val="24"/>
        </w:rPr>
        <w:t>the morning after pill</w:t>
      </w:r>
      <w:r w:rsidR="00176B47">
        <w:rPr>
          <w:rFonts w:asciiTheme="minorHAnsi" w:hAnsiTheme="minorHAnsi" w:cstheme="minorHAnsi"/>
          <w:sz w:val="24"/>
          <w:szCs w:val="24"/>
        </w:rPr>
        <w:t>’</w:t>
      </w:r>
      <w:r w:rsidR="00F847C4">
        <w:rPr>
          <w:rFonts w:asciiTheme="minorHAnsi" w:hAnsiTheme="minorHAnsi" w:cstheme="minorHAnsi"/>
          <w:sz w:val="24"/>
          <w:szCs w:val="24"/>
        </w:rPr>
        <w:t xml:space="preserve"> </w:t>
      </w:r>
      <w:r w:rsidR="00030702">
        <w:rPr>
          <w:rFonts w:asciiTheme="minorHAnsi" w:hAnsiTheme="minorHAnsi" w:cstheme="minorHAnsi"/>
          <w:sz w:val="24"/>
          <w:szCs w:val="24"/>
        </w:rPr>
        <w:t xml:space="preserve">in 2001 </w:t>
      </w:r>
      <w:r w:rsidR="00A10315" w:rsidRPr="00624EA4">
        <w:rPr>
          <w:rFonts w:asciiTheme="minorHAnsi" w:hAnsiTheme="minorHAnsi" w:cstheme="minorHAnsi"/>
          <w:sz w:val="24"/>
          <w:szCs w:val="24"/>
        </w:rPr>
        <w:t xml:space="preserve">(access without </w:t>
      </w:r>
      <w:r w:rsidR="00176B47">
        <w:rPr>
          <w:rFonts w:asciiTheme="minorHAnsi" w:hAnsiTheme="minorHAnsi" w:cstheme="minorHAnsi"/>
          <w:sz w:val="24"/>
          <w:szCs w:val="24"/>
        </w:rPr>
        <w:t>a doctor’s prescription</w:t>
      </w:r>
      <w:r w:rsidR="00A10315" w:rsidRPr="00624EA4">
        <w:rPr>
          <w:rFonts w:asciiTheme="minorHAnsi" w:hAnsiTheme="minorHAnsi" w:cstheme="minorHAnsi"/>
          <w:sz w:val="24"/>
          <w:szCs w:val="24"/>
        </w:rPr>
        <w:t xml:space="preserve">) </w:t>
      </w:r>
      <w:r w:rsidR="00D94162">
        <w:rPr>
          <w:rFonts w:asciiTheme="minorHAnsi" w:hAnsiTheme="minorHAnsi" w:cstheme="minorHAnsi"/>
          <w:sz w:val="24"/>
          <w:szCs w:val="24"/>
        </w:rPr>
        <w:t xml:space="preserve">(Ashraf and McCarthy, 2000) </w:t>
      </w:r>
      <w:r w:rsidR="00A10315" w:rsidRPr="00624EA4">
        <w:rPr>
          <w:rFonts w:asciiTheme="minorHAnsi" w:hAnsiTheme="minorHAnsi" w:cstheme="minorHAnsi"/>
          <w:sz w:val="24"/>
          <w:szCs w:val="24"/>
        </w:rPr>
        <w:t xml:space="preserve">but </w:t>
      </w:r>
      <w:r w:rsidR="00030702">
        <w:rPr>
          <w:rFonts w:asciiTheme="minorHAnsi" w:hAnsiTheme="minorHAnsi" w:cstheme="minorHAnsi"/>
          <w:sz w:val="24"/>
          <w:szCs w:val="24"/>
        </w:rPr>
        <w:t xml:space="preserve">have not measured </w:t>
      </w:r>
      <w:r w:rsidR="00751FAB">
        <w:rPr>
          <w:rFonts w:asciiTheme="minorHAnsi" w:hAnsiTheme="minorHAnsi" w:cstheme="minorHAnsi"/>
          <w:sz w:val="24"/>
          <w:szCs w:val="24"/>
        </w:rPr>
        <w:t xml:space="preserve">the </w:t>
      </w:r>
      <w:r w:rsidR="00DF73DC">
        <w:rPr>
          <w:rFonts w:asciiTheme="minorHAnsi" w:hAnsiTheme="minorHAnsi" w:cstheme="minorHAnsi"/>
          <w:sz w:val="24"/>
          <w:szCs w:val="24"/>
        </w:rPr>
        <w:t xml:space="preserve">variation in the </w:t>
      </w:r>
      <w:r w:rsidR="007F5E70">
        <w:rPr>
          <w:rFonts w:asciiTheme="minorHAnsi" w:hAnsiTheme="minorHAnsi" w:cstheme="minorHAnsi"/>
          <w:sz w:val="24"/>
          <w:szCs w:val="24"/>
        </w:rPr>
        <w:t xml:space="preserve">local </w:t>
      </w:r>
      <w:r w:rsidR="00151EDD">
        <w:rPr>
          <w:rFonts w:asciiTheme="minorHAnsi" w:hAnsiTheme="minorHAnsi" w:cstheme="minorHAnsi"/>
          <w:sz w:val="24"/>
          <w:szCs w:val="24"/>
        </w:rPr>
        <w:t>use</w:t>
      </w:r>
      <w:r w:rsidR="00A10315" w:rsidRPr="00624EA4">
        <w:rPr>
          <w:rFonts w:asciiTheme="minorHAnsi" w:hAnsiTheme="minorHAnsi" w:cstheme="minorHAnsi"/>
          <w:sz w:val="24"/>
          <w:szCs w:val="24"/>
        </w:rPr>
        <w:t xml:space="preserve">. </w:t>
      </w:r>
      <w:r w:rsidR="00A10315" w:rsidRPr="00846EE2">
        <w:rPr>
          <w:rFonts w:asciiTheme="minorHAnsi" w:hAnsiTheme="minorHAnsi" w:cstheme="minorHAnsi"/>
          <w:sz w:val="24"/>
          <w:szCs w:val="24"/>
        </w:rPr>
        <w:t xml:space="preserve">Therefore, the </w:t>
      </w:r>
      <w:r w:rsidR="007F5E70">
        <w:rPr>
          <w:rFonts w:asciiTheme="minorHAnsi" w:hAnsiTheme="minorHAnsi" w:cstheme="minorHAnsi"/>
          <w:sz w:val="24"/>
          <w:szCs w:val="24"/>
        </w:rPr>
        <w:t xml:space="preserve">only </w:t>
      </w:r>
      <w:r w:rsidR="00A10315" w:rsidRPr="00846EE2">
        <w:rPr>
          <w:rFonts w:asciiTheme="minorHAnsi" w:hAnsiTheme="minorHAnsi" w:cstheme="minorHAnsi"/>
          <w:sz w:val="24"/>
          <w:szCs w:val="24"/>
        </w:rPr>
        <w:t xml:space="preserve">available </w:t>
      </w:r>
      <w:r w:rsidR="002A4CD3" w:rsidRPr="00846EE2">
        <w:rPr>
          <w:rFonts w:asciiTheme="minorHAnsi" w:hAnsiTheme="minorHAnsi" w:cstheme="minorHAnsi"/>
          <w:sz w:val="24"/>
          <w:szCs w:val="24"/>
        </w:rPr>
        <w:t>measures of emergency contraception</w:t>
      </w:r>
      <w:r w:rsidR="002141BA">
        <w:rPr>
          <w:rFonts w:asciiTheme="minorHAnsi" w:hAnsiTheme="minorHAnsi" w:cstheme="minorHAnsi"/>
          <w:sz w:val="24"/>
          <w:szCs w:val="24"/>
        </w:rPr>
        <w:t xml:space="preserve"> </w:t>
      </w:r>
      <w:r w:rsidR="00D7607E">
        <w:rPr>
          <w:rFonts w:asciiTheme="minorHAnsi" w:hAnsiTheme="minorHAnsi" w:cstheme="minorHAnsi"/>
          <w:sz w:val="24"/>
          <w:szCs w:val="24"/>
        </w:rPr>
        <w:t>from Sexual and Reprodu</w:t>
      </w:r>
      <w:r w:rsidR="0080394C">
        <w:rPr>
          <w:rFonts w:asciiTheme="minorHAnsi" w:hAnsiTheme="minorHAnsi" w:cstheme="minorHAnsi"/>
          <w:sz w:val="24"/>
          <w:szCs w:val="24"/>
        </w:rPr>
        <w:t>c</w:t>
      </w:r>
      <w:r w:rsidR="00D7607E">
        <w:rPr>
          <w:rFonts w:asciiTheme="minorHAnsi" w:hAnsiTheme="minorHAnsi" w:cstheme="minorHAnsi"/>
          <w:sz w:val="24"/>
          <w:szCs w:val="24"/>
        </w:rPr>
        <w:t xml:space="preserve">tive Health Services do </w:t>
      </w:r>
      <w:r w:rsidR="004658F6">
        <w:rPr>
          <w:rFonts w:asciiTheme="minorHAnsi" w:hAnsiTheme="minorHAnsi" w:cstheme="minorHAnsi"/>
          <w:sz w:val="24"/>
          <w:szCs w:val="24"/>
        </w:rPr>
        <w:t xml:space="preserve">not capture </w:t>
      </w:r>
      <w:r w:rsidR="00C616BB">
        <w:rPr>
          <w:rFonts w:asciiTheme="minorHAnsi" w:hAnsiTheme="minorHAnsi" w:cstheme="minorHAnsi"/>
          <w:sz w:val="24"/>
          <w:szCs w:val="24"/>
        </w:rPr>
        <w:t>most</w:t>
      </w:r>
      <w:r w:rsidR="00D7607E">
        <w:rPr>
          <w:rFonts w:asciiTheme="minorHAnsi" w:hAnsiTheme="minorHAnsi" w:cstheme="minorHAnsi"/>
          <w:sz w:val="24"/>
          <w:szCs w:val="24"/>
        </w:rPr>
        <w:t xml:space="preserve"> </w:t>
      </w:r>
      <w:r w:rsidR="00C8722E">
        <w:rPr>
          <w:rFonts w:asciiTheme="minorHAnsi" w:hAnsiTheme="minorHAnsi" w:cstheme="minorHAnsi"/>
          <w:sz w:val="24"/>
          <w:szCs w:val="24"/>
        </w:rPr>
        <w:t xml:space="preserve">emergency contraceptive use. </w:t>
      </w:r>
      <w:r w:rsidR="00A43CB7" w:rsidRPr="003D099F">
        <w:rPr>
          <w:rFonts w:asciiTheme="minorHAnsi" w:hAnsiTheme="minorHAnsi" w:cstheme="minorHAnsi"/>
          <w:sz w:val="24"/>
          <w:szCs w:val="24"/>
        </w:rPr>
        <w:t xml:space="preserve">Whilst </w:t>
      </w:r>
      <w:r w:rsidRPr="005851B6">
        <w:rPr>
          <w:rFonts w:asciiTheme="minorHAnsi" w:hAnsiTheme="minorHAnsi" w:cstheme="minorHAnsi"/>
          <w:sz w:val="24"/>
          <w:szCs w:val="24"/>
        </w:rPr>
        <w:t xml:space="preserve">Black and colleagues </w:t>
      </w:r>
      <w:r w:rsidR="00A43CB7" w:rsidRPr="0044286B">
        <w:rPr>
          <w:rFonts w:asciiTheme="minorHAnsi" w:hAnsiTheme="minorHAnsi" w:cstheme="minorHAnsi"/>
          <w:sz w:val="24"/>
          <w:szCs w:val="24"/>
        </w:rPr>
        <w:t>found a slight</w:t>
      </w:r>
      <w:r w:rsidR="00BF2B82" w:rsidRPr="0044286B">
        <w:rPr>
          <w:rFonts w:asciiTheme="minorHAnsi" w:hAnsiTheme="minorHAnsi" w:cstheme="minorHAnsi"/>
          <w:sz w:val="24"/>
          <w:szCs w:val="24"/>
        </w:rPr>
        <w:t xml:space="preserve"> </w:t>
      </w:r>
      <w:r w:rsidRPr="0044286B">
        <w:rPr>
          <w:rFonts w:asciiTheme="minorHAnsi" w:hAnsiTheme="minorHAnsi" w:cstheme="minorHAnsi"/>
          <w:sz w:val="24"/>
          <w:szCs w:val="24"/>
        </w:rPr>
        <w:t xml:space="preserve">increase of </w:t>
      </w:r>
      <w:r w:rsidR="00F16E96" w:rsidRPr="0044286B">
        <w:rPr>
          <w:rFonts w:asciiTheme="minorHAnsi" w:hAnsiTheme="minorHAnsi" w:cstheme="minorHAnsi"/>
          <w:sz w:val="24"/>
          <w:szCs w:val="24"/>
        </w:rPr>
        <w:t xml:space="preserve">reported </w:t>
      </w:r>
      <w:r w:rsidRPr="0044286B">
        <w:rPr>
          <w:rFonts w:asciiTheme="minorHAnsi" w:hAnsiTheme="minorHAnsi" w:cstheme="minorHAnsi"/>
          <w:sz w:val="24"/>
          <w:szCs w:val="24"/>
        </w:rPr>
        <w:t xml:space="preserve">emergency contraceptive use </w:t>
      </w:r>
      <w:r w:rsidR="00F42E73" w:rsidRPr="0044286B">
        <w:rPr>
          <w:rFonts w:asciiTheme="minorHAnsi" w:hAnsiTheme="minorHAnsi" w:cstheme="minorHAnsi"/>
          <w:sz w:val="24"/>
          <w:szCs w:val="24"/>
        </w:rPr>
        <w:t>during</w:t>
      </w:r>
      <w:r w:rsidRPr="0044286B">
        <w:rPr>
          <w:rFonts w:asciiTheme="minorHAnsi" w:hAnsiTheme="minorHAnsi" w:cstheme="minorHAnsi"/>
          <w:sz w:val="24"/>
          <w:szCs w:val="24"/>
        </w:rPr>
        <w:t xml:space="preserve"> the </w:t>
      </w:r>
      <w:r w:rsidR="00F16E96" w:rsidRPr="0044286B">
        <w:rPr>
          <w:rFonts w:asciiTheme="minorHAnsi" w:hAnsiTheme="minorHAnsi" w:cstheme="minorHAnsi"/>
          <w:sz w:val="24"/>
          <w:szCs w:val="24"/>
        </w:rPr>
        <w:t>previous</w:t>
      </w:r>
      <w:r w:rsidRPr="0044286B">
        <w:rPr>
          <w:rFonts w:asciiTheme="minorHAnsi" w:hAnsiTheme="minorHAnsi" w:cstheme="minorHAnsi"/>
          <w:sz w:val="24"/>
          <w:szCs w:val="24"/>
        </w:rPr>
        <w:t xml:space="preserve"> year </w:t>
      </w:r>
      <w:r w:rsidR="00F16E96" w:rsidRPr="0044286B">
        <w:rPr>
          <w:rFonts w:asciiTheme="minorHAnsi" w:hAnsiTheme="minorHAnsi" w:cstheme="minorHAnsi"/>
          <w:sz w:val="24"/>
          <w:szCs w:val="24"/>
        </w:rPr>
        <w:t xml:space="preserve">amongst </w:t>
      </w:r>
      <w:r w:rsidRPr="0044286B">
        <w:rPr>
          <w:rFonts w:asciiTheme="minorHAnsi" w:hAnsiTheme="minorHAnsi" w:cstheme="minorHAnsi"/>
          <w:sz w:val="24"/>
          <w:szCs w:val="24"/>
        </w:rPr>
        <w:t>sexually active female</w:t>
      </w:r>
      <w:r w:rsidR="00F16E96" w:rsidRPr="0044286B">
        <w:rPr>
          <w:rFonts w:asciiTheme="minorHAnsi" w:hAnsiTheme="minorHAnsi" w:cstheme="minorHAnsi"/>
          <w:sz w:val="24"/>
          <w:szCs w:val="24"/>
        </w:rPr>
        <w:t xml:space="preserve">s </w:t>
      </w:r>
      <w:r w:rsidR="00F16E96" w:rsidRPr="0044286B">
        <w:rPr>
          <w:rFonts w:asciiTheme="minorHAnsi" w:hAnsiTheme="minorHAnsi" w:cstheme="minorHAnsi"/>
          <w:sz w:val="24"/>
          <w:szCs w:val="24"/>
        </w:rPr>
        <w:lastRenderedPageBreak/>
        <w:t xml:space="preserve">aged </w:t>
      </w:r>
      <w:r w:rsidRPr="0044286B">
        <w:rPr>
          <w:rFonts w:asciiTheme="minorHAnsi" w:hAnsiTheme="minorHAnsi" w:cstheme="minorHAnsi"/>
          <w:sz w:val="24"/>
          <w:szCs w:val="24"/>
        </w:rPr>
        <w:t>16</w:t>
      </w:r>
      <w:r w:rsidR="00F16E96" w:rsidRPr="0044286B">
        <w:rPr>
          <w:rFonts w:asciiTheme="minorHAnsi" w:hAnsiTheme="minorHAnsi" w:cstheme="minorHAnsi"/>
          <w:sz w:val="24"/>
          <w:szCs w:val="24"/>
        </w:rPr>
        <w:t xml:space="preserve"> </w:t>
      </w:r>
      <w:r w:rsidR="00F93AB8" w:rsidRPr="0044286B">
        <w:rPr>
          <w:rFonts w:asciiTheme="minorHAnsi" w:hAnsiTheme="minorHAnsi" w:cstheme="minorHAnsi"/>
          <w:sz w:val="24"/>
          <w:szCs w:val="24"/>
        </w:rPr>
        <w:t>to</w:t>
      </w:r>
      <w:r w:rsidR="00F16E96" w:rsidRPr="0044286B">
        <w:rPr>
          <w:rFonts w:asciiTheme="minorHAnsi" w:hAnsiTheme="minorHAnsi" w:cstheme="minorHAnsi"/>
          <w:sz w:val="24"/>
          <w:szCs w:val="24"/>
        </w:rPr>
        <w:t xml:space="preserve"> </w:t>
      </w:r>
      <w:r w:rsidRPr="0044286B">
        <w:rPr>
          <w:rFonts w:asciiTheme="minorHAnsi" w:hAnsiTheme="minorHAnsi" w:cstheme="minorHAnsi"/>
          <w:sz w:val="24"/>
          <w:szCs w:val="24"/>
        </w:rPr>
        <w:t xml:space="preserve">24 </w:t>
      </w:r>
      <w:r w:rsidR="00136F1A">
        <w:rPr>
          <w:rFonts w:asciiTheme="minorHAnsi" w:hAnsiTheme="minorHAnsi" w:cstheme="minorHAnsi"/>
          <w:sz w:val="24"/>
          <w:szCs w:val="24"/>
        </w:rPr>
        <w:t>from</w:t>
      </w:r>
      <w:r w:rsidR="00136F1A" w:rsidRPr="0044286B">
        <w:rPr>
          <w:rFonts w:asciiTheme="minorHAnsi" w:hAnsiTheme="minorHAnsi" w:cstheme="minorHAnsi"/>
          <w:sz w:val="24"/>
          <w:szCs w:val="24"/>
        </w:rPr>
        <w:t xml:space="preserve"> </w:t>
      </w:r>
      <w:r w:rsidRPr="0044286B">
        <w:rPr>
          <w:rFonts w:asciiTheme="minorHAnsi" w:hAnsiTheme="minorHAnsi" w:cstheme="minorHAnsi"/>
          <w:sz w:val="24"/>
          <w:szCs w:val="24"/>
        </w:rPr>
        <w:t>1999-2001 (5.2%) to 2010-2012 (7.1%)</w:t>
      </w:r>
      <w:r w:rsidR="00A43CB7" w:rsidRPr="0044286B">
        <w:rPr>
          <w:rFonts w:asciiTheme="minorHAnsi" w:hAnsiTheme="minorHAnsi" w:cstheme="minorHAnsi"/>
          <w:sz w:val="24"/>
          <w:szCs w:val="24"/>
        </w:rPr>
        <w:t>, this study does not include more recent years</w:t>
      </w:r>
      <w:r w:rsidR="00867024" w:rsidRPr="0044286B">
        <w:rPr>
          <w:rFonts w:asciiTheme="minorHAnsi" w:hAnsiTheme="minorHAnsi" w:cstheme="minorHAnsi"/>
          <w:sz w:val="24"/>
          <w:szCs w:val="24"/>
        </w:rPr>
        <w:t xml:space="preserve"> </w:t>
      </w:r>
      <w:r w:rsidR="00867024" w:rsidRPr="001F2F3D">
        <w:rPr>
          <w:rFonts w:asciiTheme="minorHAnsi" w:hAnsiTheme="minorHAnsi" w:cstheme="minorHAnsi"/>
          <w:sz w:val="24"/>
          <w:szCs w:val="24"/>
        </w:rPr>
        <w:t>(Black et al., 2016)</w:t>
      </w:r>
      <w:r w:rsidRPr="0044286B">
        <w:rPr>
          <w:rFonts w:asciiTheme="minorHAnsi" w:hAnsiTheme="minorHAnsi" w:cstheme="minorHAnsi"/>
          <w:sz w:val="24"/>
          <w:szCs w:val="24"/>
        </w:rPr>
        <w:t xml:space="preserve">. </w:t>
      </w:r>
    </w:p>
    <w:p w14:paraId="456CAB20" w14:textId="002B157E" w:rsidR="002376CB" w:rsidRDefault="00F42E73" w:rsidP="00CD0462">
      <w:pPr>
        <w:rPr>
          <w:rFonts w:asciiTheme="minorHAnsi" w:hAnsiTheme="minorHAnsi" w:cstheme="minorHAnsi"/>
          <w:sz w:val="24"/>
          <w:szCs w:val="24"/>
        </w:rPr>
      </w:pPr>
      <w:r w:rsidRPr="0044286B">
        <w:rPr>
          <w:rFonts w:asciiTheme="minorHAnsi" w:hAnsiTheme="minorHAnsi" w:cstheme="minorHAnsi"/>
          <w:sz w:val="24"/>
          <w:szCs w:val="24"/>
        </w:rPr>
        <w:t>The context</w:t>
      </w:r>
      <w:r w:rsidR="00467A73" w:rsidRPr="0044286B">
        <w:rPr>
          <w:rFonts w:asciiTheme="minorHAnsi" w:hAnsiTheme="minorHAnsi" w:cstheme="minorHAnsi"/>
          <w:sz w:val="24"/>
          <w:szCs w:val="24"/>
        </w:rPr>
        <w:t>s</w:t>
      </w:r>
      <w:r w:rsidRPr="0044286B">
        <w:rPr>
          <w:rFonts w:asciiTheme="minorHAnsi" w:hAnsiTheme="minorHAnsi" w:cstheme="minorHAnsi"/>
          <w:sz w:val="24"/>
          <w:szCs w:val="24"/>
        </w:rPr>
        <w:t xml:space="preserve"> of y</w:t>
      </w:r>
      <w:r w:rsidR="002B793F" w:rsidRPr="0044286B">
        <w:rPr>
          <w:rFonts w:asciiTheme="minorHAnsi" w:hAnsiTheme="minorHAnsi" w:cstheme="minorHAnsi"/>
          <w:sz w:val="24"/>
          <w:szCs w:val="24"/>
        </w:rPr>
        <w:t xml:space="preserve">oung people’s lives have changed in other ways that may have </w:t>
      </w:r>
      <w:r w:rsidRPr="0044286B">
        <w:rPr>
          <w:rFonts w:asciiTheme="minorHAnsi" w:hAnsiTheme="minorHAnsi" w:cstheme="minorHAnsi"/>
          <w:sz w:val="24"/>
          <w:szCs w:val="24"/>
        </w:rPr>
        <w:t xml:space="preserve">impacted on </w:t>
      </w:r>
      <w:r w:rsidR="002B793F" w:rsidRPr="0044286B">
        <w:rPr>
          <w:rFonts w:asciiTheme="minorHAnsi" w:hAnsiTheme="minorHAnsi" w:cstheme="minorHAnsi"/>
          <w:sz w:val="24"/>
          <w:szCs w:val="24"/>
        </w:rPr>
        <w:t xml:space="preserve">local area variations in conception rates. Certain areas, especially London, </w:t>
      </w:r>
      <w:r w:rsidR="00274C81" w:rsidRPr="0044286B">
        <w:rPr>
          <w:rFonts w:asciiTheme="minorHAnsi" w:hAnsiTheme="minorHAnsi" w:cstheme="minorHAnsi"/>
          <w:sz w:val="24"/>
          <w:szCs w:val="24"/>
        </w:rPr>
        <w:t xml:space="preserve">have </w:t>
      </w:r>
      <w:r w:rsidR="002B793F" w:rsidRPr="0044286B">
        <w:rPr>
          <w:rFonts w:asciiTheme="minorHAnsi" w:hAnsiTheme="minorHAnsi" w:cstheme="minorHAnsi"/>
          <w:sz w:val="24"/>
          <w:szCs w:val="24"/>
        </w:rPr>
        <w:t>experienced rapidly declining housing affordability</w:t>
      </w:r>
      <w:r w:rsidR="00FD7B09">
        <w:rPr>
          <w:rFonts w:asciiTheme="minorHAnsi" w:hAnsiTheme="minorHAnsi" w:cstheme="minorHAnsi"/>
          <w:sz w:val="24"/>
          <w:szCs w:val="24"/>
        </w:rPr>
        <w:t xml:space="preserve"> and </w:t>
      </w:r>
      <w:r w:rsidR="00FD7B09" w:rsidRPr="00BF17AF">
        <w:rPr>
          <w:rFonts w:asciiTheme="minorHAnsi" w:hAnsiTheme="minorHAnsi" w:cstheme="minorHAnsi"/>
          <w:sz w:val="24"/>
          <w:szCs w:val="24"/>
        </w:rPr>
        <w:t>gentrification</w:t>
      </w:r>
      <w:r w:rsidR="00075435" w:rsidRPr="00075435">
        <w:rPr>
          <w:rFonts w:asciiTheme="minorHAnsi" w:hAnsiTheme="minorHAnsi" w:cstheme="minorHAnsi"/>
          <w:sz w:val="24"/>
          <w:szCs w:val="24"/>
        </w:rPr>
        <w:t xml:space="preserve"> </w:t>
      </w:r>
      <w:r w:rsidR="005F615D">
        <w:rPr>
          <w:rFonts w:asciiTheme="minorHAnsi" w:hAnsiTheme="minorHAnsi" w:cstheme="minorHAnsi"/>
          <w:sz w:val="24"/>
          <w:szCs w:val="24"/>
        </w:rPr>
        <w:t>in the 2000s and 2010s</w:t>
      </w:r>
      <w:r w:rsidR="00995B79">
        <w:rPr>
          <w:rFonts w:asciiTheme="minorHAnsi" w:hAnsiTheme="minorHAnsi" w:cstheme="minorHAnsi"/>
          <w:sz w:val="24"/>
          <w:szCs w:val="24"/>
        </w:rPr>
        <w:t xml:space="preserve">. </w:t>
      </w:r>
      <w:r w:rsidR="00675DEF">
        <w:rPr>
          <w:rFonts w:asciiTheme="minorHAnsi" w:hAnsiTheme="minorHAnsi" w:cstheme="minorHAnsi"/>
          <w:sz w:val="24"/>
          <w:szCs w:val="24"/>
        </w:rPr>
        <w:t>These g</w:t>
      </w:r>
      <w:r w:rsidR="00995B79">
        <w:rPr>
          <w:rFonts w:asciiTheme="minorHAnsi" w:hAnsiTheme="minorHAnsi" w:cstheme="minorHAnsi"/>
          <w:sz w:val="24"/>
          <w:szCs w:val="24"/>
        </w:rPr>
        <w:t>entrified areas</w:t>
      </w:r>
      <w:r w:rsidR="00745813">
        <w:rPr>
          <w:rFonts w:asciiTheme="minorHAnsi" w:hAnsiTheme="minorHAnsi" w:cstheme="minorHAnsi"/>
          <w:sz w:val="24"/>
          <w:szCs w:val="24"/>
        </w:rPr>
        <w:t xml:space="preserve"> experience</w:t>
      </w:r>
      <w:r w:rsidR="00561AC4">
        <w:rPr>
          <w:rFonts w:asciiTheme="minorHAnsi" w:hAnsiTheme="minorHAnsi" w:cstheme="minorHAnsi"/>
          <w:sz w:val="24"/>
          <w:szCs w:val="24"/>
        </w:rPr>
        <w:t xml:space="preserve"> the arrival of </w:t>
      </w:r>
      <w:r w:rsidR="0026630D">
        <w:rPr>
          <w:rFonts w:asciiTheme="minorHAnsi" w:hAnsiTheme="minorHAnsi" w:cstheme="minorHAnsi"/>
          <w:sz w:val="24"/>
          <w:szCs w:val="24"/>
        </w:rPr>
        <w:t>middle class (often White</w:t>
      </w:r>
      <w:r w:rsidR="00A82AF6">
        <w:rPr>
          <w:rFonts w:asciiTheme="minorHAnsi" w:hAnsiTheme="minorHAnsi" w:cstheme="minorHAnsi"/>
          <w:sz w:val="24"/>
          <w:szCs w:val="24"/>
        </w:rPr>
        <w:t xml:space="preserve"> British</w:t>
      </w:r>
      <w:r w:rsidR="0026630D">
        <w:rPr>
          <w:rFonts w:asciiTheme="minorHAnsi" w:hAnsiTheme="minorHAnsi" w:cstheme="minorHAnsi"/>
          <w:sz w:val="24"/>
          <w:szCs w:val="24"/>
        </w:rPr>
        <w:t>)</w:t>
      </w:r>
      <w:r w:rsidR="00A82AF6">
        <w:rPr>
          <w:rFonts w:asciiTheme="minorHAnsi" w:hAnsiTheme="minorHAnsi" w:cstheme="minorHAnsi"/>
          <w:sz w:val="24"/>
          <w:szCs w:val="24"/>
        </w:rPr>
        <w:t xml:space="preserve"> renters and homeowners</w:t>
      </w:r>
      <w:r w:rsidR="00075435">
        <w:rPr>
          <w:rFonts w:asciiTheme="minorHAnsi" w:hAnsiTheme="minorHAnsi" w:cstheme="minorHAnsi"/>
          <w:sz w:val="24"/>
          <w:szCs w:val="24"/>
        </w:rPr>
        <w:t xml:space="preserve"> </w:t>
      </w:r>
      <w:r w:rsidR="00427174">
        <w:rPr>
          <w:rFonts w:asciiTheme="minorHAnsi" w:hAnsiTheme="minorHAnsi" w:cstheme="minorHAnsi"/>
          <w:sz w:val="24"/>
          <w:szCs w:val="24"/>
        </w:rPr>
        <w:t>(</w:t>
      </w:r>
      <w:proofErr w:type="spellStart"/>
      <w:r w:rsidR="00427174" w:rsidRPr="005968C5">
        <w:rPr>
          <w:rFonts w:asciiTheme="minorHAnsi" w:hAnsiTheme="minorHAnsi" w:cstheme="minorHAnsi"/>
          <w:sz w:val="24"/>
          <w:szCs w:val="24"/>
        </w:rPr>
        <w:t>Paccoud</w:t>
      </w:r>
      <w:proofErr w:type="spellEnd"/>
      <w:r w:rsidR="00427174">
        <w:rPr>
          <w:rFonts w:asciiTheme="minorHAnsi" w:hAnsiTheme="minorHAnsi" w:cstheme="minorHAnsi"/>
          <w:sz w:val="24"/>
          <w:szCs w:val="24"/>
        </w:rPr>
        <w:t xml:space="preserve"> et al., 2020)</w:t>
      </w:r>
      <w:r w:rsidR="00427174" w:rsidRPr="00FD7B09">
        <w:rPr>
          <w:rFonts w:asciiTheme="minorHAnsi" w:hAnsiTheme="minorHAnsi" w:cstheme="minorHAnsi"/>
          <w:sz w:val="24"/>
          <w:szCs w:val="24"/>
        </w:rPr>
        <w:t xml:space="preserve"> </w:t>
      </w:r>
      <w:r w:rsidR="00075435">
        <w:rPr>
          <w:rFonts w:asciiTheme="minorHAnsi" w:hAnsiTheme="minorHAnsi" w:cstheme="minorHAnsi"/>
          <w:sz w:val="24"/>
          <w:szCs w:val="24"/>
        </w:rPr>
        <w:t>w</w:t>
      </w:r>
      <w:r w:rsidR="00427174">
        <w:rPr>
          <w:rFonts w:asciiTheme="minorHAnsi" w:hAnsiTheme="minorHAnsi" w:cstheme="minorHAnsi"/>
          <w:sz w:val="24"/>
          <w:szCs w:val="24"/>
        </w:rPr>
        <w:t>h</w:t>
      </w:r>
      <w:r w:rsidR="00675DEF">
        <w:rPr>
          <w:rFonts w:asciiTheme="minorHAnsi" w:hAnsiTheme="minorHAnsi" w:cstheme="minorHAnsi"/>
          <w:sz w:val="24"/>
          <w:szCs w:val="24"/>
        </w:rPr>
        <w:t xml:space="preserve">o may </w:t>
      </w:r>
      <w:r w:rsidR="00FA1435">
        <w:rPr>
          <w:rFonts w:asciiTheme="minorHAnsi" w:hAnsiTheme="minorHAnsi" w:cstheme="minorHAnsi"/>
          <w:sz w:val="24"/>
          <w:szCs w:val="24"/>
        </w:rPr>
        <w:t xml:space="preserve">replace populations with traditionally higher teenage </w:t>
      </w:r>
      <w:r w:rsidR="00427174">
        <w:rPr>
          <w:rFonts w:asciiTheme="minorHAnsi" w:hAnsiTheme="minorHAnsi" w:cstheme="minorHAnsi"/>
          <w:sz w:val="24"/>
          <w:szCs w:val="24"/>
        </w:rPr>
        <w:t>conception rates.</w:t>
      </w:r>
      <w:r w:rsidR="006D3340">
        <w:rPr>
          <w:rFonts w:asciiTheme="minorHAnsi" w:hAnsiTheme="minorHAnsi" w:cstheme="minorHAnsi"/>
          <w:sz w:val="24"/>
          <w:szCs w:val="24"/>
        </w:rPr>
        <w:t xml:space="preserve"> </w:t>
      </w:r>
      <w:r w:rsidR="00EF0C99" w:rsidRPr="00FD7B09">
        <w:rPr>
          <w:rFonts w:asciiTheme="minorHAnsi" w:hAnsiTheme="minorHAnsi" w:cstheme="minorHAnsi"/>
          <w:sz w:val="24"/>
          <w:szCs w:val="24"/>
        </w:rPr>
        <w:t>Youth unemployment rose following the 2008 recession, particularly in the Midlands and North East of Englan</w:t>
      </w:r>
      <w:r w:rsidR="00EF0C99">
        <w:rPr>
          <w:rFonts w:asciiTheme="minorHAnsi" w:hAnsiTheme="minorHAnsi" w:cstheme="minorHAnsi"/>
          <w:sz w:val="24"/>
          <w:szCs w:val="24"/>
        </w:rPr>
        <w:t xml:space="preserve">d. </w:t>
      </w:r>
      <w:r w:rsidR="00122160">
        <w:rPr>
          <w:rFonts w:asciiTheme="minorHAnsi" w:hAnsiTheme="minorHAnsi" w:cstheme="minorHAnsi"/>
          <w:sz w:val="24"/>
          <w:szCs w:val="24"/>
        </w:rPr>
        <w:t>E</w:t>
      </w:r>
      <w:r w:rsidR="005112F7">
        <w:rPr>
          <w:rFonts w:asciiTheme="minorHAnsi" w:hAnsiTheme="minorHAnsi" w:cstheme="minorHAnsi"/>
          <w:sz w:val="24"/>
          <w:szCs w:val="24"/>
        </w:rPr>
        <w:t>conomic recession</w:t>
      </w:r>
      <w:r w:rsidR="00EB4C24">
        <w:rPr>
          <w:rFonts w:asciiTheme="minorHAnsi" w:hAnsiTheme="minorHAnsi" w:cstheme="minorHAnsi"/>
          <w:sz w:val="24"/>
          <w:szCs w:val="24"/>
        </w:rPr>
        <w:t>s</w:t>
      </w:r>
      <w:r w:rsidR="001728E5">
        <w:rPr>
          <w:rFonts w:asciiTheme="minorHAnsi" w:hAnsiTheme="minorHAnsi" w:cstheme="minorHAnsi"/>
          <w:sz w:val="24"/>
          <w:szCs w:val="24"/>
        </w:rPr>
        <w:t xml:space="preserve"> </w:t>
      </w:r>
      <w:r w:rsidR="00F320FD">
        <w:rPr>
          <w:rFonts w:asciiTheme="minorHAnsi" w:hAnsiTheme="minorHAnsi" w:cstheme="minorHAnsi"/>
          <w:sz w:val="24"/>
          <w:szCs w:val="24"/>
        </w:rPr>
        <w:t>are often</w:t>
      </w:r>
      <w:r w:rsidR="001728E5">
        <w:rPr>
          <w:rFonts w:asciiTheme="minorHAnsi" w:hAnsiTheme="minorHAnsi" w:cstheme="minorHAnsi"/>
          <w:sz w:val="24"/>
          <w:szCs w:val="24"/>
        </w:rPr>
        <w:t xml:space="preserve"> associated with fertility postponement (Sobotka et al., 2011)</w:t>
      </w:r>
      <w:r w:rsidR="00C24313">
        <w:rPr>
          <w:rFonts w:asciiTheme="minorHAnsi" w:hAnsiTheme="minorHAnsi" w:cstheme="minorHAnsi"/>
          <w:sz w:val="24"/>
          <w:szCs w:val="24"/>
        </w:rPr>
        <w:t xml:space="preserve"> </w:t>
      </w:r>
      <w:proofErr w:type="gramStart"/>
      <w:r w:rsidR="00D4020A">
        <w:rPr>
          <w:rFonts w:asciiTheme="minorHAnsi" w:hAnsiTheme="minorHAnsi" w:cstheme="minorHAnsi"/>
          <w:sz w:val="24"/>
          <w:szCs w:val="24"/>
        </w:rPr>
        <w:t>and</w:t>
      </w:r>
      <w:r w:rsidR="009615DE">
        <w:rPr>
          <w:rFonts w:asciiTheme="minorHAnsi" w:hAnsiTheme="minorHAnsi" w:cstheme="minorHAnsi"/>
          <w:sz w:val="24"/>
          <w:szCs w:val="24"/>
        </w:rPr>
        <w:t>,</w:t>
      </w:r>
      <w:proofErr w:type="gramEnd"/>
      <w:r w:rsidR="00D4020A">
        <w:rPr>
          <w:rFonts w:asciiTheme="minorHAnsi" w:hAnsiTheme="minorHAnsi" w:cstheme="minorHAnsi"/>
          <w:sz w:val="24"/>
          <w:szCs w:val="24"/>
        </w:rPr>
        <w:t xml:space="preserve"> </w:t>
      </w:r>
      <w:r w:rsidR="007C2923">
        <w:rPr>
          <w:rFonts w:asciiTheme="minorHAnsi" w:hAnsiTheme="minorHAnsi" w:cstheme="minorHAnsi"/>
          <w:sz w:val="24"/>
          <w:szCs w:val="24"/>
        </w:rPr>
        <w:t xml:space="preserve">much like older groups, </w:t>
      </w:r>
      <w:r w:rsidR="00404C53">
        <w:rPr>
          <w:rFonts w:asciiTheme="minorHAnsi" w:hAnsiTheme="minorHAnsi" w:cstheme="minorHAnsi"/>
          <w:sz w:val="24"/>
          <w:szCs w:val="24"/>
        </w:rPr>
        <w:t>such</w:t>
      </w:r>
      <w:r w:rsidR="00B56CE0">
        <w:rPr>
          <w:rFonts w:asciiTheme="minorHAnsi" w:hAnsiTheme="minorHAnsi" w:cstheme="minorHAnsi"/>
          <w:sz w:val="24"/>
          <w:szCs w:val="24"/>
        </w:rPr>
        <w:t xml:space="preserve"> uncertainty </w:t>
      </w:r>
      <w:r w:rsidR="007C2923">
        <w:rPr>
          <w:rFonts w:asciiTheme="minorHAnsi" w:hAnsiTheme="minorHAnsi" w:cstheme="minorHAnsi"/>
          <w:sz w:val="24"/>
          <w:szCs w:val="24"/>
        </w:rPr>
        <w:t>may</w:t>
      </w:r>
      <w:r w:rsidR="00B56CE0">
        <w:rPr>
          <w:rFonts w:asciiTheme="minorHAnsi" w:hAnsiTheme="minorHAnsi" w:cstheme="minorHAnsi"/>
          <w:sz w:val="24"/>
          <w:szCs w:val="24"/>
        </w:rPr>
        <w:t xml:space="preserve"> motivate </w:t>
      </w:r>
      <w:r w:rsidR="00D4020A">
        <w:rPr>
          <w:rFonts w:asciiTheme="minorHAnsi" w:hAnsiTheme="minorHAnsi" w:cstheme="minorHAnsi"/>
          <w:sz w:val="24"/>
          <w:szCs w:val="24"/>
        </w:rPr>
        <w:t>teenagers to avoid pregnancy</w:t>
      </w:r>
      <w:r w:rsidR="00404C53">
        <w:rPr>
          <w:rFonts w:asciiTheme="minorHAnsi" w:hAnsiTheme="minorHAnsi" w:cstheme="minorHAnsi"/>
          <w:sz w:val="24"/>
          <w:szCs w:val="24"/>
        </w:rPr>
        <w:t>.</w:t>
      </w:r>
      <w:r w:rsidR="00DC75C6">
        <w:rPr>
          <w:rFonts w:asciiTheme="minorHAnsi" w:hAnsiTheme="minorHAnsi" w:cstheme="minorHAnsi"/>
          <w:sz w:val="24"/>
          <w:szCs w:val="24"/>
        </w:rPr>
        <w:t xml:space="preserve"> </w:t>
      </w:r>
      <w:r w:rsidR="007332AB">
        <w:rPr>
          <w:rFonts w:asciiTheme="minorHAnsi" w:hAnsiTheme="minorHAnsi" w:cstheme="minorHAnsi"/>
          <w:sz w:val="24"/>
          <w:szCs w:val="24"/>
        </w:rPr>
        <w:t xml:space="preserve">This rise in </w:t>
      </w:r>
      <w:r w:rsidR="009615DE">
        <w:rPr>
          <w:rFonts w:asciiTheme="minorHAnsi" w:hAnsiTheme="minorHAnsi" w:cstheme="minorHAnsi"/>
          <w:sz w:val="24"/>
          <w:szCs w:val="24"/>
        </w:rPr>
        <w:t xml:space="preserve">youth </w:t>
      </w:r>
      <w:r w:rsidR="007332AB">
        <w:rPr>
          <w:rFonts w:asciiTheme="minorHAnsi" w:hAnsiTheme="minorHAnsi" w:cstheme="minorHAnsi"/>
          <w:sz w:val="24"/>
          <w:szCs w:val="24"/>
        </w:rPr>
        <w:t>e</w:t>
      </w:r>
      <w:r w:rsidR="006E216F">
        <w:rPr>
          <w:rFonts w:asciiTheme="minorHAnsi" w:hAnsiTheme="minorHAnsi" w:cstheme="minorHAnsi"/>
          <w:sz w:val="24"/>
          <w:szCs w:val="24"/>
        </w:rPr>
        <w:t xml:space="preserve">mployment </w:t>
      </w:r>
      <w:r w:rsidR="00942085">
        <w:rPr>
          <w:rFonts w:asciiTheme="minorHAnsi" w:hAnsiTheme="minorHAnsi" w:cstheme="minorHAnsi"/>
          <w:sz w:val="24"/>
          <w:szCs w:val="24"/>
        </w:rPr>
        <w:t>precar</w:t>
      </w:r>
      <w:r w:rsidR="009615DE">
        <w:rPr>
          <w:rFonts w:asciiTheme="minorHAnsi" w:hAnsiTheme="minorHAnsi" w:cstheme="minorHAnsi"/>
          <w:sz w:val="24"/>
          <w:szCs w:val="24"/>
        </w:rPr>
        <w:t xml:space="preserve">iousness </w:t>
      </w:r>
      <w:r w:rsidR="00942085">
        <w:rPr>
          <w:rFonts w:asciiTheme="minorHAnsi" w:hAnsiTheme="minorHAnsi" w:cstheme="minorHAnsi"/>
          <w:sz w:val="24"/>
          <w:szCs w:val="24"/>
        </w:rPr>
        <w:t xml:space="preserve">occurred alongside </w:t>
      </w:r>
      <w:r w:rsidR="00B13A1F">
        <w:rPr>
          <w:rFonts w:asciiTheme="minorHAnsi" w:hAnsiTheme="minorHAnsi" w:cstheme="minorHAnsi"/>
          <w:sz w:val="24"/>
          <w:szCs w:val="24"/>
        </w:rPr>
        <w:t>rising barriers to leaving the parental home</w:t>
      </w:r>
      <w:r w:rsidR="000454D0">
        <w:rPr>
          <w:rFonts w:asciiTheme="minorHAnsi" w:hAnsiTheme="minorHAnsi" w:cstheme="minorHAnsi"/>
          <w:sz w:val="24"/>
          <w:szCs w:val="24"/>
        </w:rPr>
        <w:t xml:space="preserve"> (</w:t>
      </w:r>
      <w:r w:rsidR="00F63201">
        <w:rPr>
          <w:rFonts w:asciiTheme="minorHAnsi" w:hAnsiTheme="minorHAnsi" w:cstheme="minorHAnsi"/>
          <w:sz w:val="24"/>
          <w:szCs w:val="24"/>
        </w:rPr>
        <w:t>Fox</w:t>
      </w:r>
      <w:r w:rsidR="00724C5C">
        <w:rPr>
          <w:rFonts w:asciiTheme="minorHAnsi" w:hAnsiTheme="minorHAnsi" w:cstheme="minorHAnsi"/>
          <w:sz w:val="24"/>
          <w:szCs w:val="24"/>
        </w:rPr>
        <w:t xml:space="preserve">, </w:t>
      </w:r>
      <w:r w:rsidR="007332AB">
        <w:rPr>
          <w:rFonts w:asciiTheme="minorHAnsi" w:hAnsiTheme="minorHAnsi" w:cstheme="minorHAnsi"/>
          <w:sz w:val="24"/>
          <w:szCs w:val="24"/>
        </w:rPr>
        <w:t>2009)</w:t>
      </w:r>
      <w:r w:rsidR="00B13A1F">
        <w:rPr>
          <w:rFonts w:asciiTheme="minorHAnsi" w:hAnsiTheme="minorHAnsi" w:cstheme="minorHAnsi"/>
          <w:sz w:val="24"/>
          <w:szCs w:val="24"/>
        </w:rPr>
        <w:t>. A</w:t>
      </w:r>
      <w:r w:rsidR="00101BAE">
        <w:rPr>
          <w:rFonts w:asciiTheme="minorHAnsi" w:hAnsiTheme="minorHAnsi" w:cstheme="minorHAnsi"/>
          <w:sz w:val="24"/>
          <w:szCs w:val="24"/>
        </w:rPr>
        <w:t xml:space="preserve"> transition to adulthood </w:t>
      </w:r>
      <w:r w:rsidR="0034492D">
        <w:rPr>
          <w:rFonts w:asciiTheme="minorHAnsi" w:hAnsiTheme="minorHAnsi" w:cstheme="minorHAnsi"/>
          <w:sz w:val="24"/>
          <w:szCs w:val="24"/>
        </w:rPr>
        <w:t>through</w:t>
      </w:r>
      <w:r w:rsidR="00101BAE">
        <w:rPr>
          <w:rFonts w:asciiTheme="minorHAnsi" w:hAnsiTheme="minorHAnsi" w:cstheme="minorHAnsi"/>
          <w:sz w:val="24"/>
          <w:szCs w:val="24"/>
        </w:rPr>
        <w:t xml:space="preserve"> </w:t>
      </w:r>
      <w:r w:rsidR="00E014F5">
        <w:rPr>
          <w:rFonts w:asciiTheme="minorHAnsi" w:hAnsiTheme="minorHAnsi" w:cstheme="minorHAnsi"/>
          <w:sz w:val="24"/>
          <w:szCs w:val="24"/>
        </w:rPr>
        <w:t>e</w:t>
      </w:r>
      <w:r w:rsidR="005243DE">
        <w:rPr>
          <w:rFonts w:asciiTheme="minorHAnsi" w:hAnsiTheme="minorHAnsi" w:cstheme="minorHAnsi"/>
          <w:sz w:val="24"/>
          <w:szCs w:val="24"/>
        </w:rPr>
        <w:t>xperiencing resident</w:t>
      </w:r>
      <w:r w:rsidR="00191F39">
        <w:rPr>
          <w:rFonts w:asciiTheme="minorHAnsi" w:hAnsiTheme="minorHAnsi" w:cstheme="minorHAnsi"/>
          <w:sz w:val="24"/>
          <w:szCs w:val="24"/>
        </w:rPr>
        <w:t>i</w:t>
      </w:r>
      <w:r w:rsidR="005243DE">
        <w:rPr>
          <w:rFonts w:asciiTheme="minorHAnsi" w:hAnsiTheme="minorHAnsi" w:cstheme="minorHAnsi"/>
          <w:sz w:val="24"/>
          <w:szCs w:val="24"/>
        </w:rPr>
        <w:t xml:space="preserve">al independence has become more difficult for young people through </w:t>
      </w:r>
      <w:r w:rsidR="00550D81">
        <w:rPr>
          <w:rFonts w:asciiTheme="minorHAnsi" w:hAnsiTheme="minorHAnsi" w:cstheme="minorHAnsi"/>
          <w:sz w:val="24"/>
          <w:szCs w:val="24"/>
        </w:rPr>
        <w:t xml:space="preserve">declining housing affordability </w:t>
      </w:r>
      <w:r w:rsidR="0043136C">
        <w:rPr>
          <w:rFonts w:asciiTheme="minorHAnsi" w:hAnsiTheme="minorHAnsi" w:cstheme="minorHAnsi"/>
          <w:sz w:val="24"/>
          <w:szCs w:val="24"/>
        </w:rPr>
        <w:t>alongside</w:t>
      </w:r>
      <w:r w:rsidR="00D158B7">
        <w:rPr>
          <w:rFonts w:asciiTheme="minorHAnsi" w:hAnsiTheme="minorHAnsi" w:cstheme="minorHAnsi"/>
          <w:sz w:val="24"/>
          <w:szCs w:val="24"/>
        </w:rPr>
        <w:t xml:space="preserve"> country-wide</w:t>
      </w:r>
      <w:r w:rsidR="0043136C">
        <w:rPr>
          <w:rFonts w:asciiTheme="minorHAnsi" w:hAnsiTheme="minorHAnsi" w:cstheme="minorHAnsi"/>
          <w:sz w:val="24"/>
          <w:szCs w:val="24"/>
        </w:rPr>
        <w:t xml:space="preserve"> reduc</w:t>
      </w:r>
      <w:r w:rsidR="00825232">
        <w:rPr>
          <w:rFonts w:asciiTheme="minorHAnsi" w:hAnsiTheme="minorHAnsi" w:cstheme="minorHAnsi"/>
          <w:sz w:val="24"/>
          <w:szCs w:val="24"/>
        </w:rPr>
        <w:t xml:space="preserve">ed </w:t>
      </w:r>
      <w:r w:rsidR="00D158B7">
        <w:rPr>
          <w:rFonts w:asciiTheme="minorHAnsi" w:hAnsiTheme="minorHAnsi" w:cstheme="minorHAnsi"/>
          <w:sz w:val="24"/>
          <w:szCs w:val="24"/>
        </w:rPr>
        <w:t xml:space="preserve">social </w:t>
      </w:r>
      <w:r w:rsidR="00AA1C5E">
        <w:rPr>
          <w:rFonts w:asciiTheme="minorHAnsi" w:hAnsiTheme="minorHAnsi" w:cstheme="minorHAnsi"/>
          <w:sz w:val="24"/>
          <w:szCs w:val="24"/>
        </w:rPr>
        <w:t>(state-sub</w:t>
      </w:r>
      <w:r w:rsidR="00BB251B">
        <w:rPr>
          <w:rFonts w:asciiTheme="minorHAnsi" w:hAnsiTheme="minorHAnsi" w:cstheme="minorHAnsi"/>
          <w:sz w:val="24"/>
          <w:szCs w:val="24"/>
        </w:rPr>
        <w:t>sidised</w:t>
      </w:r>
      <w:r w:rsidR="00AA1C5E">
        <w:rPr>
          <w:rFonts w:asciiTheme="minorHAnsi" w:hAnsiTheme="minorHAnsi" w:cstheme="minorHAnsi"/>
          <w:sz w:val="24"/>
          <w:szCs w:val="24"/>
        </w:rPr>
        <w:t xml:space="preserve">) </w:t>
      </w:r>
      <w:r w:rsidR="00D158B7">
        <w:rPr>
          <w:rFonts w:asciiTheme="minorHAnsi" w:hAnsiTheme="minorHAnsi" w:cstheme="minorHAnsi"/>
          <w:sz w:val="24"/>
          <w:szCs w:val="24"/>
        </w:rPr>
        <w:t>housing</w:t>
      </w:r>
      <w:r w:rsidR="00AA1C5E">
        <w:rPr>
          <w:rFonts w:asciiTheme="minorHAnsi" w:hAnsiTheme="minorHAnsi" w:cstheme="minorHAnsi"/>
          <w:sz w:val="24"/>
          <w:szCs w:val="24"/>
        </w:rPr>
        <w:t xml:space="preserve"> and </w:t>
      </w:r>
      <w:r w:rsidR="00371D50">
        <w:rPr>
          <w:rFonts w:asciiTheme="minorHAnsi" w:hAnsiTheme="minorHAnsi" w:cstheme="minorHAnsi"/>
          <w:sz w:val="24"/>
          <w:szCs w:val="24"/>
        </w:rPr>
        <w:t>housing benefit cuts</w:t>
      </w:r>
      <w:r w:rsidR="0035371F">
        <w:rPr>
          <w:rFonts w:asciiTheme="minorHAnsi" w:hAnsiTheme="minorHAnsi" w:cstheme="minorHAnsi"/>
          <w:sz w:val="24"/>
          <w:szCs w:val="24"/>
        </w:rPr>
        <w:t xml:space="preserve">. </w:t>
      </w:r>
    </w:p>
    <w:p w14:paraId="473FAE6D" w14:textId="550F7158" w:rsidR="002B793F" w:rsidRPr="00FD7B09" w:rsidRDefault="00207A41" w:rsidP="00CD0462">
      <w:pPr>
        <w:rPr>
          <w:rFonts w:asciiTheme="minorHAnsi" w:hAnsiTheme="minorHAnsi" w:cstheme="minorHAnsi"/>
          <w:sz w:val="24"/>
          <w:szCs w:val="24"/>
        </w:rPr>
      </w:pPr>
      <w:r>
        <w:rPr>
          <w:rFonts w:asciiTheme="minorHAnsi" w:hAnsiTheme="minorHAnsi" w:cstheme="minorHAnsi"/>
          <w:sz w:val="24"/>
          <w:szCs w:val="24"/>
        </w:rPr>
        <w:t xml:space="preserve">Aspirations for education </w:t>
      </w:r>
      <w:r w:rsidR="004772CD">
        <w:rPr>
          <w:rFonts w:asciiTheme="minorHAnsi" w:hAnsiTheme="minorHAnsi" w:cstheme="minorHAnsi"/>
          <w:sz w:val="24"/>
          <w:szCs w:val="24"/>
        </w:rPr>
        <w:t>or a career provide reason</w:t>
      </w:r>
      <w:r w:rsidR="00371717">
        <w:rPr>
          <w:rFonts w:asciiTheme="minorHAnsi" w:hAnsiTheme="minorHAnsi" w:cstheme="minorHAnsi"/>
          <w:sz w:val="24"/>
          <w:szCs w:val="24"/>
        </w:rPr>
        <w:t>s</w:t>
      </w:r>
      <w:r w:rsidR="004772CD">
        <w:rPr>
          <w:rFonts w:asciiTheme="minorHAnsi" w:hAnsiTheme="minorHAnsi" w:cstheme="minorHAnsi"/>
          <w:sz w:val="24"/>
          <w:szCs w:val="24"/>
        </w:rPr>
        <w:t xml:space="preserve"> for young people to want to avoid pregnancy</w:t>
      </w:r>
      <w:r w:rsidR="00C659CF">
        <w:rPr>
          <w:rFonts w:asciiTheme="minorHAnsi" w:hAnsiTheme="minorHAnsi" w:cstheme="minorHAnsi"/>
          <w:sz w:val="24"/>
          <w:szCs w:val="24"/>
        </w:rPr>
        <w:t xml:space="preserve"> and </w:t>
      </w:r>
      <w:r w:rsidR="001641F3">
        <w:rPr>
          <w:rFonts w:asciiTheme="minorHAnsi" w:hAnsiTheme="minorHAnsi" w:cstheme="minorHAnsi"/>
          <w:sz w:val="24"/>
          <w:szCs w:val="24"/>
        </w:rPr>
        <w:t>educational parti</w:t>
      </w:r>
      <w:r w:rsidR="00274125">
        <w:rPr>
          <w:rFonts w:asciiTheme="minorHAnsi" w:hAnsiTheme="minorHAnsi" w:cstheme="minorHAnsi"/>
          <w:sz w:val="24"/>
          <w:szCs w:val="24"/>
        </w:rPr>
        <w:t xml:space="preserve">cipation </w:t>
      </w:r>
      <w:r w:rsidR="001641F3">
        <w:rPr>
          <w:rFonts w:asciiTheme="minorHAnsi" w:hAnsiTheme="minorHAnsi" w:cstheme="minorHAnsi"/>
          <w:sz w:val="24"/>
          <w:szCs w:val="24"/>
        </w:rPr>
        <w:t>is associated with later child</w:t>
      </w:r>
      <w:r w:rsidR="00B40DE3">
        <w:rPr>
          <w:rFonts w:asciiTheme="minorHAnsi" w:hAnsiTheme="minorHAnsi" w:cstheme="minorHAnsi"/>
          <w:sz w:val="24"/>
          <w:szCs w:val="24"/>
        </w:rPr>
        <w:t>b</w:t>
      </w:r>
      <w:r w:rsidR="001641F3">
        <w:rPr>
          <w:rFonts w:asciiTheme="minorHAnsi" w:hAnsiTheme="minorHAnsi" w:cstheme="minorHAnsi"/>
          <w:sz w:val="24"/>
          <w:szCs w:val="24"/>
        </w:rPr>
        <w:t xml:space="preserve">earing throughout Europe (Neels et al., </w:t>
      </w:r>
      <w:r w:rsidR="00274125">
        <w:rPr>
          <w:rFonts w:asciiTheme="minorHAnsi" w:hAnsiTheme="minorHAnsi" w:cstheme="minorHAnsi"/>
          <w:sz w:val="24"/>
          <w:szCs w:val="24"/>
        </w:rPr>
        <w:t>2017)</w:t>
      </w:r>
      <w:r w:rsidR="004772CD">
        <w:rPr>
          <w:rFonts w:asciiTheme="minorHAnsi" w:hAnsiTheme="minorHAnsi" w:cstheme="minorHAnsi"/>
          <w:sz w:val="24"/>
          <w:szCs w:val="24"/>
        </w:rPr>
        <w:t xml:space="preserve">. </w:t>
      </w:r>
      <w:r w:rsidR="00A30E0A" w:rsidRPr="00FD7B09">
        <w:rPr>
          <w:rFonts w:asciiTheme="minorHAnsi" w:hAnsiTheme="minorHAnsi" w:cstheme="minorHAnsi"/>
          <w:sz w:val="24"/>
          <w:szCs w:val="24"/>
        </w:rPr>
        <w:t>Government policy increas</w:t>
      </w:r>
      <w:r w:rsidR="00A30E0A">
        <w:rPr>
          <w:rFonts w:asciiTheme="minorHAnsi" w:hAnsiTheme="minorHAnsi" w:cstheme="minorHAnsi"/>
          <w:sz w:val="24"/>
          <w:szCs w:val="24"/>
        </w:rPr>
        <w:t>ed</w:t>
      </w:r>
      <w:r w:rsidR="00A30E0A" w:rsidRPr="00FD7B09">
        <w:rPr>
          <w:rFonts w:asciiTheme="minorHAnsi" w:hAnsiTheme="minorHAnsi" w:cstheme="minorHAnsi"/>
          <w:sz w:val="24"/>
          <w:szCs w:val="24"/>
        </w:rPr>
        <w:t xml:space="preserve"> the minimum age of leaving education or training from age 16 to age 17 from 2013 and age 18 from 2015</w:t>
      </w:r>
      <w:r w:rsidR="00166B12">
        <w:rPr>
          <w:rFonts w:asciiTheme="minorHAnsi" w:hAnsiTheme="minorHAnsi" w:cstheme="minorHAnsi"/>
          <w:sz w:val="24"/>
          <w:szCs w:val="24"/>
        </w:rPr>
        <w:t>,</w:t>
      </w:r>
      <w:r w:rsidR="008B3BE7">
        <w:rPr>
          <w:rFonts w:asciiTheme="minorHAnsi" w:hAnsiTheme="minorHAnsi" w:cstheme="minorHAnsi"/>
          <w:sz w:val="24"/>
          <w:szCs w:val="24"/>
        </w:rPr>
        <w:t xml:space="preserve"> which </w:t>
      </w:r>
      <w:r w:rsidR="006901B9">
        <w:rPr>
          <w:rFonts w:asciiTheme="minorHAnsi" w:hAnsiTheme="minorHAnsi" w:cstheme="minorHAnsi"/>
          <w:sz w:val="24"/>
          <w:szCs w:val="24"/>
        </w:rPr>
        <w:t xml:space="preserve">is towards the end of our </w:t>
      </w:r>
      <w:proofErr w:type="gramStart"/>
      <w:r w:rsidR="006901B9">
        <w:rPr>
          <w:rFonts w:asciiTheme="minorHAnsi" w:hAnsiTheme="minorHAnsi" w:cstheme="minorHAnsi"/>
          <w:sz w:val="24"/>
          <w:szCs w:val="24"/>
        </w:rPr>
        <w:t>time period</w:t>
      </w:r>
      <w:proofErr w:type="gramEnd"/>
      <w:r w:rsidR="006901B9">
        <w:rPr>
          <w:rFonts w:asciiTheme="minorHAnsi" w:hAnsiTheme="minorHAnsi" w:cstheme="minorHAnsi"/>
          <w:sz w:val="24"/>
          <w:szCs w:val="24"/>
        </w:rPr>
        <w:t>.</w:t>
      </w:r>
      <w:r w:rsidR="006D3340">
        <w:rPr>
          <w:rFonts w:asciiTheme="minorHAnsi" w:hAnsiTheme="minorHAnsi" w:cstheme="minorHAnsi"/>
          <w:sz w:val="24"/>
          <w:szCs w:val="24"/>
        </w:rPr>
        <w:t xml:space="preserve"> </w:t>
      </w:r>
      <w:r w:rsidR="006901B9">
        <w:rPr>
          <w:rFonts w:asciiTheme="minorHAnsi" w:hAnsiTheme="minorHAnsi" w:cstheme="minorHAnsi"/>
          <w:sz w:val="24"/>
          <w:szCs w:val="24"/>
        </w:rPr>
        <w:t>Y</w:t>
      </w:r>
      <w:r w:rsidR="00166B12">
        <w:rPr>
          <w:rFonts w:asciiTheme="minorHAnsi" w:hAnsiTheme="minorHAnsi" w:cstheme="minorHAnsi"/>
          <w:sz w:val="24"/>
          <w:szCs w:val="24"/>
        </w:rPr>
        <w:t xml:space="preserve">oung persons </w:t>
      </w:r>
      <w:r w:rsidR="00FF5428">
        <w:rPr>
          <w:rFonts w:asciiTheme="minorHAnsi" w:hAnsiTheme="minorHAnsi" w:cstheme="minorHAnsi"/>
          <w:sz w:val="24"/>
          <w:szCs w:val="24"/>
        </w:rPr>
        <w:t>c</w:t>
      </w:r>
      <w:r w:rsidR="006901B9">
        <w:rPr>
          <w:rFonts w:asciiTheme="minorHAnsi" w:hAnsiTheme="minorHAnsi" w:cstheme="minorHAnsi"/>
          <w:sz w:val="24"/>
          <w:szCs w:val="24"/>
        </w:rPr>
        <w:t>an</w:t>
      </w:r>
      <w:r w:rsidR="00FF5428">
        <w:rPr>
          <w:rFonts w:asciiTheme="minorHAnsi" w:hAnsiTheme="minorHAnsi" w:cstheme="minorHAnsi"/>
          <w:sz w:val="24"/>
          <w:szCs w:val="24"/>
        </w:rPr>
        <w:t xml:space="preserve"> leave school at 16 but must remain in full-time education, enter an apprenticeship or tr</w:t>
      </w:r>
      <w:r w:rsidR="001B67A0">
        <w:rPr>
          <w:rFonts w:asciiTheme="minorHAnsi" w:hAnsiTheme="minorHAnsi" w:cstheme="minorHAnsi"/>
          <w:sz w:val="24"/>
          <w:szCs w:val="24"/>
        </w:rPr>
        <w:t xml:space="preserve">aineeship, or spend at least twenty hours a week </w:t>
      </w:r>
      <w:r w:rsidR="00DC108E">
        <w:rPr>
          <w:rFonts w:asciiTheme="minorHAnsi" w:hAnsiTheme="minorHAnsi" w:cstheme="minorHAnsi"/>
          <w:sz w:val="24"/>
          <w:szCs w:val="24"/>
        </w:rPr>
        <w:t>working or volunteering whilst being in part-time education or training</w:t>
      </w:r>
      <w:r w:rsidR="00D55E34">
        <w:rPr>
          <w:rFonts w:asciiTheme="minorHAnsi" w:hAnsiTheme="minorHAnsi" w:cstheme="minorHAnsi"/>
          <w:sz w:val="24"/>
          <w:szCs w:val="24"/>
        </w:rPr>
        <w:t xml:space="preserve"> until participation leaving age</w:t>
      </w:r>
      <w:r w:rsidR="00A30E0A" w:rsidRPr="00FD7B09">
        <w:rPr>
          <w:rFonts w:asciiTheme="minorHAnsi" w:hAnsiTheme="minorHAnsi" w:cstheme="minorHAnsi"/>
          <w:sz w:val="24"/>
          <w:szCs w:val="24"/>
        </w:rPr>
        <w:t xml:space="preserve">. </w:t>
      </w:r>
      <w:r w:rsidR="000D0F61" w:rsidRPr="00FD7B09">
        <w:rPr>
          <w:rFonts w:asciiTheme="minorHAnsi" w:hAnsiTheme="minorHAnsi" w:cstheme="minorHAnsi"/>
          <w:sz w:val="24"/>
          <w:szCs w:val="24"/>
        </w:rPr>
        <w:t>H</w:t>
      </w:r>
      <w:r w:rsidR="002B793F" w:rsidRPr="00FD7B09">
        <w:rPr>
          <w:rFonts w:asciiTheme="minorHAnsi" w:hAnsiTheme="minorHAnsi" w:cstheme="minorHAnsi"/>
          <w:sz w:val="24"/>
          <w:szCs w:val="24"/>
        </w:rPr>
        <w:t>igher proportion</w:t>
      </w:r>
      <w:r w:rsidR="000D0F61" w:rsidRPr="00FD7B09">
        <w:rPr>
          <w:rFonts w:asciiTheme="minorHAnsi" w:hAnsiTheme="minorHAnsi" w:cstheme="minorHAnsi"/>
          <w:sz w:val="24"/>
          <w:szCs w:val="24"/>
        </w:rPr>
        <w:t>s</w:t>
      </w:r>
      <w:r w:rsidR="002B793F" w:rsidRPr="00FD7B09">
        <w:rPr>
          <w:rFonts w:asciiTheme="minorHAnsi" w:hAnsiTheme="minorHAnsi" w:cstheme="minorHAnsi"/>
          <w:sz w:val="24"/>
          <w:szCs w:val="24"/>
        </w:rPr>
        <w:t xml:space="preserve"> of young adults now remain in education</w:t>
      </w:r>
      <w:r w:rsidR="0078123F">
        <w:rPr>
          <w:rFonts w:asciiTheme="minorHAnsi" w:hAnsiTheme="minorHAnsi" w:cstheme="minorHAnsi"/>
          <w:sz w:val="24"/>
          <w:szCs w:val="24"/>
        </w:rPr>
        <w:t xml:space="preserve"> beyond this participation age</w:t>
      </w:r>
      <w:r w:rsidR="00F72548" w:rsidRPr="00FD7B09">
        <w:rPr>
          <w:rFonts w:asciiTheme="minorHAnsi" w:hAnsiTheme="minorHAnsi" w:cstheme="minorHAnsi"/>
          <w:sz w:val="24"/>
          <w:szCs w:val="24"/>
        </w:rPr>
        <w:t xml:space="preserve"> </w:t>
      </w:r>
      <w:r w:rsidR="00383036" w:rsidRPr="00FD7B09">
        <w:rPr>
          <w:rFonts w:asciiTheme="minorHAnsi" w:hAnsiTheme="minorHAnsi" w:cstheme="minorHAnsi"/>
          <w:sz w:val="24"/>
          <w:szCs w:val="24"/>
        </w:rPr>
        <w:t>(</w:t>
      </w:r>
      <w:r w:rsidR="00E0231D" w:rsidRPr="00FD7B09">
        <w:rPr>
          <w:rFonts w:asciiTheme="minorHAnsi" w:hAnsiTheme="minorHAnsi" w:cstheme="minorHAnsi"/>
          <w:sz w:val="24"/>
          <w:szCs w:val="24"/>
        </w:rPr>
        <w:t>Universities UK, 2018</w:t>
      </w:r>
      <w:r w:rsidR="00383036" w:rsidRPr="00FD7B09">
        <w:rPr>
          <w:rFonts w:asciiTheme="minorHAnsi" w:hAnsiTheme="minorHAnsi" w:cstheme="minorHAnsi"/>
          <w:sz w:val="24"/>
          <w:szCs w:val="24"/>
        </w:rPr>
        <w:t>)</w:t>
      </w:r>
      <w:r w:rsidR="001216BA" w:rsidRPr="00FD7B09">
        <w:rPr>
          <w:rFonts w:asciiTheme="minorHAnsi" w:hAnsiTheme="minorHAnsi" w:cstheme="minorHAnsi"/>
          <w:sz w:val="24"/>
          <w:szCs w:val="24"/>
        </w:rPr>
        <w:t xml:space="preserve">, </w:t>
      </w:r>
      <w:r w:rsidR="002B793F" w:rsidRPr="00FD7B09">
        <w:rPr>
          <w:rFonts w:asciiTheme="minorHAnsi" w:hAnsiTheme="minorHAnsi" w:cstheme="minorHAnsi"/>
          <w:sz w:val="24"/>
          <w:szCs w:val="24"/>
        </w:rPr>
        <w:t>reflecting rising aspirations for university</w:t>
      </w:r>
      <w:r w:rsidR="008F0858">
        <w:rPr>
          <w:rFonts w:asciiTheme="minorHAnsi" w:hAnsiTheme="minorHAnsi" w:cstheme="minorHAnsi"/>
          <w:sz w:val="24"/>
          <w:szCs w:val="24"/>
        </w:rPr>
        <w:t>.</w:t>
      </w:r>
      <w:r w:rsidR="00163D23">
        <w:rPr>
          <w:rFonts w:asciiTheme="minorHAnsi" w:hAnsiTheme="minorHAnsi" w:cstheme="minorHAnsi"/>
          <w:sz w:val="24"/>
          <w:szCs w:val="24"/>
        </w:rPr>
        <w:t xml:space="preserve"> </w:t>
      </w:r>
      <w:r w:rsidR="002B793F" w:rsidRPr="00FD7B09">
        <w:rPr>
          <w:rFonts w:asciiTheme="minorHAnsi" w:hAnsiTheme="minorHAnsi" w:cstheme="minorHAnsi"/>
          <w:sz w:val="24"/>
          <w:szCs w:val="24"/>
        </w:rPr>
        <w:t xml:space="preserve">There were improvements in educational attainment in the 2000s, </w:t>
      </w:r>
      <w:r w:rsidR="009E760D" w:rsidRPr="00FD7B09">
        <w:rPr>
          <w:rFonts w:asciiTheme="minorHAnsi" w:hAnsiTheme="minorHAnsi" w:cstheme="minorHAnsi"/>
          <w:sz w:val="24"/>
          <w:szCs w:val="24"/>
        </w:rPr>
        <w:t>which</w:t>
      </w:r>
      <w:r w:rsidR="002B793F" w:rsidRPr="00FD7B09">
        <w:rPr>
          <w:rFonts w:asciiTheme="minorHAnsi" w:hAnsiTheme="minorHAnsi" w:cstheme="minorHAnsi"/>
          <w:sz w:val="24"/>
          <w:szCs w:val="24"/>
        </w:rPr>
        <w:t xml:space="preserve"> varied by region</w:t>
      </w:r>
      <w:r w:rsidR="00290D75" w:rsidRPr="00FD7B09">
        <w:rPr>
          <w:rFonts w:asciiTheme="minorHAnsi" w:hAnsiTheme="minorHAnsi" w:cstheme="minorHAnsi"/>
          <w:sz w:val="24"/>
          <w:szCs w:val="24"/>
        </w:rPr>
        <w:t xml:space="preserve"> </w:t>
      </w:r>
      <w:r w:rsidR="00383036" w:rsidRPr="00FD7B09">
        <w:rPr>
          <w:rFonts w:asciiTheme="minorHAnsi" w:hAnsiTheme="minorHAnsi" w:cstheme="minorHAnsi"/>
          <w:sz w:val="24"/>
          <w:szCs w:val="24"/>
        </w:rPr>
        <w:t>(</w:t>
      </w:r>
      <w:r w:rsidR="00E0231D" w:rsidRPr="00FD7B09">
        <w:rPr>
          <w:rFonts w:asciiTheme="minorHAnsi" w:hAnsiTheme="minorHAnsi" w:cstheme="minorHAnsi"/>
          <w:sz w:val="24"/>
          <w:szCs w:val="24"/>
        </w:rPr>
        <w:t>Greaves et al., 2014</w:t>
      </w:r>
      <w:r w:rsidR="00383036" w:rsidRPr="00FD7B09">
        <w:rPr>
          <w:rFonts w:asciiTheme="minorHAnsi" w:hAnsiTheme="minorHAnsi" w:cstheme="minorHAnsi"/>
          <w:sz w:val="24"/>
          <w:szCs w:val="24"/>
        </w:rPr>
        <w:t>)</w:t>
      </w:r>
      <w:r w:rsidR="00D27906" w:rsidRPr="00FD7B09">
        <w:rPr>
          <w:rFonts w:asciiTheme="minorHAnsi" w:hAnsiTheme="minorHAnsi" w:cstheme="minorHAnsi"/>
          <w:sz w:val="24"/>
          <w:szCs w:val="24"/>
        </w:rPr>
        <w:t xml:space="preserve"> </w:t>
      </w:r>
      <w:r w:rsidR="002B793F" w:rsidRPr="00FD7B09">
        <w:rPr>
          <w:rFonts w:asciiTheme="minorHAnsi" w:hAnsiTheme="minorHAnsi" w:cstheme="minorHAnsi"/>
          <w:sz w:val="24"/>
          <w:szCs w:val="24"/>
        </w:rPr>
        <w:t xml:space="preserve">and rapidity </w:t>
      </w:r>
      <w:r w:rsidR="00274C81" w:rsidRPr="00FD7B09">
        <w:rPr>
          <w:rFonts w:asciiTheme="minorHAnsi" w:hAnsiTheme="minorHAnsi" w:cstheme="minorHAnsi"/>
          <w:sz w:val="24"/>
          <w:szCs w:val="24"/>
        </w:rPr>
        <w:t>amongst</w:t>
      </w:r>
      <w:r w:rsidR="002B793F" w:rsidRPr="00FD7B09">
        <w:rPr>
          <w:rFonts w:asciiTheme="minorHAnsi" w:hAnsiTheme="minorHAnsi" w:cstheme="minorHAnsi"/>
          <w:sz w:val="24"/>
          <w:szCs w:val="24"/>
        </w:rPr>
        <w:t xml:space="preserve"> certain ethnic groups </w:t>
      </w:r>
      <w:r w:rsidR="00383036" w:rsidRPr="00FD7B09">
        <w:rPr>
          <w:rFonts w:asciiTheme="minorHAnsi" w:hAnsiTheme="minorHAnsi" w:cstheme="minorHAnsi"/>
          <w:sz w:val="24"/>
          <w:szCs w:val="24"/>
        </w:rPr>
        <w:t>(</w:t>
      </w:r>
      <w:r w:rsidR="00EF1701" w:rsidRPr="00FD7B09">
        <w:rPr>
          <w:rFonts w:asciiTheme="minorHAnsi" w:hAnsiTheme="minorHAnsi" w:cstheme="minorHAnsi"/>
          <w:sz w:val="24"/>
          <w:szCs w:val="24"/>
        </w:rPr>
        <w:t xml:space="preserve">Author </w:t>
      </w:r>
      <w:r w:rsidR="000A197B" w:rsidRPr="00FD7B09">
        <w:rPr>
          <w:rFonts w:asciiTheme="minorHAnsi" w:hAnsiTheme="minorHAnsi" w:cstheme="minorHAnsi"/>
          <w:sz w:val="24"/>
          <w:szCs w:val="24"/>
        </w:rPr>
        <w:t>et al., 2016; S</w:t>
      </w:r>
      <w:r w:rsidR="003B3E77" w:rsidRPr="00FD7B09">
        <w:rPr>
          <w:rFonts w:asciiTheme="minorHAnsi" w:hAnsiTheme="minorHAnsi" w:cstheme="minorHAnsi"/>
          <w:sz w:val="24"/>
          <w:szCs w:val="24"/>
        </w:rPr>
        <w:t>trand</w:t>
      </w:r>
      <w:r w:rsidR="000A197B" w:rsidRPr="00FD7B09">
        <w:rPr>
          <w:rFonts w:asciiTheme="minorHAnsi" w:hAnsiTheme="minorHAnsi" w:cstheme="minorHAnsi"/>
          <w:sz w:val="24"/>
          <w:szCs w:val="24"/>
        </w:rPr>
        <w:t>, 2015</w:t>
      </w:r>
      <w:r w:rsidR="007259E2" w:rsidRPr="00FD7B09">
        <w:rPr>
          <w:rFonts w:asciiTheme="minorHAnsi" w:hAnsiTheme="minorHAnsi" w:cstheme="minorHAnsi"/>
          <w:sz w:val="24"/>
          <w:szCs w:val="24"/>
        </w:rPr>
        <w:t>)</w:t>
      </w:r>
      <w:r w:rsidR="005E19FF" w:rsidRPr="00FD7B09">
        <w:rPr>
          <w:rFonts w:asciiTheme="minorHAnsi" w:hAnsiTheme="minorHAnsi" w:cstheme="minorHAnsi"/>
          <w:sz w:val="24"/>
          <w:szCs w:val="24"/>
        </w:rPr>
        <w:t xml:space="preserve">. </w:t>
      </w:r>
      <w:r w:rsidR="00BC4FB6">
        <w:rPr>
          <w:rFonts w:asciiTheme="minorHAnsi" w:hAnsiTheme="minorHAnsi" w:cstheme="minorHAnsi"/>
          <w:sz w:val="24"/>
          <w:szCs w:val="24"/>
        </w:rPr>
        <w:t xml:space="preserve">In a study of </w:t>
      </w:r>
      <w:r w:rsidR="00D26ED1">
        <w:rPr>
          <w:rFonts w:asciiTheme="minorHAnsi" w:hAnsiTheme="minorHAnsi" w:cstheme="minorHAnsi"/>
          <w:sz w:val="24"/>
          <w:szCs w:val="24"/>
        </w:rPr>
        <w:t>a cohort</w:t>
      </w:r>
      <w:r w:rsidR="00AB36E9">
        <w:rPr>
          <w:rFonts w:asciiTheme="minorHAnsi" w:hAnsiTheme="minorHAnsi" w:cstheme="minorHAnsi"/>
          <w:sz w:val="24"/>
          <w:szCs w:val="24"/>
        </w:rPr>
        <w:t xml:space="preserve"> of</w:t>
      </w:r>
      <w:r w:rsidR="00D26ED1">
        <w:rPr>
          <w:rFonts w:asciiTheme="minorHAnsi" w:hAnsiTheme="minorHAnsi" w:cstheme="minorHAnsi"/>
          <w:sz w:val="24"/>
          <w:szCs w:val="24"/>
        </w:rPr>
        <w:t xml:space="preserve"> teenagers </w:t>
      </w:r>
      <w:r w:rsidR="00AB36E9">
        <w:rPr>
          <w:rFonts w:asciiTheme="minorHAnsi" w:hAnsiTheme="minorHAnsi" w:cstheme="minorHAnsi"/>
          <w:sz w:val="24"/>
          <w:szCs w:val="24"/>
        </w:rPr>
        <w:t xml:space="preserve">which took their GCSEs in </w:t>
      </w:r>
      <w:r w:rsidR="00D26ED1">
        <w:rPr>
          <w:rFonts w:asciiTheme="minorHAnsi" w:hAnsiTheme="minorHAnsi" w:cstheme="minorHAnsi"/>
          <w:sz w:val="24"/>
          <w:szCs w:val="24"/>
        </w:rPr>
        <w:t xml:space="preserve">2008, all ethnic minority groups had a higher probability of attending university than White British teenagers (Crawford and Greaves, </w:t>
      </w:r>
      <w:r w:rsidR="00385F3B">
        <w:rPr>
          <w:rFonts w:asciiTheme="minorHAnsi" w:hAnsiTheme="minorHAnsi" w:cstheme="minorHAnsi"/>
          <w:sz w:val="24"/>
          <w:szCs w:val="24"/>
        </w:rPr>
        <w:t>2015)</w:t>
      </w:r>
      <w:r w:rsidR="00D26ED1">
        <w:rPr>
          <w:rFonts w:asciiTheme="minorHAnsi" w:hAnsiTheme="minorHAnsi" w:cstheme="minorHAnsi"/>
          <w:sz w:val="24"/>
          <w:szCs w:val="24"/>
        </w:rPr>
        <w:t xml:space="preserve">. </w:t>
      </w:r>
      <w:r w:rsidR="002B793F" w:rsidRPr="00FD7B09">
        <w:rPr>
          <w:rFonts w:asciiTheme="minorHAnsi" w:hAnsiTheme="minorHAnsi" w:cstheme="minorHAnsi"/>
          <w:sz w:val="24"/>
          <w:szCs w:val="24"/>
        </w:rPr>
        <w:t xml:space="preserve">Larger urban areas have become increasingly ethnically diverse, with London </w:t>
      </w:r>
      <w:proofErr w:type="spellStart"/>
      <w:r w:rsidR="00322DF4" w:rsidRPr="00FD7B09">
        <w:rPr>
          <w:rFonts w:asciiTheme="minorHAnsi" w:hAnsiTheme="minorHAnsi" w:cstheme="minorHAnsi"/>
          <w:sz w:val="24"/>
          <w:szCs w:val="24"/>
        </w:rPr>
        <w:t>LADs</w:t>
      </w:r>
      <w:r w:rsidR="008F494B" w:rsidRPr="00FD7B09">
        <w:rPr>
          <w:rFonts w:asciiTheme="minorHAnsi" w:hAnsiTheme="minorHAnsi" w:cstheme="minorHAnsi"/>
          <w:sz w:val="24"/>
          <w:szCs w:val="24"/>
        </w:rPr>
        <w:t>’</w:t>
      </w:r>
      <w:proofErr w:type="spellEnd"/>
      <w:r w:rsidR="00322DF4" w:rsidRPr="00FD7B09">
        <w:rPr>
          <w:rFonts w:asciiTheme="minorHAnsi" w:hAnsiTheme="minorHAnsi" w:cstheme="minorHAnsi"/>
          <w:sz w:val="24"/>
          <w:szCs w:val="24"/>
        </w:rPr>
        <w:t xml:space="preserve"> </w:t>
      </w:r>
      <w:r w:rsidR="00B65A28" w:rsidRPr="00FD7B09">
        <w:rPr>
          <w:rFonts w:asciiTheme="minorHAnsi" w:hAnsiTheme="minorHAnsi" w:cstheme="minorHAnsi"/>
          <w:sz w:val="24"/>
          <w:szCs w:val="24"/>
        </w:rPr>
        <w:t xml:space="preserve">growing </w:t>
      </w:r>
      <w:r w:rsidR="001D3E80" w:rsidRPr="00FD7B09">
        <w:rPr>
          <w:rFonts w:asciiTheme="minorHAnsi" w:hAnsiTheme="minorHAnsi" w:cstheme="minorHAnsi"/>
          <w:sz w:val="24"/>
          <w:szCs w:val="24"/>
        </w:rPr>
        <w:t xml:space="preserve">mean percentages of South Asian </w:t>
      </w:r>
      <w:r w:rsidR="00BF5F32">
        <w:rPr>
          <w:rFonts w:asciiTheme="minorHAnsi" w:hAnsiTheme="minorHAnsi" w:cstheme="minorHAnsi"/>
          <w:sz w:val="24"/>
          <w:szCs w:val="24"/>
        </w:rPr>
        <w:t>teenagers</w:t>
      </w:r>
      <w:r w:rsidR="00BF5F32" w:rsidRPr="00FD7B09">
        <w:rPr>
          <w:rFonts w:asciiTheme="minorHAnsi" w:hAnsiTheme="minorHAnsi" w:cstheme="minorHAnsi"/>
          <w:sz w:val="24"/>
          <w:szCs w:val="24"/>
        </w:rPr>
        <w:t xml:space="preserve"> </w:t>
      </w:r>
      <w:r w:rsidR="00B65A28" w:rsidRPr="00FD7B09">
        <w:rPr>
          <w:rFonts w:asciiTheme="minorHAnsi" w:hAnsiTheme="minorHAnsi" w:cstheme="minorHAnsi"/>
          <w:sz w:val="24"/>
          <w:szCs w:val="24"/>
        </w:rPr>
        <w:t xml:space="preserve">from </w:t>
      </w:r>
      <w:r w:rsidR="00CF1127" w:rsidRPr="00FD7B09">
        <w:rPr>
          <w:rFonts w:asciiTheme="minorHAnsi" w:hAnsiTheme="minorHAnsi" w:cstheme="minorHAnsi"/>
          <w:sz w:val="24"/>
          <w:szCs w:val="24"/>
        </w:rPr>
        <w:t xml:space="preserve">14.9% in 1998 to </w:t>
      </w:r>
      <w:r w:rsidR="00BE6F69" w:rsidRPr="00FD7B09">
        <w:rPr>
          <w:rFonts w:asciiTheme="minorHAnsi" w:hAnsiTheme="minorHAnsi" w:cstheme="minorHAnsi"/>
          <w:sz w:val="24"/>
          <w:szCs w:val="24"/>
        </w:rPr>
        <w:t xml:space="preserve">19.6% in 2017, </w:t>
      </w:r>
      <w:r w:rsidR="001D5073" w:rsidRPr="00FD7B09">
        <w:rPr>
          <w:rFonts w:asciiTheme="minorHAnsi" w:hAnsiTheme="minorHAnsi" w:cstheme="minorHAnsi"/>
          <w:sz w:val="24"/>
          <w:szCs w:val="24"/>
        </w:rPr>
        <w:t xml:space="preserve">and </w:t>
      </w:r>
      <w:r w:rsidR="00BE6F69" w:rsidRPr="00FD7B09">
        <w:rPr>
          <w:rFonts w:asciiTheme="minorHAnsi" w:hAnsiTheme="minorHAnsi" w:cstheme="minorHAnsi"/>
          <w:sz w:val="24"/>
          <w:szCs w:val="24"/>
        </w:rPr>
        <w:t xml:space="preserve">Black </w:t>
      </w:r>
      <w:r w:rsidR="00BF5F32">
        <w:rPr>
          <w:rFonts w:asciiTheme="minorHAnsi" w:hAnsiTheme="minorHAnsi" w:cstheme="minorHAnsi"/>
          <w:sz w:val="24"/>
          <w:szCs w:val="24"/>
        </w:rPr>
        <w:t>teenagers</w:t>
      </w:r>
      <w:r w:rsidR="00BF5F32" w:rsidRPr="00FD7B09">
        <w:rPr>
          <w:rFonts w:asciiTheme="minorHAnsi" w:hAnsiTheme="minorHAnsi" w:cstheme="minorHAnsi"/>
          <w:sz w:val="24"/>
          <w:szCs w:val="24"/>
        </w:rPr>
        <w:t xml:space="preserve"> </w:t>
      </w:r>
      <w:r w:rsidR="00BE6F69" w:rsidRPr="00FD7B09">
        <w:rPr>
          <w:rFonts w:asciiTheme="minorHAnsi" w:hAnsiTheme="minorHAnsi" w:cstheme="minorHAnsi"/>
          <w:sz w:val="24"/>
          <w:szCs w:val="24"/>
        </w:rPr>
        <w:t>from 16.9% to 21.5%</w:t>
      </w:r>
      <w:r w:rsidR="002B793F" w:rsidRPr="00FD7B09">
        <w:rPr>
          <w:rFonts w:asciiTheme="minorHAnsi" w:hAnsiTheme="minorHAnsi" w:cstheme="minorHAnsi"/>
          <w:sz w:val="24"/>
          <w:szCs w:val="24"/>
        </w:rPr>
        <w:t xml:space="preserve">. </w:t>
      </w:r>
      <w:r w:rsidR="005419AC">
        <w:rPr>
          <w:rFonts w:asciiTheme="minorHAnsi" w:hAnsiTheme="minorHAnsi" w:cstheme="minorHAnsi"/>
          <w:sz w:val="24"/>
          <w:szCs w:val="24"/>
        </w:rPr>
        <w:t>While</w:t>
      </w:r>
      <w:r w:rsidR="0053484D">
        <w:rPr>
          <w:rFonts w:asciiTheme="minorHAnsi" w:hAnsiTheme="minorHAnsi" w:cstheme="minorHAnsi"/>
          <w:sz w:val="24"/>
          <w:szCs w:val="24"/>
        </w:rPr>
        <w:t xml:space="preserve"> h</w:t>
      </w:r>
      <w:r w:rsidR="004667CE" w:rsidRPr="00FA4E70">
        <w:rPr>
          <w:rFonts w:asciiTheme="minorHAnsi" w:hAnsiTheme="minorHAnsi" w:cstheme="minorHAnsi"/>
          <w:sz w:val="24"/>
          <w:szCs w:val="24"/>
        </w:rPr>
        <w:t xml:space="preserve">istorically Pakistani, Bangladeshi, and Black Caribbean teenagers displayed higher rates of </w:t>
      </w:r>
      <w:r w:rsidR="00E01952">
        <w:rPr>
          <w:rFonts w:asciiTheme="minorHAnsi" w:hAnsiTheme="minorHAnsi" w:cstheme="minorHAnsi"/>
          <w:sz w:val="24"/>
          <w:szCs w:val="24"/>
        </w:rPr>
        <w:t xml:space="preserve">young </w:t>
      </w:r>
      <w:r w:rsidR="004667CE" w:rsidRPr="00FA4E70">
        <w:rPr>
          <w:rFonts w:asciiTheme="minorHAnsi" w:hAnsiTheme="minorHAnsi" w:cstheme="minorHAnsi"/>
          <w:sz w:val="24"/>
          <w:szCs w:val="24"/>
        </w:rPr>
        <w:t xml:space="preserve">childbearing (Dubuc and Haskey, 2010), the </w:t>
      </w:r>
      <w:r w:rsidR="004667CE" w:rsidRPr="00FA4E70">
        <w:rPr>
          <w:rFonts w:asciiTheme="minorHAnsi" w:hAnsiTheme="minorHAnsi" w:cstheme="minorHAnsi"/>
          <w:sz w:val="24"/>
          <w:szCs w:val="24"/>
        </w:rPr>
        <w:lastRenderedPageBreak/>
        <w:t>limited available evidence suggests that childbearing is being postponed among all ethnic groups (Author, 2020).</w:t>
      </w:r>
      <w:r w:rsidR="006D3340">
        <w:rPr>
          <w:rFonts w:asciiTheme="minorHAnsi" w:hAnsiTheme="minorHAnsi" w:cstheme="minorHAnsi"/>
          <w:sz w:val="24"/>
          <w:szCs w:val="24"/>
        </w:rPr>
        <w:t xml:space="preserve"> </w:t>
      </w:r>
      <w:r w:rsidR="00DE3226">
        <w:rPr>
          <w:rFonts w:asciiTheme="minorHAnsi" w:hAnsiTheme="minorHAnsi" w:cstheme="minorHAnsi"/>
          <w:sz w:val="24"/>
          <w:szCs w:val="24"/>
        </w:rPr>
        <w:t>H</w:t>
      </w:r>
      <w:r w:rsidR="004405BA">
        <w:rPr>
          <w:rFonts w:asciiTheme="minorHAnsi" w:hAnsiTheme="minorHAnsi" w:cstheme="minorHAnsi"/>
          <w:sz w:val="24"/>
          <w:szCs w:val="24"/>
        </w:rPr>
        <w:t xml:space="preserve">igh numbers of second and third generation </w:t>
      </w:r>
      <w:r w:rsidR="00DE3226">
        <w:rPr>
          <w:rFonts w:asciiTheme="minorHAnsi" w:hAnsiTheme="minorHAnsi" w:cstheme="minorHAnsi"/>
          <w:sz w:val="24"/>
          <w:szCs w:val="24"/>
        </w:rPr>
        <w:t xml:space="preserve">teenage ethnic minority populations </w:t>
      </w:r>
      <w:r w:rsidR="00556D04">
        <w:rPr>
          <w:rFonts w:asciiTheme="minorHAnsi" w:hAnsiTheme="minorHAnsi" w:cstheme="minorHAnsi"/>
          <w:sz w:val="24"/>
          <w:szCs w:val="24"/>
        </w:rPr>
        <w:t>in local area</w:t>
      </w:r>
      <w:r w:rsidR="003220CF">
        <w:rPr>
          <w:rFonts w:asciiTheme="minorHAnsi" w:hAnsiTheme="minorHAnsi" w:cstheme="minorHAnsi"/>
          <w:sz w:val="24"/>
          <w:szCs w:val="24"/>
        </w:rPr>
        <w:t>s</w:t>
      </w:r>
      <w:r w:rsidR="00556D04">
        <w:rPr>
          <w:rFonts w:asciiTheme="minorHAnsi" w:hAnsiTheme="minorHAnsi" w:cstheme="minorHAnsi"/>
          <w:sz w:val="24"/>
          <w:szCs w:val="24"/>
        </w:rPr>
        <w:t xml:space="preserve"> </w:t>
      </w:r>
      <w:r w:rsidR="004405BA">
        <w:rPr>
          <w:rFonts w:asciiTheme="minorHAnsi" w:hAnsiTheme="minorHAnsi" w:cstheme="minorHAnsi"/>
          <w:sz w:val="24"/>
          <w:szCs w:val="24"/>
        </w:rPr>
        <w:t xml:space="preserve">may now </w:t>
      </w:r>
      <w:r w:rsidR="003A062D">
        <w:rPr>
          <w:rFonts w:asciiTheme="minorHAnsi" w:hAnsiTheme="minorHAnsi" w:cstheme="minorHAnsi"/>
          <w:sz w:val="24"/>
          <w:szCs w:val="24"/>
        </w:rPr>
        <w:t xml:space="preserve">represent a larger </w:t>
      </w:r>
      <w:r w:rsidR="000848C6">
        <w:rPr>
          <w:rFonts w:asciiTheme="minorHAnsi" w:hAnsiTheme="minorHAnsi" w:cstheme="minorHAnsi"/>
          <w:sz w:val="24"/>
          <w:szCs w:val="24"/>
        </w:rPr>
        <w:t xml:space="preserve">group of young women </w:t>
      </w:r>
      <w:r w:rsidR="00C35B86">
        <w:rPr>
          <w:rFonts w:asciiTheme="minorHAnsi" w:hAnsiTheme="minorHAnsi" w:cstheme="minorHAnsi"/>
          <w:sz w:val="24"/>
          <w:szCs w:val="24"/>
        </w:rPr>
        <w:t>avoiding teenage pregnancy and contributing to reducing teenage pregnancy rates.</w:t>
      </w:r>
      <w:r w:rsidR="006D3340">
        <w:rPr>
          <w:rFonts w:asciiTheme="minorHAnsi" w:hAnsiTheme="minorHAnsi" w:cstheme="minorHAnsi"/>
          <w:sz w:val="24"/>
          <w:szCs w:val="24"/>
        </w:rPr>
        <w:t xml:space="preserve">  </w:t>
      </w:r>
    </w:p>
    <w:p w14:paraId="0E781EC3" w14:textId="07CEE970" w:rsidR="002B793F" w:rsidRPr="00FD7B09" w:rsidRDefault="002B793F" w:rsidP="00CD0462">
      <w:pPr>
        <w:rPr>
          <w:rFonts w:asciiTheme="minorHAnsi" w:hAnsiTheme="minorHAnsi" w:cstheme="minorHAnsi"/>
          <w:sz w:val="24"/>
          <w:szCs w:val="24"/>
        </w:rPr>
      </w:pPr>
      <w:r w:rsidRPr="00FD7B09">
        <w:rPr>
          <w:rFonts w:asciiTheme="minorHAnsi" w:hAnsiTheme="minorHAnsi" w:cstheme="minorHAnsi"/>
          <w:sz w:val="24"/>
          <w:szCs w:val="24"/>
        </w:rPr>
        <w:t xml:space="preserve">This paper identifies factors that explain geographical differences in teenage conceptions and the differential rates of decline between 1998 and 2017. </w:t>
      </w:r>
    </w:p>
    <w:p w14:paraId="1F66B860" w14:textId="1C6D92EF" w:rsidR="002B793F" w:rsidRPr="00FD7B09" w:rsidRDefault="002B793F" w:rsidP="00CD0462">
      <w:pPr>
        <w:rPr>
          <w:rFonts w:asciiTheme="minorHAnsi" w:hAnsiTheme="minorHAnsi" w:cstheme="minorHAnsi"/>
          <w:sz w:val="24"/>
          <w:szCs w:val="24"/>
        </w:rPr>
      </w:pPr>
      <w:r w:rsidRPr="00FD7B09">
        <w:rPr>
          <w:rFonts w:asciiTheme="minorHAnsi" w:hAnsiTheme="minorHAnsi" w:cstheme="minorHAnsi"/>
          <w:sz w:val="24"/>
          <w:szCs w:val="24"/>
        </w:rPr>
        <w:t xml:space="preserve">The research questions are: </w:t>
      </w:r>
    </w:p>
    <w:p w14:paraId="42BBFDC9" w14:textId="5F94D077" w:rsidR="002B793F" w:rsidRPr="00FD7B09" w:rsidRDefault="002B793F" w:rsidP="00CD0462">
      <w:pPr>
        <w:rPr>
          <w:rFonts w:asciiTheme="minorHAnsi" w:hAnsiTheme="minorHAnsi" w:cstheme="minorHAnsi"/>
          <w:sz w:val="24"/>
          <w:szCs w:val="24"/>
        </w:rPr>
      </w:pPr>
      <w:r w:rsidRPr="00FD7B09">
        <w:rPr>
          <w:rFonts w:asciiTheme="minorHAnsi" w:hAnsiTheme="minorHAnsi" w:cstheme="minorHAnsi"/>
          <w:sz w:val="24"/>
          <w:szCs w:val="24"/>
        </w:rPr>
        <w:t xml:space="preserve">1. To what extent do Local Authority District characteristics explain geographical differences in under-18 conception rates, and have these relationships changed </w:t>
      </w:r>
      <w:r w:rsidR="006B13C1" w:rsidRPr="00FD7B09">
        <w:rPr>
          <w:rFonts w:asciiTheme="minorHAnsi" w:hAnsiTheme="minorHAnsi" w:cstheme="minorHAnsi"/>
          <w:sz w:val="24"/>
          <w:szCs w:val="24"/>
        </w:rPr>
        <w:t>between</w:t>
      </w:r>
      <w:r w:rsidRPr="00FD7B09">
        <w:rPr>
          <w:rFonts w:asciiTheme="minorHAnsi" w:hAnsiTheme="minorHAnsi" w:cstheme="minorHAnsi"/>
          <w:sz w:val="24"/>
          <w:szCs w:val="24"/>
        </w:rPr>
        <w:t xml:space="preserve"> 1998 </w:t>
      </w:r>
      <w:r w:rsidR="006B13C1" w:rsidRPr="00FD7B09">
        <w:rPr>
          <w:rFonts w:asciiTheme="minorHAnsi" w:hAnsiTheme="minorHAnsi" w:cstheme="minorHAnsi"/>
          <w:sz w:val="24"/>
          <w:szCs w:val="24"/>
        </w:rPr>
        <w:t>and</w:t>
      </w:r>
      <w:r w:rsidRPr="00FD7B09">
        <w:rPr>
          <w:rFonts w:asciiTheme="minorHAnsi" w:hAnsiTheme="minorHAnsi" w:cstheme="minorHAnsi"/>
          <w:sz w:val="24"/>
          <w:szCs w:val="24"/>
        </w:rPr>
        <w:t xml:space="preserve"> 2017? </w:t>
      </w:r>
    </w:p>
    <w:p w14:paraId="4E2A5904" w14:textId="6A9AAD9A" w:rsidR="002B793F" w:rsidRPr="00FD7B09" w:rsidRDefault="002B793F" w:rsidP="00CD0462">
      <w:pPr>
        <w:rPr>
          <w:rFonts w:asciiTheme="minorHAnsi" w:hAnsiTheme="minorHAnsi" w:cstheme="minorHAnsi"/>
          <w:b/>
          <w:sz w:val="24"/>
          <w:szCs w:val="24"/>
        </w:rPr>
      </w:pPr>
      <w:r w:rsidRPr="00FD7B09">
        <w:rPr>
          <w:rFonts w:asciiTheme="minorHAnsi" w:hAnsiTheme="minorHAnsi" w:cstheme="minorHAnsi"/>
          <w:sz w:val="24"/>
          <w:szCs w:val="24"/>
        </w:rPr>
        <w:t xml:space="preserve">2. How are </w:t>
      </w:r>
      <w:r w:rsidRPr="00FD7B09">
        <w:rPr>
          <w:rFonts w:asciiTheme="minorHAnsi" w:hAnsiTheme="minorHAnsi" w:cstheme="minorHAnsi"/>
          <w:i/>
          <w:sz w:val="24"/>
          <w:szCs w:val="24"/>
        </w:rPr>
        <w:t>changes</w:t>
      </w:r>
      <w:r w:rsidRPr="00FD7B09">
        <w:rPr>
          <w:rFonts w:asciiTheme="minorHAnsi" w:hAnsiTheme="minorHAnsi" w:cstheme="minorHAnsi"/>
          <w:sz w:val="24"/>
          <w:szCs w:val="24"/>
        </w:rPr>
        <w:t xml:space="preserve"> in Local Authority District characteristics associated with the </w:t>
      </w:r>
      <w:r w:rsidRPr="00FD7B09">
        <w:rPr>
          <w:rFonts w:asciiTheme="minorHAnsi" w:hAnsiTheme="minorHAnsi" w:cstheme="minorHAnsi"/>
          <w:i/>
          <w:sz w:val="24"/>
          <w:szCs w:val="24"/>
        </w:rPr>
        <w:t xml:space="preserve">changes </w:t>
      </w:r>
      <w:r w:rsidRPr="00FD7B09">
        <w:rPr>
          <w:rFonts w:asciiTheme="minorHAnsi" w:hAnsiTheme="minorHAnsi" w:cstheme="minorHAnsi"/>
          <w:sz w:val="24"/>
          <w:szCs w:val="24"/>
        </w:rPr>
        <w:t>in under-18 conception rates throughout the period from 1998 to 2017?</w:t>
      </w:r>
    </w:p>
    <w:p w14:paraId="49A5BD21" w14:textId="773A0E94" w:rsidR="002B793F" w:rsidRPr="00FD7B09" w:rsidRDefault="00E65A15" w:rsidP="00CD0462">
      <w:pPr>
        <w:rPr>
          <w:rFonts w:asciiTheme="minorHAnsi" w:hAnsiTheme="minorHAnsi" w:cstheme="minorHAnsi"/>
          <w:b/>
          <w:sz w:val="24"/>
        </w:rPr>
      </w:pPr>
      <w:bookmarkStart w:id="6" w:name="_Toc19031323"/>
      <w:r w:rsidRPr="00FD7B09">
        <w:rPr>
          <w:rFonts w:asciiTheme="minorHAnsi" w:hAnsiTheme="minorHAnsi" w:cstheme="minorHAnsi"/>
          <w:b/>
          <w:sz w:val="24"/>
        </w:rPr>
        <w:t>M</w:t>
      </w:r>
      <w:r w:rsidR="002B793F" w:rsidRPr="00FD7B09">
        <w:rPr>
          <w:rFonts w:asciiTheme="minorHAnsi" w:hAnsiTheme="minorHAnsi" w:cstheme="minorHAnsi"/>
          <w:b/>
          <w:sz w:val="24"/>
        </w:rPr>
        <w:t>ethods</w:t>
      </w:r>
      <w:bookmarkEnd w:id="6"/>
    </w:p>
    <w:p w14:paraId="5ADE4E84" w14:textId="5F8E0174" w:rsidR="00201A11" w:rsidRDefault="002B793F" w:rsidP="00CD0462">
      <w:pPr>
        <w:rPr>
          <w:rFonts w:asciiTheme="minorHAnsi" w:hAnsiTheme="minorHAnsi" w:cstheme="minorHAnsi"/>
          <w:sz w:val="24"/>
          <w:szCs w:val="24"/>
        </w:rPr>
      </w:pPr>
      <w:r w:rsidRPr="00FD7B09">
        <w:rPr>
          <w:rFonts w:asciiTheme="minorHAnsi" w:hAnsiTheme="minorHAnsi" w:cstheme="minorHAnsi"/>
          <w:sz w:val="24"/>
          <w:szCs w:val="24"/>
        </w:rPr>
        <w:t xml:space="preserve">The mean and range of the time-varying explanatory variables by area and </w:t>
      </w:r>
      <w:proofErr w:type="gramStart"/>
      <w:r w:rsidRPr="00FD7B09">
        <w:rPr>
          <w:rFonts w:asciiTheme="minorHAnsi" w:hAnsiTheme="minorHAnsi" w:cstheme="minorHAnsi"/>
          <w:sz w:val="24"/>
          <w:szCs w:val="24"/>
        </w:rPr>
        <w:t>time period</w:t>
      </w:r>
      <w:proofErr w:type="gramEnd"/>
      <w:r w:rsidRPr="00FD7B09">
        <w:rPr>
          <w:rFonts w:asciiTheme="minorHAnsi" w:hAnsiTheme="minorHAnsi" w:cstheme="minorHAnsi"/>
          <w:sz w:val="24"/>
          <w:szCs w:val="24"/>
        </w:rPr>
        <w:t xml:space="preserve">, </w:t>
      </w:r>
      <w:r w:rsidR="00CD47CD" w:rsidRPr="00FD7B09">
        <w:rPr>
          <w:rFonts w:asciiTheme="minorHAnsi" w:hAnsiTheme="minorHAnsi" w:cstheme="minorHAnsi"/>
          <w:sz w:val="24"/>
          <w:szCs w:val="24"/>
        </w:rPr>
        <w:t>alongside</w:t>
      </w:r>
      <w:r w:rsidRPr="00FD7B09">
        <w:rPr>
          <w:rFonts w:asciiTheme="minorHAnsi" w:hAnsiTheme="minorHAnsi" w:cstheme="minorHAnsi"/>
          <w:sz w:val="24"/>
          <w:szCs w:val="24"/>
        </w:rPr>
        <w:t xml:space="preserve"> their sources, are in </w:t>
      </w:r>
      <w:r w:rsidR="00BF4DFB" w:rsidRPr="00FD7B09">
        <w:rPr>
          <w:rFonts w:asciiTheme="minorHAnsi" w:hAnsiTheme="minorHAnsi" w:cstheme="minorHAnsi"/>
          <w:sz w:val="24"/>
          <w:szCs w:val="24"/>
        </w:rPr>
        <w:t>Table 1.</w:t>
      </w:r>
      <w:r w:rsidRPr="00FD7B09">
        <w:rPr>
          <w:rFonts w:asciiTheme="minorHAnsi" w:hAnsiTheme="minorHAnsi" w:cstheme="minorHAnsi"/>
          <w:sz w:val="24"/>
          <w:szCs w:val="24"/>
        </w:rPr>
        <w:t xml:space="preserve"> </w:t>
      </w:r>
      <w:r w:rsidRPr="00201A11">
        <w:rPr>
          <w:rFonts w:asciiTheme="minorHAnsi" w:hAnsiTheme="minorHAnsi" w:cstheme="minorHAnsi"/>
          <w:sz w:val="24"/>
          <w:szCs w:val="24"/>
        </w:rPr>
        <w:t xml:space="preserve">The conception statistics for under-18s in </w:t>
      </w:r>
      <w:proofErr w:type="spellStart"/>
      <w:r w:rsidR="00153B20" w:rsidRPr="00201A11">
        <w:rPr>
          <w:rFonts w:asciiTheme="minorHAnsi" w:hAnsiTheme="minorHAnsi" w:cstheme="minorHAnsi"/>
          <w:sz w:val="24"/>
          <w:szCs w:val="24"/>
        </w:rPr>
        <w:t>LADs</w:t>
      </w:r>
      <w:proofErr w:type="spellEnd"/>
      <w:r w:rsidR="00153B20" w:rsidRPr="00201A11">
        <w:rPr>
          <w:rFonts w:asciiTheme="minorHAnsi" w:hAnsiTheme="minorHAnsi" w:cstheme="minorHAnsi"/>
          <w:sz w:val="24"/>
          <w:szCs w:val="24"/>
        </w:rPr>
        <w:t xml:space="preserve"> </w:t>
      </w:r>
      <w:r w:rsidRPr="00201A11">
        <w:rPr>
          <w:rFonts w:asciiTheme="minorHAnsi" w:hAnsiTheme="minorHAnsi" w:cstheme="minorHAnsi"/>
          <w:sz w:val="24"/>
          <w:szCs w:val="24"/>
        </w:rPr>
        <w:t>are rates per 1,000 15</w:t>
      </w:r>
      <w:r w:rsidR="00DC7FA0" w:rsidRPr="00201A11">
        <w:rPr>
          <w:rFonts w:asciiTheme="minorHAnsi" w:hAnsiTheme="minorHAnsi" w:cstheme="minorHAnsi"/>
          <w:sz w:val="24"/>
          <w:szCs w:val="24"/>
        </w:rPr>
        <w:t>-</w:t>
      </w:r>
      <w:r w:rsidRPr="00201A11">
        <w:rPr>
          <w:rFonts w:asciiTheme="minorHAnsi" w:hAnsiTheme="minorHAnsi" w:cstheme="minorHAnsi"/>
          <w:sz w:val="24"/>
          <w:szCs w:val="24"/>
        </w:rPr>
        <w:t>17</w:t>
      </w:r>
      <w:r w:rsidR="00A015C8" w:rsidRPr="00201A11">
        <w:rPr>
          <w:rFonts w:asciiTheme="minorHAnsi" w:hAnsiTheme="minorHAnsi" w:cstheme="minorHAnsi"/>
          <w:sz w:val="24"/>
          <w:szCs w:val="24"/>
        </w:rPr>
        <w:t>-</w:t>
      </w:r>
      <w:r w:rsidRPr="00201A11">
        <w:rPr>
          <w:rFonts w:asciiTheme="minorHAnsi" w:hAnsiTheme="minorHAnsi" w:cstheme="minorHAnsi"/>
          <w:sz w:val="24"/>
          <w:szCs w:val="24"/>
        </w:rPr>
        <w:t xml:space="preserve">year-old women </w:t>
      </w:r>
      <w:r w:rsidR="007F55F5" w:rsidRPr="00201A11">
        <w:rPr>
          <w:rFonts w:asciiTheme="minorHAnsi" w:hAnsiTheme="minorHAnsi" w:cstheme="minorHAnsi"/>
          <w:sz w:val="24"/>
          <w:szCs w:val="24"/>
        </w:rPr>
        <w:t>published by</w:t>
      </w:r>
      <w:r w:rsidRPr="00201A11">
        <w:rPr>
          <w:rFonts w:asciiTheme="minorHAnsi" w:hAnsiTheme="minorHAnsi" w:cstheme="minorHAnsi"/>
          <w:sz w:val="24"/>
          <w:szCs w:val="24"/>
        </w:rPr>
        <w:t xml:space="preserve"> the Office of National Statistics. The conceptions are calculated using </w:t>
      </w:r>
      <w:r w:rsidR="003D31F3" w:rsidRPr="00201A11">
        <w:rPr>
          <w:rFonts w:asciiTheme="minorHAnsi" w:hAnsiTheme="minorHAnsi" w:cstheme="minorHAnsi"/>
          <w:sz w:val="24"/>
          <w:szCs w:val="24"/>
        </w:rPr>
        <w:t xml:space="preserve">the total numbers of </w:t>
      </w:r>
      <w:r w:rsidR="00331039">
        <w:rPr>
          <w:rFonts w:asciiTheme="minorHAnsi" w:hAnsiTheme="minorHAnsi" w:cstheme="minorHAnsi"/>
          <w:sz w:val="24"/>
          <w:szCs w:val="24"/>
        </w:rPr>
        <w:t>conceptions</w:t>
      </w:r>
      <w:r w:rsidR="00853B03" w:rsidRPr="00201A11">
        <w:rPr>
          <w:rFonts w:asciiTheme="minorHAnsi" w:hAnsiTheme="minorHAnsi" w:cstheme="minorHAnsi"/>
          <w:sz w:val="24"/>
          <w:szCs w:val="24"/>
        </w:rPr>
        <w:t xml:space="preserve"> </w:t>
      </w:r>
      <w:r w:rsidR="003D31F3" w:rsidRPr="00201A11">
        <w:rPr>
          <w:rFonts w:asciiTheme="minorHAnsi" w:hAnsiTheme="minorHAnsi" w:cstheme="minorHAnsi"/>
          <w:sz w:val="24"/>
          <w:szCs w:val="24"/>
        </w:rPr>
        <w:t xml:space="preserve">from </w:t>
      </w:r>
      <w:r w:rsidRPr="0044286B">
        <w:rPr>
          <w:rFonts w:asciiTheme="minorHAnsi" w:hAnsiTheme="minorHAnsi" w:cstheme="minorHAnsi"/>
          <w:sz w:val="24"/>
          <w:szCs w:val="24"/>
        </w:rPr>
        <w:t>live births and stillbirths</w:t>
      </w:r>
      <w:r w:rsidR="003D099F" w:rsidRPr="003D099F">
        <w:rPr>
          <w:rStyle w:val="FootnoteReference"/>
          <w:rFonts w:asciiTheme="minorHAnsi" w:hAnsiTheme="minorHAnsi" w:cstheme="minorHAnsi"/>
          <w:sz w:val="24"/>
          <w:szCs w:val="24"/>
        </w:rPr>
        <w:footnoteReference w:id="1"/>
      </w:r>
      <w:r w:rsidRPr="003D099F">
        <w:rPr>
          <w:rFonts w:asciiTheme="minorHAnsi" w:hAnsiTheme="minorHAnsi" w:cstheme="minorHAnsi"/>
          <w:sz w:val="24"/>
          <w:szCs w:val="24"/>
        </w:rPr>
        <w:t xml:space="preserve"> and the number of registered (and th</w:t>
      </w:r>
      <w:r w:rsidRPr="00682940">
        <w:rPr>
          <w:rFonts w:asciiTheme="minorHAnsi" w:hAnsiTheme="minorHAnsi" w:cstheme="minorHAnsi"/>
          <w:sz w:val="24"/>
          <w:szCs w:val="24"/>
        </w:rPr>
        <w:t>erefore legal) abortions</w:t>
      </w:r>
      <w:r w:rsidRPr="003D099F">
        <w:rPr>
          <w:rStyle w:val="FootnoteReference"/>
          <w:rFonts w:asciiTheme="minorHAnsi" w:hAnsiTheme="minorHAnsi" w:cstheme="minorHAnsi"/>
          <w:sz w:val="24"/>
          <w:szCs w:val="24"/>
        </w:rPr>
        <w:footnoteReference w:id="2"/>
      </w:r>
      <w:r w:rsidR="008C153F">
        <w:rPr>
          <w:rFonts w:asciiTheme="minorHAnsi" w:hAnsiTheme="minorHAnsi" w:cstheme="minorHAnsi"/>
          <w:sz w:val="24"/>
          <w:szCs w:val="24"/>
        </w:rPr>
        <w:t xml:space="preserve">, whereby the estimated age </w:t>
      </w:r>
      <w:r w:rsidR="008C153F" w:rsidRPr="00EF153A">
        <w:rPr>
          <w:rFonts w:asciiTheme="minorHAnsi" w:hAnsiTheme="minorHAnsi" w:cstheme="minorHAnsi"/>
          <w:i/>
          <w:iCs/>
          <w:sz w:val="24"/>
          <w:szCs w:val="24"/>
        </w:rPr>
        <w:t>at</w:t>
      </w:r>
      <w:r w:rsidR="008C153F">
        <w:rPr>
          <w:rFonts w:asciiTheme="minorHAnsi" w:hAnsiTheme="minorHAnsi" w:cstheme="minorHAnsi"/>
          <w:sz w:val="24"/>
          <w:szCs w:val="24"/>
        </w:rPr>
        <w:t xml:space="preserve"> conception is determined by the estimated date of conception and the woman’s date of birth.</w:t>
      </w:r>
      <w:r w:rsidR="00B61132">
        <w:rPr>
          <w:rFonts w:asciiTheme="minorHAnsi" w:hAnsiTheme="minorHAnsi" w:cstheme="minorHAnsi"/>
          <w:sz w:val="24"/>
          <w:szCs w:val="24"/>
        </w:rPr>
        <w:t xml:space="preserve"> </w:t>
      </w:r>
      <w:r w:rsidRPr="00682940">
        <w:rPr>
          <w:rFonts w:asciiTheme="minorHAnsi" w:hAnsiTheme="minorHAnsi" w:cstheme="minorHAnsi"/>
          <w:sz w:val="24"/>
          <w:szCs w:val="24"/>
        </w:rPr>
        <w:t xml:space="preserve">Four of the 326 </w:t>
      </w:r>
      <w:proofErr w:type="spellStart"/>
      <w:r w:rsidRPr="00682940">
        <w:rPr>
          <w:rFonts w:asciiTheme="minorHAnsi" w:hAnsiTheme="minorHAnsi" w:cstheme="minorHAnsi"/>
          <w:sz w:val="24"/>
          <w:szCs w:val="24"/>
        </w:rPr>
        <w:t>LADs</w:t>
      </w:r>
      <w:proofErr w:type="spellEnd"/>
      <w:r w:rsidRPr="00682940">
        <w:rPr>
          <w:rFonts w:asciiTheme="minorHAnsi" w:hAnsiTheme="minorHAnsi" w:cstheme="minorHAnsi"/>
          <w:sz w:val="24"/>
          <w:szCs w:val="24"/>
        </w:rPr>
        <w:t xml:space="preserve"> have been combined into two (Isle of Scilly with Cornwall, and the City of London with Hackney)</w:t>
      </w:r>
      <w:r w:rsidR="00853B03" w:rsidRPr="005851B6">
        <w:rPr>
          <w:rFonts w:asciiTheme="minorHAnsi" w:hAnsiTheme="minorHAnsi" w:cstheme="minorHAnsi"/>
          <w:sz w:val="24"/>
          <w:szCs w:val="24"/>
        </w:rPr>
        <w:t xml:space="preserve"> in the original conception statistics dataset</w:t>
      </w:r>
      <w:r w:rsidR="00FD3278">
        <w:rPr>
          <w:rFonts w:asciiTheme="minorHAnsi" w:hAnsiTheme="minorHAnsi" w:cstheme="minorHAnsi"/>
          <w:sz w:val="24"/>
          <w:szCs w:val="24"/>
        </w:rPr>
        <w:t xml:space="preserve"> due to small numbers</w:t>
      </w:r>
      <w:r w:rsidRPr="005851B6">
        <w:rPr>
          <w:rFonts w:asciiTheme="minorHAnsi" w:hAnsiTheme="minorHAnsi" w:cstheme="minorHAnsi"/>
          <w:sz w:val="24"/>
          <w:szCs w:val="24"/>
        </w:rPr>
        <w:t xml:space="preserve">. </w:t>
      </w:r>
      <w:r w:rsidR="00853B03" w:rsidRPr="005851B6">
        <w:rPr>
          <w:rFonts w:asciiTheme="minorHAnsi" w:hAnsiTheme="minorHAnsi" w:cstheme="minorHAnsi"/>
          <w:sz w:val="24"/>
          <w:szCs w:val="24"/>
        </w:rPr>
        <w:t xml:space="preserve">Therefore, for this analysis, </w:t>
      </w:r>
      <w:r w:rsidR="00853B03" w:rsidRPr="0044286B">
        <w:rPr>
          <w:rFonts w:asciiTheme="minorHAnsi" w:hAnsiTheme="minorHAnsi" w:cstheme="minorHAnsi"/>
          <w:sz w:val="24"/>
          <w:szCs w:val="24"/>
        </w:rPr>
        <w:t>t</w:t>
      </w:r>
      <w:r w:rsidRPr="0044286B">
        <w:rPr>
          <w:rFonts w:asciiTheme="minorHAnsi" w:hAnsiTheme="minorHAnsi" w:cstheme="minorHAnsi"/>
          <w:sz w:val="24"/>
          <w:szCs w:val="24"/>
        </w:rPr>
        <w:t xml:space="preserve">he values for Hackney or Cornwall are taken to represent the merged </w:t>
      </w:r>
      <w:proofErr w:type="spellStart"/>
      <w:r w:rsidRPr="0044286B">
        <w:rPr>
          <w:rFonts w:asciiTheme="minorHAnsi" w:hAnsiTheme="minorHAnsi" w:cstheme="minorHAnsi"/>
          <w:sz w:val="24"/>
          <w:szCs w:val="24"/>
        </w:rPr>
        <w:t>LADs</w:t>
      </w:r>
      <w:proofErr w:type="spellEnd"/>
      <w:r w:rsidRPr="0044286B">
        <w:rPr>
          <w:rFonts w:asciiTheme="minorHAnsi" w:hAnsiTheme="minorHAnsi" w:cstheme="minorHAnsi"/>
          <w:sz w:val="24"/>
          <w:szCs w:val="24"/>
        </w:rPr>
        <w:t xml:space="preserve"> for the explanatory variables (unless the combined value is available). </w:t>
      </w:r>
      <w:r w:rsidRPr="003D099F">
        <w:rPr>
          <w:rFonts w:asciiTheme="minorHAnsi" w:hAnsiTheme="minorHAnsi" w:cstheme="minorHAnsi"/>
          <w:sz w:val="24"/>
          <w:szCs w:val="24"/>
        </w:rPr>
        <w:t>Boundar</w:t>
      </w:r>
      <w:r w:rsidR="00C2563A" w:rsidRPr="00682940">
        <w:rPr>
          <w:rFonts w:asciiTheme="minorHAnsi" w:hAnsiTheme="minorHAnsi" w:cstheme="minorHAnsi"/>
          <w:sz w:val="24"/>
          <w:szCs w:val="24"/>
        </w:rPr>
        <w:t>y</w:t>
      </w:r>
      <w:r w:rsidRPr="00682940">
        <w:rPr>
          <w:rFonts w:asciiTheme="minorHAnsi" w:hAnsiTheme="minorHAnsi" w:cstheme="minorHAnsi"/>
          <w:sz w:val="24"/>
          <w:szCs w:val="24"/>
        </w:rPr>
        <w:t xml:space="preserve"> </w:t>
      </w:r>
      <w:r w:rsidR="007F55F5" w:rsidRPr="00682940">
        <w:rPr>
          <w:rFonts w:asciiTheme="minorHAnsi" w:hAnsiTheme="minorHAnsi" w:cstheme="minorHAnsi"/>
          <w:sz w:val="24"/>
          <w:szCs w:val="24"/>
        </w:rPr>
        <w:t>changes</w:t>
      </w:r>
      <w:r w:rsidR="00CA5973" w:rsidRPr="00682940">
        <w:rPr>
          <w:rFonts w:asciiTheme="minorHAnsi" w:hAnsiTheme="minorHAnsi" w:cstheme="minorHAnsi"/>
          <w:sz w:val="24"/>
          <w:szCs w:val="24"/>
        </w:rPr>
        <w:t xml:space="preserve"> </w:t>
      </w:r>
      <w:r w:rsidR="007F55F5" w:rsidRPr="00682940">
        <w:rPr>
          <w:rFonts w:asciiTheme="minorHAnsi" w:hAnsiTheme="minorHAnsi" w:cstheme="minorHAnsi"/>
          <w:sz w:val="24"/>
          <w:szCs w:val="24"/>
        </w:rPr>
        <w:t xml:space="preserve">are addressed </w:t>
      </w:r>
      <w:r w:rsidRPr="00682940">
        <w:rPr>
          <w:rFonts w:asciiTheme="minorHAnsi" w:hAnsiTheme="minorHAnsi" w:cstheme="minorHAnsi"/>
          <w:sz w:val="24"/>
          <w:szCs w:val="24"/>
        </w:rPr>
        <w:t>by assigning the values from historical geographies to current a</w:t>
      </w:r>
      <w:r w:rsidRPr="006532EE">
        <w:rPr>
          <w:rFonts w:asciiTheme="minorHAnsi" w:hAnsiTheme="minorHAnsi" w:cstheme="minorHAnsi"/>
          <w:sz w:val="24"/>
          <w:szCs w:val="24"/>
        </w:rPr>
        <w:t xml:space="preserve">reas. </w:t>
      </w:r>
    </w:p>
    <w:p w14:paraId="794B0EDA" w14:textId="65DAB407" w:rsidR="002B793F" w:rsidRPr="005851B6" w:rsidRDefault="00201A11" w:rsidP="00CD0462">
      <w:pPr>
        <w:rPr>
          <w:rFonts w:asciiTheme="minorHAnsi" w:hAnsiTheme="minorHAnsi" w:cstheme="minorHAnsi"/>
          <w:sz w:val="24"/>
          <w:szCs w:val="24"/>
        </w:rPr>
      </w:pPr>
      <w:r>
        <w:rPr>
          <w:rFonts w:asciiTheme="minorHAnsi" w:hAnsiTheme="minorHAnsi" w:cstheme="minorHAnsi"/>
          <w:sz w:val="24"/>
          <w:szCs w:val="24"/>
        </w:rPr>
        <w:lastRenderedPageBreak/>
        <w:t xml:space="preserve">The main level of geography used in this paper is Local Authority District (LAD), which is an administrative district for local government that includes London boroughs and Unitary Authorities (often cities). As presented in Figure 2, Local Authority Districts are smaller than Local Educational Authorities (LEAs) </w:t>
      </w:r>
      <w:r w:rsidR="00856250">
        <w:rPr>
          <w:rFonts w:asciiTheme="minorHAnsi" w:hAnsiTheme="minorHAnsi" w:cstheme="minorHAnsi"/>
          <w:sz w:val="24"/>
          <w:szCs w:val="24"/>
        </w:rPr>
        <w:t>and are</w:t>
      </w:r>
      <w:r w:rsidR="000E36B0">
        <w:rPr>
          <w:rFonts w:asciiTheme="minorHAnsi" w:hAnsiTheme="minorHAnsi" w:cstheme="minorHAnsi"/>
          <w:sz w:val="24"/>
          <w:szCs w:val="24"/>
        </w:rPr>
        <w:t xml:space="preserve"> </w:t>
      </w:r>
      <w:r w:rsidR="00E30525">
        <w:rPr>
          <w:rFonts w:asciiTheme="minorHAnsi" w:hAnsiTheme="minorHAnsi" w:cstheme="minorHAnsi"/>
          <w:sz w:val="24"/>
          <w:szCs w:val="24"/>
        </w:rPr>
        <w:t xml:space="preserve">the </w:t>
      </w:r>
      <w:r>
        <w:rPr>
          <w:rFonts w:asciiTheme="minorHAnsi" w:hAnsiTheme="minorHAnsi" w:cstheme="minorHAnsi"/>
          <w:sz w:val="24"/>
          <w:szCs w:val="24"/>
        </w:rPr>
        <w:t>level of geography wh</w:t>
      </w:r>
      <w:r w:rsidR="003C24F6">
        <w:rPr>
          <w:rFonts w:asciiTheme="minorHAnsi" w:hAnsiTheme="minorHAnsi" w:cstheme="minorHAnsi"/>
          <w:sz w:val="24"/>
          <w:szCs w:val="24"/>
        </w:rPr>
        <w:t>ich</w:t>
      </w:r>
      <w:r w:rsidR="00402321">
        <w:rPr>
          <w:rFonts w:asciiTheme="minorHAnsi" w:hAnsiTheme="minorHAnsi" w:cstheme="minorHAnsi"/>
          <w:sz w:val="24"/>
          <w:szCs w:val="24"/>
        </w:rPr>
        <w:t xml:space="preserve"> </w:t>
      </w:r>
      <w:r>
        <w:rPr>
          <w:rFonts w:asciiTheme="minorHAnsi" w:hAnsiTheme="minorHAnsi" w:cstheme="minorHAnsi"/>
          <w:sz w:val="24"/>
          <w:szCs w:val="24"/>
        </w:rPr>
        <w:t xml:space="preserve">school-related </w:t>
      </w:r>
      <w:r w:rsidR="000B06E5">
        <w:rPr>
          <w:rFonts w:asciiTheme="minorHAnsi" w:hAnsiTheme="minorHAnsi" w:cstheme="minorHAnsi"/>
          <w:sz w:val="24"/>
          <w:szCs w:val="24"/>
        </w:rPr>
        <w:t xml:space="preserve">public figures are </w:t>
      </w:r>
      <w:r w:rsidR="007F2256">
        <w:rPr>
          <w:rFonts w:asciiTheme="minorHAnsi" w:hAnsiTheme="minorHAnsi" w:cstheme="minorHAnsi"/>
          <w:sz w:val="24"/>
          <w:szCs w:val="24"/>
        </w:rPr>
        <w:t>released.</w:t>
      </w:r>
      <w:r>
        <w:rPr>
          <w:rFonts w:asciiTheme="minorHAnsi" w:hAnsiTheme="minorHAnsi" w:cstheme="minorHAnsi"/>
          <w:sz w:val="24"/>
          <w:szCs w:val="24"/>
        </w:rPr>
        <w:t xml:space="preserve"> For urban areas which are Unitary Authorities like cities, the LEA and LAD level are often the same (i.e. Portsmouth, </w:t>
      </w:r>
      <w:r w:rsidR="002F64ED">
        <w:rPr>
          <w:rFonts w:asciiTheme="minorHAnsi" w:hAnsiTheme="minorHAnsi" w:cstheme="minorHAnsi"/>
          <w:sz w:val="24"/>
          <w:szCs w:val="24"/>
        </w:rPr>
        <w:t xml:space="preserve">Southampton, </w:t>
      </w:r>
      <w:r>
        <w:rPr>
          <w:rFonts w:asciiTheme="minorHAnsi" w:hAnsiTheme="minorHAnsi" w:cstheme="minorHAnsi"/>
          <w:sz w:val="24"/>
          <w:szCs w:val="24"/>
        </w:rPr>
        <w:t xml:space="preserve">and Brighton and Hove in Figure 2). </w:t>
      </w:r>
      <w:r w:rsidR="007B5855">
        <w:rPr>
          <w:rFonts w:asciiTheme="minorHAnsi" w:hAnsiTheme="minorHAnsi" w:cstheme="minorHAnsi"/>
          <w:sz w:val="24"/>
          <w:szCs w:val="24"/>
        </w:rPr>
        <w:t xml:space="preserve">For less populated areas, </w:t>
      </w:r>
      <w:proofErr w:type="spellStart"/>
      <w:r w:rsidR="007B5855">
        <w:rPr>
          <w:rFonts w:asciiTheme="minorHAnsi" w:hAnsiTheme="minorHAnsi" w:cstheme="minorHAnsi"/>
          <w:sz w:val="24"/>
          <w:szCs w:val="24"/>
        </w:rPr>
        <w:t>LADs</w:t>
      </w:r>
      <w:proofErr w:type="spellEnd"/>
      <w:r w:rsidR="007B5855">
        <w:rPr>
          <w:rFonts w:asciiTheme="minorHAnsi" w:hAnsiTheme="minorHAnsi" w:cstheme="minorHAnsi"/>
          <w:sz w:val="24"/>
          <w:szCs w:val="24"/>
        </w:rPr>
        <w:t xml:space="preserve"> fall into larger LEAs (i.e. Hampshire). </w:t>
      </w:r>
      <w:r w:rsidR="002B793F" w:rsidRPr="006532EE">
        <w:rPr>
          <w:rFonts w:asciiTheme="minorHAnsi" w:hAnsiTheme="minorHAnsi" w:cstheme="minorHAnsi"/>
          <w:sz w:val="24"/>
          <w:szCs w:val="24"/>
        </w:rPr>
        <w:t xml:space="preserve">Explanatory variables measured </w:t>
      </w:r>
      <w:r w:rsidR="007F55F5" w:rsidRPr="006532EE">
        <w:rPr>
          <w:rFonts w:asciiTheme="minorHAnsi" w:hAnsiTheme="minorHAnsi" w:cstheme="minorHAnsi"/>
          <w:sz w:val="24"/>
          <w:szCs w:val="24"/>
        </w:rPr>
        <w:t>for the 152</w:t>
      </w:r>
      <w:r w:rsidR="00CA5973" w:rsidRPr="006532EE">
        <w:rPr>
          <w:rFonts w:asciiTheme="minorHAnsi" w:hAnsiTheme="minorHAnsi" w:cstheme="minorHAnsi"/>
          <w:sz w:val="24"/>
          <w:szCs w:val="24"/>
        </w:rPr>
        <w:t xml:space="preserve"> </w:t>
      </w:r>
      <w:r w:rsidR="002B793F" w:rsidRPr="005851B6">
        <w:rPr>
          <w:rFonts w:asciiTheme="minorHAnsi" w:hAnsiTheme="minorHAnsi" w:cstheme="minorHAnsi"/>
          <w:sz w:val="24"/>
          <w:szCs w:val="24"/>
        </w:rPr>
        <w:t>Local Educational Authorit</w:t>
      </w:r>
      <w:r w:rsidR="007F55F5" w:rsidRPr="005851B6">
        <w:rPr>
          <w:rFonts w:asciiTheme="minorHAnsi" w:hAnsiTheme="minorHAnsi" w:cstheme="minorHAnsi"/>
          <w:sz w:val="24"/>
          <w:szCs w:val="24"/>
        </w:rPr>
        <w:t>ies</w:t>
      </w:r>
      <w:r w:rsidR="00CA5973" w:rsidRPr="005851B6">
        <w:rPr>
          <w:rFonts w:asciiTheme="minorHAnsi" w:hAnsiTheme="minorHAnsi" w:cstheme="minorHAnsi"/>
          <w:sz w:val="24"/>
          <w:szCs w:val="24"/>
        </w:rPr>
        <w:t xml:space="preserve"> </w:t>
      </w:r>
      <w:r w:rsidR="007F55F5" w:rsidRPr="005851B6">
        <w:rPr>
          <w:rFonts w:asciiTheme="minorHAnsi" w:hAnsiTheme="minorHAnsi" w:cstheme="minorHAnsi"/>
          <w:sz w:val="24"/>
          <w:szCs w:val="24"/>
        </w:rPr>
        <w:t>are</w:t>
      </w:r>
      <w:r w:rsidR="002B793F" w:rsidRPr="005851B6">
        <w:rPr>
          <w:rFonts w:asciiTheme="minorHAnsi" w:hAnsiTheme="minorHAnsi" w:cstheme="minorHAnsi"/>
          <w:sz w:val="24"/>
          <w:szCs w:val="24"/>
        </w:rPr>
        <w:t xml:space="preserve"> applied </w:t>
      </w:r>
      <w:r w:rsidR="006F3305" w:rsidRPr="005851B6">
        <w:rPr>
          <w:rFonts w:asciiTheme="minorHAnsi" w:hAnsiTheme="minorHAnsi" w:cstheme="minorHAnsi"/>
          <w:sz w:val="24"/>
          <w:szCs w:val="24"/>
        </w:rPr>
        <w:t xml:space="preserve">to their </w:t>
      </w:r>
      <w:r w:rsidR="002B793F" w:rsidRPr="005851B6">
        <w:rPr>
          <w:rFonts w:asciiTheme="minorHAnsi" w:hAnsiTheme="minorHAnsi" w:cstheme="minorHAnsi"/>
          <w:sz w:val="24"/>
          <w:szCs w:val="24"/>
        </w:rPr>
        <w:t>re</w:t>
      </w:r>
      <w:r w:rsidR="006F3305" w:rsidRPr="005851B6">
        <w:rPr>
          <w:rFonts w:asciiTheme="minorHAnsi" w:hAnsiTheme="minorHAnsi" w:cstheme="minorHAnsi"/>
          <w:sz w:val="24"/>
          <w:szCs w:val="24"/>
        </w:rPr>
        <w:t>spective</w:t>
      </w:r>
      <w:r w:rsidR="002B793F" w:rsidRPr="005851B6">
        <w:rPr>
          <w:rFonts w:asciiTheme="minorHAnsi" w:hAnsiTheme="minorHAnsi" w:cstheme="minorHAnsi"/>
          <w:sz w:val="24"/>
          <w:szCs w:val="24"/>
        </w:rPr>
        <w:t xml:space="preserve"> </w:t>
      </w:r>
      <w:proofErr w:type="spellStart"/>
      <w:r w:rsidR="002B793F" w:rsidRPr="005851B6">
        <w:rPr>
          <w:rFonts w:asciiTheme="minorHAnsi" w:hAnsiTheme="minorHAnsi" w:cstheme="minorHAnsi"/>
          <w:sz w:val="24"/>
          <w:szCs w:val="24"/>
        </w:rPr>
        <w:t>LADs</w:t>
      </w:r>
      <w:proofErr w:type="spellEnd"/>
      <w:r w:rsidR="002B793F" w:rsidRPr="005851B6">
        <w:rPr>
          <w:rFonts w:asciiTheme="minorHAnsi" w:hAnsiTheme="minorHAnsi" w:cstheme="minorHAnsi"/>
          <w:sz w:val="24"/>
          <w:szCs w:val="24"/>
        </w:rPr>
        <w:t>.</w:t>
      </w:r>
      <w:r w:rsidR="00D27906" w:rsidRPr="005851B6">
        <w:rPr>
          <w:rFonts w:asciiTheme="minorHAnsi" w:hAnsiTheme="minorHAnsi" w:cstheme="minorHAnsi"/>
          <w:sz w:val="24"/>
          <w:szCs w:val="24"/>
        </w:rPr>
        <w:t xml:space="preserve"> </w:t>
      </w:r>
    </w:p>
    <w:p w14:paraId="16685109" w14:textId="1239582C" w:rsidR="006F3305" w:rsidRPr="0014445C" w:rsidRDefault="00870256" w:rsidP="00CD0462">
      <w:pPr>
        <w:rPr>
          <w:rFonts w:asciiTheme="minorHAnsi" w:hAnsiTheme="minorHAnsi" w:cstheme="minorHAnsi"/>
          <w:sz w:val="24"/>
          <w:szCs w:val="24"/>
        </w:rPr>
      </w:pPr>
      <w:r w:rsidRPr="00564D6D">
        <w:rPr>
          <w:rFonts w:asciiTheme="minorHAnsi" w:hAnsiTheme="minorHAnsi" w:cstheme="minorHAnsi"/>
          <w:sz w:val="24"/>
          <w:szCs w:val="24"/>
        </w:rPr>
        <w:t xml:space="preserve">Although we are interested in </w:t>
      </w:r>
      <w:r w:rsidRPr="005B55D1">
        <w:rPr>
          <w:rFonts w:asciiTheme="minorHAnsi" w:hAnsiTheme="minorHAnsi" w:cstheme="minorHAnsi"/>
          <w:sz w:val="24"/>
          <w:szCs w:val="24"/>
        </w:rPr>
        <w:t xml:space="preserve">explaining the regional differences, region cannot be included in the model </w:t>
      </w:r>
      <w:r w:rsidRPr="004D0536">
        <w:rPr>
          <w:rFonts w:asciiTheme="minorHAnsi" w:hAnsiTheme="minorHAnsi" w:cstheme="minorHAnsi"/>
          <w:sz w:val="24"/>
          <w:szCs w:val="24"/>
        </w:rPr>
        <w:t xml:space="preserve">alongside </w:t>
      </w:r>
      <w:r w:rsidR="008040CD">
        <w:rPr>
          <w:rFonts w:asciiTheme="minorHAnsi" w:hAnsiTheme="minorHAnsi" w:cstheme="minorHAnsi"/>
          <w:sz w:val="24"/>
          <w:szCs w:val="24"/>
        </w:rPr>
        <w:t>measuring</w:t>
      </w:r>
      <w:r w:rsidRPr="004D0536">
        <w:rPr>
          <w:rFonts w:asciiTheme="minorHAnsi" w:hAnsiTheme="minorHAnsi" w:cstheme="minorHAnsi"/>
          <w:sz w:val="24"/>
          <w:szCs w:val="24"/>
        </w:rPr>
        <w:t xml:space="preserve"> </w:t>
      </w:r>
      <w:r w:rsidR="00F93349">
        <w:rPr>
          <w:rFonts w:asciiTheme="minorHAnsi" w:hAnsiTheme="minorHAnsi" w:cstheme="minorHAnsi"/>
          <w:sz w:val="24"/>
          <w:szCs w:val="24"/>
        </w:rPr>
        <w:t>urban/</w:t>
      </w:r>
      <w:r w:rsidRPr="004D0536">
        <w:rPr>
          <w:rFonts w:asciiTheme="minorHAnsi" w:hAnsiTheme="minorHAnsi" w:cstheme="minorHAnsi"/>
          <w:sz w:val="24"/>
          <w:szCs w:val="24"/>
        </w:rPr>
        <w:t xml:space="preserve">rural due to high correlations. </w:t>
      </w:r>
      <w:r w:rsidR="004765E4">
        <w:rPr>
          <w:rFonts w:asciiTheme="minorHAnsi" w:hAnsiTheme="minorHAnsi" w:cstheme="minorHAnsi"/>
          <w:sz w:val="24"/>
          <w:szCs w:val="24"/>
        </w:rPr>
        <w:t>We merged two measure</w:t>
      </w:r>
      <w:r w:rsidR="005F0AA8">
        <w:rPr>
          <w:rFonts w:asciiTheme="minorHAnsi" w:hAnsiTheme="minorHAnsi" w:cstheme="minorHAnsi"/>
          <w:sz w:val="24"/>
          <w:szCs w:val="24"/>
        </w:rPr>
        <w:t>s</w:t>
      </w:r>
      <w:r w:rsidR="004765E4">
        <w:rPr>
          <w:rFonts w:asciiTheme="minorHAnsi" w:hAnsiTheme="minorHAnsi" w:cstheme="minorHAnsi"/>
          <w:sz w:val="24"/>
          <w:szCs w:val="24"/>
        </w:rPr>
        <w:t xml:space="preserve"> t</w:t>
      </w:r>
      <w:r w:rsidRPr="004D0536">
        <w:rPr>
          <w:rFonts w:asciiTheme="minorHAnsi" w:hAnsiTheme="minorHAnsi" w:cstheme="minorHAnsi"/>
          <w:sz w:val="24"/>
          <w:szCs w:val="24"/>
        </w:rPr>
        <w:t xml:space="preserve">o capture the </w:t>
      </w:r>
      <w:r w:rsidR="00F93349">
        <w:rPr>
          <w:rFonts w:asciiTheme="minorHAnsi" w:hAnsiTheme="minorHAnsi" w:cstheme="minorHAnsi"/>
          <w:sz w:val="24"/>
          <w:szCs w:val="24"/>
        </w:rPr>
        <w:t>urban/</w:t>
      </w:r>
      <w:r w:rsidRPr="004D0536">
        <w:rPr>
          <w:rFonts w:asciiTheme="minorHAnsi" w:hAnsiTheme="minorHAnsi" w:cstheme="minorHAnsi"/>
          <w:sz w:val="24"/>
          <w:szCs w:val="24"/>
        </w:rPr>
        <w:t>r</w:t>
      </w:r>
      <w:r w:rsidRPr="00846EE2">
        <w:rPr>
          <w:rFonts w:asciiTheme="minorHAnsi" w:hAnsiTheme="minorHAnsi" w:cstheme="minorHAnsi"/>
          <w:sz w:val="24"/>
          <w:szCs w:val="24"/>
        </w:rPr>
        <w:t>ural differences alongside the largest regional differenc</w:t>
      </w:r>
      <w:r w:rsidRPr="00624EA4">
        <w:rPr>
          <w:rFonts w:asciiTheme="minorHAnsi" w:hAnsiTheme="minorHAnsi" w:cstheme="minorHAnsi"/>
          <w:sz w:val="24"/>
          <w:szCs w:val="24"/>
        </w:rPr>
        <w:t>es between London and the rest of En</w:t>
      </w:r>
      <w:r w:rsidRPr="00FA4E70">
        <w:rPr>
          <w:rFonts w:asciiTheme="minorHAnsi" w:hAnsiTheme="minorHAnsi" w:cstheme="minorHAnsi"/>
          <w:sz w:val="24"/>
          <w:szCs w:val="24"/>
        </w:rPr>
        <w:t>gland</w:t>
      </w:r>
      <w:r w:rsidRPr="00201A11">
        <w:rPr>
          <w:rFonts w:asciiTheme="minorHAnsi" w:hAnsiTheme="minorHAnsi" w:cstheme="minorHAnsi"/>
          <w:sz w:val="24"/>
          <w:szCs w:val="24"/>
        </w:rPr>
        <w:t xml:space="preserve">. </w:t>
      </w:r>
      <w:r w:rsidR="002B793F" w:rsidRPr="00201A11">
        <w:rPr>
          <w:rFonts w:asciiTheme="minorHAnsi" w:hAnsiTheme="minorHAnsi" w:cstheme="minorHAnsi"/>
          <w:sz w:val="24"/>
          <w:szCs w:val="24"/>
        </w:rPr>
        <w:t xml:space="preserve">We use the 2001 and 2011 </w:t>
      </w:r>
      <w:r w:rsidR="00F93349">
        <w:rPr>
          <w:rFonts w:asciiTheme="minorHAnsi" w:hAnsiTheme="minorHAnsi" w:cstheme="minorHAnsi"/>
          <w:sz w:val="24"/>
          <w:szCs w:val="24"/>
        </w:rPr>
        <w:t>urban/ru</w:t>
      </w:r>
      <w:r w:rsidR="002B793F" w:rsidRPr="00B869F5">
        <w:rPr>
          <w:rFonts w:asciiTheme="minorHAnsi" w:hAnsiTheme="minorHAnsi" w:cstheme="minorHAnsi"/>
          <w:sz w:val="24"/>
          <w:szCs w:val="24"/>
        </w:rPr>
        <w:t xml:space="preserve">ral classification categorical measures from the Department for Environment, Food &amp; Rural Affairs ranging from most urban </w:t>
      </w:r>
      <w:proofErr w:type="spellStart"/>
      <w:r w:rsidR="002B793F" w:rsidRPr="00B869F5">
        <w:rPr>
          <w:rFonts w:asciiTheme="minorHAnsi" w:hAnsiTheme="minorHAnsi" w:cstheme="minorHAnsi"/>
          <w:sz w:val="24"/>
          <w:szCs w:val="24"/>
        </w:rPr>
        <w:t>LADs</w:t>
      </w:r>
      <w:proofErr w:type="spellEnd"/>
      <w:r w:rsidR="002B793F" w:rsidRPr="00B869F5">
        <w:rPr>
          <w:rFonts w:asciiTheme="minorHAnsi" w:hAnsiTheme="minorHAnsi" w:cstheme="minorHAnsi"/>
          <w:sz w:val="24"/>
          <w:szCs w:val="24"/>
        </w:rPr>
        <w:t xml:space="preserve"> “Major Urban” to most rural “Rural-80” </w:t>
      </w:r>
      <w:proofErr w:type="spellStart"/>
      <w:r w:rsidR="002B793F" w:rsidRPr="00B869F5">
        <w:rPr>
          <w:rFonts w:asciiTheme="minorHAnsi" w:hAnsiTheme="minorHAnsi" w:cstheme="minorHAnsi"/>
          <w:sz w:val="24"/>
          <w:szCs w:val="24"/>
        </w:rPr>
        <w:t>LADs</w:t>
      </w:r>
      <w:proofErr w:type="spellEnd"/>
      <w:r w:rsidR="002B793F" w:rsidRPr="00B869F5">
        <w:rPr>
          <w:rFonts w:asciiTheme="minorHAnsi" w:hAnsiTheme="minorHAnsi" w:cstheme="minorHAnsi"/>
          <w:sz w:val="24"/>
          <w:szCs w:val="24"/>
        </w:rPr>
        <w:t xml:space="preserve">. As all the </w:t>
      </w:r>
      <w:r w:rsidR="00C2563A" w:rsidRPr="00B869F5">
        <w:rPr>
          <w:rFonts w:asciiTheme="minorHAnsi" w:hAnsiTheme="minorHAnsi" w:cstheme="minorHAnsi"/>
          <w:sz w:val="24"/>
          <w:szCs w:val="24"/>
        </w:rPr>
        <w:t xml:space="preserve">London </w:t>
      </w:r>
      <w:proofErr w:type="spellStart"/>
      <w:r w:rsidR="002B793F" w:rsidRPr="00B869F5">
        <w:rPr>
          <w:rFonts w:asciiTheme="minorHAnsi" w:hAnsiTheme="minorHAnsi" w:cstheme="minorHAnsi"/>
          <w:sz w:val="24"/>
          <w:szCs w:val="24"/>
        </w:rPr>
        <w:t>LADs</w:t>
      </w:r>
      <w:proofErr w:type="spellEnd"/>
      <w:r w:rsidR="002B793F" w:rsidRPr="00B869F5">
        <w:rPr>
          <w:rFonts w:asciiTheme="minorHAnsi" w:hAnsiTheme="minorHAnsi" w:cstheme="minorHAnsi"/>
          <w:sz w:val="24"/>
          <w:szCs w:val="24"/>
        </w:rPr>
        <w:t xml:space="preserve"> are in the Major Urban category and</w:t>
      </w:r>
      <w:r w:rsidR="00015DE9" w:rsidRPr="00B869F5">
        <w:rPr>
          <w:rFonts w:asciiTheme="minorHAnsi" w:hAnsiTheme="minorHAnsi" w:cstheme="minorHAnsi"/>
          <w:sz w:val="24"/>
          <w:szCs w:val="24"/>
        </w:rPr>
        <w:t>,</w:t>
      </w:r>
      <w:r w:rsidR="002B793F" w:rsidRPr="00B869F5">
        <w:rPr>
          <w:rFonts w:asciiTheme="minorHAnsi" w:hAnsiTheme="minorHAnsi" w:cstheme="minorHAnsi"/>
          <w:sz w:val="24"/>
          <w:szCs w:val="24"/>
        </w:rPr>
        <w:t xml:space="preserve"> due to London’s distinctiveness, two additional categories are used </w:t>
      </w:r>
      <w:r w:rsidR="00BD09D6" w:rsidRPr="00B869F5">
        <w:rPr>
          <w:rFonts w:asciiTheme="minorHAnsi" w:hAnsiTheme="minorHAnsi" w:cstheme="minorHAnsi"/>
          <w:sz w:val="24"/>
          <w:szCs w:val="24"/>
        </w:rPr>
        <w:t xml:space="preserve">to </w:t>
      </w:r>
      <w:r w:rsidR="002B793F" w:rsidRPr="00B869F5">
        <w:rPr>
          <w:rFonts w:asciiTheme="minorHAnsi" w:hAnsiTheme="minorHAnsi" w:cstheme="minorHAnsi"/>
          <w:sz w:val="24"/>
          <w:szCs w:val="24"/>
        </w:rPr>
        <w:t>represent Inner London and Outer London.</w:t>
      </w:r>
      <w:r w:rsidR="00A2442B" w:rsidRPr="00B869F5">
        <w:rPr>
          <w:rFonts w:asciiTheme="minorHAnsi" w:hAnsiTheme="minorHAnsi" w:cstheme="minorHAnsi"/>
          <w:sz w:val="24"/>
          <w:szCs w:val="24"/>
        </w:rPr>
        <w:t xml:space="preserve"> To check whether London influences the associations found, sensitivity analyses compare the models with and without London in Appendix </w:t>
      </w:r>
      <w:r w:rsidR="00A2442B" w:rsidRPr="0014445C">
        <w:rPr>
          <w:rFonts w:asciiTheme="minorHAnsi" w:hAnsiTheme="minorHAnsi" w:cstheme="minorHAnsi"/>
          <w:sz w:val="24"/>
          <w:szCs w:val="24"/>
        </w:rPr>
        <w:t>B</w:t>
      </w:r>
      <w:r w:rsidR="004E35FB">
        <w:rPr>
          <w:rFonts w:asciiTheme="minorHAnsi" w:hAnsiTheme="minorHAnsi" w:cstheme="minorHAnsi"/>
          <w:sz w:val="24"/>
          <w:szCs w:val="24"/>
        </w:rPr>
        <w:t xml:space="preserve"> and C</w:t>
      </w:r>
      <w:r w:rsidR="00A2442B" w:rsidRPr="0014445C">
        <w:rPr>
          <w:rFonts w:asciiTheme="minorHAnsi" w:hAnsiTheme="minorHAnsi" w:cstheme="minorHAnsi"/>
          <w:sz w:val="24"/>
          <w:szCs w:val="24"/>
        </w:rPr>
        <w:t xml:space="preserve">. </w:t>
      </w:r>
    </w:p>
    <w:p w14:paraId="6245EECC" w14:textId="41E70B4E" w:rsidR="002B793F" w:rsidRPr="00846EE2" w:rsidRDefault="003550B4" w:rsidP="00CD0462">
      <w:pPr>
        <w:rPr>
          <w:rFonts w:asciiTheme="minorHAnsi" w:hAnsiTheme="minorHAnsi" w:cstheme="minorHAnsi"/>
          <w:sz w:val="24"/>
          <w:szCs w:val="24"/>
        </w:rPr>
      </w:pPr>
      <w:r>
        <w:rPr>
          <w:rFonts w:asciiTheme="minorHAnsi" w:hAnsiTheme="minorHAnsi" w:cstheme="minorHAnsi"/>
          <w:sz w:val="24"/>
          <w:szCs w:val="24"/>
        </w:rPr>
        <w:t>M</w:t>
      </w:r>
      <w:r w:rsidR="00870256" w:rsidRPr="0014445C">
        <w:rPr>
          <w:rFonts w:asciiTheme="minorHAnsi" w:hAnsiTheme="minorHAnsi" w:cstheme="minorHAnsi"/>
          <w:sz w:val="24"/>
          <w:szCs w:val="24"/>
        </w:rPr>
        <w:t xml:space="preserve">ulti-dimensional indices of deprivation </w:t>
      </w:r>
      <w:r w:rsidR="00D15BBB">
        <w:rPr>
          <w:rFonts w:asciiTheme="minorHAnsi" w:hAnsiTheme="minorHAnsi" w:cstheme="minorHAnsi"/>
          <w:sz w:val="24"/>
          <w:szCs w:val="24"/>
        </w:rPr>
        <w:t>were traditionally</w:t>
      </w:r>
      <w:r>
        <w:rPr>
          <w:rFonts w:asciiTheme="minorHAnsi" w:hAnsiTheme="minorHAnsi" w:cstheme="minorHAnsi"/>
          <w:sz w:val="24"/>
          <w:szCs w:val="24"/>
        </w:rPr>
        <w:t xml:space="preserve"> often used </w:t>
      </w:r>
      <w:r w:rsidR="00870256" w:rsidRPr="0014445C">
        <w:rPr>
          <w:rFonts w:asciiTheme="minorHAnsi" w:hAnsiTheme="minorHAnsi" w:cstheme="minorHAnsi"/>
          <w:sz w:val="24"/>
          <w:szCs w:val="24"/>
        </w:rPr>
        <w:t>to consider th</w:t>
      </w:r>
      <w:r w:rsidR="00870256" w:rsidRPr="007E37E1">
        <w:rPr>
          <w:rFonts w:asciiTheme="minorHAnsi" w:hAnsiTheme="minorHAnsi" w:cstheme="minorHAnsi"/>
          <w:sz w:val="24"/>
          <w:szCs w:val="24"/>
        </w:rPr>
        <w:t xml:space="preserve">e relationships between area level </w:t>
      </w:r>
      <w:r w:rsidR="00870256" w:rsidRPr="00C633C2">
        <w:rPr>
          <w:rFonts w:asciiTheme="minorHAnsi" w:hAnsiTheme="minorHAnsi" w:cstheme="minorHAnsi"/>
          <w:sz w:val="24"/>
          <w:szCs w:val="24"/>
        </w:rPr>
        <w:t>depri</w:t>
      </w:r>
      <w:r w:rsidR="00870256" w:rsidRPr="00F93349">
        <w:rPr>
          <w:rFonts w:asciiTheme="minorHAnsi" w:hAnsiTheme="minorHAnsi" w:cstheme="minorHAnsi"/>
          <w:sz w:val="24"/>
          <w:szCs w:val="24"/>
        </w:rPr>
        <w:t xml:space="preserve">vation and England’s teenage conception statistics (Conrad, 2012; McLeod, 2001; </w:t>
      </w:r>
      <w:r w:rsidR="009D0098" w:rsidRPr="00F93349">
        <w:rPr>
          <w:rFonts w:asciiTheme="minorHAnsi" w:hAnsiTheme="minorHAnsi" w:cstheme="minorHAnsi"/>
          <w:sz w:val="24"/>
          <w:szCs w:val="24"/>
        </w:rPr>
        <w:t xml:space="preserve">Uren, 2007). Whilst such indices such as </w:t>
      </w:r>
      <w:r w:rsidR="0032221C">
        <w:rPr>
          <w:rFonts w:asciiTheme="minorHAnsi" w:hAnsiTheme="minorHAnsi" w:cstheme="minorHAnsi"/>
          <w:sz w:val="24"/>
          <w:szCs w:val="24"/>
        </w:rPr>
        <w:t xml:space="preserve">the </w:t>
      </w:r>
      <w:r w:rsidR="00825476" w:rsidRPr="00F93349">
        <w:rPr>
          <w:rFonts w:asciiTheme="minorHAnsi" w:hAnsiTheme="minorHAnsi" w:cstheme="minorHAnsi"/>
          <w:sz w:val="24"/>
          <w:szCs w:val="24"/>
        </w:rPr>
        <w:t xml:space="preserve">nationally produced governmental </w:t>
      </w:r>
      <w:r w:rsidR="00592152">
        <w:rPr>
          <w:rFonts w:asciiTheme="minorHAnsi" w:hAnsiTheme="minorHAnsi" w:cstheme="minorHAnsi"/>
          <w:sz w:val="24"/>
          <w:szCs w:val="24"/>
        </w:rPr>
        <w:t xml:space="preserve">English </w:t>
      </w:r>
      <w:r w:rsidR="009D0098" w:rsidRPr="009912AE">
        <w:rPr>
          <w:rFonts w:asciiTheme="minorHAnsi" w:hAnsiTheme="minorHAnsi" w:cstheme="minorHAnsi"/>
          <w:sz w:val="24"/>
          <w:szCs w:val="24"/>
        </w:rPr>
        <w:t xml:space="preserve">Index of </w:t>
      </w:r>
      <w:r w:rsidR="00825476" w:rsidRPr="009912AE">
        <w:rPr>
          <w:rFonts w:asciiTheme="minorHAnsi" w:hAnsiTheme="minorHAnsi" w:cstheme="minorHAnsi"/>
          <w:sz w:val="24"/>
          <w:szCs w:val="24"/>
        </w:rPr>
        <w:t>(</w:t>
      </w:r>
      <w:r w:rsidR="009D0098" w:rsidRPr="009912AE">
        <w:rPr>
          <w:rFonts w:asciiTheme="minorHAnsi" w:hAnsiTheme="minorHAnsi" w:cstheme="minorHAnsi"/>
          <w:sz w:val="24"/>
          <w:szCs w:val="24"/>
        </w:rPr>
        <w:t>M</w:t>
      </w:r>
      <w:r w:rsidR="009D0098" w:rsidRPr="00847B1F">
        <w:rPr>
          <w:rFonts w:asciiTheme="minorHAnsi" w:hAnsiTheme="minorHAnsi" w:cstheme="minorHAnsi"/>
          <w:sz w:val="24"/>
          <w:szCs w:val="24"/>
        </w:rPr>
        <w:t>ultiple</w:t>
      </w:r>
      <w:r w:rsidR="00825476" w:rsidRPr="00847B1F">
        <w:rPr>
          <w:rFonts w:asciiTheme="minorHAnsi" w:hAnsiTheme="minorHAnsi" w:cstheme="minorHAnsi"/>
          <w:sz w:val="24"/>
          <w:szCs w:val="24"/>
        </w:rPr>
        <w:t>)</w:t>
      </w:r>
      <w:r w:rsidR="009D0098" w:rsidRPr="006B2B02">
        <w:rPr>
          <w:rFonts w:asciiTheme="minorHAnsi" w:hAnsiTheme="minorHAnsi" w:cstheme="minorHAnsi"/>
          <w:sz w:val="24"/>
          <w:szCs w:val="24"/>
        </w:rPr>
        <w:t xml:space="preserve"> Deprivation </w:t>
      </w:r>
      <w:r w:rsidR="00E50352">
        <w:rPr>
          <w:rFonts w:asciiTheme="minorHAnsi" w:hAnsiTheme="minorHAnsi" w:cstheme="minorHAnsi"/>
          <w:sz w:val="24"/>
          <w:szCs w:val="24"/>
        </w:rPr>
        <w:t xml:space="preserve">(McLennan et al., 2019) </w:t>
      </w:r>
      <w:r w:rsidR="009D0098" w:rsidRPr="00D769F4">
        <w:rPr>
          <w:rFonts w:asciiTheme="minorHAnsi" w:hAnsiTheme="minorHAnsi" w:cstheme="minorHAnsi"/>
          <w:sz w:val="24"/>
          <w:szCs w:val="24"/>
        </w:rPr>
        <w:t>aim to capture a</w:t>
      </w:r>
      <w:r w:rsidR="00704CFD">
        <w:rPr>
          <w:rFonts w:asciiTheme="minorHAnsi" w:hAnsiTheme="minorHAnsi" w:cstheme="minorHAnsi"/>
          <w:sz w:val="24"/>
          <w:szCs w:val="24"/>
        </w:rPr>
        <w:t xml:space="preserve"> </w:t>
      </w:r>
      <w:r w:rsidR="009D0098" w:rsidRPr="00D769F4">
        <w:rPr>
          <w:rFonts w:asciiTheme="minorHAnsi" w:hAnsiTheme="minorHAnsi" w:cstheme="minorHAnsi"/>
          <w:sz w:val="24"/>
          <w:szCs w:val="24"/>
        </w:rPr>
        <w:t>well-rounded</w:t>
      </w:r>
      <w:r w:rsidR="009D0098" w:rsidRPr="00E452D9">
        <w:rPr>
          <w:rFonts w:asciiTheme="minorHAnsi" w:hAnsiTheme="minorHAnsi" w:cstheme="minorHAnsi"/>
          <w:sz w:val="24"/>
          <w:szCs w:val="24"/>
        </w:rPr>
        <w:t xml:space="preserve"> measure of socio-economic deprivation</w:t>
      </w:r>
      <w:r w:rsidR="009D0098" w:rsidRPr="007839D4">
        <w:rPr>
          <w:rFonts w:asciiTheme="minorHAnsi" w:hAnsiTheme="minorHAnsi" w:cstheme="minorHAnsi"/>
          <w:sz w:val="24"/>
          <w:szCs w:val="24"/>
        </w:rPr>
        <w:t xml:space="preserve"> </w:t>
      </w:r>
      <w:r w:rsidR="00041062">
        <w:rPr>
          <w:rFonts w:asciiTheme="minorHAnsi" w:hAnsiTheme="minorHAnsi" w:cstheme="minorHAnsi"/>
          <w:sz w:val="24"/>
          <w:szCs w:val="24"/>
        </w:rPr>
        <w:t>(</w:t>
      </w:r>
      <w:r w:rsidR="000C1AD0">
        <w:rPr>
          <w:rFonts w:asciiTheme="minorHAnsi" w:hAnsiTheme="minorHAnsi" w:cstheme="minorHAnsi"/>
          <w:sz w:val="24"/>
          <w:szCs w:val="24"/>
        </w:rPr>
        <w:t xml:space="preserve">for example, </w:t>
      </w:r>
      <w:r w:rsidR="00A70087">
        <w:rPr>
          <w:rFonts w:asciiTheme="minorHAnsi" w:hAnsiTheme="minorHAnsi" w:cstheme="minorHAnsi"/>
          <w:sz w:val="24"/>
          <w:szCs w:val="24"/>
        </w:rPr>
        <w:t xml:space="preserve">from </w:t>
      </w:r>
      <w:r w:rsidR="009D0098" w:rsidRPr="00A70087">
        <w:rPr>
          <w:rFonts w:asciiTheme="minorHAnsi" w:hAnsiTheme="minorHAnsi" w:cstheme="minorHAnsi"/>
          <w:sz w:val="24"/>
          <w:szCs w:val="24"/>
        </w:rPr>
        <w:t xml:space="preserve">economic disadvantage to housing </w:t>
      </w:r>
      <w:r w:rsidR="00825476" w:rsidRPr="00A70087">
        <w:rPr>
          <w:rFonts w:asciiTheme="minorHAnsi" w:hAnsiTheme="minorHAnsi" w:cstheme="minorHAnsi"/>
          <w:sz w:val="24"/>
          <w:szCs w:val="24"/>
        </w:rPr>
        <w:t>deprivation</w:t>
      </w:r>
      <w:r w:rsidR="00A70087">
        <w:rPr>
          <w:rFonts w:asciiTheme="minorHAnsi" w:hAnsiTheme="minorHAnsi" w:cstheme="minorHAnsi"/>
          <w:sz w:val="24"/>
          <w:szCs w:val="24"/>
        </w:rPr>
        <w:t xml:space="preserve"> to local environment</w:t>
      </w:r>
      <w:r w:rsidR="0034727E">
        <w:rPr>
          <w:rFonts w:asciiTheme="minorHAnsi" w:hAnsiTheme="minorHAnsi" w:cstheme="minorHAnsi"/>
          <w:sz w:val="24"/>
          <w:szCs w:val="24"/>
        </w:rPr>
        <w:t xml:space="preserve"> quality</w:t>
      </w:r>
      <w:r w:rsidR="00041062">
        <w:rPr>
          <w:rFonts w:asciiTheme="minorHAnsi" w:hAnsiTheme="minorHAnsi" w:cstheme="minorHAnsi"/>
          <w:sz w:val="24"/>
          <w:szCs w:val="24"/>
        </w:rPr>
        <w:t>)</w:t>
      </w:r>
      <w:r w:rsidR="009D0098" w:rsidRPr="00A70087">
        <w:rPr>
          <w:rFonts w:asciiTheme="minorHAnsi" w:hAnsiTheme="minorHAnsi" w:cstheme="minorHAnsi"/>
          <w:sz w:val="24"/>
          <w:szCs w:val="24"/>
        </w:rPr>
        <w:t xml:space="preserve">, the specific relationships </w:t>
      </w:r>
      <w:r w:rsidR="00825476" w:rsidRPr="00A70087">
        <w:rPr>
          <w:rFonts w:asciiTheme="minorHAnsi" w:hAnsiTheme="minorHAnsi" w:cstheme="minorHAnsi"/>
          <w:sz w:val="24"/>
          <w:szCs w:val="24"/>
        </w:rPr>
        <w:t xml:space="preserve">between the outcome and the particular </w:t>
      </w:r>
      <w:r w:rsidR="009D0098" w:rsidRPr="00A70087">
        <w:rPr>
          <w:rFonts w:asciiTheme="minorHAnsi" w:hAnsiTheme="minorHAnsi" w:cstheme="minorHAnsi"/>
          <w:sz w:val="24"/>
          <w:szCs w:val="24"/>
        </w:rPr>
        <w:t xml:space="preserve">aspects of deprivation are </w:t>
      </w:r>
      <w:r w:rsidR="009D0098" w:rsidRPr="00201A11">
        <w:rPr>
          <w:rFonts w:asciiTheme="minorHAnsi" w:hAnsiTheme="minorHAnsi" w:cstheme="minorHAnsi"/>
          <w:sz w:val="24"/>
          <w:szCs w:val="24"/>
        </w:rPr>
        <w:t xml:space="preserve">not able to be considered. </w:t>
      </w:r>
      <w:r w:rsidR="006D6FBA" w:rsidRPr="003D099F">
        <w:rPr>
          <w:rFonts w:asciiTheme="minorHAnsi" w:hAnsiTheme="minorHAnsi" w:cstheme="minorHAnsi"/>
          <w:sz w:val="24"/>
          <w:szCs w:val="24"/>
        </w:rPr>
        <w:t xml:space="preserve">Rather than </w:t>
      </w:r>
      <w:r w:rsidR="00CD159C" w:rsidRPr="00682940">
        <w:rPr>
          <w:rFonts w:asciiTheme="minorHAnsi" w:hAnsiTheme="minorHAnsi" w:cstheme="minorHAnsi"/>
          <w:sz w:val="24"/>
          <w:szCs w:val="24"/>
        </w:rPr>
        <w:t xml:space="preserve">using </w:t>
      </w:r>
      <w:r w:rsidR="006F3305" w:rsidRPr="00682940">
        <w:rPr>
          <w:rFonts w:asciiTheme="minorHAnsi" w:hAnsiTheme="minorHAnsi" w:cstheme="minorHAnsi"/>
          <w:sz w:val="24"/>
          <w:szCs w:val="24"/>
        </w:rPr>
        <w:t>standard multi-dimensional indices of deprivation</w:t>
      </w:r>
      <w:r w:rsidR="000E57CD" w:rsidRPr="00682940">
        <w:rPr>
          <w:rFonts w:asciiTheme="minorHAnsi" w:hAnsiTheme="minorHAnsi" w:cstheme="minorHAnsi"/>
          <w:sz w:val="24"/>
          <w:szCs w:val="24"/>
        </w:rPr>
        <w:t xml:space="preserve"> </w:t>
      </w:r>
      <w:r w:rsidR="002B793F" w:rsidRPr="00682940">
        <w:rPr>
          <w:rFonts w:asciiTheme="minorHAnsi" w:hAnsiTheme="minorHAnsi" w:cstheme="minorHAnsi"/>
          <w:sz w:val="24"/>
          <w:szCs w:val="24"/>
        </w:rPr>
        <w:t>we</w:t>
      </w:r>
      <w:r w:rsidR="00E1527F">
        <w:rPr>
          <w:rFonts w:asciiTheme="minorHAnsi" w:hAnsiTheme="minorHAnsi" w:cstheme="minorHAnsi"/>
          <w:sz w:val="24"/>
          <w:szCs w:val="24"/>
        </w:rPr>
        <w:t>,</w:t>
      </w:r>
      <w:r w:rsidR="002B793F" w:rsidRPr="00682940">
        <w:rPr>
          <w:rFonts w:asciiTheme="minorHAnsi" w:hAnsiTheme="minorHAnsi" w:cstheme="minorHAnsi"/>
          <w:sz w:val="24"/>
          <w:szCs w:val="24"/>
        </w:rPr>
        <w:t xml:space="preserve"> </w:t>
      </w:r>
      <w:r w:rsidR="009D0098" w:rsidRPr="00682940">
        <w:rPr>
          <w:rFonts w:asciiTheme="minorHAnsi" w:hAnsiTheme="minorHAnsi" w:cstheme="minorHAnsi"/>
          <w:sz w:val="24"/>
          <w:szCs w:val="24"/>
        </w:rPr>
        <w:t>therefore</w:t>
      </w:r>
      <w:r w:rsidR="00E1527F">
        <w:rPr>
          <w:rFonts w:asciiTheme="minorHAnsi" w:hAnsiTheme="minorHAnsi" w:cstheme="minorHAnsi"/>
          <w:sz w:val="24"/>
          <w:szCs w:val="24"/>
        </w:rPr>
        <w:t>,</w:t>
      </w:r>
      <w:r w:rsidR="009D0098" w:rsidRPr="00682940">
        <w:rPr>
          <w:rFonts w:asciiTheme="minorHAnsi" w:hAnsiTheme="minorHAnsi" w:cstheme="minorHAnsi"/>
          <w:sz w:val="24"/>
          <w:szCs w:val="24"/>
        </w:rPr>
        <w:t xml:space="preserve"> </w:t>
      </w:r>
      <w:r w:rsidR="002B793F" w:rsidRPr="00682940">
        <w:rPr>
          <w:rFonts w:asciiTheme="minorHAnsi" w:hAnsiTheme="minorHAnsi" w:cstheme="minorHAnsi"/>
          <w:sz w:val="24"/>
          <w:szCs w:val="24"/>
        </w:rPr>
        <w:t xml:space="preserve">identify which specific component(s) are most </w:t>
      </w:r>
      <w:r w:rsidR="00A36059" w:rsidRPr="00682940">
        <w:rPr>
          <w:rFonts w:asciiTheme="minorHAnsi" w:hAnsiTheme="minorHAnsi" w:cstheme="minorHAnsi"/>
          <w:sz w:val="24"/>
          <w:szCs w:val="24"/>
        </w:rPr>
        <w:t xml:space="preserve">closely </w:t>
      </w:r>
      <w:r w:rsidR="002B793F" w:rsidRPr="00682940">
        <w:rPr>
          <w:rFonts w:asciiTheme="minorHAnsi" w:hAnsiTheme="minorHAnsi" w:cstheme="minorHAnsi"/>
          <w:sz w:val="24"/>
          <w:szCs w:val="24"/>
        </w:rPr>
        <w:t>associated with under-18</w:t>
      </w:r>
      <w:r w:rsidR="002B793F" w:rsidRPr="006532EE">
        <w:rPr>
          <w:rFonts w:asciiTheme="minorHAnsi" w:hAnsiTheme="minorHAnsi" w:cstheme="minorHAnsi"/>
          <w:sz w:val="24"/>
          <w:szCs w:val="24"/>
        </w:rPr>
        <w:t xml:space="preserve"> conception rates. </w:t>
      </w:r>
      <w:r w:rsidR="006820C5" w:rsidRPr="006532EE">
        <w:rPr>
          <w:rFonts w:asciiTheme="minorHAnsi" w:hAnsiTheme="minorHAnsi" w:cstheme="minorHAnsi"/>
          <w:sz w:val="24"/>
          <w:szCs w:val="24"/>
        </w:rPr>
        <w:t>Specific</w:t>
      </w:r>
      <w:r w:rsidR="00825476" w:rsidRPr="006532EE">
        <w:rPr>
          <w:rFonts w:asciiTheme="minorHAnsi" w:hAnsiTheme="minorHAnsi" w:cstheme="minorHAnsi"/>
          <w:sz w:val="24"/>
          <w:szCs w:val="24"/>
        </w:rPr>
        <w:t xml:space="preserve"> </w:t>
      </w:r>
      <w:r w:rsidR="00825476" w:rsidRPr="005851B6">
        <w:rPr>
          <w:rFonts w:asciiTheme="minorHAnsi" w:hAnsiTheme="minorHAnsi" w:cstheme="minorHAnsi"/>
          <w:sz w:val="24"/>
          <w:szCs w:val="24"/>
        </w:rPr>
        <w:t xml:space="preserve">measures </w:t>
      </w:r>
      <w:r w:rsidR="006820C5" w:rsidRPr="005851B6">
        <w:rPr>
          <w:rFonts w:asciiTheme="minorHAnsi" w:hAnsiTheme="minorHAnsi" w:cstheme="minorHAnsi"/>
          <w:sz w:val="24"/>
          <w:szCs w:val="24"/>
        </w:rPr>
        <w:t>are also</w:t>
      </w:r>
      <w:r w:rsidR="00825476" w:rsidRPr="005851B6">
        <w:rPr>
          <w:rFonts w:asciiTheme="minorHAnsi" w:hAnsiTheme="minorHAnsi" w:cstheme="minorHAnsi"/>
          <w:sz w:val="24"/>
          <w:szCs w:val="24"/>
        </w:rPr>
        <w:t xml:space="preserve"> available year-on-year</w:t>
      </w:r>
      <w:r w:rsidR="006820C5" w:rsidRPr="005851B6">
        <w:rPr>
          <w:rFonts w:asciiTheme="minorHAnsi" w:hAnsiTheme="minorHAnsi" w:cstheme="minorHAnsi"/>
          <w:sz w:val="24"/>
          <w:szCs w:val="24"/>
        </w:rPr>
        <w:t xml:space="preserve">, </w:t>
      </w:r>
      <w:r w:rsidR="00FC3E9A">
        <w:rPr>
          <w:rFonts w:asciiTheme="minorHAnsi" w:hAnsiTheme="minorHAnsi" w:cstheme="minorHAnsi"/>
          <w:sz w:val="24"/>
          <w:szCs w:val="24"/>
        </w:rPr>
        <w:t>meaning</w:t>
      </w:r>
      <w:r w:rsidR="006820C5" w:rsidRPr="005851B6">
        <w:rPr>
          <w:rFonts w:asciiTheme="minorHAnsi" w:hAnsiTheme="minorHAnsi" w:cstheme="minorHAnsi"/>
          <w:sz w:val="24"/>
          <w:szCs w:val="24"/>
        </w:rPr>
        <w:t xml:space="preserve"> temporal changes can be captured, </w:t>
      </w:r>
      <w:r w:rsidR="006820C5" w:rsidRPr="00564D6D">
        <w:rPr>
          <w:rFonts w:asciiTheme="minorHAnsi" w:hAnsiTheme="minorHAnsi" w:cstheme="minorHAnsi"/>
          <w:sz w:val="24"/>
          <w:szCs w:val="24"/>
        </w:rPr>
        <w:t>compared to large-scale</w:t>
      </w:r>
      <w:r w:rsidR="006820C5" w:rsidRPr="005B55D1">
        <w:rPr>
          <w:rFonts w:asciiTheme="minorHAnsi" w:hAnsiTheme="minorHAnsi" w:cstheme="minorHAnsi"/>
          <w:sz w:val="24"/>
          <w:szCs w:val="24"/>
        </w:rPr>
        <w:t xml:space="preserve"> </w:t>
      </w:r>
      <w:r w:rsidR="000A156F">
        <w:rPr>
          <w:rFonts w:asciiTheme="minorHAnsi" w:hAnsiTheme="minorHAnsi" w:cstheme="minorHAnsi"/>
          <w:sz w:val="24"/>
          <w:szCs w:val="24"/>
        </w:rPr>
        <w:t>i</w:t>
      </w:r>
      <w:r w:rsidR="00825476" w:rsidRPr="005B55D1">
        <w:rPr>
          <w:rFonts w:asciiTheme="minorHAnsi" w:hAnsiTheme="minorHAnsi" w:cstheme="minorHAnsi"/>
          <w:sz w:val="24"/>
          <w:szCs w:val="24"/>
        </w:rPr>
        <w:t xml:space="preserve">ndices </w:t>
      </w:r>
      <w:r w:rsidR="006820C5" w:rsidRPr="005B55D1">
        <w:rPr>
          <w:rFonts w:asciiTheme="minorHAnsi" w:hAnsiTheme="minorHAnsi" w:cstheme="minorHAnsi"/>
          <w:sz w:val="24"/>
          <w:szCs w:val="24"/>
        </w:rPr>
        <w:t xml:space="preserve">which are often </w:t>
      </w:r>
      <w:r w:rsidR="006820C5" w:rsidRPr="004D0536">
        <w:rPr>
          <w:rFonts w:asciiTheme="minorHAnsi" w:hAnsiTheme="minorHAnsi" w:cstheme="minorHAnsi"/>
          <w:sz w:val="24"/>
          <w:szCs w:val="24"/>
        </w:rPr>
        <w:t xml:space="preserve">updated less often. </w:t>
      </w:r>
      <w:r w:rsidR="000E57CD" w:rsidRPr="003D099F">
        <w:rPr>
          <w:rFonts w:asciiTheme="minorHAnsi" w:hAnsiTheme="minorHAnsi" w:cstheme="minorHAnsi"/>
          <w:sz w:val="24"/>
          <w:szCs w:val="24"/>
        </w:rPr>
        <w:t>LAD y</w:t>
      </w:r>
      <w:r w:rsidR="002B793F" w:rsidRPr="00682940">
        <w:rPr>
          <w:rFonts w:asciiTheme="minorHAnsi" w:hAnsiTheme="minorHAnsi" w:cstheme="minorHAnsi"/>
          <w:sz w:val="24"/>
          <w:szCs w:val="24"/>
        </w:rPr>
        <w:t xml:space="preserve">outh unemployment </w:t>
      </w:r>
      <w:r w:rsidR="000E57CD" w:rsidRPr="005851B6">
        <w:rPr>
          <w:rFonts w:asciiTheme="minorHAnsi" w:hAnsiTheme="minorHAnsi" w:cstheme="minorHAnsi"/>
          <w:sz w:val="24"/>
          <w:szCs w:val="24"/>
        </w:rPr>
        <w:t>rates</w:t>
      </w:r>
      <w:r w:rsidR="00CA5973" w:rsidRPr="005851B6">
        <w:rPr>
          <w:rFonts w:asciiTheme="minorHAnsi" w:hAnsiTheme="minorHAnsi" w:cstheme="minorHAnsi"/>
          <w:sz w:val="24"/>
          <w:szCs w:val="24"/>
        </w:rPr>
        <w:t xml:space="preserve"> </w:t>
      </w:r>
      <w:r w:rsidR="000E57CD" w:rsidRPr="005851B6">
        <w:rPr>
          <w:rFonts w:asciiTheme="minorHAnsi" w:hAnsiTheme="minorHAnsi" w:cstheme="minorHAnsi"/>
          <w:sz w:val="24"/>
          <w:szCs w:val="24"/>
        </w:rPr>
        <w:t>are</w:t>
      </w:r>
      <w:r w:rsidR="002B793F" w:rsidRPr="005851B6">
        <w:rPr>
          <w:rFonts w:asciiTheme="minorHAnsi" w:hAnsiTheme="minorHAnsi" w:cstheme="minorHAnsi"/>
          <w:sz w:val="24"/>
          <w:szCs w:val="24"/>
        </w:rPr>
        <w:t xml:space="preserve"> measured by the proportion of the 18</w:t>
      </w:r>
      <w:r w:rsidR="00A36059" w:rsidRPr="005851B6">
        <w:rPr>
          <w:rFonts w:asciiTheme="minorHAnsi" w:hAnsiTheme="minorHAnsi" w:cstheme="minorHAnsi"/>
          <w:sz w:val="24"/>
          <w:szCs w:val="24"/>
        </w:rPr>
        <w:t xml:space="preserve"> to </w:t>
      </w:r>
      <w:r w:rsidR="002B793F" w:rsidRPr="005851B6">
        <w:rPr>
          <w:rFonts w:asciiTheme="minorHAnsi" w:hAnsiTheme="minorHAnsi" w:cstheme="minorHAnsi"/>
          <w:sz w:val="24"/>
          <w:szCs w:val="24"/>
        </w:rPr>
        <w:t xml:space="preserve">24-year-old </w:t>
      </w:r>
      <w:r w:rsidR="009A3228">
        <w:rPr>
          <w:rFonts w:asciiTheme="minorHAnsi" w:hAnsiTheme="minorHAnsi" w:cstheme="minorHAnsi"/>
          <w:sz w:val="24"/>
          <w:szCs w:val="24"/>
        </w:rPr>
        <w:t xml:space="preserve">male and female </w:t>
      </w:r>
      <w:r w:rsidR="002B793F" w:rsidRPr="005851B6">
        <w:rPr>
          <w:rFonts w:asciiTheme="minorHAnsi" w:hAnsiTheme="minorHAnsi" w:cstheme="minorHAnsi"/>
          <w:sz w:val="24"/>
          <w:szCs w:val="24"/>
        </w:rPr>
        <w:t>population claiming Jobseekers’ Allowance (</w:t>
      </w:r>
      <w:proofErr w:type="spellStart"/>
      <w:r w:rsidR="002B793F" w:rsidRPr="005851B6">
        <w:rPr>
          <w:rFonts w:asciiTheme="minorHAnsi" w:hAnsiTheme="minorHAnsi" w:cstheme="minorHAnsi"/>
          <w:sz w:val="24"/>
          <w:szCs w:val="24"/>
        </w:rPr>
        <w:t>JSA</w:t>
      </w:r>
      <w:proofErr w:type="spellEnd"/>
      <w:r w:rsidR="002B793F" w:rsidRPr="005851B6">
        <w:rPr>
          <w:rFonts w:asciiTheme="minorHAnsi" w:hAnsiTheme="minorHAnsi" w:cstheme="minorHAnsi"/>
          <w:sz w:val="24"/>
          <w:szCs w:val="24"/>
        </w:rPr>
        <w:t xml:space="preserve">). </w:t>
      </w:r>
      <w:r w:rsidR="00384457" w:rsidRPr="00A85D13">
        <w:rPr>
          <w:rFonts w:asciiTheme="minorHAnsi" w:hAnsiTheme="minorHAnsi" w:cstheme="minorHAnsi"/>
          <w:sz w:val="24"/>
          <w:szCs w:val="24"/>
        </w:rPr>
        <w:t>We also considered t</w:t>
      </w:r>
      <w:r w:rsidR="002B793F" w:rsidRPr="007E06B9">
        <w:rPr>
          <w:rFonts w:asciiTheme="minorHAnsi" w:hAnsiTheme="minorHAnsi" w:cstheme="minorHAnsi"/>
          <w:sz w:val="24"/>
          <w:szCs w:val="24"/>
        </w:rPr>
        <w:t>he</w:t>
      </w:r>
      <w:r w:rsidR="002B793F" w:rsidRPr="007E06B9">
        <w:rPr>
          <w:rFonts w:asciiTheme="minorHAnsi" w:hAnsiTheme="minorHAnsi" w:cstheme="minorHAnsi"/>
          <w:spacing w:val="-4"/>
          <w:sz w:val="24"/>
          <w:szCs w:val="24"/>
        </w:rPr>
        <w:t xml:space="preserve"> </w:t>
      </w:r>
      <w:r w:rsidR="002B793F" w:rsidRPr="00331039">
        <w:rPr>
          <w:rFonts w:asciiTheme="minorHAnsi" w:hAnsiTheme="minorHAnsi" w:cstheme="minorHAnsi"/>
          <w:sz w:val="24"/>
          <w:szCs w:val="24"/>
        </w:rPr>
        <w:t>percentage</w:t>
      </w:r>
      <w:r w:rsidR="002B793F" w:rsidRPr="00A85D13">
        <w:rPr>
          <w:rFonts w:asciiTheme="minorHAnsi" w:hAnsiTheme="minorHAnsi" w:cstheme="minorHAnsi"/>
          <w:spacing w:val="-5"/>
          <w:sz w:val="24"/>
          <w:szCs w:val="24"/>
        </w:rPr>
        <w:t xml:space="preserve"> </w:t>
      </w:r>
      <w:r w:rsidR="002B793F" w:rsidRPr="00A85D13">
        <w:rPr>
          <w:rFonts w:asciiTheme="minorHAnsi" w:hAnsiTheme="minorHAnsi" w:cstheme="minorHAnsi"/>
          <w:sz w:val="24"/>
          <w:szCs w:val="24"/>
        </w:rPr>
        <w:t>of</w:t>
      </w:r>
      <w:r w:rsidR="002B793F" w:rsidRPr="00A85D13">
        <w:rPr>
          <w:rFonts w:asciiTheme="minorHAnsi" w:hAnsiTheme="minorHAnsi" w:cstheme="minorHAnsi"/>
          <w:spacing w:val="-5"/>
          <w:sz w:val="24"/>
          <w:szCs w:val="24"/>
        </w:rPr>
        <w:t xml:space="preserve"> </w:t>
      </w:r>
      <w:r w:rsidR="002B793F" w:rsidRPr="00A85D13">
        <w:rPr>
          <w:rFonts w:asciiTheme="minorHAnsi" w:hAnsiTheme="minorHAnsi" w:cstheme="minorHAnsi"/>
          <w:sz w:val="24"/>
          <w:szCs w:val="24"/>
        </w:rPr>
        <w:lastRenderedPageBreak/>
        <w:t>state-funded</w:t>
      </w:r>
      <w:r w:rsidR="002B793F" w:rsidRPr="00A85D13">
        <w:rPr>
          <w:rFonts w:asciiTheme="minorHAnsi" w:hAnsiTheme="minorHAnsi" w:cstheme="minorHAnsi"/>
          <w:spacing w:val="-4"/>
          <w:sz w:val="24"/>
          <w:szCs w:val="24"/>
        </w:rPr>
        <w:t xml:space="preserve"> </w:t>
      </w:r>
      <w:r w:rsidR="002B793F" w:rsidRPr="00A85D13">
        <w:rPr>
          <w:rFonts w:asciiTheme="minorHAnsi" w:hAnsiTheme="minorHAnsi" w:cstheme="minorHAnsi"/>
          <w:sz w:val="24"/>
          <w:szCs w:val="24"/>
        </w:rPr>
        <w:t>secondary</w:t>
      </w:r>
      <w:r w:rsidR="002B793F" w:rsidRPr="00A85D13">
        <w:rPr>
          <w:rFonts w:asciiTheme="minorHAnsi" w:hAnsiTheme="minorHAnsi" w:cstheme="minorHAnsi"/>
          <w:spacing w:val="-9"/>
          <w:sz w:val="24"/>
          <w:szCs w:val="24"/>
        </w:rPr>
        <w:t xml:space="preserve"> </w:t>
      </w:r>
      <w:r w:rsidR="002B793F" w:rsidRPr="00A85D13">
        <w:rPr>
          <w:rFonts w:asciiTheme="minorHAnsi" w:hAnsiTheme="minorHAnsi" w:cstheme="minorHAnsi"/>
          <w:sz w:val="24"/>
          <w:szCs w:val="24"/>
        </w:rPr>
        <w:t>school</w:t>
      </w:r>
      <w:r w:rsidR="002B793F" w:rsidRPr="00A85D13">
        <w:rPr>
          <w:rFonts w:asciiTheme="minorHAnsi" w:hAnsiTheme="minorHAnsi" w:cstheme="minorHAnsi"/>
          <w:spacing w:val="-3"/>
          <w:sz w:val="24"/>
          <w:szCs w:val="24"/>
        </w:rPr>
        <w:t xml:space="preserve"> </w:t>
      </w:r>
      <w:r w:rsidR="002B793F" w:rsidRPr="00A85D13">
        <w:rPr>
          <w:rFonts w:asciiTheme="minorHAnsi" w:hAnsiTheme="minorHAnsi" w:cstheme="minorHAnsi"/>
          <w:sz w:val="24"/>
          <w:szCs w:val="24"/>
        </w:rPr>
        <w:t>pupils</w:t>
      </w:r>
      <w:r w:rsidR="002B793F" w:rsidRPr="00A85D13">
        <w:rPr>
          <w:rFonts w:asciiTheme="minorHAnsi" w:hAnsiTheme="minorHAnsi" w:cstheme="minorHAnsi"/>
          <w:spacing w:val="-4"/>
          <w:sz w:val="24"/>
          <w:szCs w:val="24"/>
        </w:rPr>
        <w:t xml:space="preserve"> in the LAD </w:t>
      </w:r>
      <w:r w:rsidR="002B793F" w:rsidRPr="00A85D13">
        <w:rPr>
          <w:rFonts w:asciiTheme="minorHAnsi" w:hAnsiTheme="minorHAnsi" w:cstheme="minorHAnsi"/>
          <w:sz w:val="24"/>
          <w:szCs w:val="24"/>
        </w:rPr>
        <w:t>eligible</w:t>
      </w:r>
      <w:r w:rsidR="002B793F" w:rsidRPr="00A85D13">
        <w:rPr>
          <w:rFonts w:asciiTheme="minorHAnsi" w:hAnsiTheme="minorHAnsi" w:cstheme="minorHAnsi"/>
          <w:spacing w:val="-5"/>
          <w:sz w:val="24"/>
          <w:szCs w:val="24"/>
        </w:rPr>
        <w:t xml:space="preserve"> </w:t>
      </w:r>
      <w:r w:rsidR="002B793F" w:rsidRPr="00A85D13">
        <w:rPr>
          <w:rFonts w:asciiTheme="minorHAnsi" w:hAnsiTheme="minorHAnsi" w:cstheme="minorHAnsi"/>
          <w:sz w:val="24"/>
          <w:szCs w:val="24"/>
        </w:rPr>
        <w:t xml:space="preserve">for free school meals </w:t>
      </w:r>
      <w:r w:rsidR="00384457" w:rsidRPr="00A85D13">
        <w:rPr>
          <w:rFonts w:asciiTheme="minorHAnsi" w:hAnsiTheme="minorHAnsi" w:cstheme="minorHAnsi"/>
          <w:sz w:val="24"/>
          <w:szCs w:val="24"/>
        </w:rPr>
        <w:t xml:space="preserve">as </w:t>
      </w:r>
      <w:r w:rsidR="002B793F" w:rsidRPr="00A85D13">
        <w:rPr>
          <w:rFonts w:asciiTheme="minorHAnsi" w:hAnsiTheme="minorHAnsi" w:cstheme="minorHAnsi"/>
          <w:sz w:val="24"/>
          <w:szCs w:val="24"/>
        </w:rPr>
        <w:t>a measure of economic hardship</w:t>
      </w:r>
      <w:r w:rsidR="00667169" w:rsidRPr="00A85D13">
        <w:rPr>
          <w:rFonts w:asciiTheme="minorHAnsi" w:hAnsiTheme="minorHAnsi" w:cstheme="minorHAnsi"/>
          <w:sz w:val="24"/>
          <w:szCs w:val="24"/>
        </w:rPr>
        <w:t xml:space="preserve"> but found </w:t>
      </w:r>
      <w:proofErr w:type="spellStart"/>
      <w:r w:rsidR="00667169" w:rsidRPr="00A85D13">
        <w:rPr>
          <w:rFonts w:asciiTheme="minorHAnsi" w:hAnsiTheme="minorHAnsi" w:cstheme="minorHAnsi"/>
          <w:sz w:val="24"/>
          <w:szCs w:val="24"/>
        </w:rPr>
        <w:t>JSA</w:t>
      </w:r>
      <w:proofErr w:type="spellEnd"/>
      <w:r w:rsidR="00667169" w:rsidRPr="00A85D13">
        <w:rPr>
          <w:rFonts w:asciiTheme="minorHAnsi" w:hAnsiTheme="minorHAnsi" w:cstheme="minorHAnsi"/>
          <w:sz w:val="24"/>
          <w:szCs w:val="24"/>
        </w:rPr>
        <w:t xml:space="preserve"> </w:t>
      </w:r>
      <w:r w:rsidR="00B170A3" w:rsidRPr="00A85D13">
        <w:rPr>
          <w:rFonts w:asciiTheme="minorHAnsi" w:hAnsiTheme="minorHAnsi" w:cstheme="minorHAnsi"/>
          <w:sz w:val="24"/>
          <w:szCs w:val="24"/>
        </w:rPr>
        <w:t xml:space="preserve">to explain more </w:t>
      </w:r>
      <w:r w:rsidR="00AD6879">
        <w:rPr>
          <w:rFonts w:asciiTheme="minorHAnsi" w:hAnsiTheme="minorHAnsi" w:cstheme="minorHAnsi"/>
          <w:sz w:val="24"/>
          <w:szCs w:val="24"/>
        </w:rPr>
        <w:t xml:space="preserve">model </w:t>
      </w:r>
      <w:r w:rsidR="00B170A3" w:rsidRPr="00A85D13">
        <w:rPr>
          <w:rFonts w:asciiTheme="minorHAnsi" w:hAnsiTheme="minorHAnsi" w:cstheme="minorHAnsi"/>
          <w:sz w:val="24"/>
          <w:szCs w:val="24"/>
        </w:rPr>
        <w:t>variation</w:t>
      </w:r>
      <w:r w:rsidR="0070428B" w:rsidRPr="00A85D13">
        <w:rPr>
          <w:rFonts w:asciiTheme="minorHAnsi" w:hAnsiTheme="minorHAnsi" w:cstheme="minorHAnsi"/>
          <w:sz w:val="24"/>
          <w:szCs w:val="24"/>
        </w:rPr>
        <w:t>.</w:t>
      </w:r>
    </w:p>
    <w:p w14:paraId="47CA5533" w14:textId="4ECEBD05" w:rsidR="002B793F" w:rsidRPr="001800D8" w:rsidRDefault="002B793F" w:rsidP="00CD0462">
      <w:pPr>
        <w:rPr>
          <w:rFonts w:asciiTheme="minorHAnsi" w:hAnsiTheme="minorHAnsi" w:cstheme="minorHAnsi"/>
          <w:sz w:val="24"/>
          <w:szCs w:val="24"/>
        </w:rPr>
      </w:pPr>
      <w:r w:rsidRPr="00846EE2">
        <w:rPr>
          <w:rFonts w:asciiTheme="minorHAnsi" w:hAnsiTheme="minorHAnsi" w:cstheme="minorHAnsi"/>
          <w:sz w:val="24"/>
          <w:szCs w:val="24"/>
        </w:rPr>
        <w:t xml:space="preserve">Educational attainment is measured by the </w:t>
      </w:r>
      <w:r w:rsidR="00C951E1" w:rsidRPr="00846EE2">
        <w:rPr>
          <w:rFonts w:asciiTheme="minorHAnsi" w:hAnsiTheme="minorHAnsi" w:cstheme="minorHAnsi"/>
          <w:sz w:val="24"/>
          <w:szCs w:val="24"/>
        </w:rPr>
        <w:t xml:space="preserve">percentage of students receiving five ‘passes’ </w:t>
      </w:r>
      <w:r w:rsidR="00FF664C" w:rsidRPr="00624EA4">
        <w:rPr>
          <w:rFonts w:asciiTheme="minorHAnsi" w:hAnsiTheme="minorHAnsi" w:cstheme="minorHAnsi"/>
          <w:sz w:val="24"/>
          <w:szCs w:val="24"/>
        </w:rPr>
        <w:t xml:space="preserve">(A* to C) </w:t>
      </w:r>
      <w:r w:rsidR="00C951E1" w:rsidRPr="00201A11">
        <w:rPr>
          <w:rFonts w:asciiTheme="minorHAnsi" w:hAnsiTheme="minorHAnsi" w:cstheme="minorHAnsi"/>
          <w:sz w:val="24"/>
          <w:szCs w:val="24"/>
        </w:rPr>
        <w:t xml:space="preserve">in their </w:t>
      </w:r>
      <w:r w:rsidRPr="007B5855">
        <w:rPr>
          <w:rFonts w:asciiTheme="minorHAnsi" w:hAnsiTheme="minorHAnsi" w:cstheme="minorHAnsi"/>
          <w:sz w:val="24"/>
          <w:szCs w:val="24"/>
        </w:rPr>
        <w:t xml:space="preserve">nationally standardised General Certificate of Education (GCSE) results. </w:t>
      </w:r>
      <w:r w:rsidRPr="00B869F5">
        <w:rPr>
          <w:rFonts w:asciiTheme="minorHAnsi" w:hAnsiTheme="minorHAnsi" w:cstheme="minorHAnsi"/>
          <w:sz w:val="24"/>
          <w:szCs w:val="24"/>
        </w:rPr>
        <w:t xml:space="preserve">Extrapolation has been used for </w:t>
      </w:r>
      <w:r w:rsidR="000A0CBD">
        <w:rPr>
          <w:rFonts w:asciiTheme="minorHAnsi" w:hAnsiTheme="minorHAnsi" w:cstheme="minorHAnsi"/>
          <w:sz w:val="24"/>
          <w:szCs w:val="24"/>
        </w:rPr>
        <w:t xml:space="preserve">2016 and </w:t>
      </w:r>
      <w:r w:rsidR="00A2442B" w:rsidRPr="00B869F5">
        <w:rPr>
          <w:rFonts w:asciiTheme="minorHAnsi" w:hAnsiTheme="minorHAnsi" w:cstheme="minorHAnsi"/>
          <w:sz w:val="24"/>
          <w:szCs w:val="24"/>
        </w:rPr>
        <w:t xml:space="preserve">2017 </w:t>
      </w:r>
      <w:r w:rsidRPr="00B869F5">
        <w:rPr>
          <w:rFonts w:asciiTheme="minorHAnsi" w:hAnsiTheme="minorHAnsi" w:cstheme="minorHAnsi"/>
          <w:sz w:val="24"/>
          <w:szCs w:val="24"/>
        </w:rPr>
        <w:t xml:space="preserve">due to changes in </w:t>
      </w:r>
      <w:r w:rsidR="00DE1B3A" w:rsidRPr="00B869F5">
        <w:rPr>
          <w:rFonts w:asciiTheme="minorHAnsi" w:hAnsiTheme="minorHAnsi" w:cstheme="minorHAnsi"/>
          <w:sz w:val="24"/>
          <w:szCs w:val="24"/>
        </w:rPr>
        <w:t>grading</w:t>
      </w:r>
      <w:r w:rsidRPr="00B869F5">
        <w:rPr>
          <w:rFonts w:asciiTheme="minorHAnsi" w:hAnsiTheme="minorHAnsi" w:cstheme="minorHAnsi"/>
          <w:sz w:val="24"/>
          <w:szCs w:val="24"/>
        </w:rPr>
        <w:t xml:space="preserve">. </w:t>
      </w:r>
      <w:r w:rsidR="00FF664C" w:rsidRPr="00B869F5">
        <w:rPr>
          <w:rFonts w:asciiTheme="minorHAnsi" w:hAnsiTheme="minorHAnsi" w:cstheme="minorHAnsi"/>
          <w:sz w:val="24"/>
          <w:szCs w:val="24"/>
        </w:rPr>
        <w:t xml:space="preserve">Due to this extrapolation and missing data </w:t>
      </w:r>
      <w:r w:rsidR="000A0CBD">
        <w:rPr>
          <w:rFonts w:asciiTheme="minorHAnsi" w:hAnsiTheme="minorHAnsi" w:cstheme="minorHAnsi"/>
          <w:sz w:val="24"/>
          <w:szCs w:val="24"/>
        </w:rPr>
        <w:t xml:space="preserve">in 2005 </w:t>
      </w:r>
      <w:r w:rsidR="00FF664C" w:rsidRPr="00B869F5">
        <w:rPr>
          <w:rFonts w:asciiTheme="minorHAnsi" w:hAnsiTheme="minorHAnsi" w:cstheme="minorHAnsi"/>
          <w:sz w:val="24"/>
          <w:szCs w:val="24"/>
        </w:rPr>
        <w:t>which have been filled from int</w:t>
      </w:r>
      <w:r w:rsidR="00FF664C" w:rsidRPr="0014445C">
        <w:rPr>
          <w:rFonts w:asciiTheme="minorHAnsi" w:hAnsiTheme="minorHAnsi" w:cstheme="minorHAnsi"/>
          <w:sz w:val="24"/>
          <w:szCs w:val="24"/>
        </w:rPr>
        <w:t>erpolation,</w:t>
      </w:r>
      <w:r w:rsidR="006D3340">
        <w:rPr>
          <w:rFonts w:asciiTheme="minorHAnsi" w:hAnsiTheme="minorHAnsi" w:cstheme="minorHAnsi"/>
          <w:sz w:val="24"/>
          <w:szCs w:val="24"/>
        </w:rPr>
        <w:t xml:space="preserve"> </w:t>
      </w:r>
      <w:r w:rsidRPr="00EF153A">
        <w:rPr>
          <w:rFonts w:asciiTheme="minorHAnsi" w:hAnsiTheme="minorHAnsi" w:cstheme="minorHAnsi"/>
          <w:sz w:val="24"/>
          <w:szCs w:val="24"/>
        </w:rPr>
        <w:t xml:space="preserve">we </w:t>
      </w:r>
      <w:r w:rsidRPr="0044286B">
        <w:rPr>
          <w:rFonts w:asciiTheme="minorHAnsi" w:hAnsiTheme="minorHAnsi" w:cstheme="minorHAnsi"/>
          <w:sz w:val="24"/>
          <w:szCs w:val="24"/>
        </w:rPr>
        <w:t xml:space="preserve">perform sensitivity analyses </w:t>
      </w:r>
      <w:r w:rsidR="00675A5D" w:rsidRPr="0044286B">
        <w:rPr>
          <w:rFonts w:asciiTheme="minorHAnsi" w:hAnsiTheme="minorHAnsi" w:cstheme="minorHAnsi"/>
          <w:sz w:val="24"/>
          <w:szCs w:val="24"/>
        </w:rPr>
        <w:t>using</w:t>
      </w:r>
      <w:r w:rsidR="00CA5973" w:rsidRPr="0044286B">
        <w:rPr>
          <w:rFonts w:asciiTheme="minorHAnsi" w:hAnsiTheme="minorHAnsi" w:cstheme="minorHAnsi"/>
          <w:sz w:val="24"/>
          <w:szCs w:val="24"/>
        </w:rPr>
        <w:t xml:space="preserve"> </w:t>
      </w:r>
      <w:r w:rsidR="00EA21CA" w:rsidRPr="0044286B">
        <w:rPr>
          <w:rFonts w:asciiTheme="minorHAnsi" w:hAnsiTheme="minorHAnsi" w:cstheme="minorHAnsi"/>
          <w:sz w:val="24"/>
          <w:szCs w:val="24"/>
        </w:rPr>
        <w:t>LAD</w:t>
      </w:r>
      <w:r w:rsidR="00FF664C" w:rsidRPr="0044286B">
        <w:rPr>
          <w:rFonts w:asciiTheme="minorHAnsi" w:hAnsiTheme="minorHAnsi" w:cstheme="minorHAnsi"/>
          <w:sz w:val="24"/>
          <w:szCs w:val="24"/>
        </w:rPr>
        <w:t xml:space="preserve">-level </w:t>
      </w:r>
      <w:r w:rsidRPr="0044286B">
        <w:rPr>
          <w:rFonts w:asciiTheme="minorHAnsi" w:hAnsiTheme="minorHAnsi" w:cstheme="minorHAnsi"/>
          <w:sz w:val="24"/>
          <w:szCs w:val="24"/>
        </w:rPr>
        <w:t>attainment at age 11</w:t>
      </w:r>
      <w:r w:rsidR="00EA21CA" w:rsidRPr="0044286B">
        <w:rPr>
          <w:rFonts w:asciiTheme="minorHAnsi" w:hAnsiTheme="minorHAnsi" w:cstheme="minorHAnsi"/>
          <w:sz w:val="24"/>
          <w:szCs w:val="24"/>
        </w:rPr>
        <w:t xml:space="preserve"> </w:t>
      </w:r>
      <w:r w:rsidR="00FF664C" w:rsidRPr="0044286B">
        <w:rPr>
          <w:rFonts w:asciiTheme="minorHAnsi" w:hAnsiTheme="minorHAnsi" w:cstheme="minorHAnsi"/>
          <w:sz w:val="24"/>
          <w:szCs w:val="24"/>
        </w:rPr>
        <w:t xml:space="preserve">where results at age 11 are assigned to the year </w:t>
      </w:r>
      <w:r w:rsidR="00192EBC" w:rsidRPr="0044286B">
        <w:rPr>
          <w:rFonts w:asciiTheme="minorHAnsi" w:hAnsiTheme="minorHAnsi" w:cstheme="minorHAnsi"/>
          <w:sz w:val="24"/>
          <w:szCs w:val="24"/>
        </w:rPr>
        <w:t>when teenagers would be 16</w:t>
      </w:r>
      <w:r w:rsidR="00FF664C" w:rsidRPr="0044286B">
        <w:rPr>
          <w:rFonts w:asciiTheme="minorHAnsi" w:hAnsiTheme="minorHAnsi" w:cstheme="minorHAnsi"/>
          <w:sz w:val="24"/>
          <w:szCs w:val="24"/>
        </w:rPr>
        <w:t>. Additionally, as GCSE</w:t>
      </w:r>
      <w:r w:rsidR="00192EBC" w:rsidRPr="0044286B">
        <w:rPr>
          <w:rFonts w:asciiTheme="minorHAnsi" w:hAnsiTheme="minorHAnsi" w:cstheme="minorHAnsi"/>
          <w:sz w:val="24"/>
          <w:szCs w:val="24"/>
        </w:rPr>
        <w:t xml:space="preserve"> results</w:t>
      </w:r>
      <w:r w:rsidR="00FF664C" w:rsidRPr="0044286B">
        <w:rPr>
          <w:rFonts w:asciiTheme="minorHAnsi" w:hAnsiTheme="minorHAnsi" w:cstheme="minorHAnsi"/>
          <w:sz w:val="24"/>
          <w:szCs w:val="24"/>
        </w:rPr>
        <w:t xml:space="preserve"> </w:t>
      </w:r>
      <w:r w:rsidR="00192EBC" w:rsidRPr="0044286B">
        <w:rPr>
          <w:rFonts w:asciiTheme="minorHAnsi" w:hAnsiTheme="minorHAnsi" w:cstheme="minorHAnsi"/>
          <w:sz w:val="24"/>
          <w:szCs w:val="24"/>
        </w:rPr>
        <w:t xml:space="preserve">(at age 16) </w:t>
      </w:r>
      <w:r w:rsidR="00FF664C" w:rsidRPr="0044286B">
        <w:rPr>
          <w:rFonts w:asciiTheme="minorHAnsi" w:hAnsiTheme="minorHAnsi" w:cstheme="minorHAnsi"/>
          <w:sz w:val="24"/>
          <w:szCs w:val="24"/>
        </w:rPr>
        <w:t xml:space="preserve">may </w:t>
      </w:r>
      <w:r w:rsidR="00192EBC" w:rsidRPr="0044286B">
        <w:rPr>
          <w:rFonts w:asciiTheme="minorHAnsi" w:hAnsiTheme="minorHAnsi" w:cstheme="minorHAnsi"/>
          <w:sz w:val="24"/>
          <w:szCs w:val="24"/>
        </w:rPr>
        <w:t xml:space="preserve">be negatively </w:t>
      </w:r>
      <w:r w:rsidR="00FF664C" w:rsidRPr="0044286B">
        <w:rPr>
          <w:rFonts w:asciiTheme="minorHAnsi" w:hAnsiTheme="minorHAnsi" w:cstheme="minorHAnsi"/>
          <w:sz w:val="24"/>
          <w:szCs w:val="24"/>
        </w:rPr>
        <w:t xml:space="preserve">affected </w:t>
      </w:r>
      <w:r w:rsidR="00192EBC" w:rsidRPr="0044286B">
        <w:rPr>
          <w:rFonts w:asciiTheme="minorHAnsi" w:hAnsiTheme="minorHAnsi" w:cstheme="minorHAnsi"/>
          <w:sz w:val="24"/>
          <w:szCs w:val="24"/>
        </w:rPr>
        <w:t xml:space="preserve">or even disrupted </w:t>
      </w:r>
      <w:r w:rsidR="00FF664C" w:rsidRPr="0044286B">
        <w:rPr>
          <w:rFonts w:asciiTheme="minorHAnsi" w:hAnsiTheme="minorHAnsi" w:cstheme="minorHAnsi"/>
          <w:sz w:val="24"/>
          <w:szCs w:val="24"/>
        </w:rPr>
        <w:t>by teenage pregnancy/parenthood</w:t>
      </w:r>
      <w:r w:rsidR="00192EBC" w:rsidRPr="0044286B">
        <w:rPr>
          <w:rFonts w:asciiTheme="minorHAnsi" w:hAnsiTheme="minorHAnsi" w:cstheme="minorHAnsi"/>
          <w:sz w:val="24"/>
          <w:szCs w:val="24"/>
        </w:rPr>
        <w:t xml:space="preserve">, </w:t>
      </w:r>
      <w:r w:rsidR="00FF664C" w:rsidRPr="0044286B">
        <w:rPr>
          <w:rFonts w:asciiTheme="minorHAnsi" w:hAnsiTheme="minorHAnsi" w:cstheme="minorHAnsi"/>
          <w:sz w:val="24"/>
          <w:szCs w:val="24"/>
        </w:rPr>
        <w:t>in certain areas</w:t>
      </w:r>
      <w:r w:rsidR="00192EBC" w:rsidRPr="0044286B">
        <w:rPr>
          <w:rFonts w:asciiTheme="minorHAnsi" w:hAnsiTheme="minorHAnsi" w:cstheme="minorHAnsi"/>
          <w:sz w:val="24"/>
          <w:szCs w:val="24"/>
        </w:rPr>
        <w:t xml:space="preserve"> where this is common our measure of GCSE attainment may be bias</w:t>
      </w:r>
      <w:r w:rsidR="00A678AD">
        <w:rPr>
          <w:rFonts w:asciiTheme="minorHAnsi" w:hAnsiTheme="minorHAnsi" w:cstheme="minorHAnsi"/>
          <w:sz w:val="24"/>
          <w:szCs w:val="24"/>
        </w:rPr>
        <w:t>ed</w:t>
      </w:r>
      <w:r w:rsidR="00192EBC" w:rsidRPr="0044286B">
        <w:rPr>
          <w:rFonts w:asciiTheme="minorHAnsi" w:hAnsiTheme="minorHAnsi" w:cstheme="minorHAnsi"/>
          <w:sz w:val="24"/>
          <w:szCs w:val="24"/>
        </w:rPr>
        <w:t xml:space="preserve"> </w:t>
      </w:r>
      <w:r w:rsidR="00465FE2">
        <w:rPr>
          <w:rFonts w:asciiTheme="minorHAnsi" w:hAnsiTheme="minorHAnsi" w:cstheme="minorHAnsi"/>
          <w:sz w:val="24"/>
          <w:szCs w:val="24"/>
        </w:rPr>
        <w:t xml:space="preserve">compared to areas with little teenage pregnancy </w:t>
      </w:r>
      <w:r w:rsidR="00192EBC" w:rsidRPr="00465FE2">
        <w:rPr>
          <w:rFonts w:asciiTheme="minorHAnsi" w:hAnsiTheme="minorHAnsi" w:cstheme="minorHAnsi"/>
          <w:sz w:val="24"/>
          <w:szCs w:val="24"/>
        </w:rPr>
        <w:t xml:space="preserve">and so comparing the attainment at age 11 ensures a robust interpretation. </w:t>
      </w:r>
      <w:r w:rsidR="00192EBC" w:rsidRPr="003D099F">
        <w:rPr>
          <w:rFonts w:asciiTheme="minorHAnsi" w:hAnsiTheme="minorHAnsi" w:cstheme="minorHAnsi"/>
          <w:sz w:val="24"/>
          <w:szCs w:val="24"/>
        </w:rPr>
        <w:t>R</w:t>
      </w:r>
      <w:r w:rsidRPr="003D099F">
        <w:rPr>
          <w:rFonts w:asciiTheme="minorHAnsi" w:hAnsiTheme="minorHAnsi" w:cstheme="minorHAnsi"/>
          <w:sz w:val="24"/>
          <w:szCs w:val="24"/>
        </w:rPr>
        <w:t>esults are generally unaltered and available on request</w:t>
      </w:r>
      <w:r w:rsidR="00365872" w:rsidRPr="00365872">
        <w:rPr>
          <w:rFonts w:asciiTheme="minorHAnsi" w:hAnsiTheme="minorHAnsi" w:cstheme="minorHAnsi"/>
          <w:sz w:val="24"/>
          <w:szCs w:val="24"/>
        </w:rPr>
        <w:t xml:space="preserve">, and there is evidence of the correlation between results at age 11 and 16 </w:t>
      </w:r>
      <w:r w:rsidR="008B4BE4">
        <w:rPr>
          <w:rFonts w:asciiTheme="minorHAnsi" w:hAnsiTheme="minorHAnsi" w:cstheme="minorHAnsi"/>
          <w:sz w:val="24"/>
          <w:szCs w:val="24"/>
        </w:rPr>
        <w:t xml:space="preserve">beyond our research </w:t>
      </w:r>
      <w:r w:rsidR="00365872" w:rsidRPr="00365872">
        <w:rPr>
          <w:rFonts w:asciiTheme="minorHAnsi" w:hAnsiTheme="minorHAnsi" w:cstheme="minorHAnsi"/>
          <w:sz w:val="24"/>
          <w:szCs w:val="24"/>
        </w:rPr>
        <w:t xml:space="preserve">(Benton and </w:t>
      </w:r>
      <w:proofErr w:type="spellStart"/>
      <w:r w:rsidR="00365872" w:rsidRPr="00365872">
        <w:rPr>
          <w:rFonts w:asciiTheme="minorHAnsi" w:hAnsiTheme="minorHAnsi" w:cstheme="minorHAnsi"/>
          <w:sz w:val="24"/>
          <w:szCs w:val="24"/>
        </w:rPr>
        <w:t>Sutch</w:t>
      </w:r>
      <w:proofErr w:type="spellEnd"/>
      <w:r w:rsidR="00365872" w:rsidRPr="00365872">
        <w:rPr>
          <w:rFonts w:asciiTheme="minorHAnsi" w:hAnsiTheme="minorHAnsi" w:cstheme="minorHAnsi"/>
          <w:sz w:val="24"/>
          <w:szCs w:val="24"/>
        </w:rPr>
        <w:t>, 2014)</w:t>
      </w:r>
      <w:r w:rsidR="00CD0462" w:rsidRPr="009C4969">
        <w:rPr>
          <w:rFonts w:asciiTheme="minorHAnsi" w:hAnsiTheme="minorHAnsi" w:cstheme="minorHAnsi"/>
          <w:sz w:val="24"/>
          <w:szCs w:val="24"/>
        </w:rPr>
        <w:t>.</w:t>
      </w:r>
    </w:p>
    <w:p w14:paraId="2523933A" w14:textId="7740A8DE" w:rsidR="002B793F" w:rsidRPr="00FA4E70" w:rsidRDefault="002B793F" w:rsidP="00CD0462">
      <w:pPr>
        <w:rPr>
          <w:rFonts w:asciiTheme="minorHAnsi" w:hAnsiTheme="minorHAnsi" w:cstheme="minorHAnsi"/>
          <w:sz w:val="24"/>
          <w:szCs w:val="24"/>
        </w:rPr>
      </w:pPr>
      <w:r w:rsidRPr="00DD6E2B">
        <w:rPr>
          <w:rFonts w:asciiTheme="minorHAnsi" w:hAnsiTheme="minorHAnsi" w:cstheme="minorHAnsi"/>
          <w:sz w:val="24"/>
          <w:szCs w:val="24"/>
        </w:rPr>
        <w:t>Areas</w:t>
      </w:r>
      <w:r w:rsidR="00675A5D" w:rsidRPr="00DD6E2B">
        <w:rPr>
          <w:rFonts w:asciiTheme="minorHAnsi" w:hAnsiTheme="minorHAnsi" w:cstheme="minorHAnsi"/>
          <w:sz w:val="24"/>
          <w:szCs w:val="24"/>
        </w:rPr>
        <w:t xml:space="preserve"> with high </w:t>
      </w:r>
      <w:r w:rsidRPr="00DD6E2B">
        <w:rPr>
          <w:rFonts w:asciiTheme="minorHAnsi" w:hAnsiTheme="minorHAnsi" w:cstheme="minorHAnsi"/>
          <w:sz w:val="24"/>
          <w:szCs w:val="24"/>
        </w:rPr>
        <w:t>house prices also have higher rent prices</w:t>
      </w:r>
      <w:r w:rsidR="00A2442B" w:rsidRPr="00DD6E2B">
        <w:rPr>
          <w:rFonts w:asciiTheme="minorHAnsi" w:hAnsiTheme="minorHAnsi" w:cstheme="minorHAnsi"/>
          <w:sz w:val="24"/>
          <w:szCs w:val="24"/>
        </w:rPr>
        <w:t>, although ren</w:t>
      </w:r>
      <w:r w:rsidR="003D29D8" w:rsidRPr="00DD6E2B">
        <w:rPr>
          <w:rFonts w:asciiTheme="minorHAnsi" w:hAnsiTheme="minorHAnsi" w:cstheme="minorHAnsi"/>
          <w:sz w:val="24"/>
          <w:szCs w:val="24"/>
        </w:rPr>
        <w:t xml:space="preserve">t-price ratios vary by area affluence </w:t>
      </w:r>
      <w:r w:rsidR="00383036" w:rsidRPr="00DD6E2B">
        <w:rPr>
          <w:rFonts w:asciiTheme="minorHAnsi" w:hAnsiTheme="minorHAnsi" w:cstheme="minorHAnsi"/>
          <w:sz w:val="24"/>
          <w:szCs w:val="24"/>
        </w:rPr>
        <w:t>(</w:t>
      </w:r>
      <w:r w:rsidR="00CF69F3" w:rsidRPr="00DD6E2B">
        <w:rPr>
          <w:rFonts w:asciiTheme="minorHAnsi" w:hAnsiTheme="minorHAnsi" w:cstheme="minorHAnsi"/>
          <w:sz w:val="24"/>
          <w:szCs w:val="24"/>
        </w:rPr>
        <w:t>Clark and Lomax, 2019</w:t>
      </w:r>
      <w:r w:rsidR="00383036" w:rsidRPr="00DD6E2B">
        <w:rPr>
          <w:rFonts w:asciiTheme="minorHAnsi" w:hAnsiTheme="minorHAnsi" w:cstheme="minorHAnsi"/>
          <w:sz w:val="24"/>
          <w:szCs w:val="24"/>
        </w:rPr>
        <w:t>)</w:t>
      </w:r>
      <w:r w:rsidR="008F494B" w:rsidRPr="00DD6E2B">
        <w:rPr>
          <w:rFonts w:asciiTheme="minorHAnsi" w:hAnsiTheme="minorHAnsi" w:cstheme="minorHAnsi"/>
          <w:sz w:val="24"/>
          <w:szCs w:val="24"/>
        </w:rPr>
        <w:t>.</w:t>
      </w:r>
      <w:r w:rsidR="00675A5D" w:rsidRPr="00DD6E2B">
        <w:rPr>
          <w:rFonts w:asciiTheme="minorHAnsi" w:hAnsiTheme="minorHAnsi" w:cstheme="minorHAnsi"/>
          <w:sz w:val="24"/>
          <w:szCs w:val="24"/>
        </w:rPr>
        <w:t xml:space="preserve"> </w:t>
      </w:r>
      <w:r w:rsidR="00C570C5" w:rsidRPr="00DD6E2B">
        <w:rPr>
          <w:rFonts w:asciiTheme="minorHAnsi" w:hAnsiTheme="minorHAnsi" w:cstheme="minorHAnsi"/>
          <w:sz w:val="24"/>
          <w:szCs w:val="24"/>
        </w:rPr>
        <w:t xml:space="preserve">This paper considers housing unaffordability to </w:t>
      </w:r>
      <w:r w:rsidR="00476FDC" w:rsidRPr="00DD6E2B">
        <w:rPr>
          <w:rFonts w:asciiTheme="minorHAnsi" w:hAnsiTheme="minorHAnsi" w:cstheme="minorHAnsi"/>
          <w:sz w:val="24"/>
          <w:szCs w:val="24"/>
        </w:rPr>
        <w:t xml:space="preserve">represent the ease in which young people in the area can establish their independent living, but also </w:t>
      </w:r>
      <w:r w:rsidR="000B7193">
        <w:rPr>
          <w:rFonts w:asciiTheme="minorHAnsi" w:hAnsiTheme="minorHAnsi" w:cstheme="minorHAnsi"/>
          <w:sz w:val="24"/>
          <w:szCs w:val="24"/>
        </w:rPr>
        <w:t>the exclusion of low</w:t>
      </w:r>
      <w:r w:rsidR="00D427DA">
        <w:rPr>
          <w:rFonts w:asciiTheme="minorHAnsi" w:hAnsiTheme="minorHAnsi" w:cstheme="minorHAnsi"/>
          <w:sz w:val="24"/>
          <w:szCs w:val="24"/>
        </w:rPr>
        <w:t>er</w:t>
      </w:r>
      <w:r w:rsidR="000B7193">
        <w:rPr>
          <w:rFonts w:asciiTheme="minorHAnsi" w:hAnsiTheme="minorHAnsi" w:cstheme="minorHAnsi"/>
          <w:sz w:val="24"/>
          <w:szCs w:val="24"/>
        </w:rPr>
        <w:t xml:space="preserve"> income groups </w:t>
      </w:r>
      <w:r w:rsidR="00940EC7" w:rsidRPr="00DD6E2B">
        <w:rPr>
          <w:rFonts w:asciiTheme="minorHAnsi" w:hAnsiTheme="minorHAnsi" w:cstheme="minorHAnsi"/>
          <w:sz w:val="24"/>
          <w:szCs w:val="24"/>
        </w:rPr>
        <w:t xml:space="preserve">over our </w:t>
      </w:r>
      <w:proofErr w:type="gramStart"/>
      <w:r w:rsidR="00940EC7" w:rsidRPr="00DD6E2B">
        <w:rPr>
          <w:rFonts w:asciiTheme="minorHAnsi" w:hAnsiTheme="minorHAnsi" w:cstheme="minorHAnsi"/>
          <w:sz w:val="24"/>
          <w:szCs w:val="24"/>
        </w:rPr>
        <w:t>time period</w:t>
      </w:r>
      <w:proofErr w:type="gramEnd"/>
      <w:r w:rsidR="00940EC7" w:rsidRPr="00DD6E2B">
        <w:rPr>
          <w:rFonts w:asciiTheme="minorHAnsi" w:hAnsiTheme="minorHAnsi" w:cstheme="minorHAnsi"/>
          <w:sz w:val="24"/>
          <w:szCs w:val="24"/>
        </w:rPr>
        <w:t>.</w:t>
      </w:r>
      <w:r w:rsidR="006D3340">
        <w:rPr>
          <w:rFonts w:asciiTheme="minorHAnsi" w:hAnsiTheme="minorHAnsi" w:cstheme="minorHAnsi"/>
          <w:sz w:val="24"/>
          <w:szCs w:val="24"/>
        </w:rPr>
        <w:t xml:space="preserve"> </w:t>
      </w:r>
      <w:r w:rsidR="00675A5D" w:rsidRPr="00DD6E2B">
        <w:rPr>
          <w:rFonts w:asciiTheme="minorHAnsi" w:hAnsiTheme="minorHAnsi" w:cstheme="minorHAnsi"/>
          <w:sz w:val="24"/>
          <w:szCs w:val="24"/>
        </w:rPr>
        <w:t>W</w:t>
      </w:r>
      <w:r w:rsidRPr="00DD6E2B">
        <w:rPr>
          <w:rFonts w:asciiTheme="minorHAnsi" w:hAnsiTheme="minorHAnsi" w:cstheme="minorHAnsi"/>
          <w:sz w:val="24"/>
          <w:szCs w:val="24"/>
        </w:rPr>
        <w:t>e capture housing unaffordability by the ratio of median house price to the overall earnings of those working in that LAD</w:t>
      </w:r>
      <w:r w:rsidR="003D29D8" w:rsidRPr="00DD6E2B">
        <w:rPr>
          <w:rFonts w:asciiTheme="minorHAnsi" w:hAnsiTheme="minorHAnsi" w:cstheme="minorHAnsi"/>
          <w:sz w:val="24"/>
          <w:szCs w:val="24"/>
        </w:rPr>
        <w:t xml:space="preserve"> </w:t>
      </w:r>
      <w:r w:rsidR="00A12929" w:rsidRPr="00DD6E2B">
        <w:rPr>
          <w:rFonts w:asciiTheme="minorHAnsi" w:hAnsiTheme="minorHAnsi" w:cstheme="minorHAnsi"/>
          <w:sz w:val="24"/>
          <w:szCs w:val="24"/>
        </w:rPr>
        <w:t>from the Office for National Statistics</w:t>
      </w:r>
      <w:r w:rsidR="00A04458" w:rsidRPr="00DD6E2B">
        <w:rPr>
          <w:rFonts w:asciiTheme="minorHAnsi" w:hAnsiTheme="minorHAnsi" w:cstheme="minorHAnsi"/>
          <w:sz w:val="24"/>
          <w:szCs w:val="24"/>
        </w:rPr>
        <w:t xml:space="preserve"> (ONS)</w:t>
      </w:r>
      <w:r w:rsidRPr="00DD6E2B">
        <w:rPr>
          <w:rFonts w:asciiTheme="minorHAnsi" w:hAnsiTheme="minorHAnsi" w:cstheme="minorHAnsi"/>
          <w:sz w:val="24"/>
          <w:szCs w:val="24"/>
        </w:rPr>
        <w:t xml:space="preserve">. </w:t>
      </w:r>
      <w:r w:rsidR="009C265C">
        <w:rPr>
          <w:rFonts w:asciiTheme="minorHAnsi" w:hAnsiTheme="minorHAnsi" w:cstheme="minorHAnsi"/>
          <w:sz w:val="24"/>
          <w:szCs w:val="24"/>
        </w:rPr>
        <w:t>W</w:t>
      </w:r>
      <w:r w:rsidR="00EF093A">
        <w:rPr>
          <w:rFonts w:asciiTheme="minorHAnsi" w:hAnsiTheme="minorHAnsi" w:cstheme="minorHAnsi"/>
          <w:sz w:val="24"/>
          <w:szCs w:val="24"/>
        </w:rPr>
        <w:t xml:space="preserve">e </w:t>
      </w:r>
      <w:r w:rsidRPr="00DD6E2B">
        <w:rPr>
          <w:rFonts w:asciiTheme="minorHAnsi" w:hAnsiTheme="minorHAnsi" w:cstheme="minorHAnsi"/>
          <w:sz w:val="24"/>
          <w:szCs w:val="24"/>
        </w:rPr>
        <w:t xml:space="preserve">measure </w:t>
      </w:r>
      <w:r w:rsidR="00BC149C" w:rsidRPr="00DD6E2B">
        <w:rPr>
          <w:rFonts w:asciiTheme="minorHAnsi" w:hAnsiTheme="minorHAnsi" w:cstheme="minorHAnsi"/>
          <w:sz w:val="24"/>
          <w:szCs w:val="24"/>
        </w:rPr>
        <w:t xml:space="preserve">the </w:t>
      </w:r>
      <w:r w:rsidR="00A423FA">
        <w:rPr>
          <w:rFonts w:asciiTheme="minorHAnsi" w:hAnsiTheme="minorHAnsi" w:cstheme="minorHAnsi"/>
          <w:sz w:val="24"/>
          <w:szCs w:val="24"/>
        </w:rPr>
        <w:t>availability</w:t>
      </w:r>
      <w:r w:rsidR="00A423FA" w:rsidRPr="00DD6E2B">
        <w:rPr>
          <w:rFonts w:asciiTheme="minorHAnsi" w:hAnsiTheme="minorHAnsi" w:cstheme="minorHAnsi"/>
          <w:sz w:val="24"/>
          <w:szCs w:val="24"/>
        </w:rPr>
        <w:t xml:space="preserve"> </w:t>
      </w:r>
      <w:r w:rsidR="00675A5D" w:rsidRPr="00DD6E2B">
        <w:rPr>
          <w:rFonts w:asciiTheme="minorHAnsi" w:hAnsiTheme="minorHAnsi" w:cstheme="minorHAnsi"/>
          <w:sz w:val="24"/>
          <w:szCs w:val="24"/>
        </w:rPr>
        <w:t>of</w:t>
      </w:r>
      <w:r w:rsidRPr="00DD6E2B">
        <w:rPr>
          <w:rFonts w:asciiTheme="minorHAnsi" w:hAnsiTheme="minorHAnsi" w:cstheme="minorHAnsi"/>
          <w:sz w:val="24"/>
          <w:szCs w:val="24"/>
        </w:rPr>
        <w:t xml:space="preserve"> </w:t>
      </w:r>
      <w:r w:rsidR="000B0C4E">
        <w:rPr>
          <w:rFonts w:asciiTheme="minorHAnsi" w:hAnsiTheme="minorHAnsi" w:cstheme="minorHAnsi"/>
          <w:sz w:val="24"/>
          <w:szCs w:val="24"/>
        </w:rPr>
        <w:t>social</w:t>
      </w:r>
      <w:r w:rsidRPr="00DD6E2B">
        <w:rPr>
          <w:rFonts w:asciiTheme="minorHAnsi" w:hAnsiTheme="minorHAnsi" w:cstheme="minorHAnsi"/>
          <w:sz w:val="24"/>
          <w:szCs w:val="24"/>
        </w:rPr>
        <w:t xml:space="preserve"> housing</w:t>
      </w:r>
      <w:r w:rsidR="00AD3905">
        <w:rPr>
          <w:rFonts w:asciiTheme="minorHAnsi" w:hAnsiTheme="minorHAnsi" w:cstheme="minorHAnsi"/>
          <w:sz w:val="24"/>
          <w:szCs w:val="24"/>
        </w:rPr>
        <w:t xml:space="preserve"> per capita</w:t>
      </w:r>
      <w:r w:rsidR="008F22E6" w:rsidRPr="00DD6E2B">
        <w:rPr>
          <w:rFonts w:asciiTheme="minorHAnsi" w:hAnsiTheme="minorHAnsi" w:cstheme="minorHAnsi"/>
          <w:sz w:val="24"/>
          <w:szCs w:val="24"/>
        </w:rPr>
        <w:t xml:space="preserve"> to represent the</w:t>
      </w:r>
      <w:r w:rsidR="00A64B58">
        <w:rPr>
          <w:rFonts w:asciiTheme="minorHAnsi" w:hAnsiTheme="minorHAnsi" w:cstheme="minorHAnsi"/>
          <w:sz w:val="24"/>
          <w:szCs w:val="24"/>
        </w:rPr>
        <w:t xml:space="preserve"> other side of </w:t>
      </w:r>
      <w:r w:rsidR="00D74351">
        <w:rPr>
          <w:rFonts w:asciiTheme="minorHAnsi" w:hAnsiTheme="minorHAnsi" w:cstheme="minorHAnsi"/>
          <w:sz w:val="24"/>
          <w:szCs w:val="24"/>
        </w:rPr>
        <w:t xml:space="preserve">housing </w:t>
      </w:r>
      <w:r w:rsidR="00F438E4">
        <w:rPr>
          <w:rFonts w:asciiTheme="minorHAnsi" w:hAnsiTheme="minorHAnsi" w:cstheme="minorHAnsi"/>
          <w:sz w:val="24"/>
          <w:szCs w:val="24"/>
        </w:rPr>
        <w:t>availability</w:t>
      </w:r>
      <w:r w:rsidR="00A64B58">
        <w:rPr>
          <w:rFonts w:asciiTheme="minorHAnsi" w:hAnsiTheme="minorHAnsi" w:cstheme="minorHAnsi"/>
          <w:sz w:val="24"/>
          <w:szCs w:val="24"/>
        </w:rPr>
        <w:t xml:space="preserve"> through public</w:t>
      </w:r>
      <w:r w:rsidR="002B2F75">
        <w:rPr>
          <w:rFonts w:asciiTheme="minorHAnsi" w:hAnsiTheme="minorHAnsi" w:cstheme="minorHAnsi"/>
          <w:sz w:val="24"/>
          <w:szCs w:val="24"/>
        </w:rPr>
        <w:t xml:space="preserve"> </w:t>
      </w:r>
      <w:r w:rsidR="00746A2C">
        <w:rPr>
          <w:rFonts w:asciiTheme="minorHAnsi" w:hAnsiTheme="minorHAnsi" w:cstheme="minorHAnsi"/>
          <w:sz w:val="24"/>
          <w:szCs w:val="24"/>
        </w:rPr>
        <w:t>provision</w:t>
      </w:r>
      <w:r w:rsidRPr="00DD6E2B">
        <w:rPr>
          <w:rFonts w:asciiTheme="minorHAnsi" w:hAnsiTheme="minorHAnsi" w:cstheme="minorHAnsi"/>
          <w:sz w:val="24"/>
          <w:szCs w:val="24"/>
        </w:rPr>
        <w:t xml:space="preserve"> by dividing the stock of social housing for each LAD </w:t>
      </w:r>
      <w:r w:rsidR="000F7161" w:rsidRPr="00DD6E2B">
        <w:rPr>
          <w:rFonts w:asciiTheme="minorHAnsi" w:hAnsiTheme="minorHAnsi" w:cstheme="minorHAnsi"/>
          <w:sz w:val="24"/>
          <w:szCs w:val="24"/>
        </w:rPr>
        <w:t>from the</w:t>
      </w:r>
      <w:r w:rsidR="004708C6" w:rsidRPr="00DD6E2B">
        <w:rPr>
          <w:rFonts w:asciiTheme="minorHAnsi" w:hAnsiTheme="minorHAnsi" w:cstheme="minorHAnsi"/>
          <w:sz w:val="24"/>
          <w:szCs w:val="24"/>
        </w:rPr>
        <w:t xml:space="preserve"> Ministry of Housing, Communities &amp; Local Government, </w:t>
      </w:r>
      <w:r w:rsidRPr="00DD6E2B">
        <w:rPr>
          <w:rFonts w:asciiTheme="minorHAnsi" w:hAnsiTheme="minorHAnsi" w:cstheme="minorHAnsi"/>
          <w:sz w:val="24"/>
          <w:szCs w:val="24"/>
        </w:rPr>
        <w:t>by the total number of adults aged 18 and over</w:t>
      </w:r>
      <w:r w:rsidR="00675A5D" w:rsidRPr="00DD6E2B">
        <w:rPr>
          <w:rFonts w:asciiTheme="minorHAnsi" w:hAnsiTheme="minorHAnsi" w:cstheme="minorHAnsi"/>
          <w:sz w:val="24"/>
          <w:szCs w:val="24"/>
        </w:rPr>
        <w:t xml:space="preserve"> </w:t>
      </w:r>
      <w:r w:rsidR="00C53840" w:rsidRPr="00DD6E2B">
        <w:rPr>
          <w:rFonts w:asciiTheme="minorHAnsi" w:hAnsiTheme="minorHAnsi" w:cstheme="minorHAnsi"/>
          <w:sz w:val="24"/>
          <w:szCs w:val="24"/>
        </w:rPr>
        <w:t xml:space="preserve">from the </w:t>
      </w:r>
      <w:r w:rsidR="00A04458" w:rsidRPr="00DD6E2B">
        <w:rPr>
          <w:rFonts w:asciiTheme="minorHAnsi" w:hAnsiTheme="minorHAnsi" w:cstheme="minorHAnsi"/>
          <w:sz w:val="24"/>
          <w:szCs w:val="24"/>
        </w:rPr>
        <w:t xml:space="preserve">ONS </w:t>
      </w:r>
      <w:r w:rsidR="00C53840" w:rsidRPr="00DD6E2B">
        <w:rPr>
          <w:rFonts w:asciiTheme="minorHAnsi" w:hAnsiTheme="minorHAnsi" w:cstheme="minorHAnsi"/>
          <w:sz w:val="24"/>
          <w:szCs w:val="24"/>
        </w:rPr>
        <w:t>estimates</w:t>
      </w:r>
      <w:r w:rsidRPr="00DD6E2B">
        <w:rPr>
          <w:rFonts w:asciiTheme="minorHAnsi" w:hAnsiTheme="minorHAnsi" w:cstheme="minorHAnsi"/>
          <w:sz w:val="24"/>
          <w:szCs w:val="24"/>
        </w:rPr>
        <w:t>.</w:t>
      </w:r>
    </w:p>
    <w:p w14:paraId="3DC92B42" w14:textId="4170F02A" w:rsidR="002B793F" w:rsidRPr="00FA4E70" w:rsidRDefault="002B793F" w:rsidP="00CD0462">
      <w:pPr>
        <w:rPr>
          <w:rFonts w:asciiTheme="minorHAnsi" w:hAnsiTheme="minorHAnsi" w:cstheme="minorHAnsi"/>
          <w:sz w:val="24"/>
          <w:szCs w:val="24"/>
        </w:rPr>
      </w:pPr>
      <w:r w:rsidRPr="00FA4E70">
        <w:rPr>
          <w:rFonts w:asciiTheme="minorHAnsi" w:hAnsiTheme="minorHAnsi" w:cstheme="minorHAnsi"/>
          <w:sz w:val="24"/>
          <w:szCs w:val="24"/>
        </w:rPr>
        <w:t xml:space="preserve">The UK has a growing </w:t>
      </w:r>
      <w:r w:rsidR="00A36059" w:rsidRPr="00FA4E70">
        <w:rPr>
          <w:rFonts w:asciiTheme="minorHAnsi" w:hAnsiTheme="minorHAnsi" w:cstheme="minorHAnsi"/>
          <w:sz w:val="24"/>
          <w:szCs w:val="24"/>
        </w:rPr>
        <w:t xml:space="preserve">number of </w:t>
      </w:r>
      <w:r w:rsidRPr="00FA4E70">
        <w:rPr>
          <w:rFonts w:asciiTheme="minorHAnsi" w:hAnsiTheme="minorHAnsi" w:cstheme="minorHAnsi"/>
          <w:sz w:val="24"/>
          <w:szCs w:val="24"/>
        </w:rPr>
        <w:t>second (and third) generation Black and Asian teenagers</w:t>
      </w:r>
      <w:r w:rsidR="00675A5D" w:rsidRPr="00FA4E70">
        <w:rPr>
          <w:rFonts w:asciiTheme="minorHAnsi" w:hAnsiTheme="minorHAnsi" w:cstheme="minorHAnsi"/>
          <w:sz w:val="24"/>
          <w:szCs w:val="24"/>
        </w:rPr>
        <w:t>.</w:t>
      </w:r>
      <w:r w:rsidRPr="00FA4E70">
        <w:rPr>
          <w:rFonts w:asciiTheme="minorHAnsi" w:hAnsiTheme="minorHAnsi" w:cstheme="minorHAnsi"/>
          <w:sz w:val="24"/>
          <w:szCs w:val="24"/>
        </w:rPr>
        <w:t xml:space="preserve"> To examine</w:t>
      </w:r>
      <w:r w:rsidR="00463172" w:rsidRPr="00FA4E70">
        <w:rPr>
          <w:rFonts w:asciiTheme="minorHAnsi" w:hAnsiTheme="minorHAnsi" w:cstheme="minorHAnsi"/>
          <w:sz w:val="24"/>
          <w:szCs w:val="24"/>
        </w:rPr>
        <w:t xml:space="preserve"> </w:t>
      </w:r>
      <w:r w:rsidR="004F0A9C" w:rsidRPr="00FA4E70">
        <w:rPr>
          <w:rFonts w:asciiTheme="minorHAnsi" w:hAnsiTheme="minorHAnsi" w:cstheme="minorHAnsi"/>
          <w:sz w:val="24"/>
          <w:szCs w:val="24"/>
        </w:rPr>
        <w:t xml:space="preserve">the </w:t>
      </w:r>
      <w:r w:rsidRPr="00FA4E70">
        <w:rPr>
          <w:rFonts w:asciiTheme="minorHAnsi" w:hAnsiTheme="minorHAnsi" w:cstheme="minorHAnsi"/>
          <w:sz w:val="24"/>
          <w:szCs w:val="24"/>
        </w:rPr>
        <w:t xml:space="preserve">ethnic diversity of teenagers in </w:t>
      </w:r>
      <w:proofErr w:type="spellStart"/>
      <w:r w:rsidRPr="00FA4E70">
        <w:rPr>
          <w:rFonts w:asciiTheme="minorHAnsi" w:hAnsiTheme="minorHAnsi" w:cstheme="minorHAnsi"/>
          <w:sz w:val="24"/>
          <w:szCs w:val="24"/>
        </w:rPr>
        <w:t>LAD</w:t>
      </w:r>
      <w:r w:rsidR="000E711F" w:rsidRPr="00FA4E70">
        <w:rPr>
          <w:rFonts w:asciiTheme="minorHAnsi" w:hAnsiTheme="minorHAnsi" w:cstheme="minorHAnsi"/>
          <w:sz w:val="24"/>
          <w:szCs w:val="24"/>
        </w:rPr>
        <w:t>s</w:t>
      </w:r>
      <w:proofErr w:type="spellEnd"/>
      <w:r w:rsidRPr="00FA4E70">
        <w:rPr>
          <w:rFonts w:asciiTheme="minorHAnsi" w:hAnsiTheme="minorHAnsi" w:cstheme="minorHAnsi"/>
          <w:sz w:val="24"/>
          <w:szCs w:val="24"/>
        </w:rPr>
        <w:t xml:space="preserve">, rather than </w:t>
      </w:r>
      <w:r w:rsidR="000E711F" w:rsidRPr="00FA4E70">
        <w:rPr>
          <w:rFonts w:asciiTheme="minorHAnsi" w:hAnsiTheme="minorHAnsi" w:cstheme="minorHAnsi"/>
          <w:sz w:val="24"/>
          <w:szCs w:val="24"/>
        </w:rPr>
        <w:t xml:space="preserve">completely </w:t>
      </w:r>
      <w:r w:rsidRPr="00FA4E70">
        <w:rPr>
          <w:rFonts w:asciiTheme="minorHAnsi" w:hAnsiTheme="minorHAnsi" w:cstheme="minorHAnsi"/>
          <w:sz w:val="24"/>
          <w:szCs w:val="24"/>
        </w:rPr>
        <w:t>grouping non-White populations, we utilise individual percentages of Black (Black Caribbean, Black African, Black British, and Black Other), and South Asian (Pakistani,</w:t>
      </w:r>
      <w:r w:rsidRPr="00FA4E70">
        <w:rPr>
          <w:rFonts w:asciiTheme="minorHAnsi" w:hAnsiTheme="minorHAnsi" w:cstheme="minorHAnsi"/>
          <w:spacing w:val="-16"/>
          <w:sz w:val="24"/>
          <w:szCs w:val="24"/>
        </w:rPr>
        <w:t xml:space="preserve"> </w:t>
      </w:r>
      <w:r w:rsidRPr="00FA4E70">
        <w:rPr>
          <w:rFonts w:asciiTheme="minorHAnsi" w:hAnsiTheme="minorHAnsi" w:cstheme="minorHAnsi"/>
          <w:sz w:val="24"/>
          <w:szCs w:val="24"/>
        </w:rPr>
        <w:t>Bangladeshi,</w:t>
      </w:r>
      <w:r w:rsidRPr="00FA4E70">
        <w:rPr>
          <w:rFonts w:asciiTheme="minorHAnsi" w:hAnsiTheme="minorHAnsi" w:cstheme="minorHAnsi"/>
          <w:spacing w:val="-16"/>
          <w:sz w:val="24"/>
          <w:szCs w:val="24"/>
        </w:rPr>
        <w:t xml:space="preserve"> </w:t>
      </w:r>
      <w:r w:rsidRPr="00FA4E70">
        <w:rPr>
          <w:rFonts w:asciiTheme="minorHAnsi" w:hAnsiTheme="minorHAnsi" w:cstheme="minorHAnsi"/>
          <w:sz w:val="24"/>
          <w:szCs w:val="24"/>
        </w:rPr>
        <w:t>and</w:t>
      </w:r>
      <w:r w:rsidRPr="00FA4E70">
        <w:rPr>
          <w:rFonts w:asciiTheme="minorHAnsi" w:hAnsiTheme="minorHAnsi" w:cstheme="minorHAnsi"/>
          <w:spacing w:val="-12"/>
          <w:sz w:val="24"/>
          <w:szCs w:val="24"/>
        </w:rPr>
        <w:t xml:space="preserve"> </w:t>
      </w:r>
      <w:r w:rsidRPr="00FA4E70">
        <w:rPr>
          <w:rFonts w:asciiTheme="minorHAnsi" w:hAnsiTheme="minorHAnsi" w:cstheme="minorHAnsi"/>
          <w:sz w:val="24"/>
          <w:szCs w:val="24"/>
        </w:rPr>
        <w:t>Indian)</w:t>
      </w:r>
      <w:r w:rsidRPr="00FA4E70">
        <w:rPr>
          <w:rFonts w:asciiTheme="minorHAnsi" w:hAnsiTheme="minorHAnsi" w:cstheme="minorHAnsi"/>
          <w:spacing w:val="-18"/>
          <w:sz w:val="24"/>
          <w:szCs w:val="24"/>
        </w:rPr>
        <w:t xml:space="preserve"> </w:t>
      </w:r>
      <w:r w:rsidRPr="00FA4E70">
        <w:rPr>
          <w:rFonts w:asciiTheme="minorHAnsi" w:hAnsiTheme="minorHAnsi" w:cstheme="minorHAnsi"/>
          <w:sz w:val="24"/>
          <w:szCs w:val="24"/>
        </w:rPr>
        <w:t>pupils within state-funded secondary schools. Th</w:t>
      </w:r>
      <w:r w:rsidR="00580345" w:rsidRPr="00FA4E70">
        <w:rPr>
          <w:rFonts w:asciiTheme="minorHAnsi" w:hAnsiTheme="minorHAnsi" w:cstheme="minorHAnsi"/>
          <w:sz w:val="24"/>
          <w:szCs w:val="24"/>
        </w:rPr>
        <w:t>e</w:t>
      </w:r>
      <w:r w:rsidRPr="00FA4E70">
        <w:rPr>
          <w:rFonts w:asciiTheme="minorHAnsi" w:hAnsiTheme="minorHAnsi" w:cstheme="minorHAnsi"/>
          <w:sz w:val="24"/>
          <w:szCs w:val="24"/>
        </w:rPr>
        <w:t>s</w:t>
      </w:r>
      <w:r w:rsidR="00580345" w:rsidRPr="00FA4E70">
        <w:rPr>
          <w:rFonts w:asciiTheme="minorHAnsi" w:hAnsiTheme="minorHAnsi" w:cstheme="minorHAnsi"/>
          <w:sz w:val="24"/>
          <w:szCs w:val="24"/>
        </w:rPr>
        <w:t>e</w:t>
      </w:r>
      <w:r w:rsidRPr="00FA4E70">
        <w:rPr>
          <w:rFonts w:asciiTheme="minorHAnsi" w:hAnsiTheme="minorHAnsi" w:cstheme="minorHAnsi"/>
          <w:sz w:val="24"/>
          <w:szCs w:val="24"/>
        </w:rPr>
        <w:t xml:space="preserve"> measure</w:t>
      </w:r>
      <w:r w:rsidR="00580345" w:rsidRPr="00FA4E70">
        <w:rPr>
          <w:rFonts w:asciiTheme="minorHAnsi" w:hAnsiTheme="minorHAnsi" w:cstheme="minorHAnsi"/>
          <w:sz w:val="24"/>
          <w:szCs w:val="24"/>
        </w:rPr>
        <w:t>s</w:t>
      </w:r>
      <w:r w:rsidRPr="00FA4E70">
        <w:rPr>
          <w:rFonts w:asciiTheme="minorHAnsi" w:hAnsiTheme="minorHAnsi" w:cstheme="minorHAnsi"/>
          <w:sz w:val="24"/>
          <w:szCs w:val="24"/>
        </w:rPr>
        <w:t xml:space="preserve"> </w:t>
      </w:r>
      <w:r w:rsidR="00580345" w:rsidRPr="00FA4E70">
        <w:rPr>
          <w:rFonts w:asciiTheme="minorHAnsi" w:hAnsiTheme="minorHAnsi" w:cstheme="minorHAnsi"/>
          <w:sz w:val="24"/>
          <w:szCs w:val="24"/>
        </w:rPr>
        <w:t>are</w:t>
      </w:r>
      <w:r w:rsidRPr="00FA4E70">
        <w:rPr>
          <w:rFonts w:asciiTheme="minorHAnsi" w:hAnsiTheme="minorHAnsi" w:cstheme="minorHAnsi"/>
          <w:sz w:val="24"/>
          <w:szCs w:val="24"/>
        </w:rPr>
        <w:t xml:space="preserve"> collected annually and so, unlike previous work, our models can control for year-on-year ethnic composition changes. </w:t>
      </w:r>
      <w:r w:rsidR="00CA5973" w:rsidRPr="00FA4E70">
        <w:rPr>
          <w:rFonts w:asciiTheme="minorHAnsi" w:hAnsiTheme="minorHAnsi" w:cstheme="minorHAnsi"/>
          <w:sz w:val="24"/>
          <w:szCs w:val="24"/>
        </w:rPr>
        <w:t>A sensitivity analysis compared the</w:t>
      </w:r>
      <w:r w:rsidR="000D19D7" w:rsidRPr="00FA4E70">
        <w:rPr>
          <w:rFonts w:asciiTheme="minorHAnsi" w:hAnsiTheme="minorHAnsi" w:cstheme="minorHAnsi"/>
          <w:sz w:val="24"/>
          <w:szCs w:val="24"/>
        </w:rPr>
        <w:t>se</w:t>
      </w:r>
      <w:r w:rsidR="00CA5973" w:rsidRPr="00FA4E70">
        <w:rPr>
          <w:rFonts w:asciiTheme="minorHAnsi" w:hAnsiTheme="minorHAnsi" w:cstheme="minorHAnsi"/>
          <w:sz w:val="24"/>
          <w:szCs w:val="24"/>
        </w:rPr>
        <w:t xml:space="preserve"> state-funded ethnic composition variables to the 2011 Census resident teenage ethnic composition and found high correlation. </w:t>
      </w:r>
    </w:p>
    <w:p w14:paraId="7E9A1A1D" w14:textId="1776E9CF" w:rsidR="002B793F" w:rsidRDefault="002B793F" w:rsidP="00CD0462">
      <w:pPr>
        <w:rPr>
          <w:rFonts w:asciiTheme="minorHAnsi" w:hAnsiTheme="minorHAnsi" w:cstheme="minorHAnsi"/>
          <w:sz w:val="24"/>
          <w:szCs w:val="24"/>
        </w:rPr>
      </w:pPr>
      <w:r w:rsidRPr="005851B6">
        <w:rPr>
          <w:rFonts w:asciiTheme="minorHAnsi" w:hAnsiTheme="minorHAnsi" w:cstheme="minorHAnsi"/>
          <w:sz w:val="24"/>
          <w:szCs w:val="24"/>
        </w:rPr>
        <w:lastRenderedPageBreak/>
        <w:t>To control for</w:t>
      </w:r>
      <w:r w:rsidR="00CA5973" w:rsidRPr="005851B6">
        <w:rPr>
          <w:rFonts w:asciiTheme="minorHAnsi" w:hAnsiTheme="minorHAnsi" w:cstheme="minorHAnsi"/>
          <w:sz w:val="24"/>
          <w:szCs w:val="24"/>
        </w:rPr>
        <w:t xml:space="preserve"> </w:t>
      </w:r>
      <w:r w:rsidRPr="005851B6">
        <w:rPr>
          <w:rFonts w:asciiTheme="minorHAnsi" w:hAnsiTheme="minorHAnsi" w:cstheme="minorHAnsi"/>
          <w:sz w:val="24"/>
          <w:szCs w:val="24"/>
        </w:rPr>
        <w:t xml:space="preserve">the TPS, we use the local amounts of TPS funding </w:t>
      </w:r>
      <w:r w:rsidRPr="00FC3349">
        <w:rPr>
          <w:rFonts w:asciiTheme="minorHAnsi" w:hAnsiTheme="minorHAnsi" w:cstheme="minorHAnsi"/>
          <w:sz w:val="24"/>
          <w:szCs w:val="24"/>
        </w:rPr>
        <w:t xml:space="preserve">from 1999 to 2010 (made available </w:t>
      </w:r>
      <w:r w:rsidR="00BF1BFB" w:rsidRPr="00FC3349">
        <w:rPr>
          <w:rFonts w:asciiTheme="minorHAnsi" w:hAnsiTheme="minorHAnsi" w:cstheme="minorHAnsi"/>
          <w:sz w:val="24"/>
          <w:szCs w:val="24"/>
        </w:rPr>
        <w:t xml:space="preserve">to us </w:t>
      </w:r>
      <w:r w:rsidRPr="00FC3349">
        <w:rPr>
          <w:rFonts w:asciiTheme="minorHAnsi" w:hAnsiTheme="minorHAnsi" w:cstheme="minorHAnsi"/>
          <w:sz w:val="24"/>
          <w:szCs w:val="24"/>
        </w:rPr>
        <w:t>by the Department for Education) by creating annual per head amounts from dividing by the female 13</w:t>
      </w:r>
      <w:r w:rsidR="0093074F" w:rsidRPr="00FC3349">
        <w:rPr>
          <w:rFonts w:asciiTheme="minorHAnsi" w:hAnsiTheme="minorHAnsi" w:cstheme="minorHAnsi"/>
          <w:sz w:val="24"/>
          <w:szCs w:val="24"/>
        </w:rPr>
        <w:t xml:space="preserve"> to </w:t>
      </w:r>
      <w:r w:rsidRPr="00FC3349">
        <w:rPr>
          <w:rFonts w:asciiTheme="minorHAnsi" w:hAnsiTheme="minorHAnsi" w:cstheme="minorHAnsi"/>
          <w:sz w:val="24"/>
          <w:szCs w:val="24"/>
        </w:rPr>
        <w:t>17 year</w:t>
      </w:r>
      <w:r w:rsidR="0093074F" w:rsidRPr="00FC3349">
        <w:rPr>
          <w:rFonts w:asciiTheme="minorHAnsi" w:hAnsiTheme="minorHAnsi" w:cstheme="minorHAnsi"/>
          <w:sz w:val="24"/>
          <w:szCs w:val="24"/>
        </w:rPr>
        <w:t>-old</w:t>
      </w:r>
      <w:r w:rsidR="001C19E4" w:rsidRPr="00FC3349">
        <w:rPr>
          <w:rFonts w:asciiTheme="minorHAnsi" w:hAnsiTheme="minorHAnsi" w:cstheme="minorHAnsi"/>
          <w:sz w:val="24"/>
          <w:szCs w:val="24"/>
        </w:rPr>
        <w:t xml:space="preserve"> </w:t>
      </w:r>
      <w:r w:rsidR="00A00BD5" w:rsidRPr="00FC3349">
        <w:rPr>
          <w:rFonts w:asciiTheme="minorHAnsi" w:hAnsiTheme="minorHAnsi" w:cstheme="minorHAnsi"/>
          <w:sz w:val="24"/>
          <w:szCs w:val="24"/>
        </w:rPr>
        <w:t xml:space="preserve">population </w:t>
      </w:r>
      <w:r w:rsidR="00EC1EB8" w:rsidRPr="00FC3349">
        <w:rPr>
          <w:rFonts w:asciiTheme="minorHAnsi" w:hAnsiTheme="minorHAnsi" w:cstheme="minorHAnsi"/>
          <w:sz w:val="24"/>
          <w:szCs w:val="24"/>
        </w:rPr>
        <w:t xml:space="preserve">estimates by the </w:t>
      </w:r>
      <w:r w:rsidR="00A04458" w:rsidRPr="00FC3349">
        <w:rPr>
          <w:rFonts w:asciiTheme="minorHAnsi" w:hAnsiTheme="minorHAnsi" w:cstheme="minorHAnsi"/>
          <w:sz w:val="24"/>
          <w:szCs w:val="24"/>
        </w:rPr>
        <w:t>ONS</w:t>
      </w:r>
      <w:r w:rsidRPr="00FC3349">
        <w:rPr>
          <w:rFonts w:asciiTheme="minorHAnsi" w:hAnsiTheme="minorHAnsi" w:cstheme="minorHAnsi"/>
          <w:sz w:val="24"/>
          <w:szCs w:val="24"/>
        </w:rPr>
        <w:t>.</w:t>
      </w:r>
      <w:r w:rsidR="00B8057C" w:rsidRPr="00FC3349">
        <w:rPr>
          <w:rFonts w:asciiTheme="minorHAnsi" w:hAnsiTheme="minorHAnsi" w:cstheme="minorHAnsi"/>
          <w:sz w:val="24"/>
          <w:szCs w:val="24"/>
        </w:rPr>
        <w:t xml:space="preserve"> </w:t>
      </w:r>
      <w:r w:rsidRPr="00FC3349">
        <w:rPr>
          <w:rFonts w:asciiTheme="minorHAnsi" w:hAnsiTheme="minorHAnsi" w:cstheme="minorHAnsi"/>
          <w:sz w:val="24"/>
          <w:szCs w:val="24"/>
        </w:rPr>
        <w:t xml:space="preserve">Due to the lack of data on local authority funding dedicated to teenage pregnancy reduction after the official ending of the TPS, the values for 2011-2017 are coded as zero (although it is acknowledged local spending may have continued in certain areas). </w:t>
      </w:r>
      <w:r w:rsidR="001C19E4" w:rsidRPr="00FC3349">
        <w:rPr>
          <w:rFonts w:asciiTheme="minorHAnsi" w:hAnsiTheme="minorHAnsi" w:cstheme="minorHAnsi"/>
          <w:sz w:val="24"/>
          <w:szCs w:val="24"/>
        </w:rPr>
        <w:t xml:space="preserve">No </w:t>
      </w:r>
      <w:r w:rsidR="0055330C" w:rsidRPr="00FC3349">
        <w:rPr>
          <w:rFonts w:asciiTheme="minorHAnsi" w:hAnsiTheme="minorHAnsi" w:cstheme="minorHAnsi"/>
          <w:sz w:val="24"/>
          <w:szCs w:val="24"/>
        </w:rPr>
        <w:t>data</w:t>
      </w:r>
      <w:r w:rsidR="001C19E4" w:rsidRPr="00FC3349">
        <w:rPr>
          <w:rFonts w:asciiTheme="minorHAnsi" w:hAnsiTheme="minorHAnsi" w:cstheme="minorHAnsi"/>
          <w:sz w:val="24"/>
          <w:szCs w:val="24"/>
        </w:rPr>
        <w:t xml:space="preserve"> is available at the LAD level </w:t>
      </w:r>
      <w:r w:rsidR="00E5445B" w:rsidRPr="00FC3349">
        <w:rPr>
          <w:rFonts w:asciiTheme="minorHAnsi" w:hAnsiTheme="minorHAnsi" w:cstheme="minorHAnsi"/>
          <w:sz w:val="24"/>
          <w:szCs w:val="24"/>
        </w:rPr>
        <w:t>about</w:t>
      </w:r>
      <w:r w:rsidRPr="00FC3349">
        <w:rPr>
          <w:rFonts w:asciiTheme="minorHAnsi" w:hAnsiTheme="minorHAnsi" w:cstheme="minorHAnsi"/>
          <w:sz w:val="24"/>
          <w:szCs w:val="24"/>
        </w:rPr>
        <w:t xml:space="preserve"> frequency of sexual intercourse, quality of sexual education, </w:t>
      </w:r>
      <w:r w:rsidR="0040546D" w:rsidRPr="00FC3349">
        <w:rPr>
          <w:rFonts w:asciiTheme="minorHAnsi" w:hAnsiTheme="minorHAnsi" w:cstheme="minorHAnsi"/>
          <w:sz w:val="24"/>
          <w:szCs w:val="24"/>
        </w:rPr>
        <w:t>or</w:t>
      </w:r>
      <w:r w:rsidRPr="00FC3349">
        <w:rPr>
          <w:rFonts w:asciiTheme="minorHAnsi" w:hAnsiTheme="minorHAnsi" w:cstheme="minorHAnsi"/>
          <w:sz w:val="24"/>
          <w:szCs w:val="24"/>
        </w:rPr>
        <w:t xml:space="preserve"> </w:t>
      </w:r>
      <w:r w:rsidR="00B8057C" w:rsidRPr="00FC3349">
        <w:rPr>
          <w:rFonts w:asciiTheme="minorHAnsi" w:hAnsiTheme="minorHAnsi" w:cstheme="minorHAnsi"/>
          <w:sz w:val="24"/>
          <w:szCs w:val="24"/>
        </w:rPr>
        <w:t xml:space="preserve">teenage-specific </w:t>
      </w:r>
      <w:r w:rsidRPr="00FC3349">
        <w:rPr>
          <w:rFonts w:asciiTheme="minorHAnsi" w:hAnsiTheme="minorHAnsi" w:cstheme="minorHAnsi"/>
          <w:sz w:val="24"/>
          <w:szCs w:val="24"/>
        </w:rPr>
        <w:t xml:space="preserve">contraceptive use. </w:t>
      </w:r>
    </w:p>
    <w:p w14:paraId="47F45E6D" w14:textId="0A013CB7" w:rsidR="009E6D3D" w:rsidRPr="009E6D3D" w:rsidRDefault="006F34DA" w:rsidP="00CD0462">
      <w:pPr>
        <w:rPr>
          <w:rFonts w:asciiTheme="minorHAnsi" w:hAnsiTheme="minorHAnsi" w:cstheme="minorHAnsi"/>
          <w:sz w:val="24"/>
          <w:szCs w:val="24"/>
        </w:rPr>
      </w:pPr>
      <w:r w:rsidRPr="006F34DA">
        <w:rPr>
          <w:rFonts w:asciiTheme="minorHAnsi" w:hAnsiTheme="minorHAnsi" w:cstheme="minorHAnsi"/>
          <w:sz w:val="24"/>
          <w:szCs w:val="24"/>
        </w:rPr>
        <w:t xml:space="preserve">The time periods represent the different phases of teenage conception rate decline and the TPS. The baseline year, 1998, is </w:t>
      </w:r>
      <w:r w:rsidR="009F6CE3">
        <w:rPr>
          <w:rFonts w:asciiTheme="minorHAnsi" w:hAnsiTheme="minorHAnsi" w:cstheme="minorHAnsi"/>
          <w:sz w:val="24"/>
          <w:szCs w:val="24"/>
        </w:rPr>
        <w:t>pre-</w:t>
      </w:r>
      <w:r w:rsidRPr="006F34DA">
        <w:rPr>
          <w:rFonts w:asciiTheme="minorHAnsi" w:hAnsiTheme="minorHAnsi" w:cstheme="minorHAnsi"/>
          <w:sz w:val="24"/>
          <w:szCs w:val="24"/>
        </w:rPr>
        <w:t>TPS and needs to be separate due to having zero values for the TPS funding. The subsequent categories are from 1999 to 2005, 2006 to 2010, and 2011 to 2017. The cut-off point, 2005, was chosen because of the more rapid decline in the late 2010s and to represent the second-half of the TPS after the mid-course review in 2005 where intervention</w:t>
      </w:r>
      <w:r w:rsidR="00A930C9">
        <w:rPr>
          <w:rFonts w:asciiTheme="minorHAnsi" w:hAnsiTheme="minorHAnsi" w:cstheme="minorHAnsi"/>
          <w:sz w:val="24"/>
          <w:szCs w:val="24"/>
        </w:rPr>
        <w:t xml:space="preserve">s occurred </w:t>
      </w:r>
      <w:r w:rsidRPr="006F34DA">
        <w:rPr>
          <w:rFonts w:asciiTheme="minorHAnsi" w:hAnsiTheme="minorHAnsi" w:cstheme="minorHAnsi"/>
          <w:sz w:val="24"/>
          <w:szCs w:val="24"/>
        </w:rPr>
        <w:t xml:space="preserve">in areas not achieving their targets (Author, et al, 2017). </w:t>
      </w:r>
      <w:r w:rsidR="006B240C">
        <w:rPr>
          <w:rFonts w:asciiTheme="minorHAnsi" w:hAnsiTheme="minorHAnsi" w:cstheme="minorHAnsi"/>
          <w:sz w:val="24"/>
          <w:szCs w:val="24"/>
        </w:rPr>
        <w:t>Post-</w:t>
      </w:r>
      <w:r w:rsidR="006F4197">
        <w:rPr>
          <w:rFonts w:asciiTheme="minorHAnsi" w:hAnsiTheme="minorHAnsi" w:cstheme="minorHAnsi"/>
          <w:sz w:val="24"/>
          <w:szCs w:val="24"/>
        </w:rPr>
        <w:t>TPS</w:t>
      </w:r>
      <w:r w:rsidR="009E6D3D">
        <w:rPr>
          <w:rFonts w:asciiTheme="minorHAnsi" w:hAnsiTheme="minorHAnsi" w:cstheme="minorHAnsi"/>
          <w:sz w:val="24"/>
          <w:szCs w:val="24"/>
        </w:rPr>
        <w:t xml:space="preserve"> </w:t>
      </w:r>
      <w:r w:rsidR="006B240C">
        <w:rPr>
          <w:rFonts w:asciiTheme="minorHAnsi" w:hAnsiTheme="minorHAnsi" w:cstheme="minorHAnsi"/>
          <w:sz w:val="24"/>
          <w:szCs w:val="24"/>
        </w:rPr>
        <w:t xml:space="preserve">is represented </w:t>
      </w:r>
      <w:r w:rsidR="00CE23D8">
        <w:rPr>
          <w:rFonts w:asciiTheme="minorHAnsi" w:hAnsiTheme="minorHAnsi" w:cstheme="minorHAnsi"/>
          <w:sz w:val="24"/>
          <w:szCs w:val="24"/>
        </w:rPr>
        <w:t xml:space="preserve">by </w:t>
      </w:r>
      <w:r w:rsidR="006F4197">
        <w:rPr>
          <w:rFonts w:asciiTheme="minorHAnsi" w:hAnsiTheme="minorHAnsi" w:cstheme="minorHAnsi"/>
          <w:sz w:val="24"/>
          <w:szCs w:val="24"/>
        </w:rPr>
        <w:t>2011 to 2017.</w:t>
      </w:r>
      <w:r w:rsidR="00FC3349">
        <w:rPr>
          <w:rFonts w:asciiTheme="minorHAnsi" w:hAnsiTheme="minorHAnsi" w:cstheme="minorHAnsi"/>
          <w:sz w:val="24"/>
          <w:szCs w:val="24"/>
        </w:rPr>
        <w:t xml:space="preserve"> </w:t>
      </w:r>
    </w:p>
    <w:p w14:paraId="1F5E0A52" w14:textId="77777777" w:rsidR="004F0A9C" w:rsidRPr="009E6D3D" w:rsidRDefault="004F0A9C" w:rsidP="00CD0462">
      <w:pPr>
        <w:rPr>
          <w:rFonts w:asciiTheme="minorHAnsi" w:hAnsiTheme="minorHAnsi" w:cstheme="minorHAnsi"/>
          <w:b/>
          <w:sz w:val="24"/>
          <w:szCs w:val="24"/>
        </w:rPr>
      </w:pPr>
    </w:p>
    <w:p w14:paraId="23870036" w14:textId="53668736" w:rsidR="002B793F" w:rsidRPr="00846EE2" w:rsidRDefault="002B793F" w:rsidP="00CD0462">
      <w:pPr>
        <w:rPr>
          <w:rFonts w:asciiTheme="minorHAnsi" w:hAnsiTheme="minorHAnsi" w:cstheme="minorHAnsi"/>
          <w:b/>
          <w:sz w:val="24"/>
          <w:szCs w:val="24"/>
        </w:rPr>
      </w:pPr>
      <w:r w:rsidRPr="00FC3349">
        <w:rPr>
          <w:rFonts w:asciiTheme="minorHAnsi" w:hAnsiTheme="minorHAnsi" w:cstheme="minorHAnsi"/>
          <w:b/>
          <w:sz w:val="24"/>
          <w:szCs w:val="24"/>
        </w:rPr>
        <w:t>Analytical stra</w:t>
      </w:r>
      <w:r w:rsidRPr="00846EE2">
        <w:rPr>
          <w:rFonts w:asciiTheme="minorHAnsi" w:hAnsiTheme="minorHAnsi" w:cstheme="minorHAnsi"/>
          <w:b/>
          <w:sz w:val="24"/>
          <w:szCs w:val="24"/>
        </w:rPr>
        <w:t>tegy</w:t>
      </w:r>
    </w:p>
    <w:p w14:paraId="3A058A60" w14:textId="5EEE096F" w:rsidR="001800D8" w:rsidRDefault="00C067FE" w:rsidP="001C19E4">
      <w:pPr>
        <w:rPr>
          <w:rFonts w:asciiTheme="minorHAnsi" w:hAnsiTheme="minorHAnsi" w:cstheme="minorHAnsi"/>
          <w:sz w:val="24"/>
          <w:szCs w:val="24"/>
        </w:rPr>
      </w:pPr>
      <w:r w:rsidRPr="00201A11">
        <w:rPr>
          <w:rFonts w:asciiTheme="minorHAnsi" w:hAnsiTheme="minorHAnsi" w:cstheme="minorHAnsi"/>
          <w:sz w:val="24"/>
          <w:szCs w:val="24"/>
        </w:rPr>
        <w:t>This work was exempt from ethical approval, per the University of</w:t>
      </w:r>
      <w:r w:rsidR="0096599D">
        <w:rPr>
          <w:rFonts w:asciiTheme="minorHAnsi" w:hAnsiTheme="minorHAnsi" w:cstheme="minorHAnsi"/>
          <w:sz w:val="24"/>
          <w:szCs w:val="24"/>
        </w:rPr>
        <w:t xml:space="preserve"> </w:t>
      </w:r>
      <w:r w:rsidR="000C3BC3">
        <w:rPr>
          <w:rFonts w:asciiTheme="minorHAnsi" w:hAnsiTheme="minorHAnsi" w:cstheme="minorHAnsi"/>
          <w:sz w:val="24"/>
          <w:szCs w:val="24"/>
        </w:rPr>
        <w:t>X</w:t>
      </w:r>
      <w:r w:rsidRPr="00201A11">
        <w:rPr>
          <w:rFonts w:asciiTheme="minorHAnsi" w:hAnsiTheme="minorHAnsi" w:cstheme="minorHAnsi"/>
          <w:sz w:val="24"/>
          <w:szCs w:val="24"/>
        </w:rPr>
        <w:t xml:space="preserve"> ethical regulations</w:t>
      </w:r>
      <w:r w:rsidR="0057406F" w:rsidRPr="007B5855">
        <w:rPr>
          <w:rFonts w:asciiTheme="minorHAnsi" w:hAnsiTheme="minorHAnsi" w:cstheme="minorHAnsi"/>
          <w:sz w:val="24"/>
          <w:szCs w:val="24"/>
        </w:rPr>
        <w:t xml:space="preserve">, </w:t>
      </w:r>
      <w:r w:rsidRPr="00B869F5">
        <w:rPr>
          <w:rFonts w:asciiTheme="minorHAnsi" w:hAnsiTheme="minorHAnsi" w:cstheme="minorHAnsi"/>
          <w:sz w:val="24"/>
          <w:szCs w:val="24"/>
        </w:rPr>
        <w:t xml:space="preserve">due to the aggregate </w:t>
      </w:r>
      <w:r w:rsidR="00CC14FE" w:rsidRPr="00B869F5">
        <w:rPr>
          <w:rFonts w:asciiTheme="minorHAnsi" w:hAnsiTheme="minorHAnsi" w:cstheme="minorHAnsi"/>
          <w:sz w:val="24"/>
          <w:szCs w:val="24"/>
        </w:rPr>
        <w:t>data</w:t>
      </w:r>
      <w:r w:rsidR="0057406F" w:rsidRPr="00B869F5">
        <w:rPr>
          <w:rFonts w:asciiTheme="minorHAnsi" w:hAnsiTheme="minorHAnsi" w:cstheme="minorHAnsi"/>
          <w:sz w:val="24"/>
          <w:szCs w:val="24"/>
        </w:rPr>
        <w:t xml:space="preserve">. </w:t>
      </w:r>
      <w:r w:rsidR="00EE2E27" w:rsidRPr="00EE2E27">
        <w:rPr>
          <w:rFonts w:asciiTheme="minorHAnsi" w:hAnsiTheme="minorHAnsi" w:cstheme="minorHAnsi"/>
          <w:sz w:val="24"/>
          <w:szCs w:val="24"/>
        </w:rPr>
        <w:t>We use two types of modelling to address two aspects of change. The approach for research question one considers whether changes in the specific relationships between area characteristics and conception rates have occurred and can explain areas becoming more similar (i.e. more recently, the level of youth unemployment has a smaller relationship/coefficient with conception rates than the earliest period). For the second research question, the models consider whether actual changes in area characteristics over time are related to the conception rate change over time (i.e. declines in teenage conceptions are changing at a similar pace to youth unemployment reduction).</w:t>
      </w:r>
    </w:p>
    <w:p w14:paraId="28369555" w14:textId="6390FD06" w:rsidR="001C19E4" w:rsidRPr="00D769F4" w:rsidRDefault="001C19E4" w:rsidP="001C19E4">
      <w:pPr>
        <w:rPr>
          <w:rFonts w:asciiTheme="minorHAnsi" w:hAnsiTheme="minorHAnsi" w:cstheme="minorHAnsi"/>
          <w:sz w:val="24"/>
          <w:szCs w:val="24"/>
        </w:rPr>
      </w:pPr>
      <w:r w:rsidRPr="009C4969">
        <w:rPr>
          <w:rFonts w:asciiTheme="minorHAnsi" w:hAnsiTheme="minorHAnsi" w:cstheme="minorHAnsi"/>
          <w:sz w:val="24"/>
          <w:szCs w:val="24"/>
        </w:rPr>
        <w:t xml:space="preserve">Random intercept models address research question 1 and </w:t>
      </w:r>
      <w:r w:rsidR="00707A63" w:rsidRPr="009C4969">
        <w:rPr>
          <w:rFonts w:asciiTheme="minorHAnsi" w:hAnsiTheme="minorHAnsi" w:cstheme="minorHAnsi"/>
          <w:sz w:val="24"/>
          <w:szCs w:val="24"/>
        </w:rPr>
        <w:t>consider relationships between the outcome of teenage conception rates b</w:t>
      </w:r>
      <w:r w:rsidR="00707A63" w:rsidRPr="001800D8">
        <w:rPr>
          <w:rFonts w:asciiTheme="minorHAnsi" w:hAnsiTheme="minorHAnsi" w:cstheme="minorHAnsi"/>
          <w:sz w:val="24"/>
          <w:szCs w:val="24"/>
        </w:rPr>
        <w:t xml:space="preserve">y LAD with the LAD characteristics. These models </w:t>
      </w:r>
      <w:r w:rsidR="00F62BB2">
        <w:rPr>
          <w:rFonts w:asciiTheme="minorHAnsi" w:hAnsiTheme="minorHAnsi" w:cstheme="minorHAnsi"/>
          <w:sz w:val="24"/>
          <w:szCs w:val="24"/>
        </w:rPr>
        <w:t xml:space="preserve">capture the </w:t>
      </w:r>
      <w:r w:rsidR="00F62BB2" w:rsidRPr="00F62BB2">
        <w:rPr>
          <w:rFonts w:asciiTheme="minorHAnsi" w:hAnsiTheme="minorHAnsi" w:cstheme="minorHAnsi"/>
          <w:i/>
          <w:iCs/>
          <w:sz w:val="24"/>
          <w:szCs w:val="24"/>
        </w:rPr>
        <w:t>between</w:t>
      </w:r>
      <w:r w:rsidR="00F62BB2">
        <w:rPr>
          <w:rFonts w:asciiTheme="minorHAnsi" w:hAnsiTheme="minorHAnsi" w:cstheme="minorHAnsi"/>
          <w:sz w:val="24"/>
          <w:szCs w:val="24"/>
        </w:rPr>
        <w:t xml:space="preserve"> and </w:t>
      </w:r>
      <w:r w:rsidR="00F62BB2" w:rsidRPr="00F62BB2">
        <w:rPr>
          <w:rFonts w:asciiTheme="minorHAnsi" w:hAnsiTheme="minorHAnsi" w:cstheme="minorHAnsi"/>
          <w:i/>
          <w:iCs/>
          <w:sz w:val="24"/>
          <w:szCs w:val="24"/>
        </w:rPr>
        <w:t>within</w:t>
      </w:r>
      <w:r w:rsidR="00F62BB2">
        <w:rPr>
          <w:rFonts w:asciiTheme="minorHAnsi" w:hAnsiTheme="minorHAnsi" w:cstheme="minorHAnsi"/>
          <w:sz w:val="24"/>
          <w:szCs w:val="24"/>
        </w:rPr>
        <w:t xml:space="preserve"> LAD variation and </w:t>
      </w:r>
      <w:r w:rsidRPr="001800D8">
        <w:rPr>
          <w:rFonts w:asciiTheme="minorHAnsi" w:hAnsiTheme="minorHAnsi" w:cstheme="minorHAnsi"/>
          <w:sz w:val="24"/>
          <w:szCs w:val="24"/>
        </w:rPr>
        <w:t xml:space="preserve">are used to view the changing associations between the covariates and the repeated annual conception rates from 1998 to 2017. </w:t>
      </w:r>
      <w:r w:rsidR="00707A63" w:rsidRPr="001800D8">
        <w:rPr>
          <w:rFonts w:asciiTheme="minorHAnsi" w:hAnsiTheme="minorHAnsi" w:cstheme="minorHAnsi"/>
          <w:sz w:val="24"/>
          <w:szCs w:val="24"/>
        </w:rPr>
        <w:t xml:space="preserve">For the random effect </w:t>
      </w:r>
      <w:r w:rsidR="00707A63" w:rsidRPr="001800D8">
        <w:rPr>
          <w:rFonts w:asciiTheme="minorHAnsi" w:hAnsiTheme="minorHAnsi" w:cstheme="minorHAnsi"/>
          <w:sz w:val="24"/>
          <w:szCs w:val="24"/>
        </w:rPr>
        <w:lastRenderedPageBreak/>
        <w:t>models,</w:t>
      </w:r>
      <w:r w:rsidR="00DD42AF">
        <w:rPr>
          <w:rFonts w:asciiTheme="minorHAnsi" w:hAnsiTheme="minorHAnsi" w:cstheme="minorHAnsi"/>
          <w:sz w:val="24"/>
          <w:szCs w:val="24"/>
        </w:rPr>
        <w:t xml:space="preserve"> </w:t>
      </w:r>
      <w:r w:rsidR="00707A63" w:rsidRPr="0044286B">
        <w:rPr>
          <w:rFonts w:asciiTheme="minorHAnsi" w:hAnsiTheme="minorHAnsi" w:cstheme="minorHAnsi"/>
          <w:sz w:val="24"/>
          <w:szCs w:val="24"/>
        </w:rPr>
        <w:t xml:space="preserve">Model 1 considers the variation in under-18 conception rates when only controlling for the </w:t>
      </w:r>
      <w:proofErr w:type="gramStart"/>
      <w:r w:rsidR="00707A63" w:rsidRPr="0044286B">
        <w:rPr>
          <w:rFonts w:asciiTheme="minorHAnsi" w:hAnsiTheme="minorHAnsi" w:cstheme="minorHAnsi"/>
          <w:sz w:val="24"/>
          <w:szCs w:val="24"/>
        </w:rPr>
        <w:t>time period</w:t>
      </w:r>
      <w:proofErr w:type="gramEnd"/>
      <w:r w:rsidR="00707A63" w:rsidRPr="0044286B">
        <w:rPr>
          <w:rFonts w:asciiTheme="minorHAnsi" w:hAnsiTheme="minorHAnsi" w:cstheme="minorHAnsi"/>
          <w:sz w:val="24"/>
          <w:szCs w:val="24"/>
        </w:rPr>
        <w:t xml:space="preserve"> and urban/rural location. Model 2 additionally includes unemployment, educational attainment, ethnic composition, housing availability and TPS funding. By comparing the coefficients, we can see how much variation by </w:t>
      </w:r>
      <w:r w:rsidR="000F06A5">
        <w:rPr>
          <w:rFonts w:asciiTheme="minorHAnsi" w:hAnsiTheme="minorHAnsi" w:cstheme="minorHAnsi"/>
          <w:sz w:val="24"/>
          <w:szCs w:val="24"/>
        </w:rPr>
        <w:t>rurality</w:t>
      </w:r>
      <w:r w:rsidR="00707A63" w:rsidRPr="00D769F4">
        <w:rPr>
          <w:rFonts w:asciiTheme="minorHAnsi" w:hAnsiTheme="minorHAnsi" w:cstheme="minorHAnsi"/>
          <w:sz w:val="24"/>
          <w:szCs w:val="24"/>
        </w:rPr>
        <w:t xml:space="preserve"> is explained by the additional LAD characteristics. </w:t>
      </w:r>
      <w:r w:rsidRPr="00D769F4">
        <w:rPr>
          <w:rFonts w:asciiTheme="minorHAnsi" w:hAnsiTheme="minorHAnsi" w:cstheme="minorHAnsi"/>
          <w:sz w:val="24"/>
          <w:szCs w:val="24"/>
        </w:rPr>
        <w:t xml:space="preserve">The LAD-level characteristics are interacted with </w:t>
      </w:r>
      <w:proofErr w:type="gramStart"/>
      <w:r w:rsidRPr="00D769F4">
        <w:rPr>
          <w:rFonts w:asciiTheme="minorHAnsi" w:hAnsiTheme="minorHAnsi" w:cstheme="minorHAnsi"/>
          <w:sz w:val="24"/>
          <w:szCs w:val="24"/>
        </w:rPr>
        <w:t>time period</w:t>
      </w:r>
      <w:proofErr w:type="gramEnd"/>
      <w:r w:rsidRPr="00D769F4">
        <w:rPr>
          <w:rFonts w:asciiTheme="minorHAnsi" w:hAnsiTheme="minorHAnsi" w:cstheme="minorHAnsi"/>
          <w:sz w:val="24"/>
          <w:szCs w:val="24"/>
        </w:rPr>
        <w:t xml:space="preserve"> to explore if these relationships </w:t>
      </w:r>
      <w:r w:rsidR="00E05735">
        <w:rPr>
          <w:rFonts w:asciiTheme="minorHAnsi" w:hAnsiTheme="minorHAnsi" w:cstheme="minorHAnsi"/>
          <w:sz w:val="24"/>
          <w:szCs w:val="24"/>
        </w:rPr>
        <w:t>alter</w:t>
      </w:r>
      <w:r w:rsidRPr="00D769F4">
        <w:rPr>
          <w:rFonts w:asciiTheme="minorHAnsi" w:hAnsiTheme="minorHAnsi" w:cstheme="minorHAnsi"/>
          <w:sz w:val="24"/>
          <w:szCs w:val="24"/>
        </w:rPr>
        <w:t xml:space="preserve"> through time.</w:t>
      </w:r>
    </w:p>
    <w:p w14:paraId="284719A4" w14:textId="0B877F7C" w:rsidR="00652737" w:rsidRPr="0044286B" w:rsidRDefault="00E831B6" w:rsidP="001C19E4">
      <w:pPr>
        <w:rPr>
          <w:rFonts w:asciiTheme="minorHAnsi" w:hAnsiTheme="minorHAnsi" w:cstheme="minorHAnsi"/>
          <w:sz w:val="24"/>
          <w:szCs w:val="24"/>
        </w:rPr>
      </w:pPr>
      <w:r>
        <w:rPr>
          <w:rFonts w:asciiTheme="minorHAnsi" w:hAnsiTheme="minorHAnsi" w:cstheme="minorHAnsi"/>
          <w:sz w:val="24"/>
          <w:szCs w:val="24"/>
        </w:rPr>
        <w:t>T</w:t>
      </w:r>
      <w:r w:rsidR="00707A63" w:rsidRPr="00F62BB2">
        <w:rPr>
          <w:rFonts w:asciiTheme="minorHAnsi" w:hAnsiTheme="minorHAnsi" w:cstheme="minorHAnsi"/>
          <w:sz w:val="24"/>
          <w:szCs w:val="24"/>
        </w:rPr>
        <w:t xml:space="preserve">he second research question </w:t>
      </w:r>
      <w:r w:rsidR="00F62BB2">
        <w:rPr>
          <w:rFonts w:asciiTheme="minorHAnsi" w:hAnsiTheme="minorHAnsi" w:cstheme="minorHAnsi"/>
          <w:sz w:val="24"/>
          <w:szCs w:val="24"/>
        </w:rPr>
        <w:t xml:space="preserve">only </w:t>
      </w:r>
      <w:r w:rsidR="00707A63" w:rsidRPr="00F62BB2">
        <w:rPr>
          <w:rFonts w:asciiTheme="minorHAnsi" w:hAnsiTheme="minorHAnsi" w:cstheme="minorHAnsi"/>
          <w:sz w:val="24"/>
          <w:szCs w:val="24"/>
        </w:rPr>
        <w:t xml:space="preserve">focuses on change </w:t>
      </w:r>
      <w:r w:rsidR="00F62BB2" w:rsidRPr="007E06B9">
        <w:rPr>
          <w:rFonts w:asciiTheme="minorHAnsi" w:hAnsiTheme="minorHAnsi" w:cstheme="minorHAnsi"/>
          <w:i/>
          <w:iCs/>
          <w:sz w:val="24"/>
          <w:szCs w:val="24"/>
        </w:rPr>
        <w:t>within</w:t>
      </w:r>
      <w:r w:rsidR="00F62BB2">
        <w:rPr>
          <w:rFonts w:asciiTheme="minorHAnsi" w:hAnsiTheme="minorHAnsi" w:cstheme="minorHAnsi"/>
          <w:sz w:val="24"/>
          <w:szCs w:val="24"/>
        </w:rPr>
        <w:t xml:space="preserve"> </w:t>
      </w:r>
      <w:proofErr w:type="spellStart"/>
      <w:r w:rsidR="00F62BB2">
        <w:rPr>
          <w:rFonts w:asciiTheme="minorHAnsi" w:hAnsiTheme="minorHAnsi" w:cstheme="minorHAnsi"/>
          <w:sz w:val="24"/>
          <w:szCs w:val="24"/>
        </w:rPr>
        <w:t>LADs</w:t>
      </w:r>
      <w:proofErr w:type="spellEnd"/>
      <w:r w:rsidR="00F62BB2">
        <w:rPr>
          <w:rFonts w:asciiTheme="minorHAnsi" w:hAnsiTheme="minorHAnsi" w:cstheme="minorHAnsi"/>
          <w:sz w:val="24"/>
          <w:szCs w:val="24"/>
        </w:rPr>
        <w:t xml:space="preserve"> </w:t>
      </w:r>
      <w:r w:rsidR="00707A63" w:rsidRPr="00F62BB2">
        <w:rPr>
          <w:rFonts w:asciiTheme="minorHAnsi" w:hAnsiTheme="minorHAnsi" w:cstheme="minorHAnsi"/>
          <w:sz w:val="24"/>
          <w:szCs w:val="24"/>
        </w:rPr>
        <w:t xml:space="preserve">over time irrespective of the differences between areas. </w:t>
      </w:r>
      <w:r w:rsidR="001C19E4" w:rsidRPr="00F62BB2">
        <w:rPr>
          <w:rFonts w:asciiTheme="minorHAnsi" w:hAnsiTheme="minorHAnsi" w:cstheme="minorHAnsi"/>
          <w:sz w:val="24"/>
          <w:szCs w:val="24"/>
        </w:rPr>
        <w:t xml:space="preserve">For our second research question, fixed effect linear regression models are used to view the variation </w:t>
      </w:r>
      <w:r w:rsidR="001C19E4" w:rsidRPr="00AF38EE">
        <w:rPr>
          <w:rFonts w:asciiTheme="minorHAnsi" w:hAnsiTheme="minorHAnsi" w:cstheme="minorHAnsi"/>
          <w:i/>
          <w:iCs/>
          <w:sz w:val="24"/>
          <w:szCs w:val="24"/>
        </w:rPr>
        <w:t>within</w:t>
      </w:r>
      <w:r w:rsidR="001C19E4" w:rsidRPr="003D099F">
        <w:rPr>
          <w:rFonts w:asciiTheme="minorHAnsi" w:hAnsiTheme="minorHAnsi" w:cstheme="minorHAnsi"/>
          <w:sz w:val="24"/>
          <w:szCs w:val="24"/>
        </w:rPr>
        <w:t xml:space="preserve"> </w:t>
      </w:r>
      <w:proofErr w:type="spellStart"/>
      <w:r w:rsidR="001C19E4" w:rsidRPr="003D099F">
        <w:rPr>
          <w:rFonts w:asciiTheme="minorHAnsi" w:hAnsiTheme="minorHAnsi" w:cstheme="minorHAnsi"/>
          <w:sz w:val="24"/>
          <w:szCs w:val="24"/>
        </w:rPr>
        <w:t>LADs’</w:t>
      </w:r>
      <w:proofErr w:type="spellEnd"/>
      <w:r w:rsidR="001C19E4" w:rsidRPr="003D099F">
        <w:rPr>
          <w:rFonts w:asciiTheme="minorHAnsi" w:hAnsiTheme="minorHAnsi" w:cstheme="minorHAnsi"/>
          <w:sz w:val="24"/>
          <w:szCs w:val="24"/>
        </w:rPr>
        <w:t xml:space="preserve"> under-18 conception rates from 1998 to 2017. Fixed effect models contr</w:t>
      </w:r>
      <w:r w:rsidR="001C19E4" w:rsidRPr="001800D8">
        <w:rPr>
          <w:rFonts w:asciiTheme="minorHAnsi" w:hAnsiTheme="minorHAnsi" w:cstheme="minorHAnsi"/>
          <w:sz w:val="24"/>
          <w:szCs w:val="24"/>
        </w:rPr>
        <w:t>ol for the time constant unobserved heterogeneity between the subjects (</w:t>
      </w:r>
      <w:proofErr w:type="spellStart"/>
      <w:r w:rsidR="001C19E4" w:rsidRPr="001800D8">
        <w:rPr>
          <w:rFonts w:asciiTheme="minorHAnsi" w:hAnsiTheme="minorHAnsi" w:cstheme="minorHAnsi"/>
          <w:sz w:val="24"/>
          <w:szCs w:val="24"/>
        </w:rPr>
        <w:t>LADs</w:t>
      </w:r>
      <w:proofErr w:type="spellEnd"/>
      <w:r w:rsidR="001C19E4" w:rsidRPr="001800D8">
        <w:rPr>
          <w:rFonts w:asciiTheme="minorHAnsi" w:hAnsiTheme="minorHAnsi" w:cstheme="minorHAnsi"/>
          <w:sz w:val="24"/>
          <w:szCs w:val="24"/>
        </w:rPr>
        <w:t>)</w:t>
      </w:r>
      <w:r w:rsidR="00652737" w:rsidRPr="001800D8">
        <w:rPr>
          <w:rFonts w:asciiTheme="minorHAnsi" w:hAnsiTheme="minorHAnsi" w:cstheme="minorHAnsi"/>
          <w:sz w:val="24"/>
          <w:szCs w:val="24"/>
        </w:rPr>
        <w:t xml:space="preserve"> and so</w:t>
      </w:r>
      <w:r w:rsidR="00652737" w:rsidRPr="00F62BB2">
        <w:rPr>
          <w:rFonts w:asciiTheme="minorHAnsi" w:hAnsiTheme="minorHAnsi" w:cstheme="minorHAnsi"/>
          <w:sz w:val="24"/>
          <w:szCs w:val="24"/>
        </w:rPr>
        <w:t xml:space="preserve">, unlike random intercept models, </w:t>
      </w:r>
      <w:r w:rsidR="00652737" w:rsidRPr="00682940">
        <w:rPr>
          <w:rFonts w:asciiTheme="minorHAnsi" w:hAnsiTheme="minorHAnsi" w:cstheme="minorHAnsi"/>
          <w:sz w:val="24"/>
          <w:szCs w:val="24"/>
        </w:rPr>
        <w:t xml:space="preserve">can focus </w:t>
      </w:r>
      <w:r w:rsidR="00CA670E">
        <w:rPr>
          <w:rFonts w:asciiTheme="minorHAnsi" w:hAnsiTheme="minorHAnsi" w:cstheme="minorHAnsi"/>
          <w:sz w:val="24"/>
          <w:szCs w:val="24"/>
        </w:rPr>
        <w:t xml:space="preserve">only </w:t>
      </w:r>
      <w:r w:rsidR="00652737" w:rsidRPr="00682940">
        <w:rPr>
          <w:rFonts w:asciiTheme="minorHAnsi" w:hAnsiTheme="minorHAnsi" w:cstheme="minorHAnsi"/>
          <w:sz w:val="24"/>
          <w:szCs w:val="24"/>
        </w:rPr>
        <w:t>on change</w:t>
      </w:r>
      <w:r w:rsidR="001C19E4" w:rsidRPr="00682940">
        <w:rPr>
          <w:rFonts w:asciiTheme="minorHAnsi" w:hAnsiTheme="minorHAnsi" w:cstheme="minorHAnsi"/>
          <w:sz w:val="24"/>
          <w:szCs w:val="24"/>
        </w:rPr>
        <w:t>.</w:t>
      </w:r>
      <w:r w:rsidR="006D3340">
        <w:rPr>
          <w:rFonts w:asciiTheme="minorHAnsi" w:hAnsiTheme="minorHAnsi" w:cstheme="minorHAnsi"/>
          <w:sz w:val="24"/>
          <w:szCs w:val="24"/>
        </w:rPr>
        <w:t xml:space="preserve"> </w:t>
      </w:r>
      <w:r w:rsidR="001C19E4" w:rsidRPr="00682940">
        <w:rPr>
          <w:rFonts w:asciiTheme="minorHAnsi" w:hAnsiTheme="minorHAnsi" w:cstheme="minorHAnsi"/>
          <w:sz w:val="24"/>
          <w:szCs w:val="24"/>
        </w:rPr>
        <w:t xml:space="preserve">These models focus on </w:t>
      </w:r>
      <w:r w:rsidR="001C19E4" w:rsidRPr="00682940">
        <w:rPr>
          <w:rFonts w:asciiTheme="minorHAnsi" w:hAnsiTheme="minorHAnsi" w:cstheme="minorHAnsi"/>
          <w:i/>
          <w:sz w:val="24"/>
          <w:szCs w:val="24"/>
        </w:rPr>
        <w:t>change</w:t>
      </w:r>
      <w:r w:rsidR="001C19E4" w:rsidRPr="00682940">
        <w:rPr>
          <w:rFonts w:asciiTheme="minorHAnsi" w:hAnsiTheme="minorHAnsi" w:cstheme="minorHAnsi"/>
          <w:sz w:val="24"/>
          <w:szCs w:val="24"/>
        </w:rPr>
        <w:t xml:space="preserve"> in </w:t>
      </w:r>
      <w:r w:rsidR="00652737" w:rsidRPr="00682940">
        <w:rPr>
          <w:rFonts w:asciiTheme="minorHAnsi" w:hAnsiTheme="minorHAnsi" w:cstheme="minorHAnsi"/>
          <w:sz w:val="24"/>
          <w:szCs w:val="24"/>
        </w:rPr>
        <w:t xml:space="preserve">both </w:t>
      </w:r>
      <w:r w:rsidR="001C19E4" w:rsidRPr="00682940">
        <w:rPr>
          <w:rFonts w:asciiTheme="minorHAnsi" w:hAnsiTheme="minorHAnsi" w:cstheme="minorHAnsi"/>
          <w:sz w:val="24"/>
          <w:szCs w:val="24"/>
        </w:rPr>
        <w:t>the explanatory and outcome variables through time, meaning time-constant varia</w:t>
      </w:r>
      <w:r w:rsidR="001C19E4" w:rsidRPr="005851B6">
        <w:rPr>
          <w:rFonts w:asciiTheme="minorHAnsi" w:hAnsiTheme="minorHAnsi" w:cstheme="minorHAnsi"/>
          <w:sz w:val="24"/>
          <w:szCs w:val="24"/>
        </w:rPr>
        <w:t xml:space="preserve">bles like </w:t>
      </w:r>
      <w:r w:rsidR="00F93349">
        <w:rPr>
          <w:rFonts w:asciiTheme="minorHAnsi" w:hAnsiTheme="minorHAnsi" w:cstheme="minorHAnsi"/>
          <w:sz w:val="24"/>
          <w:szCs w:val="24"/>
        </w:rPr>
        <w:t>urban/</w:t>
      </w:r>
      <w:r w:rsidR="001C19E4" w:rsidRPr="005851B6">
        <w:rPr>
          <w:rFonts w:asciiTheme="minorHAnsi" w:hAnsiTheme="minorHAnsi" w:cstheme="minorHAnsi"/>
          <w:sz w:val="24"/>
          <w:szCs w:val="24"/>
        </w:rPr>
        <w:t>rural cannot be included in the model.</w:t>
      </w:r>
      <w:r w:rsidR="00652737" w:rsidRPr="005851B6">
        <w:rPr>
          <w:rFonts w:asciiTheme="minorHAnsi" w:hAnsiTheme="minorHAnsi" w:cstheme="minorHAnsi"/>
          <w:sz w:val="24"/>
          <w:szCs w:val="24"/>
        </w:rPr>
        <w:t xml:space="preserve"> For the fixed effect analyses we include </w:t>
      </w:r>
      <w:r w:rsidR="007E2A71">
        <w:rPr>
          <w:rFonts w:asciiTheme="minorHAnsi" w:hAnsiTheme="minorHAnsi" w:cstheme="minorHAnsi"/>
          <w:sz w:val="24"/>
          <w:szCs w:val="24"/>
        </w:rPr>
        <w:t>three</w:t>
      </w:r>
      <w:r w:rsidR="00652737" w:rsidRPr="005851B6">
        <w:rPr>
          <w:rFonts w:asciiTheme="minorHAnsi" w:hAnsiTheme="minorHAnsi" w:cstheme="minorHAnsi"/>
          <w:sz w:val="24"/>
          <w:szCs w:val="24"/>
        </w:rPr>
        <w:t xml:space="preserve"> models. The first two </w:t>
      </w:r>
      <w:r w:rsidR="00652737" w:rsidRPr="00564D6D">
        <w:rPr>
          <w:rFonts w:asciiTheme="minorHAnsi" w:hAnsiTheme="minorHAnsi" w:cstheme="minorHAnsi"/>
          <w:sz w:val="24"/>
          <w:szCs w:val="24"/>
        </w:rPr>
        <w:t xml:space="preserve">models </w:t>
      </w:r>
      <w:r w:rsidR="007E7F81">
        <w:rPr>
          <w:rFonts w:asciiTheme="minorHAnsi" w:hAnsiTheme="minorHAnsi" w:cstheme="minorHAnsi"/>
          <w:sz w:val="24"/>
          <w:szCs w:val="24"/>
        </w:rPr>
        <w:t>include</w:t>
      </w:r>
      <w:r w:rsidR="00652737" w:rsidRPr="005B55D1">
        <w:rPr>
          <w:rFonts w:asciiTheme="minorHAnsi" w:hAnsiTheme="minorHAnsi" w:cstheme="minorHAnsi"/>
          <w:sz w:val="24"/>
          <w:szCs w:val="24"/>
        </w:rPr>
        <w:t xml:space="preserve"> the whole </w:t>
      </w:r>
      <w:proofErr w:type="gramStart"/>
      <w:r w:rsidR="00652737" w:rsidRPr="005B55D1">
        <w:rPr>
          <w:rFonts w:asciiTheme="minorHAnsi" w:hAnsiTheme="minorHAnsi" w:cstheme="minorHAnsi"/>
          <w:sz w:val="24"/>
          <w:szCs w:val="24"/>
        </w:rPr>
        <w:t>time period</w:t>
      </w:r>
      <w:proofErr w:type="gramEnd"/>
      <w:r w:rsidR="00652737" w:rsidRPr="005B55D1">
        <w:rPr>
          <w:rFonts w:asciiTheme="minorHAnsi" w:hAnsiTheme="minorHAnsi" w:cstheme="minorHAnsi"/>
          <w:sz w:val="24"/>
          <w:szCs w:val="24"/>
        </w:rPr>
        <w:t xml:space="preserve"> 1998-2017, whilst the third </w:t>
      </w:r>
      <w:r w:rsidR="007E7F81">
        <w:rPr>
          <w:rFonts w:asciiTheme="minorHAnsi" w:hAnsiTheme="minorHAnsi" w:cstheme="minorHAnsi"/>
          <w:sz w:val="24"/>
          <w:szCs w:val="24"/>
        </w:rPr>
        <w:t>just</w:t>
      </w:r>
      <w:r w:rsidR="00652737" w:rsidRPr="005B55D1">
        <w:rPr>
          <w:rFonts w:asciiTheme="minorHAnsi" w:hAnsiTheme="minorHAnsi" w:cstheme="minorHAnsi"/>
          <w:sz w:val="24"/>
          <w:szCs w:val="24"/>
        </w:rPr>
        <w:t xml:space="preserve"> 1998-2010. The different time periods are because,</w:t>
      </w:r>
      <w:r w:rsidR="00652737" w:rsidRPr="004D0536">
        <w:rPr>
          <w:rFonts w:asciiTheme="minorHAnsi" w:hAnsiTheme="minorHAnsi" w:cstheme="minorHAnsi"/>
          <w:sz w:val="24"/>
          <w:szCs w:val="24"/>
        </w:rPr>
        <w:t xml:space="preserve"> </w:t>
      </w:r>
      <w:r w:rsidR="00652737" w:rsidRPr="0044286B">
        <w:rPr>
          <w:rFonts w:asciiTheme="minorHAnsi" w:hAnsiTheme="minorHAnsi" w:cstheme="minorHAnsi"/>
          <w:sz w:val="24"/>
          <w:szCs w:val="24"/>
        </w:rPr>
        <w:t>in the first two models, TPS funding at the LAD level is not included as the values post 2010 are effectively zero due to no available data on post-TPS dedicated funding by LAD. In Model 3 we include the value of TPS funding until 2010.</w:t>
      </w:r>
    </w:p>
    <w:p w14:paraId="639756BA" w14:textId="4C47B109" w:rsidR="002C6CBB" w:rsidRPr="001800D8" w:rsidRDefault="002B793F" w:rsidP="00CD0462">
      <w:pPr>
        <w:rPr>
          <w:rFonts w:asciiTheme="minorHAnsi" w:hAnsiTheme="minorHAnsi" w:cstheme="minorHAnsi"/>
          <w:sz w:val="24"/>
          <w:szCs w:val="24"/>
        </w:rPr>
      </w:pPr>
      <w:r w:rsidRPr="0044286B">
        <w:rPr>
          <w:rFonts w:asciiTheme="minorHAnsi" w:hAnsiTheme="minorHAnsi" w:cstheme="minorHAnsi"/>
          <w:sz w:val="24"/>
          <w:szCs w:val="24"/>
        </w:rPr>
        <w:t xml:space="preserve">We have </w:t>
      </w:r>
      <w:r w:rsidR="000E086C" w:rsidRPr="0044286B">
        <w:rPr>
          <w:rFonts w:asciiTheme="minorHAnsi" w:hAnsiTheme="minorHAnsi" w:cstheme="minorHAnsi"/>
          <w:sz w:val="24"/>
          <w:szCs w:val="24"/>
        </w:rPr>
        <w:t xml:space="preserve">also </w:t>
      </w:r>
      <w:r w:rsidRPr="0044286B">
        <w:rPr>
          <w:rFonts w:asciiTheme="minorHAnsi" w:hAnsiTheme="minorHAnsi" w:cstheme="minorHAnsi"/>
          <w:sz w:val="24"/>
          <w:szCs w:val="24"/>
        </w:rPr>
        <w:t xml:space="preserve">applied these models without London </w:t>
      </w:r>
      <w:proofErr w:type="spellStart"/>
      <w:r w:rsidR="00CC14FE" w:rsidRPr="0044286B">
        <w:rPr>
          <w:rFonts w:asciiTheme="minorHAnsi" w:hAnsiTheme="minorHAnsi" w:cstheme="minorHAnsi"/>
          <w:sz w:val="24"/>
          <w:szCs w:val="24"/>
        </w:rPr>
        <w:t>LADs</w:t>
      </w:r>
      <w:proofErr w:type="spellEnd"/>
      <w:r w:rsidR="00CC14FE" w:rsidRPr="0044286B">
        <w:rPr>
          <w:rFonts w:asciiTheme="minorHAnsi" w:hAnsiTheme="minorHAnsi" w:cstheme="minorHAnsi"/>
          <w:sz w:val="24"/>
          <w:szCs w:val="24"/>
        </w:rPr>
        <w:t xml:space="preserve"> </w:t>
      </w:r>
      <w:r w:rsidRPr="0044286B">
        <w:rPr>
          <w:rFonts w:asciiTheme="minorHAnsi" w:hAnsiTheme="minorHAnsi" w:cstheme="minorHAnsi"/>
          <w:sz w:val="24"/>
          <w:szCs w:val="24"/>
        </w:rPr>
        <w:t>(Appendi</w:t>
      </w:r>
      <w:r w:rsidR="004474C2" w:rsidRPr="0044286B">
        <w:rPr>
          <w:rFonts w:asciiTheme="minorHAnsi" w:hAnsiTheme="minorHAnsi" w:cstheme="minorHAnsi"/>
          <w:sz w:val="24"/>
          <w:szCs w:val="24"/>
        </w:rPr>
        <w:t>x</w:t>
      </w:r>
      <w:r w:rsidR="004E35FB">
        <w:rPr>
          <w:rFonts w:asciiTheme="minorHAnsi" w:hAnsiTheme="minorHAnsi" w:cstheme="minorHAnsi"/>
          <w:sz w:val="24"/>
          <w:szCs w:val="24"/>
        </w:rPr>
        <w:t xml:space="preserve"> B and</w:t>
      </w:r>
      <w:r w:rsidR="00D57848">
        <w:rPr>
          <w:rFonts w:asciiTheme="minorHAnsi" w:hAnsiTheme="minorHAnsi" w:cstheme="minorHAnsi"/>
          <w:sz w:val="24"/>
          <w:szCs w:val="24"/>
        </w:rPr>
        <w:t xml:space="preserve"> C</w:t>
      </w:r>
      <w:r w:rsidRPr="0014445C">
        <w:rPr>
          <w:rFonts w:asciiTheme="minorHAnsi" w:hAnsiTheme="minorHAnsi" w:cstheme="minorHAnsi"/>
          <w:sz w:val="24"/>
          <w:szCs w:val="24"/>
        </w:rPr>
        <w:t xml:space="preserve">) to </w:t>
      </w:r>
      <w:r w:rsidR="001C19E4" w:rsidRPr="0014445C">
        <w:rPr>
          <w:rFonts w:asciiTheme="minorHAnsi" w:hAnsiTheme="minorHAnsi" w:cstheme="minorHAnsi"/>
          <w:sz w:val="24"/>
          <w:szCs w:val="24"/>
        </w:rPr>
        <w:t xml:space="preserve">check </w:t>
      </w:r>
      <w:r w:rsidR="00B8057C" w:rsidRPr="0014445C">
        <w:rPr>
          <w:rFonts w:asciiTheme="minorHAnsi" w:hAnsiTheme="minorHAnsi" w:cstheme="minorHAnsi"/>
          <w:sz w:val="24"/>
          <w:szCs w:val="24"/>
        </w:rPr>
        <w:t>if</w:t>
      </w:r>
      <w:r w:rsidR="001C19E4" w:rsidRPr="0014445C">
        <w:rPr>
          <w:rFonts w:asciiTheme="minorHAnsi" w:hAnsiTheme="minorHAnsi" w:cstheme="minorHAnsi"/>
          <w:sz w:val="24"/>
          <w:szCs w:val="24"/>
        </w:rPr>
        <w:t xml:space="preserve"> th</w:t>
      </w:r>
      <w:r w:rsidR="00CC14FE" w:rsidRPr="0014445C">
        <w:rPr>
          <w:rFonts w:asciiTheme="minorHAnsi" w:hAnsiTheme="minorHAnsi" w:cstheme="minorHAnsi"/>
          <w:sz w:val="24"/>
          <w:szCs w:val="24"/>
        </w:rPr>
        <w:t>eir</w:t>
      </w:r>
      <w:r w:rsidR="001C19E4" w:rsidRPr="0014445C">
        <w:rPr>
          <w:rFonts w:asciiTheme="minorHAnsi" w:hAnsiTheme="minorHAnsi" w:cstheme="minorHAnsi"/>
          <w:sz w:val="24"/>
          <w:szCs w:val="24"/>
        </w:rPr>
        <w:t xml:space="preserve"> </w:t>
      </w:r>
      <w:proofErr w:type="gramStart"/>
      <w:r w:rsidR="001C19E4" w:rsidRPr="0014445C">
        <w:rPr>
          <w:rFonts w:asciiTheme="minorHAnsi" w:hAnsiTheme="minorHAnsi" w:cstheme="minorHAnsi"/>
          <w:sz w:val="24"/>
          <w:szCs w:val="24"/>
        </w:rPr>
        <w:t>particular</w:t>
      </w:r>
      <w:r w:rsidRPr="0014445C">
        <w:rPr>
          <w:rFonts w:asciiTheme="minorHAnsi" w:hAnsiTheme="minorHAnsi" w:cstheme="minorHAnsi"/>
          <w:sz w:val="24"/>
          <w:szCs w:val="24"/>
        </w:rPr>
        <w:t xml:space="preserve"> characteristics</w:t>
      </w:r>
      <w:proofErr w:type="gramEnd"/>
      <w:r w:rsidRPr="0014445C">
        <w:rPr>
          <w:rFonts w:asciiTheme="minorHAnsi" w:hAnsiTheme="minorHAnsi" w:cstheme="minorHAnsi"/>
          <w:sz w:val="24"/>
          <w:szCs w:val="24"/>
        </w:rPr>
        <w:t xml:space="preserve"> </w:t>
      </w:r>
      <w:r w:rsidR="000E086C" w:rsidRPr="0014445C">
        <w:rPr>
          <w:rFonts w:asciiTheme="minorHAnsi" w:hAnsiTheme="minorHAnsi" w:cstheme="minorHAnsi"/>
          <w:sz w:val="24"/>
          <w:szCs w:val="24"/>
        </w:rPr>
        <w:t xml:space="preserve">influence </w:t>
      </w:r>
      <w:r w:rsidR="00F745C5" w:rsidRPr="0014445C">
        <w:rPr>
          <w:rFonts w:asciiTheme="minorHAnsi" w:hAnsiTheme="minorHAnsi" w:cstheme="minorHAnsi"/>
          <w:sz w:val="24"/>
          <w:szCs w:val="24"/>
        </w:rPr>
        <w:t xml:space="preserve">the </w:t>
      </w:r>
      <w:r w:rsidRPr="0014445C">
        <w:rPr>
          <w:rFonts w:asciiTheme="minorHAnsi" w:hAnsiTheme="minorHAnsi" w:cstheme="minorHAnsi"/>
          <w:sz w:val="24"/>
          <w:szCs w:val="24"/>
        </w:rPr>
        <w:t>overall model</w:t>
      </w:r>
      <w:r w:rsidR="00B8057C" w:rsidRPr="0014445C">
        <w:rPr>
          <w:rFonts w:asciiTheme="minorHAnsi" w:hAnsiTheme="minorHAnsi" w:cstheme="minorHAnsi"/>
          <w:sz w:val="24"/>
          <w:szCs w:val="24"/>
        </w:rPr>
        <w:t xml:space="preserve">. </w:t>
      </w:r>
    </w:p>
    <w:p w14:paraId="688E91E3" w14:textId="22F3BCE5" w:rsidR="002B793F" w:rsidRPr="006532EE" w:rsidRDefault="002B793F" w:rsidP="00CD0462">
      <w:pPr>
        <w:rPr>
          <w:rFonts w:asciiTheme="minorHAnsi" w:hAnsiTheme="minorHAnsi" w:cstheme="minorHAnsi"/>
          <w:b/>
          <w:bCs/>
          <w:sz w:val="24"/>
        </w:rPr>
      </w:pPr>
      <w:bookmarkStart w:id="7" w:name="_Toc19031324"/>
      <w:r w:rsidRPr="006532EE">
        <w:rPr>
          <w:rFonts w:asciiTheme="minorHAnsi" w:hAnsiTheme="minorHAnsi" w:cstheme="minorHAnsi"/>
          <w:b/>
          <w:bCs/>
          <w:sz w:val="24"/>
        </w:rPr>
        <w:t>Results</w:t>
      </w:r>
      <w:bookmarkEnd w:id="7"/>
    </w:p>
    <w:p w14:paraId="3ABACC37" w14:textId="5D4641F6" w:rsidR="00867024" w:rsidRDefault="00A167B2" w:rsidP="002778B6">
      <w:pPr>
        <w:rPr>
          <w:rFonts w:asciiTheme="minorHAnsi" w:hAnsiTheme="minorHAnsi" w:cstheme="minorHAnsi"/>
          <w:sz w:val="24"/>
          <w:szCs w:val="24"/>
        </w:rPr>
      </w:pPr>
      <w:bookmarkStart w:id="8" w:name="_Toc513245001"/>
      <w:r>
        <w:rPr>
          <w:rFonts w:asciiTheme="minorHAnsi" w:hAnsiTheme="minorHAnsi" w:cstheme="minorHAnsi"/>
          <w:sz w:val="24"/>
          <w:szCs w:val="24"/>
        </w:rPr>
        <w:t>To show</w:t>
      </w:r>
      <w:r w:rsidR="00380A9D">
        <w:rPr>
          <w:rFonts w:asciiTheme="minorHAnsi" w:hAnsiTheme="minorHAnsi" w:cstheme="minorHAnsi"/>
          <w:sz w:val="24"/>
          <w:szCs w:val="24"/>
        </w:rPr>
        <w:t xml:space="preserve"> the changing </w:t>
      </w:r>
      <w:r w:rsidR="006D3DF5" w:rsidRPr="005851B6">
        <w:rPr>
          <w:rFonts w:asciiTheme="minorHAnsi" w:hAnsiTheme="minorHAnsi" w:cstheme="minorHAnsi"/>
          <w:sz w:val="24"/>
          <w:szCs w:val="24"/>
        </w:rPr>
        <w:t xml:space="preserve">LAD characteristics over time, Table 1 presents the mean and range of each </w:t>
      </w:r>
      <w:r w:rsidR="009967A4">
        <w:rPr>
          <w:rFonts w:asciiTheme="minorHAnsi" w:hAnsiTheme="minorHAnsi" w:cstheme="minorHAnsi"/>
          <w:sz w:val="24"/>
          <w:szCs w:val="24"/>
        </w:rPr>
        <w:t>tim</w:t>
      </w:r>
      <w:r w:rsidR="001A3A9A">
        <w:rPr>
          <w:rFonts w:asciiTheme="minorHAnsi" w:hAnsiTheme="minorHAnsi" w:cstheme="minorHAnsi"/>
          <w:sz w:val="24"/>
          <w:szCs w:val="24"/>
        </w:rPr>
        <w:t>e</w:t>
      </w:r>
      <w:r w:rsidR="009967A4">
        <w:rPr>
          <w:rFonts w:asciiTheme="minorHAnsi" w:hAnsiTheme="minorHAnsi" w:cstheme="minorHAnsi"/>
          <w:sz w:val="24"/>
          <w:szCs w:val="24"/>
        </w:rPr>
        <w:t xml:space="preserve">-varying </w:t>
      </w:r>
      <w:r w:rsidR="006D3DF5" w:rsidRPr="005851B6">
        <w:rPr>
          <w:rFonts w:asciiTheme="minorHAnsi" w:hAnsiTheme="minorHAnsi" w:cstheme="minorHAnsi"/>
          <w:sz w:val="24"/>
          <w:szCs w:val="24"/>
        </w:rPr>
        <w:t>variable in 1998, 200</w:t>
      </w:r>
      <w:r w:rsidR="006D3DF5" w:rsidRPr="00564D6D">
        <w:rPr>
          <w:rFonts w:asciiTheme="minorHAnsi" w:hAnsiTheme="minorHAnsi" w:cstheme="minorHAnsi"/>
          <w:sz w:val="24"/>
          <w:szCs w:val="24"/>
        </w:rPr>
        <w:t>5, 2010, and 201</w:t>
      </w:r>
      <w:r w:rsidR="006D3DF5" w:rsidRPr="005B55D1">
        <w:rPr>
          <w:rFonts w:asciiTheme="minorHAnsi" w:hAnsiTheme="minorHAnsi" w:cstheme="minorHAnsi"/>
          <w:sz w:val="24"/>
          <w:szCs w:val="24"/>
        </w:rPr>
        <w:t xml:space="preserve">7 (to match the time periods) in London </w:t>
      </w:r>
      <w:proofErr w:type="spellStart"/>
      <w:r w:rsidR="006D3DF5" w:rsidRPr="005B55D1">
        <w:rPr>
          <w:rFonts w:asciiTheme="minorHAnsi" w:hAnsiTheme="minorHAnsi" w:cstheme="minorHAnsi"/>
          <w:sz w:val="24"/>
          <w:szCs w:val="24"/>
        </w:rPr>
        <w:t>LADs</w:t>
      </w:r>
      <w:proofErr w:type="spellEnd"/>
      <w:r w:rsidR="006D3DF5" w:rsidRPr="005B55D1">
        <w:rPr>
          <w:rFonts w:asciiTheme="minorHAnsi" w:hAnsiTheme="minorHAnsi" w:cstheme="minorHAnsi"/>
          <w:sz w:val="24"/>
          <w:szCs w:val="24"/>
        </w:rPr>
        <w:t xml:space="preserve"> </w:t>
      </w:r>
      <w:r w:rsidR="006D3DF5" w:rsidRPr="004D0536">
        <w:rPr>
          <w:rFonts w:asciiTheme="minorHAnsi" w:hAnsiTheme="minorHAnsi" w:cstheme="minorHAnsi"/>
          <w:sz w:val="24"/>
          <w:szCs w:val="24"/>
        </w:rPr>
        <w:t xml:space="preserve">and </w:t>
      </w:r>
      <w:proofErr w:type="spellStart"/>
      <w:r w:rsidR="006D3DF5" w:rsidRPr="004D0536">
        <w:rPr>
          <w:rFonts w:asciiTheme="minorHAnsi" w:hAnsiTheme="minorHAnsi" w:cstheme="minorHAnsi"/>
          <w:sz w:val="24"/>
          <w:szCs w:val="24"/>
        </w:rPr>
        <w:t>LADs</w:t>
      </w:r>
      <w:proofErr w:type="spellEnd"/>
      <w:r w:rsidR="006D3DF5" w:rsidRPr="004D0536">
        <w:rPr>
          <w:rFonts w:asciiTheme="minorHAnsi" w:hAnsiTheme="minorHAnsi" w:cstheme="minorHAnsi"/>
          <w:sz w:val="24"/>
          <w:szCs w:val="24"/>
        </w:rPr>
        <w:t xml:space="preserve"> in the rest of England</w:t>
      </w:r>
      <w:r w:rsidR="006D3DF5" w:rsidRPr="009E6D3D">
        <w:rPr>
          <w:rFonts w:asciiTheme="minorHAnsi" w:hAnsiTheme="minorHAnsi" w:cstheme="minorHAnsi"/>
          <w:sz w:val="24"/>
          <w:szCs w:val="24"/>
        </w:rPr>
        <w:t xml:space="preserve"> excluding London</w:t>
      </w:r>
      <w:r w:rsidR="0014445C">
        <w:rPr>
          <w:rFonts w:asciiTheme="minorHAnsi" w:hAnsiTheme="minorHAnsi" w:cstheme="minorHAnsi"/>
          <w:sz w:val="24"/>
          <w:szCs w:val="24"/>
        </w:rPr>
        <w:t>.</w:t>
      </w:r>
      <w:r w:rsidR="006D3DF5" w:rsidRPr="009E6D3D">
        <w:rPr>
          <w:rFonts w:asciiTheme="minorHAnsi" w:hAnsiTheme="minorHAnsi" w:cstheme="minorHAnsi"/>
          <w:sz w:val="24"/>
          <w:szCs w:val="24"/>
        </w:rPr>
        <w:t xml:space="preserve"> </w:t>
      </w:r>
      <w:r w:rsidR="00F93779">
        <w:rPr>
          <w:rFonts w:asciiTheme="minorHAnsi" w:hAnsiTheme="minorHAnsi" w:cstheme="minorHAnsi"/>
          <w:sz w:val="24"/>
          <w:szCs w:val="24"/>
        </w:rPr>
        <w:t xml:space="preserve">The </w:t>
      </w:r>
      <w:r w:rsidR="009D37BE">
        <w:rPr>
          <w:rFonts w:asciiTheme="minorHAnsi" w:hAnsiTheme="minorHAnsi" w:cstheme="minorHAnsi"/>
          <w:sz w:val="24"/>
          <w:szCs w:val="24"/>
        </w:rPr>
        <w:t xml:space="preserve">mean values of the </w:t>
      </w:r>
      <w:r w:rsidR="009967A4">
        <w:rPr>
          <w:rFonts w:asciiTheme="minorHAnsi" w:hAnsiTheme="minorHAnsi" w:cstheme="minorHAnsi"/>
          <w:sz w:val="24"/>
          <w:szCs w:val="24"/>
        </w:rPr>
        <w:t xml:space="preserve">LAD characteristics </w:t>
      </w:r>
      <w:r w:rsidR="009D37BE">
        <w:rPr>
          <w:rFonts w:asciiTheme="minorHAnsi" w:hAnsiTheme="minorHAnsi" w:cstheme="minorHAnsi"/>
          <w:sz w:val="24"/>
          <w:szCs w:val="24"/>
        </w:rPr>
        <w:t xml:space="preserve">for each urban/rural category for 1998 and 2017 </w:t>
      </w:r>
      <w:r w:rsidR="00EF59F0">
        <w:rPr>
          <w:rFonts w:asciiTheme="minorHAnsi" w:hAnsiTheme="minorHAnsi" w:cstheme="minorHAnsi"/>
          <w:sz w:val="24"/>
          <w:szCs w:val="24"/>
        </w:rPr>
        <w:t>are</w:t>
      </w:r>
      <w:r w:rsidR="009D37BE">
        <w:rPr>
          <w:rFonts w:asciiTheme="minorHAnsi" w:hAnsiTheme="minorHAnsi" w:cstheme="minorHAnsi"/>
          <w:sz w:val="24"/>
          <w:szCs w:val="24"/>
        </w:rPr>
        <w:t xml:space="preserve"> presented in Appendix A</w:t>
      </w:r>
      <w:r w:rsidR="009D37BE" w:rsidRPr="009E6D3D">
        <w:rPr>
          <w:rFonts w:asciiTheme="minorHAnsi" w:hAnsiTheme="minorHAnsi" w:cstheme="minorHAnsi"/>
          <w:sz w:val="24"/>
          <w:szCs w:val="24"/>
        </w:rPr>
        <w:t>.</w:t>
      </w:r>
      <w:r w:rsidR="009D37BE">
        <w:rPr>
          <w:rFonts w:asciiTheme="minorHAnsi" w:hAnsiTheme="minorHAnsi" w:cstheme="minorHAnsi"/>
          <w:sz w:val="24"/>
          <w:szCs w:val="24"/>
        </w:rPr>
        <w:t xml:space="preserve"> </w:t>
      </w:r>
      <w:r w:rsidR="00853B03" w:rsidRPr="009E6D3D">
        <w:rPr>
          <w:rFonts w:asciiTheme="minorHAnsi" w:hAnsiTheme="minorHAnsi" w:cstheme="minorHAnsi"/>
          <w:sz w:val="24"/>
          <w:szCs w:val="24"/>
        </w:rPr>
        <w:t xml:space="preserve">The </w:t>
      </w:r>
      <w:r w:rsidR="00FC5B86" w:rsidRPr="009E6D3D">
        <w:rPr>
          <w:rFonts w:asciiTheme="minorHAnsi" w:hAnsiTheme="minorHAnsi" w:cstheme="minorHAnsi"/>
          <w:sz w:val="24"/>
          <w:szCs w:val="24"/>
        </w:rPr>
        <w:t xml:space="preserve">mean </w:t>
      </w:r>
      <w:r w:rsidR="00853B03" w:rsidRPr="009E6D3D">
        <w:rPr>
          <w:rFonts w:asciiTheme="minorHAnsi" w:hAnsiTheme="minorHAnsi" w:cstheme="minorHAnsi"/>
          <w:sz w:val="24"/>
          <w:szCs w:val="24"/>
        </w:rPr>
        <w:t>percentage of 18-24-year-olds claiming Jobseeker</w:t>
      </w:r>
      <w:r w:rsidR="00853B03" w:rsidRPr="00FC3349">
        <w:rPr>
          <w:rFonts w:asciiTheme="minorHAnsi" w:hAnsiTheme="minorHAnsi" w:cstheme="minorHAnsi"/>
          <w:sz w:val="24"/>
          <w:szCs w:val="24"/>
        </w:rPr>
        <w:t xml:space="preserve">’s Allowance reduced from 1998 to 2005 in London </w:t>
      </w:r>
      <w:r w:rsidR="00853B03" w:rsidRPr="00846EE2">
        <w:rPr>
          <w:rFonts w:asciiTheme="minorHAnsi" w:hAnsiTheme="minorHAnsi" w:cstheme="minorHAnsi"/>
          <w:sz w:val="24"/>
          <w:szCs w:val="24"/>
        </w:rPr>
        <w:t>and the rest of England, but rose again by 20</w:t>
      </w:r>
      <w:r w:rsidR="00853B03" w:rsidRPr="00624EA4">
        <w:rPr>
          <w:rFonts w:asciiTheme="minorHAnsi" w:hAnsiTheme="minorHAnsi" w:cstheme="minorHAnsi"/>
          <w:sz w:val="24"/>
          <w:szCs w:val="24"/>
        </w:rPr>
        <w:t>10, most likely due to the 2008 financial crisis</w:t>
      </w:r>
      <w:r w:rsidR="00853B03" w:rsidRPr="008C153F">
        <w:rPr>
          <w:rFonts w:asciiTheme="minorHAnsi" w:hAnsiTheme="minorHAnsi" w:cstheme="minorHAnsi"/>
          <w:sz w:val="24"/>
          <w:szCs w:val="24"/>
        </w:rPr>
        <w:t xml:space="preserve">. </w:t>
      </w:r>
      <w:r w:rsidR="00D34AE4" w:rsidRPr="008C153F">
        <w:rPr>
          <w:rFonts w:asciiTheme="minorHAnsi" w:hAnsiTheme="minorHAnsi" w:cstheme="minorHAnsi"/>
          <w:sz w:val="24"/>
          <w:szCs w:val="24"/>
        </w:rPr>
        <w:t xml:space="preserve">The </w:t>
      </w:r>
      <w:r w:rsidR="00D34AE4" w:rsidRPr="00FA4E70">
        <w:rPr>
          <w:rFonts w:asciiTheme="minorHAnsi" w:hAnsiTheme="minorHAnsi" w:cstheme="minorHAnsi"/>
          <w:sz w:val="24"/>
          <w:szCs w:val="24"/>
        </w:rPr>
        <w:t xml:space="preserve">mean </w:t>
      </w:r>
      <w:r w:rsidR="00D34AE4" w:rsidRPr="00A70087">
        <w:rPr>
          <w:rFonts w:asciiTheme="minorHAnsi" w:hAnsiTheme="minorHAnsi" w:cstheme="minorHAnsi"/>
          <w:sz w:val="24"/>
          <w:szCs w:val="24"/>
        </w:rPr>
        <w:t xml:space="preserve">educational </w:t>
      </w:r>
      <w:r w:rsidR="00D34AE4" w:rsidRPr="00201A11">
        <w:rPr>
          <w:rFonts w:asciiTheme="minorHAnsi" w:hAnsiTheme="minorHAnsi" w:cstheme="minorHAnsi"/>
          <w:sz w:val="24"/>
          <w:szCs w:val="24"/>
        </w:rPr>
        <w:t xml:space="preserve">achievement in </w:t>
      </w:r>
      <w:proofErr w:type="spellStart"/>
      <w:r w:rsidR="00D34AE4" w:rsidRPr="00201A11">
        <w:rPr>
          <w:rFonts w:asciiTheme="minorHAnsi" w:hAnsiTheme="minorHAnsi" w:cstheme="minorHAnsi"/>
          <w:sz w:val="24"/>
          <w:szCs w:val="24"/>
        </w:rPr>
        <w:t>LADs</w:t>
      </w:r>
      <w:proofErr w:type="spellEnd"/>
      <w:r w:rsidR="00D34AE4" w:rsidRPr="00201A11">
        <w:rPr>
          <w:rFonts w:asciiTheme="minorHAnsi" w:hAnsiTheme="minorHAnsi" w:cstheme="minorHAnsi"/>
          <w:sz w:val="24"/>
          <w:szCs w:val="24"/>
        </w:rPr>
        <w:t xml:space="preserve"> grew, whereby l</w:t>
      </w:r>
      <w:r w:rsidR="00FC5B86" w:rsidRPr="00201A11">
        <w:rPr>
          <w:rFonts w:asciiTheme="minorHAnsi" w:hAnsiTheme="minorHAnsi" w:cstheme="minorHAnsi"/>
          <w:sz w:val="24"/>
          <w:szCs w:val="24"/>
        </w:rPr>
        <w:t>ess than half of teena</w:t>
      </w:r>
      <w:r w:rsidR="00FC5B86" w:rsidRPr="007B5855">
        <w:rPr>
          <w:rFonts w:asciiTheme="minorHAnsi" w:hAnsiTheme="minorHAnsi" w:cstheme="minorHAnsi"/>
          <w:sz w:val="24"/>
          <w:szCs w:val="24"/>
        </w:rPr>
        <w:t>gers were achievi</w:t>
      </w:r>
      <w:r w:rsidR="00FC5B86" w:rsidRPr="00B869F5">
        <w:rPr>
          <w:rFonts w:asciiTheme="minorHAnsi" w:hAnsiTheme="minorHAnsi" w:cstheme="minorHAnsi"/>
          <w:sz w:val="24"/>
          <w:szCs w:val="24"/>
        </w:rPr>
        <w:t>ng five A* to C grad</w:t>
      </w:r>
      <w:r w:rsidR="00FC5B86" w:rsidRPr="0014445C">
        <w:rPr>
          <w:rFonts w:asciiTheme="minorHAnsi" w:hAnsiTheme="minorHAnsi" w:cstheme="minorHAnsi"/>
          <w:sz w:val="24"/>
          <w:szCs w:val="24"/>
        </w:rPr>
        <w:t>es in</w:t>
      </w:r>
      <w:r w:rsidR="00D34AE4" w:rsidRPr="0014445C">
        <w:rPr>
          <w:rFonts w:asciiTheme="minorHAnsi" w:hAnsiTheme="minorHAnsi" w:cstheme="minorHAnsi"/>
          <w:sz w:val="24"/>
          <w:szCs w:val="24"/>
        </w:rPr>
        <w:t xml:space="preserve"> 1998 but increased </w:t>
      </w:r>
      <w:r w:rsidR="00FC5B86" w:rsidRPr="0014445C">
        <w:rPr>
          <w:rFonts w:asciiTheme="minorHAnsi" w:hAnsiTheme="minorHAnsi" w:cstheme="minorHAnsi"/>
          <w:sz w:val="24"/>
          <w:szCs w:val="24"/>
        </w:rPr>
        <w:t>to over three</w:t>
      </w:r>
      <w:r w:rsidR="00391621">
        <w:rPr>
          <w:rFonts w:asciiTheme="minorHAnsi" w:hAnsiTheme="minorHAnsi" w:cstheme="minorHAnsi"/>
          <w:sz w:val="24"/>
          <w:szCs w:val="24"/>
        </w:rPr>
        <w:t>-</w:t>
      </w:r>
      <w:r w:rsidR="00FC5B86" w:rsidRPr="0014445C">
        <w:rPr>
          <w:rFonts w:asciiTheme="minorHAnsi" w:hAnsiTheme="minorHAnsi" w:cstheme="minorHAnsi"/>
          <w:sz w:val="24"/>
          <w:szCs w:val="24"/>
        </w:rPr>
        <w:t xml:space="preserve">quarters of teenagers achieving this in 2010, with this mean </w:t>
      </w:r>
      <w:r w:rsidR="00315A25">
        <w:rPr>
          <w:rFonts w:asciiTheme="minorHAnsi" w:hAnsiTheme="minorHAnsi" w:cstheme="minorHAnsi"/>
          <w:sz w:val="24"/>
          <w:szCs w:val="24"/>
        </w:rPr>
        <w:t xml:space="preserve">later </w:t>
      </w:r>
      <w:r w:rsidR="00FC5B86" w:rsidRPr="0014445C">
        <w:rPr>
          <w:rFonts w:asciiTheme="minorHAnsi" w:hAnsiTheme="minorHAnsi" w:cstheme="minorHAnsi"/>
          <w:sz w:val="24"/>
          <w:szCs w:val="24"/>
        </w:rPr>
        <w:t>decreasing. Social housing per capita has declined across England alon</w:t>
      </w:r>
      <w:r w:rsidR="00FC5B86" w:rsidRPr="009D37BE">
        <w:rPr>
          <w:rFonts w:asciiTheme="minorHAnsi" w:hAnsiTheme="minorHAnsi" w:cstheme="minorHAnsi"/>
          <w:sz w:val="24"/>
          <w:szCs w:val="24"/>
        </w:rPr>
        <w:t xml:space="preserve">gside a </w:t>
      </w:r>
      <w:r w:rsidR="00FC5B86" w:rsidRPr="009D37BE">
        <w:rPr>
          <w:rFonts w:asciiTheme="minorHAnsi" w:hAnsiTheme="minorHAnsi" w:cstheme="minorHAnsi"/>
          <w:sz w:val="24"/>
          <w:szCs w:val="24"/>
        </w:rPr>
        <w:lastRenderedPageBreak/>
        <w:t xml:space="preserve">growth in the median </w:t>
      </w:r>
      <w:r w:rsidR="00FC5B86" w:rsidRPr="007E37E1">
        <w:rPr>
          <w:rFonts w:asciiTheme="minorHAnsi" w:hAnsiTheme="minorHAnsi" w:cstheme="minorHAnsi"/>
          <w:sz w:val="24"/>
          <w:szCs w:val="24"/>
        </w:rPr>
        <w:t>house price to workplace earnings measure of housing unaffordabil</w:t>
      </w:r>
      <w:r w:rsidR="00FC5B86" w:rsidRPr="00F93349">
        <w:rPr>
          <w:rFonts w:asciiTheme="minorHAnsi" w:hAnsiTheme="minorHAnsi" w:cstheme="minorHAnsi"/>
          <w:sz w:val="24"/>
          <w:szCs w:val="24"/>
        </w:rPr>
        <w:t xml:space="preserve">ity. </w:t>
      </w:r>
      <w:r w:rsidR="00853B03" w:rsidRPr="00F93349">
        <w:rPr>
          <w:rFonts w:asciiTheme="minorHAnsi" w:hAnsiTheme="minorHAnsi" w:cstheme="minorHAnsi"/>
          <w:sz w:val="24"/>
          <w:szCs w:val="24"/>
        </w:rPr>
        <w:t xml:space="preserve">The </w:t>
      </w:r>
      <w:r w:rsidR="00FC5B86" w:rsidRPr="00F93349">
        <w:rPr>
          <w:rFonts w:asciiTheme="minorHAnsi" w:hAnsiTheme="minorHAnsi" w:cstheme="minorHAnsi"/>
          <w:sz w:val="24"/>
          <w:szCs w:val="24"/>
        </w:rPr>
        <w:t xml:space="preserve">mean </w:t>
      </w:r>
      <w:r w:rsidR="00853B03" w:rsidRPr="00F93349">
        <w:rPr>
          <w:rFonts w:asciiTheme="minorHAnsi" w:hAnsiTheme="minorHAnsi" w:cstheme="minorHAnsi"/>
          <w:sz w:val="24"/>
          <w:szCs w:val="24"/>
        </w:rPr>
        <w:t xml:space="preserve">percentages of the population that are Black and South Asian have </w:t>
      </w:r>
      <w:r w:rsidR="001D20AD">
        <w:rPr>
          <w:rFonts w:asciiTheme="minorHAnsi" w:hAnsiTheme="minorHAnsi" w:cstheme="minorHAnsi"/>
          <w:sz w:val="24"/>
          <w:szCs w:val="24"/>
        </w:rPr>
        <w:t xml:space="preserve">consistently </w:t>
      </w:r>
      <w:r w:rsidR="00853B03" w:rsidRPr="00F93349">
        <w:rPr>
          <w:rFonts w:asciiTheme="minorHAnsi" w:hAnsiTheme="minorHAnsi" w:cstheme="minorHAnsi"/>
          <w:sz w:val="24"/>
          <w:szCs w:val="24"/>
        </w:rPr>
        <w:t xml:space="preserve">grown, </w:t>
      </w:r>
      <w:r w:rsidR="00FC5B86" w:rsidRPr="00F93349">
        <w:rPr>
          <w:rFonts w:asciiTheme="minorHAnsi" w:hAnsiTheme="minorHAnsi" w:cstheme="minorHAnsi"/>
          <w:sz w:val="24"/>
          <w:szCs w:val="24"/>
        </w:rPr>
        <w:t>but</w:t>
      </w:r>
      <w:r w:rsidR="0088702E">
        <w:rPr>
          <w:rFonts w:asciiTheme="minorHAnsi" w:hAnsiTheme="minorHAnsi" w:cstheme="minorHAnsi"/>
          <w:sz w:val="24"/>
          <w:szCs w:val="24"/>
        </w:rPr>
        <w:t xml:space="preserve"> in 2017</w:t>
      </w:r>
      <w:r w:rsidR="00FC5B86" w:rsidRPr="00F93349">
        <w:rPr>
          <w:rFonts w:asciiTheme="minorHAnsi" w:hAnsiTheme="minorHAnsi" w:cstheme="minorHAnsi"/>
          <w:sz w:val="24"/>
          <w:szCs w:val="24"/>
        </w:rPr>
        <w:t xml:space="preserve"> there </w:t>
      </w:r>
      <w:r w:rsidR="00FC5B86" w:rsidRPr="009912AE">
        <w:rPr>
          <w:rFonts w:asciiTheme="minorHAnsi" w:hAnsiTheme="minorHAnsi" w:cstheme="minorHAnsi"/>
          <w:sz w:val="24"/>
          <w:szCs w:val="24"/>
        </w:rPr>
        <w:t xml:space="preserve">remain </w:t>
      </w:r>
      <w:r w:rsidR="00853B03" w:rsidRPr="009912AE">
        <w:rPr>
          <w:rFonts w:asciiTheme="minorHAnsi" w:hAnsiTheme="minorHAnsi" w:cstheme="minorHAnsi"/>
          <w:sz w:val="24"/>
          <w:szCs w:val="24"/>
        </w:rPr>
        <w:t>much h</w:t>
      </w:r>
      <w:r w:rsidR="00853B03" w:rsidRPr="00847B1F">
        <w:rPr>
          <w:rFonts w:asciiTheme="minorHAnsi" w:hAnsiTheme="minorHAnsi" w:cstheme="minorHAnsi"/>
          <w:sz w:val="24"/>
          <w:szCs w:val="24"/>
        </w:rPr>
        <w:t xml:space="preserve">igher </w:t>
      </w:r>
      <w:r w:rsidR="00FC5B86" w:rsidRPr="00847B1F">
        <w:rPr>
          <w:rFonts w:asciiTheme="minorHAnsi" w:hAnsiTheme="minorHAnsi" w:cstheme="minorHAnsi"/>
          <w:sz w:val="24"/>
          <w:szCs w:val="24"/>
        </w:rPr>
        <w:t>percentages</w:t>
      </w:r>
      <w:r w:rsidR="00853B03" w:rsidRPr="00847B1F">
        <w:rPr>
          <w:rFonts w:asciiTheme="minorHAnsi" w:hAnsiTheme="minorHAnsi" w:cstheme="minorHAnsi"/>
          <w:sz w:val="24"/>
          <w:szCs w:val="24"/>
        </w:rPr>
        <w:t xml:space="preserve"> </w:t>
      </w:r>
      <w:r w:rsidR="00FC5B86" w:rsidRPr="00D769F4">
        <w:rPr>
          <w:rFonts w:asciiTheme="minorHAnsi" w:hAnsiTheme="minorHAnsi" w:cstheme="minorHAnsi"/>
          <w:sz w:val="24"/>
          <w:szCs w:val="24"/>
        </w:rPr>
        <w:t xml:space="preserve">of Black teenagers in London </w:t>
      </w:r>
      <w:proofErr w:type="spellStart"/>
      <w:r w:rsidR="00FC5B86" w:rsidRPr="00D769F4">
        <w:rPr>
          <w:rFonts w:asciiTheme="minorHAnsi" w:hAnsiTheme="minorHAnsi" w:cstheme="minorHAnsi"/>
          <w:sz w:val="24"/>
          <w:szCs w:val="24"/>
        </w:rPr>
        <w:t>LADs</w:t>
      </w:r>
      <w:proofErr w:type="spellEnd"/>
      <w:r w:rsidR="00FC5B86" w:rsidRPr="00D769F4">
        <w:rPr>
          <w:rFonts w:asciiTheme="minorHAnsi" w:hAnsiTheme="minorHAnsi" w:cstheme="minorHAnsi"/>
          <w:sz w:val="24"/>
          <w:szCs w:val="24"/>
        </w:rPr>
        <w:t xml:space="preserve"> at 21.5</w:t>
      </w:r>
      <w:r w:rsidR="00FC5B86" w:rsidRPr="00E452D9">
        <w:rPr>
          <w:rFonts w:asciiTheme="minorHAnsi" w:hAnsiTheme="minorHAnsi" w:cstheme="minorHAnsi"/>
          <w:sz w:val="24"/>
          <w:szCs w:val="24"/>
        </w:rPr>
        <w:t xml:space="preserve"> </w:t>
      </w:r>
      <w:r w:rsidR="0017007F">
        <w:rPr>
          <w:rFonts w:asciiTheme="minorHAnsi" w:hAnsiTheme="minorHAnsi" w:cstheme="minorHAnsi"/>
          <w:sz w:val="24"/>
          <w:szCs w:val="24"/>
        </w:rPr>
        <w:t>than the rest of England at</w:t>
      </w:r>
      <w:r w:rsidR="00FC5B86" w:rsidRPr="00E452D9">
        <w:rPr>
          <w:rFonts w:asciiTheme="minorHAnsi" w:hAnsiTheme="minorHAnsi" w:cstheme="minorHAnsi"/>
          <w:sz w:val="24"/>
          <w:szCs w:val="24"/>
        </w:rPr>
        <w:t xml:space="preserve"> 1.9, and South Asian teenagers at 19.6 and 6.0</w:t>
      </w:r>
      <w:r w:rsidR="00FC5B86" w:rsidRPr="007839D4">
        <w:rPr>
          <w:rFonts w:asciiTheme="minorHAnsi" w:hAnsiTheme="minorHAnsi" w:cstheme="minorHAnsi"/>
          <w:sz w:val="24"/>
          <w:szCs w:val="24"/>
        </w:rPr>
        <w:t xml:space="preserve"> </w:t>
      </w:r>
      <w:r w:rsidR="00FC5B86" w:rsidRPr="004D3F7F">
        <w:rPr>
          <w:rFonts w:asciiTheme="minorHAnsi" w:hAnsiTheme="minorHAnsi" w:cstheme="minorHAnsi"/>
          <w:sz w:val="24"/>
          <w:szCs w:val="24"/>
        </w:rPr>
        <w:t>re</w:t>
      </w:r>
      <w:r w:rsidR="00FC5B86" w:rsidRPr="0087290C">
        <w:rPr>
          <w:rFonts w:asciiTheme="minorHAnsi" w:hAnsiTheme="minorHAnsi" w:cstheme="minorHAnsi"/>
          <w:sz w:val="24"/>
          <w:szCs w:val="24"/>
        </w:rPr>
        <w:t xml:space="preserve">spectively. </w:t>
      </w:r>
    </w:p>
    <w:p w14:paraId="68341533" w14:textId="77777777" w:rsidR="000A21DF" w:rsidRDefault="00F93349" w:rsidP="00F93349">
      <w:pPr>
        <w:rPr>
          <w:rFonts w:asciiTheme="minorHAnsi" w:hAnsiTheme="minorHAnsi" w:cstheme="minorHAnsi"/>
          <w:sz w:val="24"/>
          <w:szCs w:val="24"/>
        </w:rPr>
      </w:pPr>
      <w:r>
        <w:rPr>
          <w:rFonts w:asciiTheme="minorHAnsi" w:hAnsiTheme="minorHAnsi" w:cstheme="minorHAnsi"/>
          <w:sz w:val="24"/>
          <w:szCs w:val="24"/>
        </w:rPr>
        <w:t>&lt;Table 1&gt;</w:t>
      </w:r>
    </w:p>
    <w:p w14:paraId="2618CA3C" w14:textId="313BE4D3" w:rsidR="008A3888" w:rsidRDefault="000A21DF" w:rsidP="00A552BC">
      <w:pPr>
        <w:rPr>
          <w:rFonts w:asciiTheme="minorHAnsi" w:hAnsiTheme="minorHAnsi" w:cstheme="minorHAnsi"/>
          <w:sz w:val="24"/>
          <w:szCs w:val="24"/>
        </w:rPr>
      </w:pPr>
      <w:r>
        <w:rPr>
          <w:rFonts w:asciiTheme="minorHAnsi" w:hAnsiTheme="minorHAnsi" w:cstheme="minorHAnsi"/>
          <w:sz w:val="24"/>
          <w:szCs w:val="24"/>
        </w:rPr>
        <w:t>T</w:t>
      </w:r>
      <w:r w:rsidR="002B793F" w:rsidRPr="001800D8">
        <w:rPr>
          <w:rFonts w:asciiTheme="minorHAnsi" w:hAnsiTheme="minorHAnsi" w:cstheme="minorHAnsi"/>
          <w:sz w:val="24"/>
          <w:szCs w:val="24"/>
        </w:rPr>
        <w:t xml:space="preserve">he coefficients </w:t>
      </w:r>
      <w:r w:rsidR="006B23ED" w:rsidRPr="001800D8">
        <w:rPr>
          <w:rFonts w:asciiTheme="minorHAnsi" w:hAnsiTheme="minorHAnsi" w:cstheme="minorHAnsi"/>
          <w:sz w:val="24"/>
          <w:szCs w:val="24"/>
        </w:rPr>
        <w:t xml:space="preserve">in Model 1 Table 1 </w:t>
      </w:r>
      <w:r w:rsidR="002B793F" w:rsidRPr="00682940">
        <w:rPr>
          <w:rFonts w:asciiTheme="minorHAnsi" w:hAnsiTheme="minorHAnsi" w:cstheme="minorHAnsi"/>
          <w:sz w:val="24"/>
          <w:szCs w:val="24"/>
        </w:rPr>
        <w:t xml:space="preserve">follow the pattern in </w:t>
      </w:r>
      <w:r w:rsidR="002778B6" w:rsidRPr="00682940">
        <w:rPr>
          <w:rFonts w:asciiTheme="minorHAnsi" w:hAnsiTheme="minorHAnsi" w:cstheme="minorHAnsi"/>
          <w:sz w:val="24"/>
          <w:szCs w:val="24"/>
        </w:rPr>
        <w:t>Figure 1</w:t>
      </w:r>
      <w:r w:rsidR="002B793F" w:rsidRPr="00682940">
        <w:rPr>
          <w:rFonts w:asciiTheme="minorHAnsi" w:hAnsiTheme="minorHAnsi" w:cstheme="minorHAnsi"/>
          <w:sz w:val="24"/>
          <w:szCs w:val="24"/>
        </w:rPr>
        <w:t xml:space="preserve">, whereby reductions in conception rates are greatest </w:t>
      </w:r>
      <w:r w:rsidR="007B2301" w:rsidRPr="005851B6">
        <w:rPr>
          <w:rFonts w:asciiTheme="minorHAnsi" w:hAnsiTheme="minorHAnsi" w:cstheme="minorHAnsi"/>
          <w:sz w:val="24"/>
          <w:szCs w:val="24"/>
        </w:rPr>
        <w:t>during</w:t>
      </w:r>
      <w:r w:rsidR="002B793F" w:rsidRPr="005851B6">
        <w:rPr>
          <w:rFonts w:asciiTheme="minorHAnsi" w:hAnsiTheme="minorHAnsi" w:cstheme="minorHAnsi"/>
          <w:sz w:val="24"/>
          <w:szCs w:val="24"/>
        </w:rPr>
        <w:t xml:space="preserve"> the mos</w:t>
      </w:r>
      <w:r w:rsidR="002B793F" w:rsidRPr="00564D6D">
        <w:rPr>
          <w:rFonts w:asciiTheme="minorHAnsi" w:hAnsiTheme="minorHAnsi" w:cstheme="minorHAnsi"/>
          <w:sz w:val="24"/>
          <w:szCs w:val="24"/>
        </w:rPr>
        <w:t xml:space="preserve">t recent period. More rural </w:t>
      </w:r>
      <w:proofErr w:type="spellStart"/>
      <w:r w:rsidR="002B793F" w:rsidRPr="00564D6D">
        <w:rPr>
          <w:rFonts w:asciiTheme="minorHAnsi" w:hAnsiTheme="minorHAnsi" w:cstheme="minorHAnsi"/>
          <w:sz w:val="24"/>
          <w:szCs w:val="24"/>
        </w:rPr>
        <w:t>LADs</w:t>
      </w:r>
      <w:proofErr w:type="spellEnd"/>
      <w:r w:rsidR="002B793F" w:rsidRPr="00564D6D">
        <w:rPr>
          <w:rFonts w:asciiTheme="minorHAnsi" w:hAnsiTheme="minorHAnsi" w:cstheme="minorHAnsi"/>
          <w:sz w:val="24"/>
          <w:szCs w:val="24"/>
        </w:rPr>
        <w:t xml:space="preserve"> have</w:t>
      </w:r>
      <w:r w:rsidR="002B793F" w:rsidRPr="005B55D1">
        <w:rPr>
          <w:rFonts w:asciiTheme="minorHAnsi" w:hAnsiTheme="minorHAnsi" w:cstheme="minorHAnsi"/>
          <w:sz w:val="24"/>
          <w:szCs w:val="24"/>
        </w:rPr>
        <w:t xml:space="preserve"> lower under-18 conception rates; </w:t>
      </w:r>
      <w:r w:rsidR="002B793F" w:rsidRPr="00FA4E70">
        <w:rPr>
          <w:rFonts w:asciiTheme="minorHAnsi" w:hAnsiTheme="minorHAnsi" w:cstheme="minorHAnsi"/>
          <w:sz w:val="24"/>
          <w:szCs w:val="24"/>
        </w:rPr>
        <w:t xml:space="preserve">the most rural </w:t>
      </w:r>
      <w:proofErr w:type="spellStart"/>
      <w:r w:rsidR="002B793F" w:rsidRPr="00FA4E70">
        <w:rPr>
          <w:rFonts w:asciiTheme="minorHAnsi" w:hAnsiTheme="minorHAnsi" w:cstheme="minorHAnsi"/>
          <w:sz w:val="24"/>
          <w:szCs w:val="24"/>
        </w:rPr>
        <w:t>LADs</w:t>
      </w:r>
      <w:proofErr w:type="spellEnd"/>
      <w:r w:rsidR="002B793F" w:rsidRPr="00FA4E70">
        <w:rPr>
          <w:rFonts w:asciiTheme="minorHAnsi" w:hAnsiTheme="minorHAnsi" w:cstheme="minorHAnsi"/>
          <w:sz w:val="24"/>
          <w:szCs w:val="24"/>
        </w:rPr>
        <w:t xml:space="preserve"> have conception rates 15 per 1,000 women lower than the</w:t>
      </w:r>
      <w:r w:rsidR="00B8057C" w:rsidRPr="00FA4E70">
        <w:rPr>
          <w:rFonts w:asciiTheme="minorHAnsi" w:hAnsiTheme="minorHAnsi" w:cstheme="minorHAnsi"/>
          <w:sz w:val="24"/>
          <w:szCs w:val="24"/>
        </w:rPr>
        <w:t xml:space="preserve"> more </w:t>
      </w:r>
      <w:r w:rsidR="002B793F" w:rsidRPr="00FA4E70">
        <w:rPr>
          <w:rFonts w:asciiTheme="minorHAnsi" w:hAnsiTheme="minorHAnsi" w:cstheme="minorHAnsi"/>
          <w:sz w:val="24"/>
          <w:szCs w:val="24"/>
        </w:rPr>
        <w:t xml:space="preserve">urban non-London </w:t>
      </w:r>
      <w:proofErr w:type="spellStart"/>
      <w:r w:rsidR="002B793F" w:rsidRPr="00FA4E70">
        <w:rPr>
          <w:rFonts w:asciiTheme="minorHAnsi" w:hAnsiTheme="minorHAnsi" w:cstheme="minorHAnsi"/>
          <w:sz w:val="24"/>
          <w:szCs w:val="24"/>
        </w:rPr>
        <w:t>LADs</w:t>
      </w:r>
      <w:proofErr w:type="spellEnd"/>
      <w:r w:rsidR="002B793F" w:rsidRPr="00FA4E70">
        <w:rPr>
          <w:rFonts w:asciiTheme="minorHAnsi" w:hAnsiTheme="minorHAnsi" w:cstheme="minorHAnsi"/>
          <w:sz w:val="24"/>
          <w:szCs w:val="24"/>
        </w:rPr>
        <w:t xml:space="preserve"> in 1998.</w:t>
      </w:r>
      <w:r w:rsidR="00E74482" w:rsidRPr="00FA4E70">
        <w:rPr>
          <w:rFonts w:asciiTheme="minorHAnsi" w:hAnsiTheme="minorHAnsi" w:cstheme="minorHAnsi"/>
          <w:sz w:val="24"/>
          <w:szCs w:val="24"/>
        </w:rPr>
        <w:t xml:space="preserve"> The consistent differences between the </w:t>
      </w:r>
      <w:r w:rsidR="003D31F3" w:rsidRPr="00FA4E70">
        <w:rPr>
          <w:rFonts w:asciiTheme="minorHAnsi" w:hAnsiTheme="minorHAnsi" w:cstheme="minorHAnsi"/>
          <w:sz w:val="24"/>
          <w:szCs w:val="24"/>
        </w:rPr>
        <w:t>urban/rural</w:t>
      </w:r>
      <w:r w:rsidR="00E74482" w:rsidRPr="00FA4E70">
        <w:rPr>
          <w:rFonts w:asciiTheme="minorHAnsi" w:hAnsiTheme="minorHAnsi" w:cstheme="minorHAnsi"/>
          <w:sz w:val="24"/>
          <w:szCs w:val="24"/>
        </w:rPr>
        <w:t xml:space="preserve"> conception rates were significantly reduced after including the</w:t>
      </w:r>
      <w:r w:rsidR="00E77756">
        <w:rPr>
          <w:rFonts w:asciiTheme="minorHAnsi" w:hAnsiTheme="minorHAnsi" w:cstheme="minorHAnsi"/>
          <w:sz w:val="24"/>
          <w:szCs w:val="24"/>
        </w:rPr>
        <w:t xml:space="preserve"> LAD</w:t>
      </w:r>
      <w:r w:rsidR="00E74482" w:rsidRPr="00FA4E70">
        <w:rPr>
          <w:rFonts w:asciiTheme="minorHAnsi" w:hAnsiTheme="minorHAnsi" w:cstheme="minorHAnsi"/>
          <w:sz w:val="24"/>
          <w:szCs w:val="24"/>
        </w:rPr>
        <w:t xml:space="preserve"> characteristics.</w:t>
      </w:r>
      <w:r w:rsidR="006D3340">
        <w:rPr>
          <w:rFonts w:asciiTheme="minorHAnsi" w:hAnsiTheme="minorHAnsi" w:cstheme="minorHAnsi"/>
          <w:sz w:val="24"/>
          <w:szCs w:val="24"/>
        </w:rPr>
        <w:t xml:space="preserve"> </w:t>
      </w:r>
      <w:r w:rsidR="00E74482" w:rsidRPr="00FA4E70">
        <w:rPr>
          <w:rFonts w:asciiTheme="minorHAnsi" w:hAnsiTheme="minorHAnsi" w:cstheme="minorHAnsi"/>
          <w:sz w:val="24"/>
          <w:szCs w:val="24"/>
        </w:rPr>
        <w:t>This is</w:t>
      </w:r>
      <w:r w:rsidR="002778B6" w:rsidRPr="00FA4E70">
        <w:rPr>
          <w:rFonts w:asciiTheme="minorHAnsi" w:hAnsiTheme="minorHAnsi" w:cstheme="minorHAnsi"/>
          <w:sz w:val="24"/>
          <w:szCs w:val="24"/>
        </w:rPr>
        <w:t xml:space="preserve"> shown in Figure </w:t>
      </w:r>
      <w:r w:rsidR="000E4F24">
        <w:rPr>
          <w:rFonts w:asciiTheme="minorHAnsi" w:hAnsiTheme="minorHAnsi" w:cstheme="minorHAnsi"/>
          <w:sz w:val="24"/>
          <w:szCs w:val="24"/>
        </w:rPr>
        <w:t>3</w:t>
      </w:r>
      <w:r w:rsidR="002B793F" w:rsidRPr="00FA4E70">
        <w:rPr>
          <w:rFonts w:asciiTheme="minorHAnsi" w:hAnsiTheme="minorHAnsi" w:cstheme="minorHAnsi"/>
          <w:sz w:val="24"/>
          <w:szCs w:val="24"/>
        </w:rPr>
        <w:t>,</w:t>
      </w:r>
      <w:r w:rsidR="00DC6CB5" w:rsidRPr="00FA4E70">
        <w:rPr>
          <w:rFonts w:asciiTheme="minorHAnsi" w:hAnsiTheme="minorHAnsi" w:cstheme="minorHAnsi"/>
          <w:sz w:val="24"/>
          <w:szCs w:val="24"/>
        </w:rPr>
        <w:t xml:space="preserve"> </w:t>
      </w:r>
      <w:r w:rsidR="00E74482" w:rsidRPr="00FA4E70">
        <w:rPr>
          <w:rFonts w:asciiTheme="minorHAnsi" w:hAnsiTheme="minorHAnsi" w:cstheme="minorHAnsi"/>
          <w:sz w:val="24"/>
          <w:szCs w:val="24"/>
        </w:rPr>
        <w:t xml:space="preserve">whereby </w:t>
      </w:r>
      <w:r w:rsidR="00DC6CB5" w:rsidRPr="00FA4E70">
        <w:rPr>
          <w:rFonts w:asciiTheme="minorHAnsi" w:hAnsiTheme="minorHAnsi" w:cstheme="minorHAnsi"/>
          <w:sz w:val="24"/>
          <w:szCs w:val="24"/>
        </w:rPr>
        <w:t xml:space="preserve">the </w:t>
      </w:r>
      <w:r w:rsidR="00F557E1">
        <w:rPr>
          <w:rFonts w:asciiTheme="minorHAnsi" w:hAnsiTheme="minorHAnsi" w:cstheme="minorHAnsi"/>
          <w:sz w:val="24"/>
          <w:szCs w:val="24"/>
        </w:rPr>
        <w:t xml:space="preserve">differences in the </w:t>
      </w:r>
      <w:r w:rsidR="000E4F24">
        <w:rPr>
          <w:rFonts w:asciiTheme="minorHAnsi" w:hAnsiTheme="minorHAnsi" w:cstheme="minorHAnsi"/>
          <w:sz w:val="24"/>
          <w:szCs w:val="24"/>
        </w:rPr>
        <w:t xml:space="preserve">predicted under-18 conception rates in </w:t>
      </w:r>
      <w:r w:rsidR="00F745C5" w:rsidRPr="00FA4E70">
        <w:rPr>
          <w:rFonts w:asciiTheme="minorHAnsi" w:hAnsiTheme="minorHAnsi" w:cstheme="minorHAnsi"/>
          <w:sz w:val="24"/>
          <w:szCs w:val="24"/>
        </w:rPr>
        <w:t xml:space="preserve">Model 2 </w:t>
      </w:r>
      <w:r w:rsidR="00DC6CB5" w:rsidRPr="00FA4E70">
        <w:rPr>
          <w:rFonts w:asciiTheme="minorHAnsi" w:hAnsiTheme="minorHAnsi" w:cstheme="minorHAnsi"/>
          <w:sz w:val="24"/>
          <w:szCs w:val="24"/>
        </w:rPr>
        <w:t>for</w:t>
      </w:r>
      <w:r w:rsidR="000E4F24">
        <w:rPr>
          <w:rFonts w:asciiTheme="minorHAnsi" w:hAnsiTheme="minorHAnsi" w:cstheme="minorHAnsi"/>
          <w:sz w:val="24"/>
          <w:szCs w:val="24"/>
        </w:rPr>
        <w:t xml:space="preserve"> each</w:t>
      </w:r>
      <w:r w:rsidR="00DC6CB5" w:rsidRPr="00FA4E70">
        <w:rPr>
          <w:rFonts w:asciiTheme="minorHAnsi" w:hAnsiTheme="minorHAnsi" w:cstheme="minorHAnsi"/>
          <w:sz w:val="24"/>
          <w:szCs w:val="24"/>
        </w:rPr>
        <w:t xml:space="preserve"> urban/rural </w:t>
      </w:r>
      <w:r w:rsidR="000E4F24">
        <w:rPr>
          <w:rFonts w:asciiTheme="minorHAnsi" w:hAnsiTheme="minorHAnsi" w:cstheme="minorHAnsi"/>
          <w:sz w:val="24"/>
          <w:szCs w:val="24"/>
        </w:rPr>
        <w:t xml:space="preserve">category </w:t>
      </w:r>
      <w:r w:rsidR="00DC6CB5" w:rsidRPr="00FA4E70">
        <w:rPr>
          <w:rFonts w:asciiTheme="minorHAnsi" w:hAnsiTheme="minorHAnsi" w:cstheme="minorHAnsi"/>
          <w:sz w:val="24"/>
          <w:szCs w:val="24"/>
        </w:rPr>
        <w:t>are much smaller than in Model 1</w:t>
      </w:r>
      <w:r w:rsidR="0020577A">
        <w:rPr>
          <w:rFonts w:asciiTheme="minorHAnsi" w:hAnsiTheme="minorHAnsi" w:cstheme="minorHAnsi"/>
          <w:sz w:val="24"/>
          <w:szCs w:val="24"/>
        </w:rPr>
        <w:t>,</w:t>
      </w:r>
      <w:r w:rsidR="00DC6CB5" w:rsidRPr="00FA4E70">
        <w:rPr>
          <w:rFonts w:asciiTheme="minorHAnsi" w:hAnsiTheme="minorHAnsi" w:cstheme="minorHAnsi"/>
          <w:sz w:val="24"/>
          <w:szCs w:val="24"/>
        </w:rPr>
        <w:t xml:space="preserve"> suggesting </w:t>
      </w:r>
      <w:r w:rsidR="000C4BC1">
        <w:rPr>
          <w:rFonts w:asciiTheme="minorHAnsi" w:hAnsiTheme="minorHAnsi" w:cstheme="minorHAnsi"/>
          <w:sz w:val="24"/>
          <w:szCs w:val="24"/>
        </w:rPr>
        <w:t>variation</w:t>
      </w:r>
      <w:r w:rsidR="002B793F" w:rsidRPr="00FA4E70">
        <w:rPr>
          <w:rFonts w:asciiTheme="minorHAnsi" w:hAnsiTheme="minorHAnsi" w:cstheme="minorHAnsi"/>
          <w:sz w:val="24"/>
          <w:szCs w:val="24"/>
        </w:rPr>
        <w:t xml:space="preserve"> between the rural </w:t>
      </w:r>
      <w:proofErr w:type="spellStart"/>
      <w:r w:rsidR="002B793F" w:rsidRPr="00FA4E70">
        <w:rPr>
          <w:rFonts w:asciiTheme="minorHAnsi" w:hAnsiTheme="minorHAnsi" w:cstheme="minorHAnsi"/>
          <w:sz w:val="24"/>
          <w:szCs w:val="24"/>
        </w:rPr>
        <w:t>LADs</w:t>
      </w:r>
      <w:proofErr w:type="spellEnd"/>
      <w:r w:rsidR="002B793F" w:rsidRPr="00FA4E70">
        <w:rPr>
          <w:rFonts w:asciiTheme="minorHAnsi" w:hAnsiTheme="minorHAnsi" w:cstheme="minorHAnsi"/>
          <w:sz w:val="24"/>
          <w:szCs w:val="24"/>
        </w:rPr>
        <w:t xml:space="preserve"> and the </w:t>
      </w:r>
      <w:r w:rsidR="00B8057C" w:rsidRPr="00FA4E70">
        <w:rPr>
          <w:rFonts w:asciiTheme="minorHAnsi" w:hAnsiTheme="minorHAnsi" w:cstheme="minorHAnsi"/>
          <w:sz w:val="24"/>
          <w:szCs w:val="24"/>
        </w:rPr>
        <w:t xml:space="preserve">more </w:t>
      </w:r>
      <w:r w:rsidR="002B793F" w:rsidRPr="00FA4E70">
        <w:rPr>
          <w:rFonts w:asciiTheme="minorHAnsi" w:hAnsiTheme="minorHAnsi" w:cstheme="minorHAnsi"/>
          <w:sz w:val="24"/>
          <w:szCs w:val="24"/>
        </w:rPr>
        <w:t xml:space="preserve">urban non-London </w:t>
      </w:r>
      <w:proofErr w:type="spellStart"/>
      <w:r w:rsidR="002B793F" w:rsidRPr="00FA4E70">
        <w:rPr>
          <w:rFonts w:asciiTheme="minorHAnsi" w:hAnsiTheme="minorHAnsi" w:cstheme="minorHAnsi"/>
          <w:sz w:val="24"/>
          <w:szCs w:val="24"/>
        </w:rPr>
        <w:t>LADs</w:t>
      </w:r>
      <w:proofErr w:type="spellEnd"/>
      <w:r w:rsidR="002B793F" w:rsidRPr="00FA4E70">
        <w:rPr>
          <w:rFonts w:asciiTheme="minorHAnsi" w:hAnsiTheme="minorHAnsi" w:cstheme="minorHAnsi"/>
          <w:sz w:val="24"/>
          <w:szCs w:val="24"/>
        </w:rPr>
        <w:t xml:space="preserve"> are partly explained by characteristics. </w:t>
      </w:r>
      <w:r w:rsidR="009D37BE">
        <w:rPr>
          <w:rFonts w:asciiTheme="minorHAnsi" w:hAnsiTheme="minorHAnsi" w:cstheme="minorHAnsi"/>
          <w:sz w:val="24"/>
          <w:szCs w:val="24"/>
        </w:rPr>
        <w:t>As presented in Appendix A, t</w:t>
      </w:r>
      <w:r w:rsidR="00E74482" w:rsidRPr="00FA4E70">
        <w:rPr>
          <w:rFonts w:asciiTheme="minorHAnsi" w:hAnsiTheme="minorHAnsi" w:cstheme="minorHAnsi"/>
          <w:sz w:val="24"/>
          <w:szCs w:val="24"/>
        </w:rPr>
        <w:t xml:space="preserve">he characteristics of </w:t>
      </w:r>
      <w:proofErr w:type="spellStart"/>
      <w:r w:rsidR="00E74482" w:rsidRPr="00FA4E70">
        <w:rPr>
          <w:rFonts w:asciiTheme="minorHAnsi" w:hAnsiTheme="minorHAnsi" w:cstheme="minorHAnsi"/>
          <w:sz w:val="24"/>
          <w:szCs w:val="24"/>
        </w:rPr>
        <w:t>LADs</w:t>
      </w:r>
      <w:proofErr w:type="spellEnd"/>
      <w:r w:rsidR="00E74482" w:rsidRPr="00FA4E70">
        <w:rPr>
          <w:rFonts w:asciiTheme="minorHAnsi" w:hAnsiTheme="minorHAnsi" w:cstheme="minorHAnsi"/>
          <w:sz w:val="24"/>
          <w:szCs w:val="24"/>
        </w:rPr>
        <w:t xml:space="preserve"> in</w:t>
      </w:r>
      <w:r w:rsidR="009D37BE">
        <w:rPr>
          <w:rFonts w:asciiTheme="minorHAnsi" w:hAnsiTheme="minorHAnsi" w:cstheme="minorHAnsi"/>
          <w:sz w:val="24"/>
          <w:szCs w:val="24"/>
        </w:rPr>
        <w:t xml:space="preserve"> rural </w:t>
      </w:r>
      <w:r w:rsidR="00E74482" w:rsidRPr="00FA4E70">
        <w:rPr>
          <w:rFonts w:asciiTheme="minorHAnsi" w:hAnsiTheme="minorHAnsi" w:cstheme="minorHAnsi"/>
          <w:sz w:val="24"/>
          <w:szCs w:val="24"/>
        </w:rPr>
        <w:t xml:space="preserve">areas are more likely to include </w:t>
      </w:r>
      <w:r w:rsidR="009D37BE">
        <w:rPr>
          <w:rFonts w:asciiTheme="minorHAnsi" w:hAnsiTheme="minorHAnsi" w:cstheme="minorHAnsi"/>
          <w:sz w:val="24"/>
          <w:szCs w:val="24"/>
        </w:rPr>
        <w:t xml:space="preserve">lower proportions of youth unemployment, higher educational attainment, lower per capita social housing, lower proportions of Black and Asian teenagers, and higher housing unaffordability, than urban (non-London) </w:t>
      </w:r>
      <w:proofErr w:type="spellStart"/>
      <w:r w:rsidR="009D37BE">
        <w:rPr>
          <w:rFonts w:asciiTheme="minorHAnsi" w:hAnsiTheme="minorHAnsi" w:cstheme="minorHAnsi"/>
          <w:sz w:val="24"/>
          <w:szCs w:val="24"/>
        </w:rPr>
        <w:t>LADs</w:t>
      </w:r>
      <w:proofErr w:type="spellEnd"/>
      <w:r w:rsidR="009D37BE">
        <w:rPr>
          <w:rFonts w:asciiTheme="minorHAnsi" w:hAnsiTheme="minorHAnsi" w:cstheme="minorHAnsi"/>
          <w:sz w:val="24"/>
          <w:szCs w:val="24"/>
        </w:rPr>
        <w:t xml:space="preserve">. </w:t>
      </w:r>
    </w:p>
    <w:p w14:paraId="61C64658" w14:textId="77777777" w:rsidR="00DF1ADE" w:rsidRDefault="00DF1ADE" w:rsidP="00A552BC">
      <w:pPr>
        <w:rPr>
          <w:rFonts w:asciiTheme="minorHAnsi" w:hAnsiTheme="minorHAnsi" w:cstheme="minorHAnsi"/>
          <w:sz w:val="24"/>
          <w:szCs w:val="24"/>
        </w:rPr>
      </w:pPr>
    </w:p>
    <w:p w14:paraId="2EDCFCBC" w14:textId="77777777" w:rsidR="008A3888" w:rsidRDefault="008A3888" w:rsidP="00A552BC">
      <w:pPr>
        <w:rPr>
          <w:rFonts w:asciiTheme="minorHAnsi" w:hAnsiTheme="minorHAnsi" w:cstheme="minorHAnsi"/>
          <w:sz w:val="24"/>
          <w:szCs w:val="24"/>
        </w:rPr>
        <w:sectPr w:rsidR="008A3888" w:rsidSect="00DF1ADE">
          <w:pgSz w:w="11907" w:h="16840" w:code="9"/>
          <w:pgMar w:top="1440" w:right="1080" w:bottom="1440" w:left="1080" w:header="425" w:footer="425" w:gutter="0"/>
          <w:lnNumType w:countBy="1"/>
          <w:cols w:space="708"/>
          <w:formProt w:val="0"/>
          <w:docGrid w:linePitch="360"/>
        </w:sectPr>
      </w:pPr>
    </w:p>
    <w:p w14:paraId="483B3FCF" w14:textId="4F9554A4" w:rsidR="00A552BC" w:rsidRPr="001561D2" w:rsidRDefault="004C2666" w:rsidP="00A552BC">
      <w:pPr>
        <w:rPr>
          <w:rFonts w:cstheme="minorHAnsi"/>
          <w:color w:val="FF0000"/>
        </w:rPr>
      </w:pPr>
      <w:r w:rsidRPr="003D099F">
        <w:rPr>
          <w:rFonts w:asciiTheme="minorHAnsi" w:hAnsiTheme="minorHAnsi" w:cstheme="minorHAnsi"/>
          <w:sz w:val="24"/>
          <w:szCs w:val="24"/>
        </w:rPr>
        <w:lastRenderedPageBreak/>
        <w:t xml:space="preserve">Figure </w:t>
      </w:r>
      <w:r w:rsidR="005E1C50">
        <w:rPr>
          <w:rFonts w:asciiTheme="minorHAnsi" w:hAnsiTheme="minorHAnsi" w:cstheme="minorHAnsi"/>
          <w:sz w:val="24"/>
          <w:szCs w:val="24"/>
        </w:rPr>
        <w:t>3</w:t>
      </w:r>
      <w:r w:rsidRPr="003D099F">
        <w:rPr>
          <w:rFonts w:asciiTheme="minorHAnsi" w:hAnsiTheme="minorHAnsi" w:cstheme="minorHAnsi"/>
          <w:sz w:val="24"/>
          <w:szCs w:val="24"/>
        </w:rPr>
        <w:t xml:space="preserve"> </w:t>
      </w:r>
      <w:r w:rsidR="00A12929" w:rsidRPr="009C4969">
        <w:rPr>
          <w:rFonts w:asciiTheme="minorHAnsi" w:hAnsiTheme="minorHAnsi" w:cstheme="minorHAnsi"/>
          <w:sz w:val="24"/>
          <w:szCs w:val="24"/>
        </w:rPr>
        <w:t xml:space="preserve">The </w:t>
      </w:r>
      <w:r w:rsidR="007259E2" w:rsidRPr="009C4969">
        <w:rPr>
          <w:rFonts w:asciiTheme="minorHAnsi" w:hAnsiTheme="minorHAnsi" w:cstheme="minorHAnsi"/>
          <w:sz w:val="24"/>
          <w:szCs w:val="24"/>
        </w:rPr>
        <w:t>c</w:t>
      </w:r>
      <w:r w:rsidR="007259E2" w:rsidRPr="001800D8">
        <w:rPr>
          <w:rFonts w:asciiTheme="minorHAnsi" w:hAnsiTheme="minorHAnsi" w:cstheme="minorHAnsi"/>
          <w:sz w:val="24"/>
          <w:szCs w:val="24"/>
        </w:rPr>
        <w:t xml:space="preserve">omparison of the </w:t>
      </w:r>
      <w:r w:rsidR="00051165">
        <w:rPr>
          <w:rFonts w:asciiTheme="minorHAnsi" w:hAnsiTheme="minorHAnsi" w:cstheme="minorHAnsi"/>
          <w:sz w:val="24"/>
          <w:szCs w:val="24"/>
        </w:rPr>
        <w:t>predicted under-18 conception rates</w:t>
      </w:r>
      <w:r w:rsidR="00051165" w:rsidRPr="001800D8">
        <w:rPr>
          <w:rFonts w:asciiTheme="minorHAnsi" w:hAnsiTheme="minorHAnsi" w:cstheme="minorHAnsi"/>
          <w:sz w:val="24"/>
          <w:szCs w:val="24"/>
        </w:rPr>
        <w:t xml:space="preserve"> </w:t>
      </w:r>
      <w:r w:rsidR="00A12929" w:rsidRPr="001800D8">
        <w:rPr>
          <w:rFonts w:asciiTheme="minorHAnsi" w:hAnsiTheme="minorHAnsi" w:cstheme="minorHAnsi"/>
          <w:sz w:val="24"/>
          <w:szCs w:val="24"/>
        </w:rPr>
        <w:t xml:space="preserve">from the interaction between the urban/rural and </w:t>
      </w:r>
      <w:proofErr w:type="gramStart"/>
      <w:r w:rsidR="00A12929" w:rsidRPr="001800D8">
        <w:rPr>
          <w:rFonts w:asciiTheme="minorHAnsi" w:hAnsiTheme="minorHAnsi" w:cstheme="minorHAnsi"/>
          <w:sz w:val="24"/>
          <w:szCs w:val="24"/>
        </w:rPr>
        <w:t>time period</w:t>
      </w:r>
      <w:proofErr w:type="gramEnd"/>
      <w:r w:rsidR="00A12929" w:rsidRPr="001800D8">
        <w:rPr>
          <w:rFonts w:asciiTheme="minorHAnsi" w:hAnsiTheme="minorHAnsi" w:cstheme="minorHAnsi"/>
          <w:sz w:val="24"/>
          <w:szCs w:val="24"/>
        </w:rPr>
        <w:t xml:space="preserve"> fr</w:t>
      </w:r>
      <w:r w:rsidR="00A12929" w:rsidRPr="005851B6">
        <w:rPr>
          <w:rFonts w:asciiTheme="minorHAnsi" w:hAnsiTheme="minorHAnsi" w:cstheme="minorHAnsi"/>
          <w:sz w:val="24"/>
          <w:szCs w:val="24"/>
        </w:rPr>
        <w:t xml:space="preserve">om Model 1 </w:t>
      </w:r>
      <w:r w:rsidR="007259E2" w:rsidRPr="005851B6">
        <w:rPr>
          <w:rFonts w:asciiTheme="minorHAnsi" w:hAnsiTheme="minorHAnsi" w:cstheme="minorHAnsi"/>
          <w:sz w:val="24"/>
          <w:szCs w:val="24"/>
        </w:rPr>
        <w:t xml:space="preserve">and 2 </w:t>
      </w:r>
      <w:r w:rsidR="00A12929" w:rsidRPr="00564D6D">
        <w:rPr>
          <w:rFonts w:asciiTheme="minorHAnsi" w:hAnsiTheme="minorHAnsi" w:cstheme="minorHAnsi"/>
          <w:sz w:val="24"/>
          <w:szCs w:val="24"/>
        </w:rPr>
        <w:t>of the random effect</w:t>
      </w:r>
      <w:r w:rsidR="00A12929" w:rsidRPr="005B55D1">
        <w:rPr>
          <w:rFonts w:asciiTheme="minorHAnsi" w:hAnsiTheme="minorHAnsi" w:cstheme="minorHAnsi"/>
        </w:rPr>
        <w:t xml:space="preserve"> </w:t>
      </w:r>
      <w:r w:rsidR="00A12929" w:rsidRPr="005B55D1">
        <w:rPr>
          <w:rFonts w:asciiTheme="minorHAnsi" w:hAnsiTheme="minorHAnsi" w:cstheme="minorHAnsi"/>
          <w:sz w:val="24"/>
          <w:szCs w:val="24"/>
        </w:rPr>
        <w:t>models, between 1998 and 2017 in England</w:t>
      </w:r>
    </w:p>
    <w:p w14:paraId="240BC99C" w14:textId="40FFB4B4" w:rsidR="00A552BC" w:rsidRPr="001561D2" w:rsidRDefault="001E5C5A" w:rsidP="00A552BC">
      <w:pPr>
        <w:rPr>
          <w:rFonts w:cstheme="minorHAnsi"/>
        </w:rPr>
      </w:pPr>
      <w:r>
        <w:rPr>
          <w:rFonts w:cstheme="minorHAnsi"/>
          <w:noProof/>
          <w:color w:val="FF0000"/>
        </w:rPr>
        <mc:AlternateContent>
          <mc:Choice Requires="wps">
            <w:drawing>
              <wp:anchor distT="0" distB="0" distL="114300" distR="114300" simplePos="0" relativeHeight="251663360" behindDoc="0" locked="0" layoutInCell="1" allowOverlap="1" wp14:anchorId="2CC44638" wp14:editId="02ECA8DD">
                <wp:simplePos x="0" y="0"/>
                <wp:positionH relativeFrom="margin">
                  <wp:posOffset>-203200</wp:posOffset>
                </wp:positionH>
                <wp:positionV relativeFrom="paragraph">
                  <wp:posOffset>12700</wp:posOffset>
                </wp:positionV>
                <wp:extent cx="6058894" cy="4610100"/>
                <wp:effectExtent l="0" t="0" r="18415" b="19050"/>
                <wp:wrapNone/>
                <wp:docPr id="10" name="Rectangle 10"/>
                <wp:cNvGraphicFramePr/>
                <a:graphic xmlns:a="http://schemas.openxmlformats.org/drawingml/2006/main">
                  <a:graphicData uri="http://schemas.microsoft.com/office/word/2010/wordprocessingShape">
                    <wps:wsp>
                      <wps:cNvSpPr/>
                      <wps:spPr>
                        <a:xfrm>
                          <a:off x="0" y="0"/>
                          <a:ext cx="6058894" cy="461010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B7A25" id="Rectangle 10" o:spid="_x0000_s1026" style="position:absolute;margin-left:-16pt;margin-top:1pt;width:477.1pt;height:36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QCh8ogIAAKsFAAAOAAAAZHJzL2Uyb0RvYy54bWysVE1vGyEQvVfqf0Dcm11bjptYWUdWolSV 0iRKUuWMWfAiAUMBe+3++g7sR9w06qHqZReGmfeYx8xcXO6NJjvhgwJb0clJSYmwHGplNxX9/nzz 6YySEJmtmQYrKnoQgV4uP364aN1CTKEBXQtPEMSGResq2sToFkUReCMMCyfghMVDCd6wiFu/KWrP WkQ3upiW5bxowdfOAxchoPW6O6TLjC+l4PFeyiAi0RXFu8X89fm7Tt9iecEWG89co3h/DfYPtzBM WSQdoa5ZZGTr1R9QRnEPAWQ84WAKkFJxkXPAbCblm2yeGuZEzgXFCW6UKfw/WH63e/BE1fh2KI9l Bt/oEVVjdqMFQRsK1LqwQL8n9+D7XcBlynYvvUl/zIPss6iHUVSxj4SjcV6enp2dzyjheDabTzDN jFq8hjsf4hcBhqRFRT3yZzHZ7jZEpETXwSWxWbhRWueX0zYZAmhVJ1vepNIRV9qTHcNHX28mGUtv zTeoO9v8tBzvkCstuWeaIyQkTehFyr7LN6/iQYtEo+2jkCgcZjjNBCNQx8E4FzZ23KFhtejMiXlI f4zI1BkwIUtMZMTuAX7PacDupOn9U6jIFT8Gl3+7WBc8RmRmsHEMNsqCfw9AY1Y9c+c/iNRJk1Ra Q33AsvLQ9Vtw/Ebh096yEB+YxwbDWsOhEe/xIzW0FYV+RUkD/ud79uSPdY+nlLTYsBUNP7bMC0r0 V4sdcT6ZzVKH583s9PMUN/74ZH18YrfmCrA8JjieHM/L5B/1sJQezAvOllVixSNmOXJXlEc/bK5i N0hwOnGxWmU37GrH4q19cjyBJ1VT6T7vX5h3fX1HbI07GJqbLd6UeeebIi2sthGkyj3wqmuvN06E XDj99Eoj53ifvV5n7PIXAAAA//8DAFBLAwQUAAYACAAAACEA39rhW9wAAAAJAQAADwAAAGRycy9k b3ducmV2LnhtbEyPzU7DMBCE70i8g7VI3Fobg9oSsqlaJNQTBwoP4MZLEvBPZG/b8Pa4JziNVrOa +aZeT96JE6U8xIBwN1cgKLTRDqFD+Hh/ma1AZDbBGhcDIfxQhnVzfVWbysZzeKPTnjtRQkKuDELP PFZS5rYnb/I8jhSK9xmTN1zO1EmbzLmEeye1UgvpzRBKQ29Geu6p/d4fPcJgv9K0ZFaLzcMuup15 3W7ZIt7eTJsnEEwT/z3DBb+gQ1OYDvEYbBYOYXavyxZGuEjxH7XWIA4IS71SIJta/l/Q/AIAAP// AwBQSwECLQAUAAYACAAAACEAtoM4kv4AAADhAQAAEwAAAAAAAAAAAAAAAAAAAAAAW0NvbnRlbnRf VHlwZXNdLnhtbFBLAQItABQABgAIAAAAIQA4/SH/1gAAAJQBAAALAAAAAAAAAAAAAAAAAC8BAABf cmVscy8ucmVsc1BLAQItABQABgAIAAAAIQBPQCh8ogIAAKsFAAAOAAAAAAAAAAAAAAAAAC4CAABk cnMvZTJvRG9jLnhtbFBLAQItABQABgAIAAAAIQDf2uFb3AAAAAkBAAAPAAAAAAAAAAAAAAAAAPwE AABkcnMvZG93bnJldi54bWxQSwUGAAAAAAQABADzAAAABQYAAAAA " filled="f" strokecolor="#a5a5a5 [2092]" strokeweight="2pt">
                <w10:wrap anchorx="margin"/>
              </v:rect>
            </w:pict>
          </mc:Fallback>
        </mc:AlternateContent>
      </w:r>
      <w:r w:rsidR="00A552BC">
        <w:rPr>
          <w:noProof/>
        </w:rPr>
        <mc:AlternateContent>
          <mc:Choice Requires="wps">
            <w:drawing>
              <wp:anchor distT="0" distB="0" distL="114300" distR="114300" simplePos="0" relativeHeight="251661312" behindDoc="0" locked="0" layoutInCell="1" allowOverlap="1" wp14:anchorId="73421E3D" wp14:editId="26DC5891">
                <wp:simplePos x="0" y="0"/>
                <wp:positionH relativeFrom="margin">
                  <wp:align>left</wp:align>
                </wp:positionH>
                <wp:positionV relativeFrom="paragraph">
                  <wp:posOffset>3924300</wp:posOffset>
                </wp:positionV>
                <wp:extent cx="5883910" cy="574040"/>
                <wp:effectExtent l="0" t="0" r="2540" b="0"/>
                <wp:wrapNone/>
                <wp:docPr id="14" name="TextBox 13">
                  <a:extLst xmlns:a="http://schemas.openxmlformats.org/drawingml/2006/main">
                    <a:ext uri="{FF2B5EF4-FFF2-40B4-BE49-F238E27FC236}">
                      <a16:creationId xmlns:a16="http://schemas.microsoft.com/office/drawing/2014/main" id="{8C16C578-6AEB-4F47-BE95-850A29D42B20}"/>
                    </a:ext>
                  </a:extLst>
                </wp:docPr>
                <wp:cNvGraphicFramePr/>
                <a:graphic xmlns:a="http://schemas.openxmlformats.org/drawingml/2006/main">
                  <a:graphicData uri="http://schemas.microsoft.com/office/word/2010/wordprocessingShape">
                    <wps:wsp>
                      <wps:cNvSpPr txBox="1"/>
                      <wps:spPr>
                        <a:xfrm>
                          <a:off x="0" y="0"/>
                          <a:ext cx="5883910" cy="57404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3D542A6" w14:textId="03A9AA1A" w:rsidR="00A552BC" w:rsidRDefault="00A552BC" w:rsidP="00A552BC">
                            <w:pPr>
                              <w:rPr>
                                <w:sz w:val="24"/>
                                <w:szCs w:val="24"/>
                              </w:rPr>
                            </w:pPr>
                            <w:r>
                              <w:rPr>
                                <w:color w:val="000000" w:themeColor="dark1"/>
                                <w:sz w:val="16"/>
                                <w:szCs w:val="16"/>
                              </w:rPr>
                              <w:t xml:space="preserve">To calculate the predicted under-18 conception rates in Model 2, </w:t>
                            </w:r>
                            <w:r>
                              <w:rPr>
                                <w:rFonts w:asciiTheme="minorHAnsi" w:cstheme="minorBidi"/>
                                <w:color w:val="000000" w:themeColor="dark1"/>
                                <w:sz w:val="16"/>
                                <w:szCs w:val="16"/>
                              </w:rPr>
                              <w:t xml:space="preserve">the </w:t>
                            </w:r>
                            <w:r>
                              <w:rPr>
                                <w:color w:val="000000" w:themeColor="dark1"/>
                                <w:sz w:val="16"/>
                                <w:szCs w:val="16"/>
                              </w:rPr>
                              <w:t xml:space="preserve">overall </w:t>
                            </w:r>
                            <w:r>
                              <w:rPr>
                                <w:rFonts w:asciiTheme="minorHAnsi" w:cstheme="minorBidi"/>
                                <w:color w:val="000000" w:themeColor="dark1"/>
                                <w:sz w:val="16"/>
                                <w:szCs w:val="16"/>
                              </w:rPr>
                              <w:t xml:space="preserve">mean </w:t>
                            </w:r>
                            <w:r>
                              <w:rPr>
                                <w:color w:val="000000" w:themeColor="dark1"/>
                                <w:sz w:val="16"/>
                                <w:szCs w:val="16"/>
                              </w:rPr>
                              <w:t xml:space="preserve">value has </w:t>
                            </w:r>
                            <w:r>
                              <w:rPr>
                                <w:rFonts w:asciiTheme="minorHAnsi" w:cstheme="minorBidi"/>
                                <w:color w:val="000000" w:themeColor="dark1"/>
                                <w:sz w:val="16"/>
                                <w:szCs w:val="16"/>
                              </w:rPr>
                              <w:t xml:space="preserve">been </w:t>
                            </w:r>
                            <w:r>
                              <w:rPr>
                                <w:color w:val="000000" w:themeColor="dark1"/>
                                <w:sz w:val="16"/>
                                <w:szCs w:val="16"/>
                              </w:rPr>
                              <w:t>used</w:t>
                            </w:r>
                            <w:r>
                              <w:rPr>
                                <w:rFonts w:asciiTheme="minorHAnsi" w:cstheme="minorBidi"/>
                                <w:color w:val="000000" w:themeColor="dark1"/>
                                <w:sz w:val="16"/>
                                <w:szCs w:val="16"/>
                              </w:rPr>
                              <w:t xml:space="preserve"> for </w:t>
                            </w:r>
                            <w:r>
                              <w:rPr>
                                <w:color w:val="000000" w:themeColor="dark1"/>
                                <w:sz w:val="16"/>
                                <w:szCs w:val="16"/>
                              </w:rPr>
                              <w:t xml:space="preserve">each </w:t>
                            </w:r>
                            <w:r>
                              <w:rPr>
                                <w:rFonts w:asciiTheme="minorHAnsi" w:cstheme="minorBidi"/>
                                <w:color w:val="000000" w:themeColor="dark1"/>
                                <w:sz w:val="16"/>
                                <w:szCs w:val="16"/>
                              </w:rPr>
                              <w:t xml:space="preserve">continuous explanatory variable: </w:t>
                            </w:r>
                            <w:proofErr w:type="spellStart"/>
                            <w:r>
                              <w:rPr>
                                <w:rFonts w:asciiTheme="minorHAnsi" w:cstheme="minorBidi"/>
                                <w:color w:val="000000" w:themeColor="dark1"/>
                                <w:sz w:val="16"/>
                                <w:szCs w:val="16"/>
                              </w:rPr>
                              <w:t>JSA</w:t>
                            </w:r>
                            <w:proofErr w:type="spellEnd"/>
                            <w:r>
                              <w:rPr>
                                <w:rFonts w:asciiTheme="minorHAnsi" w:cstheme="minorBidi"/>
                                <w:color w:val="000000" w:themeColor="dark1"/>
                                <w:sz w:val="16"/>
                                <w:szCs w:val="16"/>
                              </w:rPr>
                              <w:t xml:space="preserve"> 4.5, GCSE 62.3, House </w:t>
                            </w:r>
                            <w:r>
                              <w:rPr>
                                <w:color w:val="000000" w:themeColor="dark1"/>
                                <w:sz w:val="16"/>
                                <w:szCs w:val="16"/>
                              </w:rPr>
                              <w:t>P</w:t>
                            </w:r>
                            <w:r>
                              <w:rPr>
                                <w:rFonts w:asciiTheme="minorHAnsi" w:cstheme="minorBidi"/>
                                <w:color w:val="000000" w:themeColor="dark1"/>
                                <w:sz w:val="16"/>
                                <w:szCs w:val="16"/>
                              </w:rPr>
                              <w:t xml:space="preserve">rice 7.0, Social </w:t>
                            </w:r>
                            <w:r>
                              <w:rPr>
                                <w:color w:val="000000" w:themeColor="dark1"/>
                                <w:sz w:val="16"/>
                                <w:szCs w:val="16"/>
                              </w:rPr>
                              <w:t>H</w:t>
                            </w:r>
                            <w:r>
                              <w:rPr>
                                <w:rFonts w:asciiTheme="minorHAnsi" w:cstheme="minorBidi"/>
                                <w:color w:val="000000" w:themeColor="dark1"/>
                                <w:sz w:val="16"/>
                                <w:szCs w:val="16"/>
                              </w:rPr>
                              <w:t>ousing 4.5, % Black 3.1, % S. Asian 5.4, TPS 1998 &amp; 2011-2017</w:t>
                            </w:r>
                            <w:r w:rsidR="006D3340">
                              <w:rPr>
                                <w:rFonts w:asciiTheme="minorHAnsi" w:cstheme="minorBidi"/>
                                <w:color w:val="000000" w:themeColor="dark1"/>
                                <w:sz w:val="16"/>
                                <w:szCs w:val="16"/>
                              </w:rPr>
                              <w:t xml:space="preserve"> </w:t>
                            </w:r>
                            <w:r>
                              <w:rPr>
                                <w:rFonts w:asciiTheme="minorHAnsi" w:cstheme="minorBidi"/>
                                <w:color w:val="000000" w:themeColor="dark1"/>
                                <w:sz w:val="16"/>
                                <w:szCs w:val="16"/>
                              </w:rPr>
                              <w:t xml:space="preserve">0, TPS 1999-2010 7.8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3421E3D" id="_x0000_t202" coordsize="21600,21600" o:spt="202" path="m,l,21600r21600,l21600,xe">
                <v:stroke joinstyle="miter"/>
                <v:path gradientshapeok="t" o:connecttype="rect"/>
              </v:shapetype>
              <v:shape id="TextBox 13" o:spid="_x0000_s1026" type="#_x0000_t202" style="position:absolute;margin-left:0;margin-top:309pt;width:463.3pt;height:4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LqbzJAIAAKIEAAAOAAAAZHJzL2Uyb0RvYy54bWysVE1zEzEMvTPDf/D4TjZJE0gz2XSgnXJh KEPLD3C8dtaDbRnZyW749cjefEA5leHirGVJT+9Jyuqmd5btFUYDvuaT0Zgz5SU0xm9r/u3p/s2C s5iEb4QFr2p+UJHfrF+/WnVhqabQgm0UMkri47ILNW9TCsuqirJVTsQRBOXpUQM6keiK26pB0VF2 Z6vpePy26gCbgCBVjGS9Gx75uuTXWsn0oHVUidmaU22pnFjOTT6r9UostyhCa+SxDPEPVThhPIGe U92JJNgOzV+pnJEIEXQaSXAVaG2kKhyIzWT8jM1jK4IqXEicGM4yxf+XVn7ef0FmGurdjDMvHPXo SfXpA/RscpXl6UJcktdjIL/Uk51cT/ZIxsy61+jyL/Fh9E5CH87iUjImyThfLK6uJ/Qk6W3+bjae FfWrS3TAmD4qcCx/1BypeUVTsf8UE1VCrieXDBbBmubeWFsueWDUrUW2F9Rqm0qNFPGHl/Wsq/n1 fDqnMlwg1tFvC4aHnGkAsZ6wMu2BXvlKB6syjvVflSa9CssBGLebjDsMFU09UTyNFuGXgOyoKf8L Y48hOVqVWX5h/Dmo4INP53hnPGAhXjbtIlzz/SScHvxPUgwCZC1Sv+mPc7GB5kBjQfufHujQFkhe aU3grAX8+dzW0Z6R5D92AhVnmOwtDGspvCT/mg/99vB+l0Cb0vOMOMAcK6FFKKNwXNq8ab/fi9fl r2X9CwAA//8DAFBLAwQUAAYACAAAACEAZaTW4OEAAAAIAQAADwAAAGRycy9kb3ducmV2LnhtbEyP QUvDQBCF74L/YRnBi9hNg8QkZlKKoAcPxbRSPG6zYxLMzobspo399W5PenvDG977XrGaTS+ONLrO MsJyEYEgrq3uuEH42L3cpyCcV6xVb5kQfsjBqry+KlSu7YkrOm59I0IIu1whtN4PuZSubskot7AD cfC+7GiUD+fYSD2qUwg3vYyjKJFGdRwaWjXQc0v193YyCHef2TpTHe3e4n22r87vU3V+3SDe3szr JxCeZv/3DBf8gA5lYDrYibUTPUIY4hGSZRpEsLM4SUAcEB6j9AFkWcj/A8pfAAAA//8DAFBLAQIt ABQABgAIAAAAIQC2gziS/gAAAOEBAAATAAAAAAAAAAAAAAAAAAAAAABbQ29udGVudF9UeXBlc10u eG1sUEsBAi0AFAAGAAgAAAAhADj9If/WAAAAlAEAAAsAAAAAAAAAAAAAAAAALwEAAF9yZWxzLy5y ZWxzUEsBAi0AFAAGAAgAAAAhAKQupvMkAgAAogQAAA4AAAAAAAAAAAAAAAAALgIAAGRycy9lMm9E b2MueG1sUEsBAi0AFAAGAAgAAAAhAGWk1uDhAAAACAEAAA8AAAAAAAAAAAAAAAAAfgQAAGRycy9k b3ducmV2LnhtbFBLBQYAAAAABAAEAPMAAACMBQAAAAA= " fillcolor="white [3201]" stroked="f">
                <v:textbox>
                  <w:txbxContent>
                    <w:p w14:paraId="23D542A6" w14:textId="03A9AA1A" w:rsidR="00A552BC" w:rsidRDefault="00A552BC" w:rsidP="00A552BC">
                      <w:pPr>
                        <w:rPr>
                          <w:sz w:val="24"/>
                          <w:szCs w:val="24"/>
                        </w:rPr>
                      </w:pPr>
                      <w:r>
                        <w:rPr>
                          <w:color w:val="000000" w:themeColor="dark1"/>
                          <w:sz w:val="16"/>
                          <w:szCs w:val="16"/>
                        </w:rPr>
                        <w:t xml:space="preserve">To calculate the predicted under-18 conception rates in Model 2, </w:t>
                      </w:r>
                      <w:r>
                        <w:rPr>
                          <w:rFonts w:asciiTheme="minorHAnsi" w:cstheme="minorBidi"/>
                          <w:color w:val="000000" w:themeColor="dark1"/>
                          <w:sz w:val="16"/>
                          <w:szCs w:val="16"/>
                        </w:rPr>
                        <w:t xml:space="preserve">the </w:t>
                      </w:r>
                      <w:r>
                        <w:rPr>
                          <w:color w:val="000000" w:themeColor="dark1"/>
                          <w:sz w:val="16"/>
                          <w:szCs w:val="16"/>
                        </w:rPr>
                        <w:t xml:space="preserve">overall </w:t>
                      </w:r>
                      <w:r>
                        <w:rPr>
                          <w:rFonts w:asciiTheme="minorHAnsi" w:cstheme="minorBidi"/>
                          <w:color w:val="000000" w:themeColor="dark1"/>
                          <w:sz w:val="16"/>
                          <w:szCs w:val="16"/>
                        </w:rPr>
                        <w:t xml:space="preserve">mean </w:t>
                      </w:r>
                      <w:r>
                        <w:rPr>
                          <w:color w:val="000000" w:themeColor="dark1"/>
                          <w:sz w:val="16"/>
                          <w:szCs w:val="16"/>
                        </w:rPr>
                        <w:t xml:space="preserve">value has </w:t>
                      </w:r>
                      <w:r>
                        <w:rPr>
                          <w:rFonts w:asciiTheme="minorHAnsi" w:cstheme="minorBidi"/>
                          <w:color w:val="000000" w:themeColor="dark1"/>
                          <w:sz w:val="16"/>
                          <w:szCs w:val="16"/>
                        </w:rPr>
                        <w:t xml:space="preserve">been </w:t>
                      </w:r>
                      <w:r>
                        <w:rPr>
                          <w:color w:val="000000" w:themeColor="dark1"/>
                          <w:sz w:val="16"/>
                          <w:szCs w:val="16"/>
                        </w:rPr>
                        <w:t>used</w:t>
                      </w:r>
                      <w:r>
                        <w:rPr>
                          <w:rFonts w:asciiTheme="minorHAnsi" w:cstheme="minorBidi"/>
                          <w:color w:val="000000" w:themeColor="dark1"/>
                          <w:sz w:val="16"/>
                          <w:szCs w:val="16"/>
                        </w:rPr>
                        <w:t xml:space="preserve"> for </w:t>
                      </w:r>
                      <w:r>
                        <w:rPr>
                          <w:color w:val="000000" w:themeColor="dark1"/>
                          <w:sz w:val="16"/>
                          <w:szCs w:val="16"/>
                        </w:rPr>
                        <w:t xml:space="preserve">each </w:t>
                      </w:r>
                      <w:r>
                        <w:rPr>
                          <w:rFonts w:asciiTheme="minorHAnsi" w:cstheme="minorBidi"/>
                          <w:color w:val="000000" w:themeColor="dark1"/>
                          <w:sz w:val="16"/>
                          <w:szCs w:val="16"/>
                        </w:rPr>
                        <w:t xml:space="preserve">continuous explanatory variable: JSA 4.5, GCSE 62.3, House </w:t>
                      </w:r>
                      <w:r>
                        <w:rPr>
                          <w:color w:val="000000" w:themeColor="dark1"/>
                          <w:sz w:val="16"/>
                          <w:szCs w:val="16"/>
                        </w:rPr>
                        <w:t>P</w:t>
                      </w:r>
                      <w:r>
                        <w:rPr>
                          <w:rFonts w:asciiTheme="minorHAnsi" w:cstheme="minorBidi"/>
                          <w:color w:val="000000" w:themeColor="dark1"/>
                          <w:sz w:val="16"/>
                          <w:szCs w:val="16"/>
                        </w:rPr>
                        <w:t xml:space="preserve">rice 7.0, Social </w:t>
                      </w:r>
                      <w:r>
                        <w:rPr>
                          <w:color w:val="000000" w:themeColor="dark1"/>
                          <w:sz w:val="16"/>
                          <w:szCs w:val="16"/>
                        </w:rPr>
                        <w:t>H</w:t>
                      </w:r>
                      <w:r>
                        <w:rPr>
                          <w:rFonts w:asciiTheme="minorHAnsi" w:cstheme="minorBidi"/>
                          <w:color w:val="000000" w:themeColor="dark1"/>
                          <w:sz w:val="16"/>
                          <w:szCs w:val="16"/>
                        </w:rPr>
                        <w:t>ousing 4.5, % Black 3.1, % S. Asian 5.4, TPS 1998 &amp; 2011-2017</w:t>
                      </w:r>
                      <w:r w:rsidR="006D3340">
                        <w:rPr>
                          <w:rFonts w:asciiTheme="minorHAnsi" w:cstheme="minorBidi"/>
                          <w:color w:val="000000" w:themeColor="dark1"/>
                          <w:sz w:val="16"/>
                          <w:szCs w:val="16"/>
                        </w:rPr>
                        <w:t xml:space="preserve"> </w:t>
                      </w:r>
                      <w:r>
                        <w:rPr>
                          <w:rFonts w:asciiTheme="minorHAnsi" w:cstheme="minorBidi"/>
                          <w:color w:val="000000" w:themeColor="dark1"/>
                          <w:sz w:val="16"/>
                          <w:szCs w:val="16"/>
                        </w:rPr>
                        <w:t xml:space="preserve">0, TPS 1999-2010 7.8 </w:t>
                      </w:r>
                    </w:p>
                  </w:txbxContent>
                </v:textbox>
                <w10:wrap anchorx="margin"/>
              </v:shape>
            </w:pict>
          </mc:Fallback>
        </mc:AlternateContent>
      </w:r>
      <w:r w:rsidR="00A552BC">
        <w:rPr>
          <w:noProof/>
        </w:rPr>
        <mc:AlternateContent>
          <mc:Choice Requires="wps">
            <w:drawing>
              <wp:anchor distT="0" distB="0" distL="114300" distR="114300" simplePos="0" relativeHeight="251660288" behindDoc="0" locked="0" layoutInCell="1" allowOverlap="1" wp14:anchorId="386F29BF" wp14:editId="3BC78371">
                <wp:simplePos x="0" y="0"/>
                <wp:positionH relativeFrom="column">
                  <wp:posOffset>1587500</wp:posOffset>
                </wp:positionH>
                <wp:positionV relativeFrom="paragraph">
                  <wp:posOffset>114300</wp:posOffset>
                </wp:positionV>
                <wp:extent cx="719455" cy="406400"/>
                <wp:effectExtent l="0" t="0" r="0" b="0"/>
                <wp:wrapNone/>
                <wp:docPr id="13" name="TextBox 12">
                  <a:extLst xmlns:a="http://schemas.openxmlformats.org/drawingml/2006/main">
                    <a:ext uri="{FF2B5EF4-FFF2-40B4-BE49-F238E27FC236}">
                      <a16:creationId xmlns:a16="http://schemas.microsoft.com/office/drawing/2014/main" id="{F049FB86-B924-475C-BAC5-6135E20E12CB}"/>
                    </a:ext>
                  </a:extLst>
                </wp:docPr>
                <wp:cNvGraphicFramePr/>
                <a:graphic xmlns:a="http://schemas.openxmlformats.org/drawingml/2006/main">
                  <a:graphicData uri="http://schemas.microsoft.com/office/word/2010/wordprocessingShape">
                    <wps:wsp>
                      <wps:cNvSpPr txBox="1"/>
                      <wps:spPr>
                        <a:xfrm>
                          <a:off x="0" y="0"/>
                          <a:ext cx="719455" cy="4064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5286C44" w14:textId="77777777" w:rsidR="00A552BC" w:rsidRDefault="00A552BC" w:rsidP="00A552BC">
                            <w:pPr>
                              <w:rPr>
                                <w:sz w:val="24"/>
                                <w:szCs w:val="24"/>
                              </w:rPr>
                            </w:pPr>
                            <w:r>
                              <w:rPr>
                                <w:rFonts w:asciiTheme="minorHAnsi" w:cstheme="minorBidi"/>
                                <w:color w:val="000000" w:themeColor="dark1"/>
                              </w:rPr>
                              <w:t>Model 1</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386F29BF" id="TextBox 12" o:spid="_x0000_s1027" type="#_x0000_t202" style="position:absolute;margin-left:125pt;margin-top:9pt;width:56.65pt;height: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kEVSGgIAAIAEAAAOAAAAZHJzL2Uyb0RvYy54bWysVMFu2zAMvQ/YPwi6L3aypFuDOMXWorsM 67B2H6DIUixMEjVKjZ19/Sg5cYfu1GEX2abIR75H0purwVl2UBgN+IbPZzVnyktojd83/PvD7Zv3 nMUkfCsseNXwo4r8avv61aYPa7WADmyrkBGIj+s+NLxLKayrKspOORFnEJSnSw3oRKJP3Fctip7Q na0WdX1R9YBtQJAqRrLejJd8W/C1VjLdaR1VYrbhVFsqJ5Zzl89quxHrPYrQGXkqQ/xDFU4YT0kn qBuRBHtE8xeUMxIhgk4zCa4CrY1UhQOxmdfP2Nx3IqjChcSJYZIp/j9Y+eXwFZlpqXdvOfPCUY8e 1JA+wsDmiyxPH+KavO4D+aWB7OR6tkcyZtaDRpefxIfRPQl9nMQlMCbJ+G5+uVytOJN0tawvlnUR v3oKDhjTJwWO5ZeGI/WuSCoOn2OiQsj17JJzebg11pb+Wc/6hl+uFhneBSIT/b7ETk4UbD1hZDZj 1eUtHa3KYNZ/U5pkKMVnQ5S4311bZOOs0DATqfPEFDAKyI6ainhh7CkkR6syoi+Mn4JKfvBpinfG AxbiZYFUJnAQNPrtj9IzKlyP/mcpRgGyFmnYDeMgnLu7g/ZITaftTnd0aAuksrQmcNYB/npu62mL SPmfjwIVZ5jsNYxLJ7wk/4aP7fTw4TGBNqWlOfGY5lQQjXnp9Gkl8x79+V28nn4c298AAAD//wMA UEsDBBQABgAIAAAAIQAOJ0Wb3gAAAAkBAAAPAAAAZHJzL2Rvd25yZXYueG1sTI/NTsMwEITvSLyD tZW4UbsJrdI0ToVAXEGUH6k3N94mUeN1FLtNeHuWEz2tRjOa/abYTq4TFxxC60nDYq5AIFXetlRr +Px4uc9AhGjIms4TavjBANvy9qYwufUjveNlF2vBJRRyo6GJsc+lDFWDzoS575HYO/rBmchyqKUd zMjlrpOJUivpTEv8oTE9PjVYnXZnp+Hr9bj/flBv9bNb9qOflCS3llrfzabHDYiIU/wPwx8+o0PJ TAd/JhtEpyFZKt4S2cj4ciBdpSmIg4YsUSDLQl4vKH8BAAD//wMAUEsBAi0AFAAGAAgAAAAhALaD OJL+AAAA4QEAABMAAAAAAAAAAAAAAAAAAAAAAFtDb250ZW50X1R5cGVzXS54bWxQSwECLQAUAAYA CAAAACEAOP0h/9YAAACUAQAACwAAAAAAAAAAAAAAAAAvAQAAX3JlbHMvLnJlbHNQSwECLQAUAAYA CAAAACEA/ZBFUhoCAACABAAADgAAAAAAAAAAAAAAAAAuAgAAZHJzL2Uyb0RvYy54bWxQSwECLQAU AAYACAAAACEADidFm94AAAAJAQAADwAAAAAAAAAAAAAAAAB0BAAAZHJzL2Rvd25yZXYueG1sUEsF BgAAAAAEAAQA8wAAAH8FAAAAAA== " filled="f" stroked="f">
                <v:textbox>
                  <w:txbxContent>
                    <w:p w14:paraId="75286C44" w14:textId="77777777" w:rsidR="00A552BC" w:rsidRDefault="00A552BC" w:rsidP="00A552BC">
                      <w:pPr>
                        <w:rPr>
                          <w:sz w:val="24"/>
                          <w:szCs w:val="24"/>
                        </w:rPr>
                      </w:pPr>
                      <w:r>
                        <w:rPr>
                          <w:rFonts w:asciiTheme="minorHAnsi" w:cstheme="minorBidi"/>
                          <w:color w:val="000000" w:themeColor="dark1"/>
                        </w:rPr>
                        <w:t>Model 1</w:t>
                      </w:r>
                    </w:p>
                  </w:txbxContent>
                </v:textbox>
              </v:shape>
            </w:pict>
          </mc:Fallback>
        </mc:AlternateContent>
      </w:r>
      <w:r w:rsidR="00A552BC">
        <w:rPr>
          <w:noProof/>
        </w:rPr>
        <mc:AlternateContent>
          <mc:Choice Requires="wps">
            <w:drawing>
              <wp:anchor distT="0" distB="0" distL="114300" distR="114300" simplePos="0" relativeHeight="251659264" behindDoc="0" locked="0" layoutInCell="1" allowOverlap="1" wp14:anchorId="6D597A6C" wp14:editId="7B77EF7A">
                <wp:simplePos x="0" y="0"/>
                <wp:positionH relativeFrom="column">
                  <wp:posOffset>3860800</wp:posOffset>
                </wp:positionH>
                <wp:positionV relativeFrom="paragraph">
                  <wp:posOffset>127000</wp:posOffset>
                </wp:positionV>
                <wp:extent cx="722691" cy="508000"/>
                <wp:effectExtent l="0" t="0" r="0" b="6350"/>
                <wp:wrapNone/>
                <wp:docPr id="11" name="TextBox 10">
                  <a:extLst xmlns:a="http://schemas.openxmlformats.org/drawingml/2006/main">
                    <a:ext uri="{FF2B5EF4-FFF2-40B4-BE49-F238E27FC236}">
                      <a16:creationId xmlns:a16="http://schemas.microsoft.com/office/drawing/2014/main" id="{46DD76B7-193E-494B-9C6E-00C0976098C8}"/>
                    </a:ext>
                  </a:extLst>
                </wp:docPr>
                <wp:cNvGraphicFramePr/>
                <a:graphic xmlns:a="http://schemas.openxmlformats.org/drawingml/2006/main">
                  <a:graphicData uri="http://schemas.microsoft.com/office/word/2010/wordprocessingShape">
                    <wps:wsp>
                      <wps:cNvSpPr txBox="1"/>
                      <wps:spPr>
                        <a:xfrm>
                          <a:off x="0" y="0"/>
                          <a:ext cx="722691" cy="508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74BBD3" w14:textId="77777777" w:rsidR="00A552BC" w:rsidRDefault="00A552BC" w:rsidP="00A552BC">
                            <w:pPr>
                              <w:rPr>
                                <w:sz w:val="24"/>
                                <w:szCs w:val="24"/>
                              </w:rPr>
                            </w:pPr>
                            <w:r>
                              <w:rPr>
                                <w:rFonts w:asciiTheme="minorHAnsi" w:cstheme="minorBidi"/>
                                <w:color w:val="000000" w:themeColor="dark1"/>
                              </w:rPr>
                              <w:t>Model 2</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6D597A6C" id="TextBox 10" o:spid="_x0000_s1028" type="#_x0000_t202" style="position:absolute;margin-left:304pt;margin-top:10pt;width:56.9pt;height:4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8GazGAIAAIAEAAAOAAAAZHJzL2Uyb0RvYy54bWysVMFu2zAMvQ/YPwi6L3YCpGuDOMXWorsM 67B2H6DIUixMEjVJiZ19/Sg6cYbu1GEX2ab4HslH0uvbwVl2UDEZ8A2fz2rOlJfQGr9r+Pfnh3fX nKUsfCsseNXwo0r8dvP2zboPK7WADmyrIkMSn1Z9aHiXc1hVVZKdciLNICiPlxqiExk/465qo+iR 3dlqUddXVQ+xDRGkSgmt9+Ml3xC/1krmR62Tysw2HHPLdEY6t+WsNmux2kUROiNPaYh/yMIJ4zHo RHUvsmD7aP6ickZGSKDzTIKrQGsjFdWA1czrF9U8dSIoqgXFSWGSKf0/Wvnl8DUy02Lv5px54bBH z2rIH2Fgc5KnD2mFXk8B/fKAdnQtshV7QmOpetDRlSfWw/AehT5O4iIZk2h8v1hc3WAMiVfL+rqu ib26gENM+ZMCx8pLwyP2jiQVh88pY0B0PbuUWB4ejLXUP+tZ3/Cb5WKJ9C5gMcnvCDs5Idh65Lhk TW/5aFUhs/6b0igDJV8MScbd9s5GNs4KDjMWdZ4YIkNAcdSYxCuxJ0hBKxrRV+InEMUHnye8Mx4i FU4LpEoBB4Gj3/6gnmHievQ/SzEKULTIw3agQVicu7uF9ohNx+3Oj3hoC6iytCZw1kH89dLW4xah 8j/3IirOYrZ3MC6d8BL9Gz6208OHfQZtqKUl8BjmlBCOOXX6tJJlj/78Jq/Lj2PzGwAA//8DAFBL AwQUAAYACAAAACEASw7Oe9wAAAAKAQAADwAAAGRycy9kb3ducmV2LnhtbEyPy07DMBBF90j8gzVI 7Oi4FfSRxqkQiC2IUpC6c+NpEjUeR7HbhL9nWMFy7hzdR74Zfasu1McmsIHpRIMiLoNruDKw+3i5 W4KKybKzbWAy8E0RNsX1VW4zFwZ+p8s2VUpMOGbWQJ1SlyHGsiZv4yR0xPI7ht7bJGdfoevtIOa+ xZnWc/S2YUmobUdPNZWn7dkb+Hw97r/u9Vv17B+6IYwa2a/QmNub8XENKtGY/mD4rS/VoZBOh3Bm F1VrYK6XsiUZkBhQAixmU9lyEFKLgkWO/ycUPwAAAP//AwBQSwECLQAUAAYACAAAACEAtoM4kv4A AADhAQAAEwAAAAAAAAAAAAAAAAAAAAAAW0NvbnRlbnRfVHlwZXNdLnhtbFBLAQItABQABgAIAAAA IQA4/SH/1gAAAJQBAAALAAAAAAAAAAAAAAAAAC8BAABfcmVscy8ucmVsc1BLAQItABQABgAIAAAA IQBe8GazGAIAAIAEAAAOAAAAAAAAAAAAAAAAAC4CAABkcnMvZTJvRG9jLnhtbFBLAQItABQABgAI AAAAIQBLDs573AAAAAoBAAAPAAAAAAAAAAAAAAAAAHIEAABkcnMvZG93bnJldi54bWxQSwUGAAAA AAQABADzAAAAewUAAAAA " filled="f" stroked="f">
                <v:textbox>
                  <w:txbxContent>
                    <w:p w14:paraId="5E74BBD3" w14:textId="77777777" w:rsidR="00A552BC" w:rsidRDefault="00A552BC" w:rsidP="00A552BC">
                      <w:pPr>
                        <w:rPr>
                          <w:sz w:val="24"/>
                          <w:szCs w:val="24"/>
                        </w:rPr>
                      </w:pPr>
                      <w:r>
                        <w:rPr>
                          <w:rFonts w:asciiTheme="minorHAnsi" w:cstheme="minorBidi"/>
                          <w:color w:val="000000" w:themeColor="dark1"/>
                        </w:rPr>
                        <w:t>Model 2</w:t>
                      </w:r>
                    </w:p>
                  </w:txbxContent>
                </v:textbox>
              </v:shape>
            </w:pict>
          </mc:Fallback>
        </mc:AlternateContent>
      </w:r>
      <w:r w:rsidR="00A552BC">
        <w:rPr>
          <w:noProof/>
        </w:rPr>
        <w:drawing>
          <wp:inline distT="0" distB="0" distL="0" distR="0" wp14:anchorId="15C5E9FB" wp14:editId="64AE0C83">
            <wp:extent cx="2527300" cy="4391329"/>
            <wp:effectExtent l="0" t="0" r="6350" b="0"/>
            <wp:docPr id="9" name="Chart 9">
              <a:extLst xmlns:a="http://schemas.openxmlformats.org/drawingml/2006/main">
                <a:ext uri="{FF2B5EF4-FFF2-40B4-BE49-F238E27FC236}">
                  <a16:creationId xmlns:a16="http://schemas.microsoft.com/office/drawing/2014/main" id="{05AFAE9E-A167-4853-8C50-06EB9302F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552BC" w:rsidRPr="00A10D6B">
        <w:rPr>
          <w:noProof/>
        </w:rPr>
        <w:t xml:space="preserve"> </w:t>
      </w:r>
      <w:r w:rsidR="00A552BC">
        <w:rPr>
          <w:noProof/>
        </w:rPr>
        <w:drawing>
          <wp:inline distT="0" distB="0" distL="0" distR="0" wp14:anchorId="0422DEA0" wp14:editId="2DA3C2CC">
            <wp:extent cx="3148717" cy="4381169"/>
            <wp:effectExtent l="0" t="0" r="0" b="635"/>
            <wp:docPr id="5" name="Chart 5">
              <a:extLst xmlns:a="http://schemas.openxmlformats.org/drawingml/2006/main">
                <a:ext uri="{FF2B5EF4-FFF2-40B4-BE49-F238E27FC236}">
                  <a16:creationId xmlns:a16="http://schemas.microsoft.com/office/drawing/2014/main" id="{01F4D75F-0D47-4DD9-99AF-1CF57DB7B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552BC" w:rsidRPr="00A10D6B">
        <w:rPr>
          <w:noProof/>
        </w:rPr>
        <w:t xml:space="preserve"> </w:t>
      </w:r>
    </w:p>
    <w:p w14:paraId="41B04F0B" w14:textId="77777777" w:rsidR="00A552BC" w:rsidRPr="003D099F" w:rsidRDefault="00A552BC" w:rsidP="004C2666">
      <w:pPr>
        <w:rPr>
          <w:rFonts w:asciiTheme="minorHAnsi" w:hAnsiTheme="minorHAnsi" w:cstheme="minorHAnsi"/>
          <w:sz w:val="24"/>
          <w:szCs w:val="24"/>
        </w:rPr>
      </w:pPr>
    </w:p>
    <w:p w14:paraId="00BB7512" w14:textId="2F2FAB83" w:rsidR="002B793F" w:rsidRPr="00FC3349" w:rsidRDefault="002B793F" w:rsidP="00CD0462">
      <w:pPr>
        <w:rPr>
          <w:rFonts w:asciiTheme="minorHAnsi" w:hAnsiTheme="minorHAnsi" w:cstheme="minorHAnsi"/>
          <w:sz w:val="24"/>
          <w:szCs w:val="24"/>
        </w:rPr>
      </w:pPr>
      <w:proofErr w:type="spellStart"/>
      <w:r w:rsidRPr="00FC3349">
        <w:rPr>
          <w:rFonts w:asciiTheme="minorHAnsi" w:hAnsiTheme="minorHAnsi" w:cstheme="minorHAnsi"/>
          <w:sz w:val="24"/>
          <w:szCs w:val="24"/>
        </w:rPr>
        <w:t>LADs</w:t>
      </w:r>
      <w:proofErr w:type="spellEnd"/>
      <w:r w:rsidRPr="00FC3349">
        <w:rPr>
          <w:rFonts w:asciiTheme="minorHAnsi" w:hAnsiTheme="minorHAnsi" w:cstheme="minorHAnsi"/>
          <w:sz w:val="24"/>
          <w:szCs w:val="24"/>
        </w:rPr>
        <w:t xml:space="preserve"> in Inner London have much higher under-18 conception rates than the most urban non-London </w:t>
      </w:r>
      <w:proofErr w:type="spellStart"/>
      <w:r w:rsidRPr="00FC3349">
        <w:rPr>
          <w:rFonts w:asciiTheme="minorHAnsi" w:hAnsiTheme="minorHAnsi" w:cstheme="minorHAnsi"/>
          <w:sz w:val="24"/>
          <w:szCs w:val="24"/>
        </w:rPr>
        <w:t>LADs</w:t>
      </w:r>
      <w:proofErr w:type="spellEnd"/>
      <w:r w:rsidRPr="00FC3349">
        <w:rPr>
          <w:rFonts w:asciiTheme="minorHAnsi" w:hAnsiTheme="minorHAnsi" w:cstheme="minorHAnsi"/>
          <w:sz w:val="24"/>
          <w:szCs w:val="24"/>
        </w:rPr>
        <w:t xml:space="preserve"> in 1998, and rates drop significantly across the period in Model 1. If we compare Model 1 and Model 2, coefficients for Inner London are no longer significantly different from the most urban non-London </w:t>
      </w:r>
      <w:proofErr w:type="spellStart"/>
      <w:r w:rsidRPr="00FC3349">
        <w:rPr>
          <w:rFonts w:asciiTheme="minorHAnsi" w:hAnsiTheme="minorHAnsi" w:cstheme="minorHAnsi"/>
          <w:sz w:val="24"/>
          <w:szCs w:val="24"/>
        </w:rPr>
        <w:t>LADs</w:t>
      </w:r>
      <w:proofErr w:type="spellEnd"/>
      <w:r w:rsidRPr="00FC3349">
        <w:rPr>
          <w:rFonts w:asciiTheme="minorHAnsi" w:hAnsiTheme="minorHAnsi" w:cstheme="minorHAnsi"/>
          <w:sz w:val="24"/>
          <w:szCs w:val="24"/>
        </w:rPr>
        <w:t xml:space="preserve"> after </w:t>
      </w:r>
      <w:r w:rsidR="002A48FA" w:rsidRPr="00FC3349">
        <w:rPr>
          <w:rFonts w:asciiTheme="minorHAnsi" w:hAnsiTheme="minorHAnsi" w:cstheme="minorHAnsi"/>
          <w:sz w:val="24"/>
          <w:szCs w:val="24"/>
        </w:rPr>
        <w:t xml:space="preserve">including </w:t>
      </w:r>
      <w:r w:rsidRPr="00FC3349">
        <w:rPr>
          <w:rFonts w:asciiTheme="minorHAnsi" w:hAnsiTheme="minorHAnsi" w:cstheme="minorHAnsi"/>
          <w:sz w:val="24"/>
          <w:szCs w:val="24"/>
        </w:rPr>
        <w:t>characteristics. The speed of the decline is also no longer faster in Inner London. This suggests Inner London’s di</w:t>
      </w:r>
      <w:r w:rsidR="0009190D" w:rsidRPr="00FC3349">
        <w:rPr>
          <w:rFonts w:asciiTheme="minorHAnsi" w:hAnsiTheme="minorHAnsi" w:cstheme="minorHAnsi"/>
          <w:sz w:val="24"/>
          <w:szCs w:val="24"/>
        </w:rPr>
        <w:t>stinctive</w:t>
      </w:r>
      <w:r w:rsidRPr="00FC3349">
        <w:rPr>
          <w:rFonts w:asciiTheme="minorHAnsi" w:hAnsiTheme="minorHAnsi" w:cstheme="minorHAnsi"/>
          <w:sz w:val="24"/>
          <w:szCs w:val="24"/>
        </w:rPr>
        <w:t xml:space="preserve"> trend is due to the changes in socio-economic circumstances, ethnic composition, and housing availability in these boroughs. </w:t>
      </w:r>
      <w:r w:rsidR="001104E7" w:rsidRPr="00FC3349">
        <w:rPr>
          <w:rFonts w:asciiTheme="minorHAnsi" w:hAnsiTheme="minorHAnsi" w:cstheme="minorHAnsi"/>
          <w:sz w:val="24"/>
          <w:szCs w:val="24"/>
        </w:rPr>
        <w:t>In c</w:t>
      </w:r>
      <w:r w:rsidRPr="00FC3349">
        <w:rPr>
          <w:rFonts w:asciiTheme="minorHAnsi" w:hAnsiTheme="minorHAnsi" w:cstheme="minorHAnsi"/>
          <w:sz w:val="24"/>
          <w:szCs w:val="24"/>
        </w:rPr>
        <w:t xml:space="preserve">ontrast, Outer London </w:t>
      </w:r>
      <w:proofErr w:type="spellStart"/>
      <w:r w:rsidRPr="00FC3349">
        <w:rPr>
          <w:rFonts w:asciiTheme="minorHAnsi" w:hAnsiTheme="minorHAnsi" w:cstheme="minorHAnsi"/>
          <w:sz w:val="24"/>
          <w:szCs w:val="24"/>
        </w:rPr>
        <w:t>LADs</w:t>
      </w:r>
      <w:proofErr w:type="spellEnd"/>
      <w:r w:rsidRPr="00FC3349">
        <w:rPr>
          <w:rFonts w:asciiTheme="minorHAnsi" w:hAnsiTheme="minorHAnsi" w:cstheme="minorHAnsi"/>
          <w:sz w:val="24"/>
          <w:szCs w:val="24"/>
        </w:rPr>
        <w:t xml:space="preserve"> have lower conception rates in 1998 and controlling for LAD characteristics </w:t>
      </w:r>
      <w:r w:rsidR="002E4385" w:rsidRPr="00FC3349">
        <w:rPr>
          <w:rFonts w:asciiTheme="minorHAnsi" w:hAnsiTheme="minorHAnsi" w:cstheme="minorHAnsi"/>
          <w:sz w:val="24"/>
          <w:szCs w:val="24"/>
        </w:rPr>
        <w:t xml:space="preserve">largely </w:t>
      </w:r>
      <w:r w:rsidR="004F0A9C" w:rsidRPr="00FC3349">
        <w:rPr>
          <w:rFonts w:asciiTheme="minorHAnsi" w:hAnsiTheme="minorHAnsi" w:cstheme="minorHAnsi"/>
          <w:sz w:val="24"/>
          <w:szCs w:val="24"/>
        </w:rPr>
        <w:t>eliminates</w:t>
      </w:r>
      <w:r w:rsidR="002E4385" w:rsidRPr="00FC3349">
        <w:rPr>
          <w:rFonts w:asciiTheme="minorHAnsi" w:hAnsiTheme="minorHAnsi" w:cstheme="minorHAnsi"/>
          <w:sz w:val="24"/>
          <w:szCs w:val="24"/>
        </w:rPr>
        <w:t xml:space="preserve"> </w:t>
      </w:r>
      <w:r w:rsidRPr="00FC3349">
        <w:rPr>
          <w:rFonts w:asciiTheme="minorHAnsi" w:hAnsiTheme="minorHAnsi" w:cstheme="minorHAnsi"/>
          <w:sz w:val="24"/>
          <w:szCs w:val="24"/>
        </w:rPr>
        <w:t xml:space="preserve">the distinction </w:t>
      </w:r>
      <w:r w:rsidR="00BA3BAC" w:rsidRPr="00FC3349">
        <w:rPr>
          <w:rFonts w:asciiTheme="minorHAnsi" w:hAnsiTheme="minorHAnsi" w:cstheme="minorHAnsi"/>
          <w:sz w:val="24"/>
          <w:szCs w:val="24"/>
        </w:rPr>
        <w:t>to</w:t>
      </w:r>
      <w:r w:rsidRPr="00FC3349">
        <w:rPr>
          <w:rFonts w:asciiTheme="minorHAnsi" w:hAnsiTheme="minorHAnsi" w:cstheme="minorHAnsi"/>
          <w:sz w:val="24"/>
          <w:szCs w:val="24"/>
        </w:rPr>
        <w:t xml:space="preserve"> most urban non-London </w:t>
      </w:r>
      <w:proofErr w:type="spellStart"/>
      <w:r w:rsidRPr="00FC3349">
        <w:rPr>
          <w:rFonts w:asciiTheme="minorHAnsi" w:hAnsiTheme="minorHAnsi" w:cstheme="minorHAnsi"/>
          <w:sz w:val="24"/>
          <w:szCs w:val="24"/>
        </w:rPr>
        <w:t>LADs</w:t>
      </w:r>
      <w:proofErr w:type="spellEnd"/>
      <w:r w:rsidRPr="00FC3349">
        <w:rPr>
          <w:rFonts w:asciiTheme="minorHAnsi" w:hAnsiTheme="minorHAnsi" w:cstheme="minorHAnsi"/>
          <w:sz w:val="24"/>
          <w:szCs w:val="24"/>
        </w:rPr>
        <w:t xml:space="preserve"> </w:t>
      </w:r>
      <w:r w:rsidR="00BA3BAC" w:rsidRPr="00FC3349">
        <w:rPr>
          <w:rFonts w:asciiTheme="minorHAnsi" w:hAnsiTheme="minorHAnsi" w:cstheme="minorHAnsi"/>
          <w:sz w:val="24"/>
          <w:szCs w:val="24"/>
        </w:rPr>
        <w:t>post-2006</w:t>
      </w:r>
      <w:r w:rsidRPr="00FC3349">
        <w:rPr>
          <w:rFonts w:asciiTheme="minorHAnsi" w:hAnsiTheme="minorHAnsi" w:cstheme="minorHAnsi"/>
          <w:sz w:val="24"/>
          <w:szCs w:val="24"/>
        </w:rPr>
        <w:t xml:space="preserve">. </w:t>
      </w:r>
    </w:p>
    <w:p w14:paraId="7CE90FA8" w14:textId="139263E1" w:rsidR="002B793F" w:rsidRPr="00FC3349" w:rsidRDefault="002B793F" w:rsidP="00CD0462">
      <w:pPr>
        <w:rPr>
          <w:rFonts w:asciiTheme="minorHAnsi" w:hAnsiTheme="minorHAnsi" w:cstheme="minorHAnsi"/>
          <w:sz w:val="24"/>
          <w:szCs w:val="24"/>
        </w:rPr>
      </w:pPr>
      <w:r w:rsidRPr="00FC3349">
        <w:rPr>
          <w:rFonts w:asciiTheme="minorHAnsi" w:hAnsiTheme="minorHAnsi" w:cstheme="minorHAnsi"/>
          <w:sz w:val="24"/>
          <w:szCs w:val="24"/>
        </w:rPr>
        <w:lastRenderedPageBreak/>
        <w:t xml:space="preserve">LAD-level deprivation is associated with higher conception rates. </w:t>
      </w:r>
      <w:r w:rsidR="0070428B" w:rsidRPr="00FC3349">
        <w:rPr>
          <w:rFonts w:asciiTheme="minorHAnsi" w:hAnsiTheme="minorHAnsi" w:cstheme="minorHAnsi"/>
          <w:sz w:val="24"/>
          <w:szCs w:val="24"/>
        </w:rPr>
        <w:t xml:space="preserve">As the </w:t>
      </w:r>
      <w:proofErr w:type="spellStart"/>
      <w:r w:rsidR="003D0E97" w:rsidRPr="00FC3349">
        <w:rPr>
          <w:rFonts w:asciiTheme="minorHAnsi" w:hAnsiTheme="minorHAnsi" w:cstheme="minorHAnsi"/>
          <w:sz w:val="24"/>
          <w:szCs w:val="24"/>
        </w:rPr>
        <w:t>JSA</w:t>
      </w:r>
      <w:proofErr w:type="spellEnd"/>
      <w:r w:rsidR="003D0E97" w:rsidRPr="00FC3349">
        <w:rPr>
          <w:rFonts w:asciiTheme="minorHAnsi" w:hAnsiTheme="minorHAnsi" w:cstheme="minorHAnsi"/>
          <w:sz w:val="24"/>
          <w:szCs w:val="24"/>
        </w:rPr>
        <w:t xml:space="preserve"> </w:t>
      </w:r>
      <w:r w:rsidR="0070428B" w:rsidRPr="00FC3349">
        <w:rPr>
          <w:rFonts w:asciiTheme="minorHAnsi" w:hAnsiTheme="minorHAnsi" w:cstheme="minorHAnsi"/>
          <w:sz w:val="24"/>
          <w:szCs w:val="24"/>
        </w:rPr>
        <w:t xml:space="preserve">and Free School Meal measures are correlated, we used the measure which explained more variation. </w:t>
      </w:r>
      <w:r w:rsidRPr="00FC3349">
        <w:rPr>
          <w:rFonts w:asciiTheme="minorHAnsi" w:hAnsiTheme="minorHAnsi" w:cstheme="minorHAnsi"/>
          <w:sz w:val="24"/>
          <w:szCs w:val="24"/>
        </w:rPr>
        <w:t>In 1998, each additional percentage of 18</w:t>
      </w:r>
      <w:r w:rsidR="00985188" w:rsidRPr="00FC3349">
        <w:rPr>
          <w:rFonts w:asciiTheme="minorHAnsi" w:hAnsiTheme="minorHAnsi" w:cstheme="minorHAnsi"/>
          <w:sz w:val="24"/>
          <w:szCs w:val="24"/>
        </w:rPr>
        <w:t xml:space="preserve"> to </w:t>
      </w:r>
      <w:r w:rsidRPr="00FC3349">
        <w:rPr>
          <w:rFonts w:asciiTheme="minorHAnsi" w:hAnsiTheme="minorHAnsi" w:cstheme="minorHAnsi"/>
          <w:sz w:val="24"/>
          <w:szCs w:val="24"/>
        </w:rPr>
        <w:t>24</w:t>
      </w:r>
      <w:r w:rsidR="008F64A0" w:rsidRPr="00FC3349">
        <w:rPr>
          <w:rFonts w:asciiTheme="minorHAnsi" w:hAnsiTheme="minorHAnsi" w:cstheme="minorHAnsi"/>
          <w:sz w:val="24"/>
          <w:szCs w:val="24"/>
        </w:rPr>
        <w:t>-</w:t>
      </w:r>
      <w:r w:rsidR="00DC7FA0" w:rsidRPr="00FC3349">
        <w:rPr>
          <w:rFonts w:asciiTheme="minorHAnsi" w:hAnsiTheme="minorHAnsi" w:cstheme="minorHAnsi"/>
          <w:sz w:val="24"/>
          <w:szCs w:val="24"/>
        </w:rPr>
        <w:t>year-olds</w:t>
      </w:r>
      <w:r w:rsidRPr="00FC3349">
        <w:rPr>
          <w:rFonts w:asciiTheme="minorHAnsi" w:hAnsiTheme="minorHAnsi" w:cstheme="minorHAnsi"/>
          <w:sz w:val="24"/>
          <w:szCs w:val="24"/>
        </w:rPr>
        <w:t xml:space="preserve"> claiming for </w:t>
      </w:r>
      <w:proofErr w:type="spellStart"/>
      <w:r w:rsidR="004E2B55" w:rsidRPr="00FC3349">
        <w:rPr>
          <w:rFonts w:asciiTheme="minorHAnsi" w:hAnsiTheme="minorHAnsi" w:cstheme="minorHAnsi"/>
          <w:sz w:val="24"/>
          <w:szCs w:val="24"/>
        </w:rPr>
        <w:t>JSA</w:t>
      </w:r>
      <w:proofErr w:type="spellEnd"/>
      <w:r w:rsidR="004E2B55" w:rsidRPr="00FC3349">
        <w:rPr>
          <w:rFonts w:asciiTheme="minorHAnsi" w:hAnsiTheme="minorHAnsi" w:cstheme="minorHAnsi"/>
          <w:sz w:val="24"/>
          <w:szCs w:val="24"/>
        </w:rPr>
        <w:t xml:space="preserve"> </w:t>
      </w:r>
      <w:r w:rsidRPr="00FC3349">
        <w:rPr>
          <w:rFonts w:asciiTheme="minorHAnsi" w:hAnsiTheme="minorHAnsi" w:cstheme="minorHAnsi"/>
          <w:sz w:val="24"/>
          <w:szCs w:val="24"/>
        </w:rPr>
        <w:t xml:space="preserve">is associated with a 0.89 increase in conception rates, which changes to 0.59 (0.89 for 1998 minus 0.30 for the time interaction) </w:t>
      </w:r>
      <w:r w:rsidR="00985188" w:rsidRPr="00FC3349">
        <w:rPr>
          <w:rFonts w:asciiTheme="minorHAnsi" w:hAnsiTheme="minorHAnsi" w:cstheme="minorHAnsi"/>
          <w:sz w:val="24"/>
          <w:szCs w:val="24"/>
        </w:rPr>
        <w:t>between</w:t>
      </w:r>
      <w:r w:rsidRPr="00FC3349">
        <w:rPr>
          <w:rFonts w:asciiTheme="minorHAnsi" w:hAnsiTheme="minorHAnsi" w:cstheme="minorHAnsi"/>
          <w:sz w:val="24"/>
          <w:szCs w:val="24"/>
        </w:rPr>
        <w:t xml:space="preserve"> 2006</w:t>
      </w:r>
      <w:r w:rsidR="00985188" w:rsidRPr="00FC3349">
        <w:rPr>
          <w:rFonts w:asciiTheme="minorHAnsi" w:hAnsiTheme="minorHAnsi" w:cstheme="minorHAnsi"/>
          <w:sz w:val="24"/>
          <w:szCs w:val="24"/>
        </w:rPr>
        <w:t xml:space="preserve"> and </w:t>
      </w:r>
      <w:r w:rsidRPr="00FC3349">
        <w:rPr>
          <w:rFonts w:asciiTheme="minorHAnsi" w:hAnsiTheme="minorHAnsi" w:cstheme="minorHAnsi"/>
          <w:sz w:val="24"/>
          <w:szCs w:val="24"/>
        </w:rPr>
        <w:t xml:space="preserve">2010. Therefore, each unit of </w:t>
      </w:r>
      <w:proofErr w:type="spellStart"/>
      <w:r w:rsidRPr="00FC3349">
        <w:rPr>
          <w:rFonts w:asciiTheme="minorHAnsi" w:hAnsiTheme="minorHAnsi" w:cstheme="minorHAnsi"/>
          <w:sz w:val="24"/>
          <w:szCs w:val="24"/>
        </w:rPr>
        <w:t>JSA</w:t>
      </w:r>
      <w:proofErr w:type="spellEnd"/>
      <w:r w:rsidRPr="00FC3349">
        <w:rPr>
          <w:rFonts w:asciiTheme="minorHAnsi" w:hAnsiTheme="minorHAnsi" w:cstheme="minorHAnsi"/>
          <w:sz w:val="24"/>
          <w:szCs w:val="24"/>
        </w:rPr>
        <w:t xml:space="preserve"> predicts a higher rate of teenage conceptions in 1998</w:t>
      </w:r>
      <w:r w:rsidR="00525D05" w:rsidRPr="00FC3349">
        <w:rPr>
          <w:rFonts w:asciiTheme="minorHAnsi" w:hAnsiTheme="minorHAnsi" w:cstheme="minorHAnsi"/>
          <w:sz w:val="24"/>
          <w:szCs w:val="24"/>
        </w:rPr>
        <w:t xml:space="preserve"> to </w:t>
      </w:r>
      <w:r w:rsidRPr="00FC3349">
        <w:rPr>
          <w:rFonts w:asciiTheme="minorHAnsi" w:hAnsiTheme="minorHAnsi" w:cstheme="minorHAnsi"/>
          <w:sz w:val="24"/>
          <w:szCs w:val="24"/>
        </w:rPr>
        <w:t>2005 and 2011</w:t>
      </w:r>
      <w:r w:rsidR="00525D05" w:rsidRPr="00FC3349">
        <w:rPr>
          <w:rFonts w:asciiTheme="minorHAnsi" w:hAnsiTheme="minorHAnsi" w:cstheme="minorHAnsi"/>
          <w:sz w:val="24"/>
          <w:szCs w:val="24"/>
        </w:rPr>
        <w:t xml:space="preserve"> to </w:t>
      </w:r>
      <w:r w:rsidRPr="00FC3349">
        <w:rPr>
          <w:rFonts w:asciiTheme="minorHAnsi" w:hAnsiTheme="minorHAnsi" w:cstheme="minorHAnsi"/>
          <w:sz w:val="24"/>
          <w:szCs w:val="24"/>
        </w:rPr>
        <w:t xml:space="preserve">2017 compared </w:t>
      </w:r>
      <w:r w:rsidR="00525D05" w:rsidRPr="00FC3349">
        <w:rPr>
          <w:rFonts w:asciiTheme="minorHAnsi" w:hAnsiTheme="minorHAnsi" w:cstheme="minorHAnsi"/>
          <w:sz w:val="24"/>
          <w:szCs w:val="24"/>
        </w:rPr>
        <w:t xml:space="preserve">with </w:t>
      </w:r>
      <w:r w:rsidRPr="00FC3349">
        <w:rPr>
          <w:rFonts w:asciiTheme="minorHAnsi" w:hAnsiTheme="minorHAnsi" w:cstheme="minorHAnsi"/>
          <w:sz w:val="24"/>
          <w:szCs w:val="24"/>
        </w:rPr>
        <w:t>2006</w:t>
      </w:r>
      <w:r w:rsidR="00525D05" w:rsidRPr="00FC3349">
        <w:rPr>
          <w:rFonts w:asciiTheme="minorHAnsi" w:hAnsiTheme="minorHAnsi" w:cstheme="minorHAnsi"/>
          <w:sz w:val="24"/>
          <w:szCs w:val="24"/>
        </w:rPr>
        <w:t xml:space="preserve"> to </w:t>
      </w:r>
      <w:r w:rsidRPr="00FC3349">
        <w:rPr>
          <w:rFonts w:asciiTheme="minorHAnsi" w:hAnsiTheme="minorHAnsi" w:cstheme="minorHAnsi"/>
          <w:sz w:val="24"/>
          <w:szCs w:val="24"/>
        </w:rPr>
        <w:t xml:space="preserve">2010. </w:t>
      </w:r>
    </w:p>
    <w:p w14:paraId="7637C513" w14:textId="5D552839" w:rsidR="002B793F" w:rsidRPr="00FC3349" w:rsidRDefault="004933D3" w:rsidP="00CD0462">
      <w:pPr>
        <w:rPr>
          <w:rFonts w:asciiTheme="minorHAnsi" w:hAnsiTheme="minorHAnsi" w:cstheme="minorHAnsi"/>
          <w:sz w:val="24"/>
          <w:szCs w:val="24"/>
        </w:rPr>
      </w:pPr>
      <w:r w:rsidRPr="00FC3349">
        <w:rPr>
          <w:rFonts w:asciiTheme="minorHAnsi" w:hAnsiTheme="minorHAnsi" w:cstheme="minorHAnsi"/>
          <w:sz w:val="24"/>
          <w:szCs w:val="24"/>
        </w:rPr>
        <w:t>Greater</w:t>
      </w:r>
      <w:r w:rsidR="002B793F" w:rsidRPr="00FC3349">
        <w:rPr>
          <w:rFonts w:asciiTheme="minorHAnsi" w:hAnsiTheme="minorHAnsi" w:cstheme="minorHAnsi"/>
          <w:sz w:val="24"/>
          <w:szCs w:val="24"/>
        </w:rPr>
        <w:t xml:space="preserve"> housing unaffordability and less social housing </w:t>
      </w:r>
      <w:r w:rsidR="00525D05" w:rsidRPr="00FC3349">
        <w:rPr>
          <w:rFonts w:asciiTheme="minorHAnsi" w:hAnsiTheme="minorHAnsi" w:cstheme="minorHAnsi"/>
          <w:sz w:val="24"/>
          <w:szCs w:val="24"/>
        </w:rPr>
        <w:t xml:space="preserve">availability </w:t>
      </w:r>
      <w:r w:rsidR="002B793F" w:rsidRPr="00FC3349">
        <w:rPr>
          <w:rFonts w:asciiTheme="minorHAnsi" w:hAnsiTheme="minorHAnsi" w:cstheme="minorHAnsi"/>
          <w:sz w:val="24"/>
          <w:szCs w:val="24"/>
        </w:rPr>
        <w:t xml:space="preserve">are significantly associated with lower conception rates, with </w:t>
      </w:r>
      <w:r w:rsidR="00525D05" w:rsidRPr="00FC3349">
        <w:rPr>
          <w:rFonts w:asciiTheme="minorHAnsi" w:hAnsiTheme="minorHAnsi" w:cstheme="minorHAnsi"/>
          <w:sz w:val="24"/>
          <w:szCs w:val="24"/>
        </w:rPr>
        <w:t xml:space="preserve">this effect </w:t>
      </w:r>
      <w:r w:rsidR="002B793F" w:rsidRPr="00FC3349">
        <w:rPr>
          <w:rFonts w:asciiTheme="minorHAnsi" w:hAnsiTheme="minorHAnsi" w:cstheme="minorHAnsi"/>
          <w:sz w:val="24"/>
          <w:szCs w:val="24"/>
        </w:rPr>
        <w:t>weakening through the period.</w:t>
      </w:r>
      <w:r w:rsidR="006D3340">
        <w:rPr>
          <w:rFonts w:asciiTheme="minorHAnsi" w:hAnsiTheme="minorHAnsi" w:cstheme="minorHAnsi"/>
          <w:sz w:val="24"/>
          <w:szCs w:val="24"/>
        </w:rPr>
        <w:t xml:space="preserve"> </w:t>
      </w:r>
      <w:r w:rsidR="001D6F2F" w:rsidRPr="001D6F2F">
        <w:rPr>
          <w:rFonts w:asciiTheme="minorHAnsi" w:hAnsiTheme="minorHAnsi" w:cstheme="minorHAnsi"/>
          <w:sz w:val="24"/>
          <w:szCs w:val="24"/>
        </w:rPr>
        <w:t xml:space="preserve">We find mainly weak (negative) relationships between LAD educational attainment and teenage conception rates, apart from a large negative interaction effect (-0.48) with GCSE attainment in 2006-2010. So, each unit of GCSE attainment has a greater predictive ability for under-18 conception rates in 2006-2010, whilst other variables like </w:t>
      </w:r>
      <w:proofErr w:type="spellStart"/>
      <w:r w:rsidR="001D6F2F" w:rsidRPr="001D6F2F">
        <w:rPr>
          <w:rFonts w:asciiTheme="minorHAnsi" w:hAnsiTheme="minorHAnsi" w:cstheme="minorHAnsi"/>
          <w:sz w:val="24"/>
          <w:szCs w:val="24"/>
        </w:rPr>
        <w:t>JSA</w:t>
      </w:r>
      <w:proofErr w:type="spellEnd"/>
      <w:r w:rsidR="001D6F2F" w:rsidRPr="001D6F2F">
        <w:rPr>
          <w:rFonts w:asciiTheme="minorHAnsi" w:hAnsiTheme="minorHAnsi" w:cstheme="minorHAnsi"/>
          <w:sz w:val="24"/>
          <w:szCs w:val="24"/>
        </w:rPr>
        <w:t>, housing affordability, or social housing have smaller effects. Due to this large interaction, during model building we found that including this interaction between time and educational attainment in Model 2 changes the overall time coefficient for 2006-2010 from a negative to 26.07. The other relationships in Model 2 were unchanged after including this interaction</w:t>
      </w:r>
      <w:r w:rsidR="002923FD" w:rsidRPr="002923FD">
        <w:t xml:space="preserve"> </w:t>
      </w:r>
      <w:r w:rsidR="002923FD" w:rsidRPr="002923FD">
        <w:rPr>
          <w:rFonts w:asciiTheme="minorHAnsi" w:hAnsiTheme="minorHAnsi" w:cstheme="minorHAnsi"/>
          <w:sz w:val="24"/>
          <w:szCs w:val="24"/>
        </w:rPr>
        <w:t xml:space="preserve">and, when predicted values are calculated, this </w:t>
      </w:r>
      <w:r w:rsidR="00263F39">
        <w:rPr>
          <w:rFonts w:asciiTheme="minorHAnsi" w:hAnsiTheme="minorHAnsi" w:cstheme="minorHAnsi"/>
          <w:sz w:val="24"/>
          <w:szCs w:val="24"/>
        </w:rPr>
        <w:t xml:space="preserve">positive coefficient for </w:t>
      </w:r>
      <w:r w:rsidR="002923FD" w:rsidRPr="002923FD">
        <w:rPr>
          <w:rFonts w:asciiTheme="minorHAnsi" w:hAnsiTheme="minorHAnsi" w:cstheme="minorHAnsi"/>
          <w:sz w:val="24"/>
          <w:szCs w:val="24"/>
        </w:rPr>
        <w:t xml:space="preserve">2006-2010 </w:t>
      </w:r>
      <w:r w:rsidR="00263F39">
        <w:rPr>
          <w:rFonts w:asciiTheme="minorHAnsi" w:hAnsiTheme="minorHAnsi" w:cstheme="minorHAnsi"/>
          <w:sz w:val="24"/>
          <w:szCs w:val="24"/>
        </w:rPr>
        <w:t xml:space="preserve">is largely </w:t>
      </w:r>
      <w:r w:rsidR="00CD344D">
        <w:rPr>
          <w:rFonts w:asciiTheme="minorHAnsi" w:hAnsiTheme="minorHAnsi" w:cstheme="minorHAnsi"/>
          <w:sz w:val="24"/>
          <w:szCs w:val="24"/>
        </w:rPr>
        <w:t>offset</w:t>
      </w:r>
      <w:r w:rsidR="00263F39">
        <w:rPr>
          <w:rFonts w:asciiTheme="minorHAnsi" w:hAnsiTheme="minorHAnsi" w:cstheme="minorHAnsi"/>
          <w:sz w:val="24"/>
          <w:szCs w:val="24"/>
        </w:rPr>
        <w:t xml:space="preserve"> by the coefficient from the interaction between 2006-2010 and education</w:t>
      </w:r>
      <w:r w:rsidR="002923FD" w:rsidRPr="002923FD">
        <w:rPr>
          <w:rFonts w:asciiTheme="minorHAnsi" w:hAnsiTheme="minorHAnsi" w:cstheme="minorHAnsi"/>
          <w:sz w:val="24"/>
          <w:szCs w:val="24"/>
        </w:rPr>
        <w:t xml:space="preserve"> (as presented in Figure 2)</w:t>
      </w:r>
      <w:r w:rsidR="001D6F2F" w:rsidRPr="001D6F2F">
        <w:rPr>
          <w:rFonts w:asciiTheme="minorHAnsi" w:hAnsiTheme="minorHAnsi" w:cstheme="minorHAnsi"/>
          <w:sz w:val="24"/>
          <w:szCs w:val="24"/>
        </w:rPr>
        <w:t>.</w:t>
      </w:r>
    </w:p>
    <w:p w14:paraId="42438B24" w14:textId="37A46B75" w:rsidR="002B793F" w:rsidRPr="00FC3349" w:rsidRDefault="002B793F" w:rsidP="00CD0462">
      <w:pPr>
        <w:rPr>
          <w:rFonts w:asciiTheme="minorHAnsi" w:hAnsiTheme="minorHAnsi" w:cstheme="minorHAnsi"/>
          <w:sz w:val="24"/>
          <w:szCs w:val="24"/>
        </w:rPr>
      </w:pPr>
      <w:r w:rsidRPr="00FC3349">
        <w:rPr>
          <w:rFonts w:asciiTheme="minorHAnsi" w:hAnsiTheme="minorHAnsi" w:cstheme="minorHAnsi"/>
          <w:sz w:val="24"/>
          <w:szCs w:val="24"/>
        </w:rPr>
        <w:t xml:space="preserve">Ethnic diversity is associated with </w:t>
      </w:r>
      <w:r w:rsidR="003D605B" w:rsidRPr="00FC3349">
        <w:rPr>
          <w:rFonts w:asciiTheme="minorHAnsi" w:hAnsiTheme="minorHAnsi" w:cstheme="minorHAnsi"/>
          <w:sz w:val="24"/>
          <w:szCs w:val="24"/>
        </w:rPr>
        <w:t xml:space="preserve">rates </w:t>
      </w:r>
      <w:r w:rsidRPr="00FC3349">
        <w:rPr>
          <w:rFonts w:asciiTheme="minorHAnsi" w:hAnsiTheme="minorHAnsi" w:cstheme="minorHAnsi"/>
          <w:sz w:val="24"/>
          <w:szCs w:val="24"/>
        </w:rPr>
        <w:t>of teenage conceptions, but th</w:t>
      </w:r>
      <w:r w:rsidR="00FB65A5" w:rsidRPr="00FC3349">
        <w:rPr>
          <w:rFonts w:asciiTheme="minorHAnsi" w:hAnsiTheme="minorHAnsi" w:cstheme="minorHAnsi"/>
          <w:sz w:val="24"/>
          <w:szCs w:val="24"/>
        </w:rPr>
        <w:t>is</w:t>
      </w:r>
      <w:r w:rsidRPr="00FC3349">
        <w:rPr>
          <w:rFonts w:asciiTheme="minorHAnsi" w:hAnsiTheme="minorHAnsi" w:cstheme="minorHAnsi"/>
          <w:sz w:val="24"/>
          <w:szCs w:val="24"/>
        </w:rPr>
        <w:t xml:space="preserve"> changes across the period. In 1998, each percentage increase in Black teenagers is associated with a 0.51 higher conception rate, but this coefficient declines to become small and negative or close to zero in 2006</w:t>
      </w:r>
      <w:r w:rsidR="00FB65A5" w:rsidRPr="00FC3349">
        <w:rPr>
          <w:rFonts w:asciiTheme="minorHAnsi" w:hAnsiTheme="minorHAnsi" w:cstheme="minorHAnsi"/>
          <w:sz w:val="24"/>
          <w:szCs w:val="24"/>
        </w:rPr>
        <w:t xml:space="preserve"> to </w:t>
      </w:r>
      <w:r w:rsidRPr="00FC3349">
        <w:rPr>
          <w:rFonts w:asciiTheme="minorHAnsi" w:hAnsiTheme="minorHAnsi" w:cstheme="minorHAnsi"/>
          <w:sz w:val="24"/>
          <w:szCs w:val="24"/>
        </w:rPr>
        <w:t xml:space="preserve">2017 (Model 2). Teenage conceptions are lower in </w:t>
      </w:r>
      <w:proofErr w:type="spellStart"/>
      <w:r w:rsidRPr="00FC3349">
        <w:rPr>
          <w:rFonts w:asciiTheme="minorHAnsi" w:hAnsiTheme="minorHAnsi" w:cstheme="minorHAnsi"/>
          <w:sz w:val="24"/>
          <w:szCs w:val="24"/>
        </w:rPr>
        <w:t>LADs</w:t>
      </w:r>
      <w:proofErr w:type="spellEnd"/>
      <w:r w:rsidRPr="00FC3349">
        <w:rPr>
          <w:rFonts w:asciiTheme="minorHAnsi" w:hAnsiTheme="minorHAnsi" w:cstheme="minorHAnsi"/>
          <w:sz w:val="24"/>
          <w:szCs w:val="24"/>
        </w:rPr>
        <w:t xml:space="preserve"> with higher proportions of South Asian teenagers, with significant coefficients </w:t>
      </w:r>
      <w:r w:rsidR="002D730C" w:rsidRPr="00FC3349">
        <w:rPr>
          <w:rFonts w:asciiTheme="minorHAnsi" w:hAnsiTheme="minorHAnsi" w:cstheme="minorHAnsi"/>
          <w:sz w:val="24"/>
          <w:szCs w:val="24"/>
        </w:rPr>
        <w:t>from</w:t>
      </w:r>
      <w:r w:rsidRPr="00FC3349">
        <w:rPr>
          <w:rFonts w:asciiTheme="minorHAnsi" w:hAnsiTheme="minorHAnsi" w:cstheme="minorHAnsi"/>
          <w:sz w:val="24"/>
          <w:szCs w:val="24"/>
        </w:rPr>
        <w:t xml:space="preserve"> 1999</w:t>
      </w:r>
      <w:r w:rsidR="00FB65A5" w:rsidRPr="00FC3349">
        <w:rPr>
          <w:rFonts w:asciiTheme="minorHAnsi" w:hAnsiTheme="minorHAnsi" w:cstheme="minorHAnsi"/>
          <w:sz w:val="24"/>
          <w:szCs w:val="24"/>
        </w:rPr>
        <w:t xml:space="preserve"> to </w:t>
      </w:r>
      <w:r w:rsidRPr="00FC3349">
        <w:rPr>
          <w:rFonts w:asciiTheme="minorHAnsi" w:hAnsiTheme="minorHAnsi" w:cstheme="minorHAnsi"/>
          <w:sz w:val="24"/>
          <w:szCs w:val="24"/>
        </w:rPr>
        <w:t xml:space="preserve">2010. </w:t>
      </w:r>
      <w:r w:rsidR="00FD738F" w:rsidRPr="00FC3349">
        <w:rPr>
          <w:rFonts w:asciiTheme="minorHAnsi" w:hAnsiTheme="minorHAnsi" w:cstheme="minorHAnsi"/>
          <w:sz w:val="24"/>
          <w:szCs w:val="24"/>
        </w:rPr>
        <w:t xml:space="preserve">Without London, the association between </w:t>
      </w:r>
      <w:r w:rsidR="0088014E" w:rsidRPr="00FC3349">
        <w:rPr>
          <w:rFonts w:asciiTheme="minorHAnsi" w:hAnsiTheme="minorHAnsi" w:cstheme="minorHAnsi"/>
          <w:sz w:val="24"/>
          <w:szCs w:val="24"/>
        </w:rPr>
        <w:t xml:space="preserve">more Black or South Asian teenagers and conception rates largely disappear. </w:t>
      </w:r>
    </w:p>
    <w:p w14:paraId="3F2A57DD" w14:textId="1FC70A24" w:rsidR="002B793F" w:rsidRPr="003D099F" w:rsidRDefault="007259E2" w:rsidP="00CD0462">
      <w:pPr>
        <w:rPr>
          <w:rFonts w:asciiTheme="minorHAnsi" w:hAnsiTheme="minorHAnsi" w:cstheme="minorHAnsi"/>
          <w:sz w:val="24"/>
          <w:szCs w:val="24"/>
        </w:rPr>
      </w:pPr>
      <w:r w:rsidRPr="00FC3349">
        <w:rPr>
          <w:rFonts w:asciiTheme="minorHAnsi" w:hAnsiTheme="minorHAnsi" w:cstheme="minorHAnsi"/>
          <w:sz w:val="24"/>
          <w:szCs w:val="24"/>
        </w:rPr>
        <w:t xml:space="preserve">The amount of </w:t>
      </w:r>
      <w:r w:rsidR="00C72B8F">
        <w:rPr>
          <w:rFonts w:asciiTheme="minorHAnsi" w:hAnsiTheme="minorHAnsi" w:cstheme="minorHAnsi"/>
          <w:sz w:val="24"/>
          <w:szCs w:val="24"/>
        </w:rPr>
        <w:t xml:space="preserve">received </w:t>
      </w:r>
      <w:r w:rsidRPr="00FC3349">
        <w:rPr>
          <w:rFonts w:asciiTheme="minorHAnsi" w:hAnsiTheme="minorHAnsi" w:cstheme="minorHAnsi"/>
          <w:sz w:val="24"/>
          <w:szCs w:val="24"/>
        </w:rPr>
        <w:t xml:space="preserve">TPS funding was allocated using </w:t>
      </w:r>
      <w:r w:rsidR="00EB6638">
        <w:rPr>
          <w:rFonts w:asciiTheme="minorHAnsi" w:hAnsiTheme="minorHAnsi" w:cstheme="minorHAnsi"/>
          <w:sz w:val="24"/>
          <w:szCs w:val="24"/>
        </w:rPr>
        <w:t>pre-TPS</w:t>
      </w:r>
      <w:r w:rsidRPr="00FC3349">
        <w:rPr>
          <w:rFonts w:asciiTheme="minorHAnsi" w:hAnsiTheme="minorHAnsi" w:cstheme="minorHAnsi"/>
          <w:sz w:val="24"/>
          <w:szCs w:val="24"/>
        </w:rPr>
        <w:t xml:space="preserve"> rates of teenage conceptions and if areas had a high population of young people, therefore a</w:t>
      </w:r>
      <w:r w:rsidR="002B793F" w:rsidRPr="00FC3349">
        <w:rPr>
          <w:rFonts w:asciiTheme="minorHAnsi" w:hAnsiTheme="minorHAnsi" w:cstheme="minorHAnsi"/>
          <w:sz w:val="24"/>
          <w:szCs w:val="24"/>
        </w:rPr>
        <w:t xml:space="preserve">reas </w:t>
      </w:r>
      <w:r w:rsidRPr="00FC3349">
        <w:rPr>
          <w:rFonts w:asciiTheme="minorHAnsi" w:hAnsiTheme="minorHAnsi" w:cstheme="minorHAnsi"/>
          <w:sz w:val="24"/>
          <w:szCs w:val="24"/>
        </w:rPr>
        <w:t xml:space="preserve">with higher initial rates </w:t>
      </w:r>
      <w:r w:rsidR="00FC718A">
        <w:rPr>
          <w:rFonts w:asciiTheme="minorHAnsi" w:hAnsiTheme="minorHAnsi" w:cstheme="minorHAnsi"/>
          <w:sz w:val="24"/>
          <w:szCs w:val="24"/>
        </w:rPr>
        <w:t xml:space="preserve">received </w:t>
      </w:r>
      <w:r w:rsidR="002B793F" w:rsidRPr="00FC3349">
        <w:rPr>
          <w:rFonts w:asciiTheme="minorHAnsi" w:hAnsiTheme="minorHAnsi" w:cstheme="minorHAnsi"/>
          <w:sz w:val="24"/>
          <w:szCs w:val="24"/>
        </w:rPr>
        <w:t xml:space="preserve">more TPS funding </w:t>
      </w:r>
      <w:r w:rsidR="00383036" w:rsidRPr="00FC3349">
        <w:rPr>
          <w:rFonts w:asciiTheme="minorHAnsi" w:hAnsiTheme="minorHAnsi" w:cstheme="minorHAnsi"/>
          <w:sz w:val="24"/>
          <w:szCs w:val="24"/>
        </w:rPr>
        <w:t>(</w:t>
      </w:r>
      <w:r w:rsidR="00B56015" w:rsidRPr="00FC3349">
        <w:rPr>
          <w:rFonts w:asciiTheme="minorHAnsi" w:hAnsiTheme="minorHAnsi" w:cstheme="minorHAnsi"/>
          <w:sz w:val="24"/>
          <w:szCs w:val="24"/>
        </w:rPr>
        <w:t>Author</w:t>
      </w:r>
      <w:r w:rsidR="00EF1701" w:rsidRPr="00FC3349">
        <w:rPr>
          <w:rFonts w:asciiTheme="minorHAnsi" w:hAnsiTheme="minorHAnsi" w:cstheme="minorHAnsi"/>
          <w:sz w:val="24"/>
          <w:szCs w:val="24"/>
        </w:rPr>
        <w:t xml:space="preserve"> et al.</w:t>
      </w:r>
      <w:r w:rsidR="00B56015" w:rsidRPr="00FC3349">
        <w:rPr>
          <w:rFonts w:asciiTheme="minorHAnsi" w:hAnsiTheme="minorHAnsi" w:cstheme="minorHAnsi"/>
          <w:sz w:val="24"/>
          <w:szCs w:val="24"/>
        </w:rPr>
        <w:t>,</w:t>
      </w:r>
      <w:r w:rsidR="00874BCE" w:rsidRPr="00FC3349">
        <w:rPr>
          <w:rFonts w:asciiTheme="minorHAnsi" w:hAnsiTheme="minorHAnsi" w:cstheme="minorHAnsi"/>
          <w:sz w:val="24"/>
          <w:szCs w:val="24"/>
        </w:rPr>
        <w:t xml:space="preserve"> 2017</w:t>
      </w:r>
      <w:r w:rsidR="00383036" w:rsidRPr="00FC3349">
        <w:rPr>
          <w:rFonts w:asciiTheme="minorHAnsi" w:hAnsiTheme="minorHAnsi" w:cstheme="minorHAnsi"/>
          <w:sz w:val="24"/>
          <w:szCs w:val="24"/>
        </w:rPr>
        <w:t>)</w:t>
      </w:r>
      <w:r w:rsidR="00E33866" w:rsidRPr="00FC3349">
        <w:rPr>
          <w:rFonts w:asciiTheme="minorHAnsi" w:hAnsiTheme="minorHAnsi" w:cstheme="minorHAnsi"/>
          <w:sz w:val="24"/>
          <w:szCs w:val="24"/>
        </w:rPr>
        <w:t>.</w:t>
      </w:r>
      <w:r w:rsidR="002B793F" w:rsidRPr="00FC3349">
        <w:rPr>
          <w:rFonts w:asciiTheme="minorHAnsi" w:hAnsiTheme="minorHAnsi" w:cstheme="minorHAnsi"/>
          <w:sz w:val="24"/>
          <w:szCs w:val="24"/>
        </w:rPr>
        <w:t xml:space="preserve"> The results in Table 1 reflect that this remains the case even after controlling for LAD characteristics and does not vary over time.</w:t>
      </w:r>
      <w:r w:rsidR="006D3340">
        <w:rPr>
          <w:rFonts w:asciiTheme="minorHAnsi" w:hAnsiTheme="minorHAnsi" w:cstheme="minorHAnsi"/>
          <w:sz w:val="24"/>
          <w:szCs w:val="24"/>
        </w:rPr>
        <w:t xml:space="preserve"> </w:t>
      </w:r>
    </w:p>
    <w:p w14:paraId="7AA17E1C" w14:textId="0034D9FD" w:rsidR="00A12929" w:rsidRPr="00564D6D" w:rsidRDefault="002B793F" w:rsidP="00A12929">
      <w:pPr>
        <w:rPr>
          <w:rFonts w:asciiTheme="minorHAnsi" w:hAnsiTheme="minorHAnsi" w:cstheme="minorHAnsi"/>
          <w:sz w:val="24"/>
          <w:szCs w:val="24"/>
        </w:rPr>
      </w:pPr>
      <w:r w:rsidRPr="003D099F">
        <w:rPr>
          <w:rFonts w:asciiTheme="minorHAnsi" w:hAnsiTheme="minorHAnsi" w:cstheme="minorHAnsi"/>
          <w:sz w:val="24"/>
          <w:szCs w:val="24"/>
        </w:rPr>
        <w:lastRenderedPageBreak/>
        <w:t xml:space="preserve">The </w:t>
      </w:r>
      <m:oMath>
        <m:sSub>
          <m:sSubPr>
            <m:ctrlPr>
              <w:rPr>
                <w:rFonts w:ascii="Cambria Math" w:hAnsi="Cambria Math" w:cstheme="minorHAnsi"/>
                <w:i/>
                <w:sz w:val="24"/>
                <w:szCs w:val="24"/>
                <w:lang w:eastAsia="en-GB"/>
              </w:rPr>
            </m:ctrlPr>
          </m:sSubPr>
          <m:e>
            <m:r>
              <w:rPr>
                <w:rFonts w:ascii="Cambria Math" w:hAnsi="Cambria Math" w:cstheme="minorHAnsi"/>
                <w:sz w:val="24"/>
                <w:szCs w:val="24"/>
                <w:lang w:eastAsia="en-GB"/>
              </w:rPr>
              <m:t>σ</m:t>
            </m:r>
          </m:e>
          <m:sub>
            <m:r>
              <w:rPr>
                <w:rFonts w:ascii="Cambria Math" w:hAnsi="Cambria Math" w:cstheme="minorHAnsi"/>
                <w:sz w:val="24"/>
                <w:szCs w:val="24"/>
                <w:lang w:eastAsia="en-GB"/>
              </w:rPr>
              <m:t>u</m:t>
            </m:r>
          </m:sub>
        </m:sSub>
      </m:oMath>
      <w:r w:rsidRPr="003D099F">
        <w:rPr>
          <w:rFonts w:asciiTheme="minorHAnsi" w:hAnsiTheme="minorHAnsi" w:cstheme="minorHAnsi"/>
          <w:sz w:val="24"/>
          <w:szCs w:val="24"/>
        </w:rPr>
        <w:t xml:space="preserve"> captures the between-LAD variation not explained by the model; thus, including the </w:t>
      </w:r>
      <w:bookmarkStart w:id="9" w:name="_Toc535315464"/>
      <w:bookmarkEnd w:id="8"/>
      <w:r w:rsidRPr="003D099F">
        <w:rPr>
          <w:rFonts w:asciiTheme="minorHAnsi" w:hAnsiTheme="minorHAnsi" w:cstheme="minorHAnsi"/>
          <w:sz w:val="24"/>
          <w:szCs w:val="24"/>
        </w:rPr>
        <w:t>LAD characteristics partly e</w:t>
      </w:r>
      <w:proofErr w:type="spellStart"/>
      <w:r w:rsidRPr="001800D8">
        <w:rPr>
          <w:rFonts w:asciiTheme="minorHAnsi" w:hAnsiTheme="minorHAnsi" w:cstheme="minorHAnsi"/>
          <w:sz w:val="24"/>
          <w:szCs w:val="24"/>
        </w:rPr>
        <w:t>xplains</w:t>
      </w:r>
      <w:proofErr w:type="spellEnd"/>
      <w:r w:rsidRPr="001800D8">
        <w:rPr>
          <w:rFonts w:asciiTheme="minorHAnsi" w:hAnsiTheme="minorHAnsi" w:cstheme="minorHAnsi"/>
          <w:sz w:val="24"/>
          <w:szCs w:val="24"/>
        </w:rPr>
        <w:t xml:space="preserve"> between-LAD variation as it is 8.43 pre- and 4.28 post-controls. </w:t>
      </w:r>
      <w:r w:rsidR="004E2B55" w:rsidRPr="00682940">
        <w:rPr>
          <w:rFonts w:asciiTheme="minorHAnsi" w:hAnsiTheme="minorHAnsi" w:cstheme="minorHAnsi"/>
          <w:sz w:val="24"/>
          <w:szCs w:val="24"/>
        </w:rPr>
        <w:t>T</w:t>
      </w:r>
      <w:r w:rsidRPr="00682940">
        <w:rPr>
          <w:rFonts w:asciiTheme="minorHAnsi" w:hAnsiTheme="minorHAnsi" w:cstheme="minorHAnsi"/>
          <w:sz w:val="24"/>
          <w:szCs w:val="24"/>
        </w:rPr>
        <w:t xml:space="preserve">he within-LAD variation, </w:t>
      </w:r>
      <m:oMath>
        <m:sSub>
          <m:sSubPr>
            <m:ctrlPr>
              <w:rPr>
                <w:rFonts w:ascii="Cambria Math" w:hAnsi="Cambria Math" w:cstheme="minorHAnsi"/>
                <w:i/>
                <w:sz w:val="24"/>
                <w:szCs w:val="24"/>
                <w:lang w:eastAsia="en-GB"/>
              </w:rPr>
            </m:ctrlPr>
          </m:sSubPr>
          <m:e>
            <m:r>
              <w:rPr>
                <w:rFonts w:ascii="Cambria Math" w:hAnsi="Cambria Math" w:cstheme="minorHAnsi"/>
                <w:sz w:val="24"/>
                <w:szCs w:val="24"/>
                <w:lang w:eastAsia="en-GB"/>
              </w:rPr>
              <m:t>σ</m:t>
            </m:r>
          </m:e>
          <m:sub>
            <m:r>
              <w:rPr>
                <w:rFonts w:ascii="Cambria Math" w:hAnsi="Cambria Math" w:cstheme="minorHAnsi"/>
                <w:sz w:val="24"/>
                <w:szCs w:val="24"/>
                <w:lang w:eastAsia="en-GB"/>
              </w:rPr>
              <m:t>e</m:t>
            </m:r>
          </m:sub>
        </m:sSub>
      </m:oMath>
      <w:r w:rsidRPr="003D099F">
        <w:rPr>
          <w:rFonts w:asciiTheme="minorHAnsi" w:eastAsiaTheme="minorEastAsia" w:hAnsiTheme="minorHAnsi" w:cstheme="minorHAnsi"/>
          <w:sz w:val="24"/>
          <w:szCs w:val="24"/>
          <w:lang w:eastAsia="en-GB"/>
        </w:rPr>
        <w:t xml:space="preserve">, </w:t>
      </w:r>
      <w:r w:rsidRPr="003D099F">
        <w:rPr>
          <w:rFonts w:asciiTheme="minorHAnsi" w:hAnsiTheme="minorHAnsi" w:cstheme="minorHAnsi"/>
          <w:sz w:val="24"/>
          <w:szCs w:val="24"/>
        </w:rPr>
        <w:t>reduces from 5.82 to 4.8</w:t>
      </w:r>
      <w:r w:rsidRPr="009C4969">
        <w:rPr>
          <w:rFonts w:asciiTheme="minorHAnsi" w:hAnsiTheme="minorHAnsi" w:cstheme="minorHAnsi"/>
          <w:sz w:val="24"/>
          <w:szCs w:val="24"/>
        </w:rPr>
        <w:t xml:space="preserve">3 post-controls. Therefore, the larger </w:t>
      </w:r>
      <m:oMath>
        <m:sSub>
          <m:sSubPr>
            <m:ctrlPr>
              <w:rPr>
                <w:rFonts w:ascii="Cambria Math" w:hAnsi="Cambria Math" w:cstheme="minorHAnsi"/>
                <w:i/>
                <w:sz w:val="24"/>
                <w:szCs w:val="24"/>
                <w:lang w:eastAsia="en-GB"/>
              </w:rPr>
            </m:ctrlPr>
          </m:sSubPr>
          <m:e>
            <m:r>
              <w:rPr>
                <w:rFonts w:ascii="Cambria Math" w:hAnsi="Cambria Math" w:cstheme="minorHAnsi"/>
                <w:sz w:val="24"/>
                <w:szCs w:val="24"/>
                <w:lang w:eastAsia="en-GB"/>
              </w:rPr>
              <m:t>σ</m:t>
            </m:r>
          </m:e>
          <m:sub>
            <m:r>
              <w:rPr>
                <w:rFonts w:ascii="Cambria Math" w:hAnsi="Cambria Math" w:cstheme="minorHAnsi"/>
                <w:sz w:val="24"/>
                <w:szCs w:val="24"/>
                <w:lang w:eastAsia="en-GB"/>
              </w:rPr>
              <m:t>u</m:t>
            </m:r>
          </m:sub>
        </m:sSub>
      </m:oMath>
      <w:r w:rsidR="006D3340">
        <w:rPr>
          <w:rFonts w:asciiTheme="minorHAnsi" w:hAnsiTheme="minorHAnsi" w:cstheme="minorHAnsi"/>
          <w:sz w:val="24"/>
          <w:szCs w:val="24"/>
        </w:rPr>
        <w:t xml:space="preserve"> </w:t>
      </w:r>
      <w:r w:rsidRPr="003D099F">
        <w:rPr>
          <w:rFonts w:asciiTheme="minorHAnsi" w:hAnsiTheme="minorHAnsi" w:cstheme="minorHAnsi"/>
          <w:sz w:val="24"/>
          <w:szCs w:val="24"/>
        </w:rPr>
        <w:t>reduction demonstrates that LAD characteristics are better at explaining why areas</w:t>
      </w:r>
      <w:r w:rsidRPr="001800D8">
        <w:rPr>
          <w:rFonts w:asciiTheme="minorHAnsi" w:hAnsiTheme="minorHAnsi" w:cstheme="minorHAnsi"/>
          <w:sz w:val="24"/>
          <w:szCs w:val="24"/>
        </w:rPr>
        <w:t xml:space="preserve"> have higher/lower conception rates than the within-LAD </w:t>
      </w:r>
      <w:r w:rsidR="00252D02" w:rsidRPr="005851B6">
        <w:rPr>
          <w:rFonts w:asciiTheme="minorHAnsi" w:hAnsiTheme="minorHAnsi" w:cstheme="minorHAnsi"/>
          <w:sz w:val="24"/>
          <w:szCs w:val="24"/>
        </w:rPr>
        <w:t xml:space="preserve">temporal </w:t>
      </w:r>
      <w:r w:rsidRPr="005851B6">
        <w:rPr>
          <w:rFonts w:asciiTheme="minorHAnsi" w:hAnsiTheme="minorHAnsi" w:cstheme="minorHAnsi"/>
          <w:sz w:val="24"/>
          <w:szCs w:val="24"/>
        </w:rPr>
        <w:t xml:space="preserve">changes. </w:t>
      </w:r>
      <w:bookmarkStart w:id="10" w:name="_Toc18607257"/>
      <w:bookmarkEnd w:id="9"/>
    </w:p>
    <w:p w14:paraId="0921E8E8" w14:textId="23DC846D" w:rsidR="008F64A0" w:rsidRPr="0044286B" w:rsidRDefault="008F64A0" w:rsidP="00A12929">
      <w:pPr>
        <w:rPr>
          <w:rFonts w:asciiTheme="minorHAnsi" w:hAnsiTheme="minorHAnsi" w:cstheme="minorHAnsi"/>
          <w:sz w:val="24"/>
          <w:szCs w:val="24"/>
        </w:rPr>
      </w:pPr>
      <w:r w:rsidRPr="005B55D1">
        <w:rPr>
          <w:rFonts w:asciiTheme="minorHAnsi" w:hAnsiTheme="minorHAnsi" w:cstheme="minorHAnsi"/>
          <w:sz w:val="24"/>
          <w:szCs w:val="24"/>
        </w:rPr>
        <w:t xml:space="preserve">&lt;Table </w:t>
      </w:r>
      <w:r w:rsidR="00396E8E" w:rsidRPr="005B55D1">
        <w:rPr>
          <w:rFonts w:asciiTheme="minorHAnsi" w:hAnsiTheme="minorHAnsi" w:cstheme="minorHAnsi"/>
          <w:sz w:val="24"/>
          <w:szCs w:val="24"/>
        </w:rPr>
        <w:t>2</w:t>
      </w:r>
      <w:r w:rsidRPr="0044286B">
        <w:rPr>
          <w:rFonts w:asciiTheme="minorHAnsi" w:hAnsiTheme="minorHAnsi" w:cstheme="minorHAnsi"/>
          <w:sz w:val="24"/>
          <w:szCs w:val="24"/>
        </w:rPr>
        <w:t>&gt;</w:t>
      </w:r>
    </w:p>
    <w:bookmarkEnd w:id="10"/>
    <w:p w14:paraId="4C50B965" w14:textId="75A218AC" w:rsidR="00952CAC" w:rsidRDefault="002B793F" w:rsidP="00CD0462">
      <w:pPr>
        <w:rPr>
          <w:rFonts w:asciiTheme="minorHAnsi" w:hAnsiTheme="minorHAnsi" w:cstheme="minorHAnsi"/>
          <w:sz w:val="24"/>
          <w:szCs w:val="24"/>
        </w:rPr>
      </w:pPr>
      <w:r w:rsidRPr="0044286B">
        <w:rPr>
          <w:rFonts w:asciiTheme="minorHAnsi" w:hAnsiTheme="minorHAnsi" w:cstheme="minorHAnsi"/>
          <w:sz w:val="24"/>
          <w:szCs w:val="24"/>
        </w:rPr>
        <w:t xml:space="preserve">Table </w:t>
      </w:r>
      <w:r w:rsidR="00396E8E" w:rsidRPr="0044286B">
        <w:rPr>
          <w:rFonts w:asciiTheme="minorHAnsi" w:hAnsiTheme="minorHAnsi" w:cstheme="minorHAnsi"/>
          <w:sz w:val="24"/>
          <w:szCs w:val="24"/>
        </w:rPr>
        <w:t>3</w:t>
      </w:r>
      <w:r w:rsidRPr="0044286B">
        <w:rPr>
          <w:rFonts w:asciiTheme="minorHAnsi" w:hAnsiTheme="minorHAnsi" w:cstheme="minorHAnsi"/>
          <w:sz w:val="24"/>
          <w:szCs w:val="24"/>
        </w:rPr>
        <w:t xml:space="preserve"> presents the fixed effect models which examine how changes in LAD characteristics relate to changes in under-18 conception rates</w:t>
      </w:r>
      <w:r w:rsidR="00396E8E" w:rsidRPr="0044286B">
        <w:rPr>
          <w:rFonts w:asciiTheme="minorHAnsi" w:hAnsiTheme="minorHAnsi" w:cstheme="minorHAnsi"/>
          <w:sz w:val="24"/>
          <w:szCs w:val="24"/>
        </w:rPr>
        <w:t xml:space="preserve"> when controlling for characteristics which are </w:t>
      </w:r>
      <w:r w:rsidR="009C4969">
        <w:rPr>
          <w:rFonts w:asciiTheme="minorHAnsi" w:hAnsiTheme="minorHAnsi" w:cstheme="minorHAnsi"/>
          <w:sz w:val="24"/>
          <w:szCs w:val="24"/>
        </w:rPr>
        <w:t>unaltered</w:t>
      </w:r>
      <w:r w:rsidR="00396E8E" w:rsidRPr="009C4969">
        <w:rPr>
          <w:rFonts w:asciiTheme="minorHAnsi" w:hAnsiTheme="minorHAnsi" w:cstheme="minorHAnsi"/>
          <w:sz w:val="24"/>
          <w:szCs w:val="24"/>
        </w:rPr>
        <w:t xml:space="preserve"> over time</w:t>
      </w:r>
      <w:r w:rsidRPr="009C4969">
        <w:rPr>
          <w:rFonts w:asciiTheme="minorHAnsi" w:hAnsiTheme="minorHAnsi" w:cstheme="minorHAnsi"/>
          <w:sz w:val="24"/>
          <w:szCs w:val="24"/>
        </w:rPr>
        <w:t xml:space="preserve">. </w:t>
      </w:r>
      <w:r w:rsidR="00396E8E" w:rsidRPr="009C4969">
        <w:rPr>
          <w:rFonts w:asciiTheme="minorHAnsi" w:hAnsiTheme="minorHAnsi" w:cstheme="minorHAnsi"/>
          <w:sz w:val="24"/>
          <w:szCs w:val="24"/>
        </w:rPr>
        <w:t xml:space="preserve">Therefore, these fixed effect models can test whether the change in </w:t>
      </w:r>
      <w:r w:rsidR="00396E8E" w:rsidRPr="001800D8">
        <w:rPr>
          <w:rFonts w:asciiTheme="minorHAnsi" w:hAnsiTheme="minorHAnsi" w:cstheme="minorHAnsi"/>
          <w:sz w:val="24"/>
          <w:szCs w:val="24"/>
        </w:rPr>
        <w:t>unde</w:t>
      </w:r>
      <w:r w:rsidR="00396E8E" w:rsidRPr="00682940">
        <w:rPr>
          <w:rFonts w:asciiTheme="minorHAnsi" w:hAnsiTheme="minorHAnsi" w:cstheme="minorHAnsi"/>
          <w:sz w:val="24"/>
          <w:szCs w:val="24"/>
        </w:rPr>
        <w:t>r-18 conception rates w</w:t>
      </w:r>
      <w:r w:rsidR="00396E8E" w:rsidRPr="006532EE">
        <w:rPr>
          <w:rFonts w:asciiTheme="minorHAnsi" w:hAnsiTheme="minorHAnsi" w:cstheme="minorHAnsi"/>
          <w:sz w:val="24"/>
          <w:szCs w:val="24"/>
        </w:rPr>
        <w:t xml:space="preserve">ithin </w:t>
      </w:r>
      <w:proofErr w:type="spellStart"/>
      <w:r w:rsidR="00396E8E" w:rsidRPr="006532EE">
        <w:rPr>
          <w:rFonts w:asciiTheme="minorHAnsi" w:hAnsiTheme="minorHAnsi" w:cstheme="minorHAnsi"/>
          <w:sz w:val="24"/>
          <w:szCs w:val="24"/>
        </w:rPr>
        <w:t>LADs</w:t>
      </w:r>
      <w:proofErr w:type="spellEnd"/>
      <w:r w:rsidR="00396E8E" w:rsidRPr="006532EE">
        <w:rPr>
          <w:rFonts w:asciiTheme="minorHAnsi" w:hAnsiTheme="minorHAnsi" w:cstheme="minorHAnsi"/>
          <w:sz w:val="24"/>
          <w:szCs w:val="24"/>
        </w:rPr>
        <w:t xml:space="preserve"> </w:t>
      </w:r>
      <w:r w:rsidR="00396E8E" w:rsidRPr="005851B6">
        <w:rPr>
          <w:rFonts w:asciiTheme="minorHAnsi" w:hAnsiTheme="minorHAnsi" w:cstheme="minorHAnsi"/>
          <w:sz w:val="24"/>
          <w:szCs w:val="24"/>
        </w:rPr>
        <w:t>have</w:t>
      </w:r>
      <w:r w:rsidR="00396E8E" w:rsidRPr="00564D6D">
        <w:rPr>
          <w:rFonts w:asciiTheme="minorHAnsi" w:hAnsiTheme="minorHAnsi" w:cstheme="minorHAnsi"/>
          <w:sz w:val="24"/>
          <w:szCs w:val="24"/>
        </w:rPr>
        <w:t xml:space="preserve"> follow</w:t>
      </w:r>
      <w:r w:rsidR="00396E8E" w:rsidRPr="005B55D1">
        <w:rPr>
          <w:rFonts w:asciiTheme="minorHAnsi" w:hAnsiTheme="minorHAnsi" w:cstheme="minorHAnsi"/>
          <w:sz w:val="24"/>
          <w:szCs w:val="24"/>
        </w:rPr>
        <w:t xml:space="preserve">ed the same trends in these variables like </w:t>
      </w:r>
      <w:r w:rsidR="00120488">
        <w:rPr>
          <w:rFonts w:asciiTheme="minorHAnsi" w:hAnsiTheme="minorHAnsi" w:cstheme="minorHAnsi"/>
          <w:sz w:val="24"/>
          <w:szCs w:val="24"/>
        </w:rPr>
        <w:t>un</w:t>
      </w:r>
      <w:r w:rsidR="00396E8E" w:rsidRPr="005B55D1">
        <w:rPr>
          <w:rFonts w:asciiTheme="minorHAnsi" w:hAnsiTheme="minorHAnsi" w:cstheme="minorHAnsi"/>
          <w:sz w:val="24"/>
          <w:szCs w:val="24"/>
        </w:rPr>
        <w:t>employment</w:t>
      </w:r>
      <w:r w:rsidR="003D31F3" w:rsidRPr="005B55D1">
        <w:rPr>
          <w:rFonts w:asciiTheme="minorHAnsi" w:hAnsiTheme="minorHAnsi" w:cstheme="minorHAnsi"/>
          <w:sz w:val="24"/>
          <w:szCs w:val="24"/>
        </w:rPr>
        <w:t>.</w:t>
      </w:r>
      <w:r w:rsidR="00396E8E" w:rsidRPr="004D0536">
        <w:rPr>
          <w:rFonts w:asciiTheme="minorHAnsi" w:hAnsiTheme="minorHAnsi" w:cstheme="minorHAnsi"/>
          <w:sz w:val="24"/>
          <w:szCs w:val="24"/>
        </w:rPr>
        <w:t xml:space="preserve"> </w:t>
      </w:r>
      <w:r w:rsidRPr="009C4969">
        <w:rPr>
          <w:rFonts w:asciiTheme="minorHAnsi" w:hAnsiTheme="minorHAnsi" w:cstheme="minorHAnsi"/>
          <w:sz w:val="24"/>
          <w:szCs w:val="24"/>
        </w:rPr>
        <w:t>Model 1</w:t>
      </w:r>
      <w:r w:rsidR="00E14892">
        <w:rPr>
          <w:rFonts w:asciiTheme="minorHAnsi" w:hAnsiTheme="minorHAnsi" w:cstheme="minorHAnsi"/>
          <w:sz w:val="24"/>
          <w:szCs w:val="24"/>
        </w:rPr>
        <w:t xml:space="preserve"> presents </w:t>
      </w:r>
      <w:r w:rsidRPr="009C4969">
        <w:rPr>
          <w:rFonts w:asciiTheme="minorHAnsi" w:hAnsiTheme="minorHAnsi" w:cstheme="minorHAnsi"/>
          <w:sz w:val="24"/>
          <w:szCs w:val="24"/>
        </w:rPr>
        <w:t>the average decline in conception rates</w:t>
      </w:r>
      <w:r w:rsidR="00AA7AC4">
        <w:rPr>
          <w:rFonts w:asciiTheme="minorHAnsi" w:hAnsiTheme="minorHAnsi" w:cstheme="minorHAnsi"/>
          <w:sz w:val="24"/>
          <w:szCs w:val="24"/>
        </w:rPr>
        <w:t xml:space="preserve"> in each LAD</w:t>
      </w:r>
      <w:r w:rsidRPr="009C4969">
        <w:rPr>
          <w:rFonts w:asciiTheme="minorHAnsi" w:hAnsiTheme="minorHAnsi" w:cstheme="minorHAnsi"/>
          <w:sz w:val="24"/>
          <w:szCs w:val="24"/>
        </w:rPr>
        <w:t xml:space="preserve"> </w:t>
      </w:r>
      <w:r w:rsidR="00AA7AC4" w:rsidRPr="00E51C8B">
        <w:rPr>
          <w:rFonts w:asciiTheme="minorHAnsi" w:hAnsiTheme="minorHAnsi" w:cstheme="minorHAnsi"/>
          <w:i/>
          <w:iCs/>
          <w:sz w:val="24"/>
          <w:szCs w:val="24"/>
        </w:rPr>
        <w:t xml:space="preserve">before </w:t>
      </w:r>
      <w:r w:rsidR="00AA7AC4">
        <w:rPr>
          <w:rFonts w:asciiTheme="minorHAnsi" w:hAnsiTheme="minorHAnsi" w:cstheme="minorHAnsi"/>
          <w:sz w:val="24"/>
          <w:szCs w:val="24"/>
        </w:rPr>
        <w:t>controlling for the variation in LAD area characteristics over time</w:t>
      </w:r>
      <w:r w:rsidR="004B06DC">
        <w:rPr>
          <w:rFonts w:asciiTheme="minorHAnsi" w:hAnsiTheme="minorHAnsi" w:cstheme="minorHAnsi"/>
          <w:sz w:val="24"/>
          <w:szCs w:val="24"/>
        </w:rPr>
        <w:t xml:space="preserve">. </w:t>
      </w:r>
      <w:r w:rsidR="00CA467A">
        <w:rPr>
          <w:rFonts w:asciiTheme="minorHAnsi" w:hAnsiTheme="minorHAnsi" w:cstheme="minorHAnsi"/>
          <w:sz w:val="24"/>
          <w:szCs w:val="24"/>
        </w:rPr>
        <w:t>When</w:t>
      </w:r>
      <w:r w:rsidR="00E20EDF" w:rsidRPr="001800D8">
        <w:rPr>
          <w:rFonts w:asciiTheme="minorHAnsi" w:hAnsiTheme="minorHAnsi" w:cstheme="minorHAnsi"/>
          <w:sz w:val="24"/>
          <w:szCs w:val="24"/>
        </w:rPr>
        <w:t xml:space="preserve"> compar</w:t>
      </w:r>
      <w:r w:rsidR="00BD615C">
        <w:rPr>
          <w:rFonts w:asciiTheme="minorHAnsi" w:hAnsiTheme="minorHAnsi" w:cstheme="minorHAnsi"/>
          <w:sz w:val="24"/>
          <w:szCs w:val="24"/>
        </w:rPr>
        <w:t>ed to</w:t>
      </w:r>
      <w:r w:rsidRPr="00682940">
        <w:rPr>
          <w:rFonts w:asciiTheme="minorHAnsi" w:hAnsiTheme="minorHAnsi" w:cstheme="minorHAnsi"/>
          <w:sz w:val="24"/>
          <w:szCs w:val="24"/>
        </w:rPr>
        <w:t xml:space="preserve"> </w:t>
      </w:r>
      <w:r w:rsidR="00047DED" w:rsidRPr="00682940">
        <w:rPr>
          <w:rFonts w:asciiTheme="minorHAnsi" w:hAnsiTheme="minorHAnsi" w:cstheme="minorHAnsi"/>
          <w:sz w:val="24"/>
          <w:szCs w:val="24"/>
        </w:rPr>
        <w:t xml:space="preserve">our reference </w:t>
      </w:r>
      <w:r w:rsidR="00E20EDF" w:rsidRPr="005851B6">
        <w:rPr>
          <w:rFonts w:asciiTheme="minorHAnsi" w:hAnsiTheme="minorHAnsi" w:cstheme="minorHAnsi"/>
          <w:sz w:val="24"/>
          <w:szCs w:val="24"/>
        </w:rPr>
        <w:t>period</w:t>
      </w:r>
      <w:r w:rsidR="00106279" w:rsidRPr="005851B6">
        <w:rPr>
          <w:rFonts w:asciiTheme="minorHAnsi" w:hAnsiTheme="minorHAnsi" w:cstheme="minorHAnsi"/>
          <w:sz w:val="24"/>
          <w:szCs w:val="24"/>
        </w:rPr>
        <w:t xml:space="preserve"> (</w:t>
      </w:r>
      <w:r w:rsidR="00047DED" w:rsidRPr="00564D6D">
        <w:rPr>
          <w:rFonts w:asciiTheme="minorHAnsi" w:hAnsiTheme="minorHAnsi" w:cstheme="minorHAnsi"/>
          <w:sz w:val="24"/>
          <w:szCs w:val="24"/>
        </w:rPr>
        <w:t>1998</w:t>
      </w:r>
      <w:r w:rsidR="00E20EDF" w:rsidRPr="00564D6D">
        <w:rPr>
          <w:rFonts w:asciiTheme="minorHAnsi" w:hAnsiTheme="minorHAnsi" w:cstheme="minorHAnsi"/>
          <w:sz w:val="24"/>
          <w:szCs w:val="24"/>
        </w:rPr>
        <w:t xml:space="preserve"> to 2005</w:t>
      </w:r>
      <w:r w:rsidR="00106279" w:rsidRPr="005B55D1">
        <w:rPr>
          <w:rFonts w:asciiTheme="minorHAnsi" w:hAnsiTheme="minorHAnsi" w:cstheme="minorHAnsi"/>
          <w:sz w:val="24"/>
          <w:szCs w:val="24"/>
        </w:rPr>
        <w:t>)</w:t>
      </w:r>
      <w:r w:rsidR="004F2BFF">
        <w:rPr>
          <w:rFonts w:asciiTheme="minorHAnsi" w:hAnsiTheme="minorHAnsi" w:cstheme="minorHAnsi"/>
          <w:sz w:val="24"/>
          <w:szCs w:val="24"/>
        </w:rPr>
        <w:t>, the</w:t>
      </w:r>
      <w:r w:rsidR="005D68F3">
        <w:rPr>
          <w:rFonts w:asciiTheme="minorHAnsi" w:hAnsiTheme="minorHAnsi" w:cstheme="minorHAnsi"/>
          <w:sz w:val="24"/>
          <w:szCs w:val="24"/>
        </w:rPr>
        <w:t xml:space="preserve"> difference in the</w:t>
      </w:r>
      <w:r w:rsidR="004F2BFF">
        <w:rPr>
          <w:rFonts w:asciiTheme="minorHAnsi" w:hAnsiTheme="minorHAnsi" w:cstheme="minorHAnsi"/>
          <w:sz w:val="24"/>
          <w:szCs w:val="24"/>
        </w:rPr>
        <w:t xml:space="preserve"> decline in conception rates was larger in 2011 to 2017 at -17.59 </w:t>
      </w:r>
      <w:r w:rsidR="005D68F3">
        <w:rPr>
          <w:rFonts w:asciiTheme="minorHAnsi" w:hAnsiTheme="minorHAnsi" w:cstheme="minorHAnsi"/>
          <w:sz w:val="24"/>
          <w:szCs w:val="24"/>
        </w:rPr>
        <w:t>than in 2006 to 2010 at</w:t>
      </w:r>
      <w:r w:rsidR="004F2BFF">
        <w:rPr>
          <w:rFonts w:asciiTheme="minorHAnsi" w:hAnsiTheme="minorHAnsi" w:cstheme="minorHAnsi"/>
          <w:sz w:val="24"/>
          <w:szCs w:val="24"/>
        </w:rPr>
        <w:t xml:space="preserve"> </w:t>
      </w:r>
      <w:r w:rsidR="00BD615C">
        <w:rPr>
          <w:rFonts w:asciiTheme="minorHAnsi" w:hAnsiTheme="minorHAnsi" w:cstheme="minorHAnsi"/>
          <w:sz w:val="24"/>
          <w:szCs w:val="24"/>
        </w:rPr>
        <w:t>-3.73</w:t>
      </w:r>
      <w:r w:rsidR="00952CAC">
        <w:rPr>
          <w:rFonts w:asciiTheme="minorHAnsi" w:hAnsiTheme="minorHAnsi" w:cstheme="minorHAnsi"/>
          <w:sz w:val="24"/>
          <w:szCs w:val="24"/>
        </w:rPr>
        <w:t>.</w:t>
      </w:r>
      <w:r w:rsidRPr="00846EE2">
        <w:rPr>
          <w:rFonts w:asciiTheme="minorHAnsi" w:hAnsiTheme="minorHAnsi" w:cstheme="minorHAnsi"/>
          <w:sz w:val="24"/>
          <w:szCs w:val="24"/>
        </w:rPr>
        <w:t xml:space="preserve"> </w:t>
      </w:r>
    </w:p>
    <w:p w14:paraId="77BDA706" w14:textId="3C91E302" w:rsidR="002B793F" w:rsidRPr="005851B6" w:rsidRDefault="006843EE" w:rsidP="00CD0462">
      <w:pPr>
        <w:rPr>
          <w:rFonts w:asciiTheme="minorHAnsi" w:hAnsiTheme="minorHAnsi" w:cstheme="minorHAnsi"/>
          <w:sz w:val="24"/>
          <w:szCs w:val="24"/>
        </w:rPr>
      </w:pPr>
      <w:r>
        <w:rPr>
          <w:rFonts w:asciiTheme="minorHAnsi" w:hAnsiTheme="minorHAnsi" w:cstheme="minorHAnsi"/>
          <w:sz w:val="24"/>
          <w:szCs w:val="24"/>
        </w:rPr>
        <w:t xml:space="preserve">As Model 2 </w:t>
      </w:r>
      <w:r w:rsidR="00E46328">
        <w:rPr>
          <w:rFonts w:asciiTheme="minorHAnsi" w:hAnsiTheme="minorHAnsi" w:cstheme="minorHAnsi"/>
          <w:sz w:val="24"/>
          <w:szCs w:val="24"/>
        </w:rPr>
        <w:t>considers the within-LAD changes in characteristics ove</w:t>
      </w:r>
      <w:r w:rsidR="00997102">
        <w:rPr>
          <w:rFonts w:asciiTheme="minorHAnsi" w:hAnsiTheme="minorHAnsi" w:cstheme="minorHAnsi"/>
          <w:sz w:val="24"/>
          <w:szCs w:val="24"/>
        </w:rPr>
        <w:t xml:space="preserve">r </w:t>
      </w:r>
      <w:r w:rsidR="00E46328">
        <w:rPr>
          <w:rFonts w:asciiTheme="minorHAnsi" w:hAnsiTheme="minorHAnsi" w:cstheme="minorHAnsi"/>
          <w:sz w:val="24"/>
          <w:szCs w:val="24"/>
        </w:rPr>
        <w:t>time,</w:t>
      </w:r>
      <w:r w:rsidR="006D3340">
        <w:rPr>
          <w:rFonts w:asciiTheme="minorHAnsi" w:hAnsiTheme="minorHAnsi" w:cstheme="minorHAnsi"/>
          <w:sz w:val="24"/>
          <w:szCs w:val="24"/>
        </w:rPr>
        <w:t xml:space="preserve"> </w:t>
      </w:r>
      <w:r w:rsidR="004541AB">
        <w:rPr>
          <w:rFonts w:asciiTheme="minorHAnsi" w:hAnsiTheme="minorHAnsi" w:cstheme="minorHAnsi"/>
          <w:sz w:val="24"/>
          <w:szCs w:val="24"/>
        </w:rPr>
        <w:t xml:space="preserve">the comparison to </w:t>
      </w:r>
      <w:r w:rsidR="00FB6641">
        <w:rPr>
          <w:rFonts w:asciiTheme="minorHAnsi" w:hAnsiTheme="minorHAnsi" w:cstheme="minorHAnsi"/>
          <w:sz w:val="24"/>
          <w:szCs w:val="24"/>
        </w:rPr>
        <w:t>Model 1</w:t>
      </w:r>
      <w:r w:rsidR="004541AB">
        <w:rPr>
          <w:rFonts w:asciiTheme="minorHAnsi" w:hAnsiTheme="minorHAnsi" w:cstheme="minorHAnsi"/>
          <w:sz w:val="24"/>
          <w:szCs w:val="24"/>
        </w:rPr>
        <w:t xml:space="preserve"> </w:t>
      </w:r>
      <w:r w:rsidR="00F2102F">
        <w:rPr>
          <w:rFonts w:asciiTheme="minorHAnsi" w:hAnsiTheme="minorHAnsi" w:cstheme="minorHAnsi"/>
          <w:sz w:val="24"/>
          <w:szCs w:val="24"/>
        </w:rPr>
        <w:t>illustrates</w:t>
      </w:r>
      <w:r w:rsidR="00EC10F3">
        <w:rPr>
          <w:rFonts w:asciiTheme="minorHAnsi" w:hAnsiTheme="minorHAnsi" w:cstheme="minorHAnsi"/>
          <w:sz w:val="24"/>
          <w:szCs w:val="24"/>
        </w:rPr>
        <w:t xml:space="preserve"> that </w:t>
      </w:r>
      <w:r w:rsidR="00FB6641">
        <w:rPr>
          <w:rFonts w:asciiTheme="minorHAnsi" w:hAnsiTheme="minorHAnsi" w:cstheme="minorHAnsi"/>
          <w:sz w:val="24"/>
          <w:szCs w:val="24"/>
        </w:rPr>
        <w:t>the</w:t>
      </w:r>
      <w:r w:rsidR="002B793F" w:rsidRPr="00846EE2">
        <w:rPr>
          <w:rFonts w:asciiTheme="minorHAnsi" w:hAnsiTheme="minorHAnsi" w:cstheme="minorHAnsi"/>
          <w:sz w:val="24"/>
          <w:szCs w:val="24"/>
        </w:rPr>
        <w:t xml:space="preserve"> large decline in conception rates </w:t>
      </w:r>
      <w:r w:rsidR="00FB65A5" w:rsidRPr="00201A11">
        <w:rPr>
          <w:rFonts w:asciiTheme="minorHAnsi" w:hAnsiTheme="minorHAnsi" w:cstheme="minorHAnsi"/>
          <w:sz w:val="24"/>
          <w:szCs w:val="24"/>
        </w:rPr>
        <w:t>between</w:t>
      </w:r>
      <w:r w:rsidR="002B793F" w:rsidRPr="00201A11">
        <w:rPr>
          <w:rFonts w:asciiTheme="minorHAnsi" w:hAnsiTheme="minorHAnsi" w:cstheme="minorHAnsi"/>
          <w:sz w:val="24"/>
          <w:szCs w:val="24"/>
        </w:rPr>
        <w:t xml:space="preserve"> 2011</w:t>
      </w:r>
      <w:r w:rsidR="00FB65A5" w:rsidRPr="007B5855">
        <w:rPr>
          <w:rFonts w:asciiTheme="minorHAnsi" w:hAnsiTheme="minorHAnsi" w:cstheme="minorHAnsi"/>
          <w:sz w:val="24"/>
          <w:szCs w:val="24"/>
        </w:rPr>
        <w:t xml:space="preserve"> and </w:t>
      </w:r>
      <w:r w:rsidR="002B793F" w:rsidRPr="007B5855">
        <w:rPr>
          <w:rFonts w:asciiTheme="minorHAnsi" w:hAnsiTheme="minorHAnsi" w:cstheme="minorHAnsi"/>
          <w:sz w:val="24"/>
          <w:szCs w:val="24"/>
        </w:rPr>
        <w:t>2017 compared to 1998</w:t>
      </w:r>
      <w:r w:rsidR="00FB65A5" w:rsidRPr="002F64ED">
        <w:rPr>
          <w:rFonts w:asciiTheme="minorHAnsi" w:hAnsiTheme="minorHAnsi" w:cstheme="minorHAnsi"/>
          <w:sz w:val="24"/>
          <w:szCs w:val="24"/>
        </w:rPr>
        <w:t xml:space="preserve"> </w:t>
      </w:r>
      <w:r w:rsidR="003A169B" w:rsidRPr="00B869F5">
        <w:rPr>
          <w:rFonts w:asciiTheme="minorHAnsi" w:hAnsiTheme="minorHAnsi" w:cstheme="minorHAnsi"/>
          <w:sz w:val="24"/>
          <w:szCs w:val="24"/>
        </w:rPr>
        <w:t>to</w:t>
      </w:r>
      <w:r w:rsidR="00FB65A5" w:rsidRPr="00B869F5">
        <w:rPr>
          <w:rFonts w:asciiTheme="minorHAnsi" w:hAnsiTheme="minorHAnsi" w:cstheme="minorHAnsi"/>
          <w:sz w:val="24"/>
          <w:szCs w:val="24"/>
        </w:rPr>
        <w:t xml:space="preserve"> </w:t>
      </w:r>
      <w:r w:rsidR="002B793F" w:rsidRPr="00B869F5">
        <w:rPr>
          <w:rFonts w:asciiTheme="minorHAnsi" w:hAnsiTheme="minorHAnsi" w:cstheme="minorHAnsi"/>
          <w:sz w:val="24"/>
          <w:szCs w:val="24"/>
        </w:rPr>
        <w:t>2005 is only partly explained by controlling for changes in LAD characteristics</w:t>
      </w:r>
      <w:r w:rsidR="00FB65A5" w:rsidRPr="0014445C">
        <w:rPr>
          <w:rFonts w:asciiTheme="minorHAnsi" w:hAnsiTheme="minorHAnsi" w:cstheme="minorHAnsi"/>
          <w:sz w:val="24"/>
          <w:szCs w:val="24"/>
        </w:rPr>
        <w:t>,</w:t>
      </w:r>
      <w:r w:rsidR="002B793F" w:rsidRPr="0014445C">
        <w:rPr>
          <w:rFonts w:asciiTheme="minorHAnsi" w:hAnsiTheme="minorHAnsi" w:cstheme="minorHAnsi"/>
          <w:sz w:val="24"/>
          <w:szCs w:val="24"/>
        </w:rPr>
        <w:t xml:space="preserve"> </w:t>
      </w:r>
      <w:r w:rsidR="006E1897">
        <w:rPr>
          <w:rFonts w:asciiTheme="minorHAnsi" w:hAnsiTheme="minorHAnsi" w:cstheme="minorHAnsi"/>
          <w:sz w:val="24"/>
          <w:szCs w:val="24"/>
        </w:rPr>
        <w:t xml:space="preserve">the time coefficient reducing from </w:t>
      </w:r>
      <w:r w:rsidR="002B793F" w:rsidRPr="0014445C">
        <w:rPr>
          <w:rFonts w:asciiTheme="minorHAnsi" w:hAnsiTheme="minorHAnsi" w:cstheme="minorHAnsi"/>
          <w:sz w:val="24"/>
          <w:szCs w:val="24"/>
        </w:rPr>
        <w:t xml:space="preserve">-17.59 (Model 1) </w:t>
      </w:r>
      <w:r w:rsidR="0027126F">
        <w:rPr>
          <w:rFonts w:asciiTheme="minorHAnsi" w:hAnsiTheme="minorHAnsi" w:cstheme="minorHAnsi"/>
          <w:sz w:val="24"/>
          <w:szCs w:val="24"/>
        </w:rPr>
        <w:t>to</w:t>
      </w:r>
      <w:r w:rsidR="006D3340">
        <w:rPr>
          <w:rFonts w:asciiTheme="minorHAnsi" w:hAnsiTheme="minorHAnsi" w:cstheme="minorHAnsi"/>
          <w:sz w:val="24"/>
          <w:szCs w:val="24"/>
        </w:rPr>
        <w:t xml:space="preserve"> </w:t>
      </w:r>
      <w:r w:rsidR="002B793F" w:rsidRPr="0014445C">
        <w:rPr>
          <w:rFonts w:asciiTheme="minorHAnsi" w:hAnsiTheme="minorHAnsi" w:cstheme="minorHAnsi"/>
          <w:sz w:val="24"/>
          <w:szCs w:val="24"/>
        </w:rPr>
        <w:t>-10.03 after</w:t>
      </w:r>
      <w:r w:rsidR="00FB65A5" w:rsidRPr="0014445C">
        <w:rPr>
          <w:rFonts w:asciiTheme="minorHAnsi" w:hAnsiTheme="minorHAnsi" w:cstheme="minorHAnsi"/>
          <w:sz w:val="24"/>
          <w:szCs w:val="24"/>
        </w:rPr>
        <w:t xml:space="preserve"> control</w:t>
      </w:r>
      <w:r w:rsidR="007F0DAF" w:rsidRPr="0014445C">
        <w:rPr>
          <w:rFonts w:asciiTheme="minorHAnsi" w:hAnsiTheme="minorHAnsi" w:cstheme="minorHAnsi"/>
          <w:sz w:val="24"/>
          <w:szCs w:val="24"/>
        </w:rPr>
        <w:t>s</w:t>
      </w:r>
      <w:r w:rsidR="00DC7FA0" w:rsidRPr="0014445C">
        <w:rPr>
          <w:rFonts w:asciiTheme="minorHAnsi" w:hAnsiTheme="minorHAnsi" w:cstheme="minorHAnsi"/>
          <w:sz w:val="24"/>
          <w:szCs w:val="24"/>
        </w:rPr>
        <w:t xml:space="preserve"> </w:t>
      </w:r>
      <w:r w:rsidR="002B793F" w:rsidRPr="0014445C">
        <w:rPr>
          <w:rFonts w:asciiTheme="minorHAnsi" w:hAnsiTheme="minorHAnsi" w:cstheme="minorHAnsi"/>
          <w:sz w:val="24"/>
          <w:szCs w:val="24"/>
        </w:rPr>
        <w:t>(Model 2).</w:t>
      </w:r>
      <w:r w:rsidR="00952CAC">
        <w:rPr>
          <w:rFonts w:asciiTheme="minorHAnsi" w:hAnsiTheme="minorHAnsi" w:cstheme="minorHAnsi"/>
          <w:sz w:val="24"/>
          <w:szCs w:val="24"/>
        </w:rPr>
        <w:t xml:space="preserve"> </w:t>
      </w:r>
      <w:r w:rsidR="002B793F" w:rsidRPr="009D37BE">
        <w:rPr>
          <w:rFonts w:asciiTheme="minorHAnsi" w:hAnsiTheme="minorHAnsi" w:cstheme="minorHAnsi"/>
          <w:sz w:val="24"/>
          <w:szCs w:val="24"/>
        </w:rPr>
        <w:t>Reductions in area economic deprivation are associated with decreases in conception rates by 1.37 for each percentage of 18</w:t>
      </w:r>
      <w:r w:rsidR="00FB65A5" w:rsidRPr="009D37BE">
        <w:rPr>
          <w:rFonts w:asciiTheme="minorHAnsi" w:hAnsiTheme="minorHAnsi" w:cstheme="minorHAnsi"/>
          <w:sz w:val="24"/>
          <w:szCs w:val="24"/>
        </w:rPr>
        <w:t xml:space="preserve"> to </w:t>
      </w:r>
      <w:r w:rsidR="002B793F" w:rsidRPr="009D37BE">
        <w:rPr>
          <w:rFonts w:asciiTheme="minorHAnsi" w:hAnsiTheme="minorHAnsi" w:cstheme="minorHAnsi"/>
          <w:sz w:val="24"/>
          <w:szCs w:val="24"/>
        </w:rPr>
        <w:t>24</w:t>
      </w:r>
      <w:r w:rsidR="008F64A0" w:rsidRPr="007E37E1">
        <w:rPr>
          <w:rFonts w:asciiTheme="minorHAnsi" w:hAnsiTheme="minorHAnsi" w:cstheme="minorHAnsi"/>
          <w:sz w:val="24"/>
          <w:szCs w:val="24"/>
        </w:rPr>
        <w:t>-</w:t>
      </w:r>
      <w:r w:rsidR="002B793F" w:rsidRPr="007E37E1">
        <w:rPr>
          <w:rFonts w:asciiTheme="minorHAnsi" w:hAnsiTheme="minorHAnsi" w:cstheme="minorHAnsi"/>
          <w:sz w:val="24"/>
          <w:szCs w:val="24"/>
        </w:rPr>
        <w:t xml:space="preserve">year-olds claiming </w:t>
      </w:r>
      <w:proofErr w:type="spellStart"/>
      <w:r w:rsidR="002B793F" w:rsidRPr="007E37E1">
        <w:rPr>
          <w:rFonts w:asciiTheme="minorHAnsi" w:hAnsiTheme="minorHAnsi" w:cstheme="minorHAnsi"/>
          <w:sz w:val="24"/>
          <w:szCs w:val="24"/>
        </w:rPr>
        <w:t>JSA</w:t>
      </w:r>
      <w:proofErr w:type="spellEnd"/>
      <w:r w:rsidR="002B793F" w:rsidRPr="007E37E1">
        <w:rPr>
          <w:rFonts w:asciiTheme="minorHAnsi" w:hAnsiTheme="minorHAnsi" w:cstheme="minorHAnsi"/>
          <w:sz w:val="24"/>
          <w:szCs w:val="24"/>
        </w:rPr>
        <w:t xml:space="preserve">. Increasing </w:t>
      </w:r>
      <w:r w:rsidR="002B793F" w:rsidRPr="007E37E1">
        <w:rPr>
          <w:rFonts w:asciiTheme="minorHAnsi" w:hAnsiTheme="minorHAnsi" w:cstheme="minorHAnsi"/>
          <w:i/>
          <w:sz w:val="24"/>
          <w:szCs w:val="24"/>
        </w:rPr>
        <w:t xml:space="preserve">educational attainment </w:t>
      </w:r>
      <w:r w:rsidR="002B793F" w:rsidRPr="007E37E1">
        <w:rPr>
          <w:rFonts w:asciiTheme="minorHAnsi" w:hAnsiTheme="minorHAnsi" w:cstheme="minorHAnsi"/>
          <w:sz w:val="24"/>
          <w:szCs w:val="24"/>
        </w:rPr>
        <w:t>is related to declining</w:t>
      </w:r>
      <w:r w:rsidR="002B793F" w:rsidRPr="00C633C2">
        <w:rPr>
          <w:rFonts w:asciiTheme="minorHAnsi" w:hAnsiTheme="minorHAnsi" w:cstheme="minorHAnsi"/>
          <w:sz w:val="24"/>
          <w:szCs w:val="24"/>
        </w:rPr>
        <w:t xml:space="preserve"> conception rates</w:t>
      </w:r>
      <w:r w:rsidR="003B367C" w:rsidRPr="00615118">
        <w:rPr>
          <w:rFonts w:asciiTheme="minorHAnsi" w:hAnsiTheme="minorHAnsi" w:cstheme="minorHAnsi"/>
          <w:sz w:val="24"/>
          <w:szCs w:val="24"/>
        </w:rPr>
        <w:t>.</w:t>
      </w:r>
      <w:r w:rsidR="002B793F" w:rsidRPr="00F93349">
        <w:rPr>
          <w:rFonts w:asciiTheme="minorHAnsi" w:hAnsiTheme="minorHAnsi" w:cstheme="minorHAnsi"/>
          <w:sz w:val="24"/>
          <w:szCs w:val="24"/>
        </w:rPr>
        <w:t xml:space="preserve"> </w:t>
      </w:r>
      <w:r w:rsidR="00FC1BE3" w:rsidRPr="00F93349">
        <w:rPr>
          <w:rFonts w:asciiTheme="minorHAnsi" w:hAnsiTheme="minorHAnsi" w:cstheme="minorHAnsi"/>
          <w:sz w:val="24"/>
          <w:szCs w:val="24"/>
        </w:rPr>
        <w:t xml:space="preserve">House prices growing more unaffordable </w:t>
      </w:r>
      <w:r w:rsidR="00877E9C" w:rsidRPr="00F93349">
        <w:rPr>
          <w:rFonts w:asciiTheme="minorHAnsi" w:hAnsiTheme="minorHAnsi" w:cstheme="minorHAnsi"/>
          <w:sz w:val="24"/>
          <w:szCs w:val="24"/>
        </w:rPr>
        <w:t>are</w:t>
      </w:r>
      <w:r w:rsidR="00FC1BE3" w:rsidRPr="00F93349">
        <w:rPr>
          <w:rFonts w:asciiTheme="minorHAnsi" w:hAnsiTheme="minorHAnsi" w:cstheme="minorHAnsi"/>
          <w:sz w:val="24"/>
          <w:szCs w:val="24"/>
        </w:rPr>
        <w:t xml:space="preserve"> a</w:t>
      </w:r>
      <w:r w:rsidR="002B793F" w:rsidRPr="00F93349">
        <w:rPr>
          <w:rFonts w:asciiTheme="minorHAnsi" w:hAnsiTheme="minorHAnsi" w:cstheme="minorHAnsi"/>
          <w:sz w:val="24"/>
          <w:szCs w:val="24"/>
        </w:rPr>
        <w:t xml:space="preserve">ssociated with falling conception rates in the LAD. </w:t>
      </w:r>
      <w:r w:rsidR="002B793F" w:rsidRPr="005919D1">
        <w:rPr>
          <w:rFonts w:asciiTheme="minorHAnsi" w:hAnsiTheme="minorHAnsi" w:cstheme="minorHAnsi"/>
          <w:sz w:val="24"/>
          <w:szCs w:val="24"/>
        </w:rPr>
        <w:t xml:space="preserve">Each </w:t>
      </w:r>
      <w:r w:rsidR="005919D1" w:rsidRPr="005919D1">
        <w:rPr>
          <w:rFonts w:asciiTheme="minorHAnsi" w:hAnsiTheme="minorHAnsi" w:cstheme="minorHAnsi"/>
          <w:sz w:val="24"/>
          <w:szCs w:val="24"/>
        </w:rPr>
        <w:t>increase</w:t>
      </w:r>
      <w:r w:rsidR="005919D1" w:rsidRPr="00682940">
        <w:rPr>
          <w:rFonts w:asciiTheme="minorHAnsi" w:hAnsiTheme="minorHAnsi" w:cstheme="minorHAnsi"/>
          <w:sz w:val="24"/>
          <w:szCs w:val="24"/>
        </w:rPr>
        <w:t xml:space="preserve"> </w:t>
      </w:r>
      <w:r w:rsidR="002B793F" w:rsidRPr="00682940">
        <w:rPr>
          <w:rFonts w:asciiTheme="minorHAnsi" w:hAnsiTheme="minorHAnsi" w:cstheme="minorHAnsi"/>
          <w:sz w:val="24"/>
          <w:szCs w:val="24"/>
        </w:rPr>
        <w:t xml:space="preserve">of social housing units per 100 people is associated </w:t>
      </w:r>
      <w:r w:rsidR="002B793F" w:rsidRPr="005919D1">
        <w:rPr>
          <w:rFonts w:asciiTheme="minorHAnsi" w:hAnsiTheme="minorHAnsi" w:cstheme="minorHAnsi"/>
          <w:sz w:val="24"/>
          <w:szCs w:val="24"/>
        </w:rPr>
        <w:t xml:space="preserve">with </w:t>
      </w:r>
      <w:r w:rsidR="005919D1" w:rsidRPr="00AF38EE">
        <w:rPr>
          <w:rFonts w:asciiTheme="minorHAnsi" w:hAnsiTheme="minorHAnsi" w:cstheme="minorHAnsi"/>
          <w:sz w:val="24"/>
          <w:szCs w:val="24"/>
        </w:rPr>
        <w:t xml:space="preserve">increased </w:t>
      </w:r>
      <w:r w:rsidR="002B793F" w:rsidRPr="005919D1">
        <w:rPr>
          <w:rFonts w:asciiTheme="minorHAnsi" w:hAnsiTheme="minorHAnsi" w:cstheme="minorHAnsi"/>
          <w:sz w:val="24"/>
          <w:szCs w:val="24"/>
        </w:rPr>
        <w:t>conception</w:t>
      </w:r>
      <w:r w:rsidR="002B793F" w:rsidRPr="00682940">
        <w:rPr>
          <w:rFonts w:asciiTheme="minorHAnsi" w:hAnsiTheme="minorHAnsi" w:cstheme="minorHAnsi"/>
          <w:sz w:val="24"/>
          <w:szCs w:val="24"/>
        </w:rPr>
        <w:t xml:space="preserve"> rate</w:t>
      </w:r>
      <w:r w:rsidR="00526D6C" w:rsidRPr="00682940">
        <w:rPr>
          <w:rFonts w:asciiTheme="minorHAnsi" w:hAnsiTheme="minorHAnsi" w:cstheme="minorHAnsi"/>
          <w:sz w:val="24"/>
          <w:szCs w:val="24"/>
        </w:rPr>
        <w:t>s</w:t>
      </w:r>
      <w:r w:rsidR="002B793F" w:rsidRPr="00682940">
        <w:rPr>
          <w:rFonts w:asciiTheme="minorHAnsi" w:hAnsiTheme="minorHAnsi" w:cstheme="minorHAnsi"/>
          <w:sz w:val="24"/>
          <w:szCs w:val="24"/>
        </w:rPr>
        <w:t xml:space="preserve"> by 0.41. Increases in the percentages of Black teenagers </w:t>
      </w:r>
      <w:r w:rsidR="002B793F" w:rsidRPr="00682940">
        <w:rPr>
          <w:rFonts w:asciiTheme="minorHAnsi" w:hAnsiTheme="minorHAnsi" w:cstheme="minorHAnsi"/>
          <w:i/>
          <w:iCs/>
          <w:sz w:val="24"/>
          <w:szCs w:val="24"/>
        </w:rPr>
        <w:t>or</w:t>
      </w:r>
      <w:r w:rsidR="002B793F" w:rsidRPr="00682940">
        <w:rPr>
          <w:rFonts w:asciiTheme="minorHAnsi" w:hAnsiTheme="minorHAnsi" w:cstheme="minorHAnsi"/>
          <w:sz w:val="24"/>
          <w:szCs w:val="24"/>
        </w:rPr>
        <w:t xml:space="preserve"> South Asian teenagers are associated with </w:t>
      </w:r>
      <w:r w:rsidR="003A169B" w:rsidRPr="00682940">
        <w:rPr>
          <w:rFonts w:asciiTheme="minorHAnsi" w:hAnsiTheme="minorHAnsi" w:cstheme="minorHAnsi"/>
          <w:sz w:val="24"/>
          <w:szCs w:val="24"/>
        </w:rPr>
        <w:t>reduced</w:t>
      </w:r>
      <w:r w:rsidR="002B793F" w:rsidRPr="00682940">
        <w:rPr>
          <w:rFonts w:asciiTheme="minorHAnsi" w:hAnsiTheme="minorHAnsi" w:cstheme="minorHAnsi"/>
          <w:sz w:val="24"/>
          <w:szCs w:val="24"/>
        </w:rPr>
        <w:t xml:space="preserve"> conception rates by 0.31 and </w:t>
      </w:r>
      <w:proofErr w:type="gramStart"/>
      <w:r w:rsidR="002B793F" w:rsidRPr="00682940">
        <w:rPr>
          <w:rFonts w:asciiTheme="minorHAnsi" w:hAnsiTheme="minorHAnsi" w:cstheme="minorHAnsi"/>
          <w:sz w:val="24"/>
          <w:szCs w:val="24"/>
        </w:rPr>
        <w:t>0.55</w:t>
      </w:r>
      <w:proofErr w:type="gramEnd"/>
      <w:r w:rsidR="002B793F" w:rsidRPr="00682940">
        <w:rPr>
          <w:rFonts w:asciiTheme="minorHAnsi" w:hAnsiTheme="minorHAnsi" w:cstheme="minorHAnsi"/>
          <w:sz w:val="24"/>
          <w:szCs w:val="24"/>
        </w:rPr>
        <w:t xml:space="preserve"> respectively. </w:t>
      </w:r>
    </w:p>
    <w:p w14:paraId="38086331" w14:textId="1E10DDEE" w:rsidR="005A4FB5" w:rsidRPr="0014445C" w:rsidRDefault="002B793F" w:rsidP="005A4FB5">
      <w:pPr>
        <w:rPr>
          <w:rFonts w:asciiTheme="minorHAnsi" w:hAnsiTheme="minorHAnsi" w:cstheme="minorHAnsi"/>
          <w:sz w:val="24"/>
          <w:szCs w:val="24"/>
        </w:rPr>
      </w:pPr>
      <w:r w:rsidRPr="0014445C">
        <w:rPr>
          <w:rFonts w:asciiTheme="minorHAnsi" w:hAnsiTheme="minorHAnsi" w:cstheme="minorHAnsi"/>
          <w:sz w:val="24"/>
          <w:szCs w:val="24"/>
        </w:rPr>
        <w:t xml:space="preserve">Model 3 considers </w:t>
      </w:r>
      <w:r w:rsidR="00396B44">
        <w:rPr>
          <w:rFonts w:asciiTheme="minorHAnsi" w:hAnsiTheme="minorHAnsi" w:cstheme="minorHAnsi"/>
          <w:sz w:val="24"/>
          <w:szCs w:val="24"/>
        </w:rPr>
        <w:t xml:space="preserve">only </w:t>
      </w:r>
      <w:r w:rsidRPr="0014445C">
        <w:rPr>
          <w:rFonts w:asciiTheme="minorHAnsi" w:hAnsiTheme="minorHAnsi" w:cstheme="minorHAnsi"/>
          <w:sz w:val="24"/>
          <w:szCs w:val="24"/>
        </w:rPr>
        <w:t>1998-2010</w:t>
      </w:r>
      <w:r w:rsidR="00396B44">
        <w:rPr>
          <w:rFonts w:asciiTheme="minorHAnsi" w:hAnsiTheme="minorHAnsi" w:cstheme="minorHAnsi"/>
          <w:sz w:val="24"/>
          <w:szCs w:val="24"/>
        </w:rPr>
        <w:t xml:space="preserve"> to be able to control for TPS funding</w:t>
      </w:r>
      <w:r w:rsidR="00A463EC">
        <w:rPr>
          <w:rFonts w:asciiTheme="minorHAnsi" w:hAnsiTheme="minorHAnsi" w:cstheme="minorHAnsi"/>
          <w:sz w:val="24"/>
          <w:szCs w:val="24"/>
        </w:rPr>
        <w:t xml:space="preserve"> alterations alongside changes in LAD characteristics</w:t>
      </w:r>
      <w:r w:rsidRPr="0014445C">
        <w:rPr>
          <w:rFonts w:asciiTheme="minorHAnsi" w:hAnsiTheme="minorHAnsi" w:cstheme="minorHAnsi"/>
          <w:sz w:val="24"/>
          <w:szCs w:val="24"/>
        </w:rPr>
        <w:t xml:space="preserve">, where increased TPS funding is related to larger reductions in conception rates. Areas not on track to achieve their reduction targets were given additional funding and support after the mid-course review in 2005 </w:t>
      </w:r>
      <w:r w:rsidR="00EA6C11" w:rsidRPr="0014445C">
        <w:rPr>
          <w:rFonts w:asciiTheme="minorHAnsi" w:hAnsiTheme="minorHAnsi" w:cstheme="minorHAnsi"/>
          <w:sz w:val="24"/>
          <w:szCs w:val="24"/>
        </w:rPr>
        <w:t>(</w:t>
      </w:r>
      <w:r w:rsidR="00641FFA" w:rsidRPr="0014445C">
        <w:rPr>
          <w:rFonts w:asciiTheme="minorHAnsi" w:hAnsiTheme="minorHAnsi" w:cstheme="minorHAnsi"/>
          <w:sz w:val="24"/>
          <w:szCs w:val="24"/>
        </w:rPr>
        <w:t>Author</w:t>
      </w:r>
      <w:r w:rsidR="00EF1701" w:rsidRPr="0014445C">
        <w:rPr>
          <w:rFonts w:asciiTheme="minorHAnsi" w:hAnsiTheme="minorHAnsi" w:cstheme="minorHAnsi"/>
          <w:sz w:val="24"/>
          <w:szCs w:val="24"/>
        </w:rPr>
        <w:t xml:space="preserve"> et al.,</w:t>
      </w:r>
      <w:r w:rsidR="003503EF" w:rsidRPr="0014445C">
        <w:rPr>
          <w:rFonts w:asciiTheme="minorHAnsi" w:hAnsiTheme="minorHAnsi" w:cstheme="minorHAnsi"/>
          <w:sz w:val="24"/>
          <w:szCs w:val="24"/>
        </w:rPr>
        <w:t xml:space="preserve"> 2017</w:t>
      </w:r>
      <w:r w:rsidR="00EA6C11" w:rsidRPr="0014445C">
        <w:rPr>
          <w:rFonts w:asciiTheme="minorHAnsi" w:hAnsiTheme="minorHAnsi" w:cstheme="minorHAnsi"/>
          <w:sz w:val="24"/>
          <w:szCs w:val="24"/>
        </w:rPr>
        <w:t>)</w:t>
      </w:r>
      <w:r w:rsidRPr="0014445C">
        <w:rPr>
          <w:rFonts w:asciiTheme="minorHAnsi" w:hAnsiTheme="minorHAnsi" w:cstheme="minorHAnsi"/>
          <w:sz w:val="24"/>
          <w:szCs w:val="24"/>
        </w:rPr>
        <w:t>,</w:t>
      </w:r>
      <w:r w:rsidRPr="0014445C">
        <w:rPr>
          <w:rFonts w:asciiTheme="minorHAnsi" w:hAnsiTheme="minorHAnsi" w:cstheme="minorHAnsi"/>
          <w:sz w:val="24"/>
          <w:szCs w:val="24"/>
          <w:vertAlign w:val="superscript"/>
        </w:rPr>
        <w:t xml:space="preserve"> </w:t>
      </w:r>
      <w:r w:rsidRPr="0014445C">
        <w:rPr>
          <w:rFonts w:asciiTheme="minorHAnsi" w:hAnsiTheme="minorHAnsi" w:cstheme="minorHAnsi"/>
          <w:sz w:val="24"/>
          <w:szCs w:val="24"/>
        </w:rPr>
        <w:t xml:space="preserve">which may explain </w:t>
      </w:r>
      <w:r w:rsidR="00E82F86" w:rsidRPr="0014445C">
        <w:rPr>
          <w:rFonts w:asciiTheme="minorHAnsi" w:hAnsiTheme="minorHAnsi" w:cstheme="minorHAnsi"/>
          <w:sz w:val="24"/>
          <w:szCs w:val="24"/>
        </w:rPr>
        <w:lastRenderedPageBreak/>
        <w:t>why</w:t>
      </w:r>
      <w:r w:rsidRPr="0014445C">
        <w:rPr>
          <w:rFonts w:asciiTheme="minorHAnsi" w:hAnsiTheme="minorHAnsi" w:cstheme="minorHAnsi"/>
          <w:sz w:val="24"/>
          <w:szCs w:val="24"/>
        </w:rPr>
        <w:t xml:space="preserve"> each increase of TPS funding in a LAD by one pound per female aged 13-17 is associated with a -0.12 reduction in the conception rate. </w:t>
      </w:r>
      <w:bookmarkStart w:id="11" w:name="_Toc19031325"/>
    </w:p>
    <w:p w14:paraId="54611C2C" w14:textId="72808F42" w:rsidR="00247B21" w:rsidRPr="0014445C" w:rsidRDefault="00DB2365" w:rsidP="005A4FB5">
      <w:pPr>
        <w:rPr>
          <w:rFonts w:asciiTheme="minorHAnsi" w:hAnsiTheme="minorHAnsi" w:cstheme="minorHAnsi"/>
          <w:sz w:val="24"/>
        </w:rPr>
      </w:pPr>
      <w:r w:rsidRPr="0014445C">
        <w:rPr>
          <w:rFonts w:asciiTheme="minorHAnsi" w:hAnsiTheme="minorHAnsi" w:cstheme="minorHAnsi"/>
          <w:sz w:val="24"/>
        </w:rPr>
        <w:t xml:space="preserve">&lt;Table </w:t>
      </w:r>
      <w:r w:rsidR="00396E8E" w:rsidRPr="0014445C">
        <w:rPr>
          <w:rFonts w:asciiTheme="minorHAnsi" w:hAnsiTheme="minorHAnsi" w:cstheme="minorHAnsi"/>
          <w:sz w:val="24"/>
        </w:rPr>
        <w:t>3</w:t>
      </w:r>
      <w:r w:rsidRPr="0014445C">
        <w:rPr>
          <w:rFonts w:asciiTheme="minorHAnsi" w:hAnsiTheme="minorHAnsi" w:cstheme="minorHAnsi"/>
          <w:sz w:val="24"/>
        </w:rPr>
        <w:t>&gt;</w:t>
      </w:r>
    </w:p>
    <w:p w14:paraId="038E5E8B" w14:textId="0B10920A" w:rsidR="002B793F" w:rsidRPr="0014445C" w:rsidRDefault="002B793F" w:rsidP="00CD0462">
      <w:pPr>
        <w:rPr>
          <w:rFonts w:asciiTheme="minorHAnsi" w:hAnsiTheme="minorHAnsi" w:cstheme="minorHAnsi"/>
          <w:b/>
          <w:sz w:val="24"/>
        </w:rPr>
      </w:pPr>
      <w:r w:rsidRPr="0014445C">
        <w:rPr>
          <w:rFonts w:asciiTheme="minorHAnsi" w:hAnsiTheme="minorHAnsi" w:cstheme="minorHAnsi"/>
          <w:b/>
          <w:sz w:val="24"/>
        </w:rPr>
        <w:t>Discussion</w:t>
      </w:r>
      <w:bookmarkEnd w:id="11"/>
      <w:r w:rsidRPr="0014445C">
        <w:rPr>
          <w:rFonts w:asciiTheme="minorHAnsi" w:hAnsiTheme="minorHAnsi" w:cstheme="minorHAnsi"/>
          <w:b/>
          <w:sz w:val="24"/>
        </w:rPr>
        <w:t xml:space="preserve"> </w:t>
      </w:r>
    </w:p>
    <w:p w14:paraId="07CDB099" w14:textId="218C5C78" w:rsidR="002B793F" w:rsidRPr="006532EE" w:rsidRDefault="002B793F" w:rsidP="00CD0462">
      <w:pPr>
        <w:rPr>
          <w:rFonts w:asciiTheme="minorHAnsi" w:hAnsiTheme="minorHAnsi" w:cstheme="minorHAnsi"/>
          <w:sz w:val="24"/>
          <w:szCs w:val="24"/>
        </w:rPr>
      </w:pPr>
      <w:r w:rsidRPr="0014445C">
        <w:rPr>
          <w:rFonts w:asciiTheme="minorHAnsi" w:hAnsiTheme="minorHAnsi" w:cstheme="minorHAnsi"/>
          <w:sz w:val="24"/>
          <w:szCs w:val="24"/>
        </w:rPr>
        <w:t xml:space="preserve">This </w:t>
      </w:r>
      <w:r w:rsidR="00D17B40" w:rsidRPr="0014445C">
        <w:rPr>
          <w:rFonts w:asciiTheme="minorHAnsi" w:hAnsiTheme="minorHAnsi" w:cstheme="minorHAnsi"/>
          <w:sz w:val="24"/>
          <w:szCs w:val="24"/>
        </w:rPr>
        <w:t xml:space="preserve">analysis explored </w:t>
      </w:r>
      <w:r w:rsidRPr="0014445C">
        <w:rPr>
          <w:rFonts w:asciiTheme="minorHAnsi" w:hAnsiTheme="minorHAnsi" w:cstheme="minorHAnsi"/>
          <w:sz w:val="24"/>
          <w:szCs w:val="24"/>
        </w:rPr>
        <w:t xml:space="preserve">the relationships between the characteristics of England’s </w:t>
      </w:r>
      <w:proofErr w:type="spellStart"/>
      <w:r w:rsidRPr="0014445C">
        <w:rPr>
          <w:rFonts w:asciiTheme="minorHAnsi" w:hAnsiTheme="minorHAnsi" w:cstheme="minorHAnsi"/>
          <w:sz w:val="24"/>
          <w:szCs w:val="24"/>
        </w:rPr>
        <w:t>LADs</w:t>
      </w:r>
      <w:proofErr w:type="spellEnd"/>
      <w:r w:rsidRPr="0014445C">
        <w:rPr>
          <w:rFonts w:asciiTheme="minorHAnsi" w:hAnsiTheme="minorHAnsi" w:cstheme="minorHAnsi"/>
          <w:sz w:val="24"/>
          <w:szCs w:val="24"/>
        </w:rPr>
        <w:t xml:space="preserve"> with their </w:t>
      </w:r>
      <w:r w:rsidR="007F0DAF" w:rsidRPr="0014445C">
        <w:rPr>
          <w:rFonts w:asciiTheme="minorHAnsi" w:hAnsiTheme="minorHAnsi" w:cstheme="minorHAnsi"/>
          <w:sz w:val="24"/>
          <w:szCs w:val="24"/>
        </w:rPr>
        <w:t>spatially</w:t>
      </w:r>
      <w:r w:rsidRPr="0014445C">
        <w:rPr>
          <w:rFonts w:asciiTheme="minorHAnsi" w:hAnsiTheme="minorHAnsi" w:cstheme="minorHAnsi"/>
          <w:sz w:val="24"/>
          <w:szCs w:val="24"/>
        </w:rPr>
        <w:t xml:space="preserve"> varying under-18 conception rates over a 19-year period, and how they altered </w:t>
      </w:r>
      <w:r w:rsidR="00D17B40" w:rsidRPr="0014445C">
        <w:rPr>
          <w:rFonts w:asciiTheme="minorHAnsi" w:hAnsiTheme="minorHAnsi" w:cstheme="minorHAnsi"/>
          <w:sz w:val="24"/>
          <w:szCs w:val="24"/>
        </w:rPr>
        <w:t xml:space="preserve">between </w:t>
      </w:r>
      <w:r w:rsidRPr="0014445C">
        <w:rPr>
          <w:rFonts w:asciiTheme="minorHAnsi" w:hAnsiTheme="minorHAnsi" w:cstheme="minorHAnsi"/>
          <w:sz w:val="24"/>
          <w:szCs w:val="24"/>
        </w:rPr>
        <w:t>1998</w:t>
      </w:r>
      <w:r w:rsidR="00D17B40" w:rsidRPr="0014445C">
        <w:rPr>
          <w:rFonts w:asciiTheme="minorHAnsi" w:hAnsiTheme="minorHAnsi" w:cstheme="minorHAnsi"/>
          <w:sz w:val="24"/>
          <w:szCs w:val="24"/>
        </w:rPr>
        <w:t xml:space="preserve"> and </w:t>
      </w:r>
      <w:r w:rsidRPr="0014445C">
        <w:rPr>
          <w:rFonts w:asciiTheme="minorHAnsi" w:hAnsiTheme="minorHAnsi" w:cstheme="minorHAnsi"/>
          <w:sz w:val="24"/>
          <w:szCs w:val="24"/>
        </w:rPr>
        <w:t>2017. England has experienced recent transformations in the contexts</w:t>
      </w:r>
      <w:r w:rsidR="003B17BC" w:rsidRPr="0014445C">
        <w:rPr>
          <w:rFonts w:asciiTheme="minorHAnsi" w:hAnsiTheme="minorHAnsi" w:cstheme="minorHAnsi"/>
          <w:sz w:val="24"/>
          <w:szCs w:val="24"/>
        </w:rPr>
        <w:t xml:space="preserve"> teenagers grow up in</w:t>
      </w:r>
      <w:r w:rsidRPr="0014445C">
        <w:rPr>
          <w:rFonts w:asciiTheme="minorHAnsi" w:hAnsiTheme="minorHAnsi" w:cstheme="minorHAnsi"/>
          <w:sz w:val="24"/>
          <w:szCs w:val="24"/>
        </w:rPr>
        <w:t xml:space="preserve"> so we examined whether </w:t>
      </w:r>
      <w:r w:rsidR="006532EE">
        <w:rPr>
          <w:rFonts w:asciiTheme="minorHAnsi" w:hAnsiTheme="minorHAnsi" w:cstheme="minorHAnsi"/>
          <w:sz w:val="24"/>
          <w:szCs w:val="24"/>
        </w:rPr>
        <w:t xml:space="preserve">quantifiable </w:t>
      </w:r>
      <w:r w:rsidRPr="006532EE">
        <w:rPr>
          <w:rFonts w:asciiTheme="minorHAnsi" w:hAnsiTheme="minorHAnsi" w:cstheme="minorHAnsi"/>
          <w:sz w:val="24"/>
          <w:szCs w:val="24"/>
        </w:rPr>
        <w:t xml:space="preserve">societal changes within local authorities can account for the </w:t>
      </w:r>
      <w:r w:rsidR="00D17B40" w:rsidRPr="006532EE">
        <w:rPr>
          <w:rFonts w:asciiTheme="minorHAnsi" w:hAnsiTheme="minorHAnsi" w:cstheme="minorHAnsi"/>
          <w:sz w:val="24"/>
          <w:szCs w:val="24"/>
        </w:rPr>
        <w:t xml:space="preserve">differential </w:t>
      </w:r>
      <w:r w:rsidRPr="006532EE">
        <w:rPr>
          <w:rFonts w:asciiTheme="minorHAnsi" w:hAnsiTheme="minorHAnsi" w:cstheme="minorHAnsi"/>
          <w:sz w:val="24"/>
          <w:szCs w:val="24"/>
        </w:rPr>
        <w:t xml:space="preserve">declines in conception rates. </w:t>
      </w:r>
    </w:p>
    <w:p w14:paraId="0D2A748E" w14:textId="2254B148" w:rsidR="002B793F" w:rsidRPr="009D37BE" w:rsidRDefault="002B793F" w:rsidP="00CD0462">
      <w:pPr>
        <w:rPr>
          <w:rFonts w:asciiTheme="minorHAnsi" w:hAnsiTheme="minorHAnsi" w:cstheme="minorHAnsi"/>
          <w:sz w:val="24"/>
          <w:szCs w:val="24"/>
        </w:rPr>
      </w:pPr>
      <w:r w:rsidRPr="005851B6">
        <w:rPr>
          <w:rFonts w:asciiTheme="minorHAnsi" w:hAnsiTheme="minorHAnsi" w:cstheme="minorHAnsi"/>
          <w:sz w:val="24"/>
          <w:szCs w:val="24"/>
        </w:rPr>
        <w:t xml:space="preserve">Whilst most of the relationships between </w:t>
      </w:r>
      <w:r w:rsidR="001B3443" w:rsidRPr="005851B6">
        <w:rPr>
          <w:rFonts w:asciiTheme="minorHAnsi" w:hAnsiTheme="minorHAnsi" w:cstheme="minorHAnsi"/>
          <w:sz w:val="24"/>
          <w:szCs w:val="24"/>
        </w:rPr>
        <w:t>LAD</w:t>
      </w:r>
      <w:r w:rsidRPr="00564D6D">
        <w:rPr>
          <w:rFonts w:asciiTheme="minorHAnsi" w:hAnsiTheme="minorHAnsi" w:cstheme="minorHAnsi"/>
          <w:sz w:val="24"/>
          <w:szCs w:val="24"/>
        </w:rPr>
        <w:t xml:space="preserve"> characteristics and conception rate</w:t>
      </w:r>
      <w:r w:rsidRPr="005B55D1">
        <w:rPr>
          <w:rFonts w:asciiTheme="minorHAnsi" w:hAnsiTheme="minorHAnsi" w:cstheme="minorHAnsi"/>
          <w:sz w:val="24"/>
          <w:szCs w:val="24"/>
        </w:rPr>
        <w:t>s continued throughout the period</w:t>
      </w:r>
      <w:r w:rsidR="00D17B40" w:rsidRPr="005B55D1">
        <w:rPr>
          <w:rFonts w:asciiTheme="minorHAnsi" w:hAnsiTheme="minorHAnsi" w:cstheme="minorHAnsi"/>
          <w:sz w:val="24"/>
          <w:szCs w:val="24"/>
        </w:rPr>
        <w:t>,</w:t>
      </w:r>
      <w:r w:rsidRPr="005B55D1">
        <w:rPr>
          <w:rFonts w:asciiTheme="minorHAnsi" w:hAnsiTheme="minorHAnsi" w:cstheme="minorHAnsi"/>
          <w:sz w:val="24"/>
          <w:szCs w:val="24"/>
        </w:rPr>
        <w:t xml:space="preserve"> the size of the coefficients/effects altered. For example, we</w:t>
      </w:r>
      <w:r w:rsidRPr="004D0536">
        <w:rPr>
          <w:rFonts w:asciiTheme="minorHAnsi" w:hAnsiTheme="minorHAnsi" w:cstheme="minorHAnsi"/>
          <w:sz w:val="24"/>
          <w:szCs w:val="24"/>
        </w:rPr>
        <w:t xml:space="preserve"> found areas with </w:t>
      </w:r>
      <w:r w:rsidR="0031046A" w:rsidRPr="004D0536">
        <w:rPr>
          <w:rFonts w:asciiTheme="minorHAnsi" w:hAnsiTheme="minorHAnsi" w:cstheme="minorHAnsi"/>
          <w:sz w:val="24"/>
          <w:szCs w:val="24"/>
        </w:rPr>
        <w:t>greater</w:t>
      </w:r>
      <w:r w:rsidRPr="004D0536">
        <w:rPr>
          <w:rFonts w:asciiTheme="minorHAnsi" w:hAnsiTheme="minorHAnsi" w:cstheme="minorHAnsi"/>
          <w:sz w:val="24"/>
          <w:szCs w:val="24"/>
        </w:rPr>
        <w:t xml:space="preserve"> youth unemployment still had higher rates of teenage conception than their less deprived counterparts, but that area-l</w:t>
      </w:r>
      <w:r w:rsidRPr="00FC3349">
        <w:rPr>
          <w:rFonts w:asciiTheme="minorHAnsi" w:hAnsiTheme="minorHAnsi" w:cstheme="minorHAnsi"/>
          <w:sz w:val="24"/>
          <w:szCs w:val="24"/>
        </w:rPr>
        <w:t xml:space="preserve">evel unemployment rates had larger effects </w:t>
      </w:r>
      <w:r w:rsidR="00D17B40" w:rsidRPr="00E401F8">
        <w:rPr>
          <w:rFonts w:asciiTheme="minorHAnsi" w:hAnsiTheme="minorHAnsi" w:cstheme="minorHAnsi"/>
          <w:sz w:val="24"/>
          <w:szCs w:val="24"/>
        </w:rPr>
        <w:t xml:space="preserve">between </w:t>
      </w:r>
      <w:r w:rsidRPr="00846EE2">
        <w:rPr>
          <w:rFonts w:asciiTheme="minorHAnsi" w:hAnsiTheme="minorHAnsi" w:cstheme="minorHAnsi"/>
          <w:sz w:val="24"/>
          <w:szCs w:val="24"/>
        </w:rPr>
        <w:t>1998</w:t>
      </w:r>
      <w:r w:rsidR="00D17B40" w:rsidRPr="00846EE2">
        <w:rPr>
          <w:rFonts w:asciiTheme="minorHAnsi" w:hAnsiTheme="minorHAnsi" w:cstheme="minorHAnsi"/>
          <w:sz w:val="24"/>
          <w:szCs w:val="24"/>
        </w:rPr>
        <w:t xml:space="preserve"> and </w:t>
      </w:r>
      <w:r w:rsidRPr="00201A11">
        <w:rPr>
          <w:rFonts w:asciiTheme="minorHAnsi" w:hAnsiTheme="minorHAnsi" w:cstheme="minorHAnsi"/>
          <w:sz w:val="24"/>
          <w:szCs w:val="24"/>
        </w:rPr>
        <w:t>2005 and 2011</w:t>
      </w:r>
      <w:r w:rsidR="00D17B40" w:rsidRPr="00201A11">
        <w:rPr>
          <w:rFonts w:asciiTheme="minorHAnsi" w:hAnsiTheme="minorHAnsi" w:cstheme="minorHAnsi"/>
          <w:sz w:val="24"/>
          <w:szCs w:val="24"/>
        </w:rPr>
        <w:t xml:space="preserve"> and </w:t>
      </w:r>
      <w:r w:rsidRPr="007B5855">
        <w:rPr>
          <w:rFonts w:asciiTheme="minorHAnsi" w:hAnsiTheme="minorHAnsi" w:cstheme="minorHAnsi"/>
          <w:sz w:val="24"/>
          <w:szCs w:val="24"/>
        </w:rPr>
        <w:t xml:space="preserve">2017 compared to </w:t>
      </w:r>
      <w:r w:rsidR="00D17B40" w:rsidRPr="007B5855">
        <w:rPr>
          <w:rFonts w:asciiTheme="minorHAnsi" w:hAnsiTheme="minorHAnsi" w:cstheme="minorHAnsi"/>
          <w:sz w:val="24"/>
          <w:szCs w:val="24"/>
        </w:rPr>
        <w:t xml:space="preserve">between </w:t>
      </w:r>
      <w:r w:rsidRPr="00B869F5">
        <w:rPr>
          <w:rFonts w:asciiTheme="minorHAnsi" w:hAnsiTheme="minorHAnsi" w:cstheme="minorHAnsi"/>
          <w:sz w:val="24"/>
          <w:szCs w:val="24"/>
        </w:rPr>
        <w:t>2006</w:t>
      </w:r>
      <w:r w:rsidR="00D17B40" w:rsidRPr="00B869F5">
        <w:rPr>
          <w:rFonts w:asciiTheme="minorHAnsi" w:hAnsiTheme="minorHAnsi" w:cstheme="minorHAnsi"/>
          <w:sz w:val="24"/>
          <w:szCs w:val="24"/>
        </w:rPr>
        <w:t xml:space="preserve"> and </w:t>
      </w:r>
      <w:r w:rsidRPr="00B869F5">
        <w:rPr>
          <w:rFonts w:asciiTheme="minorHAnsi" w:hAnsiTheme="minorHAnsi" w:cstheme="minorHAnsi"/>
          <w:sz w:val="24"/>
          <w:szCs w:val="24"/>
        </w:rPr>
        <w:t xml:space="preserve">2010. We also discovered weakening coefficients between </w:t>
      </w:r>
      <w:r w:rsidRPr="0014445C">
        <w:rPr>
          <w:rFonts w:asciiTheme="minorHAnsi" w:hAnsiTheme="minorHAnsi" w:cstheme="minorHAnsi"/>
          <w:sz w:val="24"/>
          <w:szCs w:val="24"/>
        </w:rPr>
        <w:t>conceptions and housing unaffordability, and time-varying relationships with educational attainment and ethnic diversity. These changing relationships are evidence that areas with contrasting characte</w:t>
      </w:r>
      <w:r w:rsidRPr="009D37BE">
        <w:rPr>
          <w:rFonts w:asciiTheme="minorHAnsi" w:hAnsiTheme="minorHAnsi" w:cstheme="minorHAnsi"/>
          <w:sz w:val="24"/>
          <w:szCs w:val="24"/>
        </w:rPr>
        <w:t>ristics became less diverse in terms of their teenage conception rates.</w:t>
      </w:r>
    </w:p>
    <w:p w14:paraId="3BDBF7E6" w14:textId="0CFC60E1" w:rsidR="002B793F" w:rsidRPr="00DC33F7" w:rsidRDefault="002B793F" w:rsidP="00CD0462">
      <w:pPr>
        <w:rPr>
          <w:rFonts w:asciiTheme="minorHAnsi" w:hAnsiTheme="minorHAnsi" w:cstheme="minorHAnsi"/>
          <w:sz w:val="24"/>
          <w:szCs w:val="24"/>
        </w:rPr>
      </w:pPr>
      <w:r w:rsidRPr="00C633C2">
        <w:rPr>
          <w:rFonts w:asciiTheme="minorHAnsi" w:hAnsiTheme="minorHAnsi" w:cstheme="minorHAnsi"/>
          <w:sz w:val="24"/>
          <w:szCs w:val="24"/>
        </w:rPr>
        <w:t>In the random effect models, the area characteristics were better able to explain the di</w:t>
      </w:r>
      <w:r w:rsidRPr="00615118">
        <w:rPr>
          <w:rFonts w:asciiTheme="minorHAnsi" w:hAnsiTheme="minorHAnsi" w:cstheme="minorHAnsi"/>
          <w:sz w:val="24"/>
          <w:szCs w:val="24"/>
        </w:rPr>
        <w:t xml:space="preserve">fferences in conception rates </w:t>
      </w:r>
      <w:r w:rsidRPr="00F93349">
        <w:rPr>
          <w:rFonts w:asciiTheme="minorHAnsi" w:hAnsiTheme="minorHAnsi" w:cstheme="minorHAnsi"/>
          <w:i/>
          <w:iCs/>
          <w:sz w:val="24"/>
          <w:szCs w:val="24"/>
        </w:rPr>
        <w:t>between</w:t>
      </w:r>
      <w:r w:rsidRPr="00F93349">
        <w:rPr>
          <w:rFonts w:asciiTheme="minorHAnsi" w:hAnsiTheme="minorHAnsi" w:cstheme="minorHAnsi"/>
          <w:sz w:val="24"/>
          <w:szCs w:val="24"/>
        </w:rPr>
        <w:t xml:space="preserve"> </w:t>
      </w:r>
      <w:proofErr w:type="spellStart"/>
      <w:r w:rsidRPr="00F93349">
        <w:rPr>
          <w:rFonts w:asciiTheme="minorHAnsi" w:hAnsiTheme="minorHAnsi" w:cstheme="minorHAnsi"/>
          <w:sz w:val="24"/>
          <w:szCs w:val="24"/>
        </w:rPr>
        <w:t>LADs</w:t>
      </w:r>
      <w:proofErr w:type="spellEnd"/>
      <w:r w:rsidRPr="00F93349">
        <w:rPr>
          <w:rFonts w:asciiTheme="minorHAnsi" w:hAnsiTheme="minorHAnsi" w:cstheme="minorHAnsi"/>
          <w:sz w:val="24"/>
          <w:szCs w:val="24"/>
        </w:rPr>
        <w:t xml:space="preserve"> as opposed to the within-LAD </w:t>
      </w:r>
      <w:r w:rsidRPr="00F93349">
        <w:rPr>
          <w:rFonts w:asciiTheme="minorHAnsi" w:hAnsiTheme="minorHAnsi" w:cstheme="minorHAnsi"/>
          <w:i/>
          <w:iCs/>
          <w:sz w:val="24"/>
          <w:szCs w:val="24"/>
        </w:rPr>
        <w:t>changes</w:t>
      </w:r>
      <w:r w:rsidRPr="00F93349">
        <w:rPr>
          <w:rFonts w:asciiTheme="minorHAnsi" w:hAnsiTheme="minorHAnsi" w:cstheme="minorHAnsi"/>
          <w:sz w:val="24"/>
          <w:szCs w:val="24"/>
        </w:rPr>
        <w:t xml:space="preserve"> over time</w:t>
      </w:r>
      <w:r w:rsidR="00DC33F7">
        <w:rPr>
          <w:rFonts w:asciiTheme="minorHAnsi" w:hAnsiTheme="minorHAnsi" w:cstheme="minorHAnsi"/>
          <w:sz w:val="24"/>
          <w:szCs w:val="24"/>
        </w:rPr>
        <w:t xml:space="preserve">, and the majority of these within-LAD changes were not even explained in the fixed effect model. </w:t>
      </w:r>
      <w:r w:rsidR="0015223B">
        <w:rPr>
          <w:rFonts w:asciiTheme="minorHAnsi" w:hAnsiTheme="minorHAnsi" w:cstheme="minorHAnsi"/>
          <w:sz w:val="24"/>
          <w:szCs w:val="24"/>
        </w:rPr>
        <w:t>C</w:t>
      </w:r>
      <w:r w:rsidR="00DC33F7">
        <w:rPr>
          <w:rFonts w:asciiTheme="minorHAnsi" w:hAnsiTheme="minorHAnsi" w:cstheme="minorHAnsi"/>
          <w:sz w:val="24"/>
          <w:szCs w:val="24"/>
        </w:rPr>
        <w:t>hanges in teenage conception rates are</w:t>
      </w:r>
      <w:r w:rsidR="0015223B">
        <w:rPr>
          <w:rFonts w:asciiTheme="minorHAnsi" w:hAnsiTheme="minorHAnsi" w:cstheme="minorHAnsi"/>
          <w:sz w:val="24"/>
          <w:szCs w:val="24"/>
        </w:rPr>
        <w:t>, thus,</w:t>
      </w:r>
      <w:r w:rsidR="00DC33F7">
        <w:rPr>
          <w:rFonts w:asciiTheme="minorHAnsi" w:hAnsiTheme="minorHAnsi" w:cstheme="minorHAnsi"/>
          <w:sz w:val="24"/>
          <w:szCs w:val="24"/>
        </w:rPr>
        <w:t xml:space="preserve"> not only due to the </w:t>
      </w:r>
      <w:r w:rsidR="006532EE">
        <w:rPr>
          <w:rFonts w:asciiTheme="minorHAnsi" w:hAnsiTheme="minorHAnsi" w:cstheme="minorHAnsi"/>
          <w:sz w:val="24"/>
          <w:szCs w:val="24"/>
        </w:rPr>
        <w:t xml:space="preserve">contextual </w:t>
      </w:r>
      <w:r w:rsidR="00DC33F7">
        <w:rPr>
          <w:rFonts w:asciiTheme="minorHAnsi" w:hAnsiTheme="minorHAnsi" w:cstheme="minorHAnsi"/>
          <w:sz w:val="24"/>
          <w:szCs w:val="24"/>
        </w:rPr>
        <w:t xml:space="preserve">societal changes that we could measure </w:t>
      </w:r>
      <w:r w:rsidR="006532EE">
        <w:rPr>
          <w:rFonts w:asciiTheme="minorHAnsi" w:hAnsiTheme="minorHAnsi" w:cstheme="minorHAnsi"/>
          <w:sz w:val="24"/>
          <w:szCs w:val="24"/>
        </w:rPr>
        <w:t>but</w:t>
      </w:r>
      <w:r w:rsidR="00DC33F7">
        <w:rPr>
          <w:rFonts w:asciiTheme="minorHAnsi" w:hAnsiTheme="minorHAnsi" w:cstheme="minorHAnsi"/>
          <w:sz w:val="24"/>
          <w:szCs w:val="24"/>
        </w:rPr>
        <w:t xml:space="preserve"> </w:t>
      </w:r>
      <w:r w:rsidR="004E1544">
        <w:rPr>
          <w:rFonts w:asciiTheme="minorHAnsi" w:hAnsiTheme="minorHAnsi" w:cstheme="minorHAnsi"/>
          <w:sz w:val="24"/>
          <w:szCs w:val="24"/>
        </w:rPr>
        <w:t>from</w:t>
      </w:r>
      <w:r w:rsidR="00DC33F7">
        <w:rPr>
          <w:rFonts w:asciiTheme="minorHAnsi" w:hAnsiTheme="minorHAnsi" w:cstheme="minorHAnsi"/>
          <w:sz w:val="24"/>
          <w:szCs w:val="24"/>
        </w:rPr>
        <w:t xml:space="preserve"> other factors that could not be captured by this paper</w:t>
      </w:r>
      <w:r w:rsidR="00825480">
        <w:rPr>
          <w:rFonts w:asciiTheme="minorHAnsi" w:hAnsiTheme="minorHAnsi" w:cstheme="minorHAnsi"/>
          <w:sz w:val="24"/>
          <w:szCs w:val="24"/>
        </w:rPr>
        <w:t>.</w:t>
      </w:r>
      <w:r w:rsidRPr="00DC33F7">
        <w:rPr>
          <w:rFonts w:asciiTheme="minorHAnsi" w:hAnsiTheme="minorHAnsi" w:cstheme="minorHAnsi"/>
          <w:sz w:val="24"/>
          <w:szCs w:val="24"/>
        </w:rPr>
        <w:t xml:space="preserve"> </w:t>
      </w:r>
      <w:r w:rsidR="00DC33F7">
        <w:rPr>
          <w:rFonts w:asciiTheme="minorHAnsi" w:hAnsiTheme="minorHAnsi" w:cstheme="minorHAnsi"/>
          <w:sz w:val="24"/>
          <w:szCs w:val="24"/>
        </w:rPr>
        <w:t xml:space="preserve">Nonetheless, of the change </w:t>
      </w:r>
      <w:r w:rsidR="00DC33F7" w:rsidRPr="00704471">
        <w:rPr>
          <w:rFonts w:asciiTheme="minorHAnsi" w:hAnsiTheme="minorHAnsi" w:cstheme="minorHAnsi"/>
          <w:i/>
          <w:iCs/>
          <w:sz w:val="24"/>
          <w:szCs w:val="24"/>
        </w:rPr>
        <w:t>within</w:t>
      </w:r>
      <w:r w:rsidR="00DC33F7">
        <w:rPr>
          <w:rFonts w:asciiTheme="minorHAnsi" w:hAnsiTheme="minorHAnsi" w:cstheme="minorHAnsi"/>
          <w:sz w:val="24"/>
          <w:szCs w:val="24"/>
        </w:rPr>
        <w:t>-</w:t>
      </w:r>
      <w:proofErr w:type="spellStart"/>
      <w:r w:rsidR="00DC33F7">
        <w:rPr>
          <w:rFonts w:asciiTheme="minorHAnsi" w:hAnsiTheme="minorHAnsi" w:cstheme="minorHAnsi"/>
          <w:sz w:val="24"/>
          <w:szCs w:val="24"/>
        </w:rPr>
        <w:t>LADs</w:t>
      </w:r>
      <w:proofErr w:type="spellEnd"/>
      <w:r w:rsidR="00DC33F7">
        <w:rPr>
          <w:rFonts w:asciiTheme="minorHAnsi" w:hAnsiTheme="minorHAnsi" w:cstheme="minorHAnsi"/>
          <w:sz w:val="24"/>
          <w:szCs w:val="24"/>
        </w:rPr>
        <w:t xml:space="preserve"> that </w:t>
      </w:r>
      <w:r w:rsidR="0087514F">
        <w:rPr>
          <w:rFonts w:asciiTheme="minorHAnsi" w:hAnsiTheme="minorHAnsi" w:cstheme="minorHAnsi"/>
          <w:sz w:val="24"/>
          <w:szCs w:val="24"/>
        </w:rPr>
        <w:t>was explained</w:t>
      </w:r>
      <w:r w:rsidR="00DC33F7">
        <w:rPr>
          <w:rFonts w:asciiTheme="minorHAnsi" w:hAnsiTheme="minorHAnsi" w:cstheme="minorHAnsi"/>
          <w:sz w:val="24"/>
          <w:szCs w:val="24"/>
        </w:rPr>
        <w:t xml:space="preserve"> by the characteristics </w:t>
      </w:r>
      <w:r w:rsidR="00A54BFE">
        <w:rPr>
          <w:rFonts w:asciiTheme="minorHAnsi" w:hAnsiTheme="minorHAnsi" w:cstheme="minorHAnsi"/>
          <w:sz w:val="24"/>
          <w:szCs w:val="24"/>
        </w:rPr>
        <w:t>i</w:t>
      </w:r>
      <w:r w:rsidRPr="00DC33F7">
        <w:rPr>
          <w:rFonts w:asciiTheme="minorHAnsi" w:hAnsiTheme="minorHAnsi" w:cstheme="minorHAnsi"/>
          <w:sz w:val="24"/>
          <w:szCs w:val="24"/>
        </w:rPr>
        <w:t>n the fixed effect model</w:t>
      </w:r>
      <w:r w:rsidR="0057406D" w:rsidRPr="00DC33F7">
        <w:rPr>
          <w:rFonts w:asciiTheme="minorHAnsi" w:hAnsiTheme="minorHAnsi" w:cstheme="minorHAnsi"/>
          <w:sz w:val="24"/>
          <w:szCs w:val="24"/>
        </w:rPr>
        <w:t>s</w:t>
      </w:r>
      <w:r w:rsidRPr="00DC33F7">
        <w:rPr>
          <w:rFonts w:asciiTheme="minorHAnsi" w:hAnsiTheme="minorHAnsi" w:cstheme="minorHAnsi"/>
          <w:sz w:val="24"/>
          <w:szCs w:val="24"/>
        </w:rPr>
        <w:t xml:space="preserve">, larger declines </w:t>
      </w:r>
      <w:r w:rsidR="009B495D" w:rsidRPr="00DC33F7">
        <w:rPr>
          <w:rFonts w:asciiTheme="minorHAnsi" w:hAnsiTheme="minorHAnsi" w:cstheme="minorHAnsi"/>
          <w:sz w:val="24"/>
          <w:szCs w:val="24"/>
        </w:rPr>
        <w:t>in</w:t>
      </w:r>
      <w:r w:rsidRPr="00DC33F7">
        <w:rPr>
          <w:rFonts w:asciiTheme="minorHAnsi" w:hAnsiTheme="minorHAnsi" w:cstheme="minorHAnsi"/>
          <w:sz w:val="24"/>
          <w:szCs w:val="24"/>
        </w:rPr>
        <w:t xml:space="preserve"> local authority under-18 conception rates were related to areas experiencing </w:t>
      </w:r>
      <w:r w:rsidRPr="00DC33F7">
        <w:rPr>
          <w:rFonts w:asciiTheme="minorHAnsi" w:hAnsiTheme="minorHAnsi" w:cstheme="minorHAnsi"/>
          <w:i/>
          <w:sz w:val="24"/>
          <w:szCs w:val="24"/>
        </w:rPr>
        <w:t>growing</w:t>
      </w:r>
      <w:r w:rsidRPr="00DC33F7">
        <w:rPr>
          <w:rFonts w:asciiTheme="minorHAnsi" w:hAnsiTheme="minorHAnsi" w:cstheme="minorHAnsi"/>
          <w:sz w:val="24"/>
          <w:szCs w:val="24"/>
        </w:rPr>
        <w:t xml:space="preserve"> Black or South Asian teenage populations, </w:t>
      </w:r>
      <w:r w:rsidRPr="00DC33F7">
        <w:rPr>
          <w:rFonts w:asciiTheme="minorHAnsi" w:hAnsiTheme="minorHAnsi" w:cstheme="minorHAnsi"/>
          <w:i/>
          <w:sz w:val="24"/>
          <w:szCs w:val="24"/>
        </w:rPr>
        <w:t>less</w:t>
      </w:r>
      <w:r w:rsidRPr="00DC33F7">
        <w:rPr>
          <w:rFonts w:asciiTheme="minorHAnsi" w:hAnsiTheme="minorHAnsi" w:cstheme="minorHAnsi"/>
          <w:sz w:val="24"/>
          <w:szCs w:val="24"/>
        </w:rPr>
        <w:t xml:space="preserve"> youth unemployment, </w:t>
      </w:r>
      <w:r w:rsidRPr="00DC33F7">
        <w:rPr>
          <w:rFonts w:asciiTheme="minorHAnsi" w:hAnsiTheme="minorHAnsi" w:cstheme="minorHAnsi"/>
          <w:i/>
          <w:sz w:val="24"/>
          <w:szCs w:val="24"/>
        </w:rPr>
        <w:t>more</w:t>
      </w:r>
      <w:r w:rsidRPr="00DC33F7">
        <w:rPr>
          <w:rFonts w:asciiTheme="minorHAnsi" w:hAnsiTheme="minorHAnsi" w:cstheme="minorHAnsi"/>
          <w:sz w:val="24"/>
          <w:szCs w:val="24"/>
        </w:rPr>
        <w:t xml:space="preserve"> educational attainment, </w:t>
      </w:r>
      <w:r w:rsidRPr="00DC33F7">
        <w:rPr>
          <w:rFonts w:asciiTheme="minorHAnsi" w:hAnsiTheme="minorHAnsi" w:cstheme="minorHAnsi"/>
          <w:i/>
          <w:sz w:val="24"/>
          <w:szCs w:val="24"/>
        </w:rPr>
        <w:t>increased</w:t>
      </w:r>
      <w:r w:rsidRPr="00DC33F7">
        <w:rPr>
          <w:rFonts w:asciiTheme="minorHAnsi" w:hAnsiTheme="minorHAnsi" w:cstheme="minorHAnsi"/>
          <w:sz w:val="24"/>
          <w:szCs w:val="24"/>
        </w:rPr>
        <w:t xml:space="preserve"> housing unaffordability, and reductions in social housing availability. Most of the relationships had the same direction in the random and fixed effect models, with exceptions being the prevalence of Black teenagers and TPS funding.</w:t>
      </w:r>
    </w:p>
    <w:p w14:paraId="2E769AF8" w14:textId="3B4BADCA" w:rsidR="002B793F" w:rsidRPr="0014445C" w:rsidRDefault="002B793F" w:rsidP="00CD0462">
      <w:pPr>
        <w:rPr>
          <w:rFonts w:asciiTheme="minorHAnsi" w:hAnsiTheme="minorHAnsi" w:cstheme="minorHAnsi"/>
          <w:sz w:val="24"/>
          <w:szCs w:val="24"/>
        </w:rPr>
      </w:pPr>
      <w:r w:rsidRPr="005851B6">
        <w:rPr>
          <w:rFonts w:asciiTheme="minorHAnsi" w:hAnsiTheme="minorHAnsi" w:cstheme="minorHAnsi"/>
          <w:sz w:val="24"/>
          <w:szCs w:val="24"/>
        </w:rPr>
        <w:lastRenderedPageBreak/>
        <w:t>We went beyond p</w:t>
      </w:r>
      <w:r w:rsidR="0057406D" w:rsidRPr="005851B6">
        <w:rPr>
          <w:rFonts w:asciiTheme="minorHAnsi" w:hAnsiTheme="minorHAnsi" w:cstheme="minorHAnsi"/>
          <w:sz w:val="24"/>
          <w:szCs w:val="24"/>
        </w:rPr>
        <w:t>ast works that ha</w:t>
      </w:r>
      <w:r w:rsidRPr="00564D6D">
        <w:rPr>
          <w:rFonts w:asciiTheme="minorHAnsi" w:hAnsiTheme="minorHAnsi" w:cstheme="minorHAnsi"/>
          <w:sz w:val="24"/>
          <w:szCs w:val="24"/>
        </w:rPr>
        <w:t xml:space="preserve">d used more imprecise measures of ethnic composition. Areas with greater proportions of </w:t>
      </w:r>
      <w:r w:rsidR="00240109" w:rsidRPr="005B55D1">
        <w:rPr>
          <w:rFonts w:asciiTheme="minorHAnsi" w:hAnsiTheme="minorHAnsi" w:cstheme="minorHAnsi"/>
          <w:sz w:val="24"/>
          <w:szCs w:val="24"/>
        </w:rPr>
        <w:t>South Asian</w:t>
      </w:r>
      <w:r w:rsidRPr="005B55D1">
        <w:rPr>
          <w:rFonts w:asciiTheme="minorHAnsi" w:hAnsiTheme="minorHAnsi" w:cstheme="minorHAnsi"/>
          <w:sz w:val="24"/>
          <w:szCs w:val="24"/>
        </w:rPr>
        <w:t xml:space="preserve"> pupils had </w:t>
      </w:r>
      <w:r w:rsidR="00240109" w:rsidRPr="005B55D1">
        <w:rPr>
          <w:rFonts w:asciiTheme="minorHAnsi" w:hAnsiTheme="minorHAnsi" w:cstheme="minorHAnsi"/>
          <w:sz w:val="24"/>
          <w:szCs w:val="24"/>
        </w:rPr>
        <w:t xml:space="preserve">lower </w:t>
      </w:r>
      <w:r w:rsidRPr="004D0536">
        <w:rPr>
          <w:rFonts w:asciiTheme="minorHAnsi" w:hAnsiTheme="minorHAnsi" w:cstheme="minorHAnsi"/>
          <w:sz w:val="24"/>
          <w:szCs w:val="24"/>
        </w:rPr>
        <w:t>conception rates</w:t>
      </w:r>
      <w:r w:rsidR="00240109" w:rsidRPr="004D0536">
        <w:rPr>
          <w:rFonts w:asciiTheme="minorHAnsi" w:hAnsiTheme="minorHAnsi" w:cstheme="minorHAnsi"/>
          <w:sz w:val="24"/>
          <w:szCs w:val="24"/>
        </w:rPr>
        <w:t xml:space="preserve"> throughout 1998-2017.</w:t>
      </w:r>
      <w:r w:rsidRPr="009E6D3D">
        <w:rPr>
          <w:rFonts w:asciiTheme="minorHAnsi" w:hAnsiTheme="minorHAnsi" w:cstheme="minorHAnsi"/>
          <w:sz w:val="24"/>
          <w:szCs w:val="24"/>
        </w:rPr>
        <w:t xml:space="preserve"> This may be due to later sexual debut by Pakistani </w:t>
      </w:r>
      <w:r w:rsidR="00252266" w:rsidRPr="00FC3349">
        <w:rPr>
          <w:rFonts w:asciiTheme="minorHAnsi" w:hAnsiTheme="minorHAnsi" w:cstheme="minorHAnsi"/>
          <w:sz w:val="24"/>
          <w:szCs w:val="24"/>
        </w:rPr>
        <w:t>and</w:t>
      </w:r>
      <w:r w:rsidRPr="00FC3349">
        <w:rPr>
          <w:rFonts w:asciiTheme="minorHAnsi" w:hAnsiTheme="minorHAnsi" w:cstheme="minorHAnsi"/>
          <w:sz w:val="24"/>
          <w:szCs w:val="24"/>
        </w:rPr>
        <w:t xml:space="preserve"> Indian teenagers </w:t>
      </w:r>
      <w:r w:rsidR="00383036" w:rsidRPr="0014445C">
        <w:rPr>
          <w:rFonts w:asciiTheme="minorHAnsi" w:hAnsiTheme="minorHAnsi" w:cstheme="minorHAnsi"/>
          <w:sz w:val="24"/>
          <w:szCs w:val="24"/>
        </w:rPr>
        <w:t>(</w:t>
      </w:r>
      <w:r w:rsidR="00662535" w:rsidRPr="0014445C">
        <w:rPr>
          <w:rFonts w:asciiTheme="minorHAnsi" w:hAnsiTheme="minorHAnsi" w:cstheme="minorHAnsi"/>
          <w:sz w:val="24"/>
          <w:szCs w:val="24"/>
        </w:rPr>
        <w:t>Fenton et al., 2005)</w:t>
      </w:r>
      <w:r w:rsidR="00F44570" w:rsidRPr="0014445C">
        <w:rPr>
          <w:rFonts w:asciiTheme="minorHAnsi" w:hAnsiTheme="minorHAnsi" w:cstheme="minorHAnsi"/>
          <w:sz w:val="24"/>
          <w:szCs w:val="24"/>
        </w:rPr>
        <w:t>,</w:t>
      </w:r>
      <w:r w:rsidR="006D3340">
        <w:rPr>
          <w:rFonts w:asciiTheme="minorHAnsi" w:hAnsiTheme="minorHAnsi" w:cstheme="minorHAnsi"/>
          <w:sz w:val="24"/>
          <w:szCs w:val="24"/>
          <w:vertAlign w:val="superscript"/>
        </w:rPr>
        <w:t xml:space="preserve"> </w:t>
      </w:r>
      <w:r w:rsidRPr="0014445C">
        <w:rPr>
          <w:rFonts w:asciiTheme="minorHAnsi" w:hAnsiTheme="minorHAnsi" w:cstheme="minorHAnsi"/>
          <w:sz w:val="24"/>
          <w:szCs w:val="24"/>
        </w:rPr>
        <w:t>and because ethnicity may act as a proxy for religion</w:t>
      </w:r>
      <w:r w:rsidR="00853265" w:rsidRPr="0014445C">
        <w:rPr>
          <w:rFonts w:asciiTheme="minorHAnsi" w:hAnsiTheme="minorHAnsi" w:cstheme="minorHAnsi"/>
          <w:sz w:val="24"/>
          <w:szCs w:val="24"/>
        </w:rPr>
        <w:t xml:space="preserve">; </w:t>
      </w:r>
      <w:r w:rsidRPr="0014445C">
        <w:rPr>
          <w:rFonts w:asciiTheme="minorHAnsi" w:hAnsiTheme="minorHAnsi" w:cstheme="minorHAnsi"/>
          <w:sz w:val="24"/>
          <w:szCs w:val="24"/>
        </w:rPr>
        <w:t xml:space="preserve">teenage Muslim or Hindu women </w:t>
      </w:r>
      <w:r w:rsidR="00BB59C6" w:rsidRPr="0014445C">
        <w:rPr>
          <w:rFonts w:asciiTheme="minorHAnsi" w:hAnsiTheme="minorHAnsi" w:cstheme="minorHAnsi"/>
          <w:sz w:val="24"/>
          <w:szCs w:val="24"/>
        </w:rPr>
        <w:t xml:space="preserve">are </w:t>
      </w:r>
      <w:r w:rsidRPr="0014445C">
        <w:rPr>
          <w:rFonts w:asciiTheme="minorHAnsi" w:hAnsiTheme="minorHAnsi" w:cstheme="minorHAnsi"/>
          <w:sz w:val="24"/>
          <w:szCs w:val="24"/>
        </w:rPr>
        <w:t xml:space="preserve">less likely to have had intercourse </w:t>
      </w:r>
      <w:r w:rsidR="009B495D" w:rsidRPr="0014445C">
        <w:rPr>
          <w:rFonts w:asciiTheme="minorHAnsi" w:hAnsiTheme="minorHAnsi" w:cstheme="minorHAnsi"/>
          <w:sz w:val="24"/>
          <w:szCs w:val="24"/>
        </w:rPr>
        <w:t xml:space="preserve">by age 18 </w:t>
      </w:r>
      <w:r w:rsidRPr="0014445C">
        <w:rPr>
          <w:rFonts w:asciiTheme="minorHAnsi" w:hAnsiTheme="minorHAnsi" w:cstheme="minorHAnsi"/>
          <w:sz w:val="24"/>
          <w:szCs w:val="24"/>
        </w:rPr>
        <w:t>than their Christian or non-religious counterparts</w:t>
      </w:r>
      <w:r w:rsidR="000D1E2C" w:rsidRPr="0014445C">
        <w:rPr>
          <w:rFonts w:asciiTheme="minorHAnsi" w:hAnsiTheme="minorHAnsi" w:cstheme="minorHAnsi"/>
          <w:sz w:val="24"/>
          <w:szCs w:val="24"/>
        </w:rPr>
        <w:t xml:space="preserve"> </w:t>
      </w:r>
      <w:r w:rsidR="00383036" w:rsidRPr="0014445C">
        <w:rPr>
          <w:rFonts w:asciiTheme="minorHAnsi" w:hAnsiTheme="minorHAnsi" w:cstheme="minorHAnsi"/>
          <w:sz w:val="24"/>
          <w:szCs w:val="24"/>
        </w:rPr>
        <w:t>(</w:t>
      </w:r>
      <w:r w:rsidR="00662535" w:rsidRPr="0014445C">
        <w:rPr>
          <w:rFonts w:asciiTheme="minorHAnsi" w:hAnsiTheme="minorHAnsi" w:cstheme="minorHAnsi"/>
          <w:sz w:val="24"/>
          <w:szCs w:val="24"/>
        </w:rPr>
        <w:t>Coleman and Testa, 2008</w:t>
      </w:r>
      <w:r w:rsidR="00383036" w:rsidRPr="0014445C">
        <w:rPr>
          <w:rFonts w:asciiTheme="minorHAnsi" w:hAnsiTheme="minorHAnsi" w:cstheme="minorHAnsi"/>
          <w:sz w:val="24"/>
          <w:szCs w:val="24"/>
        </w:rPr>
        <w:t>)</w:t>
      </w:r>
      <w:r w:rsidR="00F44570" w:rsidRPr="0014445C">
        <w:rPr>
          <w:rFonts w:asciiTheme="minorHAnsi" w:hAnsiTheme="minorHAnsi" w:cstheme="minorHAnsi"/>
          <w:sz w:val="24"/>
          <w:szCs w:val="24"/>
        </w:rPr>
        <w:t xml:space="preserve">. </w:t>
      </w:r>
      <w:r w:rsidR="00240109" w:rsidRPr="0014445C">
        <w:rPr>
          <w:rFonts w:asciiTheme="minorHAnsi" w:hAnsiTheme="minorHAnsi" w:cstheme="minorHAnsi"/>
          <w:sz w:val="24"/>
          <w:szCs w:val="24"/>
        </w:rPr>
        <w:t xml:space="preserve">The associations between </w:t>
      </w:r>
      <w:proofErr w:type="gramStart"/>
      <w:r w:rsidR="00240109" w:rsidRPr="0014445C">
        <w:rPr>
          <w:rFonts w:asciiTheme="minorHAnsi" w:hAnsiTheme="minorHAnsi" w:cstheme="minorHAnsi"/>
          <w:sz w:val="24"/>
          <w:szCs w:val="24"/>
        </w:rPr>
        <w:t>both of the ethnic</w:t>
      </w:r>
      <w:proofErr w:type="gramEnd"/>
      <w:r w:rsidR="00240109" w:rsidRPr="0014445C">
        <w:rPr>
          <w:rFonts w:asciiTheme="minorHAnsi" w:hAnsiTheme="minorHAnsi" w:cstheme="minorHAnsi"/>
          <w:sz w:val="24"/>
          <w:szCs w:val="24"/>
        </w:rPr>
        <w:t xml:space="preserve"> composition variables and conceptions were mainly removed when London </w:t>
      </w:r>
      <w:proofErr w:type="spellStart"/>
      <w:r w:rsidR="00240109" w:rsidRPr="0014445C">
        <w:rPr>
          <w:rFonts w:asciiTheme="minorHAnsi" w:hAnsiTheme="minorHAnsi" w:cstheme="minorHAnsi"/>
          <w:sz w:val="24"/>
          <w:szCs w:val="24"/>
        </w:rPr>
        <w:t>LADs</w:t>
      </w:r>
      <w:proofErr w:type="spellEnd"/>
      <w:r w:rsidR="00240109" w:rsidRPr="0014445C">
        <w:rPr>
          <w:rFonts w:asciiTheme="minorHAnsi" w:hAnsiTheme="minorHAnsi" w:cstheme="minorHAnsi"/>
          <w:sz w:val="24"/>
          <w:szCs w:val="24"/>
        </w:rPr>
        <w:t xml:space="preserve"> were not included in the analysis, which highlights the need for the careful consideration of </w:t>
      </w:r>
      <w:r w:rsidR="002D2E2A" w:rsidRPr="0014445C">
        <w:rPr>
          <w:rFonts w:asciiTheme="minorHAnsi" w:hAnsiTheme="minorHAnsi" w:cstheme="minorHAnsi"/>
          <w:sz w:val="24"/>
          <w:szCs w:val="24"/>
        </w:rPr>
        <w:t xml:space="preserve">the distinction between </w:t>
      </w:r>
      <w:r w:rsidR="00240109" w:rsidRPr="0014445C">
        <w:rPr>
          <w:rFonts w:asciiTheme="minorHAnsi" w:hAnsiTheme="minorHAnsi" w:cstheme="minorHAnsi"/>
          <w:sz w:val="24"/>
          <w:szCs w:val="24"/>
        </w:rPr>
        <w:t xml:space="preserve">London </w:t>
      </w:r>
      <w:r w:rsidR="002D2E2A" w:rsidRPr="0014445C">
        <w:rPr>
          <w:rFonts w:asciiTheme="minorHAnsi" w:hAnsiTheme="minorHAnsi" w:cstheme="minorHAnsi"/>
          <w:sz w:val="24"/>
          <w:szCs w:val="24"/>
        </w:rPr>
        <w:t xml:space="preserve">and other </w:t>
      </w:r>
      <w:proofErr w:type="spellStart"/>
      <w:r w:rsidR="002D2E2A" w:rsidRPr="0014445C">
        <w:rPr>
          <w:rFonts w:asciiTheme="minorHAnsi" w:hAnsiTheme="minorHAnsi" w:cstheme="minorHAnsi"/>
          <w:sz w:val="24"/>
          <w:szCs w:val="24"/>
        </w:rPr>
        <w:t>LADs</w:t>
      </w:r>
      <w:proofErr w:type="spellEnd"/>
      <w:r w:rsidR="00E72567" w:rsidRPr="0014445C">
        <w:rPr>
          <w:rFonts w:asciiTheme="minorHAnsi" w:hAnsiTheme="minorHAnsi" w:cstheme="minorHAnsi"/>
          <w:sz w:val="24"/>
          <w:szCs w:val="24"/>
        </w:rPr>
        <w:t xml:space="preserve">. </w:t>
      </w:r>
    </w:p>
    <w:p w14:paraId="1723EE25" w14:textId="03DAFF00" w:rsidR="002B793F" w:rsidRPr="0014445C" w:rsidRDefault="002B793F" w:rsidP="00CD0462">
      <w:pPr>
        <w:rPr>
          <w:rFonts w:asciiTheme="minorHAnsi" w:hAnsiTheme="minorHAnsi" w:cstheme="minorHAnsi"/>
          <w:sz w:val="24"/>
          <w:szCs w:val="24"/>
        </w:rPr>
      </w:pPr>
      <w:r w:rsidRPr="0014445C">
        <w:rPr>
          <w:rFonts w:asciiTheme="minorHAnsi" w:hAnsiTheme="minorHAnsi" w:cstheme="minorHAnsi"/>
          <w:sz w:val="24"/>
          <w:szCs w:val="24"/>
        </w:rPr>
        <w:t xml:space="preserve">However, </w:t>
      </w:r>
      <w:r w:rsidR="008A2E8C" w:rsidRPr="0014445C">
        <w:rPr>
          <w:rFonts w:asciiTheme="minorHAnsi" w:hAnsiTheme="minorHAnsi" w:cstheme="minorHAnsi"/>
          <w:sz w:val="24"/>
          <w:szCs w:val="24"/>
        </w:rPr>
        <w:t>growing</w:t>
      </w:r>
      <w:r w:rsidRPr="0014445C">
        <w:rPr>
          <w:rFonts w:asciiTheme="minorHAnsi" w:hAnsiTheme="minorHAnsi" w:cstheme="minorHAnsi"/>
          <w:sz w:val="24"/>
          <w:szCs w:val="24"/>
        </w:rPr>
        <w:t xml:space="preserve"> Black or South Asian populations were both associated with declines in conception rates</w:t>
      </w:r>
      <w:r w:rsidR="00240109" w:rsidRPr="0014445C">
        <w:rPr>
          <w:rFonts w:asciiTheme="minorHAnsi" w:hAnsiTheme="minorHAnsi" w:cstheme="minorHAnsi"/>
          <w:sz w:val="24"/>
          <w:szCs w:val="24"/>
        </w:rPr>
        <w:t xml:space="preserve"> regardless </w:t>
      </w:r>
      <w:r w:rsidR="00316AB0" w:rsidRPr="0014445C">
        <w:rPr>
          <w:rFonts w:asciiTheme="minorHAnsi" w:hAnsiTheme="minorHAnsi" w:cstheme="minorHAnsi"/>
          <w:sz w:val="24"/>
          <w:szCs w:val="24"/>
        </w:rPr>
        <w:t>of</w:t>
      </w:r>
      <w:r w:rsidR="00240109" w:rsidRPr="0014445C">
        <w:rPr>
          <w:rFonts w:asciiTheme="minorHAnsi" w:hAnsiTheme="minorHAnsi" w:cstheme="minorHAnsi"/>
          <w:sz w:val="24"/>
          <w:szCs w:val="24"/>
        </w:rPr>
        <w:t xml:space="preserve"> </w:t>
      </w:r>
      <w:r w:rsidR="008A2E8C" w:rsidRPr="0014445C">
        <w:rPr>
          <w:rFonts w:asciiTheme="minorHAnsi" w:hAnsiTheme="minorHAnsi" w:cstheme="minorHAnsi"/>
          <w:sz w:val="24"/>
          <w:szCs w:val="24"/>
        </w:rPr>
        <w:t xml:space="preserve">including </w:t>
      </w:r>
      <w:r w:rsidR="00240109" w:rsidRPr="0014445C">
        <w:rPr>
          <w:rFonts w:asciiTheme="minorHAnsi" w:hAnsiTheme="minorHAnsi" w:cstheme="minorHAnsi"/>
          <w:sz w:val="24"/>
          <w:szCs w:val="24"/>
        </w:rPr>
        <w:t>London</w:t>
      </w:r>
      <w:r w:rsidRPr="0014445C">
        <w:rPr>
          <w:rFonts w:asciiTheme="minorHAnsi" w:hAnsiTheme="minorHAnsi" w:cstheme="minorHAnsi"/>
          <w:sz w:val="24"/>
          <w:szCs w:val="24"/>
        </w:rPr>
        <w:t xml:space="preserve">. The fixed effect model may represent Black teenagers becoming less distinctive in their likelihood to conceive than White or South Asian teenagers. Ethnic minority teenagers in certain areas may have more reason to avoid pregnancy </w:t>
      </w:r>
      <w:r w:rsidR="007251DE" w:rsidRPr="0014445C">
        <w:rPr>
          <w:rFonts w:asciiTheme="minorHAnsi" w:hAnsiTheme="minorHAnsi" w:cstheme="minorHAnsi"/>
          <w:sz w:val="24"/>
          <w:szCs w:val="24"/>
        </w:rPr>
        <w:t xml:space="preserve">as a result of </w:t>
      </w:r>
      <w:r w:rsidRPr="0014445C">
        <w:rPr>
          <w:rFonts w:asciiTheme="minorHAnsi" w:hAnsiTheme="minorHAnsi" w:cstheme="minorHAnsi"/>
          <w:sz w:val="24"/>
          <w:szCs w:val="24"/>
        </w:rPr>
        <w:t>being more likely to aspire to higher education</w:t>
      </w:r>
      <w:r w:rsidR="00F40BF3" w:rsidRPr="0014445C">
        <w:rPr>
          <w:rFonts w:asciiTheme="minorHAnsi" w:hAnsiTheme="minorHAnsi" w:cstheme="minorHAnsi"/>
          <w:sz w:val="24"/>
          <w:szCs w:val="24"/>
        </w:rPr>
        <w:t xml:space="preserve">; </w:t>
      </w:r>
      <w:r w:rsidRPr="0014445C">
        <w:rPr>
          <w:rFonts w:asciiTheme="minorHAnsi" w:hAnsiTheme="minorHAnsi" w:cstheme="minorHAnsi"/>
          <w:sz w:val="24"/>
          <w:szCs w:val="24"/>
        </w:rPr>
        <w:t>both Black African and Caribbean teenagers had lower GCSE attainment than their White British counterparts in 2003 but by 2013</w:t>
      </w:r>
      <w:r w:rsidR="00547FE0" w:rsidRPr="0014445C">
        <w:rPr>
          <w:rFonts w:asciiTheme="minorHAnsi" w:hAnsiTheme="minorHAnsi" w:cstheme="minorHAnsi"/>
          <w:sz w:val="24"/>
          <w:szCs w:val="24"/>
        </w:rPr>
        <w:t xml:space="preserve">, </w:t>
      </w:r>
      <w:r w:rsidRPr="0014445C">
        <w:rPr>
          <w:rFonts w:asciiTheme="minorHAnsi" w:hAnsiTheme="minorHAnsi" w:cstheme="minorHAnsi"/>
          <w:sz w:val="24"/>
          <w:szCs w:val="24"/>
        </w:rPr>
        <w:t>had closed this gap</w:t>
      </w:r>
      <w:r w:rsidR="00383036" w:rsidRPr="0014445C">
        <w:rPr>
          <w:rFonts w:asciiTheme="minorHAnsi" w:hAnsiTheme="minorHAnsi" w:cstheme="minorHAnsi"/>
          <w:sz w:val="24"/>
          <w:szCs w:val="24"/>
        </w:rPr>
        <w:t xml:space="preserve"> (</w:t>
      </w:r>
      <w:r w:rsidR="00E722DB" w:rsidRPr="0014445C">
        <w:rPr>
          <w:rFonts w:asciiTheme="minorHAnsi" w:hAnsiTheme="minorHAnsi" w:cstheme="minorHAnsi"/>
          <w:sz w:val="24"/>
          <w:szCs w:val="24"/>
        </w:rPr>
        <w:t>Strand, 2015</w:t>
      </w:r>
      <w:r w:rsidR="00383036" w:rsidRPr="0014445C">
        <w:rPr>
          <w:rFonts w:asciiTheme="minorHAnsi" w:hAnsiTheme="minorHAnsi" w:cstheme="minorHAnsi"/>
          <w:sz w:val="24"/>
          <w:szCs w:val="24"/>
        </w:rPr>
        <w:t xml:space="preserve">). </w:t>
      </w:r>
      <w:r w:rsidR="009B495D" w:rsidRPr="0014445C">
        <w:rPr>
          <w:rFonts w:asciiTheme="minorHAnsi" w:hAnsiTheme="minorHAnsi" w:cstheme="minorHAnsi"/>
          <w:sz w:val="24"/>
          <w:szCs w:val="24"/>
        </w:rPr>
        <w:t>Young people from e</w:t>
      </w:r>
      <w:r w:rsidRPr="0014445C">
        <w:rPr>
          <w:rFonts w:asciiTheme="minorHAnsi" w:hAnsiTheme="minorHAnsi" w:cstheme="minorHAnsi"/>
          <w:sz w:val="24"/>
          <w:szCs w:val="24"/>
        </w:rPr>
        <w:t>thnic minorit</w:t>
      </w:r>
      <w:r w:rsidR="009B495D" w:rsidRPr="0014445C">
        <w:rPr>
          <w:rFonts w:asciiTheme="minorHAnsi" w:hAnsiTheme="minorHAnsi" w:cstheme="minorHAnsi"/>
          <w:sz w:val="24"/>
          <w:szCs w:val="24"/>
        </w:rPr>
        <w:t>y groups</w:t>
      </w:r>
      <w:r w:rsidRPr="0014445C">
        <w:rPr>
          <w:rFonts w:asciiTheme="minorHAnsi" w:hAnsiTheme="minorHAnsi" w:cstheme="minorHAnsi"/>
          <w:sz w:val="24"/>
          <w:szCs w:val="24"/>
        </w:rPr>
        <w:t xml:space="preserve"> are more likely to attend university </w:t>
      </w:r>
      <w:r w:rsidR="009B495D" w:rsidRPr="0014445C">
        <w:rPr>
          <w:rFonts w:asciiTheme="minorHAnsi" w:hAnsiTheme="minorHAnsi" w:cstheme="minorHAnsi"/>
          <w:sz w:val="24"/>
          <w:szCs w:val="24"/>
        </w:rPr>
        <w:t xml:space="preserve">now </w:t>
      </w:r>
      <w:r w:rsidRPr="0014445C">
        <w:rPr>
          <w:rFonts w:asciiTheme="minorHAnsi" w:hAnsiTheme="minorHAnsi" w:cstheme="minorHAnsi"/>
          <w:sz w:val="24"/>
          <w:szCs w:val="24"/>
        </w:rPr>
        <w:t>than in the past</w:t>
      </w:r>
      <w:r w:rsidR="00565484" w:rsidRPr="0014445C">
        <w:rPr>
          <w:rFonts w:asciiTheme="minorHAnsi" w:hAnsiTheme="minorHAnsi" w:cstheme="minorHAnsi"/>
          <w:sz w:val="24"/>
          <w:szCs w:val="24"/>
        </w:rPr>
        <w:t xml:space="preserve"> </w:t>
      </w:r>
      <w:r w:rsidR="00021EF0" w:rsidRPr="0014445C">
        <w:rPr>
          <w:rFonts w:asciiTheme="minorHAnsi" w:hAnsiTheme="minorHAnsi" w:cstheme="minorHAnsi"/>
          <w:sz w:val="24"/>
          <w:szCs w:val="24"/>
        </w:rPr>
        <w:t>(</w:t>
      </w:r>
      <w:r w:rsidR="00EF21F8" w:rsidRPr="0014445C">
        <w:rPr>
          <w:rFonts w:asciiTheme="minorHAnsi" w:hAnsiTheme="minorHAnsi" w:cstheme="minorHAnsi"/>
          <w:sz w:val="24"/>
          <w:szCs w:val="24"/>
        </w:rPr>
        <w:t>Crawford and Greaves, 2015</w:t>
      </w:r>
      <w:r w:rsidR="00021EF0" w:rsidRPr="0014445C">
        <w:rPr>
          <w:rFonts w:asciiTheme="minorHAnsi" w:hAnsiTheme="minorHAnsi" w:cstheme="minorHAnsi"/>
          <w:sz w:val="24"/>
          <w:szCs w:val="24"/>
        </w:rPr>
        <w:t>)</w:t>
      </w:r>
      <w:r w:rsidR="00565484" w:rsidRPr="0014445C">
        <w:rPr>
          <w:rFonts w:asciiTheme="minorHAnsi" w:hAnsiTheme="minorHAnsi" w:cstheme="minorHAnsi"/>
          <w:sz w:val="24"/>
          <w:szCs w:val="24"/>
        </w:rPr>
        <w:t>.</w:t>
      </w:r>
      <w:r w:rsidR="005E4AF1" w:rsidRPr="0014445C">
        <w:rPr>
          <w:rFonts w:asciiTheme="minorHAnsi" w:hAnsiTheme="minorHAnsi" w:cstheme="minorHAnsi"/>
          <w:sz w:val="24"/>
          <w:szCs w:val="24"/>
        </w:rPr>
        <w:t xml:space="preserve"> </w:t>
      </w:r>
      <w:r w:rsidR="00970993" w:rsidRPr="0014445C">
        <w:rPr>
          <w:rFonts w:asciiTheme="minorHAnsi" w:hAnsiTheme="minorHAnsi" w:cstheme="minorHAnsi"/>
          <w:sz w:val="24"/>
          <w:szCs w:val="24"/>
        </w:rPr>
        <w:t>The historical</w:t>
      </w:r>
      <w:r w:rsidR="002E2E78" w:rsidRPr="0014445C">
        <w:rPr>
          <w:rFonts w:asciiTheme="minorHAnsi" w:hAnsiTheme="minorHAnsi" w:cstheme="minorHAnsi"/>
          <w:sz w:val="24"/>
          <w:szCs w:val="24"/>
        </w:rPr>
        <w:t xml:space="preserve"> </w:t>
      </w:r>
      <w:r w:rsidRPr="0014445C">
        <w:rPr>
          <w:rFonts w:asciiTheme="minorHAnsi" w:hAnsiTheme="minorHAnsi" w:cstheme="minorHAnsi"/>
          <w:sz w:val="24"/>
          <w:szCs w:val="24"/>
        </w:rPr>
        <w:t xml:space="preserve">relationships with ethnicity </w:t>
      </w:r>
      <w:r w:rsidR="00EA146F" w:rsidRPr="0014445C">
        <w:rPr>
          <w:rFonts w:asciiTheme="minorHAnsi" w:hAnsiTheme="minorHAnsi" w:cstheme="minorHAnsi"/>
          <w:sz w:val="24"/>
          <w:szCs w:val="24"/>
        </w:rPr>
        <w:t>are changing</w:t>
      </w:r>
      <w:r w:rsidR="00DA63C8" w:rsidRPr="0014445C">
        <w:rPr>
          <w:rFonts w:asciiTheme="minorHAnsi" w:hAnsiTheme="minorHAnsi" w:cstheme="minorHAnsi"/>
          <w:sz w:val="24"/>
          <w:szCs w:val="24"/>
        </w:rPr>
        <w:t xml:space="preserve">; </w:t>
      </w:r>
      <w:r w:rsidR="00EA146F" w:rsidRPr="0014445C">
        <w:rPr>
          <w:rFonts w:asciiTheme="minorHAnsi" w:hAnsiTheme="minorHAnsi" w:cstheme="minorHAnsi"/>
          <w:sz w:val="24"/>
          <w:szCs w:val="24"/>
        </w:rPr>
        <w:t>ethnic groups may now r</w:t>
      </w:r>
      <w:r w:rsidRPr="0014445C">
        <w:rPr>
          <w:rFonts w:asciiTheme="minorHAnsi" w:hAnsiTheme="minorHAnsi" w:cstheme="minorHAnsi"/>
          <w:sz w:val="24"/>
          <w:szCs w:val="24"/>
        </w:rPr>
        <w:t xml:space="preserve">epresent growing populations </w:t>
      </w:r>
      <w:r w:rsidR="00EA146F" w:rsidRPr="0014445C">
        <w:rPr>
          <w:rFonts w:asciiTheme="minorHAnsi" w:hAnsiTheme="minorHAnsi" w:cstheme="minorHAnsi"/>
          <w:sz w:val="24"/>
          <w:szCs w:val="24"/>
        </w:rPr>
        <w:t>of those</w:t>
      </w:r>
      <w:r w:rsidRPr="0014445C">
        <w:rPr>
          <w:rFonts w:asciiTheme="minorHAnsi" w:hAnsiTheme="minorHAnsi" w:cstheme="minorHAnsi"/>
          <w:sz w:val="24"/>
          <w:szCs w:val="24"/>
        </w:rPr>
        <w:t xml:space="preserve"> less likely to conceive as teenagers. </w:t>
      </w:r>
    </w:p>
    <w:p w14:paraId="6B11500B" w14:textId="3BC229A7" w:rsidR="002B793F" w:rsidRPr="0014445C" w:rsidRDefault="002B793F" w:rsidP="00CD0462">
      <w:pPr>
        <w:rPr>
          <w:rFonts w:asciiTheme="minorHAnsi" w:hAnsiTheme="minorHAnsi" w:cstheme="minorHAnsi"/>
          <w:sz w:val="24"/>
          <w:szCs w:val="24"/>
        </w:rPr>
      </w:pPr>
      <w:r w:rsidRPr="0014445C">
        <w:rPr>
          <w:rFonts w:asciiTheme="minorHAnsi" w:hAnsiTheme="minorHAnsi" w:cstheme="minorHAnsi"/>
          <w:sz w:val="24"/>
          <w:szCs w:val="24"/>
        </w:rPr>
        <w:t xml:space="preserve">Both education and employment for young people changed dramatically during this </w:t>
      </w:r>
      <w:proofErr w:type="gramStart"/>
      <w:r w:rsidRPr="0014445C">
        <w:rPr>
          <w:rFonts w:asciiTheme="minorHAnsi" w:hAnsiTheme="minorHAnsi" w:cstheme="minorHAnsi"/>
          <w:sz w:val="24"/>
          <w:szCs w:val="24"/>
        </w:rPr>
        <w:t>time period</w:t>
      </w:r>
      <w:proofErr w:type="gramEnd"/>
      <w:r w:rsidRPr="0014445C">
        <w:rPr>
          <w:rFonts w:asciiTheme="minorHAnsi" w:hAnsiTheme="minorHAnsi" w:cstheme="minorHAnsi"/>
          <w:sz w:val="24"/>
          <w:szCs w:val="24"/>
        </w:rPr>
        <w:t>, including rising higher education participation and the 2008 economic recession. Improvements in educational attainment occurred amongst all ethnic groups</w:t>
      </w:r>
      <w:r w:rsidR="00D3640E" w:rsidRPr="0014445C">
        <w:rPr>
          <w:rFonts w:asciiTheme="minorHAnsi" w:hAnsiTheme="minorHAnsi" w:cstheme="minorHAnsi"/>
          <w:sz w:val="24"/>
          <w:szCs w:val="24"/>
        </w:rPr>
        <w:t xml:space="preserve"> </w:t>
      </w:r>
      <w:r w:rsidR="00383036" w:rsidRPr="0014445C">
        <w:rPr>
          <w:rFonts w:asciiTheme="minorHAnsi" w:hAnsiTheme="minorHAnsi" w:cstheme="minorHAnsi"/>
          <w:sz w:val="24"/>
          <w:szCs w:val="24"/>
        </w:rPr>
        <w:t>(</w:t>
      </w:r>
      <w:r w:rsidR="00EF1701" w:rsidRPr="0014445C">
        <w:rPr>
          <w:rFonts w:asciiTheme="minorHAnsi" w:hAnsiTheme="minorHAnsi" w:cstheme="minorHAnsi"/>
          <w:sz w:val="24"/>
          <w:szCs w:val="24"/>
        </w:rPr>
        <w:t>Author</w:t>
      </w:r>
      <w:r w:rsidR="00F907AC" w:rsidRPr="0014445C">
        <w:rPr>
          <w:rFonts w:asciiTheme="minorHAnsi" w:hAnsiTheme="minorHAnsi" w:cstheme="minorHAnsi"/>
          <w:sz w:val="24"/>
          <w:szCs w:val="24"/>
        </w:rPr>
        <w:t xml:space="preserve"> et al., 2016</w:t>
      </w:r>
      <w:r w:rsidR="00383036" w:rsidRPr="0014445C">
        <w:rPr>
          <w:rFonts w:asciiTheme="minorHAnsi" w:hAnsiTheme="minorHAnsi" w:cstheme="minorHAnsi"/>
          <w:sz w:val="24"/>
          <w:szCs w:val="24"/>
        </w:rPr>
        <w:t>)</w:t>
      </w:r>
      <w:r w:rsidR="00D3640E" w:rsidRPr="0014445C">
        <w:rPr>
          <w:rFonts w:asciiTheme="minorHAnsi" w:hAnsiTheme="minorHAnsi" w:cstheme="minorHAnsi"/>
          <w:sz w:val="24"/>
          <w:szCs w:val="24"/>
        </w:rPr>
        <w:t>,</w:t>
      </w:r>
      <w:r w:rsidR="006D3340">
        <w:rPr>
          <w:rFonts w:asciiTheme="minorHAnsi" w:hAnsiTheme="minorHAnsi" w:cstheme="minorHAnsi"/>
          <w:sz w:val="24"/>
          <w:szCs w:val="24"/>
        </w:rPr>
        <w:t xml:space="preserve"> </w:t>
      </w:r>
      <w:r w:rsidRPr="0014445C">
        <w:rPr>
          <w:rFonts w:asciiTheme="minorHAnsi" w:hAnsiTheme="minorHAnsi" w:cstheme="minorHAnsi"/>
          <w:sz w:val="24"/>
          <w:szCs w:val="24"/>
        </w:rPr>
        <w:t>and therefore the relationship between rising attainment and avoid</w:t>
      </w:r>
      <w:r w:rsidR="00C440EA" w:rsidRPr="0014445C">
        <w:rPr>
          <w:rFonts w:asciiTheme="minorHAnsi" w:hAnsiTheme="minorHAnsi" w:cstheme="minorHAnsi"/>
          <w:sz w:val="24"/>
          <w:szCs w:val="24"/>
        </w:rPr>
        <w:t xml:space="preserve">ing </w:t>
      </w:r>
      <w:r w:rsidRPr="0014445C">
        <w:rPr>
          <w:rFonts w:asciiTheme="minorHAnsi" w:hAnsiTheme="minorHAnsi" w:cstheme="minorHAnsi"/>
          <w:sz w:val="24"/>
          <w:szCs w:val="24"/>
        </w:rPr>
        <w:t>teenage conceptions may represent the greater improvements in certain ethnic minority groups and within the general White British population. Young people were most affected by the financial cr</w:t>
      </w:r>
      <w:r w:rsidR="005570B3" w:rsidRPr="0014445C">
        <w:rPr>
          <w:rFonts w:asciiTheme="minorHAnsi" w:hAnsiTheme="minorHAnsi" w:cstheme="minorHAnsi"/>
          <w:sz w:val="24"/>
          <w:szCs w:val="24"/>
        </w:rPr>
        <w:t>isis,</w:t>
      </w:r>
      <w:r w:rsidRPr="0014445C">
        <w:rPr>
          <w:rFonts w:asciiTheme="minorHAnsi" w:hAnsiTheme="minorHAnsi" w:cstheme="minorHAnsi"/>
          <w:sz w:val="24"/>
          <w:szCs w:val="24"/>
        </w:rPr>
        <w:t xml:space="preserve"> and the positive coefficient for youth unemployment did reduce </w:t>
      </w:r>
      <w:r w:rsidR="009B495D" w:rsidRPr="0014445C">
        <w:rPr>
          <w:rFonts w:asciiTheme="minorHAnsi" w:hAnsiTheme="minorHAnsi" w:cstheme="minorHAnsi"/>
          <w:sz w:val="24"/>
          <w:szCs w:val="24"/>
        </w:rPr>
        <w:t xml:space="preserve">between </w:t>
      </w:r>
      <w:r w:rsidRPr="0014445C">
        <w:rPr>
          <w:rFonts w:asciiTheme="minorHAnsi" w:hAnsiTheme="minorHAnsi" w:cstheme="minorHAnsi"/>
          <w:sz w:val="24"/>
          <w:szCs w:val="24"/>
        </w:rPr>
        <w:t>2006</w:t>
      </w:r>
      <w:r w:rsidR="009B495D" w:rsidRPr="0014445C">
        <w:rPr>
          <w:rFonts w:asciiTheme="minorHAnsi" w:hAnsiTheme="minorHAnsi" w:cstheme="minorHAnsi"/>
          <w:sz w:val="24"/>
          <w:szCs w:val="24"/>
        </w:rPr>
        <w:t xml:space="preserve"> and </w:t>
      </w:r>
      <w:r w:rsidRPr="0014445C">
        <w:rPr>
          <w:rFonts w:asciiTheme="minorHAnsi" w:hAnsiTheme="minorHAnsi" w:cstheme="minorHAnsi"/>
          <w:sz w:val="24"/>
          <w:szCs w:val="24"/>
        </w:rPr>
        <w:t xml:space="preserve">2010. With our particular analyses we were not able to </w:t>
      </w:r>
      <w:r w:rsidR="009B495D" w:rsidRPr="0014445C">
        <w:rPr>
          <w:rFonts w:asciiTheme="minorHAnsi" w:hAnsiTheme="minorHAnsi" w:cstheme="minorHAnsi"/>
          <w:sz w:val="24"/>
          <w:szCs w:val="24"/>
        </w:rPr>
        <w:t>isolate</w:t>
      </w:r>
      <w:r w:rsidRPr="0014445C">
        <w:rPr>
          <w:rFonts w:asciiTheme="minorHAnsi" w:hAnsiTheme="minorHAnsi" w:cstheme="minorHAnsi"/>
          <w:sz w:val="24"/>
          <w:szCs w:val="24"/>
        </w:rPr>
        <w:t xml:space="preserve"> </w:t>
      </w:r>
      <w:r w:rsidR="00863849" w:rsidRPr="0014445C">
        <w:rPr>
          <w:rFonts w:asciiTheme="minorHAnsi" w:hAnsiTheme="minorHAnsi" w:cstheme="minorHAnsi"/>
          <w:sz w:val="24"/>
          <w:szCs w:val="24"/>
        </w:rPr>
        <w:t>any</w:t>
      </w:r>
      <w:r w:rsidRPr="0014445C">
        <w:rPr>
          <w:rFonts w:asciiTheme="minorHAnsi" w:hAnsiTheme="minorHAnsi" w:cstheme="minorHAnsi"/>
          <w:sz w:val="24"/>
          <w:szCs w:val="24"/>
        </w:rPr>
        <w:t xml:space="preserve"> direct effect of the crisis on teenage fertility, but Goldstein and colleagues found that unemployment resulting from the 2008 recession was associated with fertility declines at younger ages (aged 15-19) </w:t>
      </w:r>
      <w:r w:rsidR="00021EF0" w:rsidRPr="0014445C">
        <w:rPr>
          <w:rFonts w:asciiTheme="minorHAnsi" w:hAnsiTheme="minorHAnsi" w:cstheme="minorHAnsi"/>
          <w:sz w:val="24"/>
          <w:szCs w:val="24"/>
        </w:rPr>
        <w:t>(</w:t>
      </w:r>
      <w:r w:rsidR="00E94A1E" w:rsidRPr="0014445C">
        <w:rPr>
          <w:rFonts w:asciiTheme="minorHAnsi" w:hAnsiTheme="minorHAnsi" w:cstheme="minorHAnsi"/>
          <w:sz w:val="24"/>
          <w:szCs w:val="24"/>
        </w:rPr>
        <w:t>Goldstein et al., 2013</w:t>
      </w:r>
      <w:r w:rsidR="00021EF0" w:rsidRPr="0014445C">
        <w:rPr>
          <w:rFonts w:asciiTheme="minorHAnsi" w:hAnsiTheme="minorHAnsi" w:cstheme="minorHAnsi"/>
          <w:sz w:val="24"/>
          <w:szCs w:val="24"/>
        </w:rPr>
        <w:t>)</w:t>
      </w:r>
      <w:r w:rsidR="006E1AE5" w:rsidRPr="0014445C">
        <w:rPr>
          <w:rFonts w:asciiTheme="minorHAnsi" w:hAnsiTheme="minorHAnsi" w:cstheme="minorHAnsi"/>
          <w:sz w:val="24"/>
          <w:szCs w:val="24"/>
        </w:rPr>
        <w:t>,</w:t>
      </w:r>
      <w:r w:rsidR="006D3340">
        <w:rPr>
          <w:rFonts w:asciiTheme="minorHAnsi" w:hAnsiTheme="minorHAnsi" w:cstheme="minorHAnsi"/>
          <w:sz w:val="24"/>
          <w:szCs w:val="24"/>
        </w:rPr>
        <w:t xml:space="preserve"> </w:t>
      </w:r>
      <w:r w:rsidRPr="0014445C">
        <w:rPr>
          <w:rFonts w:asciiTheme="minorHAnsi" w:hAnsiTheme="minorHAnsi" w:cstheme="minorHAnsi"/>
          <w:sz w:val="24"/>
          <w:szCs w:val="24"/>
        </w:rPr>
        <w:t>particularly in Western Europe</w:t>
      </w:r>
      <w:r w:rsidR="00AD5A31" w:rsidRPr="0014445C">
        <w:rPr>
          <w:rFonts w:asciiTheme="minorHAnsi" w:hAnsiTheme="minorHAnsi" w:cstheme="minorHAnsi"/>
          <w:sz w:val="24"/>
          <w:szCs w:val="24"/>
        </w:rPr>
        <w:t xml:space="preserve"> </w:t>
      </w:r>
      <w:r w:rsidR="00021EF0" w:rsidRPr="0014445C">
        <w:rPr>
          <w:rFonts w:asciiTheme="minorHAnsi" w:hAnsiTheme="minorHAnsi" w:cstheme="minorHAnsi"/>
          <w:sz w:val="24"/>
          <w:szCs w:val="24"/>
        </w:rPr>
        <w:t>(</w:t>
      </w:r>
      <w:r w:rsidR="00E94A1E" w:rsidRPr="0014445C">
        <w:rPr>
          <w:rFonts w:asciiTheme="minorHAnsi" w:hAnsiTheme="minorHAnsi" w:cstheme="minorHAnsi"/>
          <w:sz w:val="24"/>
          <w:szCs w:val="24"/>
        </w:rPr>
        <w:t xml:space="preserve">Comolli, </w:t>
      </w:r>
      <w:r w:rsidR="00171C0F" w:rsidRPr="0014445C">
        <w:rPr>
          <w:rFonts w:asciiTheme="minorHAnsi" w:hAnsiTheme="minorHAnsi" w:cstheme="minorHAnsi"/>
          <w:sz w:val="24"/>
          <w:szCs w:val="24"/>
        </w:rPr>
        <w:t>2017</w:t>
      </w:r>
      <w:r w:rsidR="00021EF0" w:rsidRPr="0014445C">
        <w:rPr>
          <w:rFonts w:asciiTheme="minorHAnsi" w:hAnsiTheme="minorHAnsi" w:cstheme="minorHAnsi"/>
          <w:sz w:val="24"/>
          <w:szCs w:val="24"/>
        </w:rPr>
        <w:t>)</w:t>
      </w:r>
      <w:r w:rsidRPr="0014445C">
        <w:rPr>
          <w:rFonts w:asciiTheme="minorHAnsi" w:hAnsiTheme="minorHAnsi" w:cstheme="minorHAnsi"/>
          <w:sz w:val="24"/>
          <w:szCs w:val="24"/>
        </w:rPr>
        <w:t>. The financial cri</w:t>
      </w:r>
      <w:r w:rsidR="0046134A" w:rsidRPr="0014445C">
        <w:rPr>
          <w:rFonts w:asciiTheme="minorHAnsi" w:hAnsiTheme="minorHAnsi" w:cstheme="minorHAnsi"/>
          <w:sz w:val="24"/>
          <w:szCs w:val="24"/>
        </w:rPr>
        <w:t>sis</w:t>
      </w:r>
      <w:r w:rsidRPr="0014445C">
        <w:rPr>
          <w:rFonts w:asciiTheme="minorHAnsi" w:hAnsiTheme="minorHAnsi" w:cstheme="minorHAnsi"/>
          <w:sz w:val="24"/>
          <w:szCs w:val="24"/>
        </w:rPr>
        <w:t xml:space="preserve"> occurred </w:t>
      </w:r>
      <w:r w:rsidR="00083A72" w:rsidRPr="0014445C">
        <w:rPr>
          <w:rFonts w:asciiTheme="minorHAnsi" w:hAnsiTheme="minorHAnsi" w:cstheme="minorHAnsi"/>
          <w:sz w:val="24"/>
          <w:szCs w:val="24"/>
        </w:rPr>
        <w:t xml:space="preserve">during </w:t>
      </w:r>
      <w:r w:rsidRPr="0014445C">
        <w:rPr>
          <w:rFonts w:asciiTheme="minorHAnsi" w:hAnsiTheme="minorHAnsi" w:cstheme="minorHAnsi"/>
          <w:sz w:val="24"/>
          <w:szCs w:val="24"/>
        </w:rPr>
        <w:t xml:space="preserve">the period </w:t>
      </w:r>
      <w:r w:rsidR="003836F3" w:rsidRPr="0014445C">
        <w:rPr>
          <w:rFonts w:asciiTheme="minorHAnsi" w:hAnsiTheme="minorHAnsi" w:cstheme="minorHAnsi"/>
          <w:sz w:val="24"/>
          <w:szCs w:val="24"/>
        </w:rPr>
        <w:t xml:space="preserve">in which </w:t>
      </w:r>
      <w:r w:rsidRPr="0014445C">
        <w:rPr>
          <w:rFonts w:asciiTheme="minorHAnsi" w:hAnsiTheme="minorHAnsi" w:cstheme="minorHAnsi"/>
          <w:sz w:val="24"/>
          <w:szCs w:val="24"/>
        </w:rPr>
        <w:t xml:space="preserve">the </w:t>
      </w:r>
      <w:r w:rsidR="009B495D" w:rsidRPr="0014445C">
        <w:rPr>
          <w:rFonts w:asciiTheme="minorHAnsi" w:hAnsiTheme="minorHAnsi" w:cstheme="minorHAnsi"/>
          <w:sz w:val="24"/>
          <w:szCs w:val="24"/>
        </w:rPr>
        <w:t xml:space="preserve">rate of </w:t>
      </w:r>
      <w:r w:rsidRPr="0014445C">
        <w:rPr>
          <w:rFonts w:asciiTheme="minorHAnsi" w:hAnsiTheme="minorHAnsi" w:cstheme="minorHAnsi"/>
          <w:sz w:val="24"/>
          <w:szCs w:val="24"/>
        </w:rPr>
        <w:t xml:space="preserve">decline in under-18 conception rates </w:t>
      </w:r>
      <w:r w:rsidR="009B495D" w:rsidRPr="0014445C">
        <w:rPr>
          <w:rFonts w:asciiTheme="minorHAnsi" w:hAnsiTheme="minorHAnsi" w:cstheme="minorHAnsi"/>
          <w:sz w:val="24"/>
          <w:szCs w:val="24"/>
        </w:rPr>
        <w:t>increased</w:t>
      </w:r>
      <w:r w:rsidRPr="0014445C">
        <w:rPr>
          <w:rFonts w:asciiTheme="minorHAnsi" w:hAnsiTheme="minorHAnsi" w:cstheme="minorHAnsi"/>
          <w:sz w:val="24"/>
          <w:szCs w:val="24"/>
        </w:rPr>
        <w:t xml:space="preserve">. </w:t>
      </w:r>
    </w:p>
    <w:p w14:paraId="22EF48A8" w14:textId="735B0C91" w:rsidR="002B793F" w:rsidRPr="008E4520" w:rsidRDefault="002B793F" w:rsidP="00CD0462">
      <w:pPr>
        <w:rPr>
          <w:rFonts w:asciiTheme="minorHAnsi" w:hAnsiTheme="minorHAnsi" w:cstheme="minorHAnsi"/>
          <w:sz w:val="24"/>
          <w:szCs w:val="24"/>
        </w:rPr>
      </w:pPr>
      <w:r w:rsidRPr="0014445C">
        <w:rPr>
          <w:rFonts w:asciiTheme="minorHAnsi" w:hAnsiTheme="minorHAnsi" w:cstheme="minorHAnsi"/>
          <w:sz w:val="24"/>
          <w:szCs w:val="24"/>
        </w:rPr>
        <w:lastRenderedPageBreak/>
        <w:t xml:space="preserve">The housing </w:t>
      </w:r>
      <w:r w:rsidR="007E3AFC" w:rsidRPr="0014445C">
        <w:rPr>
          <w:rFonts w:asciiTheme="minorHAnsi" w:hAnsiTheme="minorHAnsi" w:cstheme="minorHAnsi"/>
          <w:sz w:val="24"/>
          <w:szCs w:val="24"/>
        </w:rPr>
        <w:t xml:space="preserve">stock </w:t>
      </w:r>
      <w:r w:rsidRPr="0014445C">
        <w:rPr>
          <w:rFonts w:asciiTheme="minorHAnsi" w:hAnsiTheme="minorHAnsi" w:cstheme="minorHAnsi"/>
          <w:sz w:val="24"/>
          <w:szCs w:val="24"/>
        </w:rPr>
        <w:t xml:space="preserve">became less affordable throughout the 2000/2010s at the same time as a rising age </w:t>
      </w:r>
      <w:r w:rsidR="009B495D" w:rsidRPr="0014445C">
        <w:rPr>
          <w:rFonts w:asciiTheme="minorHAnsi" w:hAnsiTheme="minorHAnsi" w:cstheme="minorHAnsi"/>
          <w:sz w:val="24"/>
          <w:szCs w:val="24"/>
        </w:rPr>
        <w:t>of</w:t>
      </w:r>
      <w:r w:rsidRPr="0014445C">
        <w:rPr>
          <w:rFonts w:asciiTheme="minorHAnsi" w:hAnsiTheme="minorHAnsi" w:cstheme="minorHAnsi"/>
          <w:sz w:val="24"/>
          <w:szCs w:val="24"/>
        </w:rPr>
        <w:t xml:space="preserve"> leaving education and the postponement of other young adult transitions </w:t>
      </w:r>
      <w:r w:rsidR="00021EF0" w:rsidRPr="0014445C">
        <w:rPr>
          <w:rFonts w:asciiTheme="minorHAnsi" w:hAnsiTheme="minorHAnsi" w:cstheme="minorHAnsi"/>
          <w:sz w:val="24"/>
          <w:szCs w:val="24"/>
        </w:rPr>
        <w:t>(</w:t>
      </w:r>
      <w:r w:rsidR="00EF1701" w:rsidRPr="0014445C">
        <w:rPr>
          <w:rFonts w:asciiTheme="minorHAnsi" w:hAnsiTheme="minorHAnsi" w:cstheme="minorHAnsi"/>
          <w:sz w:val="24"/>
          <w:szCs w:val="24"/>
        </w:rPr>
        <w:t>Author et al.</w:t>
      </w:r>
      <w:r w:rsidR="00171C0F" w:rsidRPr="0014445C">
        <w:rPr>
          <w:rFonts w:asciiTheme="minorHAnsi" w:hAnsiTheme="minorHAnsi" w:cstheme="minorHAnsi"/>
          <w:sz w:val="24"/>
          <w:szCs w:val="24"/>
        </w:rPr>
        <w:t>, 2014</w:t>
      </w:r>
      <w:r w:rsidR="00021EF0" w:rsidRPr="0014445C">
        <w:rPr>
          <w:rFonts w:asciiTheme="minorHAnsi" w:hAnsiTheme="minorHAnsi" w:cstheme="minorHAnsi"/>
          <w:sz w:val="24"/>
          <w:szCs w:val="24"/>
        </w:rPr>
        <w:t>)</w:t>
      </w:r>
      <w:r w:rsidR="00EC6673" w:rsidRPr="0014445C">
        <w:rPr>
          <w:rFonts w:asciiTheme="minorHAnsi" w:hAnsiTheme="minorHAnsi" w:cstheme="minorHAnsi"/>
          <w:sz w:val="24"/>
          <w:szCs w:val="24"/>
        </w:rPr>
        <w:t>.</w:t>
      </w:r>
      <w:r w:rsidR="006D3340">
        <w:rPr>
          <w:rFonts w:asciiTheme="minorHAnsi" w:hAnsiTheme="minorHAnsi" w:cstheme="minorHAnsi"/>
          <w:sz w:val="24"/>
          <w:szCs w:val="24"/>
          <w:vertAlign w:val="superscript"/>
        </w:rPr>
        <w:t xml:space="preserve"> </w:t>
      </w:r>
      <w:r w:rsidRPr="0014445C">
        <w:rPr>
          <w:rFonts w:asciiTheme="minorHAnsi" w:hAnsiTheme="minorHAnsi" w:cstheme="minorHAnsi"/>
          <w:sz w:val="24"/>
          <w:szCs w:val="24"/>
        </w:rPr>
        <w:t xml:space="preserve">We found areas with less affordable housing had lower conception rates and that increasing unaffordability was associated with larger declines in conception rates. The mechanism behind the relationship between living in an area with an expensive housing market and teenage pregnancy avoidance is unclear, particularly as housing affordability may capture gentrification or the changing characteristics of residents in areas which have rapidly become unaffordable. </w:t>
      </w:r>
      <w:r w:rsidR="00BD09D6" w:rsidRPr="0014445C">
        <w:rPr>
          <w:rFonts w:asciiTheme="minorHAnsi" w:hAnsiTheme="minorHAnsi" w:cstheme="minorHAnsi"/>
          <w:sz w:val="24"/>
          <w:szCs w:val="24"/>
        </w:rPr>
        <w:t xml:space="preserve">The </w:t>
      </w:r>
      <w:r w:rsidR="00585381" w:rsidRPr="0014445C">
        <w:rPr>
          <w:rFonts w:asciiTheme="minorHAnsi" w:hAnsiTheme="minorHAnsi" w:cstheme="minorHAnsi"/>
          <w:sz w:val="24"/>
          <w:szCs w:val="24"/>
        </w:rPr>
        <w:t xml:space="preserve">effect of </w:t>
      </w:r>
      <w:r w:rsidR="00BD09D6" w:rsidRPr="0014445C">
        <w:rPr>
          <w:rFonts w:asciiTheme="minorHAnsi" w:hAnsiTheme="minorHAnsi" w:cstheme="minorHAnsi"/>
          <w:sz w:val="24"/>
          <w:szCs w:val="24"/>
        </w:rPr>
        <w:t>g</w:t>
      </w:r>
      <w:r w:rsidRPr="0014445C">
        <w:rPr>
          <w:rFonts w:asciiTheme="minorHAnsi" w:hAnsiTheme="minorHAnsi" w:cstheme="minorHAnsi"/>
          <w:sz w:val="24"/>
          <w:szCs w:val="24"/>
        </w:rPr>
        <w:t xml:space="preserve">entrification </w:t>
      </w:r>
      <w:r w:rsidR="00BD09D6" w:rsidRPr="0014445C">
        <w:rPr>
          <w:rFonts w:asciiTheme="minorHAnsi" w:hAnsiTheme="minorHAnsi" w:cstheme="minorHAnsi"/>
          <w:sz w:val="24"/>
          <w:szCs w:val="24"/>
        </w:rPr>
        <w:t xml:space="preserve">within areas </w:t>
      </w:r>
      <w:proofErr w:type="gramStart"/>
      <w:r w:rsidR="00D1435B" w:rsidRPr="0014445C">
        <w:rPr>
          <w:rFonts w:asciiTheme="minorHAnsi" w:hAnsiTheme="minorHAnsi" w:cstheme="minorHAnsi"/>
          <w:sz w:val="24"/>
          <w:szCs w:val="24"/>
        </w:rPr>
        <w:t>in regard to</w:t>
      </w:r>
      <w:proofErr w:type="gramEnd"/>
      <w:r w:rsidR="00585381" w:rsidRPr="0014445C">
        <w:rPr>
          <w:rFonts w:asciiTheme="minorHAnsi" w:hAnsiTheme="minorHAnsi" w:cstheme="minorHAnsi"/>
          <w:sz w:val="24"/>
          <w:szCs w:val="24"/>
        </w:rPr>
        <w:t xml:space="preserve"> teenagers </w:t>
      </w:r>
      <w:r w:rsidR="00A82FBF" w:rsidRPr="0014445C">
        <w:rPr>
          <w:rFonts w:asciiTheme="minorHAnsi" w:hAnsiTheme="minorHAnsi" w:cstheme="minorHAnsi"/>
          <w:sz w:val="24"/>
          <w:szCs w:val="24"/>
        </w:rPr>
        <w:t xml:space="preserve">is </w:t>
      </w:r>
      <w:r w:rsidRPr="0014445C">
        <w:rPr>
          <w:rFonts w:asciiTheme="minorHAnsi" w:hAnsiTheme="minorHAnsi" w:cstheme="minorHAnsi"/>
          <w:sz w:val="24"/>
          <w:szCs w:val="24"/>
        </w:rPr>
        <w:t xml:space="preserve">difficult to measure as families are likely to have entered the area when they were children or prior to birth. </w:t>
      </w:r>
    </w:p>
    <w:p w14:paraId="6669468B" w14:textId="5A6AA262" w:rsidR="002B793F" w:rsidRPr="00C633C2" w:rsidRDefault="002B793F" w:rsidP="00CD0462">
      <w:pPr>
        <w:rPr>
          <w:rFonts w:asciiTheme="minorHAnsi" w:hAnsiTheme="minorHAnsi" w:cstheme="minorHAnsi"/>
          <w:sz w:val="24"/>
          <w:szCs w:val="24"/>
        </w:rPr>
      </w:pPr>
      <w:r w:rsidRPr="008E4520">
        <w:rPr>
          <w:rFonts w:asciiTheme="minorHAnsi" w:hAnsiTheme="minorHAnsi" w:cstheme="minorHAnsi"/>
          <w:sz w:val="24"/>
          <w:szCs w:val="24"/>
        </w:rPr>
        <w:t>It</w:t>
      </w:r>
      <w:r w:rsidR="00AA5149" w:rsidRPr="008E4520">
        <w:rPr>
          <w:rFonts w:asciiTheme="minorHAnsi" w:hAnsiTheme="minorHAnsi" w:cstheme="minorHAnsi"/>
          <w:sz w:val="24"/>
          <w:szCs w:val="24"/>
        </w:rPr>
        <w:t xml:space="preserve"> was not the aim of this paper to identify the </w:t>
      </w:r>
      <w:r w:rsidR="00AD4F2F" w:rsidRPr="0014445C">
        <w:rPr>
          <w:rFonts w:asciiTheme="minorHAnsi" w:hAnsiTheme="minorHAnsi" w:cstheme="minorHAnsi"/>
          <w:sz w:val="24"/>
          <w:szCs w:val="24"/>
        </w:rPr>
        <w:t xml:space="preserve">contribution of </w:t>
      </w:r>
      <w:r w:rsidR="00AA5149" w:rsidRPr="0014445C">
        <w:rPr>
          <w:rFonts w:asciiTheme="minorHAnsi" w:hAnsiTheme="minorHAnsi" w:cstheme="minorHAnsi"/>
          <w:sz w:val="24"/>
          <w:szCs w:val="24"/>
        </w:rPr>
        <w:t xml:space="preserve">the TPS </w:t>
      </w:r>
      <w:r w:rsidR="00AD4F2F" w:rsidRPr="0014445C">
        <w:rPr>
          <w:rFonts w:asciiTheme="minorHAnsi" w:hAnsiTheme="minorHAnsi" w:cstheme="minorHAnsi"/>
          <w:sz w:val="24"/>
          <w:szCs w:val="24"/>
        </w:rPr>
        <w:t xml:space="preserve">towards </w:t>
      </w:r>
      <w:r w:rsidR="00AA5149" w:rsidRPr="0014445C">
        <w:rPr>
          <w:rFonts w:asciiTheme="minorHAnsi" w:hAnsiTheme="minorHAnsi" w:cstheme="minorHAnsi"/>
          <w:sz w:val="24"/>
          <w:szCs w:val="24"/>
        </w:rPr>
        <w:t xml:space="preserve">reductions </w:t>
      </w:r>
      <w:r w:rsidR="00B622E4" w:rsidRPr="0014445C">
        <w:rPr>
          <w:rFonts w:asciiTheme="minorHAnsi" w:hAnsiTheme="minorHAnsi" w:cstheme="minorHAnsi"/>
          <w:sz w:val="24"/>
          <w:szCs w:val="24"/>
        </w:rPr>
        <w:t xml:space="preserve">of </w:t>
      </w:r>
      <w:r w:rsidR="00AA5149" w:rsidRPr="0014445C">
        <w:rPr>
          <w:rFonts w:asciiTheme="minorHAnsi" w:hAnsiTheme="minorHAnsi" w:cstheme="minorHAnsi"/>
          <w:sz w:val="24"/>
          <w:szCs w:val="24"/>
        </w:rPr>
        <w:t xml:space="preserve">teenage childbearing. We have seen that there is a </w:t>
      </w:r>
      <w:r w:rsidR="009A5D49" w:rsidRPr="0014445C">
        <w:rPr>
          <w:rFonts w:asciiTheme="minorHAnsi" w:hAnsiTheme="minorHAnsi" w:cstheme="minorHAnsi"/>
          <w:sz w:val="24"/>
          <w:szCs w:val="24"/>
        </w:rPr>
        <w:t xml:space="preserve">possible </w:t>
      </w:r>
      <w:r w:rsidR="00AA5149" w:rsidRPr="0014445C">
        <w:rPr>
          <w:rFonts w:asciiTheme="minorHAnsi" w:hAnsiTheme="minorHAnsi" w:cstheme="minorHAnsi"/>
          <w:sz w:val="24"/>
          <w:szCs w:val="24"/>
        </w:rPr>
        <w:t xml:space="preserve">reverse causation between areas with higher </w:t>
      </w:r>
      <w:r w:rsidR="00AA5149" w:rsidRPr="009D37BE">
        <w:rPr>
          <w:rFonts w:asciiTheme="minorHAnsi" w:hAnsiTheme="minorHAnsi" w:cstheme="minorHAnsi"/>
          <w:sz w:val="24"/>
          <w:szCs w:val="24"/>
        </w:rPr>
        <w:t>conception rates being given more money</w:t>
      </w:r>
      <w:r w:rsidR="00DA26F8" w:rsidRPr="009D37BE">
        <w:rPr>
          <w:rFonts w:asciiTheme="minorHAnsi" w:hAnsiTheme="minorHAnsi" w:cstheme="minorHAnsi"/>
          <w:sz w:val="24"/>
          <w:szCs w:val="24"/>
        </w:rPr>
        <w:t>;</w:t>
      </w:r>
      <w:r w:rsidR="003B367C" w:rsidRPr="009D37BE">
        <w:rPr>
          <w:rFonts w:asciiTheme="minorHAnsi" w:hAnsiTheme="minorHAnsi" w:cstheme="minorHAnsi"/>
          <w:sz w:val="24"/>
          <w:szCs w:val="24"/>
        </w:rPr>
        <w:t xml:space="preserve"> however, the </w:t>
      </w:r>
      <w:r w:rsidR="00DA26F8" w:rsidRPr="007E37E1">
        <w:rPr>
          <w:rFonts w:asciiTheme="minorHAnsi" w:hAnsiTheme="minorHAnsi" w:cstheme="minorHAnsi"/>
          <w:sz w:val="24"/>
          <w:szCs w:val="24"/>
        </w:rPr>
        <w:t xml:space="preserve">actual </w:t>
      </w:r>
      <w:r w:rsidR="003B367C" w:rsidRPr="007E37E1">
        <w:rPr>
          <w:rFonts w:asciiTheme="minorHAnsi" w:hAnsiTheme="minorHAnsi" w:cstheme="minorHAnsi"/>
          <w:sz w:val="24"/>
          <w:szCs w:val="24"/>
        </w:rPr>
        <w:t>amount spent did not alter the other relationships in the models.</w:t>
      </w:r>
      <w:r w:rsidR="006D3340">
        <w:rPr>
          <w:rFonts w:asciiTheme="minorHAnsi" w:hAnsiTheme="minorHAnsi" w:cstheme="minorHAnsi"/>
          <w:sz w:val="24"/>
          <w:szCs w:val="24"/>
        </w:rPr>
        <w:t xml:space="preserve"> </w:t>
      </w:r>
    </w:p>
    <w:p w14:paraId="17A197B1" w14:textId="22BBB5B6" w:rsidR="00D07CEB" w:rsidRPr="007839D4" w:rsidRDefault="002B793F" w:rsidP="00CD0462">
      <w:pPr>
        <w:rPr>
          <w:rFonts w:asciiTheme="minorHAnsi" w:hAnsiTheme="minorHAnsi" w:cstheme="minorHAnsi"/>
          <w:sz w:val="24"/>
          <w:szCs w:val="24"/>
        </w:rPr>
      </w:pPr>
      <w:r w:rsidRPr="00F93349">
        <w:rPr>
          <w:rFonts w:asciiTheme="minorHAnsi" w:hAnsiTheme="minorHAnsi" w:cstheme="minorHAnsi"/>
          <w:sz w:val="24"/>
          <w:szCs w:val="24"/>
        </w:rPr>
        <w:t xml:space="preserve">This paper provides evidence that the associations between traditional variables - like overall economic deprivation in an area – more recently had smaller, but still positive, relationships with under-18 conception rates. However, since the current study was based on area-level analyses we cannot assume the existence of these relationships at the individual level, as they may be acting as a proxy for heterogeneity that we have not measured elsewhere. </w:t>
      </w:r>
      <w:r w:rsidR="009A504D" w:rsidRPr="009912AE">
        <w:rPr>
          <w:rFonts w:asciiTheme="minorHAnsi" w:hAnsiTheme="minorHAnsi" w:cstheme="minorHAnsi"/>
          <w:sz w:val="24"/>
          <w:szCs w:val="24"/>
        </w:rPr>
        <w:t>England can be taken as an example of a country that has</w:t>
      </w:r>
      <w:r w:rsidR="009A504D" w:rsidRPr="00847B1F">
        <w:rPr>
          <w:rFonts w:asciiTheme="minorHAnsi" w:hAnsiTheme="minorHAnsi" w:cstheme="minorHAnsi"/>
          <w:sz w:val="24"/>
          <w:szCs w:val="24"/>
        </w:rPr>
        <w:t xml:space="preserve"> had declining teenage fertility from behaviour changes, but this paper highlights how countries should keep in</w:t>
      </w:r>
      <w:r w:rsidR="009A504D" w:rsidRPr="00D769F4">
        <w:rPr>
          <w:rFonts w:asciiTheme="minorHAnsi" w:hAnsiTheme="minorHAnsi" w:cstheme="minorHAnsi"/>
          <w:sz w:val="24"/>
          <w:szCs w:val="24"/>
        </w:rPr>
        <w:t xml:space="preserve"> mind how population</w:t>
      </w:r>
      <w:r w:rsidR="009A504D" w:rsidRPr="00E452D9">
        <w:rPr>
          <w:rFonts w:asciiTheme="minorHAnsi" w:hAnsiTheme="minorHAnsi" w:cstheme="minorHAnsi"/>
          <w:sz w:val="24"/>
          <w:szCs w:val="24"/>
        </w:rPr>
        <w:t xml:space="preserve">s of teenagers </w:t>
      </w:r>
      <w:r w:rsidR="00F529F4" w:rsidRPr="00E452D9">
        <w:rPr>
          <w:rFonts w:asciiTheme="minorHAnsi" w:hAnsiTheme="minorHAnsi" w:cstheme="minorHAnsi"/>
          <w:sz w:val="24"/>
          <w:szCs w:val="24"/>
        </w:rPr>
        <w:t>and their areas have also changed</w:t>
      </w:r>
      <w:r w:rsidR="009A504D" w:rsidRPr="007839D4">
        <w:rPr>
          <w:rFonts w:asciiTheme="minorHAnsi" w:hAnsiTheme="minorHAnsi" w:cstheme="minorHAnsi"/>
          <w:sz w:val="24"/>
          <w:szCs w:val="24"/>
        </w:rPr>
        <w:t>.</w:t>
      </w:r>
      <w:r w:rsidR="006D3340">
        <w:rPr>
          <w:rFonts w:asciiTheme="minorHAnsi" w:hAnsiTheme="minorHAnsi" w:cstheme="minorHAnsi"/>
          <w:sz w:val="24"/>
          <w:szCs w:val="24"/>
        </w:rPr>
        <w:t xml:space="preserve"> </w:t>
      </w:r>
    </w:p>
    <w:p w14:paraId="2D3D54EE" w14:textId="77777777" w:rsidR="003B367C" w:rsidRPr="0087290C" w:rsidRDefault="003B367C" w:rsidP="00CD0462">
      <w:pPr>
        <w:rPr>
          <w:rFonts w:asciiTheme="minorHAnsi" w:hAnsiTheme="minorHAnsi" w:cstheme="minorHAnsi"/>
          <w:sz w:val="24"/>
          <w:szCs w:val="24"/>
        </w:rPr>
      </w:pPr>
    </w:p>
    <w:p w14:paraId="22CB9889" w14:textId="53A18898" w:rsidR="003B367C" w:rsidRPr="0087290C" w:rsidRDefault="003B367C" w:rsidP="00CD0462">
      <w:pPr>
        <w:rPr>
          <w:rFonts w:asciiTheme="minorHAnsi" w:hAnsiTheme="minorHAnsi" w:cstheme="minorHAnsi"/>
          <w:b/>
          <w:bCs/>
          <w:iCs/>
          <w:sz w:val="24"/>
          <w:szCs w:val="24"/>
        </w:rPr>
      </w:pPr>
      <w:r w:rsidRPr="0087290C">
        <w:rPr>
          <w:rFonts w:asciiTheme="minorHAnsi" w:hAnsiTheme="minorHAnsi" w:cstheme="minorHAnsi"/>
          <w:b/>
          <w:bCs/>
          <w:sz w:val="24"/>
          <w:szCs w:val="24"/>
        </w:rPr>
        <w:t>Fu</w:t>
      </w:r>
      <w:r w:rsidR="00242704" w:rsidRPr="0087290C">
        <w:rPr>
          <w:rFonts w:asciiTheme="minorHAnsi" w:hAnsiTheme="minorHAnsi" w:cstheme="minorHAnsi"/>
          <w:b/>
          <w:bCs/>
          <w:sz w:val="24"/>
          <w:szCs w:val="24"/>
        </w:rPr>
        <w:t>r</w:t>
      </w:r>
      <w:r w:rsidRPr="0087290C">
        <w:rPr>
          <w:rFonts w:asciiTheme="minorHAnsi" w:hAnsiTheme="minorHAnsi" w:cstheme="minorHAnsi"/>
          <w:b/>
          <w:bCs/>
          <w:sz w:val="24"/>
          <w:szCs w:val="24"/>
        </w:rPr>
        <w:t>ther research</w:t>
      </w:r>
    </w:p>
    <w:p w14:paraId="532532A2" w14:textId="491D5541" w:rsidR="00CD0462" w:rsidRPr="00796162" w:rsidRDefault="002778B6" w:rsidP="00CD0462">
      <w:pPr>
        <w:rPr>
          <w:rFonts w:asciiTheme="minorHAnsi" w:hAnsiTheme="minorHAnsi" w:cstheme="minorHAnsi"/>
          <w:sz w:val="24"/>
          <w:szCs w:val="24"/>
        </w:rPr>
      </w:pPr>
      <w:r w:rsidRPr="00A842AF">
        <w:rPr>
          <w:rFonts w:asciiTheme="minorHAnsi" w:hAnsiTheme="minorHAnsi" w:cstheme="minorHAnsi"/>
          <w:sz w:val="24"/>
          <w:szCs w:val="24"/>
        </w:rPr>
        <w:t>Teenagers</w:t>
      </w:r>
      <w:r w:rsidR="003B367C" w:rsidRPr="00A842AF">
        <w:rPr>
          <w:rFonts w:asciiTheme="minorHAnsi" w:hAnsiTheme="minorHAnsi" w:cstheme="minorHAnsi"/>
          <w:sz w:val="24"/>
          <w:szCs w:val="24"/>
        </w:rPr>
        <w:t xml:space="preserve"> living in areas which had high rates in the early 2000s have altered their sexual behaviour in some way compared to the cohorts before them and, from our </w:t>
      </w:r>
      <w:r w:rsidR="003B367C" w:rsidRPr="00EF153A">
        <w:rPr>
          <w:rFonts w:asciiTheme="minorHAnsi" w:hAnsiTheme="minorHAnsi" w:cstheme="minorHAnsi"/>
          <w:sz w:val="24"/>
          <w:szCs w:val="24"/>
        </w:rPr>
        <w:t>work,</w:t>
      </w:r>
      <w:r w:rsidR="003B367C" w:rsidRPr="0044286B">
        <w:rPr>
          <w:rFonts w:asciiTheme="minorHAnsi" w:hAnsiTheme="minorHAnsi" w:cstheme="minorHAnsi"/>
          <w:sz w:val="24"/>
          <w:szCs w:val="24"/>
        </w:rPr>
        <w:t xml:space="preserve"> it is not enough to say that it is just because the </w:t>
      </w:r>
      <w:r w:rsidR="0098444E">
        <w:rPr>
          <w:rFonts w:asciiTheme="minorHAnsi" w:hAnsiTheme="minorHAnsi" w:cstheme="minorHAnsi"/>
          <w:sz w:val="24"/>
          <w:szCs w:val="24"/>
        </w:rPr>
        <w:t>characteristics</w:t>
      </w:r>
      <w:r w:rsidR="0098444E" w:rsidRPr="0044286B">
        <w:rPr>
          <w:rFonts w:asciiTheme="minorHAnsi" w:hAnsiTheme="minorHAnsi" w:cstheme="minorHAnsi"/>
          <w:sz w:val="24"/>
          <w:szCs w:val="24"/>
        </w:rPr>
        <w:t xml:space="preserve"> </w:t>
      </w:r>
      <w:r w:rsidR="003B367C" w:rsidRPr="0044286B">
        <w:rPr>
          <w:rFonts w:asciiTheme="minorHAnsi" w:hAnsiTheme="minorHAnsi" w:cstheme="minorHAnsi"/>
          <w:sz w:val="24"/>
          <w:szCs w:val="24"/>
        </w:rPr>
        <w:t>of teenagers living there have changed.</w:t>
      </w:r>
      <w:r w:rsidR="00382A9C">
        <w:rPr>
          <w:rFonts w:asciiTheme="minorHAnsi" w:hAnsiTheme="minorHAnsi" w:cstheme="minorHAnsi"/>
          <w:sz w:val="24"/>
          <w:szCs w:val="24"/>
        </w:rPr>
        <w:t xml:space="preserve"> </w:t>
      </w:r>
      <w:r w:rsidR="003B367C" w:rsidRPr="0044286B">
        <w:rPr>
          <w:rFonts w:asciiTheme="minorHAnsi" w:hAnsiTheme="minorHAnsi" w:cstheme="minorHAnsi"/>
          <w:sz w:val="24"/>
          <w:szCs w:val="24"/>
        </w:rPr>
        <w:t>There are many unmeasured</w:t>
      </w:r>
      <w:r w:rsidR="00D34AE4" w:rsidRPr="0044286B">
        <w:rPr>
          <w:rFonts w:asciiTheme="minorHAnsi" w:hAnsiTheme="minorHAnsi" w:cstheme="minorHAnsi"/>
          <w:sz w:val="24"/>
          <w:szCs w:val="24"/>
        </w:rPr>
        <w:t xml:space="preserve"> and unavailable</w:t>
      </w:r>
      <w:r w:rsidR="003B367C" w:rsidRPr="0044286B">
        <w:rPr>
          <w:rFonts w:asciiTheme="minorHAnsi" w:hAnsiTheme="minorHAnsi" w:cstheme="minorHAnsi"/>
          <w:sz w:val="24"/>
          <w:szCs w:val="24"/>
        </w:rPr>
        <w:t xml:space="preserve"> characteristics related to sexual behaviour that may </w:t>
      </w:r>
      <w:r w:rsidR="00867F8B">
        <w:rPr>
          <w:rFonts w:asciiTheme="minorHAnsi" w:hAnsiTheme="minorHAnsi" w:cstheme="minorHAnsi"/>
          <w:sz w:val="24"/>
          <w:szCs w:val="24"/>
        </w:rPr>
        <w:t xml:space="preserve">further </w:t>
      </w:r>
      <w:r w:rsidR="003B367C" w:rsidRPr="0044286B">
        <w:rPr>
          <w:rFonts w:asciiTheme="minorHAnsi" w:hAnsiTheme="minorHAnsi" w:cstheme="minorHAnsi"/>
          <w:sz w:val="24"/>
          <w:szCs w:val="24"/>
        </w:rPr>
        <w:t>explain the</w:t>
      </w:r>
      <w:r w:rsidR="00DB4528">
        <w:rPr>
          <w:rFonts w:asciiTheme="minorHAnsi" w:hAnsiTheme="minorHAnsi" w:cstheme="minorHAnsi"/>
          <w:sz w:val="24"/>
          <w:szCs w:val="24"/>
        </w:rPr>
        <w:t xml:space="preserve"> spatial</w:t>
      </w:r>
      <w:r w:rsidR="003B367C" w:rsidRPr="0044286B">
        <w:rPr>
          <w:rFonts w:asciiTheme="minorHAnsi" w:hAnsiTheme="minorHAnsi" w:cstheme="minorHAnsi"/>
          <w:sz w:val="24"/>
          <w:szCs w:val="24"/>
        </w:rPr>
        <w:t xml:space="preserve"> differences, such as varying teenage contraceptive use, </w:t>
      </w:r>
      <w:r w:rsidR="00796162">
        <w:rPr>
          <w:rFonts w:asciiTheme="minorHAnsi" w:hAnsiTheme="minorHAnsi" w:cstheme="minorHAnsi"/>
          <w:sz w:val="24"/>
          <w:szCs w:val="24"/>
        </w:rPr>
        <w:t xml:space="preserve">contrasting </w:t>
      </w:r>
      <w:r w:rsidR="00F44F79">
        <w:rPr>
          <w:rFonts w:asciiTheme="minorHAnsi" w:hAnsiTheme="minorHAnsi" w:cstheme="minorHAnsi"/>
          <w:sz w:val="24"/>
          <w:szCs w:val="24"/>
        </w:rPr>
        <w:t xml:space="preserve">teenage </w:t>
      </w:r>
      <w:r w:rsidR="00796162">
        <w:rPr>
          <w:rFonts w:asciiTheme="minorHAnsi" w:hAnsiTheme="minorHAnsi" w:cstheme="minorHAnsi"/>
          <w:sz w:val="24"/>
          <w:szCs w:val="24"/>
        </w:rPr>
        <w:t xml:space="preserve">fertility desires over time, </w:t>
      </w:r>
      <w:r w:rsidR="00D34AE4" w:rsidRPr="00796162">
        <w:rPr>
          <w:rFonts w:asciiTheme="minorHAnsi" w:hAnsiTheme="minorHAnsi" w:cstheme="minorHAnsi"/>
          <w:sz w:val="24"/>
          <w:szCs w:val="24"/>
        </w:rPr>
        <w:t>and use of emergency contraception from all settings</w:t>
      </w:r>
      <w:r w:rsidR="0026254D">
        <w:rPr>
          <w:rFonts w:asciiTheme="minorHAnsi" w:hAnsiTheme="minorHAnsi" w:cstheme="minorHAnsi"/>
          <w:sz w:val="24"/>
          <w:szCs w:val="24"/>
        </w:rPr>
        <w:t>, all</w:t>
      </w:r>
      <w:r w:rsidR="00D34AE4" w:rsidRPr="00796162">
        <w:rPr>
          <w:rFonts w:asciiTheme="minorHAnsi" w:hAnsiTheme="minorHAnsi" w:cstheme="minorHAnsi"/>
          <w:sz w:val="24"/>
          <w:szCs w:val="24"/>
        </w:rPr>
        <w:t xml:space="preserve"> at the local </w:t>
      </w:r>
      <w:r w:rsidR="00D34AE4" w:rsidRPr="00796162">
        <w:rPr>
          <w:rFonts w:asciiTheme="minorHAnsi" w:hAnsiTheme="minorHAnsi" w:cstheme="minorHAnsi"/>
          <w:sz w:val="24"/>
          <w:szCs w:val="24"/>
        </w:rPr>
        <w:lastRenderedPageBreak/>
        <w:t xml:space="preserve">authority level. There are also immeasurable characteristics like the </w:t>
      </w:r>
      <w:r w:rsidR="003B367C" w:rsidRPr="00796162">
        <w:rPr>
          <w:rFonts w:asciiTheme="minorHAnsi" w:hAnsiTheme="minorHAnsi" w:cstheme="minorHAnsi"/>
          <w:sz w:val="24"/>
          <w:szCs w:val="24"/>
        </w:rPr>
        <w:t>quality of sex</w:t>
      </w:r>
      <w:r w:rsidR="00853DC4" w:rsidRPr="00796162">
        <w:rPr>
          <w:rFonts w:asciiTheme="minorHAnsi" w:hAnsiTheme="minorHAnsi" w:cstheme="minorHAnsi"/>
          <w:sz w:val="24"/>
          <w:szCs w:val="24"/>
        </w:rPr>
        <w:t xml:space="preserve"> and relationships</w:t>
      </w:r>
      <w:r w:rsidR="003B367C" w:rsidRPr="00796162">
        <w:rPr>
          <w:rFonts w:asciiTheme="minorHAnsi" w:hAnsiTheme="minorHAnsi" w:cstheme="minorHAnsi"/>
          <w:sz w:val="24"/>
          <w:szCs w:val="24"/>
        </w:rPr>
        <w:t xml:space="preserve"> education and TPS efforts; it is a limitation that we measure the amount of funding rather than assessments </w:t>
      </w:r>
      <w:r w:rsidR="002D180E" w:rsidRPr="00796162">
        <w:rPr>
          <w:rFonts w:asciiTheme="minorHAnsi" w:hAnsiTheme="minorHAnsi" w:cstheme="minorHAnsi"/>
          <w:sz w:val="24"/>
          <w:szCs w:val="24"/>
        </w:rPr>
        <w:t>of</w:t>
      </w:r>
      <w:r w:rsidR="003B367C" w:rsidRPr="00796162">
        <w:rPr>
          <w:rFonts w:asciiTheme="minorHAnsi" w:hAnsiTheme="minorHAnsi" w:cstheme="minorHAnsi"/>
          <w:sz w:val="24"/>
          <w:szCs w:val="24"/>
        </w:rPr>
        <w:t xml:space="preserve"> </w:t>
      </w:r>
      <w:r w:rsidR="00AA6E6F" w:rsidRPr="00796162">
        <w:rPr>
          <w:rFonts w:asciiTheme="minorHAnsi" w:hAnsiTheme="minorHAnsi" w:cstheme="minorHAnsi"/>
          <w:sz w:val="24"/>
          <w:szCs w:val="24"/>
        </w:rPr>
        <w:t xml:space="preserve">local TPS quality </w:t>
      </w:r>
      <w:r w:rsidR="003B367C" w:rsidRPr="00796162">
        <w:rPr>
          <w:rFonts w:asciiTheme="minorHAnsi" w:hAnsiTheme="minorHAnsi" w:cstheme="minorHAnsi"/>
          <w:sz w:val="24"/>
          <w:szCs w:val="24"/>
        </w:rPr>
        <w:t>as in other works</w:t>
      </w:r>
      <w:r w:rsidR="00D3640E" w:rsidRPr="00796162">
        <w:rPr>
          <w:rFonts w:asciiTheme="minorHAnsi" w:hAnsiTheme="minorHAnsi" w:cstheme="minorHAnsi"/>
          <w:sz w:val="24"/>
          <w:szCs w:val="24"/>
        </w:rPr>
        <w:t xml:space="preserve"> </w:t>
      </w:r>
      <w:r w:rsidR="00383036" w:rsidRPr="00796162">
        <w:rPr>
          <w:rFonts w:asciiTheme="minorHAnsi" w:hAnsiTheme="minorHAnsi" w:cstheme="minorHAnsi"/>
          <w:sz w:val="24"/>
          <w:szCs w:val="24"/>
        </w:rPr>
        <w:t>(</w:t>
      </w:r>
      <w:r w:rsidR="00171C0F" w:rsidRPr="00796162">
        <w:rPr>
          <w:rFonts w:asciiTheme="minorHAnsi" w:hAnsiTheme="minorHAnsi" w:cstheme="minorHAnsi"/>
          <w:sz w:val="24"/>
          <w:szCs w:val="24"/>
        </w:rPr>
        <w:t>Blackman</w:t>
      </w:r>
      <w:r w:rsidR="00E5523F" w:rsidRPr="00796162">
        <w:rPr>
          <w:rFonts w:asciiTheme="minorHAnsi" w:hAnsiTheme="minorHAnsi" w:cstheme="minorHAnsi"/>
          <w:sz w:val="24"/>
          <w:szCs w:val="24"/>
        </w:rPr>
        <w:t>, 2013; Coleman and Testa, 2008</w:t>
      </w:r>
      <w:r w:rsidR="00383036" w:rsidRPr="00796162">
        <w:rPr>
          <w:rFonts w:asciiTheme="minorHAnsi" w:hAnsiTheme="minorHAnsi" w:cstheme="minorHAnsi"/>
          <w:sz w:val="24"/>
          <w:szCs w:val="24"/>
        </w:rPr>
        <w:t>)</w:t>
      </w:r>
      <w:r w:rsidR="0043038C" w:rsidRPr="00796162">
        <w:rPr>
          <w:rFonts w:asciiTheme="minorHAnsi" w:hAnsiTheme="minorHAnsi" w:cstheme="minorHAnsi"/>
          <w:sz w:val="24"/>
          <w:szCs w:val="24"/>
        </w:rPr>
        <w:t>.</w:t>
      </w:r>
      <w:r w:rsidR="00D34AE4" w:rsidRPr="00796162">
        <w:rPr>
          <w:rFonts w:asciiTheme="minorHAnsi" w:hAnsiTheme="minorHAnsi" w:cstheme="minorHAnsi"/>
          <w:sz w:val="24"/>
          <w:szCs w:val="24"/>
        </w:rPr>
        <w:t xml:space="preserve"> </w:t>
      </w:r>
    </w:p>
    <w:p w14:paraId="7B1072AD" w14:textId="4AD2A336" w:rsidR="00903F8A" w:rsidRDefault="00903F8A" w:rsidP="00903F8A">
      <w:pPr>
        <w:rPr>
          <w:rFonts w:asciiTheme="minorHAnsi" w:hAnsiTheme="minorHAnsi" w:cstheme="minorHAnsi"/>
          <w:sz w:val="24"/>
          <w:szCs w:val="24"/>
        </w:rPr>
      </w:pPr>
      <w:r>
        <w:rPr>
          <w:rFonts w:asciiTheme="minorHAnsi" w:hAnsiTheme="minorHAnsi" w:cstheme="minorHAnsi"/>
          <w:sz w:val="24"/>
          <w:szCs w:val="24"/>
        </w:rPr>
        <w:t>Word count 5</w:t>
      </w:r>
      <w:r w:rsidR="009E7F97">
        <w:rPr>
          <w:rFonts w:asciiTheme="minorHAnsi" w:hAnsiTheme="minorHAnsi" w:cstheme="minorHAnsi"/>
          <w:sz w:val="24"/>
          <w:szCs w:val="24"/>
        </w:rPr>
        <w:t>859</w:t>
      </w:r>
    </w:p>
    <w:p w14:paraId="0DCC27DC" w14:textId="77777777" w:rsidR="009E7F97" w:rsidRPr="00796162" w:rsidRDefault="009E7F97" w:rsidP="00903F8A">
      <w:pPr>
        <w:rPr>
          <w:rFonts w:asciiTheme="minorHAnsi" w:hAnsiTheme="minorHAnsi" w:cstheme="minorHAnsi"/>
          <w:sz w:val="24"/>
          <w:szCs w:val="24"/>
        </w:rPr>
      </w:pPr>
    </w:p>
    <w:p w14:paraId="68D4272D" w14:textId="16CF0536" w:rsidR="00981C4B" w:rsidRPr="009C4969" w:rsidRDefault="00CB6137" w:rsidP="00E00892">
      <w:pPr>
        <w:spacing w:line="480" w:lineRule="auto"/>
        <w:rPr>
          <w:rFonts w:asciiTheme="minorHAnsi" w:hAnsiTheme="minorHAnsi" w:cstheme="minorHAnsi"/>
          <w:b/>
          <w:bCs/>
          <w:sz w:val="24"/>
          <w:szCs w:val="24"/>
        </w:rPr>
      </w:pPr>
      <w:bookmarkStart w:id="12" w:name="_Toc19031359"/>
      <w:r w:rsidRPr="003D099F">
        <w:rPr>
          <w:rFonts w:asciiTheme="minorHAnsi" w:hAnsiTheme="minorHAnsi" w:cstheme="minorHAnsi"/>
          <w:b/>
          <w:bCs/>
          <w:sz w:val="24"/>
          <w:szCs w:val="24"/>
        </w:rPr>
        <w:t>Reference</w:t>
      </w:r>
      <w:r w:rsidR="003E0009" w:rsidRPr="009C4969">
        <w:rPr>
          <w:rFonts w:asciiTheme="minorHAnsi" w:hAnsiTheme="minorHAnsi" w:cstheme="minorHAnsi"/>
          <w:b/>
          <w:bCs/>
          <w:sz w:val="24"/>
          <w:szCs w:val="24"/>
        </w:rPr>
        <w:t>s</w:t>
      </w:r>
      <w:bookmarkEnd w:id="12"/>
    </w:p>
    <w:p w14:paraId="0C5FE47B" w14:textId="5A355B20"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Author et al. 1999. </w:t>
      </w:r>
      <w:r w:rsidR="00D34AE4" w:rsidRPr="0014445C">
        <w:rPr>
          <w:rFonts w:asciiTheme="minorHAnsi" w:hAnsiTheme="minorHAnsi" w:cstheme="minorHAnsi"/>
          <w:noProof w:val="0"/>
          <w:lang w:val="en-GB"/>
        </w:rPr>
        <w:t>[details removed for peer review]</w:t>
      </w:r>
    </w:p>
    <w:p w14:paraId="55CCEAFE" w14:textId="77777777" w:rsidR="00FE7D5A" w:rsidRPr="0014445C" w:rsidRDefault="00FE7D5A" w:rsidP="00E00892">
      <w:pPr>
        <w:pStyle w:val="EndNoteBibliography"/>
        <w:spacing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Author et al., 2014 [details removed for peer review] </w:t>
      </w:r>
    </w:p>
    <w:p w14:paraId="316007D6" w14:textId="77777777"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Author et al., 2016 [details removed for peer review] </w:t>
      </w:r>
    </w:p>
    <w:p w14:paraId="4C19765B" w14:textId="2110BA35"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Author et al., 2017 [details removed for peer review] </w:t>
      </w:r>
    </w:p>
    <w:p w14:paraId="07DE6431" w14:textId="77777777" w:rsidR="00FE7D5A" w:rsidRPr="0014445C" w:rsidRDefault="00FE7D5A" w:rsidP="00E00892">
      <w:pPr>
        <w:pStyle w:val="EndNoteBibliography"/>
        <w:spacing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Author, 2020 [details removed for peer review] </w:t>
      </w:r>
    </w:p>
    <w:p w14:paraId="2208FC1B" w14:textId="5D71D912" w:rsidR="00D94162" w:rsidRPr="006D3340" w:rsidRDefault="00D94162" w:rsidP="00E00892">
      <w:pPr>
        <w:pStyle w:val="EndNoteBibliography"/>
        <w:spacing w:after="0" w:line="480" w:lineRule="auto"/>
        <w:rPr>
          <w:rFonts w:asciiTheme="minorHAnsi" w:hAnsiTheme="minorHAnsi" w:cstheme="minorHAnsi"/>
          <w:noProof w:val="0"/>
          <w:lang w:val="en-GB"/>
        </w:rPr>
      </w:pPr>
      <w:r w:rsidRPr="006D3340">
        <w:rPr>
          <w:rFonts w:asciiTheme="minorHAnsi" w:hAnsiTheme="minorHAnsi" w:cstheme="minorHAnsi"/>
          <w:noProof w:val="0"/>
          <w:lang w:val="en-GB"/>
        </w:rPr>
        <w:t>Ashraf, H</w:t>
      </w:r>
      <w:r w:rsidR="00E1753F" w:rsidRPr="006D3340">
        <w:rPr>
          <w:rFonts w:asciiTheme="minorHAnsi" w:hAnsiTheme="minorHAnsi" w:cstheme="minorHAnsi"/>
          <w:noProof w:val="0"/>
          <w:lang w:val="en-GB"/>
        </w:rPr>
        <w:t>., McCarthy</w:t>
      </w:r>
      <w:r w:rsidR="005C32D8" w:rsidRPr="006D3340">
        <w:rPr>
          <w:rFonts w:asciiTheme="minorHAnsi" w:hAnsiTheme="minorHAnsi" w:cstheme="minorHAnsi"/>
          <w:noProof w:val="0"/>
          <w:lang w:val="en-GB"/>
        </w:rPr>
        <w:t>,</w:t>
      </w:r>
      <w:r w:rsidR="00E1753F" w:rsidRPr="006D3340">
        <w:rPr>
          <w:rFonts w:asciiTheme="minorHAnsi" w:hAnsiTheme="minorHAnsi" w:cstheme="minorHAnsi"/>
          <w:noProof w:val="0"/>
          <w:lang w:val="en-GB"/>
        </w:rPr>
        <w:t xml:space="preserve"> M</w:t>
      </w:r>
      <w:r w:rsidR="009345B3" w:rsidRPr="006D3340">
        <w:rPr>
          <w:rFonts w:asciiTheme="minorHAnsi" w:hAnsiTheme="minorHAnsi" w:cstheme="minorHAnsi"/>
          <w:noProof w:val="0"/>
          <w:lang w:val="en-GB"/>
        </w:rPr>
        <w:t>.</w:t>
      </w:r>
      <w:r w:rsidR="005C32D8" w:rsidRPr="006D3340">
        <w:rPr>
          <w:rFonts w:asciiTheme="minorHAnsi" w:hAnsiTheme="minorHAnsi" w:cstheme="minorHAnsi"/>
          <w:noProof w:val="0"/>
          <w:lang w:val="en-GB"/>
        </w:rPr>
        <w:t>,</w:t>
      </w:r>
      <w:r w:rsidR="00E1753F" w:rsidRPr="006D3340">
        <w:rPr>
          <w:rFonts w:asciiTheme="minorHAnsi" w:hAnsiTheme="minorHAnsi" w:cstheme="minorHAnsi"/>
          <w:noProof w:val="0"/>
          <w:lang w:val="en-GB"/>
        </w:rPr>
        <w:t xml:space="preserve"> 2000 UK improves access to “morning after pill”</w:t>
      </w:r>
      <w:r w:rsidR="0058355B" w:rsidRPr="006D3340">
        <w:rPr>
          <w:rFonts w:asciiTheme="minorHAnsi" w:hAnsiTheme="minorHAnsi" w:cstheme="minorHAnsi"/>
          <w:noProof w:val="0"/>
          <w:lang w:val="en-GB"/>
        </w:rPr>
        <w:t>. The Lancet 356</w:t>
      </w:r>
      <w:r w:rsidR="001808BF" w:rsidRPr="006D3340">
        <w:rPr>
          <w:rFonts w:asciiTheme="minorHAnsi" w:hAnsiTheme="minorHAnsi" w:cstheme="minorHAnsi"/>
          <w:noProof w:val="0"/>
          <w:lang w:val="en-GB"/>
        </w:rPr>
        <w:t xml:space="preserve">, 2071. DOI: </w:t>
      </w:r>
      <w:r w:rsidR="00766A60" w:rsidRPr="006D3340">
        <w:rPr>
          <w:rFonts w:asciiTheme="minorHAnsi" w:hAnsiTheme="minorHAnsi" w:cstheme="minorHAnsi"/>
          <w:noProof w:val="0"/>
          <w:lang w:val="en-GB"/>
        </w:rPr>
        <w:t>https://doi.org/10.1016/S0140-6736(00)03410-3</w:t>
      </w:r>
    </w:p>
    <w:p w14:paraId="106944EB" w14:textId="404BDB8B" w:rsidR="00766A60" w:rsidRDefault="00766A60" w:rsidP="00E00892">
      <w:pPr>
        <w:pStyle w:val="EndNoteBibliography"/>
        <w:spacing w:after="0" w:line="480" w:lineRule="auto"/>
        <w:rPr>
          <w:rFonts w:asciiTheme="minorHAnsi" w:hAnsiTheme="minorHAnsi" w:cstheme="minorHAnsi"/>
          <w:noProof w:val="0"/>
          <w:lang w:val="en-GB"/>
        </w:rPr>
      </w:pPr>
      <w:r w:rsidRPr="006D3340">
        <w:rPr>
          <w:rFonts w:asciiTheme="minorHAnsi" w:hAnsiTheme="minorHAnsi" w:cstheme="minorHAnsi"/>
          <w:noProof w:val="0"/>
          <w:lang w:val="en-GB"/>
        </w:rPr>
        <w:t>Benton</w:t>
      </w:r>
      <w:r w:rsidR="002F5B15" w:rsidRPr="006D3340">
        <w:rPr>
          <w:rFonts w:asciiTheme="minorHAnsi" w:hAnsiTheme="minorHAnsi" w:cstheme="minorHAnsi"/>
          <w:noProof w:val="0"/>
          <w:lang w:val="en-GB"/>
        </w:rPr>
        <w:t xml:space="preserve">, T., </w:t>
      </w:r>
      <w:proofErr w:type="spellStart"/>
      <w:r w:rsidR="002F5B15" w:rsidRPr="006D3340">
        <w:rPr>
          <w:rFonts w:asciiTheme="minorHAnsi" w:hAnsiTheme="minorHAnsi" w:cstheme="minorHAnsi"/>
          <w:noProof w:val="0"/>
          <w:lang w:val="en-GB"/>
        </w:rPr>
        <w:t>Sutch</w:t>
      </w:r>
      <w:proofErr w:type="spellEnd"/>
      <w:r w:rsidR="002F5B15" w:rsidRPr="006D3340">
        <w:rPr>
          <w:rFonts w:asciiTheme="minorHAnsi" w:hAnsiTheme="minorHAnsi" w:cstheme="minorHAnsi"/>
          <w:noProof w:val="0"/>
          <w:lang w:val="en-GB"/>
        </w:rPr>
        <w:t>, T.</w:t>
      </w:r>
      <w:r w:rsidR="009345B3" w:rsidRPr="006D3340">
        <w:rPr>
          <w:rFonts w:asciiTheme="minorHAnsi" w:hAnsiTheme="minorHAnsi" w:cstheme="minorHAnsi"/>
          <w:noProof w:val="0"/>
          <w:lang w:val="en-GB"/>
        </w:rPr>
        <w:t>,</w:t>
      </w:r>
      <w:r w:rsidR="002F5B15" w:rsidRPr="006D3340">
        <w:rPr>
          <w:rFonts w:asciiTheme="minorHAnsi" w:hAnsiTheme="minorHAnsi" w:cstheme="minorHAnsi"/>
          <w:noProof w:val="0"/>
          <w:lang w:val="en-GB"/>
        </w:rPr>
        <w:t xml:space="preserve"> 2014 </w:t>
      </w:r>
      <w:r w:rsidR="004A5AA8" w:rsidRPr="006D3340">
        <w:rPr>
          <w:rFonts w:asciiTheme="minorHAnsi" w:hAnsiTheme="minorHAnsi" w:cstheme="minorHAnsi"/>
          <w:noProof w:val="0"/>
          <w:lang w:val="en-GB"/>
        </w:rPr>
        <w:t>Analysis of the use of Key Stage 2 data in GCSE predictions</w:t>
      </w:r>
      <w:r w:rsidR="00832235" w:rsidRPr="006D3340">
        <w:rPr>
          <w:rFonts w:asciiTheme="minorHAnsi" w:hAnsiTheme="minorHAnsi" w:cstheme="minorHAnsi"/>
          <w:noProof w:val="0"/>
          <w:lang w:val="en-GB"/>
        </w:rPr>
        <w:t>. Office of Qualifications and Examinations Regulation</w:t>
      </w:r>
      <w:r w:rsidR="007A3652" w:rsidRPr="006D3340">
        <w:rPr>
          <w:rFonts w:asciiTheme="minorHAnsi" w:hAnsiTheme="minorHAnsi" w:cstheme="minorHAnsi"/>
          <w:noProof w:val="0"/>
          <w:lang w:val="en-GB"/>
        </w:rPr>
        <w:t xml:space="preserve">. Available at: </w:t>
      </w:r>
      <w:r w:rsidR="007E2E6E" w:rsidRPr="006D3340">
        <w:rPr>
          <w:rFonts w:asciiTheme="minorHAnsi" w:hAnsiTheme="minorHAnsi" w:cstheme="minorHAnsi"/>
          <w:noProof w:val="0"/>
          <w:lang w:val="en-GB"/>
        </w:rPr>
        <w:t xml:space="preserve">https://assets.publishing.service.gov.uk/government/uploads/system/uploads/attachment_data/file/429074/2014-06-16-analysis-of-use-of-key-stage-2-data-in-gcse-predictions.pdf. Accessed: August </w:t>
      </w:r>
      <w:proofErr w:type="gramStart"/>
      <w:r w:rsidR="007E2E6E" w:rsidRPr="006D3340">
        <w:rPr>
          <w:rFonts w:asciiTheme="minorHAnsi" w:hAnsiTheme="minorHAnsi" w:cstheme="minorHAnsi"/>
          <w:noProof w:val="0"/>
          <w:lang w:val="en-GB"/>
        </w:rPr>
        <w:t>13</w:t>
      </w:r>
      <w:proofErr w:type="gramEnd"/>
      <w:r w:rsidR="007E2E6E" w:rsidRPr="006D3340">
        <w:rPr>
          <w:rFonts w:asciiTheme="minorHAnsi" w:hAnsiTheme="minorHAnsi" w:cstheme="minorHAnsi"/>
          <w:noProof w:val="0"/>
          <w:lang w:val="en-GB"/>
        </w:rPr>
        <w:t xml:space="preserve"> 2020.</w:t>
      </w:r>
      <w:r w:rsidR="007E2E6E">
        <w:rPr>
          <w:rFonts w:asciiTheme="minorHAnsi" w:hAnsiTheme="minorHAnsi" w:cstheme="minorHAnsi"/>
          <w:noProof w:val="0"/>
          <w:lang w:val="en-GB"/>
        </w:rPr>
        <w:t xml:space="preserve"> </w:t>
      </w:r>
    </w:p>
    <w:p w14:paraId="79B66B30" w14:textId="407DA327"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Black, K., Geary, R., French, R., et al.</w:t>
      </w:r>
      <w:r w:rsidR="00631A72">
        <w:rPr>
          <w:rFonts w:asciiTheme="minorHAnsi" w:hAnsiTheme="minorHAnsi" w:cstheme="minorHAnsi"/>
          <w:noProof w:val="0"/>
          <w:lang w:val="en-GB"/>
        </w:rPr>
        <w:t>,</w:t>
      </w:r>
      <w:r w:rsidRPr="0014445C">
        <w:rPr>
          <w:rFonts w:asciiTheme="minorHAnsi" w:hAnsiTheme="minorHAnsi" w:cstheme="minorHAnsi"/>
          <w:noProof w:val="0"/>
          <w:lang w:val="en-GB"/>
        </w:rPr>
        <w:t xml:space="preserve"> 2016. Trends in the use of emergency contraception in Britain: evidence from the second and third National Surveys of Sexual Attitudes and Lifestyles. </w:t>
      </w:r>
      <w:proofErr w:type="spellStart"/>
      <w:r w:rsidRPr="0014445C">
        <w:rPr>
          <w:rFonts w:asciiTheme="minorHAnsi" w:hAnsiTheme="minorHAnsi" w:cstheme="minorHAnsi"/>
          <w:noProof w:val="0"/>
          <w:lang w:val="en-GB"/>
        </w:rPr>
        <w:t>BJOG</w:t>
      </w:r>
      <w:proofErr w:type="spellEnd"/>
      <w:r w:rsidRPr="0014445C">
        <w:rPr>
          <w:rFonts w:asciiTheme="minorHAnsi" w:hAnsiTheme="minorHAnsi" w:cstheme="minorHAnsi"/>
          <w:noProof w:val="0"/>
          <w:lang w:val="en-GB"/>
        </w:rPr>
        <w:t xml:space="preserve">: An International Journal of Obstetrics &amp; Gynaecology 123, 1600-1607.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10.1111/1471-0528.14131</w:t>
      </w:r>
    </w:p>
    <w:p w14:paraId="663B03E6" w14:textId="47F26088"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Blackman, T., 2013. Exploring explanations for local reductions in teenage pregnancy rates in England: an approach using qualitative comparative analysis. Social Policy and Society 12, 61-72.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10.1017%2FS1474746412000358</w:t>
      </w:r>
    </w:p>
    <w:p w14:paraId="01118B51" w14:textId="386E1D0B" w:rsidR="00FE7D5A" w:rsidRPr="0014445C" w:rsidRDefault="00FE7D5A" w:rsidP="00E00892">
      <w:pPr>
        <w:pStyle w:val="EndNoteBibliography"/>
        <w:spacing w:after="0" w:line="480" w:lineRule="auto"/>
        <w:rPr>
          <w:rFonts w:asciiTheme="minorHAnsi" w:hAnsiTheme="minorHAnsi" w:cstheme="minorHAnsi"/>
          <w:noProof w:val="0"/>
          <w:lang w:val="en-GB"/>
        </w:rPr>
      </w:pPr>
      <w:proofErr w:type="spellStart"/>
      <w:r w:rsidRPr="0014445C">
        <w:rPr>
          <w:rFonts w:asciiTheme="minorHAnsi" w:hAnsiTheme="minorHAnsi" w:cstheme="minorHAnsi"/>
          <w:noProof w:val="0"/>
          <w:lang w:val="en-GB"/>
        </w:rPr>
        <w:t>Bongaarts</w:t>
      </w:r>
      <w:proofErr w:type="spellEnd"/>
      <w:r w:rsidRPr="0014445C">
        <w:rPr>
          <w:rFonts w:asciiTheme="minorHAnsi" w:hAnsiTheme="minorHAnsi" w:cstheme="minorHAnsi"/>
          <w:noProof w:val="0"/>
          <w:lang w:val="en-GB"/>
        </w:rPr>
        <w:t xml:space="preserve">, J., 1978. A framework for </w:t>
      </w:r>
      <w:proofErr w:type="spellStart"/>
      <w:r w:rsidRPr="0014445C">
        <w:rPr>
          <w:rFonts w:asciiTheme="minorHAnsi" w:hAnsiTheme="minorHAnsi" w:cstheme="minorHAnsi"/>
          <w:noProof w:val="0"/>
          <w:lang w:val="en-GB"/>
        </w:rPr>
        <w:t>analyzing</w:t>
      </w:r>
      <w:proofErr w:type="spellEnd"/>
      <w:r w:rsidRPr="0014445C">
        <w:rPr>
          <w:rFonts w:asciiTheme="minorHAnsi" w:hAnsiTheme="minorHAnsi" w:cstheme="minorHAnsi"/>
          <w:noProof w:val="0"/>
          <w:lang w:val="en-GB"/>
        </w:rPr>
        <w:t xml:space="preserve"> the proximate determinants of fertility. Population and Development Review 4, 105-132.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10.2307/1972149</w:t>
      </w:r>
    </w:p>
    <w:p w14:paraId="191A401A" w14:textId="37654D3A"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lastRenderedPageBreak/>
        <w:t>Bradshaw, J., Finch, N., Miles, JN.</w:t>
      </w:r>
      <w:r w:rsidR="00631A72">
        <w:rPr>
          <w:rFonts w:asciiTheme="minorHAnsi" w:hAnsiTheme="minorHAnsi" w:cstheme="minorHAnsi"/>
          <w:noProof w:val="0"/>
          <w:lang w:val="en-GB"/>
        </w:rPr>
        <w:t>,</w:t>
      </w:r>
      <w:r w:rsidRPr="0014445C">
        <w:rPr>
          <w:rFonts w:asciiTheme="minorHAnsi" w:hAnsiTheme="minorHAnsi" w:cstheme="minorHAnsi"/>
          <w:noProof w:val="0"/>
          <w:lang w:val="en-GB"/>
        </w:rPr>
        <w:t xml:space="preserve"> 2005</w:t>
      </w:r>
      <w:r w:rsidR="002F4C01">
        <w:rPr>
          <w:rFonts w:asciiTheme="minorHAnsi" w:hAnsiTheme="minorHAnsi" w:cstheme="minorHAnsi"/>
          <w:noProof w:val="0"/>
          <w:lang w:val="en-GB"/>
        </w:rPr>
        <w:t>.</w:t>
      </w:r>
      <w:r w:rsidRPr="0014445C">
        <w:rPr>
          <w:rFonts w:asciiTheme="minorHAnsi" w:hAnsiTheme="minorHAnsi" w:cstheme="minorHAnsi"/>
          <w:noProof w:val="0"/>
          <w:lang w:val="en-GB"/>
        </w:rPr>
        <w:t xml:space="preserve"> Deprivation and variations in teenage conceptions and abortions in England. Journal of Family Planning and Reproductive Health Care 31, 15-19.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10.1783/0000000052973022</w:t>
      </w:r>
    </w:p>
    <w:p w14:paraId="1F19D63A" w14:textId="2DB180C6" w:rsidR="00FE7D5A"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Clark, S., Lomax, N., 2020. Rent/price ratio for English housing sub‐markets using matched sales and rental data. Area 52, 136–147.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10.1111/area.12555</w:t>
      </w:r>
    </w:p>
    <w:p w14:paraId="131CF79F" w14:textId="39324940" w:rsidR="00DF0D27" w:rsidRPr="0014445C" w:rsidRDefault="00DF0D27" w:rsidP="00E00892">
      <w:pPr>
        <w:pStyle w:val="EndNoteBibliography"/>
        <w:spacing w:line="480" w:lineRule="auto"/>
        <w:rPr>
          <w:rFonts w:asciiTheme="minorHAnsi" w:hAnsiTheme="minorHAnsi" w:cstheme="minorHAnsi"/>
          <w:noProof w:val="0"/>
          <w:lang w:val="en-GB"/>
        </w:rPr>
      </w:pPr>
      <w:r>
        <w:rPr>
          <w:rFonts w:asciiTheme="minorHAnsi" w:hAnsiTheme="minorHAnsi" w:cstheme="minorHAnsi"/>
          <w:noProof w:val="0"/>
          <w:lang w:val="en-GB"/>
        </w:rPr>
        <w:t xml:space="preserve">Clifton, S. </w:t>
      </w:r>
      <w:r w:rsidR="008B7335">
        <w:rPr>
          <w:rFonts w:asciiTheme="minorHAnsi" w:hAnsiTheme="minorHAnsi" w:cstheme="minorHAnsi"/>
          <w:noProof w:val="0"/>
          <w:lang w:val="en-GB"/>
        </w:rPr>
        <w:t xml:space="preserve">Fuller, </w:t>
      </w:r>
      <w:r w:rsidR="00455628">
        <w:rPr>
          <w:rFonts w:asciiTheme="minorHAnsi" w:hAnsiTheme="minorHAnsi" w:cstheme="minorHAnsi"/>
          <w:noProof w:val="0"/>
          <w:lang w:val="en-GB"/>
        </w:rPr>
        <w:t>E., and Philo, D</w:t>
      </w:r>
      <w:r w:rsidR="005C32D8">
        <w:rPr>
          <w:rFonts w:asciiTheme="minorHAnsi" w:hAnsiTheme="minorHAnsi" w:cstheme="minorHAnsi"/>
          <w:noProof w:val="0"/>
          <w:lang w:val="en-GB"/>
        </w:rPr>
        <w:t>,</w:t>
      </w:r>
      <w:r w:rsidR="00455628">
        <w:rPr>
          <w:rFonts w:asciiTheme="minorHAnsi" w:hAnsiTheme="minorHAnsi" w:cstheme="minorHAnsi"/>
          <w:noProof w:val="0"/>
          <w:lang w:val="en-GB"/>
        </w:rPr>
        <w:t xml:space="preserve"> 2015</w:t>
      </w:r>
      <w:r w:rsidR="002F4C01">
        <w:rPr>
          <w:rFonts w:asciiTheme="minorHAnsi" w:hAnsiTheme="minorHAnsi" w:cstheme="minorHAnsi"/>
          <w:noProof w:val="0"/>
          <w:lang w:val="en-GB"/>
        </w:rPr>
        <w:t>.</w:t>
      </w:r>
      <w:r w:rsidR="00455628">
        <w:rPr>
          <w:rFonts w:asciiTheme="minorHAnsi" w:hAnsiTheme="minorHAnsi" w:cstheme="minorHAnsi"/>
          <w:noProof w:val="0"/>
          <w:lang w:val="en-GB"/>
        </w:rPr>
        <w:t xml:space="preserve"> </w:t>
      </w:r>
      <w:r w:rsidR="00707ACE" w:rsidRPr="00707ACE">
        <w:rPr>
          <w:rFonts w:asciiTheme="minorHAnsi" w:hAnsiTheme="minorHAnsi" w:cstheme="minorHAnsi"/>
          <w:noProof w:val="0"/>
          <w:lang w:val="en-GB"/>
        </w:rPr>
        <w:t>National Survey of Sexual Attitudes</w:t>
      </w:r>
      <w:r w:rsidR="006A36B9">
        <w:rPr>
          <w:rFonts w:asciiTheme="minorHAnsi" w:hAnsiTheme="minorHAnsi" w:cstheme="minorHAnsi"/>
          <w:noProof w:val="0"/>
          <w:lang w:val="en-GB"/>
        </w:rPr>
        <w:t xml:space="preserve"> </w:t>
      </w:r>
      <w:r w:rsidR="00707ACE" w:rsidRPr="00707ACE">
        <w:rPr>
          <w:rFonts w:asciiTheme="minorHAnsi" w:hAnsiTheme="minorHAnsi" w:cstheme="minorHAnsi"/>
          <w:noProof w:val="0"/>
          <w:lang w:val="en-GB"/>
        </w:rPr>
        <w:t>and Lifestyles (Natsal-3)</w:t>
      </w:r>
      <w:r w:rsidR="00707ACE">
        <w:rPr>
          <w:rFonts w:asciiTheme="minorHAnsi" w:hAnsiTheme="minorHAnsi" w:cstheme="minorHAnsi"/>
          <w:noProof w:val="0"/>
          <w:lang w:val="en-GB"/>
        </w:rPr>
        <w:t xml:space="preserve"> - </w:t>
      </w:r>
      <w:r w:rsidR="00707ACE" w:rsidRPr="00707ACE">
        <w:rPr>
          <w:rFonts w:asciiTheme="minorHAnsi" w:hAnsiTheme="minorHAnsi" w:cstheme="minorHAnsi"/>
          <w:noProof w:val="0"/>
          <w:lang w:val="en-GB"/>
        </w:rPr>
        <w:t>Reference tables</w:t>
      </w:r>
      <w:r w:rsidR="002F4C01">
        <w:rPr>
          <w:rFonts w:asciiTheme="minorHAnsi" w:hAnsiTheme="minorHAnsi" w:cstheme="minorHAnsi"/>
          <w:noProof w:val="0"/>
          <w:lang w:val="en-GB"/>
        </w:rPr>
        <w:t xml:space="preserve">. Available at: </w:t>
      </w:r>
      <w:r w:rsidR="006A36B9" w:rsidRPr="006A36B9">
        <w:rPr>
          <w:rFonts w:asciiTheme="minorHAnsi" w:hAnsiTheme="minorHAnsi" w:cstheme="minorHAnsi"/>
          <w:noProof w:val="0"/>
          <w:lang w:val="en-GB"/>
        </w:rPr>
        <w:t>https://www.natsal.ac.uk/media/3935/natsal-3-reference-tables.pdf</w:t>
      </w:r>
      <w:r w:rsidR="006A36B9">
        <w:rPr>
          <w:rFonts w:asciiTheme="minorHAnsi" w:hAnsiTheme="minorHAnsi" w:cstheme="minorHAnsi"/>
          <w:noProof w:val="0"/>
          <w:lang w:val="en-GB"/>
        </w:rPr>
        <w:t xml:space="preserve">. Accessed June </w:t>
      </w:r>
      <w:proofErr w:type="gramStart"/>
      <w:r w:rsidR="006A36B9">
        <w:rPr>
          <w:rFonts w:asciiTheme="minorHAnsi" w:hAnsiTheme="minorHAnsi" w:cstheme="minorHAnsi"/>
          <w:noProof w:val="0"/>
          <w:lang w:val="en-GB"/>
        </w:rPr>
        <w:t>20</w:t>
      </w:r>
      <w:proofErr w:type="gramEnd"/>
      <w:r w:rsidR="006A36B9">
        <w:rPr>
          <w:rFonts w:asciiTheme="minorHAnsi" w:hAnsiTheme="minorHAnsi" w:cstheme="minorHAnsi"/>
          <w:noProof w:val="0"/>
          <w:lang w:val="en-GB"/>
        </w:rPr>
        <w:t xml:space="preserve"> 2020.</w:t>
      </w:r>
    </w:p>
    <w:p w14:paraId="3D3C3790" w14:textId="32FC21FA"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Coleman, </w:t>
      </w:r>
      <w:proofErr w:type="spellStart"/>
      <w:r w:rsidRPr="0014445C">
        <w:rPr>
          <w:rFonts w:asciiTheme="minorHAnsi" w:hAnsiTheme="minorHAnsi" w:cstheme="minorHAnsi"/>
          <w:noProof w:val="0"/>
          <w:lang w:val="en-GB"/>
        </w:rPr>
        <w:t>LM</w:t>
      </w:r>
      <w:proofErr w:type="spellEnd"/>
      <w:r w:rsidRPr="0014445C">
        <w:rPr>
          <w:rFonts w:asciiTheme="minorHAnsi" w:hAnsiTheme="minorHAnsi" w:cstheme="minorHAnsi"/>
          <w:noProof w:val="0"/>
          <w:lang w:val="en-GB"/>
        </w:rPr>
        <w:t>., Testa, A., 2008</w:t>
      </w:r>
      <w:r w:rsidR="002F4C01">
        <w:rPr>
          <w:rFonts w:asciiTheme="minorHAnsi" w:hAnsiTheme="minorHAnsi" w:cstheme="minorHAnsi"/>
          <w:noProof w:val="0"/>
          <w:lang w:val="en-GB"/>
        </w:rPr>
        <w:t>.</w:t>
      </w:r>
      <w:r w:rsidRPr="0014445C">
        <w:rPr>
          <w:rFonts w:asciiTheme="minorHAnsi" w:hAnsiTheme="minorHAnsi" w:cstheme="minorHAnsi"/>
          <w:noProof w:val="0"/>
          <w:lang w:val="en-GB"/>
        </w:rPr>
        <w:t xml:space="preserve"> Sexual health knowledge, </w:t>
      </w:r>
      <w:proofErr w:type="gramStart"/>
      <w:r w:rsidRPr="0014445C">
        <w:rPr>
          <w:rFonts w:asciiTheme="minorHAnsi" w:hAnsiTheme="minorHAnsi" w:cstheme="minorHAnsi"/>
          <w:noProof w:val="0"/>
          <w:lang w:val="en-GB"/>
        </w:rPr>
        <w:t>attitudes</w:t>
      </w:r>
      <w:proofErr w:type="gramEnd"/>
      <w:r w:rsidRPr="0014445C">
        <w:rPr>
          <w:rFonts w:asciiTheme="minorHAnsi" w:hAnsiTheme="minorHAnsi" w:cstheme="minorHAnsi"/>
          <w:noProof w:val="0"/>
          <w:lang w:val="en-GB"/>
        </w:rPr>
        <w:t xml:space="preserve"> and behaviours: variations among a religiously diverse sample of young people in London, UK. Ethnicity and Health 13, 55-72.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10.1080/13557850701803163</w:t>
      </w:r>
    </w:p>
    <w:p w14:paraId="4A2C7241" w14:textId="5DB92A0A"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Comolli, </w:t>
      </w:r>
      <w:proofErr w:type="gramStart"/>
      <w:r w:rsidRPr="0014445C">
        <w:rPr>
          <w:rFonts w:asciiTheme="minorHAnsi" w:hAnsiTheme="minorHAnsi" w:cstheme="minorHAnsi"/>
          <w:noProof w:val="0"/>
          <w:lang w:val="en-GB"/>
        </w:rPr>
        <w:t>CL,.</w:t>
      </w:r>
      <w:proofErr w:type="gramEnd"/>
      <w:r w:rsidRPr="0014445C">
        <w:rPr>
          <w:rFonts w:asciiTheme="minorHAnsi" w:hAnsiTheme="minorHAnsi" w:cstheme="minorHAnsi"/>
          <w:noProof w:val="0"/>
          <w:lang w:val="en-GB"/>
        </w:rPr>
        <w:t xml:space="preserve"> 2017. The fertility response to the Great Recession in Europe and the United States: Structural economic conditions and perceived economic uncertainty. Demographic </w:t>
      </w:r>
      <w:r w:rsidR="006D3340">
        <w:rPr>
          <w:rFonts w:asciiTheme="minorHAnsi" w:hAnsiTheme="minorHAnsi" w:cstheme="minorHAnsi"/>
          <w:noProof w:val="0"/>
          <w:lang w:val="en-GB"/>
        </w:rPr>
        <w:t>R</w:t>
      </w:r>
      <w:r w:rsidRPr="0014445C">
        <w:rPr>
          <w:rFonts w:asciiTheme="minorHAnsi" w:hAnsiTheme="minorHAnsi" w:cstheme="minorHAnsi"/>
          <w:noProof w:val="0"/>
          <w:lang w:val="en-GB"/>
        </w:rPr>
        <w:t xml:space="preserve">esearch 36, 1549-1600.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10.4054/DemRes.2017.36.51</w:t>
      </w:r>
    </w:p>
    <w:p w14:paraId="26280F2B" w14:textId="445089C1"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Connolly, A., </w:t>
      </w:r>
      <w:proofErr w:type="spellStart"/>
      <w:r w:rsidRPr="0014445C">
        <w:rPr>
          <w:rFonts w:asciiTheme="minorHAnsi" w:hAnsiTheme="minorHAnsi" w:cstheme="minorHAnsi"/>
          <w:noProof w:val="0"/>
          <w:lang w:val="en-GB"/>
        </w:rPr>
        <w:t>Pietri</w:t>
      </w:r>
      <w:proofErr w:type="spellEnd"/>
      <w:r w:rsidRPr="0014445C">
        <w:rPr>
          <w:rFonts w:asciiTheme="minorHAnsi" w:hAnsiTheme="minorHAnsi" w:cstheme="minorHAnsi"/>
          <w:noProof w:val="0"/>
          <w:lang w:val="en-GB"/>
        </w:rPr>
        <w:t>, G., Yu, J., et al.</w:t>
      </w:r>
      <w:r w:rsidR="00631A72">
        <w:rPr>
          <w:rFonts w:asciiTheme="minorHAnsi" w:hAnsiTheme="minorHAnsi" w:cstheme="minorHAnsi"/>
          <w:noProof w:val="0"/>
          <w:lang w:val="en-GB"/>
        </w:rPr>
        <w:t>,</w:t>
      </w:r>
      <w:r w:rsidRPr="0014445C">
        <w:rPr>
          <w:rFonts w:asciiTheme="minorHAnsi" w:hAnsiTheme="minorHAnsi" w:cstheme="minorHAnsi"/>
          <w:noProof w:val="0"/>
          <w:lang w:val="en-GB"/>
        </w:rPr>
        <w:t xml:space="preserve"> 2014. Association between long-acting reversible contraceptive use, teenage pregnancy, and abortion rates in England. International Journal of Women's Health 6, 961-974.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10.2147/IJWH.S64431</w:t>
      </w:r>
    </w:p>
    <w:p w14:paraId="69DA9925" w14:textId="15B3F601"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Conrad, D., 2012. Deprivation-based inequalities in under-18 conception rates and the proportion of under-18 conceptions leading to abortion in England, 1998–2010. Journal of Public Health 34, 609-614.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10.1093/pubmed/fds031</w:t>
      </w:r>
    </w:p>
    <w:p w14:paraId="023206F3" w14:textId="77777777"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Crawford, C., Cribb, J., Kelly, E., 2013. </w:t>
      </w:r>
      <w:proofErr w:type="spellStart"/>
      <w:r w:rsidRPr="0014445C">
        <w:rPr>
          <w:rFonts w:asciiTheme="minorHAnsi" w:hAnsiTheme="minorHAnsi" w:cstheme="minorHAnsi"/>
          <w:noProof w:val="0"/>
          <w:lang w:val="en-GB"/>
        </w:rPr>
        <w:t>CAYT</w:t>
      </w:r>
      <w:proofErr w:type="spellEnd"/>
      <w:r w:rsidRPr="0014445C">
        <w:rPr>
          <w:rFonts w:asciiTheme="minorHAnsi" w:hAnsiTheme="minorHAnsi" w:cstheme="minorHAnsi"/>
          <w:noProof w:val="0"/>
          <w:lang w:val="en-GB"/>
        </w:rPr>
        <w:t xml:space="preserve"> Impact Study: Report No. 6 - Teenage Pregnancy in England. Centre for Analysis of Youth Transitions. Available at: https://www.ifs.org.uk/publications/6702. Accessed January </w:t>
      </w:r>
      <w:proofErr w:type="gramStart"/>
      <w:r w:rsidRPr="0014445C">
        <w:rPr>
          <w:rFonts w:asciiTheme="minorHAnsi" w:hAnsiTheme="minorHAnsi" w:cstheme="minorHAnsi"/>
          <w:noProof w:val="0"/>
          <w:lang w:val="en-GB"/>
        </w:rPr>
        <w:t>13</w:t>
      </w:r>
      <w:proofErr w:type="gramEnd"/>
      <w:r w:rsidRPr="0014445C">
        <w:rPr>
          <w:rFonts w:asciiTheme="minorHAnsi" w:hAnsiTheme="minorHAnsi" w:cstheme="minorHAnsi"/>
          <w:noProof w:val="0"/>
          <w:lang w:val="en-GB"/>
        </w:rPr>
        <w:t xml:space="preserve"> 2020. </w:t>
      </w:r>
    </w:p>
    <w:p w14:paraId="544137F9" w14:textId="238EA537"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Crawford, C., Greaves, E., 2015. Socio-economic, eth</w:t>
      </w:r>
      <w:r w:rsidR="006D3340">
        <w:rPr>
          <w:rFonts w:asciiTheme="minorHAnsi" w:hAnsiTheme="minorHAnsi" w:cstheme="minorHAnsi"/>
          <w:noProof w:val="0"/>
          <w:lang w:val="en-GB"/>
        </w:rPr>
        <w:t>n</w:t>
      </w:r>
      <w:r w:rsidRPr="0014445C">
        <w:rPr>
          <w:rFonts w:asciiTheme="minorHAnsi" w:hAnsiTheme="minorHAnsi" w:cstheme="minorHAnsi"/>
          <w:noProof w:val="0"/>
          <w:lang w:val="en-GB"/>
        </w:rPr>
        <w:t xml:space="preserve">ic and gender differences in HE participation: Department for Business Innovation &amp; Skills. Available at: </w:t>
      </w:r>
      <w:r w:rsidRPr="0014445C">
        <w:rPr>
          <w:rFonts w:asciiTheme="minorHAnsi" w:hAnsiTheme="minorHAnsi" w:cstheme="minorHAnsi"/>
          <w:noProof w:val="0"/>
          <w:lang w:val="en-GB"/>
        </w:rPr>
        <w:lastRenderedPageBreak/>
        <w:t xml:space="preserve">https://assets.publishing.service.gov.uk/government/uploads/system/uploads/attachment_data/file/474273/BIS-15-85-socio-economic-ethnic-and-gender-differences.pdf. Accessed February </w:t>
      </w:r>
      <w:proofErr w:type="gramStart"/>
      <w:r w:rsidRPr="0014445C">
        <w:rPr>
          <w:rFonts w:asciiTheme="minorHAnsi" w:hAnsiTheme="minorHAnsi" w:cstheme="minorHAnsi"/>
          <w:noProof w:val="0"/>
          <w:lang w:val="en-GB"/>
        </w:rPr>
        <w:t>11</w:t>
      </w:r>
      <w:proofErr w:type="gramEnd"/>
      <w:r w:rsidRPr="0014445C">
        <w:rPr>
          <w:rFonts w:asciiTheme="minorHAnsi" w:hAnsiTheme="minorHAnsi" w:cstheme="minorHAnsi"/>
          <w:noProof w:val="0"/>
          <w:lang w:val="en-GB"/>
        </w:rPr>
        <w:t xml:space="preserve"> 2019. </w:t>
      </w:r>
    </w:p>
    <w:p w14:paraId="650D1EED" w14:textId="77777777"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Dubuc, S., Haskey, J., 2010. Ethnicity and fertility in the United Kingdom. In: Stillwell </w:t>
      </w:r>
      <w:proofErr w:type="spellStart"/>
      <w:r w:rsidRPr="0014445C">
        <w:rPr>
          <w:rFonts w:asciiTheme="minorHAnsi" w:hAnsiTheme="minorHAnsi" w:cstheme="minorHAnsi"/>
          <w:noProof w:val="0"/>
          <w:lang w:val="en-GB"/>
        </w:rPr>
        <w:t>JCH</w:t>
      </w:r>
      <w:proofErr w:type="spellEnd"/>
      <w:r w:rsidRPr="0014445C">
        <w:rPr>
          <w:rFonts w:asciiTheme="minorHAnsi" w:hAnsiTheme="minorHAnsi" w:cstheme="minorHAnsi"/>
          <w:noProof w:val="0"/>
          <w:lang w:val="en-GB"/>
        </w:rPr>
        <w:t>, ed. Ethnicity and Integration. Springer, London, pp. 63-81.</w:t>
      </w:r>
    </w:p>
    <w:p w14:paraId="43686847" w14:textId="47312945" w:rsidR="00FE7D5A"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Fenton, KA., Mercer, CH., McManus, S., et al.</w:t>
      </w:r>
      <w:r w:rsidR="00631A72">
        <w:rPr>
          <w:rFonts w:asciiTheme="minorHAnsi" w:hAnsiTheme="minorHAnsi" w:cstheme="minorHAnsi"/>
          <w:noProof w:val="0"/>
          <w:lang w:val="en-GB"/>
        </w:rPr>
        <w:t>,</w:t>
      </w:r>
      <w:r w:rsidRPr="0014445C">
        <w:rPr>
          <w:rFonts w:asciiTheme="minorHAnsi" w:hAnsiTheme="minorHAnsi" w:cstheme="minorHAnsi"/>
          <w:noProof w:val="0"/>
          <w:lang w:val="en-GB"/>
        </w:rPr>
        <w:t xml:space="preserve"> 2005. Ethnic variations in sexual behaviour in Great Britain and risk of sexually transmitted infections: a probability survey. The Lancet 365, 1246-1255. DOI: </w:t>
      </w:r>
      <w:r w:rsidR="00F63201" w:rsidRPr="00F63201">
        <w:rPr>
          <w:rFonts w:asciiTheme="minorHAnsi" w:hAnsiTheme="minorHAnsi" w:cstheme="minorHAnsi"/>
          <w:noProof w:val="0"/>
          <w:lang w:val="en-GB"/>
        </w:rPr>
        <w:t>https://doi.org/10.1016/S0140-6736(05)74813-3</w:t>
      </w:r>
    </w:p>
    <w:p w14:paraId="59CC65CE" w14:textId="1CEBA4CD" w:rsidR="00F63201" w:rsidRPr="0014445C" w:rsidRDefault="00F63201" w:rsidP="00E00892">
      <w:pPr>
        <w:pStyle w:val="EndNoteBibliography"/>
        <w:spacing w:line="480" w:lineRule="auto"/>
        <w:rPr>
          <w:rFonts w:asciiTheme="minorHAnsi" w:hAnsiTheme="minorHAnsi" w:cstheme="minorHAnsi"/>
          <w:noProof w:val="0"/>
          <w:lang w:val="en-GB"/>
        </w:rPr>
      </w:pPr>
      <w:r>
        <w:rPr>
          <w:rFonts w:asciiTheme="minorHAnsi" w:hAnsiTheme="minorHAnsi" w:cstheme="minorHAnsi"/>
          <w:noProof w:val="0"/>
          <w:lang w:val="en-GB"/>
        </w:rPr>
        <w:t xml:space="preserve">Fox, </w:t>
      </w:r>
      <w:r w:rsidR="008B6BA4">
        <w:rPr>
          <w:rFonts w:asciiTheme="minorHAnsi" w:hAnsiTheme="minorHAnsi" w:cstheme="minorHAnsi"/>
          <w:noProof w:val="0"/>
          <w:lang w:val="en-GB"/>
        </w:rPr>
        <w:t>J., 2009</w:t>
      </w:r>
      <w:r w:rsidR="0051651C">
        <w:rPr>
          <w:rFonts w:asciiTheme="minorHAnsi" w:hAnsiTheme="minorHAnsi" w:cstheme="minorHAnsi"/>
          <w:noProof w:val="0"/>
          <w:lang w:val="en-GB"/>
        </w:rPr>
        <w:t>.</w:t>
      </w:r>
      <w:r w:rsidR="008B6BA4">
        <w:rPr>
          <w:rFonts w:asciiTheme="minorHAnsi" w:hAnsiTheme="minorHAnsi" w:cstheme="minorHAnsi"/>
          <w:noProof w:val="0"/>
          <w:lang w:val="en-GB"/>
        </w:rPr>
        <w:t xml:space="preserve"> Young people’s housing transitions.</w:t>
      </w:r>
      <w:r w:rsidR="00764382" w:rsidRPr="00764382">
        <w:rPr>
          <w:rFonts w:asciiTheme="minorHAnsi" w:hAnsiTheme="minorHAnsi" w:cstheme="minorHAnsi"/>
          <w:noProof w:val="0"/>
          <w:lang w:val="en-GB"/>
        </w:rPr>
        <w:t xml:space="preserve"> Joseph Rowntree</w:t>
      </w:r>
      <w:r w:rsidR="00764382">
        <w:rPr>
          <w:rFonts w:asciiTheme="minorHAnsi" w:hAnsiTheme="minorHAnsi" w:cstheme="minorHAnsi"/>
          <w:noProof w:val="0"/>
          <w:lang w:val="en-GB"/>
        </w:rPr>
        <w:t xml:space="preserve"> </w:t>
      </w:r>
      <w:r w:rsidR="00764382" w:rsidRPr="00764382">
        <w:rPr>
          <w:rFonts w:asciiTheme="minorHAnsi" w:hAnsiTheme="minorHAnsi" w:cstheme="minorHAnsi"/>
          <w:noProof w:val="0"/>
          <w:lang w:val="en-GB"/>
        </w:rPr>
        <w:t>Foundatio</w:t>
      </w:r>
      <w:r w:rsidR="001D0C86">
        <w:rPr>
          <w:rFonts w:asciiTheme="minorHAnsi" w:hAnsiTheme="minorHAnsi" w:cstheme="minorHAnsi"/>
          <w:noProof w:val="0"/>
          <w:lang w:val="en-GB"/>
        </w:rPr>
        <w:t xml:space="preserve">n, York. Available at: </w:t>
      </w:r>
      <w:r w:rsidR="00C175B0" w:rsidRPr="00791AC3">
        <w:rPr>
          <w:rFonts w:asciiTheme="minorHAnsi" w:hAnsiTheme="minorHAnsi" w:cstheme="minorHAnsi"/>
          <w:noProof w:val="0"/>
          <w:lang w:val="en-GB"/>
        </w:rPr>
        <w:t>https://www.jrf.org.uk/report/young-peoples-housing-transitions</w:t>
      </w:r>
      <w:r w:rsidR="00C175B0">
        <w:rPr>
          <w:rFonts w:asciiTheme="minorHAnsi" w:hAnsiTheme="minorHAnsi" w:cstheme="minorHAnsi"/>
          <w:noProof w:val="0"/>
          <w:lang w:val="en-GB"/>
        </w:rPr>
        <w:t>. Accessed</w:t>
      </w:r>
      <w:r w:rsidR="00C363DD">
        <w:rPr>
          <w:rFonts w:asciiTheme="minorHAnsi" w:hAnsiTheme="minorHAnsi" w:cstheme="minorHAnsi"/>
          <w:noProof w:val="0"/>
          <w:lang w:val="en-GB"/>
        </w:rPr>
        <w:t xml:space="preserve"> September </w:t>
      </w:r>
      <w:proofErr w:type="gramStart"/>
      <w:r w:rsidR="00C363DD">
        <w:rPr>
          <w:rFonts w:asciiTheme="minorHAnsi" w:hAnsiTheme="minorHAnsi" w:cstheme="minorHAnsi"/>
          <w:noProof w:val="0"/>
          <w:lang w:val="en-GB"/>
        </w:rPr>
        <w:t>1</w:t>
      </w:r>
      <w:proofErr w:type="gramEnd"/>
      <w:r w:rsidR="00C363DD">
        <w:rPr>
          <w:rFonts w:asciiTheme="minorHAnsi" w:hAnsiTheme="minorHAnsi" w:cstheme="minorHAnsi"/>
          <w:noProof w:val="0"/>
          <w:lang w:val="en-GB"/>
        </w:rPr>
        <w:t xml:space="preserve"> 2020. </w:t>
      </w:r>
    </w:p>
    <w:p w14:paraId="17754124" w14:textId="4AA9E5BD"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Girma, S., Paton, D., 2015. Is education the best contraception: The case of teenage pregnancy in England? Social Science &amp; Medicine 131, 1-9.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10.1016/j.socscimed.2015.02.040</w:t>
      </w:r>
    </w:p>
    <w:p w14:paraId="0850B149" w14:textId="7BBA6749"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Goldstein, J., </w:t>
      </w:r>
      <w:proofErr w:type="spellStart"/>
      <w:r w:rsidRPr="0014445C">
        <w:rPr>
          <w:rFonts w:asciiTheme="minorHAnsi" w:hAnsiTheme="minorHAnsi" w:cstheme="minorHAnsi"/>
          <w:noProof w:val="0"/>
          <w:lang w:val="en-GB"/>
        </w:rPr>
        <w:t>Kreyenfeld</w:t>
      </w:r>
      <w:proofErr w:type="spellEnd"/>
      <w:r w:rsidRPr="0014445C">
        <w:rPr>
          <w:rFonts w:asciiTheme="minorHAnsi" w:hAnsiTheme="minorHAnsi" w:cstheme="minorHAnsi"/>
          <w:noProof w:val="0"/>
          <w:lang w:val="en-GB"/>
        </w:rPr>
        <w:t xml:space="preserve">, M., </w:t>
      </w:r>
      <w:proofErr w:type="spellStart"/>
      <w:r w:rsidRPr="0014445C">
        <w:rPr>
          <w:rFonts w:asciiTheme="minorHAnsi" w:hAnsiTheme="minorHAnsi" w:cstheme="minorHAnsi"/>
          <w:noProof w:val="0"/>
          <w:lang w:val="en-GB"/>
        </w:rPr>
        <w:t>Jasilioniene</w:t>
      </w:r>
      <w:proofErr w:type="spellEnd"/>
      <w:r w:rsidRPr="0014445C">
        <w:rPr>
          <w:rFonts w:asciiTheme="minorHAnsi" w:hAnsiTheme="minorHAnsi" w:cstheme="minorHAnsi"/>
          <w:noProof w:val="0"/>
          <w:lang w:val="en-GB"/>
        </w:rPr>
        <w:t>, A., et al.</w:t>
      </w:r>
      <w:r w:rsidR="00631A72">
        <w:rPr>
          <w:rFonts w:asciiTheme="minorHAnsi" w:hAnsiTheme="minorHAnsi" w:cstheme="minorHAnsi"/>
          <w:noProof w:val="0"/>
          <w:lang w:val="en-GB"/>
        </w:rPr>
        <w:t>,</w:t>
      </w:r>
      <w:r w:rsidRPr="0014445C">
        <w:rPr>
          <w:rFonts w:asciiTheme="minorHAnsi" w:hAnsiTheme="minorHAnsi" w:cstheme="minorHAnsi"/>
          <w:noProof w:val="0"/>
          <w:lang w:val="en-GB"/>
        </w:rPr>
        <w:t xml:space="preserve"> 2013. Fertility reactions to the" Great Recession" in Europe: Recent evidence from order-specific data. Demographic Research 29, 85-104.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10.4054/DemRes.2013.29.4</w:t>
      </w:r>
    </w:p>
    <w:p w14:paraId="1AAE01A2" w14:textId="6FE9DF91"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Greaves, E., Macmillan, L., </w:t>
      </w:r>
      <w:proofErr w:type="spellStart"/>
      <w:r w:rsidRPr="0014445C">
        <w:rPr>
          <w:rFonts w:asciiTheme="minorHAnsi" w:hAnsiTheme="minorHAnsi" w:cstheme="minorHAnsi"/>
          <w:noProof w:val="0"/>
          <w:lang w:val="en-GB"/>
        </w:rPr>
        <w:t>Sibieta</w:t>
      </w:r>
      <w:proofErr w:type="spellEnd"/>
      <w:r w:rsidRPr="0014445C">
        <w:rPr>
          <w:rFonts w:asciiTheme="minorHAnsi" w:hAnsiTheme="minorHAnsi" w:cstheme="minorHAnsi"/>
          <w:noProof w:val="0"/>
          <w:lang w:val="en-GB"/>
        </w:rPr>
        <w:t>, L.</w:t>
      </w:r>
      <w:r w:rsidR="00800413">
        <w:rPr>
          <w:rFonts w:asciiTheme="minorHAnsi" w:hAnsiTheme="minorHAnsi" w:cstheme="minorHAnsi"/>
          <w:noProof w:val="0"/>
          <w:lang w:val="en-GB"/>
        </w:rPr>
        <w:t>.</w:t>
      </w:r>
      <w:r w:rsidRPr="0014445C">
        <w:rPr>
          <w:rFonts w:asciiTheme="minorHAnsi" w:hAnsiTheme="minorHAnsi" w:cstheme="minorHAnsi"/>
          <w:noProof w:val="0"/>
          <w:lang w:val="en-GB"/>
        </w:rPr>
        <w:t xml:space="preserve">, 2014. Lessons from London schools for attainment gaps and social mobility: Social Mobility &amp; Child Poverty Commission. Available at: https://www.ifs.org.uk/publications/7243. Accessed November </w:t>
      </w:r>
      <w:proofErr w:type="gramStart"/>
      <w:r w:rsidRPr="0014445C">
        <w:rPr>
          <w:rFonts w:asciiTheme="minorHAnsi" w:hAnsiTheme="minorHAnsi" w:cstheme="minorHAnsi"/>
          <w:noProof w:val="0"/>
          <w:lang w:val="en-GB"/>
        </w:rPr>
        <w:t>21</w:t>
      </w:r>
      <w:proofErr w:type="gramEnd"/>
      <w:r w:rsidRPr="0014445C">
        <w:rPr>
          <w:rFonts w:asciiTheme="minorHAnsi" w:hAnsiTheme="minorHAnsi" w:cstheme="minorHAnsi"/>
          <w:noProof w:val="0"/>
          <w:lang w:val="en-GB"/>
        </w:rPr>
        <w:t xml:space="preserve"> 2019. </w:t>
      </w:r>
    </w:p>
    <w:p w14:paraId="20815B9A" w14:textId="4474F803" w:rsidR="00FE7D5A"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Lindberg, LD., Santelli, JS., Desai, S., 2018 Changing patterns of contraceptive use and the decline in rates of pregnancy and birth among US adolescents, 2007–2014. Journal of Adolescent Health 63, 253-256. DOI: </w:t>
      </w:r>
      <w:r w:rsidR="00B738B9" w:rsidRPr="00AF38EE">
        <w:rPr>
          <w:rFonts w:asciiTheme="minorHAnsi" w:hAnsiTheme="minorHAnsi" w:cstheme="minorHAnsi"/>
          <w:noProof w:val="0"/>
          <w:lang w:val="en-GB"/>
        </w:rPr>
        <w:t>https://doi.org/10.1016/j.jadohealth.2018.05.017</w:t>
      </w:r>
    </w:p>
    <w:p w14:paraId="027AB85A" w14:textId="73177A16" w:rsidR="00E06C09" w:rsidRPr="00E06C09" w:rsidRDefault="00B738B9" w:rsidP="00E00892">
      <w:pPr>
        <w:pStyle w:val="EndNoteBibliography"/>
        <w:spacing w:line="480" w:lineRule="auto"/>
        <w:rPr>
          <w:rFonts w:asciiTheme="minorHAnsi" w:hAnsiTheme="minorHAnsi" w:cstheme="minorHAnsi"/>
          <w:noProof w:val="0"/>
          <w:lang w:val="en-GB"/>
        </w:rPr>
      </w:pPr>
      <w:r>
        <w:rPr>
          <w:rFonts w:asciiTheme="minorHAnsi" w:hAnsiTheme="minorHAnsi" w:cstheme="minorHAnsi"/>
          <w:noProof w:val="0"/>
          <w:lang w:val="en-GB"/>
        </w:rPr>
        <w:t xml:space="preserve">McLennan, D., Noble, S., </w:t>
      </w:r>
      <w:r w:rsidR="00575A71">
        <w:rPr>
          <w:rFonts w:asciiTheme="minorHAnsi" w:hAnsiTheme="minorHAnsi" w:cstheme="minorHAnsi"/>
          <w:noProof w:val="0"/>
          <w:lang w:val="en-GB"/>
        </w:rPr>
        <w:t xml:space="preserve">Plunkett, E., et al., 2019. </w:t>
      </w:r>
      <w:r w:rsidR="00E06C09" w:rsidRPr="00E06C09">
        <w:rPr>
          <w:rFonts w:asciiTheme="minorHAnsi" w:hAnsiTheme="minorHAnsi" w:cstheme="minorHAnsi"/>
          <w:noProof w:val="0"/>
          <w:lang w:val="en-GB"/>
        </w:rPr>
        <w:t>The English Indices of Deprivation 2019</w:t>
      </w:r>
      <w:r w:rsidR="00E06C09">
        <w:rPr>
          <w:rFonts w:asciiTheme="minorHAnsi" w:hAnsiTheme="minorHAnsi" w:cstheme="minorHAnsi"/>
          <w:noProof w:val="0"/>
          <w:lang w:val="en-GB"/>
        </w:rPr>
        <w:t xml:space="preserve">: </w:t>
      </w:r>
    </w:p>
    <w:p w14:paraId="58DE269E" w14:textId="78019BA4" w:rsidR="00B738B9" w:rsidRPr="0014445C" w:rsidRDefault="00E06C09" w:rsidP="00E00892">
      <w:pPr>
        <w:pStyle w:val="EndNoteBibliography"/>
        <w:spacing w:after="0" w:line="480" w:lineRule="auto"/>
        <w:rPr>
          <w:rFonts w:asciiTheme="minorHAnsi" w:hAnsiTheme="minorHAnsi" w:cstheme="minorHAnsi"/>
          <w:noProof w:val="0"/>
          <w:lang w:val="en-GB"/>
        </w:rPr>
      </w:pPr>
      <w:r w:rsidRPr="00E06C09">
        <w:rPr>
          <w:rFonts w:asciiTheme="minorHAnsi" w:hAnsiTheme="minorHAnsi" w:cstheme="minorHAnsi"/>
          <w:noProof w:val="0"/>
          <w:lang w:val="en-GB"/>
        </w:rPr>
        <w:t>Technical report</w:t>
      </w:r>
      <w:r>
        <w:rPr>
          <w:rFonts w:asciiTheme="minorHAnsi" w:hAnsiTheme="minorHAnsi" w:cstheme="minorHAnsi"/>
          <w:noProof w:val="0"/>
          <w:lang w:val="en-GB"/>
        </w:rPr>
        <w:t xml:space="preserve">. </w:t>
      </w:r>
      <w:r w:rsidR="00575A71">
        <w:rPr>
          <w:rFonts w:asciiTheme="minorHAnsi" w:hAnsiTheme="minorHAnsi" w:cstheme="minorHAnsi"/>
          <w:noProof w:val="0"/>
          <w:lang w:val="en-GB"/>
        </w:rPr>
        <w:t>Ministry of Housing, Communities and Local Government</w:t>
      </w:r>
      <w:r w:rsidR="00EB1685">
        <w:rPr>
          <w:rFonts w:asciiTheme="minorHAnsi" w:hAnsiTheme="minorHAnsi" w:cstheme="minorHAnsi"/>
          <w:noProof w:val="0"/>
          <w:lang w:val="en-GB"/>
        </w:rPr>
        <w:t xml:space="preserve">. Available at: </w:t>
      </w:r>
      <w:r w:rsidR="00EB1685" w:rsidRPr="00791AC3">
        <w:rPr>
          <w:rFonts w:asciiTheme="minorHAnsi" w:hAnsiTheme="minorHAnsi" w:cstheme="minorHAnsi"/>
          <w:noProof w:val="0"/>
          <w:lang w:val="en-GB"/>
        </w:rPr>
        <w:t>https://www.gov.uk/government/collections/english-indices-of-deprivation</w:t>
      </w:r>
      <w:r w:rsidR="00EB1685">
        <w:rPr>
          <w:rFonts w:asciiTheme="minorHAnsi" w:hAnsiTheme="minorHAnsi" w:cstheme="minorHAnsi"/>
          <w:noProof w:val="0"/>
          <w:lang w:val="en-GB"/>
        </w:rPr>
        <w:t xml:space="preserve">. Accessed </w:t>
      </w:r>
      <w:r>
        <w:rPr>
          <w:rFonts w:asciiTheme="minorHAnsi" w:hAnsiTheme="minorHAnsi" w:cstheme="minorHAnsi"/>
          <w:noProof w:val="0"/>
          <w:lang w:val="en-GB"/>
        </w:rPr>
        <w:t xml:space="preserve">September </w:t>
      </w:r>
      <w:proofErr w:type="gramStart"/>
      <w:r>
        <w:rPr>
          <w:rFonts w:asciiTheme="minorHAnsi" w:hAnsiTheme="minorHAnsi" w:cstheme="minorHAnsi"/>
          <w:noProof w:val="0"/>
          <w:lang w:val="en-GB"/>
        </w:rPr>
        <w:t>2</w:t>
      </w:r>
      <w:proofErr w:type="gramEnd"/>
      <w:r>
        <w:rPr>
          <w:rFonts w:asciiTheme="minorHAnsi" w:hAnsiTheme="minorHAnsi" w:cstheme="minorHAnsi"/>
          <w:noProof w:val="0"/>
          <w:lang w:val="en-GB"/>
        </w:rPr>
        <w:t xml:space="preserve"> 2020. </w:t>
      </w:r>
    </w:p>
    <w:p w14:paraId="1DA3DBD1" w14:textId="4737103C" w:rsidR="00FE7D5A"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McLeod, A., 2001. Changing patterns of teenage pregnancy: </w:t>
      </w:r>
      <w:proofErr w:type="gramStart"/>
      <w:r w:rsidRPr="0014445C">
        <w:rPr>
          <w:rFonts w:asciiTheme="minorHAnsi" w:hAnsiTheme="minorHAnsi" w:cstheme="minorHAnsi"/>
          <w:noProof w:val="0"/>
          <w:lang w:val="en-GB"/>
        </w:rPr>
        <w:t>population based</w:t>
      </w:r>
      <w:proofErr w:type="gramEnd"/>
      <w:r w:rsidRPr="0014445C">
        <w:rPr>
          <w:rFonts w:asciiTheme="minorHAnsi" w:hAnsiTheme="minorHAnsi" w:cstheme="minorHAnsi"/>
          <w:noProof w:val="0"/>
          <w:lang w:val="en-GB"/>
        </w:rPr>
        <w:t xml:space="preserve"> study of small areas. </w:t>
      </w:r>
      <w:proofErr w:type="spellStart"/>
      <w:r w:rsidRPr="0014445C">
        <w:rPr>
          <w:rFonts w:asciiTheme="minorHAnsi" w:hAnsiTheme="minorHAnsi" w:cstheme="minorHAnsi"/>
          <w:noProof w:val="0"/>
          <w:lang w:val="en-GB"/>
        </w:rPr>
        <w:t>BMJ</w:t>
      </w:r>
      <w:proofErr w:type="spellEnd"/>
      <w:r w:rsidRPr="0014445C">
        <w:rPr>
          <w:rFonts w:asciiTheme="minorHAnsi" w:hAnsiTheme="minorHAnsi" w:cstheme="minorHAnsi"/>
          <w:noProof w:val="0"/>
          <w:lang w:val="en-GB"/>
        </w:rPr>
        <w:t xml:space="preserve"> 323, 199-203. DOI: </w:t>
      </w:r>
      <w:r w:rsidR="00626A67" w:rsidRPr="00626A67">
        <w:rPr>
          <w:rFonts w:asciiTheme="minorHAnsi" w:hAnsiTheme="minorHAnsi" w:cstheme="minorHAnsi"/>
          <w:noProof w:val="0"/>
          <w:lang w:val="en-GB"/>
        </w:rPr>
        <w:t>https://doi.org/10.1136/bmj.323.7306.199</w:t>
      </w:r>
    </w:p>
    <w:p w14:paraId="3FCC3254" w14:textId="07A0D010" w:rsidR="006E0F4C" w:rsidRPr="0014445C" w:rsidRDefault="006E0F4C" w:rsidP="00E00892">
      <w:pPr>
        <w:pStyle w:val="EndNoteBibliography"/>
        <w:spacing w:after="0" w:line="480" w:lineRule="auto"/>
        <w:rPr>
          <w:rFonts w:asciiTheme="minorHAnsi" w:hAnsiTheme="minorHAnsi" w:cstheme="minorHAnsi"/>
          <w:noProof w:val="0"/>
          <w:lang w:val="en-GB"/>
        </w:rPr>
      </w:pPr>
      <w:r>
        <w:rPr>
          <w:rFonts w:asciiTheme="minorHAnsi" w:hAnsiTheme="minorHAnsi" w:cstheme="minorHAnsi"/>
          <w:noProof w:val="0"/>
          <w:lang w:val="en-GB"/>
        </w:rPr>
        <w:lastRenderedPageBreak/>
        <w:t xml:space="preserve">Neels, K., Murphy, M., </w:t>
      </w:r>
      <w:proofErr w:type="spellStart"/>
      <w:r>
        <w:rPr>
          <w:rFonts w:asciiTheme="minorHAnsi" w:hAnsiTheme="minorHAnsi" w:cstheme="minorHAnsi"/>
          <w:noProof w:val="0"/>
          <w:lang w:val="en-GB"/>
        </w:rPr>
        <w:t>Chrolchain</w:t>
      </w:r>
      <w:proofErr w:type="spellEnd"/>
      <w:r>
        <w:rPr>
          <w:rFonts w:asciiTheme="minorHAnsi" w:hAnsiTheme="minorHAnsi" w:cstheme="minorHAnsi"/>
          <w:noProof w:val="0"/>
          <w:lang w:val="en-GB"/>
        </w:rPr>
        <w:t>, M., et al.</w:t>
      </w:r>
      <w:r w:rsidR="005C32D8">
        <w:rPr>
          <w:rFonts w:asciiTheme="minorHAnsi" w:hAnsiTheme="minorHAnsi" w:cstheme="minorHAnsi"/>
          <w:noProof w:val="0"/>
          <w:lang w:val="en-GB"/>
        </w:rPr>
        <w:t>,</w:t>
      </w:r>
      <w:r>
        <w:rPr>
          <w:rFonts w:asciiTheme="minorHAnsi" w:hAnsiTheme="minorHAnsi" w:cstheme="minorHAnsi"/>
          <w:noProof w:val="0"/>
          <w:lang w:val="en-GB"/>
        </w:rPr>
        <w:t xml:space="preserve"> 2017</w:t>
      </w:r>
      <w:r w:rsidR="00575A71">
        <w:rPr>
          <w:rFonts w:asciiTheme="minorHAnsi" w:hAnsiTheme="minorHAnsi" w:cstheme="minorHAnsi"/>
          <w:noProof w:val="0"/>
          <w:lang w:val="en-GB"/>
        </w:rPr>
        <w:t>.</w:t>
      </w:r>
      <w:r>
        <w:rPr>
          <w:rFonts w:asciiTheme="minorHAnsi" w:hAnsiTheme="minorHAnsi" w:cstheme="minorHAnsi"/>
          <w:noProof w:val="0"/>
          <w:lang w:val="en-GB"/>
        </w:rPr>
        <w:t xml:space="preserve"> Rising Educational Participation and the Trend to Later Childbearing. Population and Development Review 43, 667-693. DOI: </w:t>
      </w:r>
      <w:r w:rsidRPr="0014445C">
        <w:rPr>
          <w:rFonts w:asciiTheme="minorHAnsi" w:hAnsiTheme="minorHAnsi" w:cstheme="minorHAnsi"/>
          <w:noProof w:val="0"/>
          <w:lang w:val="en-GB"/>
        </w:rPr>
        <w:t>https://doi.org/</w:t>
      </w:r>
      <w:r w:rsidRPr="00626A67">
        <w:rPr>
          <w:rFonts w:asciiTheme="minorHAnsi" w:hAnsiTheme="minorHAnsi" w:cstheme="minorHAnsi"/>
          <w:noProof w:val="0"/>
          <w:lang w:val="en-GB"/>
        </w:rPr>
        <w:t>10.1111/padr.12112</w:t>
      </w:r>
    </w:p>
    <w:p w14:paraId="1C9C66D8" w14:textId="170A9388" w:rsidR="005968C5" w:rsidRDefault="005968C5" w:rsidP="00E00892">
      <w:pPr>
        <w:pStyle w:val="EndNoteBibliography"/>
        <w:spacing w:after="0" w:line="480" w:lineRule="auto"/>
        <w:rPr>
          <w:rFonts w:asciiTheme="minorHAnsi" w:hAnsiTheme="minorHAnsi" w:cstheme="minorHAnsi"/>
          <w:noProof w:val="0"/>
          <w:lang w:val="en-GB"/>
        </w:rPr>
      </w:pPr>
      <w:proofErr w:type="spellStart"/>
      <w:r w:rsidRPr="005968C5">
        <w:rPr>
          <w:rFonts w:asciiTheme="minorHAnsi" w:hAnsiTheme="minorHAnsi" w:cstheme="minorHAnsi"/>
          <w:noProof w:val="0"/>
          <w:lang w:val="en-GB"/>
        </w:rPr>
        <w:t>Paccoud</w:t>
      </w:r>
      <w:proofErr w:type="spellEnd"/>
      <w:r>
        <w:rPr>
          <w:rFonts w:asciiTheme="minorHAnsi" w:hAnsiTheme="minorHAnsi" w:cstheme="minorHAnsi"/>
          <w:noProof w:val="0"/>
          <w:lang w:val="en-GB"/>
        </w:rPr>
        <w:t xml:space="preserve">, A., </w:t>
      </w:r>
      <w:proofErr w:type="spellStart"/>
      <w:r>
        <w:rPr>
          <w:rFonts w:asciiTheme="minorHAnsi" w:hAnsiTheme="minorHAnsi" w:cstheme="minorHAnsi"/>
          <w:noProof w:val="0"/>
          <w:lang w:val="en-GB"/>
        </w:rPr>
        <w:t>Niesseron</w:t>
      </w:r>
      <w:proofErr w:type="spellEnd"/>
      <w:r>
        <w:rPr>
          <w:rFonts w:asciiTheme="minorHAnsi" w:hAnsiTheme="minorHAnsi" w:cstheme="minorHAnsi"/>
          <w:noProof w:val="0"/>
          <w:lang w:val="en-GB"/>
        </w:rPr>
        <w:t>, P., Mace, A., 2020</w:t>
      </w:r>
      <w:r w:rsidR="00A85CCD">
        <w:rPr>
          <w:rFonts w:asciiTheme="minorHAnsi" w:hAnsiTheme="minorHAnsi" w:cstheme="minorHAnsi"/>
          <w:noProof w:val="0"/>
          <w:lang w:val="en-GB"/>
        </w:rPr>
        <w:t>. The role of ethnic change in the closing of rent gaps thorough by-to-let gentrification. Urban Geography</w:t>
      </w:r>
      <w:r w:rsidR="00461319">
        <w:rPr>
          <w:rFonts w:asciiTheme="minorHAnsi" w:hAnsiTheme="minorHAnsi" w:cstheme="minorHAnsi"/>
          <w:noProof w:val="0"/>
          <w:lang w:val="en-GB"/>
        </w:rPr>
        <w:t xml:space="preserve">. DOI: </w:t>
      </w:r>
      <w:r w:rsidR="00461319" w:rsidRPr="00461319">
        <w:rPr>
          <w:rFonts w:asciiTheme="minorHAnsi" w:hAnsiTheme="minorHAnsi" w:cstheme="minorHAnsi"/>
          <w:noProof w:val="0"/>
          <w:lang w:val="en-GB"/>
        </w:rPr>
        <w:t>https://doi.org/10.1080/02723638.2019.1709755</w:t>
      </w:r>
    </w:p>
    <w:p w14:paraId="3234B599" w14:textId="50DCDA22"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Paton, D., Wright, L., 2017. The Effect of Spending Cuts on Teen Pregnancy. Journal of Health Economics 54,</w:t>
      </w:r>
      <w:r w:rsidR="006D3340">
        <w:rPr>
          <w:rFonts w:asciiTheme="minorHAnsi" w:hAnsiTheme="minorHAnsi" w:cstheme="minorHAnsi"/>
          <w:noProof w:val="0"/>
          <w:lang w:val="en-GB"/>
        </w:rPr>
        <w:t xml:space="preserve"> </w:t>
      </w:r>
      <w:r w:rsidRPr="0014445C">
        <w:rPr>
          <w:rFonts w:asciiTheme="minorHAnsi" w:hAnsiTheme="minorHAnsi" w:cstheme="minorHAnsi"/>
          <w:noProof w:val="0"/>
          <w:lang w:val="en-GB"/>
        </w:rPr>
        <w:t xml:space="preserve">135-146.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10.1016/j.jhealeco.2017.05.002</w:t>
      </w:r>
    </w:p>
    <w:p w14:paraId="2B276BCD" w14:textId="43B751A4"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Santelli, JS., Lindberg, LD., Finer, LB., et al.</w:t>
      </w:r>
      <w:r w:rsidR="004805C2">
        <w:rPr>
          <w:rFonts w:asciiTheme="minorHAnsi" w:hAnsiTheme="minorHAnsi" w:cstheme="minorHAnsi"/>
          <w:noProof w:val="0"/>
          <w:lang w:val="en-GB"/>
        </w:rPr>
        <w:t>,</w:t>
      </w:r>
      <w:r w:rsidRPr="0014445C">
        <w:rPr>
          <w:rFonts w:asciiTheme="minorHAnsi" w:hAnsiTheme="minorHAnsi" w:cstheme="minorHAnsi"/>
          <w:noProof w:val="0"/>
          <w:lang w:val="en-GB"/>
        </w:rPr>
        <w:t xml:space="preserve"> 2007. Explaining recent declines in adolescent pregnancy in the United States: the contribution of abstinence and improved contraceptive use. American Journal of Public Health 97, 150-156.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10.2105/AJPH.2006.089169</w:t>
      </w:r>
    </w:p>
    <w:p w14:paraId="225F5A50" w14:textId="7482A4DA"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Scott, RH., Wellings, K., Lindberg, L</w:t>
      </w:r>
      <w:r w:rsidR="004805C2">
        <w:rPr>
          <w:rFonts w:asciiTheme="minorHAnsi" w:hAnsiTheme="minorHAnsi" w:cstheme="minorHAnsi"/>
          <w:noProof w:val="0"/>
          <w:lang w:val="en-GB"/>
        </w:rPr>
        <w:t>.</w:t>
      </w:r>
      <w:r w:rsidRPr="0014445C">
        <w:rPr>
          <w:rFonts w:asciiTheme="minorHAnsi" w:hAnsiTheme="minorHAnsi" w:cstheme="minorHAnsi"/>
          <w:noProof w:val="0"/>
          <w:lang w:val="en-GB"/>
        </w:rPr>
        <w:t xml:space="preserve">, 2020. Adolescent Sexual Activity, Contraceptive Use, and Pregnancy in Britain and the US: A Multidecade Comparison. Journal of Adolescent Health 66, 582-588. DOI: </w:t>
      </w:r>
      <w:r w:rsidR="008B45A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10.1016/j.jadohealth.2019.11.310</w:t>
      </w:r>
    </w:p>
    <w:p w14:paraId="3F186370" w14:textId="29080996" w:rsidR="00FE7D5A"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Strand, S., 2015. Ethnicity, </w:t>
      </w:r>
      <w:proofErr w:type="gramStart"/>
      <w:r w:rsidRPr="0014445C">
        <w:rPr>
          <w:rFonts w:asciiTheme="minorHAnsi" w:hAnsiTheme="minorHAnsi" w:cstheme="minorHAnsi"/>
          <w:noProof w:val="0"/>
          <w:lang w:val="en-GB"/>
        </w:rPr>
        <w:t>deprivation</w:t>
      </w:r>
      <w:proofErr w:type="gramEnd"/>
      <w:r w:rsidRPr="0014445C">
        <w:rPr>
          <w:rFonts w:asciiTheme="minorHAnsi" w:hAnsiTheme="minorHAnsi" w:cstheme="minorHAnsi"/>
          <w:noProof w:val="0"/>
          <w:lang w:val="en-GB"/>
        </w:rPr>
        <w:t xml:space="preserve"> and educational achievement at age 16 in England: trends over time: Department for Education. Available at: https://assets.publishing.service.gov.uk/government/uploads/system/uploads/attachment_data/file/439867/RR439B-Ethnic_minorities_and_attainment_the_effects_of_poverty_annex.pdf.pdf. Accessed April 1, 2019.</w:t>
      </w:r>
    </w:p>
    <w:p w14:paraId="34648FAB" w14:textId="17639ADB" w:rsidR="009C4969" w:rsidRPr="0014445C" w:rsidRDefault="009C4969" w:rsidP="00E00892">
      <w:pPr>
        <w:pStyle w:val="EndNoteBibliography"/>
        <w:spacing w:line="480" w:lineRule="auto"/>
        <w:rPr>
          <w:rFonts w:asciiTheme="minorHAnsi" w:hAnsiTheme="minorHAnsi" w:cstheme="minorHAnsi"/>
          <w:noProof w:val="0"/>
          <w:lang w:val="en-GB"/>
        </w:rPr>
      </w:pPr>
      <w:r>
        <w:rPr>
          <w:rFonts w:asciiTheme="minorHAnsi" w:hAnsiTheme="minorHAnsi" w:cstheme="minorHAnsi"/>
          <w:noProof w:val="0"/>
          <w:lang w:val="en-GB"/>
        </w:rPr>
        <w:t>Tommy’s</w:t>
      </w:r>
      <w:r w:rsidR="004805C2">
        <w:rPr>
          <w:rFonts w:asciiTheme="minorHAnsi" w:hAnsiTheme="minorHAnsi" w:cstheme="minorHAnsi"/>
          <w:noProof w:val="0"/>
          <w:lang w:val="en-GB"/>
        </w:rPr>
        <w:t xml:space="preserve">., </w:t>
      </w:r>
      <w:r>
        <w:rPr>
          <w:rFonts w:asciiTheme="minorHAnsi" w:hAnsiTheme="minorHAnsi" w:cstheme="minorHAnsi"/>
          <w:noProof w:val="0"/>
          <w:lang w:val="en-GB"/>
        </w:rPr>
        <w:t xml:space="preserve">2020 </w:t>
      </w:r>
      <w:r w:rsidRPr="009C4969">
        <w:rPr>
          <w:rFonts w:asciiTheme="minorHAnsi" w:hAnsiTheme="minorHAnsi" w:cstheme="minorHAnsi"/>
          <w:noProof w:val="0"/>
          <w:lang w:val="en-GB"/>
        </w:rPr>
        <w:t>Pregnancy loss statistics</w:t>
      </w:r>
      <w:r>
        <w:rPr>
          <w:rFonts w:asciiTheme="minorHAnsi" w:hAnsiTheme="minorHAnsi" w:cstheme="minorHAnsi"/>
          <w:noProof w:val="0"/>
          <w:lang w:val="en-GB"/>
        </w:rPr>
        <w:t xml:space="preserve">: </w:t>
      </w:r>
      <w:r w:rsidRPr="009C4969">
        <w:rPr>
          <w:rFonts w:asciiTheme="minorHAnsi" w:hAnsiTheme="minorHAnsi" w:cstheme="minorHAnsi"/>
          <w:noProof w:val="0"/>
          <w:lang w:val="en-GB"/>
        </w:rPr>
        <w:t>Statistics about pregnancy loss and complications in the UK.</w:t>
      </w:r>
      <w:r>
        <w:rPr>
          <w:rFonts w:asciiTheme="minorHAnsi" w:hAnsiTheme="minorHAnsi" w:cstheme="minorHAnsi"/>
          <w:noProof w:val="0"/>
          <w:lang w:val="en-GB"/>
        </w:rPr>
        <w:t xml:space="preserve"> Available at: </w:t>
      </w:r>
      <w:r w:rsidRPr="00791AC3">
        <w:rPr>
          <w:rFonts w:asciiTheme="minorHAnsi" w:hAnsiTheme="minorHAnsi" w:cstheme="minorHAnsi"/>
          <w:noProof w:val="0"/>
          <w:lang w:val="en-GB"/>
        </w:rPr>
        <w:t>https://www.tommys.org/our-organisation/our-research/pregnancy-loss-statistics</w:t>
      </w:r>
      <w:r>
        <w:rPr>
          <w:rFonts w:asciiTheme="minorHAnsi" w:hAnsiTheme="minorHAnsi" w:cstheme="minorHAnsi"/>
          <w:noProof w:val="0"/>
          <w:lang w:val="en-GB"/>
        </w:rPr>
        <w:t xml:space="preserve">. Accessed August </w:t>
      </w:r>
      <w:proofErr w:type="gramStart"/>
      <w:r>
        <w:rPr>
          <w:rFonts w:asciiTheme="minorHAnsi" w:hAnsiTheme="minorHAnsi" w:cstheme="minorHAnsi"/>
          <w:noProof w:val="0"/>
          <w:lang w:val="en-GB"/>
        </w:rPr>
        <w:t>20</w:t>
      </w:r>
      <w:proofErr w:type="gramEnd"/>
      <w:r>
        <w:rPr>
          <w:rFonts w:asciiTheme="minorHAnsi" w:hAnsiTheme="minorHAnsi" w:cstheme="minorHAnsi"/>
          <w:noProof w:val="0"/>
          <w:lang w:val="en-GB"/>
        </w:rPr>
        <w:t xml:space="preserve"> 2020. </w:t>
      </w:r>
    </w:p>
    <w:p w14:paraId="25AB9841" w14:textId="77777777"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Universities UK., 2018. Patterns and trends in UK higher education 2018. Available at: https://www.universitiesuk.ac.uk/facts-and-stats/data-and-analysis/Documents/patterns-and-trends-in-uk-higher-education-2018.pdf. Accessed February </w:t>
      </w:r>
      <w:proofErr w:type="gramStart"/>
      <w:r w:rsidRPr="0014445C">
        <w:rPr>
          <w:rFonts w:asciiTheme="minorHAnsi" w:hAnsiTheme="minorHAnsi" w:cstheme="minorHAnsi"/>
          <w:noProof w:val="0"/>
          <w:lang w:val="en-GB"/>
        </w:rPr>
        <w:t>11</w:t>
      </w:r>
      <w:proofErr w:type="gramEnd"/>
      <w:r w:rsidRPr="0014445C">
        <w:rPr>
          <w:rFonts w:asciiTheme="minorHAnsi" w:hAnsiTheme="minorHAnsi" w:cstheme="minorHAnsi"/>
          <w:noProof w:val="0"/>
          <w:lang w:val="en-GB"/>
        </w:rPr>
        <w:t xml:space="preserve"> 2019. </w:t>
      </w:r>
    </w:p>
    <w:p w14:paraId="42FCC3EA" w14:textId="77777777"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Uren, Z., Sheers, D., </w:t>
      </w:r>
      <w:proofErr w:type="spellStart"/>
      <w:r w:rsidRPr="0014445C">
        <w:rPr>
          <w:rFonts w:asciiTheme="minorHAnsi" w:hAnsiTheme="minorHAnsi" w:cstheme="minorHAnsi"/>
          <w:noProof w:val="0"/>
          <w:lang w:val="en-GB"/>
        </w:rPr>
        <w:t>Dattani</w:t>
      </w:r>
      <w:proofErr w:type="spellEnd"/>
      <w:r w:rsidRPr="0014445C">
        <w:rPr>
          <w:rFonts w:asciiTheme="minorHAnsi" w:hAnsiTheme="minorHAnsi" w:cstheme="minorHAnsi"/>
          <w:noProof w:val="0"/>
          <w:lang w:val="en-GB"/>
        </w:rPr>
        <w:t>, N., 2007. Teenage conceptions by small area deprivation in England and Wales, 2001-2002. Health Statistics Quarterly, 34.</w:t>
      </w:r>
    </w:p>
    <w:p w14:paraId="75F4BABA" w14:textId="17C095F6"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lastRenderedPageBreak/>
        <w:t>Wellings, K., Palmer, MJ., Geary, RS., et al.</w:t>
      </w:r>
      <w:r w:rsidR="00D70EB3">
        <w:rPr>
          <w:rFonts w:asciiTheme="minorHAnsi" w:hAnsiTheme="minorHAnsi" w:cstheme="minorHAnsi"/>
          <w:noProof w:val="0"/>
          <w:lang w:val="en-GB"/>
        </w:rPr>
        <w:t>,</w:t>
      </w:r>
      <w:r w:rsidRPr="0014445C">
        <w:rPr>
          <w:rFonts w:asciiTheme="minorHAnsi" w:hAnsiTheme="minorHAnsi" w:cstheme="minorHAnsi"/>
          <w:noProof w:val="0"/>
          <w:lang w:val="en-GB"/>
        </w:rPr>
        <w:t xml:space="preserve"> 2016. Changes in conceptions in women younger than 18 years and the circumstances of young mothers in England in 2000-12: an observational study. </w:t>
      </w:r>
      <w:r w:rsidR="00E30020">
        <w:rPr>
          <w:rFonts w:asciiTheme="minorHAnsi" w:hAnsiTheme="minorHAnsi" w:cstheme="minorHAnsi"/>
          <w:noProof w:val="0"/>
          <w:lang w:val="en-GB"/>
        </w:rPr>
        <w:t xml:space="preserve">The </w:t>
      </w:r>
      <w:r w:rsidRPr="0014445C">
        <w:rPr>
          <w:rFonts w:asciiTheme="minorHAnsi" w:hAnsiTheme="minorHAnsi" w:cstheme="minorHAnsi"/>
          <w:noProof w:val="0"/>
          <w:lang w:val="en-GB"/>
        </w:rPr>
        <w:t>Lancet 388, 586-595. DOI:</w:t>
      </w:r>
      <w:r w:rsidR="008B45AC" w:rsidRPr="0014445C">
        <w:rPr>
          <w:rFonts w:asciiTheme="minorHAnsi" w:hAnsiTheme="minorHAnsi" w:cstheme="minorHAnsi"/>
          <w:noProof w:val="0"/>
          <w:lang w:val="en-GB"/>
        </w:rPr>
        <w:t xml:space="preserve"> https://doi.org/</w:t>
      </w:r>
      <w:r w:rsidRPr="0014445C">
        <w:rPr>
          <w:rFonts w:asciiTheme="minorHAnsi" w:hAnsiTheme="minorHAnsi" w:cstheme="minorHAnsi"/>
          <w:noProof w:val="0"/>
          <w:lang w:val="en-GB"/>
        </w:rPr>
        <w:t>1016/S0140-6736(16)30449-4</w:t>
      </w:r>
    </w:p>
    <w:p w14:paraId="48AC5FCA" w14:textId="5245BD4E"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Wellings, K., Palmer, MJ., </w:t>
      </w:r>
      <w:proofErr w:type="spellStart"/>
      <w:r w:rsidRPr="0014445C">
        <w:rPr>
          <w:rFonts w:asciiTheme="minorHAnsi" w:hAnsiTheme="minorHAnsi" w:cstheme="minorHAnsi"/>
          <w:noProof w:val="0"/>
          <w:lang w:val="en-GB"/>
        </w:rPr>
        <w:t>Machiyama</w:t>
      </w:r>
      <w:proofErr w:type="spellEnd"/>
      <w:r w:rsidRPr="0014445C">
        <w:rPr>
          <w:rFonts w:asciiTheme="minorHAnsi" w:hAnsiTheme="minorHAnsi" w:cstheme="minorHAnsi"/>
          <w:noProof w:val="0"/>
          <w:lang w:val="en-GB"/>
        </w:rPr>
        <w:t>, K., et al.</w:t>
      </w:r>
      <w:r w:rsidR="00D70EB3">
        <w:rPr>
          <w:rFonts w:asciiTheme="minorHAnsi" w:hAnsiTheme="minorHAnsi" w:cstheme="minorHAnsi"/>
          <w:noProof w:val="0"/>
          <w:lang w:val="en-GB"/>
        </w:rPr>
        <w:t>,</w:t>
      </w:r>
      <w:r w:rsidRPr="0014445C">
        <w:rPr>
          <w:rFonts w:asciiTheme="minorHAnsi" w:hAnsiTheme="minorHAnsi" w:cstheme="minorHAnsi"/>
          <w:noProof w:val="0"/>
          <w:lang w:val="en-GB"/>
        </w:rPr>
        <w:t xml:space="preserve"> 2019. Changes in, and factors associated with, frequency of sex in Britain: evidence from three National Surveys of Sexual Attitudes and Lifestyles (</w:t>
      </w:r>
      <w:proofErr w:type="spellStart"/>
      <w:r w:rsidRPr="0014445C">
        <w:rPr>
          <w:rFonts w:asciiTheme="minorHAnsi" w:hAnsiTheme="minorHAnsi" w:cstheme="minorHAnsi"/>
          <w:noProof w:val="0"/>
          <w:lang w:val="en-GB"/>
        </w:rPr>
        <w:t>Natsal</w:t>
      </w:r>
      <w:proofErr w:type="spellEnd"/>
      <w:r w:rsidRPr="0014445C">
        <w:rPr>
          <w:rFonts w:asciiTheme="minorHAnsi" w:hAnsiTheme="minorHAnsi" w:cstheme="minorHAnsi"/>
          <w:noProof w:val="0"/>
          <w:lang w:val="en-GB"/>
        </w:rPr>
        <w:t xml:space="preserve">). </w:t>
      </w:r>
      <w:proofErr w:type="spellStart"/>
      <w:r w:rsidRPr="0014445C">
        <w:rPr>
          <w:rFonts w:asciiTheme="minorHAnsi" w:hAnsiTheme="minorHAnsi" w:cstheme="minorHAnsi"/>
          <w:noProof w:val="0"/>
          <w:lang w:val="en-GB"/>
        </w:rPr>
        <w:t>BMJ</w:t>
      </w:r>
      <w:proofErr w:type="spellEnd"/>
      <w:r w:rsidRPr="0014445C">
        <w:rPr>
          <w:rFonts w:asciiTheme="minorHAnsi" w:hAnsiTheme="minorHAnsi" w:cstheme="minorHAnsi"/>
          <w:noProof w:val="0"/>
          <w:lang w:val="en-GB"/>
        </w:rPr>
        <w:t xml:space="preserve"> 365, l1525. DOI: </w:t>
      </w:r>
      <w:r w:rsidR="00292F9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10.1136/bmj.l1525</w:t>
      </w:r>
    </w:p>
    <w:p w14:paraId="17E3A9B8" w14:textId="587C495A"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Wilkinson, P., French, R., Kane, R., et al.</w:t>
      </w:r>
      <w:r w:rsidR="00D70EB3">
        <w:rPr>
          <w:rFonts w:asciiTheme="minorHAnsi" w:hAnsiTheme="minorHAnsi" w:cstheme="minorHAnsi"/>
          <w:noProof w:val="0"/>
          <w:lang w:val="en-GB"/>
        </w:rPr>
        <w:t>,</w:t>
      </w:r>
      <w:r w:rsidRPr="0014445C">
        <w:rPr>
          <w:rFonts w:asciiTheme="minorHAnsi" w:hAnsiTheme="minorHAnsi" w:cstheme="minorHAnsi"/>
          <w:noProof w:val="0"/>
          <w:lang w:val="en-GB"/>
        </w:rPr>
        <w:t xml:space="preserve"> 2006. Teenage conceptions, abortions, and births in England, 1994-2003, and the national teenage pregnancy strategy. </w:t>
      </w:r>
      <w:r w:rsidR="001808BF">
        <w:rPr>
          <w:rFonts w:asciiTheme="minorHAnsi" w:hAnsiTheme="minorHAnsi" w:cstheme="minorHAnsi"/>
          <w:noProof w:val="0"/>
          <w:lang w:val="en-GB"/>
        </w:rPr>
        <w:t xml:space="preserve">The </w:t>
      </w:r>
      <w:r w:rsidRPr="0014445C">
        <w:rPr>
          <w:rFonts w:asciiTheme="minorHAnsi" w:hAnsiTheme="minorHAnsi" w:cstheme="minorHAnsi"/>
          <w:noProof w:val="0"/>
          <w:lang w:val="en-GB"/>
        </w:rPr>
        <w:t xml:space="preserve">Lancet 368, 1879-1886. DOI: </w:t>
      </w:r>
      <w:r w:rsidR="00292F9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10.1016/S0140-6736(06)69777-8</w:t>
      </w:r>
    </w:p>
    <w:p w14:paraId="13F2A973" w14:textId="60DB6960" w:rsidR="00FE7D5A" w:rsidRPr="0014445C" w:rsidRDefault="00FE7D5A" w:rsidP="00E00892">
      <w:pPr>
        <w:pStyle w:val="EndNoteBibliography"/>
        <w:spacing w:after="0" w:line="480" w:lineRule="auto"/>
        <w:rPr>
          <w:rFonts w:asciiTheme="minorHAnsi" w:hAnsiTheme="minorHAnsi" w:cstheme="minorHAnsi"/>
          <w:noProof w:val="0"/>
          <w:lang w:val="en-GB"/>
        </w:rPr>
      </w:pPr>
      <w:r w:rsidRPr="0014445C">
        <w:rPr>
          <w:rFonts w:asciiTheme="minorHAnsi" w:hAnsiTheme="minorHAnsi" w:cstheme="minorHAnsi"/>
          <w:noProof w:val="0"/>
          <w:lang w:val="en-GB"/>
        </w:rPr>
        <w:t xml:space="preserve">Wright, DM. </w:t>
      </w:r>
      <w:proofErr w:type="spellStart"/>
      <w:r w:rsidRPr="0014445C">
        <w:rPr>
          <w:rFonts w:asciiTheme="minorHAnsi" w:hAnsiTheme="minorHAnsi" w:cstheme="minorHAnsi"/>
          <w:noProof w:val="0"/>
          <w:lang w:val="en-GB"/>
        </w:rPr>
        <w:t>Rosato</w:t>
      </w:r>
      <w:proofErr w:type="spellEnd"/>
      <w:r w:rsidRPr="0014445C">
        <w:rPr>
          <w:rFonts w:asciiTheme="minorHAnsi" w:hAnsiTheme="minorHAnsi" w:cstheme="minorHAnsi"/>
          <w:noProof w:val="0"/>
          <w:lang w:val="en-GB"/>
        </w:rPr>
        <w:t xml:space="preserve">, M., Doherty, R., et al. 2016. Teenage motherhood: where you live is also important. A prospective cohort study of 14,000 women. Health &amp; Place 42, 79-86. DOI: </w:t>
      </w:r>
      <w:r w:rsidR="00292F9C" w:rsidRPr="0014445C">
        <w:rPr>
          <w:rFonts w:asciiTheme="minorHAnsi" w:hAnsiTheme="minorHAnsi" w:cstheme="minorHAnsi"/>
          <w:noProof w:val="0"/>
          <w:lang w:val="en-GB"/>
        </w:rPr>
        <w:t>https://doi.org/</w:t>
      </w:r>
      <w:r w:rsidRPr="0014445C">
        <w:rPr>
          <w:rFonts w:asciiTheme="minorHAnsi" w:hAnsiTheme="minorHAnsi" w:cstheme="minorHAnsi"/>
          <w:noProof w:val="0"/>
          <w:lang w:val="en-GB"/>
        </w:rPr>
        <w:t>10.1016/j.healthplace.2016.09.007</w:t>
      </w:r>
    </w:p>
    <w:p w14:paraId="6CB78B63" w14:textId="77777777" w:rsidR="00F93349" w:rsidRDefault="00F93349" w:rsidP="00F93349">
      <w:pPr>
        <w:rPr>
          <w:rFonts w:asciiTheme="minorHAnsi" w:hAnsiTheme="minorHAnsi" w:cstheme="minorHAnsi"/>
          <w:sz w:val="24"/>
          <w:szCs w:val="24"/>
        </w:rPr>
      </w:pPr>
    </w:p>
    <w:p w14:paraId="586B414F" w14:textId="77777777" w:rsidR="00F93349" w:rsidRPr="009D37BE" w:rsidRDefault="00F93349" w:rsidP="00F93349">
      <w:pPr>
        <w:rPr>
          <w:rFonts w:asciiTheme="minorHAnsi" w:hAnsiTheme="minorHAnsi" w:cstheme="minorHAnsi"/>
          <w:sz w:val="24"/>
          <w:szCs w:val="24"/>
        </w:rPr>
      </w:pPr>
    </w:p>
    <w:p w14:paraId="25B566B7" w14:textId="77777777" w:rsidR="00F93349" w:rsidRPr="00DF24D3" w:rsidRDefault="00F93349" w:rsidP="00F93349">
      <w:pPr>
        <w:rPr>
          <w:rFonts w:asciiTheme="minorHAnsi" w:hAnsiTheme="minorHAnsi" w:cstheme="minorHAnsi"/>
          <w:sz w:val="24"/>
          <w:szCs w:val="24"/>
        </w:rPr>
        <w:sectPr w:rsidR="00F93349" w:rsidRPr="00DF24D3" w:rsidSect="008A3888">
          <w:pgSz w:w="11907" w:h="16840" w:code="9"/>
          <w:pgMar w:top="1440" w:right="1080" w:bottom="1440" w:left="1080" w:header="425" w:footer="425" w:gutter="0"/>
          <w:lnNumType w:countBy="1"/>
          <w:cols w:space="708"/>
          <w:formProt w:val="0"/>
          <w:docGrid w:linePitch="360"/>
        </w:sectPr>
      </w:pPr>
    </w:p>
    <w:p w14:paraId="3B324D5A" w14:textId="77777777" w:rsidR="00F93349" w:rsidRPr="00682940" w:rsidRDefault="00F93349" w:rsidP="00F93349">
      <w:pPr>
        <w:pStyle w:val="BodyText"/>
        <w:kinsoku w:val="0"/>
        <w:overflowPunct w:val="0"/>
        <w:spacing w:line="240" w:lineRule="auto"/>
        <w:ind w:right="113"/>
        <w:rPr>
          <w:rFonts w:asciiTheme="minorHAnsi" w:hAnsiTheme="minorHAnsi" w:cstheme="minorHAnsi"/>
          <w:b/>
          <w:szCs w:val="24"/>
        </w:rPr>
      </w:pPr>
      <w:bookmarkStart w:id="13" w:name="_Hlk49439645"/>
      <w:r w:rsidRPr="003D099F">
        <w:rPr>
          <w:rFonts w:asciiTheme="minorHAnsi" w:hAnsiTheme="minorHAnsi" w:cstheme="minorHAnsi"/>
          <w:b/>
          <w:szCs w:val="24"/>
        </w:rPr>
        <w:lastRenderedPageBreak/>
        <w:t xml:space="preserve">Table </w:t>
      </w:r>
      <w:r w:rsidRPr="001800D8">
        <w:rPr>
          <w:rFonts w:asciiTheme="minorHAnsi" w:hAnsiTheme="minorHAnsi" w:cstheme="minorHAnsi"/>
          <w:b/>
          <w:szCs w:val="24"/>
        </w:rPr>
        <w:t xml:space="preserve">1 Summary statistics of the time-varying variables in </w:t>
      </w:r>
      <w:proofErr w:type="spellStart"/>
      <w:r w:rsidRPr="001800D8">
        <w:rPr>
          <w:rFonts w:asciiTheme="minorHAnsi" w:hAnsiTheme="minorHAnsi" w:cstheme="minorHAnsi"/>
          <w:b/>
          <w:szCs w:val="24"/>
        </w:rPr>
        <w:t>LADs</w:t>
      </w:r>
      <w:proofErr w:type="spellEnd"/>
      <w:r w:rsidRPr="00682940">
        <w:rPr>
          <w:rFonts w:asciiTheme="minorHAnsi" w:hAnsiTheme="minorHAnsi" w:cstheme="minorHAnsi"/>
          <w:b/>
          <w:szCs w:val="24"/>
        </w:rPr>
        <w:t xml:space="preserve"> in London and the rest of England, 1998 and 2017 </w:t>
      </w:r>
    </w:p>
    <w:tbl>
      <w:tblPr>
        <w:tblStyle w:val="TableGrid"/>
        <w:tblW w:w="13716" w:type="dxa"/>
        <w:tblLayout w:type="fixed"/>
        <w:tblLook w:val="04A0" w:firstRow="1" w:lastRow="0" w:firstColumn="1" w:lastColumn="0" w:noHBand="0" w:noVBand="1"/>
      </w:tblPr>
      <w:tblGrid>
        <w:gridCol w:w="3227"/>
        <w:gridCol w:w="1311"/>
        <w:gridCol w:w="1311"/>
        <w:gridCol w:w="1311"/>
        <w:gridCol w:w="1311"/>
        <w:gridCol w:w="1311"/>
        <w:gridCol w:w="1311"/>
        <w:gridCol w:w="1311"/>
        <w:gridCol w:w="1312"/>
      </w:tblGrid>
      <w:tr w:rsidR="00F93349" w:rsidRPr="00DF24D3" w14:paraId="74E5CE57" w14:textId="77777777" w:rsidTr="009912AE">
        <w:trPr>
          <w:cantSplit/>
          <w:trHeight w:val="351"/>
          <w:tblHeader/>
        </w:trPr>
        <w:tc>
          <w:tcPr>
            <w:tcW w:w="3227" w:type="dxa"/>
            <w:vMerge w:val="restart"/>
            <w:tcBorders>
              <w:top w:val="single" w:sz="4" w:space="0" w:color="auto"/>
              <w:left w:val="single" w:sz="4" w:space="0" w:color="auto"/>
              <w:bottom w:val="single" w:sz="4" w:space="0" w:color="auto"/>
              <w:right w:val="single" w:sz="4" w:space="0" w:color="auto"/>
            </w:tcBorders>
            <w:hideMark/>
          </w:tcPr>
          <w:p w14:paraId="13CE4B7E" w14:textId="77777777" w:rsidR="00F93349" w:rsidRPr="00564D6D" w:rsidRDefault="00F93349" w:rsidP="009912AE">
            <w:pPr>
              <w:pStyle w:val="BodyText"/>
              <w:kinsoku w:val="0"/>
              <w:overflowPunct w:val="0"/>
              <w:spacing w:line="240" w:lineRule="auto"/>
              <w:ind w:right="113"/>
              <w:rPr>
                <w:rFonts w:asciiTheme="minorHAnsi" w:hAnsiTheme="minorHAnsi" w:cstheme="minorHAnsi"/>
                <w:lang w:eastAsia="zh-CN"/>
              </w:rPr>
            </w:pPr>
            <w:r w:rsidRPr="005851B6">
              <w:rPr>
                <w:rFonts w:asciiTheme="minorHAnsi" w:hAnsiTheme="minorHAnsi" w:cstheme="minorHAnsi"/>
                <w:lang w:eastAsia="zh-CN"/>
              </w:rPr>
              <w:t>Variable name with sources as footnotes</w:t>
            </w:r>
          </w:p>
        </w:tc>
        <w:tc>
          <w:tcPr>
            <w:tcW w:w="10489" w:type="dxa"/>
            <w:gridSpan w:val="8"/>
            <w:tcBorders>
              <w:top w:val="single" w:sz="4" w:space="0" w:color="auto"/>
              <w:left w:val="single" w:sz="4" w:space="0" w:color="auto"/>
              <w:bottom w:val="single" w:sz="4" w:space="0" w:color="auto"/>
              <w:right w:val="single" w:sz="4" w:space="0" w:color="auto"/>
            </w:tcBorders>
          </w:tcPr>
          <w:p w14:paraId="6C32D36C" w14:textId="77777777" w:rsidR="00F93349" w:rsidRPr="005B55D1" w:rsidRDefault="00F93349" w:rsidP="009912AE">
            <w:pPr>
              <w:pStyle w:val="BodyText"/>
              <w:kinsoku w:val="0"/>
              <w:overflowPunct w:val="0"/>
              <w:spacing w:line="240" w:lineRule="auto"/>
              <w:ind w:right="113"/>
              <w:jc w:val="center"/>
              <w:rPr>
                <w:rFonts w:asciiTheme="minorHAnsi" w:hAnsiTheme="minorHAnsi" w:cstheme="minorHAnsi"/>
                <w:lang w:eastAsia="zh-CN"/>
              </w:rPr>
            </w:pPr>
            <w:r w:rsidRPr="005B55D1">
              <w:rPr>
                <w:rFonts w:asciiTheme="minorHAnsi" w:hAnsiTheme="minorHAnsi" w:cstheme="minorHAnsi"/>
                <w:lang w:eastAsia="zh-CN"/>
              </w:rPr>
              <w:t xml:space="preserve">Mean value across </w:t>
            </w:r>
            <w:proofErr w:type="spellStart"/>
            <w:r w:rsidRPr="005B55D1">
              <w:rPr>
                <w:rFonts w:asciiTheme="minorHAnsi" w:hAnsiTheme="minorHAnsi" w:cstheme="minorHAnsi"/>
                <w:lang w:eastAsia="zh-CN"/>
              </w:rPr>
              <w:t>LADs</w:t>
            </w:r>
            <w:proofErr w:type="spellEnd"/>
            <w:r w:rsidRPr="005B55D1">
              <w:rPr>
                <w:rFonts w:asciiTheme="minorHAnsi" w:hAnsiTheme="minorHAnsi" w:cstheme="minorHAnsi"/>
                <w:lang w:eastAsia="zh-CN"/>
              </w:rPr>
              <w:t xml:space="preserve"> (lowest value – highest value)</w:t>
            </w:r>
          </w:p>
        </w:tc>
      </w:tr>
      <w:tr w:rsidR="00F93349" w:rsidRPr="00DF24D3" w14:paraId="34F74E87" w14:textId="77777777" w:rsidTr="009912AE">
        <w:trPr>
          <w:cantSplit/>
          <w:trHeight w:val="129"/>
          <w:tblHeader/>
        </w:trPr>
        <w:tc>
          <w:tcPr>
            <w:tcW w:w="3227" w:type="dxa"/>
            <w:vMerge/>
            <w:tcBorders>
              <w:top w:val="single" w:sz="4" w:space="0" w:color="auto"/>
              <w:left w:val="single" w:sz="4" w:space="0" w:color="auto"/>
              <w:bottom w:val="single" w:sz="4" w:space="0" w:color="auto"/>
              <w:right w:val="single" w:sz="4" w:space="0" w:color="auto"/>
            </w:tcBorders>
            <w:vAlign w:val="center"/>
          </w:tcPr>
          <w:p w14:paraId="2F29E667" w14:textId="77777777" w:rsidR="00F93349" w:rsidRPr="00DF24D3" w:rsidRDefault="00F93349" w:rsidP="009912AE">
            <w:pPr>
              <w:spacing w:before="0" w:line="240" w:lineRule="auto"/>
              <w:rPr>
                <w:rFonts w:asciiTheme="minorHAnsi" w:hAnsiTheme="minorHAnsi" w:cstheme="minorHAnsi"/>
                <w:color w:val="000000" w:themeColor="text1"/>
              </w:rPr>
            </w:pPr>
          </w:p>
        </w:tc>
        <w:tc>
          <w:tcPr>
            <w:tcW w:w="5244" w:type="dxa"/>
            <w:gridSpan w:val="4"/>
            <w:tcBorders>
              <w:top w:val="single" w:sz="4" w:space="0" w:color="auto"/>
              <w:left w:val="single" w:sz="4" w:space="0" w:color="auto"/>
              <w:bottom w:val="single" w:sz="4" w:space="0" w:color="auto"/>
              <w:right w:val="single" w:sz="4" w:space="0" w:color="auto"/>
            </w:tcBorders>
            <w:vAlign w:val="center"/>
          </w:tcPr>
          <w:p w14:paraId="7578CE90" w14:textId="77777777" w:rsidR="00F93349" w:rsidRPr="00DF24D3" w:rsidRDefault="00F93349" w:rsidP="009912AE">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England excluding London</w:t>
            </w: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36995FA7" w14:textId="77777777" w:rsidR="00F93349" w:rsidRPr="00DF24D3" w:rsidRDefault="00F93349" w:rsidP="009912AE">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Inner and Outer London</w:t>
            </w:r>
          </w:p>
        </w:tc>
      </w:tr>
      <w:tr w:rsidR="00F93349" w:rsidRPr="00DF24D3" w14:paraId="0C962771" w14:textId="77777777" w:rsidTr="009912AE">
        <w:trPr>
          <w:cantSplit/>
          <w:trHeight w:val="69"/>
          <w:tblHeader/>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0E8C681D" w14:textId="77777777" w:rsidR="00F93349" w:rsidRPr="00DF24D3" w:rsidRDefault="00F93349" w:rsidP="00F93349">
            <w:pPr>
              <w:spacing w:before="0" w:after="0" w:line="240" w:lineRule="auto"/>
              <w:rPr>
                <w:rFonts w:asciiTheme="minorHAnsi" w:hAnsiTheme="minorHAnsi" w:cstheme="minorHAnsi"/>
                <w:color w:val="000000" w:themeColor="text1"/>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3B82D68F"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1998</w:t>
            </w:r>
          </w:p>
        </w:tc>
        <w:tc>
          <w:tcPr>
            <w:tcW w:w="1311" w:type="dxa"/>
            <w:tcBorders>
              <w:top w:val="single" w:sz="4" w:space="0" w:color="auto"/>
              <w:left w:val="single" w:sz="4" w:space="0" w:color="auto"/>
              <w:bottom w:val="single" w:sz="4" w:space="0" w:color="auto"/>
              <w:right w:val="single" w:sz="4" w:space="0" w:color="auto"/>
            </w:tcBorders>
          </w:tcPr>
          <w:p w14:paraId="256E045E" w14:textId="6D2BEB4D"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2005</w:t>
            </w:r>
          </w:p>
        </w:tc>
        <w:tc>
          <w:tcPr>
            <w:tcW w:w="1311" w:type="dxa"/>
            <w:tcBorders>
              <w:top w:val="single" w:sz="4" w:space="0" w:color="auto"/>
              <w:left w:val="single" w:sz="4" w:space="0" w:color="auto"/>
              <w:bottom w:val="single" w:sz="4" w:space="0" w:color="auto"/>
              <w:right w:val="single" w:sz="4" w:space="0" w:color="auto"/>
            </w:tcBorders>
            <w:vAlign w:val="center"/>
          </w:tcPr>
          <w:p w14:paraId="08AA4A84" w14:textId="48EEDBB0"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2010</w:t>
            </w:r>
          </w:p>
        </w:tc>
        <w:tc>
          <w:tcPr>
            <w:tcW w:w="1311" w:type="dxa"/>
            <w:tcBorders>
              <w:top w:val="single" w:sz="4" w:space="0" w:color="auto"/>
              <w:left w:val="single" w:sz="4" w:space="0" w:color="auto"/>
              <w:bottom w:val="single" w:sz="4" w:space="0" w:color="auto"/>
              <w:right w:val="single" w:sz="4" w:space="0" w:color="auto"/>
            </w:tcBorders>
            <w:vAlign w:val="center"/>
          </w:tcPr>
          <w:p w14:paraId="07F95E8E" w14:textId="77777777" w:rsidR="00F93349" w:rsidRPr="007E37E1"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2017</w:t>
            </w:r>
            <w:r>
              <w:rPr>
                <w:rFonts w:asciiTheme="minorHAnsi" w:hAnsiTheme="minorHAnsi" w:cstheme="minorHAnsi"/>
                <w:lang w:eastAsia="zh-CN"/>
              </w:rPr>
              <w:t>*</w:t>
            </w:r>
          </w:p>
        </w:tc>
        <w:tc>
          <w:tcPr>
            <w:tcW w:w="1311" w:type="dxa"/>
            <w:tcBorders>
              <w:top w:val="single" w:sz="4" w:space="0" w:color="auto"/>
              <w:left w:val="single" w:sz="4" w:space="0" w:color="auto"/>
              <w:bottom w:val="single" w:sz="4" w:space="0" w:color="auto"/>
              <w:right w:val="single" w:sz="4" w:space="0" w:color="auto"/>
            </w:tcBorders>
            <w:vAlign w:val="center"/>
          </w:tcPr>
          <w:p w14:paraId="04AD34B2" w14:textId="77777777" w:rsidR="00F93349" w:rsidRPr="007E37E1"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7E37E1">
              <w:rPr>
                <w:rFonts w:asciiTheme="minorHAnsi" w:hAnsiTheme="minorHAnsi" w:cstheme="minorHAnsi"/>
                <w:lang w:eastAsia="zh-CN"/>
              </w:rPr>
              <w:t>1998</w:t>
            </w:r>
          </w:p>
        </w:tc>
        <w:tc>
          <w:tcPr>
            <w:tcW w:w="1311" w:type="dxa"/>
            <w:tcBorders>
              <w:top w:val="single" w:sz="4" w:space="0" w:color="auto"/>
              <w:left w:val="single" w:sz="4" w:space="0" w:color="auto"/>
              <w:bottom w:val="single" w:sz="4" w:space="0" w:color="auto"/>
              <w:right w:val="single" w:sz="4" w:space="0" w:color="auto"/>
            </w:tcBorders>
            <w:vAlign w:val="center"/>
          </w:tcPr>
          <w:p w14:paraId="03CB529B" w14:textId="439CCDCB"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2005</w:t>
            </w:r>
          </w:p>
        </w:tc>
        <w:tc>
          <w:tcPr>
            <w:tcW w:w="1311" w:type="dxa"/>
            <w:tcBorders>
              <w:top w:val="single" w:sz="4" w:space="0" w:color="auto"/>
              <w:left w:val="single" w:sz="4" w:space="0" w:color="auto"/>
              <w:bottom w:val="single" w:sz="4" w:space="0" w:color="auto"/>
              <w:right w:val="single" w:sz="4" w:space="0" w:color="auto"/>
            </w:tcBorders>
          </w:tcPr>
          <w:p w14:paraId="2A2CB1CB" w14:textId="718FC26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2010</w:t>
            </w:r>
          </w:p>
        </w:tc>
        <w:tc>
          <w:tcPr>
            <w:tcW w:w="1312" w:type="dxa"/>
            <w:tcBorders>
              <w:top w:val="single" w:sz="4" w:space="0" w:color="auto"/>
              <w:left w:val="single" w:sz="4" w:space="0" w:color="auto"/>
              <w:bottom w:val="single" w:sz="4" w:space="0" w:color="auto"/>
              <w:right w:val="single" w:sz="4" w:space="0" w:color="auto"/>
            </w:tcBorders>
            <w:vAlign w:val="center"/>
          </w:tcPr>
          <w:p w14:paraId="0FAD760A" w14:textId="77777777" w:rsidR="00F93349" w:rsidRPr="007E37E1"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2017</w:t>
            </w:r>
            <w:r>
              <w:rPr>
                <w:rFonts w:asciiTheme="minorHAnsi" w:hAnsiTheme="minorHAnsi" w:cstheme="minorHAnsi"/>
                <w:lang w:eastAsia="zh-CN"/>
              </w:rPr>
              <w:t>*</w:t>
            </w:r>
          </w:p>
        </w:tc>
      </w:tr>
      <w:tr w:rsidR="00F93349" w:rsidRPr="00DF24D3" w14:paraId="53CDB7B6" w14:textId="77777777" w:rsidTr="009912AE">
        <w:trPr>
          <w:cantSplit/>
          <w:trHeight w:val="510"/>
        </w:trPr>
        <w:tc>
          <w:tcPr>
            <w:tcW w:w="3227" w:type="dxa"/>
            <w:tcBorders>
              <w:top w:val="single" w:sz="4" w:space="0" w:color="auto"/>
              <w:left w:val="single" w:sz="4" w:space="0" w:color="auto"/>
              <w:bottom w:val="single" w:sz="4" w:space="0" w:color="auto"/>
              <w:right w:val="single" w:sz="4" w:space="0" w:color="auto"/>
            </w:tcBorders>
            <w:hideMark/>
          </w:tcPr>
          <w:p w14:paraId="7773CA4D" w14:textId="77777777" w:rsidR="00F93349" w:rsidRPr="00DF24D3" w:rsidRDefault="00F93349" w:rsidP="00F93349">
            <w:pPr>
              <w:pStyle w:val="BodyText"/>
              <w:kinsoku w:val="0"/>
              <w:overflowPunct w:val="0"/>
              <w:spacing w:line="240" w:lineRule="auto"/>
              <w:ind w:right="113"/>
              <w:rPr>
                <w:rFonts w:asciiTheme="minorHAnsi" w:hAnsiTheme="minorHAnsi" w:cstheme="minorHAnsi"/>
                <w:lang w:eastAsia="zh-CN"/>
              </w:rPr>
            </w:pPr>
            <w:r w:rsidRPr="00DF24D3">
              <w:rPr>
                <w:rFonts w:asciiTheme="minorHAnsi" w:hAnsiTheme="minorHAnsi" w:cstheme="minorHAnsi"/>
                <w:lang w:eastAsia="zh-CN"/>
              </w:rPr>
              <w:t xml:space="preserve">Under-18 conception rate per 1,000 15-17-year-old </w:t>
            </w:r>
            <w:proofErr w:type="spellStart"/>
            <w:r w:rsidRPr="00DF24D3">
              <w:rPr>
                <w:rFonts w:asciiTheme="minorHAnsi" w:hAnsiTheme="minorHAnsi" w:cstheme="minorHAnsi"/>
                <w:lang w:eastAsia="zh-CN"/>
              </w:rPr>
              <w:t>women</w:t>
            </w:r>
            <w:r w:rsidRPr="00DF24D3">
              <w:rPr>
                <w:rFonts w:asciiTheme="minorHAnsi" w:hAnsiTheme="minorHAnsi" w:cstheme="minorHAnsi"/>
                <w:vertAlign w:val="superscript"/>
                <w:lang w:eastAsia="zh-CN"/>
              </w:rPr>
              <w:t>a</w:t>
            </w:r>
            <w:proofErr w:type="spellEnd"/>
          </w:p>
        </w:tc>
        <w:tc>
          <w:tcPr>
            <w:tcW w:w="1311" w:type="dxa"/>
            <w:tcBorders>
              <w:top w:val="single" w:sz="4" w:space="0" w:color="auto"/>
              <w:left w:val="single" w:sz="4" w:space="0" w:color="auto"/>
              <w:bottom w:val="single" w:sz="4" w:space="0" w:color="auto"/>
              <w:right w:val="nil"/>
            </w:tcBorders>
            <w:hideMark/>
          </w:tcPr>
          <w:p w14:paraId="3024EB47"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42.6</w:t>
            </w:r>
          </w:p>
          <w:p w14:paraId="1362CDA6"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(16.0 –84.6)</w:t>
            </w:r>
          </w:p>
        </w:tc>
        <w:tc>
          <w:tcPr>
            <w:tcW w:w="1311" w:type="dxa"/>
            <w:tcBorders>
              <w:top w:val="single" w:sz="4" w:space="0" w:color="auto"/>
              <w:left w:val="nil"/>
              <w:bottom w:val="single" w:sz="4" w:space="0" w:color="auto"/>
              <w:right w:val="nil"/>
            </w:tcBorders>
          </w:tcPr>
          <w:p w14:paraId="0E6ECC60"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37.5</w:t>
            </w:r>
          </w:p>
          <w:p w14:paraId="2B32A7F0" w14:textId="4BA345C2"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(12.3-84.8)</w:t>
            </w:r>
          </w:p>
        </w:tc>
        <w:tc>
          <w:tcPr>
            <w:tcW w:w="1311" w:type="dxa"/>
            <w:tcBorders>
              <w:top w:val="single" w:sz="4" w:space="0" w:color="auto"/>
              <w:left w:val="nil"/>
              <w:bottom w:val="single" w:sz="4" w:space="0" w:color="auto"/>
              <w:right w:val="nil"/>
            </w:tcBorders>
          </w:tcPr>
          <w:p w14:paraId="51B7F6DF"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32.1</w:t>
            </w:r>
          </w:p>
          <w:p w14:paraId="22675B29" w14:textId="1986A939"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(7.6-63.7)</w:t>
            </w:r>
          </w:p>
        </w:tc>
        <w:tc>
          <w:tcPr>
            <w:tcW w:w="1311" w:type="dxa"/>
            <w:tcBorders>
              <w:top w:val="single" w:sz="4" w:space="0" w:color="auto"/>
              <w:left w:val="nil"/>
              <w:bottom w:val="single" w:sz="4" w:space="0" w:color="auto"/>
              <w:right w:val="single" w:sz="4" w:space="0" w:color="auto"/>
            </w:tcBorders>
          </w:tcPr>
          <w:p w14:paraId="7220E9B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17.0</w:t>
            </w:r>
          </w:p>
          <w:p w14:paraId="73B2152C"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(4.5-43.8)</w:t>
            </w:r>
          </w:p>
        </w:tc>
        <w:tc>
          <w:tcPr>
            <w:tcW w:w="1311" w:type="dxa"/>
            <w:tcBorders>
              <w:top w:val="single" w:sz="4" w:space="0" w:color="auto"/>
              <w:left w:val="single" w:sz="4" w:space="0" w:color="auto"/>
              <w:bottom w:val="single" w:sz="4" w:space="0" w:color="auto"/>
              <w:right w:val="nil"/>
            </w:tcBorders>
          </w:tcPr>
          <w:p w14:paraId="11E32C27"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51.1</w:t>
            </w:r>
          </w:p>
          <w:p w14:paraId="53218EB0"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(23.1-87.2)</w:t>
            </w:r>
          </w:p>
        </w:tc>
        <w:tc>
          <w:tcPr>
            <w:tcW w:w="1311" w:type="dxa"/>
            <w:tcBorders>
              <w:top w:val="single" w:sz="4" w:space="0" w:color="auto"/>
              <w:left w:val="nil"/>
              <w:bottom w:val="single" w:sz="4" w:space="0" w:color="auto"/>
              <w:right w:val="nil"/>
            </w:tcBorders>
          </w:tcPr>
          <w:p w14:paraId="3321EB92"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43.8</w:t>
            </w:r>
          </w:p>
          <w:p w14:paraId="4742C026" w14:textId="37570726"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(20.8-77.1)</w:t>
            </w:r>
          </w:p>
        </w:tc>
        <w:tc>
          <w:tcPr>
            <w:tcW w:w="1311" w:type="dxa"/>
            <w:tcBorders>
              <w:top w:val="single" w:sz="4" w:space="0" w:color="auto"/>
              <w:left w:val="nil"/>
              <w:bottom w:val="single" w:sz="4" w:space="0" w:color="auto"/>
              <w:right w:val="nil"/>
            </w:tcBorders>
          </w:tcPr>
          <w:p w14:paraId="20B9FEBE"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32.9</w:t>
            </w:r>
          </w:p>
          <w:p w14:paraId="2A768418" w14:textId="1A6E92DF"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(17.4-51.1)</w:t>
            </w:r>
          </w:p>
        </w:tc>
        <w:tc>
          <w:tcPr>
            <w:tcW w:w="1312" w:type="dxa"/>
            <w:tcBorders>
              <w:top w:val="single" w:sz="4" w:space="0" w:color="auto"/>
              <w:left w:val="nil"/>
              <w:bottom w:val="single" w:sz="4" w:space="0" w:color="auto"/>
              <w:right w:val="single" w:sz="4" w:space="0" w:color="auto"/>
            </w:tcBorders>
          </w:tcPr>
          <w:p w14:paraId="1FB645F7"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15.9 </w:t>
            </w:r>
          </w:p>
          <w:p w14:paraId="2EA6E5E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(6.6-25.1)</w:t>
            </w:r>
          </w:p>
        </w:tc>
      </w:tr>
      <w:tr w:rsidR="00F93349" w:rsidRPr="00DF24D3" w14:paraId="336559AD" w14:textId="77777777" w:rsidTr="009912AE">
        <w:trPr>
          <w:cantSplit/>
          <w:trHeight w:val="480"/>
        </w:trPr>
        <w:tc>
          <w:tcPr>
            <w:tcW w:w="3227" w:type="dxa"/>
            <w:tcBorders>
              <w:top w:val="single" w:sz="4" w:space="0" w:color="auto"/>
              <w:left w:val="single" w:sz="4" w:space="0" w:color="auto"/>
              <w:bottom w:val="single" w:sz="4" w:space="0" w:color="auto"/>
              <w:right w:val="single" w:sz="4" w:space="0" w:color="auto"/>
            </w:tcBorders>
            <w:hideMark/>
          </w:tcPr>
          <w:p w14:paraId="160DAC31" w14:textId="77777777" w:rsidR="00F93349" w:rsidRPr="00DF24D3" w:rsidRDefault="00F93349" w:rsidP="00F93349">
            <w:pPr>
              <w:pStyle w:val="BodyText"/>
              <w:kinsoku w:val="0"/>
              <w:overflowPunct w:val="0"/>
              <w:spacing w:line="240" w:lineRule="auto"/>
              <w:ind w:right="113"/>
              <w:rPr>
                <w:rFonts w:asciiTheme="minorHAnsi" w:hAnsiTheme="minorHAnsi" w:cstheme="minorHAnsi"/>
                <w:lang w:eastAsia="zh-CN"/>
              </w:rPr>
            </w:pPr>
            <w:r w:rsidRPr="00DF24D3">
              <w:rPr>
                <w:rFonts w:asciiTheme="minorHAnsi" w:hAnsiTheme="minorHAnsi" w:cstheme="minorHAnsi"/>
                <w:lang w:eastAsia="zh-CN"/>
              </w:rPr>
              <w:t xml:space="preserve">% claiming Jobseekers Allowance among the 18-24-year-old </w:t>
            </w:r>
            <w:proofErr w:type="spellStart"/>
            <w:r w:rsidRPr="00DF24D3">
              <w:rPr>
                <w:rFonts w:asciiTheme="minorHAnsi" w:hAnsiTheme="minorHAnsi" w:cstheme="minorHAnsi"/>
                <w:lang w:eastAsia="zh-CN"/>
              </w:rPr>
              <w:t>population</w:t>
            </w:r>
            <w:r w:rsidRPr="00DF24D3">
              <w:rPr>
                <w:rFonts w:asciiTheme="minorHAnsi" w:hAnsiTheme="minorHAnsi" w:cstheme="minorHAnsi"/>
                <w:vertAlign w:val="superscript"/>
                <w:lang w:eastAsia="zh-CN"/>
              </w:rPr>
              <w:t>b</w:t>
            </w:r>
            <w:proofErr w:type="spellEnd"/>
          </w:p>
        </w:tc>
        <w:tc>
          <w:tcPr>
            <w:tcW w:w="1311" w:type="dxa"/>
            <w:tcBorders>
              <w:top w:val="single" w:sz="4" w:space="0" w:color="auto"/>
              <w:left w:val="single" w:sz="4" w:space="0" w:color="auto"/>
              <w:bottom w:val="single" w:sz="4" w:space="0" w:color="auto"/>
              <w:right w:val="nil"/>
            </w:tcBorders>
            <w:hideMark/>
          </w:tcPr>
          <w:p w14:paraId="25939CEF" w14:textId="2A020426"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5.</w:t>
            </w:r>
            <w:r w:rsidR="00EE7DB1">
              <w:rPr>
                <w:rFonts w:asciiTheme="minorHAnsi" w:hAnsiTheme="minorHAnsi" w:cstheme="minorHAnsi"/>
                <w:lang w:eastAsia="zh-CN"/>
              </w:rPr>
              <w:t>9</w:t>
            </w:r>
          </w:p>
          <w:p w14:paraId="2AF83B17"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(1.0-18.8)</w:t>
            </w:r>
          </w:p>
        </w:tc>
        <w:tc>
          <w:tcPr>
            <w:tcW w:w="1311" w:type="dxa"/>
            <w:tcBorders>
              <w:top w:val="single" w:sz="4" w:space="0" w:color="auto"/>
              <w:left w:val="nil"/>
              <w:bottom w:val="single" w:sz="4" w:space="0" w:color="auto"/>
              <w:right w:val="nil"/>
            </w:tcBorders>
          </w:tcPr>
          <w:p w14:paraId="5E16ABDF"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1.7</w:t>
            </w:r>
          </w:p>
          <w:p w14:paraId="6069E296" w14:textId="26CC84BF"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(0.5-5.1)</w:t>
            </w:r>
          </w:p>
        </w:tc>
        <w:tc>
          <w:tcPr>
            <w:tcW w:w="1311" w:type="dxa"/>
            <w:tcBorders>
              <w:top w:val="single" w:sz="4" w:space="0" w:color="auto"/>
              <w:left w:val="nil"/>
              <w:bottom w:val="single" w:sz="4" w:space="0" w:color="auto"/>
              <w:right w:val="nil"/>
            </w:tcBorders>
          </w:tcPr>
          <w:p w14:paraId="0F0D5B19"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3.1</w:t>
            </w:r>
          </w:p>
          <w:p w14:paraId="32FBDDB3" w14:textId="0E6C7B0B"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(1.3-7.9)</w:t>
            </w:r>
          </w:p>
        </w:tc>
        <w:tc>
          <w:tcPr>
            <w:tcW w:w="1311" w:type="dxa"/>
            <w:tcBorders>
              <w:top w:val="single" w:sz="4" w:space="0" w:color="auto"/>
              <w:left w:val="nil"/>
              <w:bottom w:val="single" w:sz="4" w:space="0" w:color="auto"/>
              <w:right w:val="single" w:sz="4" w:space="0" w:color="auto"/>
            </w:tcBorders>
          </w:tcPr>
          <w:p w14:paraId="0374DAD2"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0.7 </w:t>
            </w:r>
          </w:p>
          <w:p w14:paraId="34FB6602"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(0.0-2.8)</w:t>
            </w:r>
          </w:p>
        </w:tc>
        <w:tc>
          <w:tcPr>
            <w:tcW w:w="1311" w:type="dxa"/>
            <w:tcBorders>
              <w:top w:val="single" w:sz="4" w:space="0" w:color="auto"/>
              <w:left w:val="single" w:sz="4" w:space="0" w:color="auto"/>
              <w:bottom w:val="single" w:sz="4" w:space="0" w:color="auto"/>
              <w:right w:val="nil"/>
            </w:tcBorders>
          </w:tcPr>
          <w:p w14:paraId="2B852BA7"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6.5</w:t>
            </w:r>
          </w:p>
          <w:p w14:paraId="2EE85FBD"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(2.0-14.4)</w:t>
            </w:r>
          </w:p>
        </w:tc>
        <w:tc>
          <w:tcPr>
            <w:tcW w:w="1311" w:type="dxa"/>
            <w:tcBorders>
              <w:top w:val="single" w:sz="4" w:space="0" w:color="auto"/>
              <w:left w:val="nil"/>
              <w:bottom w:val="single" w:sz="4" w:space="0" w:color="auto"/>
              <w:right w:val="nil"/>
            </w:tcBorders>
          </w:tcPr>
          <w:p w14:paraId="1F05324E"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3.2</w:t>
            </w:r>
          </w:p>
          <w:p w14:paraId="57E2424D" w14:textId="2567A424"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(1.4-5.3)</w:t>
            </w:r>
          </w:p>
        </w:tc>
        <w:tc>
          <w:tcPr>
            <w:tcW w:w="1311" w:type="dxa"/>
            <w:tcBorders>
              <w:top w:val="single" w:sz="4" w:space="0" w:color="auto"/>
              <w:left w:val="nil"/>
              <w:bottom w:val="single" w:sz="4" w:space="0" w:color="auto"/>
              <w:right w:val="nil"/>
            </w:tcBorders>
          </w:tcPr>
          <w:p w14:paraId="1410CFB3"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3.8</w:t>
            </w:r>
          </w:p>
          <w:p w14:paraId="5E4D0160" w14:textId="63FCB89A"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(1.8-5.6)</w:t>
            </w:r>
          </w:p>
        </w:tc>
        <w:tc>
          <w:tcPr>
            <w:tcW w:w="1312" w:type="dxa"/>
            <w:tcBorders>
              <w:top w:val="single" w:sz="4" w:space="0" w:color="auto"/>
              <w:left w:val="nil"/>
              <w:bottom w:val="single" w:sz="4" w:space="0" w:color="auto"/>
              <w:right w:val="single" w:sz="4" w:space="0" w:color="auto"/>
            </w:tcBorders>
          </w:tcPr>
          <w:p w14:paraId="4B3AA806"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0.8 </w:t>
            </w:r>
          </w:p>
          <w:p w14:paraId="244CDA74"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(0.1-1.5)</w:t>
            </w:r>
          </w:p>
        </w:tc>
      </w:tr>
      <w:tr w:rsidR="00F93349" w:rsidRPr="00DF24D3" w14:paraId="145C2B4B" w14:textId="77777777" w:rsidTr="009912AE">
        <w:trPr>
          <w:cantSplit/>
          <w:trHeight w:val="365"/>
        </w:trPr>
        <w:tc>
          <w:tcPr>
            <w:tcW w:w="3227" w:type="dxa"/>
            <w:tcBorders>
              <w:top w:val="single" w:sz="4" w:space="0" w:color="auto"/>
              <w:left w:val="single" w:sz="4" w:space="0" w:color="auto"/>
              <w:bottom w:val="single" w:sz="4" w:space="0" w:color="auto"/>
              <w:right w:val="single" w:sz="4" w:space="0" w:color="auto"/>
            </w:tcBorders>
            <w:hideMark/>
          </w:tcPr>
          <w:p w14:paraId="522E0AE7" w14:textId="77777777" w:rsidR="00F93349" w:rsidRPr="007E37E1" w:rsidRDefault="00F93349" w:rsidP="00F93349">
            <w:pPr>
              <w:pStyle w:val="BodyText"/>
              <w:kinsoku w:val="0"/>
              <w:overflowPunct w:val="0"/>
              <w:spacing w:line="240" w:lineRule="auto"/>
              <w:ind w:right="113"/>
              <w:rPr>
                <w:rFonts w:asciiTheme="minorHAnsi" w:hAnsiTheme="minorHAnsi" w:cstheme="minorHAnsi"/>
                <w:lang w:eastAsia="zh-CN"/>
              </w:rPr>
            </w:pPr>
            <w:r w:rsidRPr="00DF24D3">
              <w:rPr>
                <w:rFonts w:asciiTheme="minorHAnsi" w:hAnsiTheme="minorHAnsi" w:cstheme="minorHAnsi"/>
                <w:lang w:eastAsia="zh-CN"/>
              </w:rPr>
              <w:t>% of Pupils Attaining at least 5 GCSEs A*-C</w:t>
            </w:r>
            <w:r w:rsidRPr="00DF24D3">
              <w:rPr>
                <w:rFonts w:asciiTheme="minorHAnsi" w:hAnsiTheme="minorHAnsi" w:cstheme="minorHAnsi"/>
                <w:vertAlign w:val="superscript"/>
                <w:lang w:eastAsia="zh-CN"/>
              </w:rPr>
              <w:t>c</w:t>
            </w:r>
            <w:r>
              <w:rPr>
                <w:rFonts w:asciiTheme="minorHAnsi" w:hAnsiTheme="minorHAnsi" w:cstheme="minorHAnsi"/>
                <w:vertAlign w:val="superscript"/>
                <w:lang w:eastAsia="zh-CN"/>
              </w:rPr>
              <w:t xml:space="preserve"> *</w:t>
            </w:r>
          </w:p>
        </w:tc>
        <w:tc>
          <w:tcPr>
            <w:tcW w:w="1311" w:type="dxa"/>
            <w:tcBorders>
              <w:top w:val="single" w:sz="4" w:space="0" w:color="auto"/>
              <w:left w:val="single" w:sz="4" w:space="0" w:color="auto"/>
              <w:bottom w:val="single" w:sz="4" w:space="0" w:color="auto"/>
              <w:right w:val="nil"/>
            </w:tcBorders>
            <w:hideMark/>
          </w:tcPr>
          <w:p w14:paraId="4B651D94" w14:textId="77777777" w:rsidR="00F93349" w:rsidRPr="007E37E1"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7E37E1">
              <w:rPr>
                <w:rFonts w:asciiTheme="minorHAnsi" w:hAnsiTheme="minorHAnsi" w:cstheme="minorHAnsi"/>
                <w:lang w:eastAsia="zh-CN"/>
              </w:rPr>
              <w:t>46.8</w:t>
            </w:r>
          </w:p>
          <w:p w14:paraId="012C928F"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(23.7-61.4)</w:t>
            </w:r>
          </w:p>
        </w:tc>
        <w:tc>
          <w:tcPr>
            <w:tcW w:w="1311" w:type="dxa"/>
            <w:tcBorders>
              <w:top w:val="single" w:sz="4" w:space="0" w:color="auto"/>
              <w:left w:val="nil"/>
              <w:bottom w:val="single" w:sz="4" w:space="0" w:color="auto"/>
              <w:right w:val="nil"/>
            </w:tcBorders>
          </w:tcPr>
          <w:p w14:paraId="72B907DF"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56.0</w:t>
            </w:r>
          </w:p>
          <w:p w14:paraId="466046BB" w14:textId="3F6FDCAA"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(39.5-67.4)</w:t>
            </w:r>
          </w:p>
        </w:tc>
        <w:tc>
          <w:tcPr>
            <w:tcW w:w="1311" w:type="dxa"/>
            <w:tcBorders>
              <w:top w:val="single" w:sz="4" w:space="0" w:color="auto"/>
              <w:left w:val="nil"/>
              <w:bottom w:val="single" w:sz="4" w:space="0" w:color="auto"/>
              <w:right w:val="nil"/>
            </w:tcBorders>
          </w:tcPr>
          <w:p w14:paraId="417139E7"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75.6</w:t>
            </w:r>
          </w:p>
          <w:p w14:paraId="1AD3D5F3" w14:textId="2FC72C15"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(63.7-86.9)</w:t>
            </w:r>
          </w:p>
        </w:tc>
        <w:tc>
          <w:tcPr>
            <w:tcW w:w="1311" w:type="dxa"/>
            <w:tcBorders>
              <w:top w:val="single" w:sz="4" w:space="0" w:color="auto"/>
              <w:left w:val="nil"/>
              <w:bottom w:val="single" w:sz="4" w:space="0" w:color="auto"/>
              <w:right w:val="single" w:sz="4" w:space="0" w:color="auto"/>
            </w:tcBorders>
          </w:tcPr>
          <w:p w14:paraId="4BC38259" w14:textId="77777777" w:rsidR="00F93349" w:rsidRPr="007E37E1" w:rsidRDefault="00F93349" w:rsidP="00F93349">
            <w:pPr>
              <w:pStyle w:val="BodyText"/>
              <w:kinsoku w:val="0"/>
              <w:overflowPunct w:val="0"/>
              <w:spacing w:line="240" w:lineRule="auto"/>
              <w:ind w:right="113"/>
              <w:jc w:val="center"/>
              <w:rPr>
                <w:rFonts w:asciiTheme="minorHAnsi" w:hAnsiTheme="minorHAnsi" w:cstheme="minorHAnsi"/>
                <w:lang w:eastAsia="zh-CN"/>
              </w:rPr>
            </w:pPr>
            <w:r>
              <w:rPr>
                <w:rFonts w:asciiTheme="minorHAnsi" w:hAnsiTheme="minorHAnsi" w:cstheme="minorHAnsi"/>
                <w:lang w:eastAsia="zh-CN"/>
              </w:rPr>
              <w:t>65.6</w:t>
            </w:r>
          </w:p>
          <w:p w14:paraId="266C7D94" w14:textId="77777777" w:rsidR="00F93349" w:rsidRPr="007E37E1"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7E37E1">
              <w:rPr>
                <w:rFonts w:asciiTheme="minorHAnsi" w:hAnsiTheme="minorHAnsi" w:cstheme="minorHAnsi"/>
                <w:lang w:eastAsia="zh-CN"/>
              </w:rPr>
              <w:t>(4</w:t>
            </w:r>
            <w:r>
              <w:rPr>
                <w:rFonts w:asciiTheme="minorHAnsi" w:hAnsiTheme="minorHAnsi" w:cstheme="minorHAnsi"/>
                <w:lang w:eastAsia="zh-CN"/>
              </w:rPr>
              <w:t>5.3-78.1</w:t>
            </w:r>
            <w:r w:rsidRPr="007E37E1">
              <w:rPr>
                <w:rFonts w:asciiTheme="minorHAnsi" w:hAnsiTheme="minorHAnsi" w:cstheme="minorHAnsi"/>
                <w:lang w:eastAsia="zh-CN"/>
              </w:rPr>
              <w:t>)</w:t>
            </w:r>
          </w:p>
        </w:tc>
        <w:tc>
          <w:tcPr>
            <w:tcW w:w="1311" w:type="dxa"/>
            <w:tcBorders>
              <w:top w:val="single" w:sz="4" w:space="0" w:color="auto"/>
              <w:left w:val="single" w:sz="4" w:space="0" w:color="auto"/>
              <w:bottom w:val="single" w:sz="4" w:space="0" w:color="auto"/>
              <w:right w:val="nil"/>
            </w:tcBorders>
          </w:tcPr>
          <w:p w14:paraId="2B1A6A2A"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39.9</w:t>
            </w:r>
          </w:p>
          <w:p w14:paraId="2F67871B"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(23.3-59.0)</w:t>
            </w:r>
          </w:p>
        </w:tc>
        <w:tc>
          <w:tcPr>
            <w:tcW w:w="1311" w:type="dxa"/>
            <w:tcBorders>
              <w:top w:val="single" w:sz="4" w:space="0" w:color="auto"/>
              <w:left w:val="nil"/>
              <w:bottom w:val="single" w:sz="4" w:space="0" w:color="auto"/>
              <w:right w:val="nil"/>
            </w:tcBorders>
          </w:tcPr>
          <w:p w14:paraId="7142DD16"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54.5</w:t>
            </w:r>
          </w:p>
          <w:p w14:paraId="4DC89530" w14:textId="2D287979"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(41.7-70.1)</w:t>
            </w:r>
          </w:p>
        </w:tc>
        <w:tc>
          <w:tcPr>
            <w:tcW w:w="1311" w:type="dxa"/>
            <w:tcBorders>
              <w:top w:val="single" w:sz="4" w:space="0" w:color="auto"/>
              <w:left w:val="nil"/>
              <w:bottom w:val="single" w:sz="4" w:space="0" w:color="auto"/>
              <w:right w:val="nil"/>
            </w:tcBorders>
          </w:tcPr>
          <w:p w14:paraId="04C8E0C4"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77.9</w:t>
            </w:r>
          </w:p>
          <w:p w14:paraId="41878E8C" w14:textId="29636F75"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(64.0-92.4)</w:t>
            </w:r>
          </w:p>
        </w:tc>
        <w:tc>
          <w:tcPr>
            <w:tcW w:w="1312" w:type="dxa"/>
            <w:tcBorders>
              <w:top w:val="single" w:sz="4" w:space="0" w:color="auto"/>
              <w:left w:val="nil"/>
              <w:bottom w:val="single" w:sz="4" w:space="0" w:color="auto"/>
              <w:right w:val="single" w:sz="4" w:space="0" w:color="auto"/>
            </w:tcBorders>
          </w:tcPr>
          <w:p w14:paraId="08746A1A" w14:textId="77777777" w:rsidR="00F93349" w:rsidRPr="007E37E1" w:rsidRDefault="00F93349" w:rsidP="00F93349">
            <w:pPr>
              <w:pStyle w:val="BodyText"/>
              <w:kinsoku w:val="0"/>
              <w:overflowPunct w:val="0"/>
              <w:spacing w:line="240" w:lineRule="auto"/>
              <w:ind w:right="113"/>
              <w:jc w:val="center"/>
              <w:rPr>
                <w:rFonts w:asciiTheme="minorHAnsi" w:hAnsiTheme="minorHAnsi" w:cstheme="minorHAnsi"/>
                <w:lang w:eastAsia="zh-CN"/>
              </w:rPr>
            </w:pPr>
            <w:r>
              <w:rPr>
                <w:rFonts w:asciiTheme="minorHAnsi" w:hAnsiTheme="minorHAnsi" w:cstheme="minorHAnsi"/>
                <w:lang w:eastAsia="zh-CN"/>
              </w:rPr>
              <w:t>70.3</w:t>
            </w:r>
          </w:p>
          <w:p w14:paraId="751727BB" w14:textId="77777777" w:rsidR="00F93349" w:rsidRPr="007E37E1"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7E37E1">
              <w:rPr>
                <w:rFonts w:asciiTheme="minorHAnsi" w:hAnsiTheme="minorHAnsi" w:cstheme="minorHAnsi"/>
                <w:lang w:eastAsia="zh-CN"/>
              </w:rPr>
              <w:t>(</w:t>
            </w:r>
            <w:r>
              <w:rPr>
                <w:rFonts w:asciiTheme="minorHAnsi" w:hAnsiTheme="minorHAnsi" w:cstheme="minorHAnsi"/>
                <w:lang w:eastAsia="zh-CN"/>
              </w:rPr>
              <w:t>60.7-80.9</w:t>
            </w:r>
            <w:r w:rsidRPr="007E37E1">
              <w:rPr>
                <w:rFonts w:asciiTheme="minorHAnsi" w:hAnsiTheme="minorHAnsi" w:cstheme="minorHAnsi"/>
                <w:lang w:eastAsia="zh-CN"/>
              </w:rPr>
              <w:t>)</w:t>
            </w:r>
          </w:p>
        </w:tc>
      </w:tr>
      <w:tr w:rsidR="00F93349" w:rsidRPr="00DF24D3" w14:paraId="31A49353" w14:textId="77777777" w:rsidTr="009912AE">
        <w:trPr>
          <w:cantSplit/>
          <w:trHeight w:val="355"/>
        </w:trPr>
        <w:tc>
          <w:tcPr>
            <w:tcW w:w="3227" w:type="dxa"/>
            <w:tcBorders>
              <w:top w:val="single" w:sz="4" w:space="0" w:color="auto"/>
              <w:left w:val="single" w:sz="4" w:space="0" w:color="auto"/>
              <w:bottom w:val="single" w:sz="4" w:space="0" w:color="auto"/>
              <w:right w:val="single" w:sz="4" w:space="0" w:color="auto"/>
            </w:tcBorders>
            <w:hideMark/>
          </w:tcPr>
          <w:p w14:paraId="2EF5A78D" w14:textId="77777777" w:rsidR="00F93349" w:rsidRPr="00DF24D3" w:rsidRDefault="00F93349" w:rsidP="00F93349">
            <w:pPr>
              <w:pStyle w:val="BodyText"/>
              <w:kinsoku w:val="0"/>
              <w:overflowPunct w:val="0"/>
              <w:spacing w:line="240" w:lineRule="auto"/>
              <w:ind w:right="113"/>
              <w:rPr>
                <w:rFonts w:asciiTheme="minorHAnsi" w:hAnsiTheme="minorHAnsi" w:cstheme="minorHAnsi"/>
                <w:lang w:eastAsia="zh-CN"/>
              </w:rPr>
            </w:pPr>
            <w:r w:rsidRPr="00DF24D3">
              <w:rPr>
                <w:rFonts w:asciiTheme="minorHAnsi" w:hAnsiTheme="minorHAnsi" w:cstheme="minorHAnsi"/>
                <w:lang w:eastAsia="zh-CN"/>
              </w:rPr>
              <w:t xml:space="preserve">Median House Price to Workplace Earnings </w:t>
            </w:r>
            <w:proofErr w:type="spellStart"/>
            <w:r w:rsidRPr="00DF24D3">
              <w:rPr>
                <w:rFonts w:asciiTheme="minorHAnsi" w:hAnsiTheme="minorHAnsi" w:cstheme="minorHAnsi"/>
                <w:lang w:eastAsia="zh-CN"/>
              </w:rPr>
              <w:t>Ratio</w:t>
            </w:r>
            <w:r w:rsidRPr="00DF24D3">
              <w:rPr>
                <w:rFonts w:asciiTheme="minorHAnsi" w:hAnsiTheme="minorHAnsi" w:cstheme="minorHAnsi"/>
                <w:vertAlign w:val="superscript"/>
                <w:lang w:eastAsia="zh-CN"/>
              </w:rPr>
              <w:t>d</w:t>
            </w:r>
            <w:proofErr w:type="spellEnd"/>
          </w:p>
        </w:tc>
        <w:tc>
          <w:tcPr>
            <w:tcW w:w="1311" w:type="dxa"/>
            <w:tcBorders>
              <w:top w:val="single" w:sz="4" w:space="0" w:color="auto"/>
              <w:left w:val="single" w:sz="4" w:space="0" w:color="auto"/>
              <w:bottom w:val="single" w:sz="4" w:space="0" w:color="auto"/>
              <w:right w:val="nil"/>
            </w:tcBorders>
            <w:hideMark/>
          </w:tcPr>
          <w:p w14:paraId="212994C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4.0</w:t>
            </w:r>
          </w:p>
          <w:p w14:paraId="533C835C"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(1.9-9.4)</w:t>
            </w:r>
          </w:p>
        </w:tc>
        <w:tc>
          <w:tcPr>
            <w:tcW w:w="1311" w:type="dxa"/>
            <w:tcBorders>
              <w:top w:val="single" w:sz="4" w:space="0" w:color="auto"/>
              <w:left w:val="nil"/>
              <w:bottom w:val="single" w:sz="4" w:space="0" w:color="auto"/>
              <w:right w:val="nil"/>
            </w:tcBorders>
          </w:tcPr>
          <w:p w14:paraId="06F3015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7.2</w:t>
            </w:r>
          </w:p>
          <w:p w14:paraId="2B0D9B13" w14:textId="3386322E"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(2.4-11.9)</w:t>
            </w:r>
          </w:p>
        </w:tc>
        <w:tc>
          <w:tcPr>
            <w:tcW w:w="1311" w:type="dxa"/>
            <w:tcBorders>
              <w:top w:val="single" w:sz="4" w:space="0" w:color="auto"/>
              <w:left w:val="nil"/>
              <w:bottom w:val="single" w:sz="4" w:space="0" w:color="auto"/>
              <w:right w:val="nil"/>
            </w:tcBorders>
          </w:tcPr>
          <w:p w14:paraId="3E3FD99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7.2</w:t>
            </w:r>
          </w:p>
          <w:p w14:paraId="4178126E" w14:textId="328A54C3"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(3.3-14.0)</w:t>
            </w:r>
          </w:p>
        </w:tc>
        <w:tc>
          <w:tcPr>
            <w:tcW w:w="1311" w:type="dxa"/>
            <w:tcBorders>
              <w:top w:val="single" w:sz="4" w:space="0" w:color="auto"/>
              <w:left w:val="nil"/>
              <w:bottom w:val="single" w:sz="4" w:space="0" w:color="auto"/>
              <w:right w:val="single" w:sz="4" w:space="0" w:color="auto"/>
            </w:tcBorders>
          </w:tcPr>
          <w:p w14:paraId="3667DC2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8.5</w:t>
            </w:r>
          </w:p>
          <w:p w14:paraId="4974B37B"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(2.7-18.0)</w:t>
            </w:r>
          </w:p>
        </w:tc>
        <w:tc>
          <w:tcPr>
            <w:tcW w:w="1311" w:type="dxa"/>
            <w:tcBorders>
              <w:top w:val="single" w:sz="4" w:space="0" w:color="auto"/>
              <w:left w:val="single" w:sz="4" w:space="0" w:color="auto"/>
              <w:bottom w:val="single" w:sz="4" w:space="0" w:color="auto"/>
              <w:right w:val="nil"/>
            </w:tcBorders>
          </w:tcPr>
          <w:p w14:paraId="1D16593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5.1 </w:t>
            </w:r>
          </w:p>
          <w:p w14:paraId="7D6868AA"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(2.6-11.9)</w:t>
            </w:r>
          </w:p>
        </w:tc>
        <w:tc>
          <w:tcPr>
            <w:tcW w:w="1311" w:type="dxa"/>
            <w:tcBorders>
              <w:top w:val="single" w:sz="4" w:space="0" w:color="auto"/>
              <w:left w:val="nil"/>
              <w:bottom w:val="single" w:sz="4" w:space="0" w:color="auto"/>
              <w:right w:val="nil"/>
            </w:tcBorders>
          </w:tcPr>
          <w:p w14:paraId="66B7B47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8.8</w:t>
            </w:r>
          </w:p>
          <w:p w14:paraId="52A3E386" w14:textId="30924432"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(6.1-17.1)</w:t>
            </w:r>
          </w:p>
        </w:tc>
        <w:tc>
          <w:tcPr>
            <w:tcW w:w="1311" w:type="dxa"/>
            <w:tcBorders>
              <w:top w:val="single" w:sz="4" w:space="0" w:color="auto"/>
              <w:left w:val="nil"/>
              <w:bottom w:val="single" w:sz="4" w:space="0" w:color="auto"/>
              <w:right w:val="nil"/>
            </w:tcBorders>
          </w:tcPr>
          <w:p w14:paraId="764EF047"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9.8</w:t>
            </w:r>
          </w:p>
          <w:p w14:paraId="189286C6" w14:textId="4D64C3E3"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(5.9-24.3)</w:t>
            </w:r>
          </w:p>
        </w:tc>
        <w:tc>
          <w:tcPr>
            <w:tcW w:w="1312" w:type="dxa"/>
            <w:tcBorders>
              <w:top w:val="single" w:sz="4" w:space="0" w:color="auto"/>
              <w:left w:val="nil"/>
              <w:bottom w:val="single" w:sz="4" w:space="0" w:color="auto"/>
              <w:right w:val="single" w:sz="4" w:space="0" w:color="auto"/>
            </w:tcBorders>
          </w:tcPr>
          <w:p w14:paraId="484920BD"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15.8 </w:t>
            </w:r>
          </w:p>
          <w:p w14:paraId="3879BF16"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(9.68-40.7)</w:t>
            </w:r>
          </w:p>
        </w:tc>
      </w:tr>
      <w:tr w:rsidR="00F93349" w:rsidRPr="00DF24D3" w14:paraId="070F7302" w14:textId="77777777" w:rsidTr="009912AE">
        <w:trPr>
          <w:cantSplit/>
          <w:trHeight w:val="745"/>
        </w:trPr>
        <w:tc>
          <w:tcPr>
            <w:tcW w:w="3227" w:type="dxa"/>
            <w:tcBorders>
              <w:top w:val="single" w:sz="4" w:space="0" w:color="auto"/>
              <w:left w:val="single" w:sz="4" w:space="0" w:color="auto"/>
              <w:bottom w:val="single" w:sz="4" w:space="0" w:color="auto"/>
              <w:right w:val="single" w:sz="4" w:space="0" w:color="auto"/>
            </w:tcBorders>
            <w:hideMark/>
          </w:tcPr>
          <w:p w14:paraId="11B492F3" w14:textId="77777777" w:rsidR="00F93349" w:rsidRPr="00DF24D3" w:rsidRDefault="00F93349" w:rsidP="00F93349">
            <w:pPr>
              <w:pStyle w:val="BodyText"/>
              <w:kinsoku w:val="0"/>
              <w:overflowPunct w:val="0"/>
              <w:spacing w:line="240" w:lineRule="auto"/>
              <w:ind w:right="113"/>
              <w:rPr>
                <w:rFonts w:asciiTheme="minorHAnsi" w:hAnsiTheme="minorHAnsi" w:cstheme="minorHAnsi"/>
                <w:lang w:eastAsia="zh-CN"/>
              </w:rPr>
            </w:pPr>
            <w:r w:rsidRPr="00DF24D3">
              <w:rPr>
                <w:rFonts w:asciiTheme="minorHAnsi" w:hAnsiTheme="minorHAnsi" w:cstheme="minorHAnsi"/>
                <w:lang w:eastAsia="zh-CN"/>
              </w:rPr>
              <w:t xml:space="preserve">Total Number of Social Housing Units for each LAD per 100 people (18 and </w:t>
            </w:r>
            <w:proofErr w:type="gramStart"/>
            <w:r w:rsidRPr="00DF24D3">
              <w:rPr>
                <w:rFonts w:asciiTheme="minorHAnsi" w:hAnsiTheme="minorHAnsi" w:cstheme="minorHAnsi"/>
                <w:lang w:eastAsia="zh-CN"/>
              </w:rPr>
              <w:t>over)</w:t>
            </w:r>
            <w:r w:rsidRPr="00DF24D3">
              <w:rPr>
                <w:rFonts w:asciiTheme="minorHAnsi" w:hAnsiTheme="minorHAnsi" w:cstheme="minorHAnsi"/>
                <w:vertAlign w:val="superscript"/>
                <w:lang w:eastAsia="zh-CN"/>
              </w:rPr>
              <w:t>e</w:t>
            </w:r>
            <w:proofErr w:type="gramEnd"/>
          </w:p>
        </w:tc>
        <w:tc>
          <w:tcPr>
            <w:tcW w:w="1311" w:type="dxa"/>
            <w:tcBorders>
              <w:top w:val="single" w:sz="4" w:space="0" w:color="auto"/>
              <w:left w:val="single" w:sz="4" w:space="0" w:color="auto"/>
              <w:bottom w:val="single" w:sz="4" w:space="0" w:color="auto"/>
              <w:right w:val="nil"/>
            </w:tcBorders>
            <w:hideMark/>
          </w:tcPr>
          <w:p w14:paraId="577625CE"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7.2</w:t>
            </w:r>
          </w:p>
          <w:p w14:paraId="6A952C25"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(0.0-20.4)</w:t>
            </w:r>
          </w:p>
        </w:tc>
        <w:tc>
          <w:tcPr>
            <w:tcW w:w="1311" w:type="dxa"/>
            <w:tcBorders>
              <w:top w:val="single" w:sz="4" w:space="0" w:color="auto"/>
              <w:left w:val="nil"/>
              <w:bottom w:val="single" w:sz="4" w:space="0" w:color="auto"/>
              <w:right w:val="nil"/>
            </w:tcBorders>
          </w:tcPr>
          <w:p w14:paraId="7FE28272"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4.2</w:t>
            </w:r>
          </w:p>
          <w:p w14:paraId="54DDA519" w14:textId="2FB345CD"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(0.0-16.8)</w:t>
            </w:r>
          </w:p>
        </w:tc>
        <w:tc>
          <w:tcPr>
            <w:tcW w:w="1311" w:type="dxa"/>
            <w:tcBorders>
              <w:top w:val="single" w:sz="4" w:space="0" w:color="auto"/>
              <w:left w:val="nil"/>
              <w:bottom w:val="single" w:sz="4" w:space="0" w:color="auto"/>
              <w:right w:val="nil"/>
            </w:tcBorders>
          </w:tcPr>
          <w:p w14:paraId="0B89A304"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3.2</w:t>
            </w:r>
          </w:p>
          <w:p w14:paraId="46C172DB" w14:textId="3A3F8641"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(0.0-15.9)</w:t>
            </w:r>
          </w:p>
        </w:tc>
        <w:tc>
          <w:tcPr>
            <w:tcW w:w="1311" w:type="dxa"/>
            <w:tcBorders>
              <w:top w:val="single" w:sz="4" w:space="0" w:color="auto"/>
              <w:left w:val="nil"/>
              <w:bottom w:val="single" w:sz="4" w:space="0" w:color="auto"/>
              <w:right w:val="single" w:sz="4" w:space="0" w:color="auto"/>
            </w:tcBorders>
          </w:tcPr>
          <w:p w14:paraId="066009DD"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3.5</w:t>
            </w:r>
          </w:p>
          <w:p w14:paraId="2D670FA5"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(0.0-14.4)</w:t>
            </w:r>
          </w:p>
        </w:tc>
        <w:tc>
          <w:tcPr>
            <w:tcW w:w="1311" w:type="dxa"/>
            <w:tcBorders>
              <w:top w:val="single" w:sz="4" w:space="0" w:color="auto"/>
              <w:left w:val="single" w:sz="4" w:space="0" w:color="auto"/>
              <w:bottom w:val="single" w:sz="4" w:space="0" w:color="auto"/>
              <w:right w:val="nil"/>
            </w:tcBorders>
          </w:tcPr>
          <w:p w14:paraId="65CFF4CC"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11.3 </w:t>
            </w:r>
          </w:p>
          <w:p w14:paraId="75EF175D"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(0.0-28.4)</w:t>
            </w:r>
          </w:p>
        </w:tc>
        <w:tc>
          <w:tcPr>
            <w:tcW w:w="1311" w:type="dxa"/>
            <w:tcBorders>
              <w:top w:val="single" w:sz="4" w:space="0" w:color="auto"/>
              <w:left w:val="nil"/>
              <w:bottom w:val="single" w:sz="4" w:space="0" w:color="auto"/>
              <w:right w:val="nil"/>
            </w:tcBorders>
          </w:tcPr>
          <w:p w14:paraId="2DBBAB1D"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8.1</w:t>
            </w:r>
          </w:p>
          <w:p w14:paraId="37D66CEB" w14:textId="13A05499"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(0.0-21.3)</w:t>
            </w:r>
          </w:p>
        </w:tc>
        <w:tc>
          <w:tcPr>
            <w:tcW w:w="1311" w:type="dxa"/>
            <w:tcBorders>
              <w:top w:val="single" w:sz="4" w:space="0" w:color="auto"/>
              <w:left w:val="nil"/>
              <w:bottom w:val="single" w:sz="4" w:space="0" w:color="auto"/>
              <w:right w:val="nil"/>
            </w:tcBorders>
          </w:tcPr>
          <w:p w14:paraId="08DA3BFD"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6.7</w:t>
            </w:r>
          </w:p>
          <w:p w14:paraId="5647AC60" w14:textId="373C1A8C"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(0.0-17.8)</w:t>
            </w:r>
          </w:p>
        </w:tc>
        <w:tc>
          <w:tcPr>
            <w:tcW w:w="1312" w:type="dxa"/>
            <w:tcBorders>
              <w:top w:val="single" w:sz="4" w:space="0" w:color="auto"/>
              <w:left w:val="nil"/>
              <w:bottom w:val="single" w:sz="4" w:space="0" w:color="auto"/>
              <w:right w:val="single" w:sz="4" w:space="0" w:color="auto"/>
            </w:tcBorders>
          </w:tcPr>
          <w:p w14:paraId="16ACC6CE"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5.7 </w:t>
            </w:r>
          </w:p>
          <w:p w14:paraId="7D537DD6"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(0-15.4)</w:t>
            </w:r>
          </w:p>
        </w:tc>
      </w:tr>
      <w:tr w:rsidR="00F93349" w:rsidRPr="00DF24D3" w14:paraId="74909212" w14:textId="77777777" w:rsidTr="009912AE">
        <w:trPr>
          <w:cantSplit/>
          <w:trHeight w:val="355"/>
        </w:trPr>
        <w:tc>
          <w:tcPr>
            <w:tcW w:w="3227" w:type="dxa"/>
            <w:tcBorders>
              <w:top w:val="single" w:sz="4" w:space="0" w:color="auto"/>
              <w:left w:val="single" w:sz="4" w:space="0" w:color="auto"/>
              <w:bottom w:val="single" w:sz="4" w:space="0" w:color="auto"/>
              <w:right w:val="single" w:sz="4" w:space="0" w:color="auto"/>
            </w:tcBorders>
            <w:hideMark/>
          </w:tcPr>
          <w:p w14:paraId="76BBB55E" w14:textId="77777777" w:rsidR="00F93349" w:rsidRPr="00DF24D3" w:rsidRDefault="00F93349" w:rsidP="00F93349">
            <w:pPr>
              <w:pStyle w:val="BodyText"/>
              <w:kinsoku w:val="0"/>
              <w:overflowPunct w:val="0"/>
              <w:spacing w:line="240" w:lineRule="auto"/>
              <w:ind w:right="113"/>
              <w:rPr>
                <w:rFonts w:asciiTheme="minorHAnsi" w:hAnsiTheme="minorHAnsi" w:cstheme="minorHAnsi"/>
                <w:lang w:eastAsia="zh-CN"/>
              </w:rPr>
            </w:pPr>
            <w:r w:rsidRPr="00DF24D3">
              <w:rPr>
                <w:rFonts w:asciiTheme="minorHAnsi" w:hAnsiTheme="minorHAnsi" w:cstheme="minorHAnsi"/>
                <w:lang w:eastAsia="zh-CN"/>
              </w:rPr>
              <w:t xml:space="preserve">% Pupils in Secondary Schools which were </w:t>
            </w:r>
            <w:proofErr w:type="spellStart"/>
            <w:r w:rsidRPr="00DF24D3">
              <w:rPr>
                <w:rFonts w:asciiTheme="minorHAnsi" w:hAnsiTheme="minorHAnsi" w:cstheme="minorHAnsi"/>
                <w:lang w:eastAsia="zh-CN"/>
              </w:rPr>
              <w:t>Black</w:t>
            </w:r>
            <w:r w:rsidRPr="00DF24D3">
              <w:rPr>
                <w:rFonts w:asciiTheme="minorHAnsi" w:hAnsiTheme="minorHAnsi" w:cstheme="minorHAnsi"/>
                <w:vertAlign w:val="superscript"/>
                <w:lang w:eastAsia="zh-CN"/>
              </w:rPr>
              <w:t>f</w:t>
            </w:r>
            <w:proofErr w:type="spellEnd"/>
          </w:p>
        </w:tc>
        <w:tc>
          <w:tcPr>
            <w:tcW w:w="1311" w:type="dxa"/>
            <w:tcBorders>
              <w:top w:val="single" w:sz="4" w:space="0" w:color="auto"/>
              <w:left w:val="single" w:sz="4" w:space="0" w:color="auto"/>
              <w:bottom w:val="single" w:sz="4" w:space="0" w:color="auto"/>
              <w:right w:val="nil"/>
            </w:tcBorders>
            <w:hideMark/>
          </w:tcPr>
          <w:p w14:paraId="1A29C658"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0.9</w:t>
            </w:r>
          </w:p>
          <w:p w14:paraId="4FAAE6B9"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(0.1-9.0)</w:t>
            </w:r>
          </w:p>
        </w:tc>
        <w:tc>
          <w:tcPr>
            <w:tcW w:w="1311" w:type="dxa"/>
            <w:tcBorders>
              <w:top w:val="single" w:sz="4" w:space="0" w:color="auto"/>
              <w:left w:val="nil"/>
              <w:bottom w:val="single" w:sz="4" w:space="0" w:color="auto"/>
              <w:right w:val="nil"/>
            </w:tcBorders>
          </w:tcPr>
          <w:p w14:paraId="320E2F20"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0.9</w:t>
            </w:r>
          </w:p>
          <w:p w14:paraId="53BFA254" w14:textId="6532AB5A"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(0.0-9.3)</w:t>
            </w:r>
          </w:p>
        </w:tc>
        <w:tc>
          <w:tcPr>
            <w:tcW w:w="1311" w:type="dxa"/>
            <w:tcBorders>
              <w:top w:val="single" w:sz="4" w:space="0" w:color="auto"/>
              <w:left w:val="nil"/>
              <w:bottom w:val="single" w:sz="4" w:space="0" w:color="auto"/>
              <w:right w:val="nil"/>
            </w:tcBorders>
          </w:tcPr>
          <w:p w14:paraId="63E47588"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1.3</w:t>
            </w:r>
          </w:p>
          <w:p w14:paraId="56BD1790" w14:textId="4E7DDA71"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(0.1-12.3)</w:t>
            </w:r>
          </w:p>
        </w:tc>
        <w:tc>
          <w:tcPr>
            <w:tcW w:w="1311" w:type="dxa"/>
            <w:tcBorders>
              <w:top w:val="single" w:sz="4" w:space="0" w:color="auto"/>
              <w:left w:val="nil"/>
              <w:bottom w:val="single" w:sz="4" w:space="0" w:color="auto"/>
              <w:right w:val="single" w:sz="4" w:space="0" w:color="auto"/>
            </w:tcBorders>
          </w:tcPr>
          <w:p w14:paraId="2F3DCD0D"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1.9</w:t>
            </w:r>
          </w:p>
          <w:p w14:paraId="70F0281D"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(0.1-16.6)</w:t>
            </w:r>
          </w:p>
        </w:tc>
        <w:tc>
          <w:tcPr>
            <w:tcW w:w="1311" w:type="dxa"/>
            <w:tcBorders>
              <w:top w:val="single" w:sz="4" w:space="0" w:color="auto"/>
              <w:left w:val="single" w:sz="4" w:space="0" w:color="auto"/>
              <w:bottom w:val="single" w:sz="4" w:space="0" w:color="auto"/>
              <w:right w:val="nil"/>
            </w:tcBorders>
          </w:tcPr>
          <w:p w14:paraId="483FC9CF"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16.9 </w:t>
            </w:r>
          </w:p>
          <w:p w14:paraId="522DEBFB"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(1.7-51.7)</w:t>
            </w:r>
          </w:p>
        </w:tc>
        <w:tc>
          <w:tcPr>
            <w:tcW w:w="1311" w:type="dxa"/>
            <w:tcBorders>
              <w:top w:val="single" w:sz="4" w:space="0" w:color="auto"/>
              <w:left w:val="nil"/>
              <w:bottom w:val="single" w:sz="4" w:space="0" w:color="auto"/>
              <w:right w:val="nil"/>
            </w:tcBorders>
          </w:tcPr>
          <w:p w14:paraId="17D34B32"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19.8</w:t>
            </w:r>
          </w:p>
          <w:p w14:paraId="3BD5D323" w14:textId="1FF88AF1"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(3.9-52.8)</w:t>
            </w:r>
          </w:p>
        </w:tc>
        <w:tc>
          <w:tcPr>
            <w:tcW w:w="1311" w:type="dxa"/>
            <w:tcBorders>
              <w:top w:val="single" w:sz="4" w:space="0" w:color="auto"/>
              <w:left w:val="nil"/>
              <w:bottom w:val="single" w:sz="4" w:space="0" w:color="auto"/>
              <w:right w:val="nil"/>
            </w:tcBorders>
          </w:tcPr>
          <w:p w14:paraId="1CF707DC"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21.4</w:t>
            </w:r>
          </w:p>
          <w:p w14:paraId="6364ADF9" w14:textId="4BF54143"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(4.1-48.3)</w:t>
            </w:r>
          </w:p>
        </w:tc>
        <w:tc>
          <w:tcPr>
            <w:tcW w:w="1312" w:type="dxa"/>
            <w:tcBorders>
              <w:top w:val="single" w:sz="4" w:space="0" w:color="auto"/>
              <w:left w:val="nil"/>
              <w:bottom w:val="single" w:sz="4" w:space="0" w:color="auto"/>
              <w:right w:val="single" w:sz="4" w:space="0" w:color="auto"/>
            </w:tcBorders>
          </w:tcPr>
          <w:p w14:paraId="28731E59"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21.5 </w:t>
            </w:r>
          </w:p>
          <w:p w14:paraId="635FFD98"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(4.0-46.4)</w:t>
            </w:r>
          </w:p>
        </w:tc>
      </w:tr>
      <w:tr w:rsidR="00F93349" w:rsidRPr="00DF24D3" w14:paraId="5501FC55" w14:textId="77777777" w:rsidTr="009912AE">
        <w:trPr>
          <w:cantSplit/>
          <w:trHeight w:val="355"/>
        </w:trPr>
        <w:tc>
          <w:tcPr>
            <w:tcW w:w="3227" w:type="dxa"/>
            <w:tcBorders>
              <w:top w:val="single" w:sz="4" w:space="0" w:color="auto"/>
              <w:left w:val="single" w:sz="4" w:space="0" w:color="auto"/>
              <w:bottom w:val="single" w:sz="4" w:space="0" w:color="auto"/>
              <w:right w:val="single" w:sz="4" w:space="0" w:color="auto"/>
            </w:tcBorders>
            <w:hideMark/>
          </w:tcPr>
          <w:p w14:paraId="6940C548" w14:textId="77777777" w:rsidR="00F93349" w:rsidRPr="00DF24D3" w:rsidRDefault="00F93349" w:rsidP="00F93349">
            <w:pPr>
              <w:pStyle w:val="BodyText"/>
              <w:kinsoku w:val="0"/>
              <w:overflowPunct w:val="0"/>
              <w:spacing w:line="240" w:lineRule="auto"/>
              <w:ind w:right="113"/>
              <w:rPr>
                <w:rFonts w:asciiTheme="minorHAnsi" w:hAnsiTheme="minorHAnsi" w:cstheme="minorHAnsi"/>
                <w:lang w:eastAsia="zh-CN"/>
              </w:rPr>
            </w:pPr>
            <w:r w:rsidRPr="00DF24D3">
              <w:rPr>
                <w:rFonts w:asciiTheme="minorHAnsi" w:hAnsiTheme="minorHAnsi" w:cstheme="minorHAnsi"/>
                <w:lang w:eastAsia="zh-CN"/>
              </w:rPr>
              <w:t xml:space="preserve">% Pupils in Secondary Schools which were South </w:t>
            </w:r>
            <w:proofErr w:type="spellStart"/>
            <w:r w:rsidRPr="00DF24D3">
              <w:rPr>
                <w:rFonts w:asciiTheme="minorHAnsi" w:hAnsiTheme="minorHAnsi" w:cstheme="minorHAnsi"/>
                <w:lang w:eastAsia="zh-CN"/>
              </w:rPr>
              <w:t>Asian</w:t>
            </w:r>
            <w:r w:rsidRPr="00DF24D3">
              <w:rPr>
                <w:rFonts w:asciiTheme="minorHAnsi" w:hAnsiTheme="minorHAnsi" w:cstheme="minorHAnsi"/>
                <w:vertAlign w:val="superscript"/>
                <w:lang w:eastAsia="zh-CN"/>
              </w:rPr>
              <w:t>f</w:t>
            </w:r>
            <w:proofErr w:type="spellEnd"/>
          </w:p>
        </w:tc>
        <w:tc>
          <w:tcPr>
            <w:tcW w:w="1311" w:type="dxa"/>
            <w:tcBorders>
              <w:top w:val="single" w:sz="4" w:space="0" w:color="auto"/>
              <w:left w:val="single" w:sz="4" w:space="0" w:color="auto"/>
              <w:bottom w:val="single" w:sz="4" w:space="0" w:color="auto"/>
              <w:right w:val="nil"/>
            </w:tcBorders>
            <w:hideMark/>
          </w:tcPr>
          <w:p w14:paraId="74DD4806"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3.2</w:t>
            </w:r>
          </w:p>
          <w:p w14:paraId="68210B75"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(0.1-33.7)</w:t>
            </w:r>
          </w:p>
        </w:tc>
        <w:tc>
          <w:tcPr>
            <w:tcW w:w="1311" w:type="dxa"/>
            <w:tcBorders>
              <w:top w:val="single" w:sz="4" w:space="0" w:color="auto"/>
              <w:left w:val="nil"/>
              <w:bottom w:val="single" w:sz="4" w:space="0" w:color="auto"/>
              <w:right w:val="nil"/>
            </w:tcBorders>
          </w:tcPr>
          <w:p w14:paraId="4D31FA7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3.4</w:t>
            </w:r>
          </w:p>
          <w:p w14:paraId="57CB1015" w14:textId="11618F4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(0.1-43.4)</w:t>
            </w:r>
          </w:p>
        </w:tc>
        <w:tc>
          <w:tcPr>
            <w:tcW w:w="1311" w:type="dxa"/>
            <w:tcBorders>
              <w:top w:val="single" w:sz="4" w:space="0" w:color="auto"/>
              <w:left w:val="nil"/>
              <w:bottom w:val="single" w:sz="4" w:space="0" w:color="auto"/>
              <w:right w:val="nil"/>
            </w:tcBorders>
          </w:tcPr>
          <w:p w14:paraId="66C2628B"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4.4</w:t>
            </w:r>
          </w:p>
          <w:p w14:paraId="1AD9AB51" w14:textId="4A4B60D6"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(0.1-46.4)</w:t>
            </w:r>
          </w:p>
        </w:tc>
        <w:tc>
          <w:tcPr>
            <w:tcW w:w="1311" w:type="dxa"/>
            <w:tcBorders>
              <w:top w:val="single" w:sz="4" w:space="0" w:color="auto"/>
              <w:left w:val="nil"/>
              <w:bottom w:val="single" w:sz="4" w:space="0" w:color="auto"/>
              <w:right w:val="single" w:sz="4" w:space="0" w:color="auto"/>
            </w:tcBorders>
          </w:tcPr>
          <w:p w14:paraId="2B8E0C62"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6.0</w:t>
            </w:r>
          </w:p>
          <w:p w14:paraId="037DC9CC"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(0.3-51.8)</w:t>
            </w:r>
          </w:p>
        </w:tc>
        <w:tc>
          <w:tcPr>
            <w:tcW w:w="1311" w:type="dxa"/>
            <w:tcBorders>
              <w:top w:val="single" w:sz="4" w:space="0" w:color="auto"/>
              <w:left w:val="single" w:sz="4" w:space="0" w:color="auto"/>
              <w:bottom w:val="single" w:sz="4" w:space="0" w:color="auto"/>
              <w:right w:val="nil"/>
            </w:tcBorders>
          </w:tcPr>
          <w:p w14:paraId="0BB34173"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14.9 </w:t>
            </w:r>
          </w:p>
          <w:p w14:paraId="76E27DF0"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(1.8-55.5)</w:t>
            </w:r>
          </w:p>
        </w:tc>
        <w:tc>
          <w:tcPr>
            <w:tcW w:w="1311" w:type="dxa"/>
            <w:tcBorders>
              <w:top w:val="single" w:sz="4" w:space="0" w:color="auto"/>
              <w:left w:val="nil"/>
              <w:bottom w:val="single" w:sz="4" w:space="0" w:color="auto"/>
              <w:right w:val="nil"/>
            </w:tcBorders>
          </w:tcPr>
          <w:p w14:paraId="1AD585FA"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16.3</w:t>
            </w:r>
          </w:p>
          <w:p w14:paraId="1236A7DF" w14:textId="0C818B1C"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(1.9-56.8)</w:t>
            </w:r>
          </w:p>
        </w:tc>
        <w:tc>
          <w:tcPr>
            <w:tcW w:w="1311" w:type="dxa"/>
            <w:tcBorders>
              <w:top w:val="single" w:sz="4" w:space="0" w:color="auto"/>
              <w:left w:val="nil"/>
              <w:bottom w:val="single" w:sz="4" w:space="0" w:color="auto"/>
              <w:right w:val="nil"/>
            </w:tcBorders>
          </w:tcPr>
          <w:p w14:paraId="60C268FE"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17.6</w:t>
            </w:r>
          </w:p>
          <w:p w14:paraId="129CB12E" w14:textId="1D42BE7A"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(3.1-61.7)</w:t>
            </w:r>
          </w:p>
        </w:tc>
        <w:tc>
          <w:tcPr>
            <w:tcW w:w="1312" w:type="dxa"/>
            <w:tcBorders>
              <w:top w:val="single" w:sz="4" w:space="0" w:color="auto"/>
              <w:left w:val="nil"/>
              <w:bottom w:val="single" w:sz="4" w:space="0" w:color="auto"/>
              <w:right w:val="single" w:sz="4" w:space="0" w:color="auto"/>
            </w:tcBorders>
          </w:tcPr>
          <w:p w14:paraId="2045EE41"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 xml:space="preserve">19.6 </w:t>
            </w:r>
          </w:p>
          <w:p w14:paraId="35D20476" w14:textId="77777777" w:rsidR="00F93349" w:rsidRPr="00DF24D3" w:rsidRDefault="00F93349" w:rsidP="00F93349">
            <w:pPr>
              <w:pStyle w:val="BodyText"/>
              <w:kinsoku w:val="0"/>
              <w:overflowPunct w:val="0"/>
              <w:spacing w:line="240" w:lineRule="auto"/>
              <w:ind w:right="113"/>
              <w:jc w:val="center"/>
              <w:rPr>
                <w:rFonts w:asciiTheme="minorHAnsi" w:hAnsiTheme="minorHAnsi" w:cstheme="minorHAnsi"/>
                <w:lang w:eastAsia="zh-CN"/>
              </w:rPr>
            </w:pPr>
            <w:r w:rsidRPr="00DF24D3">
              <w:rPr>
                <w:rFonts w:asciiTheme="minorHAnsi" w:hAnsiTheme="minorHAnsi" w:cstheme="minorHAnsi"/>
                <w:lang w:eastAsia="zh-CN"/>
              </w:rPr>
              <w:t>(4.4-69.7)</w:t>
            </w:r>
          </w:p>
        </w:tc>
      </w:tr>
      <w:tr w:rsidR="00F93349" w:rsidRPr="00DF24D3" w14:paraId="4156021F" w14:textId="77777777" w:rsidTr="009912AE">
        <w:trPr>
          <w:cantSplit/>
          <w:trHeight w:val="659"/>
        </w:trPr>
        <w:tc>
          <w:tcPr>
            <w:tcW w:w="13716" w:type="dxa"/>
            <w:gridSpan w:val="9"/>
            <w:tcBorders>
              <w:top w:val="single" w:sz="4" w:space="0" w:color="auto"/>
              <w:left w:val="single" w:sz="4" w:space="0" w:color="auto"/>
              <w:bottom w:val="single" w:sz="4" w:space="0" w:color="auto"/>
              <w:right w:val="single" w:sz="4" w:space="0" w:color="auto"/>
            </w:tcBorders>
          </w:tcPr>
          <w:p w14:paraId="483A1E12" w14:textId="6795D062" w:rsidR="00F93349" w:rsidRPr="007E37E1" w:rsidRDefault="00F93349" w:rsidP="00F93349">
            <w:pPr>
              <w:pStyle w:val="BodyText"/>
              <w:kinsoku w:val="0"/>
              <w:overflowPunct w:val="0"/>
              <w:spacing w:line="240" w:lineRule="auto"/>
              <w:ind w:right="113"/>
              <w:rPr>
                <w:rFonts w:asciiTheme="minorHAnsi" w:hAnsiTheme="minorHAnsi" w:cstheme="minorHAnsi"/>
                <w:i/>
                <w:iCs/>
                <w:lang w:eastAsia="zh-CN"/>
              </w:rPr>
            </w:pPr>
            <w:r w:rsidRPr="007E37E1">
              <w:rPr>
                <w:rFonts w:asciiTheme="minorHAnsi" w:hAnsiTheme="minorHAnsi" w:cstheme="minorHAnsi"/>
                <w:i/>
                <w:iCs/>
                <w:lang w:eastAsia="zh-CN"/>
              </w:rPr>
              <w:t>*</w:t>
            </w:r>
            <w:r>
              <w:rPr>
                <w:rFonts w:asciiTheme="minorHAnsi" w:hAnsiTheme="minorHAnsi" w:cstheme="minorHAnsi"/>
                <w:i/>
                <w:iCs/>
                <w:lang w:eastAsia="zh-CN"/>
              </w:rPr>
              <w:t>In this table, t</w:t>
            </w:r>
            <w:r w:rsidRPr="007E37E1">
              <w:rPr>
                <w:rFonts w:asciiTheme="minorHAnsi" w:hAnsiTheme="minorHAnsi" w:cstheme="minorHAnsi"/>
                <w:i/>
                <w:iCs/>
                <w:lang w:eastAsia="zh-CN"/>
              </w:rPr>
              <w:t>he 2015 value</w:t>
            </w:r>
            <w:r>
              <w:rPr>
                <w:rFonts w:asciiTheme="minorHAnsi" w:hAnsiTheme="minorHAnsi" w:cstheme="minorHAnsi"/>
                <w:i/>
                <w:iCs/>
                <w:lang w:eastAsia="zh-CN"/>
              </w:rPr>
              <w:t>s</w:t>
            </w:r>
            <w:r w:rsidRPr="007E37E1">
              <w:rPr>
                <w:rFonts w:asciiTheme="minorHAnsi" w:hAnsiTheme="minorHAnsi" w:cstheme="minorHAnsi"/>
                <w:i/>
                <w:iCs/>
                <w:lang w:eastAsia="zh-CN"/>
              </w:rPr>
              <w:t xml:space="preserve"> for GCSE attainment h</w:t>
            </w:r>
            <w:r>
              <w:rPr>
                <w:rFonts w:asciiTheme="minorHAnsi" w:hAnsiTheme="minorHAnsi" w:cstheme="minorHAnsi"/>
                <w:i/>
                <w:iCs/>
                <w:lang w:eastAsia="zh-CN"/>
              </w:rPr>
              <w:t>ave</w:t>
            </w:r>
            <w:r w:rsidRPr="007E37E1">
              <w:rPr>
                <w:rFonts w:asciiTheme="minorHAnsi" w:hAnsiTheme="minorHAnsi" w:cstheme="minorHAnsi"/>
                <w:i/>
                <w:iCs/>
                <w:lang w:eastAsia="zh-CN"/>
              </w:rPr>
              <w:t xml:space="preserve"> been taken for 2017 due to grading changes. </w:t>
            </w:r>
          </w:p>
          <w:p w14:paraId="78A08688" w14:textId="77777777" w:rsidR="00F93349" w:rsidRPr="007E37E1" w:rsidRDefault="00F93349" w:rsidP="00F93349">
            <w:pPr>
              <w:pStyle w:val="BodyText"/>
              <w:kinsoku w:val="0"/>
              <w:overflowPunct w:val="0"/>
              <w:spacing w:line="240" w:lineRule="auto"/>
              <w:ind w:right="113"/>
              <w:rPr>
                <w:rFonts w:asciiTheme="minorHAnsi" w:hAnsiTheme="minorHAnsi" w:cstheme="minorHAnsi"/>
                <w:u w:val="single"/>
                <w:lang w:eastAsia="zh-CN"/>
              </w:rPr>
            </w:pPr>
            <w:r w:rsidRPr="007E37E1">
              <w:rPr>
                <w:rFonts w:asciiTheme="minorHAnsi" w:hAnsiTheme="minorHAnsi" w:cstheme="minorHAnsi"/>
                <w:lang w:eastAsia="zh-CN"/>
              </w:rPr>
              <w:t>Data sources: A – Conception tables from the Office for National Statistics.</w:t>
            </w:r>
            <w:r w:rsidRPr="003D099F">
              <w:rPr>
                <w:rFonts w:cstheme="minorHAnsi"/>
                <w:lang w:eastAsia="zh-CN"/>
              </w:rPr>
              <w:fldChar w:fldCharType="begin"/>
            </w:r>
            <w:r w:rsidRPr="00FC3349">
              <w:rPr>
                <w:rFonts w:asciiTheme="minorHAnsi" w:hAnsiTheme="minorHAnsi" w:cstheme="minorHAnsi"/>
                <w:lang w:eastAsia="zh-CN"/>
              </w:rPr>
              <w:instrText xml:space="preserve"> ADDIN EN.CITE &lt;EndNote&gt;&lt;Cite&gt;&lt;Author&gt;Statistics&lt;/Author&gt;&lt;Year&gt;2018&lt;/Year&gt;&lt;RecNum&gt;307&lt;/RecNum&gt;&lt;DisplayText&gt;(3)&lt;/DisplayText&gt;&lt;record&gt;&lt;rec-number&gt;307&lt;/rec-number&gt;&lt;foreign-keys&gt;&lt;key app="EN" db-id="prwsr0p5gsxr5aer9pcpf9xp0evwt22w5wwe" timestamp="1554377907"&gt;307&lt;/key&gt;&lt;/foreign-keys&gt;&lt;ref-type name="Dataset"&gt;59&lt;/ref-type&gt;&lt;contributors&gt;&lt;authors&gt;&lt;author&gt;Office for National Statistics,&lt;/author&gt;&lt;/authors&gt;&lt;/contributors&gt;&lt;titles&gt;&lt;title&gt;Dataset: Conception statistics, England and Wales&lt;/title&gt;&lt;/titles&gt;&lt;dates&gt;&lt;year&gt;2018&lt;/year&gt;&lt;/dates&gt;&lt;urls&gt;&lt;related-urls&gt;&lt;url&gt;https://www.ons.gov.uk/peoplepopulationandcommunity/birthsdeathsandmarriages/conceptionandfertilityrates/datasets/conceptionstatisticsenglandandwalesreferencetables&lt;/url&gt;&lt;/related-urls&gt;&lt;/urls&gt;&lt;/record&gt;&lt;/Cite&gt;&lt;/EndNote&gt;</w:instrText>
            </w:r>
            <w:r w:rsidRPr="003D099F">
              <w:rPr>
                <w:rFonts w:cstheme="minorHAnsi"/>
                <w:lang w:eastAsia="zh-CN"/>
              </w:rPr>
              <w:fldChar w:fldCharType="separate"/>
            </w:r>
            <w:r w:rsidRPr="00FC3349">
              <w:rPr>
                <w:rFonts w:asciiTheme="minorHAnsi" w:hAnsiTheme="minorHAnsi" w:cstheme="minorHAnsi"/>
                <w:lang w:eastAsia="zh-CN"/>
              </w:rPr>
              <w:t>(3)</w:t>
            </w:r>
            <w:r w:rsidRPr="003D099F">
              <w:rPr>
                <w:rFonts w:cstheme="minorHAnsi"/>
                <w:lang w:eastAsia="zh-CN"/>
              </w:rPr>
              <w:fldChar w:fldCharType="end"/>
            </w:r>
            <w:r w:rsidRPr="003D099F">
              <w:rPr>
                <w:rFonts w:asciiTheme="minorHAnsi" w:hAnsiTheme="minorHAnsi" w:cstheme="minorHAnsi"/>
                <w:lang w:eastAsia="zh-CN"/>
              </w:rPr>
              <w:t xml:space="preserve"> B - Official Labour Market Statistics from the Office for National Statistics. C - GCSE and equivalent </w:t>
            </w:r>
            <w:r w:rsidRPr="001800D8">
              <w:rPr>
                <w:rFonts w:asciiTheme="minorHAnsi" w:hAnsiTheme="minorHAnsi" w:cstheme="minorHAnsi"/>
                <w:lang w:eastAsia="zh-CN"/>
              </w:rPr>
              <w:t>results in England from the Department for Education. D - House price to workplace-based earnings ratio from the Office for National Statistics. E – Ministry of Housing, Communities &amp; Local Government, and p</w:t>
            </w:r>
            <w:r w:rsidRPr="005851B6">
              <w:rPr>
                <w:rFonts w:asciiTheme="minorHAnsi" w:hAnsiTheme="minorHAnsi" w:cstheme="minorHAnsi"/>
                <w:lang w:eastAsia="zh-CN"/>
              </w:rPr>
              <w:t xml:space="preserve">opulation estimates from the Office for National </w:t>
            </w:r>
            <w:r w:rsidRPr="00564D6D">
              <w:rPr>
                <w:rFonts w:asciiTheme="minorHAnsi" w:hAnsiTheme="minorHAnsi" w:cstheme="minorHAnsi"/>
                <w:lang w:eastAsia="zh-CN"/>
              </w:rPr>
              <w:t xml:space="preserve">Statistics. F - Schools, pupils and their characteristics tables which are derived from the School Census. </w:t>
            </w:r>
          </w:p>
        </w:tc>
      </w:tr>
    </w:tbl>
    <w:p w14:paraId="1B9C3CB3" w14:textId="77777777" w:rsidR="00F93349" w:rsidRPr="00FC3349" w:rsidRDefault="00F93349" w:rsidP="00F93349">
      <w:pPr>
        <w:pStyle w:val="EndNoteBibliography"/>
        <w:spacing w:after="0" w:line="360" w:lineRule="auto"/>
        <w:rPr>
          <w:rFonts w:asciiTheme="minorHAnsi" w:hAnsiTheme="minorHAnsi" w:cstheme="minorHAnsi"/>
          <w:noProof w:val="0"/>
          <w:lang w:val="en-GB"/>
        </w:rPr>
      </w:pPr>
    </w:p>
    <w:bookmarkEnd w:id="13"/>
    <w:p w14:paraId="53D165E9" w14:textId="77777777" w:rsidR="00F93349" w:rsidRPr="00DF24D3" w:rsidRDefault="00F93349" w:rsidP="00F93349">
      <w:pPr>
        <w:rPr>
          <w:rFonts w:asciiTheme="minorHAnsi" w:hAnsiTheme="minorHAnsi" w:cstheme="minorHAnsi"/>
          <w:sz w:val="24"/>
          <w:szCs w:val="24"/>
        </w:rPr>
        <w:sectPr w:rsidR="00F93349" w:rsidRPr="00DF24D3" w:rsidSect="005E06A6">
          <w:type w:val="continuous"/>
          <w:pgSz w:w="16840" w:h="11907" w:orient="landscape" w:code="9"/>
          <w:pgMar w:top="1080" w:right="1440" w:bottom="1080" w:left="1440" w:header="425" w:footer="425" w:gutter="0"/>
          <w:lnNumType w:countBy="1"/>
          <w:cols w:space="708"/>
          <w:formProt w:val="0"/>
          <w:docGrid w:linePitch="360"/>
        </w:sectPr>
      </w:pPr>
    </w:p>
    <w:p w14:paraId="5C4B35CF" w14:textId="310F9A94" w:rsidR="00405591" w:rsidRPr="0044286B" w:rsidRDefault="00405591" w:rsidP="00405591">
      <w:pPr>
        <w:spacing w:line="240" w:lineRule="auto"/>
        <w:rPr>
          <w:rFonts w:asciiTheme="minorHAnsi" w:hAnsiTheme="minorHAnsi" w:cstheme="minorHAnsi"/>
          <w:sz w:val="20"/>
          <w:szCs w:val="20"/>
        </w:rPr>
      </w:pPr>
      <w:r w:rsidRPr="003D099F">
        <w:rPr>
          <w:rFonts w:asciiTheme="minorHAnsi" w:hAnsiTheme="minorHAnsi" w:cstheme="minorHAnsi"/>
          <w:sz w:val="20"/>
          <w:szCs w:val="20"/>
        </w:rPr>
        <w:lastRenderedPageBreak/>
        <w:t xml:space="preserve">Table </w:t>
      </w:r>
      <w:r w:rsidR="00396E8E" w:rsidRPr="009C4969">
        <w:rPr>
          <w:rFonts w:asciiTheme="minorHAnsi" w:hAnsiTheme="minorHAnsi" w:cstheme="minorHAnsi"/>
          <w:sz w:val="20"/>
          <w:szCs w:val="20"/>
        </w:rPr>
        <w:t>2</w:t>
      </w:r>
      <w:r w:rsidRPr="0044286B">
        <w:rPr>
          <w:rFonts w:asciiTheme="minorHAnsi" w:hAnsiTheme="minorHAnsi" w:cstheme="minorHAnsi"/>
          <w:sz w:val="20"/>
          <w:szCs w:val="20"/>
        </w:rPr>
        <w:t xml:space="preserve"> The random intercept models of the relationships between Local Authority District under-18 conception rates and the Local Authority District characteristics, between 1998 and 2017 in England</w:t>
      </w:r>
    </w:p>
    <w:tbl>
      <w:tblPr>
        <w:tblW w:w="8359" w:type="dxa"/>
        <w:tblLook w:val="04A0" w:firstRow="1" w:lastRow="0" w:firstColumn="1" w:lastColumn="0" w:noHBand="0" w:noVBand="1"/>
      </w:tblPr>
      <w:tblGrid>
        <w:gridCol w:w="5665"/>
        <w:gridCol w:w="709"/>
        <w:gridCol w:w="709"/>
        <w:gridCol w:w="709"/>
        <w:gridCol w:w="567"/>
      </w:tblGrid>
      <w:tr w:rsidR="00405591" w:rsidRPr="0044286B" w14:paraId="362DF32C" w14:textId="77777777" w:rsidTr="00707A63">
        <w:trPr>
          <w:cantSplit/>
          <w:trHeight w:hRule="exact" w:val="356"/>
          <w:tblHeader/>
        </w:trPr>
        <w:tc>
          <w:tcPr>
            <w:tcW w:w="5665" w:type="dxa"/>
            <w:tcBorders>
              <w:top w:val="single" w:sz="4" w:space="0" w:color="auto"/>
              <w:left w:val="single" w:sz="4" w:space="0" w:color="auto"/>
              <w:bottom w:val="nil"/>
              <w:right w:val="nil"/>
            </w:tcBorders>
            <w:shd w:val="clear" w:color="000000" w:fill="FFFFFF"/>
            <w:vAlign w:val="center"/>
            <w:hideMark/>
          </w:tcPr>
          <w:p w14:paraId="4C5C3A6A"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 </w:t>
            </w:r>
          </w:p>
        </w:tc>
        <w:tc>
          <w:tcPr>
            <w:tcW w:w="1418" w:type="dxa"/>
            <w:gridSpan w:val="2"/>
            <w:tcBorders>
              <w:top w:val="single" w:sz="4" w:space="0" w:color="auto"/>
              <w:left w:val="single" w:sz="4" w:space="0" w:color="auto"/>
              <w:bottom w:val="nil"/>
              <w:right w:val="single" w:sz="4" w:space="0" w:color="auto"/>
            </w:tcBorders>
            <w:shd w:val="clear" w:color="000000" w:fill="FFFFFF"/>
            <w:vAlign w:val="center"/>
            <w:hideMark/>
          </w:tcPr>
          <w:p w14:paraId="0939C3C9" w14:textId="77777777" w:rsidR="00405591" w:rsidRPr="0044286B" w:rsidRDefault="00405591" w:rsidP="00707A63">
            <w:pPr>
              <w:spacing w:line="140" w:lineRule="exact"/>
              <w:jc w:val="center"/>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Model 1</w:t>
            </w:r>
          </w:p>
        </w:tc>
        <w:tc>
          <w:tcPr>
            <w:tcW w:w="1276" w:type="dxa"/>
            <w:gridSpan w:val="2"/>
            <w:tcBorders>
              <w:top w:val="single" w:sz="4" w:space="0" w:color="auto"/>
              <w:left w:val="nil"/>
              <w:right w:val="single" w:sz="4" w:space="0" w:color="auto"/>
            </w:tcBorders>
            <w:shd w:val="clear" w:color="000000" w:fill="FFFFFF"/>
            <w:vAlign w:val="center"/>
          </w:tcPr>
          <w:p w14:paraId="0818B03E" w14:textId="77777777" w:rsidR="00405591" w:rsidRPr="0044286B" w:rsidRDefault="00405591" w:rsidP="00707A63">
            <w:pPr>
              <w:spacing w:line="140" w:lineRule="exact"/>
              <w:jc w:val="center"/>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Model 2</w:t>
            </w:r>
          </w:p>
        </w:tc>
      </w:tr>
      <w:tr w:rsidR="00405591" w:rsidRPr="0044286B" w14:paraId="5FEFA928" w14:textId="77777777" w:rsidTr="00707A63">
        <w:trPr>
          <w:cantSplit/>
          <w:trHeight w:val="273"/>
          <w:tblHeader/>
        </w:trPr>
        <w:tc>
          <w:tcPr>
            <w:tcW w:w="5665" w:type="dxa"/>
            <w:tcBorders>
              <w:top w:val="nil"/>
              <w:left w:val="single" w:sz="4" w:space="0" w:color="auto"/>
              <w:bottom w:val="nil"/>
              <w:right w:val="nil"/>
            </w:tcBorders>
            <w:shd w:val="clear" w:color="000000" w:fill="FFFFFF"/>
            <w:vAlign w:val="center"/>
            <w:hideMark/>
          </w:tcPr>
          <w:p w14:paraId="1BD69EC0"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VARIABLES</w:t>
            </w:r>
          </w:p>
        </w:tc>
        <w:tc>
          <w:tcPr>
            <w:tcW w:w="1418" w:type="dxa"/>
            <w:gridSpan w:val="2"/>
            <w:tcBorders>
              <w:top w:val="nil"/>
              <w:left w:val="single" w:sz="4" w:space="0" w:color="auto"/>
              <w:bottom w:val="nil"/>
              <w:right w:val="single" w:sz="4" w:space="0" w:color="auto"/>
            </w:tcBorders>
            <w:shd w:val="clear" w:color="000000" w:fill="FFFFFF"/>
            <w:vAlign w:val="center"/>
            <w:hideMark/>
          </w:tcPr>
          <w:p w14:paraId="1394F555" w14:textId="77777777" w:rsidR="00405591" w:rsidRPr="0044286B" w:rsidRDefault="00405591" w:rsidP="00707A63">
            <w:pPr>
              <w:spacing w:line="140" w:lineRule="exact"/>
              <w:jc w:val="center"/>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Rurality and Time Period Only</w:t>
            </w:r>
          </w:p>
        </w:tc>
        <w:tc>
          <w:tcPr>
            <w:tcW w:w="1276" w:type="dxa"/>
            <w:gridSpan w:val="2"/>
            <w:tcBorders>
              <w:left w:val="nil"/>
              <w:bottom w:val="nil"/>
              <w:right w:val="single" w:sz="4" w:space="0" w:color="auto"/>
            </w:tcBorders>
            <w:shd w:val="clear" w:color="000000" w:fill="FFFFFF"/>
            <w:vAlign w:val="center"/>
          </w:tcPr>
          <w:p w14:paraId="54947F97" w14:textId="77777777" w:rsidR="00405591" w:rsidRPr="0044286B" w:rsidRDefault="00405591" w:rsidP="00707A63">
            <w:pPr>
              <w:spacing w:line="140" w:lineRule="exact"/>
              <w:jc w:val="center"/>
              <w:rPr>
                <w:rFonts w:asciiTheme="minorHAnsi" w:hAnsiTheme="minorHAnsi" w:cstheme="minorHAnsi"/>
                <w:color w:val="000000"/>
                <w:sz w:val="16"/>
                <w:szCs w:val="16"/>
                <w:lang w:eastAsia="en-GB"/>
              </w:rPr>
            </w:pPr>
          </w:p>
        </w:tc>
      </w:tr>
      <w:tr w:rsidR="00405591" w:rsidRPr="0044286B" w14:paraId="0F3AE643" w14:textId="77777777" w:rsidTr="00707A63">
        <w:trPr>
          <w:cantSplit/>
        </w:trPr>
        <w:tc>
          <w:tcPr>
            <w:tcW w:w="5665" w:type="dxa"/>
            <w:tcBorders>
              <w:top w:val="single" w:sz="4" w:space="0" w:color="auto"/>
              <w:left w:val="single" w:sz="4" w:space="0" w:color="auto"/>
              <w:bottom w:val="nil"/>
              <w:right w:val="nil"/>
            </w:tcBorders>
            <w:shd w:val="clear" w:color="000000" w:fill="FFFFFF"/>
            <w:vAlign w:val="center"/>
            <w:hideMark/>
          </w:tcPr>
          <w:p w14:paraId="0839538E"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Time Period (Ref. = 1998)</w:t>
            </w:r>
          </w:p>
        </w:tc>
        <w:tc>
          <w:tcPr>
            <w:tcW w:w="709" w:type="dxa"/>
            <w:tcBorders>
              <w:top w:val="single" w:sz="4" w:space="0" w:color="auto"/>
              <w:left w:val="nil"/>
              <w:bottom w:val="nil"/>
              <w:right w:val="nil"/>
            </w:tcBorders>
            <w:shd w:val="clear" w:color="000000" w:fill="FFFFFF"/>
            <w:vAlign w:val="center"/>
            <w:hideMark/>
          </w:tcPr>
          <w:p w14:paraId="1A4710E8"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single" w:sz="4" w:space="0" w:color="auto"/>
              <w:left w:val="nil"/>
              <w:bottom w:val="nil"/>
              <w:right w:val="nil"/>
            </w:tcBorders>
            <w:shd w:val="clear" w:color="000000" w:fill="FFFFFF"/>
            <w:vAlign w:val="center"/>
          </w:tcPr>
          <w:p w14:paraId="33604F1A"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single" w:sz="4" w:space="0" w:color="auto"/>
              <w:left w:val="nil"/>
              <w:bottom w:val="nil"/>
              <w:right w:val="nil"/>
            </w:tcBorders>
            <w:shd w:val="clear" w:color="000000" w:fill="FFFFFF"/>
            <w:vAlign w:val="center"/>
          </w:tcPr>
          <w:p w14:paraId="10C7627A"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567" w:type="dxa"/>
            <w:tcBorders>
              <w:top w:val="single" w:sz="4" w:space="0" w:color="auto"/>
              <w:left w:val="nil"/>
              <w:bottom w:val="nil"/>
              <w:right w:val="single" w:sz="4" w:space="0" w:color="auto"/>
            </w:tcBorders>
            <w:shd w:val="clear" w:color="000000" w:fill="FFFFFF"/>
            <w:vAlign w:val="center"/>
          </w:tcPr>
          <w:p w14:paraId="4C19A77B"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r>
      <w:tr w:rsidR="00405591" w:rsidRPr="0044286B" w14:paraId="41B6D511"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1A0643E"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1999-2005</w:t>
            </w:r>
          </w:p>
        </w:tc>
        <w:tc>
          <w:tcPr>
            <w:tcW w:w="709" w:type="dxa"/>
            <w:tcBorders>
              <w:top w:val="nil"/>
              <w:left w:val="nil"/>
              <w:bottom w:val="nil"/>
              <w:right w:val="nil"/>
            </w:tcBorders>
            <w:shd w:val="clear" w:color="000000" w:fill="FFFFFF"/>
            <w:vAlign w:val="center"/>
            <w:hideMark/>
          </w:tcPr>
          <w:p w14:paraId="6132787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-4.21</w:t>
            </w:r>
          </w:p>
        </w:tc>
        <w:tc>
          <w:tcPr>
            <w:tcW w:w="709" w:type="dxa"/>
            <w:tcBorders>
              <w:top w:val="nil"/>
              <w:left w:val="nil"/>
              <w:bottom w:val="nil"/>
              <w:right w:val="nil"/>
            </w:tcBorders>
            <w:shd w:val="clear" w:color="000000" w:fill="FFFFFF"/>
            <w:vAlign w:val="center"/>
          </w:tcPr>
          <w:p w14:paraId="6843395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75FB20C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 xml:space="preserve"> 2.12</w:t>
            </w:r>
          </w:p>
        </w:tc>
        <w:tc>
          <w:tcPr>
            <w:tcW w:w="567" w:type="dxa"/>
            <w:tcBorders>
              <w:top w:val="nil"/>
              <w:left w:val="nil"/>
              <w:bottom w:val="nil"/>
              <w:right w:val="single" w:sz="4" w:space="0" w:color="auto"/>
            </w:tcBorders>
            <w:shd w:val="clear" w:color="000000" w:fill="FFFFFF"/>
            <w:vAlign w:val="center"/>
          </w:tcPr>
          <w:p w14:paraId="3E258D9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37170924"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1E18D1E2"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2006-2010</w:t>
            </w:r>
          </w:p>
        </w:tc>
        <w:tc>
          <w:tcPr>
            <w:tcW w:w="709" w:type="dxa"/>
            <w:tcBorders>
              <w:top w:val="nil"/>
              <w:left w:val="nil"/>
              <w:bottom w:val="nil"/>
              <w:right w:val="nil"/>
            </w:tcBorders>
            <w:shd w:val="clear" w:color="000000" w:fill="FFFFFF"/>
            <w:vAlign w:val="center"/>
            <w:hideMark/>
          </w:tcPr>
          <w:p w14:paraId="3938836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-8.20</w:t>
            </w:r>
          </w:p>
        </w:tc>
        <w:tc>
          <w:tcPr>
            <w:tcW w:w="709" w:type="dxa"/>
            <w:tcBorders>
              <w:top w:val="nil"/>
              <w:left w:val="nil"/>
              <w:bottom w:val="nil"/>
              <w:right w:val="nil"/>
            </w:tcBorders>
            <w:shd w:val="clear" w:color="000000" w:fill="FFFFFF"/>
            <w:vAlign w:val="center"/>
          </w:tcPr>
          <w:p w14:paraId="4814BD2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5EA9AC14"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 xml:space="preserve"> 26.07</w:t>
            </w:r>
          </w:p>
        </w:tc>
        <w:tc>
          <w:tcPr>
            <w:tcW w:w="567" w:type="dxa"/>
            <w:tcBorders>
              <w:top w:val="nil"/>
              <w:left w:val="nil"/>
              <w:bottom w:val="nil"/>
              <w:right w:val="single" w:sz="4" w:space="0" w:color="auto"/>
            </w:tcBorders>
            <w:shd w:val="clear" w:color="000000" w:fill="FFFFFF"/>
            <w:vAlign w:val="center"/>
          </w:tcPr>
          <w:p w14:paraId="2E3B617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35ABF1EF" w14:textId="77777777" w:rsidTr="00707A63">
        <w:trPr>
          <w:cantSplit/>
          <w:trHeight w:val="311"/>
        </w:trPr>
        <w:tc>
          <w:tcPr>
            <w:tcW w:w="5665" w:type="dxa"/>
            <w:tcBorders>
              <w:top w:val="nil"/>
              <w:left w:val="single" w:sz="4" w:space="0" w:color="auto"/>
              <w:bottom w:val="nil"/>
              <w:right w:val="nil"/>
            </w:tcBorders>
            <w:shd w:val="clear" w:color="000000" w:fill="FFFFFF"/>
            <w:vAlign w:val="center"/>
            <w:hideMark/>
          </w:tcPr>
          <w:p w14:paraId="09C68E09"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2011-2017</w:t>
            </w:r>
          </w:p>
        </w:tc>
        <w:tc>
          <w:tcPr>
            <w:tcW w:w="709" w:type="dxa"/>
            <w:tcBorders>
              <w:top w:val="nil"/>
              <w:left w:val="nil"/>
              <w:bottom w:val="nil"/>
              <w:right w:val="nil"/>
            </w:tcBorders>
            <w:shd w:val="clear" w:color="000000" w:fill="FFFFFF"/>
            <w:vAlign w:val="center"/>
            <w:hideMark/>
          </w:tcPr>
          <w:p w14:paraId="2143AE9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-23.17</w:t>
            </w:r>
          </w:p>
        </w:tc>
        <w:tc>
          <w:tcPr>
            <w:tcW w:w="709" w:type="dxa"/>
            <w:tcBorders>
              <w:top w:val="nil"/>
              <w:left w:val="nil"/>
              <w:bottom w:val="nil"/>
              <w:right w:val="nil"/>
            </w:tcBorders>
            <w:shd w:val="clear" w:color="000000" w:fill="FFFFFF"/>
            <w:vAlign w:val="center"/>
          </w:tcPr>
          <w:p w14:paraId="3C8D76A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1A0CB29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-23.01</w:t>
            </w:r>
          </w:p>
        </w:tc>
        <w:tc>
          <w:tcPr>
            <w:tcW w:w="567" w:type="dxa"/>
            <w:tcBorders>
              <w:top w:val="nil"/>
              <w:left w:val="nil"/>
              <w:bottom w:val="nil"/>
              <w:right w:val="single" w:sz="4" w:space="0" w:color="auto"/>
            </w:tcBorders>
            <w:shd w:val="clear" w:color="000000" w:fill="FFFFFF"/>
            <w:vAlign w:val="center"/>
          </w:tcPr>
          <w:p w14:paraId="742B215D"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595B8A0D"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06D2F20"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Urban/ Rural Measure (Ref. = Major Urban)</w:t>
            </w:r>
          </w:p>
        </w:tc>
        <w:tc>
          <w:tcPr>
            <w:tcW w:w="709" w:type="dxa"/>
            <w:tcBorders>
              <w:top w:val="nil"/>
              <w:left w:val="nil"/>
              <w:bottom w:val="nil"/>
              <w:right w:val="nil"/>
            </w:tcBorders>
            <w:shd w:val="clear" w:color="000000" w:fill="FFFFFF"/>
            <w:vAlign w:val="center"/>
            <w:hideMark/>
          </w:tcPr>
          <w:p w14:paraId="17B5952D"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2C289BD1"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2CEE6ACE"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567" w:type="dxa"/>
            <w:tcBorders>
              <w:top w:val="nil"/>
              <w:left w:val="nil"/>
              <w:bottom w:val="nil"/>
              <w:right w:val="single" w:sz="4" w:space="0" w:color="auto"/>
            </w:tcBorders>
            <w:shd w:val="clear" w:color="000000" w:fill="FFFFFF"/>
            <w:vAlign w:val="center"/>
          </w:tcPr>
          <w:p w14:paraId="51843E6C"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r>
      <w:tr w:rsidR="00405591" w:rsidRPr="0044286B" w14:paraId="0C7426C2"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7CC063E"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Large Urban</w:t>
            </w:r>
          </w:p>
        </w:tc>
        <w:tc>
          <w:tcPr>
            <w:tcW w:w="709" w:type="dxa"/>
            <w:tcBorders>
              <w:top w:val="nil"/>
              <w:left w:val="nil"/>
              <w:bottom w:val="nil"/>
              <w:right w:val="nil"/>
            </w:tcBorders>
            <w:shd w:val="clear" w:color="000000" w:fill="FFFFFF"/>
            <w:vAlign w:val="center"/>
            <w:hideMark/>
          </w:tcPr>
          <w:p w14:paraId="5918331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-1.33</w:t>
            </w:r>
          </w:p>
        </w:tc>
        <w:tc>
          <w:tcPr>
            <w:tcW w:w="709" w:type="dxa"/>
            <w:tcBorders>
              <w:top w:val="nil"/>
              <w:left w:val="nil"/>
              <w:bottom w:val="nil"/>
              <w:right w:val="nil"/>
            </w:tcBorders>
            <w:shd w:val="clear" w:color="000000" w:fill="FFFFFF"/>
            <w:vAlign w:val="center"/>
          </w:tcPr>
          <w:p w14:paraId="106DE164"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626C647C" w14:textId="3E180BE3" w:rsidR="00405591" w:rsidRPr="0044286B" w:rsidRDefault="006D3340" w:rsidP="00707A63">
            <w:pPr>
              <w:spacing w:line="140" w:lineRule="exact"/>
              <w:jc w:val="right"/>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 xml:space="preserve"> </w:t>
            </w:r>
            <w:r w:rsidR="00405591" w:rsidRPr="0044286B">
              <w:rPr>
                <w:rFonts w:asciiTheme="minorHAnsi" w:hAnsiTheme="minorHAnsi" w:cstheme="minorHAnsi"/>
                <w:color w:val="000000"/>
                <w:sz w:val="16"/>
                <w:szCs w:val="16"/>
                <w:lang w:eastAsia="en-GB"/>
              </w:rPr>
              <w:t xml:space="preserve"> 2.12</w:t>
            </w:r>
          </w:p>
        </w:tc>
        <w:tc>
          <w:tcPr>
            <w:tcW w:w="567" w:type="dxa"/>
            <w:tcBorders>
              <w:top w:val="nil"/>
              <w:left w:val="nil"/>
              <w:bottom w:val="nil"/>
              <w:right w:val="single" w:sz="4" w:space="0" w:color="auto"/>
            </w:tcBorders>
            <w:shd w:val="clear" w:color="000000" w:fill="FFFFFF"/>
            <w:vAlign w:val="center"/>
          </w:tcPr>
          <w:p w14:paraId="7357DAD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162BE43C"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EFF8544"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Other Urban</w:t>
            </w:r>
          </w:p>
        </w:tc>
        <w:tc>
          <w:tcPr>
            <w:tcW w:w="709" w:type="dxa"/>
            <w:tcBorders>
              <w:top w:val="nil"/>
              <w:left w:val="nil"/>
              <w:bottom w:val="nil"/>
              <w:right w:val="nil"/>
            </w:tcBorders>
            <w:shd w:val="clear" w:color="000000" w:fill="FFFFFF"/>
            <w:vAlign w:val="center"/>
            <w:hideMark/>
          </w:tcPr>
          <w:p w14:paraId="0BA862A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1.08</w:t>
            </w:r>
          </w:p>
        </w:tc>
        <w:tc>
          <w:tcPr>
            <w:tcW w:w="709" w:type="dxa"/>
            <w:tcBorders>
              <w:top w:val="nil"/>
              <w:left w:val="nil"/>
              <w:bottom w:val="nil"/>
              <w:right w:val="nil"/>
            </w:tcBorders>
            <w:shd w:val="clear" w:color="000000" w:fill="FFFFFF"/>
            <w:vAlign w:val="center"/>
          </w:tcPr>
          <w:p w14:paraId="55DDC8E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387057A0" w14:textId="22D9D020" w:rsidR="00405591" w:rsidRPr="0044286B" w:rsidRDefault="006D3340" w:rsidP="00707A63">
            <w:pPr>
              <w:spacing w:line="140" w:lineRule="exact"/>
              <w:jc w:val="right"/>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 xml:space="preserve"> </w:t>
            </w:r>
            <w:r w:rsidR="00405591" w:rsidRPr="0044286B">
              <w:rPr>
                <w:rFonts w:asciiTheme="minorHAnsi" w:hAnsiTheme="minorHAnsi" w:cstheme="minorHAnsi"/>
                <w:color w:val="000000"/>
                <w:sz w:val="16"/>
                <w:szCs w:val="16"/>
                <w:lang w:eastAsia="en-GB"/>
              </w:rPr>
              <w:t xml:space="preserve"> 2.93</w:t>
            </w:r>
          </w:p>
        </w:tc>
        <w:tc>
          <w:tcPr>
            <w:tcW w:w="567" w:type="dxa"/>
            <w:tcBorders>
              <w:top w:val="nil"/>
              <w:left w:val="nil"/>
              <w:bottom w:val="nil"/>
              <w:right w:val="single" w:sz="4" w:space="0" w:color="auto"/>
            </w:tcBorders>
            <w:shd w:val="clear" w:color="000000" w:fill="FFFFFF"/>
            <w:vAlign w:val="center"/>
          </w:tcPr>
          <w:p w14:paraId="48DE6094"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372BCF6F"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CDF9CCD"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Significant Rural</w:t>
            </w:r>
          </w:p>
        </w:tc>
        <w:tc>
          <w:tcPr>
            <w:tcW w:w="709" w:type="dxa"/>
            <w:tcBorders>
              <w:top w:val="nil"/>
              <w:left w:val="nil"/>
              <w:bottom w:val="nil"/>
              <w:right w:val="nil"/>
            </w:tcBorders>
            <w:shd w:val="clear" w:color="000000" w:fill="FFFFFF"/>
            <w:vAlign w:val="center"/>
            <w:hideMark/>
          </w:tcPr>
          <w:p w14:paraId="198F377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-8.48</w:t>
            </w:r>
          </w:p>
        </w:tc>
        <w:tc>
          <w:tcPr>
            <w:tcW w:w="709" w:type="dxa"/>
            <w:tcBorders>
              <w:top w:val="nil"/>
              <w:left w:val="nil"/>
              <w:bottom w:val="nil"/>
              <w:right w:val="nil"/>
            </w:tcBorders>
            <w:shd w:val="clear" w:color="000000" w:fill="FFFFFF"/>
            <w:vAlign w:val="center"/>
          </w:tcPr>
          <w:p w14:paraId="2650C08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02F5E5A4" w14:textId="698E93ED" w:rsidR="00405591" w:rsidRPr="0044286B" w:rsidRDefault="006D3340" w:rsidP="00707A63">
            <w:pPr>
              <w:spacing w:line="140" w:lineRule="exact"/>
              <w:jc w:val="right"/>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 xml:space="preserve"> </w:t>
            </w:r>
            <w:r w:rsidR="00405591" w:rsidRPr="0044286B">
              <w:rPr>
                <w:rFonts w:asciiTheme="minorHAnsi" w:hAnsiTheme="minorHAnsi" w:cstheme="minorHAnsi"/>
                <w:color w:val="000000"/>
                <w:sz w:val="16"/>
                <w:szCs w:val="16"/>
                <w:lang w:eastAsia="en-GB"/>
              </w:rPr>
              <w:t>-4.11</w:t>
            </w:r>
          </w:p>
        </w:tc>
        <w:tc>
          <w:tcPr>
            <w:tcW w:w="567" w:type="dxa"/>
            <w:tcBorders>
              <w:top w:val="nil"/>
              <w:left w:val="nil"/>
              <w:bottom w:val="nil"/>
              <w:right w:val="single" w:sz="4" w:space="0" w:color="auto"/>
            </w:tcBorders>
            <w:shd w:val="clear" w:color="000000" w:fill="FFFFFF"/>
            <w:vAlign w:val="center"/>
          </w:tcPr>
          <w:p w14:paraId="2E7770B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636B625E"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6C1B396"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Rural-50%</w:t>
            </w:r>
          </w:p>
        </w:tc>
        <w:tc>
          <w:tcPr>
            <w:tcW w:w="709" w:type="dxa"/>
            <w:tcBorders>
              <w:top w:val="nil"/>
              <w:left w:val="nil"/>
              <w:bottom w:val="nil"/>
              <w:right w:val="nil"/>
            </w:tcBorders>
            <w:shd w:val="clear" w:color="000000" w:fill="FFFFFF"/>
            <w:vAlign w:val="center"/>
            <w:hideMark/>
          </w:tcPr>
          <w:p w14:paraId="7013484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-10.99</w:t>
            </w:r>
          </w:p>
        </w:tc>
        <w:tc>
          <w:tcPr>
            <w:tcW w:w="709" w:type="dxa"/>
            <w:tcBorders>
              <w:top w:val="nil"/>
              <w:left w:val="nil"/>
              <w:bottom w:val="nil"/>
              <w:right w:val="nil"/>
            </w:tcBorders>
            <w:shd w:val="clear" w:color="000000" w:fill="FFFFFF"/>
            <w:vAlign w:val="center"/>
          </w:tcPr>
          <w:p w14:paraId="2EC97E6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0302F363" w14:textId="7FA91C10" w:rsidR="00405591" w:rsidRPr="0044286B" w:rsidRDefault="006D3340" w:rsidP="00707A63">
            <w:pPr>
              <w:spacing w:line="140" w:lineRule="exact"/>
              <w:jc w:val="right"/>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 xml:space="preserve"> </w:t>
            </w:r>
            <w:r w:rsidR="00405591" w:rsidRPr="0044286B">
              <w:rPr>
                <w:rFonts w:asciiTheme="minorHAnsi" w:hAnsiTheme="minorHAnsi" w:cstheme="minorHAnsi"/>
                <w:color w:val="000000"/>
                <w:sz w:val="16"/>
                <w:szCs w:val="16"/>
                <w:lang w:eastAsia="en-GB"/>
              </w:rPr>
              <w:t>-5.90</w:t>
            </w:r>
          </w:p>
        </w:tc>
        <w:tc>
          <w:tcPr>
            <w:tcW w:w="567" w:type="dxa"/>
            <w:tcBorders>
              <w:top w:val="nil"/>
              <w:left w:val="nil"/>
              <w:bottom w:val="nil"/>
              <w:right w:val="single" w:sz="4" w:space="0" w:color="auto"/>
            </w:tcBorders>
            <w:shd w:val="clear" w:color="000000" w:fill="FFFFFF"/>
            <w:vAlign w:val="center"/>
          </w:tcPr>
          <w:p w14:paraId="233FD8C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0DB3C650"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9A9A377"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Rural-80%</w:t>
            </w:r>
          </w:p>
        </w:tc>
        <w:tc>
          <w:tcPr>
            <w:tcW w:w="709" w:type="dxa"/>
            <w:tcBorders>
              <w:top w:val="nil"/>
              <w:left w:val="nil"/>
              <w:bottom w:val="nil"/>
              <w:right w:val="nil"/>
            </w:tcBorders>
            <w:shd w:val="clear" w:color="000000" w:fill="FFFFFF"/>
            <w:vAlign w:val="center"/>
            <w:hideMark/>
          </w:tcPr>
          <w:p w14:paraId="6BF0D49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-14.83</w:t>
            </w:r>
          </w:p>
        </w:tc>
        <w:tc>
          <w:tcPr>
            <w:tcW w:w="709" w:type="dxa"/>
            <w:tcBorders>
              <w:top w:val="nil"/>
              <w:left w:val="nil"/>
              <w:bottom w:val="nil"/>
              <w:right w:val="nil"/>
            </w:tcBorders>
            <w:shd w:val="clear" w:color="000000" w:fill="FFFFFF"/>
            <w:vAlign w:val="center"/>
          </w:tcPr>
          <w:p w14:paraId="1119505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132C1A8F" w14:textId="33368A06" w:rsidR="00405591" w:rsidRPr="0044286B" w:rsidRDefault="006D3340" w:rsidP="00707A63">
            <w:pPr>
              <w:spacing w:line="140" w:lineRule="exact"/>
              <w:jc w:val="right"/>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 xml:space="preserve"> </w:t>
            </w:r>
            <w:r w:rsidR="00405591" w:rsidRPr="0044286B">
              <w:rPr>
                <w:rFonts w:asciiTheme="minorHAnsi" w:hAnsiTheme="minorHAnsi" w:cstheme="minorHAnsi"/>
                <w:color w:val="000000"/>
                <w:sz w:val="16"/>
                <w:szCs w:val="16"/>
                <w:lang w:eastAsia="en-GB"/>
              </w:rPr>
              <w:t>-10.00</w:t>
            </w:r>
          </w:p>
        </w:tc>
        <w:tc>
          <w:tcPr>
            <w:tcW w:w="567" w:type="dxa"/>
            <w:tcBorders>
              <w:top w:val="nil"/>
              <w:left w:val="nil"/>
              <w:bottom w:val="nil"/>
              <w:right w:val="single" w:sz="4" w:space="0" w:color="auto"/>
            </w:tcBorders>
            <w:shd w:val="clear" w:color="000000" w:fill="FFFFFF"/>
            <w:vAlign w:val="center"/>
          </w:tcPr>
          <w:p w14:paraId="1E03AA95"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30288175"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44CB96AC"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Inner London</w:t>
            </w:r>
          </w:p>
        </w:tc>
        <w:tc>
          <w:tcPr>
            <w:tcW w:w="709" w:type="dxa"/>
            <w:tcBorders>
              <w:top w:val="nil"/>
              <w:left w:val="nil"/>
              <w:bottom w:val="nil"/>
              <w:right w:val="nil"/>
            </w:tcBorders>
            <w:shd w:val="clear" w:color="000000" w:fill="FFFFFF"/>
            <w:vAlign w:val="center"/>
            <w:hideMark/>
          </w:tcPr>
          <w:p w14:paraId="5160136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15.90</w:t>
            </w:r>
          </w:p>
        </w:tc>
        <w:tc>
          <w:tcPr>
            <w:tcW w:w="709" w:type="dxa"/>
            <w:tcBorders>
              <w:top w:val="nil"/>
              <w:left w:val="nil"/>
              <w:bottom w:val="nil"/>
              <w:right w:val="nil"/>
            </w:tcBorders>
            <w:shd w:val="clear" w:color="000000" w:fill="FFFFFF"/>
            <w:vAlign w:val="center"/>
          </w:tcPr>
          <w:p w14:paraId="6DD47AB4"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0B743F02" w14:textId="69494B19" w:rsidR="00405591" w:rsidRPr="0044286B" w:rsidRDefault="006D3340" w:rsidP="00707A63">
            <w:pPr>
              <w:spacing w:line="140" w:lineRule="exact"/>
              <w:jc w:val="right"/>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 xml:space="preserve"> </w:t>
            </w:r>
            <w:r w:rsidR="00405591" w:rsidRPr="0044286B">
              <w:rPr>
                <w:rFonts w:asciiTheme="minorHAnsi" w:hAnsiTheme="minorHAnsi" w:cstheme="minorHAnsi"/>
                <w:color w:val="000000"/>
                <w:sz w:val="16"/>
                <w:szCs w:val="16"/>
                <w:lang w:eastAsia="en-GB"/>
              </w:rPr>
              <w:t xml:space="preserve"> 3.60</w:t>
            </w:r>
          </w:p>
        </w:tc>
        <w:tc>
          <w:tcPr>
            <w:tcW w:w="567" w:type="dxa"/>
            <w:tcBorders>
              <w:top w:val="nil"/>
              <w:left w:val="nil"/>
              <w:bottom w:val="nil"/>
              <w:right w:val="single" w:sz="4" w:space="0" w:color="auto"/>
            </w:tcBorders>
            <w:shd w:val="clear" w:color="000000" w:fill="FFFFFF"/>
            <w:vAlign w:val="center"/>
          </w:tcPr>
          <w:p w14:paraId="05A1EDB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2E2DD7CC"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1CFB3D66"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Outer London</w:t>
            </w:r>
          </w:p>
        </w:tc>
        <w:tc>
          <w:tcPr>
            <w:tcW w:w="709" w:type="dxa"/>
            <w:tcBorders>
              <w:top w:val="nil"/>
              <w:left w:val="nil"/>
              <w:bottom w:val="nil"/>
              <w:right w:val="nil"/>
            </w:tcBorders>
            <w:shd w:val="clear" w:color="000000" w:fill="FFFFFF"/>
            <w:vAlign w:val="center"/>
            <w:hideMark/>
          </w:tcPr>
          <w:p w14:paraId="6D6F280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-6.85</w:t>
            </w:r>
          </w:p>
        </w:tc>
        <w:tc>
          <w:tcPr>
            <w:tcW w:w="709" w:type="dxa"/>
            <w:tcBorders>
              <w:top w:val="nil"/>
              <w:left w:val="nil"/>
              <w:bottom w:val="nil"/>
              <w:right w:val="nil"/>
            </w:tcBorders>
            <w:shd w:val="clear" w:color="000000" w:fill="FFFFFF"/>
            <w:vAlign w:val="center"/>
          </w:tcPr>
          <w:p w14:paraId="5C5E7FC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305A1320" w14:textId="26867E4F" w:rsidR="00405591" w:rsidRPr="0044286B" w:rsidRDefault="006D3340" w:rsidP="00707A63">
            <w:pPr>
              <w:spacing w:line="140" w:lineRule="exact"/>
              <w:jc w:val="right"/>
              <w:rPr>
                <w:rFonts w:asciiTheme="minorHAnsi" w:hAnsiTheme="minorHAnsi" w:cstheme="minorHAnsi"/>
                <w:color w:val="000000"/>
                <w:sz w:val="16"/>
                <w:szCs w:val="16"/>
                <w:lang w:eastAsia="en-GB"/>
              </w:rPr>
            </w:pPr>
            <w:r>
              <w:rPr>
                <w:rFonts w:asciiTheme="minorHAnsi" w:hAnsiTheme="minorHAnsi" w:cstheme="minorHAnsi"/>
                <w:color w:val="000000"/>
                <w:sz w:val="16"/>
                <w:szCs w:val="16"/>
                <w:lang w:eastAsia="en-GB"/>
              </w:rPr>
              <w:t xml:space="preserve"> </w:t>
            </w:r>
            <w:r w:rsidR="00405591" w:rsidRPr="0044286B">
              <w:rPr>
                <w:rFonts w:asciiTheme="minorHAnsi" w:hAnsiTheme="minorHAnsi" w:cstheme="minorHAnsi"/>
                <w:color w:val="000000"/>
                <w:sz w:val="16"/>
                <w:szCs w:val="16"/>
                <w:lang w:eastAsia="en-GB"/>
              </w:rPr>
              <w:t>-5.44</w:t>
            </w:r>
          </w:p>
        </w:tc>
        <w:tc>
          <w:tcPr>
            <w:tcW w:w="567" w:type="dxa"/>
            <w:tcBorders>
              <w:top w:val="nil"/>
              <w:left w:val="nil"/>
              <w:bottom w:val="nil"/>
              <w:right w:val="single" w:sz="4" w:space="0" w:color="auto"/>
            </w:tcBorders>
            <w:shd w:val="clear" w:color="000000" w:fill="FFFFFF"/>
            <w:vAlign w:val="center"/>
          </w:tcPr>
          <w:p w14:paraId="0A9C6DD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4321FA66"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FBC8407"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Urban/Rural Interactions with Time Period</w:t>
            </w:r>
          </w:p>
        </w:tc>
        <w:tc>
          <w:tcPr>
            <w:tcW w:w="709" w:type="dxa"/>
            <w:tcBorders>
              <w:top w:val="nil"/>
              <w:left w:val="nil"/>
              <w:bottom w:val="nil"/>
              <w:right w:val="nil"/>
            </w:tcBorders>
            <w:shd w:val="clear" w:color="000000" w:fill="FFFFFF"/>
            <w:vAlign w:val="center"/>
            <w:hideMark/>
          </w:tcPr>
          <w:p w14:paraId="6E21CEFE"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 </w:t>
            </w:r>
          </w:p>
        </w:tc>
        <w:tc>
          <w:tcPr>
            <w:tcW w:w="709" w:type="dxa"/>
            <w:tcBorders>
              <w:top w:val="nil"/>
              <w:left w:val="nil"/>
              <w:bottom w:val="nil"/>
              <w:right w:val="nil"/>
            </w:tcBorders>
            <w:shd w:val="clear" w:color="000000" w:fill="FFFFFF"/>
            <w:vAlign w:val="center"/>
          </w:tcPr>
          <w:p w14:paraId="220EC6EF"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2BF27E97"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 </w:t>
            </w:r>
          </w:p>
        </w:tc>
        <w:tc>
          <w:tcPr>
            <w:tcW w:w="567" w:type="dxa"/>
            <w:tcBorders>
              <w:top w:val="nil"/>
              <w:left w:val="nil"/>
              <w:bottom w:val="nil"/>
              <w:right w:val="single" w:sz="4" w:space="0" w:color="auto"/>
            </w:tcBorders>
            <w:shd w:val="clear" w:color="000000" w:fill="FFFFFF"/>
            <w:vAlign w:val="center"/>
          </w:tcPr>
          <w:p w14:paraId="10EF3070"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r>
      <w:tr w:rsidR="00405591" w:rsidRPr="0044286B" w14:paraId="29CAA97A"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0990005D"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Large Urban * 1999-2005</w:t>
            </w:r>
          </w:p>
        </w:tc>
        <w:tc>
          <w:tcPr>
            <w:tcW w:w="709" w:type="dxa"/>
            <w:tcBorders>
              <w:top w:val="nil"/>
              <w:left w:val="nil"/>
              <w:bottom w:val="nil"/>
              <w:right w:val="nil"/>
            </w:tcBorders>
            <w:shd w:val="clear" w:color="000000" w:fill="FFFFFF"/>
            <w:vAlign w:val="center"/>
            <w:hideMark/>
          </w:tcPr>
          <w:p w14:paraId="746A931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-0.60</w:t>
            </w:r>
          </w:p>
        </w:tc>
        <w:tc>
          <w:tcPr>
            <w:tcW w:w="709" w:type="dxa"/>
            <w:tcBorders>
              <w:top w:val="nil"/>
              <w:left w:val="nil"/>
              <w:bottom w:val="nil"/>
              <w:right w:val="nil"/>
            </w:tcBorders>
            <w:shd w:val="clear" w:color="000000" w:fill="FFFFFF"/>
            <w:vAlign w:val="center"/>
          </w:tcPr>
          <w:p w14:paraId="37992EF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0AAADB4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-1.22</w:t>
            </w:r>
          </w:p>
        </w:tc>
        <w:tc>
          <w:tcPr>
            <w:tcW w:w="567" w:type="dxa"/>
            <w:tcBorders>
              <w:top w:val="nil"/>
              <w:left w:val="nil"/>
              <w:bottom w:val="nil"/>
              <w:right w:val="single" w:sz="4" w:space="0" w:color="auto"/>
            </w:tcBorders>
            <w:shd w:val="clear" w:color="000000" w:fill="FFFFFF"/>
            <w:vAlign w:val="center"/>
          </w:tcPr>
          <w:p w14:paraId="57A9D7D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47878C96"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ED47AA5"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Large Urban * 2006-2010</w:t>
            </w:r>
          </w:p>
        </w:tc>
        <w:tc>
          <w:tcPr>
            <w:tcW w:w="709" w:type="dxa"/>
            <w:tcBorders>
              <w:top w:val="nil"/>
              <w:left w:val="nil"/>
              <w:bottom w:val="nil"/>
              <w:right w:val="nil"/>
            </w:tcBorders>
            <w:shd w:val="clear" w:color="000000" w:fill="FFFFFF"/>
            <w:vAlign w:val="center"/>
            <w:hideMark/>
          </w:tcPr>
          <w:p w14:paraId="1871F72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0.55</w:t>
            </w:r>
          </w:p>
        </w:tc>
        <w:tc>
          <w:tcPr>
            <w:tcW w:w="709" w:type="dxa"/>
            <w:tcBorders>
              <w:top w:val="nil"/>
              <w:left w:val="nil"/>
              <w:bottom w:val="nil"/>
              <w:right w:val="nil"/>
            </w:tcBorders>
            <w:shd w:val="clear" w:color="000000" w:fill="FFFFFF"/>
            <w:vAlign w:val="center"/>
          </w:tcPr>
          <w:p w14:paraId="6723DD5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65EE958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-2.66</w:t>
            </w:r>
          </w:p>
        </w:tc>
        <w:tc>
          <w:tcPr>
            <w:tcW w:w="567" w:type="dxa"/>
            <w:tcBorders>
              <w:top w:val="nil"/>
              <w:left w:val="nil"/>
              <w:bottom w:val="nil"/>
              <w:right w:val="single" w:sz="4" w:space="0" w:color="auto"/>
            </w:tcBorders>
            <w:shd w:val="clear" w:color="000000" w:fill="FFFFFF"/>
            <w:vAlign w:val="center"/>
          </w:tcPr>
          <w:p w14:paraId="0CEBA78D"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6DC2EB29"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36293175"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Large Urban * 2011-2017</w:t>
            </w:r>
          </w:p>
        </w:tc>
        <w:tc>
          <w:tcPr>
            <w:tcW w:w="709" w:type="dxa"/>
            <w:tcBorders>
              <w:top w:val="nil"/>
              <w:left w:val="nil"/>
              <w:bottom w:val="nil"/>
              <w:right w:val="nil"/>
            </w:tcBorders>
            <w:shd w:val="clear" w:color="000000" w:fill="FFFFFF"/>
            <w:vAlign w:val="center"/>
            <w:hideMark/>
          </w:tcPr>
          <w:p w14:paraId="655B1C9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0.59</w:t>
            </w:r>
          </w:p>
        </w:tc>
        <w:tc>
          <w:tcPr>
            <w:tcW w:w="709" w:type="dxa"/>
            <w:tcBorders>
              <w:top w:val="nil"/>
              <w:left w:val="nil"/>
              <w:bottom w:val="nil"/>
              <w:right w:val="nil"/>
            </w:tcBorders>
            <w:shd w:val="clear" w:color="000000" w:fill="FFFFFF"/>
            <w:vAlign w:val="center"/>
          </w:tcPr>
          <w:p w14:paraId="736574F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1645484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-2.41</w:t>
            </w:r>
          </w:p>
        </w:tc>
        <w:tc>
          <w:tcPr>
            <w:tcW w:w="567" w:type="dxa"/>
            <w:tcBorders>
              <w:top w:val="nil"/>
              <w:left w:val="nil"/>
              <w:bottom w:val="nil"/>
              <w:right w:val="single" w:sz="4" w:space="0" w:color="auto"/>
            </w:tcBorders>
            <w:shd w:val="clear" w:color="000000" w:fill="FFFFFF"/>
            <w:vAlign w:val="center"/>
          </w:tcPr>
          <w:p w14:paraId="7AF395B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1B925C81"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9C47CE7"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Other Urban * 1999-2005</w:t>
            </w:r>
          </w:p>
        </w:tc>
        <w:tc>
          <w:tcPr>
            <w:tcW w:w="709" w:type="dxa"/>
            <w:tcBorders>
              <w:top w:val="nil"/>
              <w:left w:val="nil"/>
              <w:bottom w:val="nil"/>
              <w:right w:val="nil"/>
            </w:tcBorders>
            <w:shd w:val="clear" w:color="000000" w:fill="FFFFFF"/>
            <w:vAlign w:val="center"/>
            <w:hideMark/>
          </w:tcPr>
          <w:p w14:paraId="31F8913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-1.64</w:t>
            </w:r>
          </w:p>
        </w:tc>
        <w:tc>
          <w:tcPr>
            <w:tcW w:w="709" w:type="dxa"/>
            <w:tcBorders>
              <w:top w:val="nil"/>
              <w:left w:val="nil"/>
              <w:bottom w:val="nil"/>
              <w:right w:val="nil"/>
            </w:tcBorders>
            <w:shd w:val="clear" w:color="000000" w:fill="FFFFFF"/>
            <w:vAlign w:val="center"/>
          </w:tcPr>
          <w:p w14:paraId="27E8E3D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2C7AAE84"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-0.93</w:t>
            </w:r>
          </w:p>
        </w:tc>
        <w:tc>
          <w:tcPr>
            <w:tcW w:w="567" w:type="dxa"/>
            <w:tcBorders>
              <w:top w:val="nil"/>
              <w:left w:val="nil"/>
              <w:bottom w:val="nil"/>
              <w:right w:val="single" w:sz="4" w:space="0" w:color="auto"/>
            </w:tcBorders>
            <w:shd w:val="clear" w:color="000000" w:fill="FFFFFF"/>
            <w:vAlign w:val="center"/>
          </w:tcPr>
          <w:p w14:paraId="7985C2E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0253537F"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8F372D7"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Other Urban * 2006-2010</w:t>
            </w:r>
          </w:p>
        </w:tc>
        <w:tc>
          <w:tcPr>
            <w:tcW w:w="709" w:type="dxa"/>
            <w:tcBorders>
              <w:top w:val="nil"/>
              <w:left w:val="nil"/>
              <w:bottom w:val="nil"/>
              <w:right w:val="nil"/>
            </w:tcBorders>
            <w:shd w:val="clear" w:color="000000" w:fill="FFFFFF"/>
            <w:vAlign w:val="center"/>
            <w:hideMark/>
          </w:tcPr>
          <w:p w14:paraId="0E8981D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-1.88</w:t>
            </w:r>
          </w:p>
        </w:tc>
        <w:tc>
          <w:tcPr>
            <w:tcW w:w="709" w:type="dxa"/>
            <w:tcBorders>
              <w:top w:val="nil"/>
              <w:left w:val="nil"/>
              <w:bottom w:val="nil"/>
              <w:right w:val="nil"/>
            </w:tcBorders>
            <w:shd w:val="clear" w:color="000000" w:fill="FFFFFF"/>
            <w:vAlign w:val="center"/>
          </w:tcPr>
          <w:p w14:paraId="4C47DA5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7B91353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-2.86</w:t>
            </w:r>
          </w:p>
        </w:tc>
        <w:tc>
          <w:tcPr>
            <w:tcW w:w="567" w:type="dxa"/>
            <w:tcBorders>
              <w:top w:val="nil"/>
              <w:left w:val="nil"/>
              <w:bottom w:val="nil"/>
              <w:right w:val="single" w:sz="4" w:space="0" w:color="auto"/>
            </w:tcBorders>
            <w:shd w:val="clear" w:color="000000" w:fill="FFFFFF"/>
            <w:vAlign w:val="center"/>
          </w:tcPr>
          <w:p w14:paraId="0CB4775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6015A6DF"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1B6F186"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Other Urban * 2011-2017</w:t>
            </w:r>
          </w:p>
        </w:tc>
        <w:tc>
          <w:tcPr>
            <w:tcW w:w="709" w:type="dxa"/>
            <w:tcBorders>
              <w:top w:val="nil"/>
              <w:left w:val="nil"/>
              <w:bottom w:val="nil"/>
              <w:right w:val="nil"/>
            </w:tcBorders>
            <w:shd w:val="clear" w:color="000000" w:fill="FFFFFF"/>
            <w:vAlign w:val="center"/>
            <w:hideMark/>
          </w:tcPr>
          <w:p w14:paraId="725C78F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-5.51</w:t>
            </w:r>
          </w:p>
        </w:tc>
        <w:tc>
          <w:tcPr>
            <w:tcW w:w="709" w:type="dxa"/>
            <w:tcBorders>
              <w:top w:val="nil"/>
              <w:left w:val="nil"/>
              <w:bottom w:val="nil"/>
              <w:right w:val="nil"/>
            </w:tcBorders>
            <w:shd w:val="clear" w:color="000000" w:fill="FFFFFF"/>
            <w:vAlign w:val="center"/>
          </w:tcPr>
          <w:p w14:paraId="6099CA6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06F62165"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-3.82</w:t>
            </w:r>
          </w:p>
        </w:tc>
        <w:tc>
          <w:tcPr>
            <w:tcW w:w="567" w:type="dxa"/>
            <w:tcBorders>
              <w:top w:val="nil"/>
              <w:left w:val="nil"/>
              <w:bottom w:val="nil"/>
              <w:right w:val="single" w:sz="4" w:space="0" w:color="auto"/>
            </w:tcBorders>
            <w:shd w:val="clear" w:color="000000" w:fill="FFFFFF"/>
            <w:vAlign w:val="center"/>
          </w:tcPr>
          <w:p w14:paraId="2B6BC29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5BEA7CED"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39AFAECD"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Significant Rural * 1999-2005</w:t>
            </w:r>
          </w:p>
        </w:tc>
        <w:tc>
          <w:tcPr>
            <w:tcW w:w="709" w:type="dxa"/>
            <w:tcBorders>
              <w:top w:val="nil"/>
              <w:left w:val="nil"/>
              <w:bottom w:val="nil"/>
              <w:right w:val="nil"/>
            </w:tcBorders>
            <w:shd w:val="clear" w:color="000000" w:fill="FFFFFF"/>
            <w:vAlign w:val="center"/>
            <w:hideMark/>
          </w:tcPr>
          <w:p w14:paraId="23D1B6A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1.07</w:t>
            </w:r>
          </w:p>
        </w:tc>
        <w:tc>
          <w:tcPr>
            <w:tcW w:w="709" w:type="dxa"/>
            <w:tcBorders>
              <w:top w:val="nil"/>
              <w:left w:val="nil"/>
              <w:bottom w:val="nil"/>
              <w:right w:val="nil"/>
            </w:tcBorders>
            <w:shd w:val="clear" w:color="000000" w:fill="FFFFFF"/>
            <w:vAlign w:val="center"/>
          </w:tcPr>
          <w:p w14:paraId="3F58154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3134457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0.56</w:t>
            </w:r>
          </w:p>
        </w:tc>
        <w:tc>
          <w:tcPr>
            <w:tcW w:w="567" w:type="dxa"/>
            <w:tcBorders>
              <w:top w:val="nil"/>
              <w:left w:val="nil"/>
              <w:bottom w:val="nil"/>
              <w:right w:val="single" w:sz="4" w:space="0" w:color="auto"/>
            </w:tcBorders>
            <w:shd w:val="clear" w:color="000000" w:fill="FFFFFF"/>
            <w:vAlign w:val="center"/>
          </w:tcPr>
          <w:p w14:paraId="3D5AB54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2AFC5634"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4DC77926"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Significant Rural * 2006-2010</w:t>
            </w:r>
          </w:p>
        </w:tc>
        <w:tc>
          <w:tcPr>
            <w:tcW w:w="709" w:type="dxa"/>
            <w:tcBorders>
              <w:top w:val="nil"/>
              <w:left w:val="nil"/>
              <w:bottom w:val="nil"/>
              <w:right w:val="nil"/>
            </w:tcBorders>
            <w:shd w:val="clear" w:color="000000" w:fill="FFFFFF"/>
            <w:vAlign w:val="center"/>
            <w:hideMark/>
          </w:tcPr>
          <w:p w14:paraId="787F739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2.81</w:t>
            </w:r>
          </w:p>
        </w:tc>
        <w:tc>
          <w:tcPr>
            <w:tcW w:w="709" w:type="dxa"/>
            <w:tcBorders>
              <w:top w:val="nil"/>
              <w:left w:val="nil"/>
              <w:bottom w:val="nil"/>
              <w:right w:val="nil"/>
            </w:tcBorders>
            <w:shd w:val="clear" w:color="000000" w:fill="FFFFFF"/>
            <w:vAlign w:val="center"/>
          </w:tcPr>
          <w:p w14:paraId="4C82E21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5429667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-0.19</w:t>
            </w:r>
          </w:p>
        </w:tc>
        <w:tc>
          <w:tcPr>
            <w:tcW w:w="567" w:type="dxa"/>
            <w:tcBorders>
              <w:top w:val="nil"/>
              <w:left w:val="nil"/>
              <w:bottom w:val="nil"/>
              <w:right w:val="single" w:sz="4" w:space="0" w:color="auto"/>
            </w:tcBorders>
            <w:shd w:val="clear" w:color="000000" w:fill="FFFFFF"/>
            <w:vAlign w:val="center"/>
          </w:tcPr>
          <w:p w14:paraId="534C238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001D2E73"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D83C00A"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Significant Rural * 2011-2017</w:t>
            </w:r>
          </w:p>
        </w:tc>
        <w:tc>
          <w:tcPr>
            <w:tcW w:w="709" w:type="dxa"/>
            <w:tcBorders>
              <w:top w:val="nil"/>
              <w:left w:val="nil"/>
              <w:bottom w:val="nil"/>
              <w:right w:val="nil"/>
            </w:tcBorders>
            <w:shd w:val="clear" w:color="000000" w:fill="FFFFFF"/>
            <w:vAlign w:val="center"/>
            <w:hideMark/>
          </w:tcPr>
          <w:p w14:paraId="326B0D7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5.55</w:t>
            </w:r>
          </w:p>
        </w:tc>
        <w:tc>
          <w:tcPr>
            <w:tcW w:w="709" w:type="dxa"/>
            <w:tcBorders>
              <w:top w:val="nil"/>
              <w:left w:val="nil"/>
              <w:bottom w:val="nil"/>
              <w:right w:val="nil"/>
            </w:tcBorders>
            <w:shd w:val="clear" w:color="000000" w:fill="FFFFFF"/>
            <w:vAlign w:val="center"/>
          </w:tcPr>
          <w:p w14:paraId="4FF11D5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6FFEB35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0.60</w:t>
            </w:r>
          </w:p>
        </w:tc>
        <w:tc>
          <w:tcPr>
            <w:tcW w:w="567" w:type="dxa"/>
            <w:tcBorders>
              <w:top w:val="nil"/>
              <w:left w:val="nil"/>
              <w:bottom w:val="nil"/>
              <w:right w:val="single" w:sz="4" w:space="0" w:color="auto"/>
            </w:tcBorders>
            <w:shd w:val="clear" w:color="000000" w:fill="FFFFFF"/>
            <w:vAlign w:val="center"/>
          </w:tcPr>
          <w:p w14:paraId="1934228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4F076E9E"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7A8B94FE"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Rural-50% * 1999-2005</w:t>
            </w:r>
          </w:p>
        </w:tc>
        <w:tc>
          <w:tcPr>
            <w:tcW w:w="709" w:type="dxa"/>
            <w:tcBorders>
              <w:top w:val="nil"/>
              <w:left w:val="nil"/>
              <w:bottom w:val="nil"/>
              <w:right w:val="nil"/>
            </w:tcBorders>
            <w:shd w:val="clear" w:color="000000" w:fill="FFFFFF"/>
            <w:vAlign w:val="center"/>
            <w:hideMark/>
          </w:tcPr>
          <w:p w14:paraId="57DFBC5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-0.45</w:t>
            </w:r>
          </w:p>
        </w:tc>
        <w:tc>
          <w:tcPr>
            <w:tcW w:w="709" w:type="dxa"/>
            <w:tcBorders>
              <w:top w:val="nil"/>
              <w:left w:val="nil"/>
              <w:bottom w:val="nil"/>
              <w:right w:val="nil"/>
            </w:tcBorders>
            <w:shd w:val="clear" w:color="000000" w:fill="FFFFFF"/>
            <w:vAlign w:val="center"/>
          </w:tcPr>
          <w:p w14:paraId="3D49961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B1008E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-1.34</w:t>
            </w:r>
          </w:p>
        </w:tc>
        <w:tc>
          <w:tcPr>
            <w:tcW w:w="567" w:type="dxa"/>
            <w:tcBorders>
              <w:top w:val="nil"/>
              <w:left w:val="nil"/>
              <w:bottom w:val="nil"/>
              <w:right w:val="single" w:sz="4" w:space="0" w:color="auto"/>
            </w:tcBorders>
            <w:shd w:val="clear" w:color="000000" w:fill="FFFFFF"/>
            <w:vAlign w:val="center"/>
          </w:tcPr>
          <w:p w14:paraId="4132A59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64F6DC8A"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B2B784A"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Rural-50% * 2006-2010</w:t>
            </w:r>
          </w:p>
        </w:tc>
        <w:tc>
          <w:tcPr>
            <w:tcW w:w="709" w:type="dxa"/>
            <w:tcBorders>
              <w:top w:val="nil"/>
              <w:left w:val="nil"/>
              <w:bottom w:val="nil"/>
              <w:right w:val="nil"/>
            </w:tcBorders>
            <w:shd w:val="clear" w:color="000000" w:fill="FFFFFF"/>
            <w:vAlign w:val="center"/>
            <w:hideMark/>
          </w:tcPr>
          <w:p w14:paraId="7DB2A75D"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2.56</w:t>
            </w:r>
          </w:p>
        </w:tc>
        <w:tc>
          <w:tcPr>
            <w:tcW w:w="709" w:type="dxa"/>
            <w:tcBorders>
              <w:top w:val="nil"/>
              <w:left w:val="nil"/>
              <w:bottom w:val="nil"/>
              <w:right w:val="nil"/>
            </w:tcBorders>
            <w:shd w:val="clear" w:color="000000" w:fill="FFFFFF"/>
            <w:vAlign w:val="center"/>
          </w:tcPr>
          <w:p w14:paraId="49CB9DF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2378A87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-0.95</w:t>
            </w:r>
          </w:p>
        </w:tc>
        <w:tc>
          <w:tcPr>
            <w:tcW w:w="567" w:type="dxa"/>
            <w:tcBorders>
              <w:top w:val="nil"/>
              <w:left w:val="nil"/>
              <w:bottom w:val="nil"/>
              <w:right w:val="single" w:sz="4" w:space="0" w:color="auto"/>
            </w:tcBorders>
            <w:shd w:val="clear" w:color="000000" w:fill="FFFFFF"/>
            <w:vAlign w:val="center"/>
          </w:tcPr>
          <w:p w14:paraId="66E4720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0C35230C"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D779935"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Rural-50% * 2011-2017</w:t>
            </w:r>
          </w:p>
        </w:tc>
        <w:tc>
          <w:tcPr>
            <w:tcW w:w="709" w:type="dxa"/>
            <w:tcBorders>
              <w:top w:val="nil"/>
              <w:left w:val="nil"/>
              <w:bottom w:val="nil"/>
              <w:right w:val="nil"/>
            </w:tcBorders>
            <w:shd w:val="clear" w:color="000000" w:fill="FFFFFF"/>
            <w:vAlign w:val="center"/>
            <w:hideMark/>
          </w:tcPr>
          <w:p w14:paraId="203D88D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7.29</w:t>
            </w:r>
          </w:p>
        </w:tc>
        <w:tc>
          <w:tcPr>
            <w:tcW w:w="709" w:type="dxa"/>
            <w:tcBorders>
              <w:top w:val="nil"/>
              <w:left w:val="nil"/>
              <w:bottom w:val="nil"/>
              <w:right w:val="nil"/>
            </w:tcBorders>
            <w:shd w:val="clear" w:color="000000" w:fill="FFFFFF"/>
            <w:vAlign w:val="center"/>
          </w:tcPr>
          <w:p w14:paraId="73B8041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75829C1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1.57</w:t>
            </w:r>
          </w:p>
        </w:tc>
        <w:tc>
          <w:tcPr>
            <w:tcW w:w="567" w:type="dxa"/>
            <w:tcBorders>
              <w:top w:val="nil"/>
              <w:left w:val="nil"/>
              <w:bottom w:val="nil"/>
              <w:right w:val="single" w:sz="4" w:space="0" w:color="auto"/>
            </w:tcBorders>
            <w:shd w:val="clear" w:color="000000" w:fill="FFFFFF"/>
            <w:vAlign w:val="center"/>
          </w:tcPr>
          <w:p w14:paraId="2EABB46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13BFD6C7"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D8E4358"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Rural-80% * 1999-2005</w:t>
            </w:r>
          </w:p>
        </w:tc>
        <w:tc>
          <w:tcPr>
            <w:tcW w:w="709" w:type="dxa"/>
            <w:tcBorders>
              <w:top w:val="nil"/>
              <w:left w:val="nil"/>
              <w:bottom w:val="nil"/>
              <w:right w:val="nil"/>
            </w:tcBorders>
            <w:shd w:val="clear" w:color="000000" w:fill="FFFFFF"/>
            <w:vAlign w:val="center"/>
            <w:hideMark/>
          </w:tcPr>
          <w:p w14:paraId="05BA8BD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0.05</w:t>
            </w:r>
          </w:p>
        </w:tc>
        <w:tc>
          <w:tcPr>
            <w:tcW w:w="709" w:type="dxa"/>
            <w:tcBorders>
              <w:top w:val="nil"/>
              <w:left w:val="nil"/>
              <w:bottom w:val="nil"/>
              <w:right w:val="nil"/>
            </w:tcBorders>
            <w:shd w:val="clear" w:color="000000" w:fill="FFFFFF"/>
            <w:vAlign w:val="center"/>
          </w:tcPr>
          <w:p w14:paraId="6092ACB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75F8AF8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-0.22</w:t>
            </w:r>
          </w:p>
        </w:tc>
        <w:tc>
          <w:tcPr>
            <w:tcW w:w="567" w:type="dxa"/>
            <w:tcBorders>
              <w:top w:val="nil"/>
              <w:left w:val="nil"/>
              <w:bottom w:val="nil"/>
              <w:right w:val="single" w:sz="4" w:space="0" w:color="auto"/>
            </w:tcBorders>
            <w:shd w:val="clear" w:color="000000" w:fill="FFFFFF"/>
            <w:vAlign w:val="center"/>
          </w:tcPr>
          <w:p w14:paraId="607215E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17F39B0C"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419F542E"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Rural-80% * 2006-2010</w:t>
            </w:r>
          </w:p>
        </w:tc>
        <w:tc>
          <w:tcPr>
            <w:tcW w:w="709" w:type="dxa"/>
            <w:tcBorders>
              <w:top w:val="nil"/>
              <w:left w:val="nil"/>
              <w:bottom w:val="nil"/>
              <w:right w:val="nil"/>
            </w:tcBorders>
            <w:shd w:val="clear" w:color="000000" w:fill="FFFFFF"/>
            <w:vAlign w:val="center"/>
            <w:hideMark/>
          </w:tcPr>
          <w:p w14:paraId="186D31E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3.22</w:t>
            </w:r>
          </w:p>
        </w:tc>
        <w:tc>
          <w:tcPr>
            <w:tcW w:w="709" w:type="dxa"/>
            <w:tcBorders>
              <w:top w:val="nil"/>
              <w:left w:val="nil"/>
              <w:bottom w:val="nil"/>
              <w:right w:val="nil"/>
            </w:tcBorders>
            <w:shd w:val="clear" w:color="000000" w:fill="FFFFFF"/>
            <w:vAlign w:val="center"/>
          </w:tcPr>
          <w:p w14:paraId="3020C99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74E312D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0.02</w:t>
            </w:r>
          </w:p>
        </w:tc>
        <w:tc>
          <w:tcPr>
            <w:tcW w:w="567" w:type="dxa"/>
            <w:tcBorders>
              <w:top w:val="nil"/>
              <w:left w:val="nil"/>
              <w:bottom w:val="nil"/>
              <w:right w:val="single" w:sz="4" w:space="0" w:color="auto"/>
            </w:tcBorders>
            <w:shd w:val="clear" w:color="000000" w:fill="FFFFFF"/>
            <w:vAlign w:val="center"/>
          </w:tcPr>
          <w:p w14:paraId="4657235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61460ED1"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778FD80C"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Rural-80% * 2011-2017</w:t>
            </w:r>
          </w:p>
        </w:tc>
        <w:tc>
          <w:tcPr>
            <w:tcW w:w="709" w:type="dxa"/>
            <w:tcBorders>
              <w:top w:val="nil"/>
              <w:left w:val="nil"/>
              <w:bottom w:val="nil"/>
              <w:right w:val="nil"/>
            </w:tcBorders>
            <w:shd w:val="clear" w:color="000000" w:fill="FFFFFF"/>
            <w:vAlign w:val="center"/>
            <w:hideMark/>
          </w:tcPr>
          <w:p w14:paraId="6460498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9.82</w:t>
            </w:r>
          </w:p>
        </w:tc>
        <w:tc>
          <w:tcPr>
            <w:tcW w:w="709" w:type="dxa"/>
            <w:tcBorders>
              <w:top w:val="nil"/>
              <w:left w:val="nil"/>
              <w:bottom w:val="nil"/>
              <w:right w:val="nil"/>
            </w:tcBorders>
            <w:shd w:val="clear" w:color="000000" w:fill="FFFFFF"/>
            <w:vAlign w:val="center"/>
          </w:tcPr>
          <w:p w14:paraId="5CF0D18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1DA2DE9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4.04</w:t>
            </w:r>
          </w:p>
        </w:tc>
        <w:tc>
          <w:tcPr>
            <w:tcW w:w="567" w:type="dxa"/>
            <w:tcBorders>
              <w:top w:val="nil"/>
              <w:left w:val="nil"/>
              <w:bottom w:val="nil"/>
              <w:right w:val="single" w:sz="4" w:space="0" w:color="auto"/>
            </w:tcBorders>
            <w:shd w:val="clear" w:color="000000" w:fill="FFFFFF"/>
            <w:vAlign w:val="center"/>
          </w:tcPr>
          <w:p w14:paraId="0C4229B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4DD29885"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7B34583"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Inner London * 1999-2005</w:t>
            </w:r>
          </w:p>
        </w:tc>
        <w:tc>
          <w:tcPr>
            <w:tcW w:w="709" w:type="dxa"/>
            <w:tcBorders>
              <w:top w:val="nil"/>
              <w:left w:val="nil"/>
              <w:bottom w:val="nil"/>
              <w:right w:val="nil"/>
            </w:tcBorders>
            <w:shd w:val="clear" w:color="000000" w:fill="FFFFFF"/>
            <w:vAlign w:val="center"/>
            <w:hideMark/>
          </w:tcPr>
          <w:p w14:paraId="137E876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-0.04</w:t>
            </w:r>
          </w:p>
        </w:tc>
        <w:tc>
          <w:tcPr>
            <w:tcW w:w="709" w:type="dxa"/>
            <w:tcBorders>
              <w:top w:val="nil"/>
              <w:left w:val="nil"/>
              <w:bottom w:val="nil"/>
              <w:right w:val="nil"/>
            </w:tcBorders>
            <w:shd w:val="clear" w:color="000000" w:fill="FFFFFF"/>
            <w:vAlign w:val="center"/>
          </w:tcPr>
          <w:p w14:paraId="781D924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21824E9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-4.22</w:t>
            </w:r>
          </w:p>
        </w:tc>
        <w:tc>
          <w:tcPr>
            <w:tcW w:w="567" w:type="dxa"/>
            <w:tcBorders>
              <w:top w:val="nil"/>
              <w:left w:val="nil"/>
              <w:bottom w:val="nil"/>
              <w:right w:val="single" w:sz="4" w:space="0" w:color="auto"/>
            </w:tcBorders>
            <w:shd w:val="clear" w:color="000000" w:fill="FFFFFF"/>
            <w:vAlign w:val="center"/>
          </w:tcPr>
          <w:p w14:paraId="1F0CEC5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51D65C63"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3320FE4"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Inner London * 2006-2010</w:t>
            </w:r>
          </w:p>
        </w:tc>
        <w:tc>
          <w:tcPr>
            <w:tcW w:w="709" w:type="dxa"/>
            <w:tcBorders>
              <w:top w:val="nil"/>
              <w:left w:val="nil"/>
              <w:bottom w:val="nil"/>
              <w:right w:val="nil"/>
            </w:tcBorders>
            <w:shd w:val="clear" w:color="000000" w:fill="FFFFFF"/>
            <w:vAlign w:val="center"/>
            <w:hideMark/>
          </w:tcPr>
          <w:p w14:paraId="5298750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-11.15</w:t>
            </w:r>
          </w:p>
        </w:tc>
        <w:tc>
          <w:tcPr>
            <w:tcW w:w="709" w:type="dxa"/>
            <w:tcBorders>
              <w:top w:val="nil"/>
              <w:left w:val="nil"/>
              <w:bottom w:val="nil"/>
              <w:right w:val="nil"/>
            </w:tcBorders>
            <w:shd w:val="clear" w:color="000000" w:fill="FFFFFF"/>
            <w:vAlign w:val="center"/>
          </w:tcPr>
          <w:p w14:paraId="3DCF115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4BD846F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1.87</w:t>
            </w:r>
          </w:p>
        </w:tc>
        <w:tc>
          <w:tcPr>
            <w:tcW w:w="567" w:type="dxa"/>
            <w:tcBorders>
              <w:top w:val="nil"/>
              <w:left w:val="nil"/>
              <w:bottom w:val="nil"/>
              <w:right w:val="single" w:sz="4" w:space="0" w:color="auto"/>
            </w:tcBorders>
            <w:shd w:val="clear" w:color="000000" w:fill="FFFFFF"/>
            <w:vAlign w:val="center"/>
          </w:tcPr>
          <w:p w14:paraId="432732D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654685D5"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7A32C97"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Inner London * 2011-2017</w:t>
            </w:r>
          </w:p>
        </w:tc>
        <w:tc>
          <w:tcPr>
            <w:tcW w:w="709" w:type="dxa"/>
            <w:tcBorders>
              <w:top w:val="nil"/>
              <w:left w:val="nil"/>
              <w:bottom w:val="nil"/>
              <w:right w:val="nil"/>
            </w:tcBorders>
            <w:shd w:val="clear" w:color="000000" w:fill="FFFFFF"/>
            <w:vAlign w:val="center"/>
            <w:hideMark/>
          </w:tcPr>
          <w:p w14:paraId="39F2628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-18.21</w:t>
            </w:r>
          </w:p>
        </w:tc>
        <w:tc>
          <w:tcPr>
            <w:tcW w:w="709" w:type="dxa"/>
            <w:tcBorders>
              <w:top w:val="nil"/>
              <w:left w:val="nil"/>
              <w:bottom w:val="nil"/>
              <w:right w:val="nil"/>
            </w:tcBorders>
            <w:shd w:val="clear" w:color="000000" w:fill="FFFFFF"/>
            <w:vAlign w:val="center"/>
          </w:tcPr>
          <w:p w14:paraId="22BB1F2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7FA5E40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-2.35</w:t>
            </w:r>
          </w:p>
        </w:tc>
        <w:tc>
          <w:tcPr>
            <w:tcW w:w="567" w:type="dxa"/>
            <w:tcBorders>
              <w:top w:val="nil"/>
              <w:left w:val="nil"/>
              <w:bottom w:val="nil"/>
              <w:right w:val="single" w:sz="4" w:space="0" w:color="auto"/>
            </w:tcBorders>
            <w:shd w:val="clear" w:color="000000" w:fill="FFFFFF"/>
            <w:vAlign w:val="center"/>
          </w:tcPr>
          <w:p w14:paraId="1A2A568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49940938"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D8921D5"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Outer London * 1999-2005</w:t>
            </w:r>
          </w:p>
        </w:tc>
        <w:tc>
          <w:tcPr>
            <w:tcW w:w="709" w:type="dxa"/>
            <w:tcBorders>
              <w:top w:val="nil"/>
              <w:left w:val="nil"/>
              <w:bottom w:val="nil"/>
              <w:right w:val="nil"/>
            </w:tcBorders>
            <w:shd w:val="clear" w:color="000000" w:fill="FFFFFF"/>
            <w:vAlign w:val="center"/>
            <w:hideMark/>
          </w:tcPr>
          <w:p w14:paraId="70E3BFF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3.84</w:t>
            </w:r>
          </w:p>
        </w:tc>
        <w:tc>
          <w:tcPr>
            <w:tcW w:w="709" w:type="dxa"/>
            <w:tcBorders>
              <w:top w:val="nil"/>
              <w:left w:val="nil"/>
              <w:bottom w:val="nil"/>
              <w:right w:val="nil"/>
            </w:tcBorders>
            <w:shd w:val="clear" w:color="000000" w:fill="FFFFFF"/>
            <w:vAlign w:val="center"/>
          </w:tcPr>
          <w:p w14:paraId="6C4873E5"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c>
          <w:tcPr>
            <w:tcW w:w="709" w:type="dxa"/>
            <w:tcBorders>
              <w:top w:val="nil"/>
              <w:left w:val="nil"/>
              <w:bottom w:val="nil"/>
              <w:right w:val="nil"/>
            </w:tcBorders>
            <w:shd w:val="clear" w:color="000000" w:fill="FFFFFF"/>
            <w:vAlign w:val="center"/>
          </w:tcPr>
          <w:p w14:paraId="3292FA2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1.94</w:t>
            </w:r>
          </w:p>
        </w:tc>
        <w:tc>
          <w:tcPr>
            <w:tcW w:w="567" w:type="dxa"/>
            <w:tcBorders>
              <w:top w:val="nil"/>
              <w:left w:val="nil"/>
              <w:bottom w:val="nil"/>
              <w:right w:val="single" w:sz="4" w:space="0" w:color="auto"/>
            </w:tcBorders>
            <w:shd w:val="clear" w:color="000000" w:fill="FFFFFF"/>
            <w:vAlign w:val="center"/>
          </w:tcPr>
          <w:p w14:paraId="4B9260A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67B45A8B"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4F32758C"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Outer London * 2006-2010</w:t>
            </w:r>
          </w:p>
        </w:tc>
        <w:tc>
          <w:tcPr>
            <w:tcW w:w="709" w:type="dxa"/>
            <w:tcBorders>
              <w:top w:val="nil"/>
              <w:left w:val="nil"/>
              <w:bottom w:val="nil"/>
              <w:right w:val="nil"/>
            </w:tcBorders>
            <w:shd w:val="clear" w:color="000000" w:fill="FFFFFF"/>
            <w:vAlign w:val="center"/>
            <w:hideMark/>
          </w:tcPr>
          <w:p w14:paraId="5DD44B4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1.57</w:t>
            </w:r>
          </w:p>
        </w:tc>
        <w:tc>
          <w:tcPr>
            <w:tcW w:w="709" w:type="dxa"/>
            <w:tcBorders>
              <w:top w:val="nil"/>
              <w:left w:val="nil"/>
              <w:bottom w:val="nil"/>
              <w:right w:val="nil"/>
            </w:tcBorders>
            <w:shd w:val="clear" w:color="000000" w:fill="FFFFFF"/>
            <w:vAlign w:val="center"/>
          </w:tcPr>
          <w:p w14:paraId="3458F7AD"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54227E9D"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4.89</w:t>
            </w:r>
          </w:p>
        </w:tc>
        <w:tc>
          <w:tcPr>
            <w:tcW w:w="567" w:type="dxa"/>
            <w:tcBorders>
              <w:top w:val="nil"/>
              <w:left w:val="nil"/>
              <w:bottom w:val="nil"/>
              <w:right w:val="single" w:sz="4" w:space="0" w:color="auto"/>
            </w:tcBorders>
            <w:shd w:val="clear" w:color="000000" w:fill="FFFFFF"/>
            <w:vAlign w:val="center"/>
          </w:tcPr>
          <w:p w14:paraId="4A6033E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747A0666"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0D026BBA"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Outer London * 2011-2017</w:t>
            </w:r>
          </w:p>
        </w:tc>
        <w:tc>
          <w:tcPr>
            <w:tcW w:w="709" w:type="dxa"/>
            <w:tcBorders>
              <w:top w:val="nil"/>
              <w:left w:val="nil"/>
              <w:bottom w:val="nil"/>
              <w:right w:val="nil"/>
            </w:tcBorders>
            <w:shd w:val="clear" w:color="000000" w:fill="FFFFFF"/>
            <w:vAlign w:val="center"/>
            <w:hideMark/>
          </w:tcPr>
          <w:p w14:paraId="30EB814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2.86</w:t>
            </w:r>
          </w:p>
        </w:tc>
        <w:tc>
          <w:tcPr>
            <w:tcW w:w="709" w:type="dxa"/>
            <w:tcBorders>
              <w:top w:val="nil"/>
              <w:left w:val="nil"/>
              <w:bottom w:val="nil"/>
              <w:right w:val="nil"/>
            </w:tcBorders>
            <w:shd w:val="clear" w:color="000000" w:fill="FFFFFF"/>
            <w:vAlign w:val="center"/>
          </w:tcPr>
          <w:p w14:paraId="55CA8DC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56ADEC1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3.77</w:t>
            </w:r>
          </w:p>
        </w:tc>
        <w:tc>
          <w:tcPr>
            <w:tcW w:w="567" w:type="dxa"/>
            <w:tcBorders>
              <w:top w:val="nil"/>
              <w:left w:val="nil"/>
              <w:bottom w:val="nil"/>
              <w:right w:val="single" w:sz="4" w:space="0" w:color="auto"/>
            </w:tcBorders>
            <w:shd w:val="clear" w:color="000000" w:fill="FFFFFF"/>
            <w:vAlign w:val="center"/>
          </w:tcPr>
          <w:p w14:paraId="69476EF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51F1C13E"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08546820"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 xml:space="preserve">% of </w:t>
            </w:r>
            <w:proofErr w:type="gramStart"/>
            <w:r w:rsidRPr="0044286B">
              <w:rPr>
                <w:rFonts w:asciiTheme="minorHAnsi" w:hAnsiTheme="minorHAnsi" w:cstheme="minorHAnsi"/>
                <w:b/>
                <w:bCs/>
                <w:color w:val="000000"/>
                <w:sz w:val="16"/>
                <w:szCs w:val="16"/>
                <w:lang w:eastAsia="en-GB"/>
              </w:rPr>
              <w:t>18-24 year-olds</w:t>
            </w:r>
            <w:proofErr w:type="gramEnd"/>
            <w:r w:rsidRPr="0044286B">
              <w:rPr>
                <w:rFonts w:asciiTheme="minorHAnsi" w:hAnsiTheme="minorHAnsi" w:cstheme="minorHAnsi"/>
                <w:b/>
                <w:bCs/>
                <w:color w:val="000000"/>
                <w:sz w:val="16"/>
                <w:szCs w:val="16"/>
                <w:lang w:eastAsia="en-GB"/>
              </w:rPr>
              <w:t xml:space="preserve"> claiming Jobseekers Allowance </w:t>
            </w:r>
          </w:p>
        </w:tc>
        <w:tc>
          <w:tcPr>
            <w:tcW w:w="709" w:type="dxa"/>
            <w:tcBorders>
              <w:top w:val="nil"/>
              <w:left w:val="nil"/>
              <w:bottom w:val="nil"/>
              <w:right w:val="nil"/>
            </w:tcBorders>
            <w:shd w:val="clear" w:color="000000" w:fill="FFFFFF"/>
            <w:vAlign w:val="center"/>
          </w:tcPr>
          <w:p w14:paraId="292B4AD9"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7CE33BA6"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347440D2"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0.89</w:t>
            </w:r>
          </w:p>
        </w:tc>
        <w:tc>
          <w:tcPr>
            <w:tcW w:w="567" w:type="dxa"/>
            <w:tcBorders>
              <w:top w:val="nil"/>
              <w:left w:val="nil"/>
              <w:bottom w:val="nil"/>
              <w:right w:val="single" w:sz="4" w:space="0" w:color="auto"/>
            </w:tcBorders>
            <w:shd w:val="clear" w:color="000000" w:fill="FFFFFF"/>
            <w:vAlign w:val="center"/>
          </w:tcPr>
          <w:p w14:paraId="6AE79952"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w:t>
            </w:r>
          </w:p>
        </w:tc>
      </w:tr>
      <w:tr w:rsidR="00405591" w:rsidRPr="0044286B" w14:paraId="2534B78C"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428F5B70"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lastRenderedPageBreak/>
              <w:t>1999-2005 * Jobseekers Allowance</w:t>
            </w:r>
          </w:p>
        </w:tc>
        <w:tc>
          <w:tcPr>
            <w:tcW w:w="709" w:type="dxa"/>
            <w:tcBorders>
              <w:top w:val="nil"/>
              <w:left w:val="nil"/>
              <w:bottom w:val="nil"/>
              <w:right w:val="nil"/>
            </w:tcBorders>
            <w:shd w:val="clear" w:color="000000" w:fill="FFFFFF"/>
            <w:vAlign w:val="center"/>
          </w:tcPr>
          <w:p w14:paraId="10B3B174"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58AB79D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56E30F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0.14</w:t>
            </w:r>
          </w:p>
        </w:tc>
        <w:tc>
          <w:tcPr>
            <w:tcW w:w="567" w:type="dxa"/>
            <w:tcBorders>
              <w:top w:val="nil"/>
              <w:left w:val="nil"/>
              <w:bottom w:val="nil"/>
              <w:right w:val="single" w:sz="4" w:space="0" w:color="auto"/>
            </w:tcBorders>
            <w:shd w:val="clear" w:color="000000" w:fill="FFFFFF"/>
            <w:vAlign w:val="center"/>
          </w:tcPr>
          <w:p w14:paraId="2F59DB0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09CEE735"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72723013"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2006-2010 * Jobseekers Allowance</w:t>
            </w:r>
          </w:p>
        </w:tc>
        <w:tc>
          <w:tcPr>
            <w:tcW w:w="709" w:type="dxa"/>
            <w:tcBorders>
              <w:top w:val="nil"/>
              <w:left w:val="nil"/>
              <w:bottom w:val="nil"/>
              <w:right w:val="nil"/>
            </w:tcBorders>
            <w:shd w:val="clear" w:color="000000" w:fill="FFFFFF"/>
            <w:vAlign w:val="center"/>
          </w:tcPr>
          <w:p w14:paraId="21AB4E4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3E6B98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05696C8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-0.30</w:t>
            </w:r>
          </w:p>
        </w:tc>
        <w:tc>
          <w:tcPr>
            <w:tcW w:w="567" w:type="dxa"/>
            <w:tcBorders>
              <w:top w:val="nil"/>
              <w:left w:val="nil"/>
              <w:bottom w:val="nil"/>
              <w:right w:val="single" w:sz="4" w:space="0" w:color="auto"/>
            </w:tcBorders>
            <w:shd w:val="clear" w:color="000000" w:fill="FFFFFF"/>
            <w:vAlign w:val="center"/>
          </w:tcPr>
          <w:p w14:paraId="38755F1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0827E557"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1887F8B"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2011-2017 * Jobseekers Allowance</w:t>
            </w:r>
          </w:p>
        </w:tc>
        <w:tc>
          <w:tcPr>
            <w:tcW w:w="709" w:type="dxa"/>
            <w:tcBorders>
              <w:top w:val="nil"/>
              <w:left w:val="nil"/>
              <w:bottom w:val="nil"/>
              <w:right w:val="nil"/>
            </w:tcBorders>
            <w:shd w:val="clear" w:color="000000" w:fill="FFFFFF"/>
            <w:vAlign w:val="center"/>
          </w:tcPr>
          <w:p w14:paraId="4C91E68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14461D5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60DF7674"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0.03</w:t>
            </w:r>
          </w:p>
        </w:tc>
        <w:tc>
          <w:tcPr>
            <w:tcW w:w="567" w:type="dxa"/>
            <w:tcBorders>
              <w:top w:val="nil"/>
              <w:left w:val="nil"/>
              <w:bottom w:val="nil"/>
              <w:right w:val="single" w:sz="4" w:space="0" w:color="auto"/>
            </w:tcBorders>
            <w:shd w:val="clear" w:color="000000" w:fill="FFFFFF"/>
            <w:vAlign w:val="center"/>
          </w:tcPr>
          <w:p w14:paraId="77D02BA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4EA5BDF5"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7D95E04A"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 of Pupils Attaining at least 5 GCSEs A-C</w:t>
            </w:r>
          </w:p>
        </w:tc>
        <w:tc>
          <w:tcPr>
            <w:tcW w:w="709" w:type="dxa"/>
            <w:tcBorders>
              <w:top w:val="nil"/>
              <w:left w:val="nil"/>
              <w:bottom w:val="nil"/>
              <w:right w:val="nil"/>
            </w:tcBorders>
            <w:shd w:val="clear" w:color="000000" w:fill="FFFFFF"/>
            <w:vAlign w:val="center"/>
          </w:tcPr>
          <w:p w14:paraId="79CA8518"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6960E0A1"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44966485"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0.08</w:t>
            </w:r>
          </w:p>
        </w:tc>
        <w:tc>
          <w:tcPr>
            <w:tcW w:w="567" w:type="dxa"/>
            <w:tcBorders>
              <w:top w:val="nil"/>
              <w:left w:val="nil"/>
              <w:bottom w:val="nil"/>
              <w:right w:val="single" w:sz="4" w:space="0" w:color="auto"/>
            </w:tcBorders>
            <w:shd w:val="clear" w:color="000000" w:fill="FFFFFF"/>
            <w:vAlign w:val="center"/>
          </w:tcPr>
          <w:p w14:paraId="589B0899"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r>
      <w:tr w:rsidR="00405591" w:rsidRPr="0044286B" w14:paraId="4DEE3B69"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47753AD1"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1999-2005 * GCSE</w:t>
            </w:r>
          </w:p>
        </w:tc>
        <w:tc>
          <w:tcPr>
            <w:tcW w:w="709" w:type="dxa"/>
            <w:tcBorders>
              <w:top w:val="nil"/>
              <w:left w:val="nil"/>
              <w:bottom w:val="nil"/>
              <w:right w:val="nil"/>
            </w:tcBorders>
            <w:shd w:val="clear" w:color="000000" w:fill="FFFFFF"/>
            <w:vAlign w:val="center"/>
          </w:tcPr>
          <w:p w14:paraId="775E4375"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764ED00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8902F9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-0.20</w:t>
            </w:r>
          </w:p>
        </w:tc>
        <w:tc>
          <w:tcPr>
            <w:tcW w:w="567" w:type="dxa"/>
            <w:tcBorders>
              <w:top w:val="nil"/>
              <w:left w:val="nil"/>
              <w:bottom w:val="nil"/>
              <w:right w:val="single" w:sz="4" w:space="0" w:color="auto"/>
            </w:tcBorders>
            <w:shd w:val="clear" w:color="000000" w:fill="FFFFFF"/>
            <w:vAlign w:val="center"/>
          </w:tcPr>
          <w:p w14:paraId="5E7F1FA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2E539137"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4769FAA5"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2006-2010 * GCSE</w:t>
            </w:r>
          </w:p>
        </w:tc>
        <w:tc>
          <w:tcPr>
            <w:tcW w:w="709" w:type="dxa"/>
            <w:tcBorders>
              <w:top w:val="nil"/>
              <w:left w:val="nil"/>
              <w:bottom w:val="nil"/>
              <w:right w:val="nil"/>
            </w:tcBorders>
            <w:shd w:val="clear" w:color="000000" w:fill="FFFFFF"/>
            <w:vAlign w:val="center"/>
          </w:tcPr>
          <w:p w14:paraId="47C15B1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5FCF6DD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33B4F88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-0.48</w:t>
            </w:r>
          </w:p>
        </w:tc>
        <w:tc>
          <w:tcPr>
            <w:tcW w:w="567" w:type="dxa"/>
            <w:tcBorders>
              <w:top w:val="nil"/>
              <w:left w:val="nil"/>
              <w:bottom w:val="nil"/>
              <w:right w:val="single" w:sz="4" w:space="0" w:color="auto"/>
            </w:tcBorders>
            <w:shd w:val="clear" w:color="000000" w:fill="FFFFFF"/>
            <w:vAlign w:val="center"/>
          </w:tcPr>
          <w:p w14:paraId="40AFAB8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5FA429FD"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6F6AF8A"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2011-2017 * GCSE</w:t>
            </w:r>
          </w:p>
        </w:tc>
        <w:tc>
          <w:tcPr>
            <w:tcW w:w="709" w:type="dxa"/>
            <w:tcBorders>
              <w:top w:val="nil"/>
              <w:left w:val="nil"/>
              <w:bottom w:val="nil"/>
              <w:right w:val="nil"/>
            </w:tcBorders>
            <w:shd w:val="clear" w:color="000000" w:fill="FFFFFF"/>
            <w:vAlign w:val="center"/>
          </w:tcPr>
          <w:p w14:paraId="50B922B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6974A6C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3B302A1E"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0.00</w:t>
            </w:r>
          </w:p>
        </w:tc>
        <w:tc>
          <w:tcPr>
            <w:tcW w:w="567" w:type="dxa"/>
            <w:tcBorders>
              <w:top w:val="nil"/>
              <w:left w:val="nil"/>
              <w:bottom w:val="nil"/>
              <w:right w:val="single" w:sz="4" w:space="0" w:color="auto"/>
            </w:tcBorders>
            <w:shd w:val="clear" w:color="000000" w:fill="FFFFFF"/>
            <w:vAlign w:val="center"/>
          </w:tcPr>
          <w:p w14:paraId="41CC8F5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75AA8598"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37EBB4E3"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Median House Price to Workplace Earnings Ratio</w:t>
            </w:r>
          </w:p>
        </w:tc>
        <w:tc>
          <w:tcPr>
            <w:tcW w:w="709" w:type="dxa"/>
            <w:tcBorders>
              <w:top w:val="nil"/>
              <w:left w:val="nil"/>
              <w:bottom w:val="nil"/>
              <w:right w:val="nil"/>
            </w:tcBorders>
            <w:shd w:val="clear" w:color="000000" w:fill="FFFFFF"/>
            <w:vAlign w:val="center"/>
          </w:tcPr>
          <w:p w14:paraId="68874A78"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2940CDEA"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36284833"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-1.78</w:t>
            </w:r>
          </w:p>
        </w:tc>
        <w:tc>
          <w:tcPr>
            <w:tcW w:w="567" w:type="dxa"/>
            <w:tcBorders>
              <w:top w:val="nil"/>
              <w:left w:val="nil"/>
              <w:bottom w:val="nil"/>
              <w:right w:val="single" w:sz="4" w:space="0" w:color="auto"/>
            </w:tcBorders>
            <w:shd w:val="clear" w:color="000000" w:fill="FFFFFF"/>
            <w:vAlign w:val="center"/>
          </w:tcPr>
          <w:p w14:paraId="42669D3A"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w:t>
            </w:r>
          </w:p>
        </w:tc>
      </w:tr>
      <w:tr w:rsidR="00405591" w:rsidRPr="0044286B" w14:paraId="77DB43DD"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9D41C05"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1999-2005 * Housing Unaffordability</w:t>
            </w:r>
          </w:p>
        </w:tc>
        <w:tc>
          <w:tcPr>
            <w:tcW w:w="709" w:type="dxa"/>
            <w:tcBorders>
              <w:top w:val="nil"/>
              <w:left w:val="nil"/>
              <w:bottom w:val="nil"/>
              <w:right w:val="nil"/>
            </w:tcBorders>
            <w:shd w:val="clear" w:color="000000" w:fill="FFFFFF"/>
            <w:vAlign w:val="center"/>
          </w:tcPr>
          <w:p w14:paraId="4943B2C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52E304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17FF895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1.24</w:t>
            </w:r>
          </w:p>
        </w:tc>
        <w:tc>
          <w:tcPr>
            <w:tcW w:w="567" w:type="dxa"/>
            <w:tcBorders>
              <w:top w:val="nil"/>
              <w:left w:val="nil"/>
              <w:bottom w:val="nil"/>
              <w:right w:val="single" w:sz="4" w:space="0" w:color="auto"/>
            </w:tcBorders>
            <w:shd w:val="clear" w:color="000000" w:fill="FFFFFF"/>
            <w:vAlign w:val="center"/>
          </w:tcPr>
          <w:p w14:paraId="414464C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2883E5EF"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31C7751D"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2006-2010 * Housing Unaffordability</w:t>
            </w:r>
          </w:p>
        </w:tc>
        <w:tc>
          <w:tcPr>
            <w:tcW w:w="709" w:type="dxa"/>
            <w:tcBorders>
              <w:top w:val="nil"/>
              <w:left w:val="nil"/>
              <w:bottom w:val="nil"/>
              <w:right w:val="nil"/>
            </w:tcBorders>
            <w:shd w:val="clear" w:color="000000" w:fill="FFFFFF"/>
            <w:vAlign w:val="center"/>
          </w:tcPr>
          <w:p w14:paraId="4BE4AEE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1F15C34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20F271D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0.99</w:t>
            </w:r>
          </w:p>
        </w:tc>
        <w:tc>
          <w:tcPr>
            <w:tcW w:w="567" w:type="dxa"/>
            <w:tcBorders>
              <w:top w:val="nil"/>
              <w:left w:val="nil"/>
              <w:bottom w:val="nil"/>
              <w:right w:val="single" w:sz="4" w:space="0" w:color="auto"/>
            </w:tcBorders>
            <w:shd w:val="clear" w:color="000000" w:fill="FFFFFF"/>
            <w:vAlign w:val="center"/>
          </w:tcPr>
          <w:p w14:paraId="1004F05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04AC20D9"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718D67E"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2011-2017 * Housing Unaffordability</w:t>
            </w:r>
          </w:p>
        </w:tc>
        <w:tc>
          <w:tcPr>
            <w:tcW w:w="709" w:type="dxa"/>
            <w:tcBorders>
              <w:top w:val="nil"/>
              <w:left w:val="nil"/>
              <w:bottom w:val="nil"/>
              <w:right w:val="nil"/>
            </w:tcBorders>
            <w:shd w:val="clear" w:color="000000" w:fill="FFFFFF"/>
            <w:vAlign w:val="center"/>
          </w:tcPr>
          <w:p w14:paraId="3EE9835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1F60FCE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66D2B7ED"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1.58</w:t>
            </w:r>
          </w:p>
        </w:tc>
        <w:tc>
          <w:tcPr>
            <w:tcW w:w="567" w:type="dxa"/>
            <w:tcBorders>
              <w:top w:val="nil"/>
              <w:left w:val="nil"/>
              <w:bottom w:val="nil"/>
              <w:right w:val="single" w:sz="4" w:space="0" w:color="auto"/>
            </w:tcBorders>
            <w:shd w:val="clear" w:color="000000" w:fill="FFFFFF"/>
            <w:vAlign w:val="center"/>
          </w:tcPr>
          <w:p w14:paraId="3CE6FE0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21216608"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A74D130"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Total Number of Social Housing Units for each LAD per 100 people (18 and over)</w:t>
            </w:r>
          </w:p>
        </w:tc>
        <w:tc>
          <w:tcPr>
            <w:tcW w:w="709" w:type="dxa"/>
            <w:tcBorders>
              <w:top w:val="nil"/>
              <w:left w:val="nil"/>
              <w:bottom w:val="nil"/>
              <w:right w:val="nil"/>
            </w:tcBorders>
            <w:shd w:val="clear" w:color="000000" w:fill="FFFFFF"/>
            <w:vAlign w:val="center"/>
          </w:tcPr>
          <w:p w14:paraId="4E8A0CA8"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21146A4A"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273E69E2"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0.43</w:t>
            </w:r>
          </w:p>
        </w:tc>
        <w:tc>
          <w:tcPr>
            <w:tcW w:w="567" w:type="dxa"/>
            <w:tcBorders>
              <w:top w:val="nil"/>
              <w:left w:val="nil"/>
              <w:bottom w:val="nil"/>
              <w:right w:val="single" w:sz="4" w:space="0" w:color="auto"/>
            </w:tcBorders>
            <w:shd w:val="clear" w:color="000000" w:fill="FFFFFF"/>
            <w:vAlign w:val="center"/>
          </w:tcPr>
          <w:p w14:paraId="2070C424"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w:t>
            </w:r>
          </w:p>
        </w:tc>
      </w:tr>
      <w:tr w:rsidR="00405591" w:rsidRPr="0044286B" w14:paraId="5B9C16A0"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1954094A"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1999-2005 * Social Housing</w:t>
            </w:r>
          </w:p>
        </w:tc>
        <w:tc>
          <w:tcPr>
            <w:tcW w:w="709" w:type="dxa"/>
            <w:tcBorders>
              <w:top w:val="nil"/>
              <w:left w:val="nil"/>
              <w:bottom w:val="nil"/>
              <w:right w:val="nil"/>
            </w:tcBorders>
            <w:shd w:val="clear" w:color="000000" w:fill="FFFFFF"/>
            <w:vAlign w:val="center"/>
          </w:tcPr>
          <w:p w14:paraId="47F5213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22072F5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08AEFA1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-0.12</w:t>
            </w:r>
          </w:p>
        </w:tc>
        <w:tc>
          <w:tcPr>
            <w:tcW w:w="567" w:type="dxa"/>
            <w:tcBorders>
              <w:top w:val="nil"/>
              <w:left w:val="nil"/>
              <w:bottom w:val="nil"/>
              <w:right w:val="single" w:sz="4" w:space="0" w:color="auto"/>
            </w:tcBorders>
            <w:shd w:val="clear" w:color="000000" w:fill="FFFFFF"/>
            <w:vAlign w:val="center"/>
          </w:tcPr>
          <w:p w14:paraId="3BBCF8A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5217AB08"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0E1CF0EA"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2006-2010 * Social Housing</w:t>
            </w:r>
          </w:p>
        </w:tc>
        <w:tc>
          <w:tcPr>
            <w:tcW w:w="709" w:type="dxa"/>
            <w:tcBorders>
              <w:top w:val="nil"/>
              <w:left w:val="nil"/>
              <w:bottom w:val="nil"/>
              <w:right w:val="nil"/>
            </w:tcBorders>
            <w:shd w:val="clear" w:color="000000" w:fill="FFFFFF"/>
            <w:vAlign w:val="center"/>
          </w:tcPr>
          <w:p w14:paraId="0752ECF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135A97A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1578B12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-0.30</w:t>
            </w:r>
          </w:p>
        </w:tc>
        <w:tc>
          <w:tcPr>
            <w:tcW w:w="567" w:type="dxa"/>
            <w:tcBorders>
              <w:top w:val="nil"/>
              <w:left w:val="nil"/>
              <w:bottom w:val="nil"/>
              <w:right w:val="single" w:sz="4" w:space="0" w:color="auto"/>
            </w:tcBorders>
            <w:shd w:val="clear" w:color="000000" w:fill="FFFFFF"/>
            <w:vAlign w:val="center"/>
          </w:tcPr>
          <w:p w14:paraId="52318DB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1C98D149"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71093928"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2011-2017 * Social Housing</w:t>
            </w:r>
          </w:p>
        </w:tc>
        <w:tc>
          <w:tcPr>
            <w:tcW w:w="709" w:type="dxa"/>
            <w:tcBorders>
              <w:top w:val="nil"/>
              <w:left w:val="nil"/>
              <w:bottom w:val="nil"/>
              <w:right w:val="nil"/>
            </w:tcBorders>
            <w:shd w:val="clear" w:color="000000" w:fill="FFFFFF"/>
            <w:vAlign w:val="center"/>
          </w:tcPr>
          <w:p w14:paraId="09E298E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5510F35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0654428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-0.47</w:t>
            </w:r>
          </w:p>
        </w:tc>
        <w:tc>
          <w:tcPr>
            <w:tcW w:w="567" w:type="dxa"/>
            <w:tcBorders>
              <w:top w:val="nil"/>
              <w:left w:val="nil"/>
              <w:bottom w:val="nil"/>
              <w:right w:val="single" w:sz="4" w:space="0" w:color="auto"/>
            </w:tcBorders>
            <w:shd w:val="clear" w:color="000000" w:fill="FFFFFF"/>
            <w:vAlign w:val="center"/>
          </w:tcPr>
          <w:p w14:paraId="6987DF92"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08E7CB3A"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DA1B0EB"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 Pupils in Secondary Schools who were Black</w:t>
            </w:r>
          </w:p>
        </w:tc>
        <w:tc>
          <w:tcPr>
            <w:tcW w:w="709" w:type="dxa"/>
            <w:tcBorders>
              <w:top w:val="nil"/>
              <w:left w:val="nil"/>
              <w:bottom w:val="nil"/>
              <w:right w:val="nil"/>
            </w:tcBorders>
            <w:shd w:val="clear" w:color="000000" w:fill="FFFFFF"/>
            <w:vAlign w:val="center"/>
          </w:tcPr>
          <w:p w14:paraId="2F0CE138"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1C28DD84"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66C6BEF5"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0.51</w:t>
            </w:r>
          </w:p>
        </w:tc>
        <w:tc>
          <w:tcPr>
            <w:tcW w:w="567" w:type="dxa"/>
            <w:tcBorders>
              <w:top w:val="nil"/>
              <w:left w:val="nil"/>
              <w:bottom w:val="nil"/>
              <w:right w:val="single" w:sz="4" w:space="0" w:color="auto"/>
            </w:tcBorders>
            <w:shd w:val="clear" w:color="000000" w:fill="FFFFFF"/>
            <w:vAlign w:val="center"/>
          </w:tcPr>
          <w:p w14:paraId="7198AB12"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w:t>
            </w:r>
          </w:p>
        </w:tc>
      </w:tr>
      <w:tr w:rsidR="00405591" w:rsidRPr="0044286B" w14:paraId="7089965C"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3F6C22F2"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1999-2005 * % Black</w:t>
            </w:r>
          </w:p>
        </w:tc>
        <w:tc>
          <w:tcPr>
            <w:tcW w:w="709" w:type="dxa"/>
            <w:tcBorders>
              <w:top w:val="nil"/>
              <w:left w:val="nil"/>
              <w:bottom w:val="nil"/>
              <w:right w:val="nil"/>
            </w:tcBorders>
            <w:shd w:val="clear" w:color="000000" w:fill="FFFFFF"/>
            <w:vAlign w:val="center"/>
          </w:tcPr>
          <w:p w14:paraId="3285849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73B82A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5110CBB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-0.02</w:t>
            </w:r>
          </w:p>
        </w:tc>
        <w:tc>
          <w:tcPr>
            <w:tcW w:w="567" w:type="dxa"/>
            <w:tcBorders>
              <w:top w:val="nil"/>
              <w:left w:val="nil"/>
              <w:bottom w:val="nil"/>
              <w:right w:val="single" w:sz="4" w:space="0" w:color="auto"/>
            </w:tcBorders>
            <w:shd w:val="clear" w:color="000000" w:fill="FFFFFF"/>
            <w:vAlign w:val="center"/>
          </w:tcPr>
          <w:p w14:paraId="0C63ED0C"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0D92E76B"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95A3FAE"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2006-2010 * % Black</w:t>
            </w:r>
          </w:p>
        </w:tc>
        <w:tc>
          <w:tcPr>
            <w:tcW w:w="709" w:type="dxa"/>
            <w:tcBorders>
              <w:top w:val="nil"/>
              <w:left w:val="nil"/>
              <w:bottom w:val="nil"/>
              <w:right w:val="nil"/>
            </w:tcBorders>
            <w:shd w:val="clear" w:color="000000" w:fill="FFFFFF"/>
            <w:vAlign w:val="center"/>
          </w:tcPr>
          <w:p w14:paraId="4649E495"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1BD2F0F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0672D62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-0.49</w:t>
            </w:r>
          </w:p>
        </w:tc>
        <w:tc>
          <w:tcPr>
            <w:tcW w:w="567" w:type="dxa"/>
            <w:tcBorders>
              <w:top w:val="nil"/>
              <w:left w:val="nil"/>
              <w:bottom w:val="nil"/>
              <w:right w:val="single" w:sz="4" w:space="0" w:color="auto"/>
            </w:tcBorders>
            <w:shd w:val="clear" w:color="000000" w:fill="FFFFFF"/>
            <w:vAlign w:val="center"/>
          </w:tcPr>
          <w:p w14:paraId="7E8D4B69"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51797DC2"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57C4B97A"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2011-2017 * % Black</w:t>
            </w:r>
          </w:p>
        </w:tc>
        <w:tc>
          <w:tcPr>
            <w:tcW w:w="709" w:type="dxa"/>
            <w:tcBorders>
              <w:top w:val="nil"/>
              <w:left w:val="nil"/>
              <w:bottom w:val="nil"/>
              <w:right w:val="nil"/>
            </w:tcBorders>
            <w:shd w:val="clear" w:color="000000" w:fill="FFFFFF"/>
            <w:vAlign w:val="center"/>
          </w:tcPr>
          <w:p w14:paraId="310C73B5"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5BFC04B"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6840D96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-0.54</w:t>
            </w:r>
          </w:p>
        </w:tc>
        <w:tc>
          <w:tcPr>
            <w:tcW w:w="567" w:type="dxa"/>
            <w:tcBorders>
              <w:top w:val="nil"/>
              <w:left w:val="nil"/>
              <w:bottom w:val="nil"/>
              <w:right w:val="single" w:sz="4" w:space="0" w:color="auto"/>
            </w:tcBorders>
            <w:shd w:val="clear" w:color="000000" w:fill="FFFFFF"/>
            <w:vAlign w:val="center"/>
          </w:tcPr>
          <w:p w14:paraId="1AE154A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18326CFF"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3CDA5551"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 Pupils in Secondary Schools who were South Asian</w:t>
            </w:r>
          </w:p>
        </w:tc>
        <w:tc>
          <w:tcPr>
            <w:tcW w:w="709" w:type="dxa"/>
            <w:tcBorders>
              <w:top w:val="nil"/>
              <w:left w:val="nil"/>
              <w:bottom w:val="nil"/>
              <w:right w:val="nil"/>
            </w:tcBorders>
            <w:shd w:val="clear" w:color="000000" w:fill="FFFFFF"/>
            <w:vAlign w:val="center"/>
          </w:tcPr>
          <w:p w14:paraId="1F07D61A"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0AAD567A"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36DB2E2F"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-0.01</w:t>
            </w:r>
          </w:p>
        </w:tc>
        <w:tc>
          <w:tcPr>
            <w:tcW w:w="567" w:type="dxa"/>
            <w:tcBorders>
              <w:top w:val="nil"/>
              <w:left w:val="nil"/>
              <w:bottom w:val="nil"/>
              <w:right w:val="single" w:sz="4" w:space="0" w:color="auto"/>
            </w:tcBorders>
            <w:shd w:val="clear" w:color="000000" w:fill="FFFFFF"/>
            <w:vAlign w:val="center"/>
          </w:tcPr>
          <w:p w14:paraId="11878CD4"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r>
      <w:tr w:rsidR="00405591" w:rsidRPr="0044286B" w14:paraId="725B1B0E"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618C2D27"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1999-2005 * % South Asian</w:t>
            </w:r>
          </w:p>
        </w:tc>
        <w:tc>
          <w:tcPr>
            <w:tcW w:w="709" w:type="dxa"/>
            <w:tcBorders>
              <w:top w:val="nil"/>
              <w:left w:val="nil"/>
              <w:bottom w:val="nil"/>
              <w:right w:val="nil"/>
            </w:tcBorders>
            <w:shd w:val="clear" w:color="000000" w:fill="FFFFFF"/>
            <w:vAlign w:val="center"/>
          </w:tcPr>
          <w:p w14:paraId="59AD2C0D"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637FC45D"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379D153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-0.12</w:t>
            </w:r>
          </w:p>
        </w:tc>
        <w:tc>
          <w:tcPr>
            <w:tcW w:w="567" w:type="dxa"/>
            <w:tcBorders>
              <w:top w:val="nil"/>
              <w:left w:val="nil"/>
              <w:bottom w:val="nil"/>
              <w:right w:val="single" w:sz="4" w:space="0" w:color="auto"/>
            </w:tcBorders>
            <w:shd w:val="clear" w:color="000000" w:fill="FFFFFF"/>
            <w:vAlign w:val="center"/>
          </w:tcPr>
          <w:p w14:paraId="20442C10"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6B54DFBB"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C29DF99"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2006-2010 * % South Asian</w:t>
            </w:r>
          </w:p>
        </w:tc>
        <w:tc>
          <w:tcPr>
            <w:tcW w:w="709" w:type="dxa"/>
            <w:tcBorders>
              <w:top w:val="nil"/>
              <w:left w:val="nil"/>
              <w:bottom w:val="nil"/>
              <w:right w:val="nil"/>
            </w:tcBorders>
            <w:shd w:val="clear" w:color="000000" w:fill="FFFFFF"/>
            <w:vAlign w:val="center"/>
          </w:tcPr>
          <w:p w14:paraId="5D73BFA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3C8B758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D28A76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-0.15</w:t>
            </w:r>
          </w:p>
        </w:tc>
        <w:tc>
          <w:tcPr>
            <w:tcW w:w="567" w:type="dxa"/>
            <w:tcBorders>
              <w:top w:val="nil"/>
              <w:left w:val="nil"/>
              <w:bottom w:val="nil"/>
              <w:right w:val="single" w:sz="4" w:space="0" w:color="auto"/>
            </w:tcBorders>
            <w:shd w:val="clear" w:color="000000" w:fill="FFFFFF"/>
            <w:vAlign w:val="center"/>
          </w:tcPr>
          <w:p w14:paraId="2BAB728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w:t>
            </w:r>
          </w:p>
        </w:tc>
      </w:tr>
      <w:tr w:rsidR="00405591" w:rsidRPr="0044286B" w14:paraId="7EC572FC"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32180876"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2011-2017 * % South Asian</w:t>
            </w:r>
          </w:p>
        </w:tc>
        <w:tc>
          <w:tcPr>
            <w:tcW w:w="709" w:type="dxa"/>
            <w:tcBorders>
              <w:top w:val="nil"/>
              <w:left w:val="nil"/>
              <w:bottom w:val="nil"/>
              <w:right w:val="nil"/>
            </w:tcBorders>
            <w:shd w:val="clear" w:color="000000" w:fill="FFFFFF"/>
            <w:vAlign w:val="center"/>
          </w:tcPr>
          <w:p w14:paraId="5F0976B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091B9715"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027FC33F"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-0.07</w:t>
            </w:r>
          </w:p>
        </w:tc>
        <w:tc>
          <w:tcPr>
            <w:tcW w:w="567" w:type="dxa"/>
            <w:tcBorders>
              <w:top w:val="nil"/>
              <w:left w:val="nil"/>
              <w:bottom w:val="nil"/>
              <w:right w:val="single" w:sz="4" w:space="0" w:color="auto"/>
            </w:tcBorders>
            <w:shd w:val="clear" w:color="000000" w:fill="FFFFFF"/>
            <w:vAlign w:val="center"/>
          </w:tcPr>
          <w:p w14:paraId="7A71E75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3891886A"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77D93816"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TPS Funding per each Female aged 13-17</w:t>
            </w:r>
          </w:p>
        </w:tc>
        <w:tc>
          <w:tcPr>
            <w:tcW w:w="709" w:type="dxa"/>
            <w:tcBorders>
              <w:top w:val="nil"/>
              <w:left w:val="nil"/>
              <w:bottom w:val="nil"/>
              <w:right w:val="nil"/>
            </w:tcBorders>
            <w:shd w:val="clear" w:color="000000" w:fill="FFFFFF"/>
            <w:vAlign w:val="center"/>
          </w:tcPr>
          <w:p w14:paraId="63499EA6"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1A582D7C"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p>
        </w:tc>
        <w:tc>
          <w:tcPr>
            <w:tcW w:w="709" w:type="dxa"/>
            <w:tcBorders>
              <w:top w:val="nil"/>
              <w:left w:val="nil"/>
              <w:bottom w:val="nil"/>
              <w:right w:val="nil"/>
            </w:tcBorders>
            <w:shd w:val="clear" w:color="000000" w:fill="FFFFFF"/>
            <w:vAlign w:val="center"/>
          </w:tcPr>
          <w:p w14:paraId="43D5A618"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0.23</w:t>
            </w:r>
          </w:p>
        </w:tc>
        <w:tc>
          <w:tcPr>
            <w:tcW w:w="567" w:type="dxa"/>
            <w:tcBorders>
              <w:top w:val="nil"/>
              <w:left w:val="nil"/>
              <w:bottom w:val="nil"/>
              <w:right w:val="single" w:sz="4" w:space="0" w:color="auto"/>
            </w:tcBorders>
            <w:shd w:val="clear" w:color="000000" w:fill="FFFFFF"/>
            <w:vAlign w:val="center"/>
          </w:tcPr>
          <w:p w14:paraId="7651BB76"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w:t>
            </w:r>
          </w:p>
        </w:tc>
      </w:tr>
      <w:tr w:rsidR="00405591" w:rsidRPr="0044286B" w14:paraId="1833B141"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422B2FBC"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2006-2010 * TPS Funding (REF. = 1999-2005)</w:t>
            </w:r>
          </w:p>
        </w:tc>
        <w:tc>
          <w:tcPr>
            <w:tcW w:w="709" w:type="dxa"/>
            <w:tcBorders>
              <w:top w:val="nil"/>
              <w:left w:val="nil"/>
              <w:bottom w:val="nil"/>
              <w:right w:val="nil"/>
            </w:tcBorders>
            <w:shd w:val="clear" w:color="000000" w:fill="FFFFFF"/>
            <w:vAlign w:val="center"/>
          </w:tcPr>
          <w:p w14:paraId="0DD3285A"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78BFAB2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6C151828"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-0.00</w:t>
            </w:r>
          </w:p>
        </w:tc>
        <w:tc>
          <w:tcPr>
            <w:tcW w:w="567" w:type="dxa"/>
            <w:tcBorders>
              <w:top w:val="nil"/>
              <w:left w:val="nil"/>
              <w:bottom w:val="nil"/>
              <w:right w:val="single" w:sz="4" w:space="0" w:color="auto"/>
            </w:tcBorders>
            <w:shd w:val="clear" w:color="000000" w:fill="FFFFFF"/>
            <w:vAlign w:val="center"/>
          </w:tcPr>
          <w:p w14:paraId="004CAA73"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22A33091" w14:textId="77777777" w:rsidTr="00707A63">
        <w:trPr>
          <w:cantSplit/>
        </w:trPr>
        <w:tc>
          <w:tcPr>
            <w:tcW w:w="5665" w:type="dxa"/>
            <w:tcBorders>
              <w:top w:val="nil"/>
              <w:left w:val="single" w:sz="4" w:space="0" w:color="auto"/>
              <w:bottom w:val="single" w:sz="4" w:space="0" w:color="auto"/>
              <w:right w:val="nil"/>
            </w:tcBorders>
            <w:shd w:val="clear" w:color="000000" w:fill="FFFFFF"/>
            <w:vAlign w:val="center"/>
            <w:hideMark/>
          </w:tcPr>
          <w:p w14:paraId="1223DC4A" w14:textId="77777777" w:rsidR="00405591" w:rsidRPr="0044286B" w:rsidRDefault="00405591" w:rsidP="00707A63">
            <w:pPr>
              <w:spacing w:line="140" w:lineRule="exac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Constant</w:t>
            </w:r>
          </w:p>
        </w:tc>
        <w:tc>
          <w:tcPr>
            <w:tcW w:w="709" w:type="dxa"/>
            <w:tcBorders>
              <w:top w:val="nil"/>
              <w:left w:val="nil"/>
              <w:bottom w:val="single" w:sz="4" w:space="0" w:color="auto"/>
              <w:right w:val="nil"/>
            </w:tcBorders>
            <w:shd w:val="clear" w:color="000000" w:fill="FFFFFF"/>
            <w:vAlign w:val="center"/>
            <w:hideMark/>
          </w:tcPr>
          <w:p w14:paraId="04C6C448"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48.70</w:t>
            </w:r>
          </w:p>
        </w:tc>
        <w:tc>
          <w:tcPr>
            <w:tcW w:w="709" w:type="dxa"/>
            <w:tcBorders>
              <w:top w:val="nil"/>
              <w:left w:val="nil"/>
              <w:bottom w:val="single" w:sz="4" w:space="0" w:color="auto"/>
              <w:right w:val="nil"/>
            </w:tcBorders>
            <w:shd w:val="clear" w:color="000000" w:fill="FFFFFF"/>
            <w:vAlign w:val="center"/>
          </w:tcPr>
          <w:p w14:paraId="5864A912"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w:t>
            </w:r>
          </w:p>
        </w:tc>
        <w:tc>
          <w:tcPr>
            <w:tcW w:w="709" w:type="dxa"/>
            <w:tcBorders>
              <w:top w:val="nil"/>
              <w:left w:val="nil"/>
              <w:bottom w:val="single" w:sz="4" w:space="0" w:color="auto"/>
              <w:right w:val="nil"/>
            </w:tcBorders>
            <w:shd w:val="clear" w:color="000000" w:fill="FFFFFF"/>
            <w:vAlign w:val="center"/>
          </w:tcPr>
          <w:p w14:paraId="28B6FC4D"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39.78</w:t>
            </w:r>
          </w:p>
        </w:tc>
        <w:tc>
          <w:tcPr>
            <w:tcW w:w="567" w:type="dxa"/>
            <w:tcBorders>
              <w:top w:val="nil"/>
              <w:left w:val="nil"/>
              <w:bottom w:val="single" w:sz="4" w:space="0" w:color="auto"/>
              <w:right w:val="single" w:sz="4" w:space="0" w:color="auto"/>
            </w:tcBorders>
            <w:shd w:val="clear" w:color="000000" w:fill="FFFFFF"/>
            <w:vAlign w:val="center"/>
          </w:tcPr>
          <w:p w14:paraId="0EF9DD15" w14:textId="77777777" w:rsidR="00405591" w:rsidRPr="0044286B" w:rsidRDefault="00405591" w:rsidP="00707A63">
            <w:pPr>
              <w:spacing w:line="140" w:lineRule="exact"/>
              <w:jc w:val="right"/>
              <w:rPr>
                <w:rFonts w:asciiTheme="minorHAnsi" w:hAnsiTheme="minorHAnsi" w:cstheme="minorHAnsi"/>
                <w:b/>
                <w:bCs/>
                <w:color w:val="000000"/>
                <w:sz w:val="16"/>
                <w:szCs w:val="16"/>
                <w:lang w:eastAsia="en-GB"/>
              </w:rPr>
            </w:pPr>
            <w:r w:rsidRPr="0044286B">
              <w:rPr>
                <w:rFonts w:asciiTheme="minorHAnsi" w:hAnsiTheme="minorHAnsi" w:cstheme="minorHAnsi"/>
                <w:b/>
                <w:bCs/>
                <w:color w:val="000000"/>
                <w:sz w:val="16"/>
                <w:szCs w:val="16"/>
                <w:lang w:eastAsia="en-GB"/>
              </w:rPr>
              <w:t>***</w:t>
            </w:r>
          </w:p>
        </w:tc>
      </w:tr>
      <w:tr w:rsidR="00405591" w:rsidRPr="0044286B" w14:paraId="20232AB2" w14:textId="77777777" w:rsidTr="00707A63">
        <w:trPr>
          <w:cantSplit/>
          <w:trHeight w:val="199"/>
        </w:trPr>
        <w:tc>
          <w:tcPr>
            <w:tcW w:w="5665" w:type="dxa"/>
            <w:tcBorders>
              <w:top w:val="nil"/>
              <w:left w:val="single" w:sz="4" w:space="0" w:color="auto"/>
              <w:bottom w:val="nil"/>
              <w:right w:val="nil"/>
            </w:tcBorders>
            <w:shd w:val="clear" w:color="000000" w:fill="FFFFFF"/>
            <w:vAlign w:val="center"/>
            <w:hideMark/>
          </w:tcPr>
          <w:p w14:paraId="698AFE85" w14:textId="77777777" w:rsidR="00405591" w:rsidRPr="0044286B" w:rsidRDefault="00405591" w:rsidP="00707A63">
            <w:pPr>
              <w:spacing w:line="140" w:lineRule="exact"/>
              <w:rPr>
                <w:rFonts w:asciiTheme="minorHAnsi" w:hAnsiTheme="minorHAnsi" w:cstheme="minorHAnsi"/>
                <w:b/>
                <w:bCs/>
                <w:iCs/>
                <w:color w:val="000000"/>
                <w:sz w:val="16"/>
                <w:szCs w:val="16"/>
                <w:u w:val="single"/>
                <w:lang w:eastAsia="en-GB"/>
              </w:rPr>
            </w:pPr>
            <w:r w:rsidRPr="0044286B">
              <w:rPr>
                <w:rFonts w:asciiTheme="minorHAnsi" w:hAnsiTheme="minorHAnsi" w:cstheme="minorHAnsi"/>
                <w:b/>
                <w:bCs/>
                <w:iCs/>
                <w:color w:val="000000"/>
                <w:sz w:val="16"/>
                <w:szCs w:val="16"/>
                <w:u w:val="single"/>
                <w:lang w:eastAsia="en-GB"/>
              </w:rPr>
              <w:t>Random Effects</w:t>
            </w:r>
          </w:p>
        </w:tc>
        <w:tc>
          <w:tcPr>
            <w:tcW w:w="709" w:type="dxa"/>
            <w:tcBorders>
              <w:top w:val="nil"/>
              <w:left w:val="nil"/>
              <w:bottom w:val="nil"/>
              <w:right w:val="nil"/>
            </w:tcBorders>
            <w:shd w:val="clear" w:color="000000" w:fill="FFFFFF"/>
            <w:vAlign w:val="center"/>
            <w:hideMark/>
          </w:tcPr>
          <w:p w14:paraId="145317F9" w14:textId="77777777" w:rsidR="00405591" w:rsidRPr="0044286B" w:rsidRDefault="00405591" w:rsidP="00707A63">
            <w:pPr>
              <w:spacing w:line="140" w:lineRule="exact"/>
              <w:jc w:val="right"/>
              <w:rPr>
                <w:rFonts w:asciiTheme="minorHAnsi" w:hAnsiTheme="minorHAnsi" w:cstheme="minorHAnsi"/>
                <w:b/>
                <w:bCs/>
                <w:iCs/>
                <w:color w:val="000000"/>
                <w:sz w:val="16"/>
                <w:szCs w:val="16"/>
                <w:u w:val="single"/>
                <w:lang w:eastAsia="en-GB"/>
              </w:rPr>
            </w:pPr>
          </w:p>
        </w:tc>
        <w:tc>
          <w:tcPr>
            <w:tcW w:w="709" w:type="dxa"/>
            <w:tcBorders>
              <w:top w:val="nil"/>
              <w:left w:val="nil"/>
              <w:bottom w:val="nil"/>
              <w:right w:val="nil"/>
            </w:tcBorders>
            <w:shd w:val="clear" w:color="000000" w:fill="FFFFFF"/>
            <w:vAlign w:val="center"/>
          </w:tcPr>
          <w:p w14:paraId="52CB7543" w14:textId="77777777" w:rsidR="00405591" w:rsidRPr="0044286B" w:rsidRDefault="00405591" w:rsidP="00707A63">
            <w:pPr>
              <w:spacing w:line="140" w:lineRule="exact"/>
              <w:jc w:val="right"/>
              <w:rPr>
                <w:rFonts w:asciiTheme="minorHAnsi" w:hAnsiTheme="minorHAnsi" w:cstheme="minorHAnsi"/>
                <w:b/>
                <w:bCs/>
                <w:iCs/>
                <w:color w:val="000000"/>
                <w:sz w:val="16"/>
                <w:szCs w:val="16"/>
                <w:u w:val="single"/>
                <w:lang w:eastAsia="en-GB"/>
              </w:rPr>
            </w:pPr>
          </w:p>
        </w:tc>
        <w:tc>
          <w:tcPr>
            <w:tcW w:w="709" w:type="dxa"/>
            <w:tcBorders>
              <w:top w:val="nil"/>
              <w:left w:val="nil"/>
              <w:bottom w:val="nil"/>
              <w:right w:val="nil"/>
            </w:tcBorders>
            <w:shd w:val="clear" w:color="000000" w:fill="FFFFFF"/>
            <w:vAlign w:val="center"/>
          </w:tcPr>
          <w:p w14:paraId="625E61F5" w14:textId="77777777" w:rsidR="00405591" w:rsidRPr="0044286B" w:rsidRDefault="00405591" w:rsidP="00707A63">
            <w:pPr>
              <w:spacing w:line="140" w:lineRule="exact"/>
              <w:jc w:val="right"/>
              <w:rPr>
                <w:rFonts w:asciiTheme="minorHAnsi" w:hAnsiTheme="minorHAnsi" w:cstheme="minorHAnsi"/>
                <w:b/>
                <w:bCs/>
                <w:iCs/>
                <w:color w:val="000000"/>
                <w:sz w:val="16"/>
                <w:szCs w:val="16"/>
                <w:u w:val="single"/>
                <w:lang w:eastAsia="en-GB"/>
              </w:rPr>
            </w:pPr>
          </w:p>
        </w:tc>
        <w:tc>
          <w:tcPr>
            <w:tcW w:w="567" w:type="dxa"/>
            <w:tcBorders>
              <w:top w:val="nil"/>
              <w:left w:val="nil"/>
              <w:bottom w:val="nil"/>
              <w:right w:val="single" w:sz="4" w:space="0" w:color="auto"/>
            </w:tcBorders>
            <w:shd w:val="clear" w:color="000000" w:fill="FFFFFF"/>
            <w:vAlign w:val="center"/>
          </w:tcPr>
          <w:p w14:paraId="59E0CCF1" w14:textId="77777777" w:rsidR="00405591" w:rsidRPr="0044286B" w:rsidRDefault="00405591" w:rsidP="00707A63">
            <w:pPr>
              <w:spacing w:line="140" w:lineRule="exact"/>
              <w:jc w:val="right"/>
              <w:rPr>
                <w:rFonts w:asciiTheme="minorHAnsi" w:hAnsiTheme="minorHAnsi" w:cstheme="minorHAnsi"/>
                <w:b/>
                <w:bCs/>
                <w:iCs/>
                <w:color w:val="000000"/>
                <w:sz w:val="16"/>
                <w:szCs w:val="16"/>
                <w:u w:val="single"/>
                <w:lang w:eastAsia="en-GB"/>
              </w:rPr>
            </w:pPr>
          </w:p>
        </w:tc>
      </w:tr>
      <w:tr w:rsidR="00405591" w:rsidRPr="0044286B" w14:paraId="4CFA080E"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0029ACC9" w14:textId="77777777" w:rsidR="00405591" w:rsidRPr="009C4969" w:rsidRDefault="00DF1ADE" w:rsidP="00707A63">
            <w:pPr>
              <w:spacing w:line="140" w:lineRule="exact"/>
              <w:rPr>
                <w:rFonts w:asciiTheme="minorHAnsi" w:hAnsiTheme="minorHAnsi" w:cstheme="minorHAnsi"/>
                <w:color w:val="000000"/>
                <w:sz w:val="16"/>
                <w:szCs w:val="16"/>
                <w:lang w:eastAsia="en-GB"/>
              </w:rPr>
            </w:pPr>
            <m:oMath>
              <m:sSub>
                <m:sSubPr>
                  <m:ctrlPr>
                    <w:rPr>
                      <w:rFonts w:ascii="Cambria Math" w:hAnsi="Cambria Math" w:cstheme="minorHAnsi"/>
                      <w:i/>
                      <w:color w:val="000000"/>
                      <w:sz w:val="16"/>
                      <w:szCs w:val="16"/>
                      <w:lang w:eastAsia="en-GB"/>
                    </w:rPr>
                  </m:ctrlPr>
                </m:sSubPr>
                <m:e>
                  <m:r>
                    <w:rPr>
                      <w:rFonts w:ascii="Cambria Math" w:hAnsi="Cambria Math" w:cstheme="minorHAnsi"/>
                      <w:color w:val="000000"/>
                      <w:sz w:val="16"/>
                      <w:szCs w:val="16"/>
                      <w:lang w:eastAsia="en-GB"/>
                    </w:rPr>
                    <m:t>σ</m:t>
                  </m:r>
                </m:e>
                <m:sub>
                  <m:r>
                    <w:rPr>
                      <w:rFonts w:ascii="Cambria Math" w:hAnsi="Cambria Math" w:cstheme="minorHAnsi"/>
                      <w:color w:val="000000"/>
                      <w:sz w:val="16"/>
                      <w:szCs w:val="16"/>
                      <w:lang w:eastAsia="en-GB"/>
                    </w:rPr>
                    <m:t>u</m:t>
                  </m:r>
                </m:sub>
              </m:sSub>
            </m:oMath>
            <w:r w:rsidR="00405591" w:rsidRPr="003D099F">
              <w:rPr>
                <w:rFonts w:asciiTheme="minorHAnsi" w:hAnsiTheme="minorHAnsi" w:cstheme="minorHAnsi"/>
                <w:color w:val="000000"/>
                <w:sz w:val="16"/>
                <w:szCs w:val="16"/>
                <w:lang w:eastAsia="en-GB"/>
              </w:rPr>
              <w:t>Between LAD variation</w:t>
            </w:r>
          </w:p>
        </w:tc>
        <w:tc>
          <w:tcPr>
            <w:tcW w:w="709" w:type="dxa"/>
            <w:tcBorders>
              <w:top w:val="nil"/>
              <w:left w:val="nil"/>
              <w:bottom w:val="nil"/>
              <w:right w:val="nil"/>
            </w:tcBorders>
            <w:shd w:val="clear" w:color="000000" w:fill="FFFFFF"/>
            <w:vAlign w:val="center"/>
          </w:tcPr>
          <w:p w14:paraId="59D63E62" w14:textId="77777777" w:rsidR="00405591" w:rsidRPr="009C4969" w:rsidRDefault="00405591" w:rsidP="00707A63">
            <w:pPr>
              <w:spacing w:line="140" w:lineRule="exact"/>
              <w:jc w:val="right"/>
              <w:rPr>
                <w:rFonts w:asciiTheme="minorHAnsi" w:hAnsiTheme="minorHAnsi" w:cstheme="minorHAnsi"/>
                <w:color w:val="000000"/>
                <w:sz w:val="16"/>
                <w:szCs w:val="16"/>
                <w:lang w:eastAsia="en-GB"/>
              </w:rPr>
            </w:pPr>
            <w:r w:rsidRPr="009C4969">
              <w:rPr>
                <w:rFonts w:asciiTheme="minorHAnsi" w:hAnsiTheme="minorHAnsi" w:cstheme="minorHAnsi"/>
                <w:color w:val="000000"/>
                <w:sz w:val="16"/>
                <w:szCs w:val="16"/>
                <w:lang w:eastAsia="en-GB"/>
              </w:rPr>
              <w:t>8.43</w:t>
            </w:r>
          </w:p>
        </w:tc>
        <w:tc>
          <w:tcPr>
            <w:tcW w:w="709" w:type="dxa"/>
            <w:tcBorders>
              <w:top w:val="nil"/>
              <w:left w:val="nil"/>
              <w:bottom w:val="nil"/>
              <w:right w:val="nil"/>
            </w:tcBorders>
            <w:shd w:val="clear" w:color="000000" w:fill="FFFFFF"/>
            <w:vAlign w:val="center"/>
          </w:tcPr>
          <w:p w14:paraId="0B242B9E" w14:textId="77777777" w:rsidR="00405591" w:rsidRPr="001800D8"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05AA117C" w14:textId="77777777" w:rsidR="00405591" w:rsidRPr="00682940" w:rsidRDefault="00405591" w:rsidP="00707A63">
            <w:pPr>
              <w:spacing w:line="140" w:lineRule="exact"/>
              <w:jc w:val="right"/>
              <w:rPr>
                <w:rFonts w:asciiTheme="minorHAnsi" w:hAnsiTheme="minorHAnsi" w:cstheme="minorHAnsi"/>
                <w:color w:val="000000"/>
                <w:sz w:val="16"/>
                <w:szCs w:val="16"/>
                <w:lang w:eastAsia="en-GB"/>
              </w:rPr>
            </w:pPr>
            <w:r w:rsidRPr="00682940">
              <w:rPr>
                <w:rFonts w:asciiTheme="minorHAnsi" w:hAnsiTheme="minorHAnsi" w:cstheme="minorHAnsi"/>
                <w:sz w:val="16"/>
                <w:szCs w:val="16"/>
              </w:rPr>
              <w:t>4.28</w:t>
            </w:r>
          </w:p>
        </w:tc>
        <w:tc>
          <w:tcPr>
            <w:tcW w:w="567" w:type="dxa"/>
            <w:tcBorders>
              <w:top w:val="nil"/>
              <w:left w:val="nil"/>
              <w:bottom w:val="nil"/>
              <w:right w:val="single" w:sz="4" w:space="0" w:color="auto"/>
            </w:tcBorders>
            <w:shd w:val="clear" w:color="000000" w:fill="FFFFFF"/>
            <w:vAlign w:val="center"/>
          </w:tcPr>
          <w:p w14:paraId="686D87A7" w14:textId="77777777" w:rsidR="00405591" w:rsidRPr="005851B6"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6000A2CA" w14:textId="77777777" w:rsidTr="00707A63">
        <w:trPr>
          <w:cantSplit/>
        </w:trPr>
        <w:tc>
          <w:tcPr>
            <w:tcW w:w="5665" w:type="dxa"/>
            <w:tcBorders>
              <w:top w:val="nil"/>
              <w:left w:val="single" w:sz="4" w:space="0" w:color="auto"/>
              <w:bottom w:val="nil"/>
              <w:right w:val="nil"/>
            </w:tcBorders>
            <w:shd w:val="clear" w:color="000000" w:fill="FFFFFF"/>
            <w:vAlign w:val="center"/>
            <w:hideMark/>
          </w:tcPr>
          <w:p w14:paraId="2F13DAA0" w14:textId="77777777" w:rsidR="00405591" w:rsidRPr="009C4969" w:rsidRDefault="00DF1ADE" w:rsidP="00707A63">
            <w:pPr>
              <w:spacing w:line="140" w:lineRule="exact"/>
              <w:rPr>
                <w:rFonts w:asciiTheme="minorHAnsi" w:hAnsiTheme="minorHAnsi" w:cstheme="minorHAnsi"/>
                <w:color w:val="000000"/>
                <w:sz w:val="16"/>
                <w:szCs w:val="16"/>
                <w:lang w:eastAsia="en-GB"/>
              </w:rPr>
            </w:pPr>
            <m:oMath>
              <m:sSub>
                <m:sSubPr>
                  <m:ctrlPr>
                    <w:rPr>
                      <w:rFonts w:ascii="Cambria Math" w:hAnsi="Cambria Math" w:cstheme="minorHAnsi"/>
                      <w:i/>
                      <w:color w:val="000000"/>
                      <w:sz w:val="16"/>
                      <w:szCs w:val="16"/>
                      <w:lang w:eastAsia="en-GB"/>
                    </w:rPr>
                  </m:ctrlPr>
                </m:sSubPr>
                <m:e>
                  <m:r>
                    <w:rPr>
                      <w:rFonts w:ascii="Cambria Math" w:hAnsi="Cambria Math" w:cstheme="minorHAnsi"/>
                      <w:color w:val="000000"/>
                      <w:sz w:val="16"/>
                      <w:szCs w:val="16"/>
                      <w:lang w:eastAsia="en-GB"/>
                    </w:rPr>
                    <m:t>σ</m:t>
                  </m:r>
                </m:e>
                <m:sub>
                  <m:r>
                    <w:rPr>
                      <w:rFonts w:ascii="Cambria Math" w:hAnsi="Cambria Math" w:cstheme="minorHAnsi"/>
                      <w:color w:val="000000"/>
                      <w:sz w:val="16"/>
                      <w:szCs w:val="16"/>
                      <w:lang w:eastAsia="en-GB"/>
                    </w:rPr>
                    <m:t>e</m:t>
                  </m:r>
                </m:sub>
              </m:sSub>
            </m:oMath>
            <w:r w:rsidR="00405591" w:rsidRPr="003D099F">
              <w:rPr>
                <w:rFonts w:asciiTheme="minorHAnsi" w:hAnsiTheme="minorHAnsi" w:cstheme="minorHAnsi"/>
                <w:color w:val="000000"/>
                <w:sz w:val="16"/>
                <w:szCs w:val="16"/>
                <w:lang w:eastAsia="en-GB"/>
              </w:rPr>
              <w:t>Within LAD variation</w:t>
            </w:r>
          </w:p>
        </w:tc>
        <w:tc>
          <w:tcPr>
            <w:tcW w:w="709" w:type="dxa"/>
            <w:tcBorders>
              <w:top w:val="nil"/>
              <w:left w:val="nil"/>
              <w:bottom w:val="nil"/>
              <w:right w:val="nil"/>
            </w:tcBorders>
            <w:shd w:val="clear" w:color="000000" w:fill="FFFFFF"/>
            <w:vAlign w:val="center"/>
          </w:tcPr>
          <w:p w14:paraId="27B7084A" w14:textId="77777777" w:rsidR="00405591" w:rsidRPr="009C4969" w:rsidRDefault="00405591" w:rsidP="00707A63">
            <w:pPr>
              <w:spacing w:line="140" w:lineRule="exact"/>
              <w:jc w:val="right"/>
              <w:rPr>
                <w:rFonts w:asciiTheme="minorHAnsi" w:hAnsiTheme="minorHAnsi" w:cstheme="minorHAnsi"/>
                <w:color w:val="000000"/>
                <w:sz w:val="16"/>
                <w:szCs w:val="16"/>
                <w:lang w:eastAsia="en-GB"/>
              </w:rPr>
            </w:pPr>
            <w:r w:rsidRPr="009C4969">
              <w:rPr>
                <w:rFonts w:asciiTheme="minorHAnsi" w:hAnsiTheme="minorHAnsi" w:cstheme="minorHAnsi"/>
                <w:color w:val="000000"/>
                <w:sz w:val="16"/>
                <w:szCs w:val="16"/>
                <w:lang w:eastAsia="en-GB"/>
              </w:rPr>
              <w:t>5.82</w:t>
            </w:r>
          </w:p>
        </w:tc>
        <w:tc>
          <w:tcPr>
            <w:tcW w:w="709" w:type="dxa"/>
            <w:tcBorders>
              <w:top w:val="nil"/>
              <w:left w:val="nil"/>
              <w:bottom w:val="nil"/>
              <w:right w:val="nil"/>
            </w:tcBorders>
            <w:shd w:val="clear" w:color="000000" w:fill="FFFFFF"/>
            <w:vAlign w:val="center"/>
          </w:tcPr>
          <w:p w14:paraId="33C5C265" w14:textId="77777777" w:rsidR="00405591" w:rsidRPr="001800D8"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nil"/>
              <w:right w:val="nil"/>
            </w:tcBorders>
            <w:shd w:val="clear" w:color="000000" w:fill="FFFFFF"/>
            <w:vAlign w:val="center"/>
          </w:tcPr>
          <w:p w14:paraId="44BF696B" w14:textId="77777777" w:rsidR="00405591" w:rsidRPr="00682940" w:rsidRDefault="00405591" w:rsidP="00707A63">
            <w:pPr>
              <w:spacing w:line="140" w:lineRule="exact"/>
              <w:jc w:val="right"/>
              <w:rPr>
                <w:rFonts w:asciiTheme="minorHAnsi" w:hAnsiTheme="minorHAnsi" w:cstheme="minorHAnsi"/>
                <w:color w:val="000000"/>
                <w:sz w:val="16"/>
                <w:szCs w:val="16"/>
                <w:lang w:eastAsia="en-GB"/>
              </w:rPr>
            </w:pPr>
            <w:r w:rsidRPr="00682940">
              <w:rPr>
                <w:rFonts w:asciiTheme="minorHAnsi" w:hAnsiTheme="minorHAnsi" w:cstheme="minorHAnsi"/>
                <w:sz w:val="16"/>
                <w:szCs w:val="16"/>
              </w:rPr>
              <w:t>4.83</w:t>
            </w:r>
          </w:p>
        </w:tc>
        <w:tc>
          <w:tcPr>
            <w:tcW w:w="567" w:type="dxa"/>
            <w:tcBorders>
              <w:top w:val="nil"/>
              <w:left w:val="nil"/>
              <w:bottom w:val="nil"/>
              <w:right w:val="single" w:sz="4" w:space="0" w:color="auto"/>
            </w:tcBorders>
            <w:shd w:val="clear" w:color="000000" w:fill="FFFFFF"/>
            <w:vAlign w:val="center"/>
          </w:tcPr>
          <w:p w14:paraId="7E3C07B5" w14:textId="77777777" w:rsidR="00405591" w:rsidRPr="005851B6"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4D0A7F26" w14:textId="77777777" w:rsidTr="00707A63">
        <w:trPr>
          <w:cantSplit/>
        </w:trPr>
        <w:tc>
          <w:tcPr>
            <w:tcW w:w="5665" w:type="dxa"/>
            <w:tcBorders>
              <w:top w:val="nil"/>
              <w:left w:val="single" w:sz="4" w:space="0" w:color="auto"/>
              <w:bottom w:val="single" w:sz="4" w:space="0" w:color="000000"/>
              <w:right w:val="nil"/>
            </w:tcBorders>
            <w:shd w:val="clear" w:color="000000" w:fill="FFFFFF"/>
            <w:vAlign w:val="center"/>
            <w:hideMark/>
          </w:tcPr>
          <w:p w14:paraId="1371F8ED"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Rho</w:t>
            </w:r>
          </w:p>
        </w:tc>
        <w:tc>
          <w:tcPr>
            <w:tcW w:w="709" w:type="dxa"/>
            <w:tcBorders>
              <w:top w:val="nil"/>
              <w:left w:val="nil"/>
              <w:bottom w:val="single" w:sz="4" w:space="0" w:color="000000"/>
              <w:right w:val="nil"/>
            </w:tcBorders>
            <w:shd w:val="clear" w:color="000000" w:fill="FFFFFF"/>
            <w:vAlign w:val="center"/>
          </w:tcPr>
          <w:p w14:paraId="166751E6"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0.68</w:t>
            </w:r>
          </w:p>
        </w:tc>
        <w:tc>
          <w:tcPr>
            <w:tcW w:w="709" w:type="dxa"/>
            <w:tcBorders>
              <w:top w:val="nil"/>
              <w:left w:val="nil"/>
              <w:bottom w:val="single" w:sz="4" w:space="0" w:color="000000"/>
              <w:right w:val="nil"/>
            </w:tcBorders>
            <w:shd w:val="clear" w:color="000000" w:fill="FFFFFF"/>
            <w:vAlign w:val="center"/>
          </w:tcPr>
          <w:p w14:paraId="14BDA81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c>
          <w:tcPr>
            <w:tcW w:w="709" w:type="dxa"/>
            <w:tcBorders>
              <w:top w:val="nil"/>
              <w:left w:val="nil"/>
              <w:bottom w:val="single" w:sz="4" w:space="0" w:color="000000"/>
              <w:right w:val="nil"/>
            </w:tcBorders>
            <w:shd w:val="clear" w:color="000000" w:fill="FFFFFF"/>
            <w:vAlign w:val="center"/>
          </w:tcPr>
          <w:p w14:paraId="4AE560E7"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r w:rsidRPr="0044286B">
              <w:rPr>
                <w:rFonts w:asciiTheme="minorHAnsi" w:hAnsiTheme="minorHAnsi" w:cstheme="minorHAnsi"/>
                <w:sz w:val="16"/>
                <w:szCs w:val="16"/>
              </w:rPr>
              <w:t>0.44</w:t>
            </w:r>
          </w:p>
        </w:tc>
        <w:tc>
          <w:tcPr>
            <w:tcW w:w="567" w:type="dxa"/>
            <w:tcBorders>
              <w:top w:val="nil"/>
              <w:left w:val="nil"/>
              <w:bottom w:val="single" w:sz="4" w:space="0" w:color="000000"/>
              <w:right w:val="single" w:sz="4" w:space="0" w:color="auto"/>
            </w:tcBorders>
            <w:shd w:val="clear" w:color="000000" w:fill="FFFFFF"/>
            <w:vAlign w:val="center"/>
          </w:tcPr>
          <w:p w14:paraId="5CC357C1" w14:textId="77777777" w:rsidR="00405591" w:rsidRPr="0044286B" w:rsidRDefault="00405591" w:rsidP="00707A63">
            <w:pPr>
              <w:spacing w:line="140" w:lineRule="exact"/>
              <w:jc w:val="right"/>
              <w:rPr>
                <w:rFonts w:asciiTheme="minorHAnsi" w:hAnsiTheme="minorHAnsi" w:cstheme="minorHAnsi"/>
                <w:color w:val="000000"/>
                <w:sz w:val="16"/>
                <w:szCs w:val="16"/>
                <w:lang w:eastAsia="en-GB"/>
              </w:rPr>
            </w:pPr>
          </w:p>
        </w:tc>
      </w:tr>
      <w:tr w:rsidR="00405591" w:rsidRPr="0044286B" w14:paraId="3110FE10" w14:textId="77777777" w:rsidTr="00707A63">
        <w:trPr>
          <w:cantSplit/>
        </w:trPr>
        <w:tc>
          <w:tcPr>
            <w:tcW w:w="5665" w:type="dxa"/>
            <w:tcBorders>
              <w:top w:val="nil"/>
              <w:left w:val="single" w:sz="4" w:space="0" w:color="auto"/>
              <w:bottom w:val="single" w:sz="4" w:space="0" w:color="auto"/>
              <w:right w:val="nil"/>
            </w:tcBorders>
            <w:shd w:val="clear" w:color="000000" w:fill="FFFFFF"/>
            <w:vAlign w:val="center"/>
            <w:hideMark/>
          </w:tcPr>
          <w:p w14:paraId="26BCAE32" w14:textId="77777777" w:rsidR="00405591" w:rsidRPr="0044286B" w:rsidRDefault="00405591" w:rsidP="00707A63">
            <w:pPr>
              <w:spacing w:line="140" w:lineRule="exact"/>
              <w:rPr>
                <w:rFonts w:asciiTheme="minorHAnsi" w:hAnsiTheme="minorHAnsi" w:cstheme="minorHAnsi"/>
                <w:color w:val="000000"/>
                <w:sz w:val="16"/>
                <w:szCs w:val="16"/>
                <w:lang w:eastAsia="en-GB"/>
              </w:rPr>
            </w:pPr>
            <w:r w:rsidRPr="0044286B">
              <w:rPr>
                <w:rFonts w:asciiTheme="minorHAnsi" w:hAnsiTheme="minorHAnsi" w:cstheme="minorHAnsi"/>
                <w:color w:val="000000"/>
                <w:sz w:val="16"/>
                <w:szCs w:val="16"/>
                <w:lang w:eastAsia="en-GB"/>
              </w:rPr>
              <w:t>*** p&lt;0.01, ** p&lt;0.05, * p&lt;0.1</w:t>
            </w:r>
          </w:p>
        </w:tc>
        <w:tc>
          <w:tcPr>
            <w:tcW w:w="709" w:type="dxa"/>
            <w:tcBorders>
              <w:top w:val="nil"/>
              <w:left w:val="nil"/>
              <w:bottom w:val="single" w:sz="4" w:space="0" w:color="auto"/>
              <w:right w:val="nil"/>
            </w:tcBorders>
            <w:shd w:val="clear" w:color="000000" w:fill="FFFFFF"/>
            <w:vAlign w:val="center"/>
            <w:hideMark/>
          </w:tcPr>
          <w:p w14:paraId="2F738264" w14:textId="77777777" w:rsidR="00405591" w:rsidRPr="0044286B" w:rsidRDefault="00405591" w:rsidP="00707A63">
            <w:pPr>
              <w:spacing w:line="140" w:lineRule="exact"/>
              <w:rPr>
                <w:rFonts w:asciiTheme="minorHAnsi" w:hAnsiTheme="minorHAnsi" w:cstheme="minorHAnsi"/>
                <w:i/>
                <w:iCs/>
                <w:color w:val="000000"/>
                <w:sz w:val="16"/>
                <w:szCs w:val="16"/>
                <w:lang w:eastAsia="en-GB"/>
              </w:rPr>
            </w:pPr>
            <w:r w:rsidRPr="0044286B">
              <w:rPr>
                <w:rFonts w:asciiTheme="minorHAnsi" w:hAnsiTheme="minorHAnsi" w:cstheme="minorHAnsi"/>
                <w:i/>
                <w:iCs/>
                <w:color w:val="000000"/>
                <w:sz w:val="16"/>
                <w:szCs w:val="16"/>
                <w:lang w:eastAsia="en-GB"/>
              </w:rPr>
              <w:t> </w:t>
            </w:r>
          </w:p>
        </w:tc>
        <w:tc>
          <w:tcPr>
            <w:tcW w:w="709" w:type="dxa"/>
            <w:tcBorders>
              <w:top w:val="nil"/>
              <w:left w:val="nil"/>
              <w:bottom w:val="single" w:sz="4" w:space="0" w:color="auto"/>
              <w:right w:val="nil"/>
            </w:tcBorders>
            <w:shd w:val="clear" w:color="000000" w:fill="FFFFFF"/>
            <w:vAlign w:val="center"/>
          </w:tcPr>
          <w:p w14:paraId="7D5E0214" w14:textId="77777777" w:rsidR="00405591" w:rsidRPr="0044286B" w:rsidRDefault="00405591" w:rsidP="00707A63">
            <w:pPr>
              <w:spacing w:line="140" w:lineRule="exact"/>
              <w:rPr>
                <w:rFonts w:asciiTheme="minorHAnsi" w:hAnsiTheme="minorHAnsi" w:cstheme="minorHAnsi"/>
                <w:i/>
                <w:iCs/>
                <w:color w:val="000000"/>
                <w:sz w:val="16"/>
                <w:szCs w:val="16"/>
                <w:lang w:eastAsia="en-GB"/>
              </w:rPr>
            </w:pPr>
          </w:p>
        </w:tc>
        <w:tc>
          <w:tcPr>
            <w:tcW w:w="709" w:type="dxa"/>
            <w:tcBorders>
              <w:top w:val="nil"/>
              <w:left w:val="nil"/>
              <w:bottom w:val="single" w:sz="4" w:space="0" w:color="auto"/>
              <w:right w:val="nil"/>
            </w:tcBorders>
            <w:shd w:val="clear" w:color="000000" w:fill="FFFFFF"/>
            <w:vAlign w:val="center"/>
          </w:tcPr>
          <w:p w14:paraId="1A82AB9C" w14:textId="77777777" w:rsidR="00405591" w:rsidRPr="0044286B" w:rsidRDefault="00405591" w:rsidP="00707A63">
            <w:pPr>
              <w:spacing w:line="140" w:lineRule="exact"/>
              <w:rPr>
                <w:rFonts w:asciiTheme="minorHAnsi" w:hAnsiTheme="minorHAnsi" w:cstheme="minorHAnsi"/>
                <w:i/>
                <w:iCs/>
                <w:color w:val="000000"/>
                <w:sz w:val="16"/>
                <w:szCs w:val="16"/>
                <w:lang w:eastAsia="en-GB"/>
              </w:rPr>
            </w:pPr>
          </w:p>
        </w:tc>
        <w:tc>
          <w:tcPr>
            <w:tcW w:w="567" w:type="dxa"/>
            <w:tcBorders>
              <w:top w:val="nil"/>
              <w:left w:val="nil"/>
              <w:bottom w:val="single" w:sz="4" w:space="0" w:color="auto"/>
              <w:right w:val="single" w:sz="4" w:space="0" w:color="auto"/>
            </w:tcBorders>
            <w:shd w:val="clear" w:color="000000" w:fill="FFFFFF"/>
            <w:vAlign w:val="center"/>
          </w:tcPr>
          <w:p w14:paraId="21FE3A58" w14:textId="77777777" w:rsidR="00405591" w:rsidRPr="0044286B" w:rsidRDefault="00405591" w:rsidP="00707A63">
            <w:pPr>
              <w:spacing w:line="140" w:lineRule="exact"/>
              <w:rPr>
                <w:rFonts w:asciiTheme="minorHAnsi" w:hAnsiTheme="minorHAnsi" w:cstheme="minorHAnsi"/>
                <w:i/>
                <w:iCs/>
                <w:color w:val="000000"/>
                <w:sz w:val="16"/>
                <w:szCs w:val="16"/>
                <w:lang w:eastAsia="en-GB"/>
              </w:rPr>
            </w:pPr>
          </w:p>
        </w:tc>
      </w:tr>
    </w:tbl>
    <w:p w14:paraId="73EF7936" w14:textId="77777777" w:rsidR="00405591" w:rsidRPr="0044286B" w:rsidRDefault="00405591" w:rsidP="00405591">
      <w:pPr>
        <w:spacing w:line="240" w:lineRule="auto"/>
        <w:rPr>
          <w:rFonts w:asciiTheme="minorHAnsi" w:hAnsiTheme="minorHAnsi" w:cstheme="minorHAnsi"/>
          <w:color w:val="000000" w:themeColor="text1"/>
          <w:sz w:val="24"/>
          <w:szCs w:val="24"/>
        </w:rPr>
      </w:pPr>
    </w:p>
    <w:p w14:paraId="4509FECF" w14:textId="77777777" w:rsidR="00405591" w:rsidRPr="0044286B" w:rsidRDefault="00405591" w:rsidP="00405591"/>
    <w:p w14:paraId="3667EE9B" w14:textId="77777777" w:rsidR="00A139C5" w:rsidRPr="00AF38EE" w:rsidRDefault="00A139C5" w:rsidP="00E5051A">
      <w:pPr>
        <w:pStyle w:val="EndNoteBibliography"/>
        <w:spacing w:after="0" w:line="360" w:lineRule="auto"/>
        <w:rPr>
          <w:rFonts w:asciiTheme="minorHAnsi" w:hAnsiTheme="minorHAnsi" w:cstheme="minorHAnsi"/>
          <w:noProof w:val="0"/>
          <w:lang w:val="en-GB"/>
        </w:rPr>
        <w:sectPr w:rsidR="00A139C5" w:rsidRPr="00AF38EE" w:rsidSect="005E06A6">
          <w:type w:val="continuous"/>
          <w:pgSz w:w="11907" w:h="16840" w:code="9"/>
          <w:pgMar w:top="1440" w:right="1080" w:bottom="1440" w:left="1080" w:header="425" w:footer="425" w:gutter="0"/>
          <w:lnNumType w:countBy="1"/>
          <w:cols w:space="708"/>
          <w:formProt w:val="0"/>
          <w:docGrid w:linePitch="360"/>
        </w:sectPr>
      </w:pPr>
    </w:p>
    <w:p w14:paraId="25C2123B" w14:textId="3EA9DFAE" w:rsidR="00A139C5" w:rsidRPr="0044286B" w:rsidRDefault="00A139C5" w:rsidP="00A139C5">
      <w:pPr>
        <w:spacing w:line="240" w:lineRule="auto"/>
        <w:rPr>
          <w:rFonts w:asciiTheme="minorHAnsi" w:hAnsiTheme="minorHAnsi" w:cstheme="minorHAnsi"/>
          <w:sz w:val="20"/>
          <w:szCs w:val="20"/>
        </w:rPr>
      </w:pPr>
      <w:bookmarkStart w:id="14" w:name="_Toc18607258"/>
      <w:r w:rsidRPr="003D099F">
        <w:rPr>
          <w:rFonts w:asciiTheme="minorHAnsi" w:hAnsiTheme="minorHAnsi" w:cstheme="minorHAnsi"/>
          <w:sz w:val="20"/>
          <w:szCs w:val="20"/>
        </w:rPr>
        <w:lastRenderedPageBreak/>
        <w:t xml:space="preserve">Table </w:t>
      </w:r>
      <w:r w:rsidR="00396E8E" w:rsidRPr="009C4969">
        <w:rPr>
          <w:rFonts w:asciiTheme="minorHAnsi" w:hAnsiTheme="minorHAnsi" w:cstheme="minorHAnsi"/>
          <w:sz w:val="20"/>
          <w:szCs w:val="20"/>
        </w:rPr>
        <w:t>3</w:t>
      </w:r>
      <w:r w:rsidRPr="0044286B">
        <w:rPr>
          <w:rFonts w:asciiTheme="minorHAnsi" w:hAnsiTheme="minorHAnsi" w:cstheme="minorHAnsi"/>
          <w:sz w:val="20"/>
          <w:szCs w:val="20"/>
        </w:rPr>
        <w:t xml:space="preserve"> The fixed effect models of the relationships between Local Authority District under-18 conception rates and the Local Authority District characteristics, between 1998 and 2017 in England</w:t>
      </w:r>
      <w:bookmarkEnd w:id="14"/>
    </w:p>
    <w:tbl>
      <w:tblPr>
        <w:tblW w:w="9209" w:type="dxa"/>
        <w:tblLayout w:type="fixed"/>
        <w:tblLook w:val="04A0" w:firstRow="1" w:lastRow="0" w:firstColumn="1" w:lastColumn="0" w:noHBand="0" w:noVBand="1"/>
      </w:tblPr>
      <w:tblGrid>
        <w:gridCol w:w="5035"/>
        <w:gridCol w:w="841"/>
        <w:gridCol w:w="516"/>
        <w:gridCol w:w="833"/>
        <w:gridCol w:w="567"/>
        <w:gridCol w:w="850"/>
        <w:gridCol w:w="567"/>
      </w:tblGrid>
      <w:tr w:rsidR="00A139C5" w:rsidRPr="0044286B" w14:paraId="54B6DAAE" w14:textId="77777777" w:rsidTr="00707A63">
        <w:trPr>
          <w:trHeight w:val="255"/>
        </w:trPr>
        <w:tc>
          <w:tcPr>
            <w:tcW w:w="5035" w:type="dxa"/>
            <w:tcBorders>
              <w:top w:val="single" w:sz="4" w:space="0" w:color="auto"/>
              <w:left w:val="single" w:sz="4" w:space="0" w:color="auto"/>
              <w:bottom w:val="nil"/>
              <w:right w:val="nil"/>
            </w:tcBorders>
            <w:shd w:val="clear" w:color="000000" w:fill="FFFFFF"/>
            <w:vAlign w:val="center"/>
            <w:hideMark/>
          </w:tcPr>
          <w:p w14:paraId="21422C37" w14:textId="77777777" w:rsidR="00A139C5" w:rsidRPr="0044286B" w:rsidRDefault="00A139C5" w:rsidP="00707A63">
            <w:pPr>
              <w:spacing w:line="140" w:lineRule="exac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 </w:t>
            </w:r>
          </w:p>
        </w:tc>
        <w:tc>
          <w:tcPr>
            <w:tcW w:w="1357" w:type="dxa"/>
            <w:gridSpan w:val="2"/>
            <w:tcBorders>
              <w:top w:val="single" w:sz="4" w:space="0" w:color="auto"/>
              <w:left w:val="single" w:sz="4" w:space="0" w:color="auto"/>
              <w:bottom w:val="nil"/>
              <w:right w:val="single" w:sz="4" w:space="0" w:color="auto"/>
            </w:tcBorders>
            <w:shd w:val="clear" w:color="000000" w:fill="FFFFFF"/>
            <w:vAlign w:val="center"/>
            <w:hideMark/>
          </w:tcPr>
          <w:p w14:paraId="02A6F81A" w14:textId="77777777" w:rsidR="00A139C5" w:rsidRPr="0044286B" w:rsidRDefault="00A139C5" w:rsidP="00707A63">
            <w:pPr>
              <w:spacing w:line="140" w:lineRule="exact"/>
              <w:jc w:val="center"/>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Model 1</w:t>
            </w:r>
          </w:p>
        </w:tc>
        <w:tc>
          <w:tcPr>
            <w:tcW w:w="1400" w:type="dxa"/>
            <w:gridSpan w:val="2"/>
            <w:tcBorders>
              <w:top w:val="single" w:sz="4" w:space="0" w:color="auto"/>
              <w:left w:val="nil"/>
              <w:bottom w:val="nil"/>
              <w:right w:val="single" w:sz="4" w:space="0" w:color="auto"/>
            </w:tcBorders>
            <w:shd w:val="clear" w:color="000000" w:fill="FFFFFF"/>
            <w:vAlign w:val="center"/>
            <w:hideMark/>
          </w:tcPr>
          <w:p w14:paraId="5A88A0CF" w14:textId="77777777" w:rsidR="00A139C5" w:rsidRPr="0044286B" w:rsidRDefault="00A139C5" w:rsidP="00707A63">
            <w:pPr>
              <w:spacing w:line="140" w:lineRule="exact"/>
              <w:jc w:val="center"/>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Model 2</w:t>
            </w:r>
          </w:p>
        </w:tc>
        <w:tc>
          <w:tcPr>
            <w:tcW w:w="1417" w:type="dxa"/>
            <w:gridSpan w:val="2"/>
            <w:tcBorders>
              <w:top w:val="single" w:sz="4" w:space="0" w:color="auto"/>
              <w:left w:val="nil"/>
              <w:bottom w:val="nil"/>
              <w:right w:val="single" w:sz="4" w:space="0" w:color="auto"/>
            </w:tcBorders>
            <w:shd w:val="clear" w:color="000000" w:fill="FFFFFF"/>
            <w:vAlign w:val="center"/>
            <w:hideMark/>
          </w:tcPr>
          <w:p w14:paraId="468E1B37" w14:textId="77777777" w:rsidR="00A139C5" w:rsidRPr="0044286B" w:rsidRDefault="00A139C5" w:rsidP="00707A63">
            <w:pPr>
              <w:spacing w:line="140" w:lineRule="exact"/>
              <w:jc w:val="center"/>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Model 3</w:t>
            </w:r>
          </w:p>
        </w:tc>
      </w:tr>
      <w:tr w:rsidR="00A139C5" w:rsidRPr="0044286B" w14:paraId="00378694" w14:textId="77777777" w:rsidTr="00707A63">
        <w:trPr>
          <w:trHeight w:val="915"/>
        </w:trPr>
        <w:tc>
          <w:tcPr>
            <w:tcW w:w="5035" w:type="dxa"/>
            <w:tcBorders>
              <w:top w:val="nil"/>
              <w:left w:val="single" w:sz="4" w:space="0" w:color="auto"/>
              <w:bottom w:val="single" w:sz="4" w:space="0" w:color="auto"/>
              <w:right w:val="nil"/>
            </w:tcBorders>
            <w:shd w:val="clear" w:color="000000" w:fill="FFFFFF"/>
            <w:vAlign w:val="center"/>
            <w:hideMark/>
          </w:tcPr>
          <w:p w14:paraId="05F02CEA" w14:textId="77777777" w:rsidR="00A139C5" w:rsidRPr="0044286B" w:rsidRDefault="00A139C5" w:rsidP="00707A63">
            <w:pPr>
              <w:spacing w:line="140" w:lineRule="exac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VARIABLES</w:t>
            </w:r>
          </w:p>
        </w:tc>
        <w:tc>
          <w:tcPr>
            <w:tcW w:w="1357" w:type="dxa"/>
            <w:gridSpan w:val="2"/>
            <w:tcBorders>
              <w:top w:val="nil"/>
              <w:left w:val="single" w:sz="4" w:space="0" w:color="auto"/>
              <w:bottom w:val="nil"/>
              <w:right w:val="single" w:sz="4" w:space="0" w:color="auto"/>
            </w:tcBorders>
            <w:shd w:val="clear" w:color="000000" w:fill="FFFFFF"/>
            <w:vAlign w:val="center"/>
            <w:hideMark/>
          </w:tcPr>
          <w:p w14:paraId="69F7CF78" w14:textId="77777777" w:rsidR="00A139C5" w:rsidRPr="0044286B" w:rsidRDefault="00A139C5" w:rsidP="00707A63">
            <w:pPr>
              <w:spacing w:line="140" w:lineRule="exact"/>
              <w:jc w:val="center"/>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Time Period Only</w:t>
            </w:r>
          </w:p>
        </w:tc>
        <w:tc>
          <w:tcPr>
            <w:tcW w:w="1400" w:type="dxa"/>
            <w:gridSpan w:val="2"/>
            <w:tcBorders>
              <w:top w:val="nil"/>
              <w:left w:val="nil"/>
              <w:bottom w:val="nil"/>
              <w:right w:val="single" w:sz="4" w:space="0" w:color="auto"/>
            </w:tcBorders>
            <w:shd w:val="clear" w:color="000000" w:fill="FFFFFF"/>
            <w:vAlign w:val="center"/>
            <w:hideMark/>
          </w:tcPr>
          <w:p w14:paraId="62DF0CDA" w14:textId="77777777" w:rsidR="00A139C5" w:rsidRPr="0044286B" w:rsidRDefault="00A139C5" w:rsidP="00707A63">
            <w:pPr>
              <w:spacing w:line="140" w:lineRule="exact"/>
              <w:jc w:val="center"/>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1998-2017</w:t>
            </w:r>
          </w:p>
        </w:tc>
        <w:tc>
          <w:tcPr>
            <w:tcW w:w="1417" w:type="dxa"/>
            <w:gridSpan w:val="2"/>
            <w:tcBorders>
              <w:top w:val="nil"/>
              <w:left w:val="single" w:sz="4" w:space="0" w:color="auto"/>
              <w:bottom w:val="nil"/>
              <w:right w:val="single" w:sz="4" w:space="0" w:color="auto"/>
            </w:tcBorders>
            <w:shd w:val="clear" w:color="000000" w:fill="FFFFFF"/>
            <w:vAlign w:val="center"/>
            <w:hideMark/>
          </w:tcPr>
          <w:p w14:paraId="21FCF45E" w14:textId="77777777" w:rsidR="00A139C5" w:rsidRPr="0044286B" w:rsidRDefault="00A139C5" w:rsidP="00707A63">
            <w:pPr>
              <w:spacing w:line="140" w:lineRule="exact"/>
              <w:jc w:val="center"/>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1998-2010 with TPS funding</w:t>
            </w:r>
          </w:p>
        </w:tc>
      </w:tr>
      <w:tr w:rsidR="00A139C5" w:rsidRPr="0044286B" w14:paraId="4F8ECEC3" w14:textId="77777777" w:rsidTr="00707A63">
        <w:trPr>
          <w:trHeight w:val="270"/>
        </w:trPr>
        <w:tc>
          <w:tcPr>
            <w:tcW w:w="5035" w:type="dxa"/>
            <w:tcBorders>
              <w:top w:val="nil"/>
              <w:left w:val="single" w:sz="4" w:space="0" w:color="auto"/>
              <w:bottom w:val="nil"/>
              <w:right w:val="nil"/>
            </w:tcBorders>
            <w:shd w:val="clear" w:color="000000" w:fill="FFFFFF"/>
            <w:vAlign w:val="center"/>
            <w:hideMark/>
          </w:tcPr>
          <w:p w14:paraId="6D3299BB"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Time Period (Ref. = 1998-2005)</w:t>
            </w:r>
          </w:p>
        </w:tc>
        <w:tc>
          <w:tcPr>
            <w:tcW w:w="841" w:type="dxa"/>
            <w:tcBorders>
              <w:top w:val="single" w:sz="4" w:space="0" w:color="auto"/>
              <w:left w:val="nil"/>
              <w:bottom w:val="nil"/>
              <w:right w:val="nil"/>
            </w:tcBorders>
            <w:shd w:val="clear" w:color="000000" w:fill="FFFFFF"/>
            <w:vAlign w:val="center"/>
            <w:hideMark/>
          </w:tcPr>
          <w:p w14:paraId="49407D17" w14:textId="77777777" w:rsidR="00A139C5" w:rsidRPr="0044286B" w:rsidRDefault="00A139C5" w:rsidP="00707A63">
            <w:pPr>
              <w:spacing w:line="140" w:lineRule="exact"/>
              <w:jc w:val="right"/>
              <w:rPr>
                <w:rFonts w:asciiTheme="minorHAnsi" w:hAnsiTheme="minorHAnsi" w:cstheme="minorHAnsi"/>
                <w:b/>
                <w:bCs/>
                <w:color w:val="000000"/>
                <w:sz w:val="18"/>
                <w:szCs w:val="18"/>
                <w:lang w:eastAsia="en-GB"/>
              </w:rPr>
            </w:pPr>
          </w:p>
        </w:tc>
        <w:tc>
          <w:tcPr>
            <w:tcW w:w="516" w:type="dxa"/>
            <w:tcBorders>
              <w:top w:val="single" w:sz="4" w:space="0" w:color="auto"/>
              <w:left w:val="nil"/>
              <w:bottom w:val="nil"/>
              <w:right w:val="nil"/>
            </w:tcBorders>
            <w:shd w:val="clear" w:color="000000" w:fill="FFFFFF"/>
            <w:vAlign w:val="center"/>
          </w:tcPr>
          <w:p w14:paraId="4A0BC1A2" w14:textId="77777777" w:rsidR="00A139C5" w:rsidRPr="0044286B" w:rsidRDefault="00A139C5" w:rsidP="00707A63">
            <w:pPr>
              <w:spacing w:line="140" w:lineRule="exact"/>
              <w:jc w:val="right"/>
              <w:rPr>
                <w:rFonts w:asciiTheme="minorHAnsi" w:hAnsiTheme="minorHAnsi" w:cstheme="minorHAnsi"/>
                <w:b/>
                <w:bCs/>
                <w:color w:val="000000"/>
                <w:sz w:val="18"/>
                <w:szCs w:val="18"/>
                <w:lang w:eastAsia="en-GB"/>
              </w:rPr>
            </w:pPr>
          </w:p>
        </w:tc>
        <w:tc>
          <w:tcPr>
            <w:tcW w:w="833" w:type="dxa"/>
            <w:tcBorders>
              <w:top w:val="single" w:sz="4" w:space="0" w:color="auto"/>
              <w:left w:val="nil"/>
              <w:bottom w:val="nil"/>
              <w:right w:val="nil"/>
            </w:tcBorders>
            <w:shd w:val="clear" w:color="000000" w:fill="FFFFFF"/>
            <w:vAlign w:val="center"/>
            <w:hideMark/>
          </w:tcPr>
          <w:p w14:paraId="40103B5E" w14:textId="77777777" w:rsidR="00A139C5" w:rsidRPr="0044286B" w:rsidRDefault="00A139C5" w:rsidP="00707A63">
            <w:pPr>
              <w:spacing w:line="140" w:lineRule="exact"/>
              <w:jc w:val="right"/>
              <w:rPr>
                <w:rFonts w:asciiTheme="minorHAnsi" w:hAnsiTheme="minorHAnsi" w:cstheme="minorHAnsi"/>
                <w:b/>
                <w:bCs/>
                <w:color w:val="000000"/>
                <w:sz w:val="18"/>
                <w:szCs w:val="18"/>
                <w:lang w:eastAsia="en-GB"/>
              </w:rPr>
            </w:pPr>
          </w:p>
        </w:tc>
        <w:tc>
          <w:tcPr>
            <w:tcW w:w="567" w:type="dxa"/>
            <w:tcBorders>
              <w:top w:val="single" w:sz="4" w:space="0" w:color="auto"/>
              <w:left w:val="nil"/>
              <w:bottom w:val="nil"/>
              <w:right w:val="nil"/>
            </w:tcBorders>
            <w:shd w:val="clear" w:color="000000" w:fill="FFFFFF"/>
            <w:vAlign w:val="center"/>
          </w:tcPr>
          <w:p w14:paraId="49C264FB" w14:textId="77777777" w:rsidR="00A139C5" w:rsidRPr="0044286B" w:rsidRDefault="00A139C5" w:rsidP="00707A63">
            <w:pPr>
              <w:spacing w:line="140" w:lineRule="exact"/>
              <w:jc w:val="right"/>
              <w:rPr>
                <w:rFonts w:asciiTheme="minorHAnsi" w:hAnsiTheme="minorHAnsi" w:cstheme="minorHAnsi"/>
                <w:b/>
                <w:bCs/>
                <w:color w:val="000000"/>
                <w:sz w:val="18"/>
                <w:szCs w:val="18"/>
                <w:lang w:eastAsia="en-GB"/>
              </w:rPr>
            </w:pPr>
          </w:p>
        </w:tc>
        <w:tc>
          <w:tcPr>
            <w:tcW w:w="850" w:type="dxa"/>
            <w:tcBorders>
              <w:top w:val="single" w:sz="4" w:space="0" w:color="auto"/>
              <w:left w:val="nil"/>
              <w:bottom w:val="nil"/>
            </w:tcBorders>
            <w:shd w:val="clear" w:color="000000" w:fill="FFFFFF"/>
            <w:vAlign w:val="center"/>
            <w:hideMark/>
          </w:tcPr>
          <w:p w14:paraId="41A8D73C" w14:textId="77777777" w:rsidR="00A139C5" w:rsidRPr="0044286B" w:rsidRDefault="00A139C5" w:rsidP="00707A63">
            <w:pPr>
              <w:spacing w:line="140" w:lineRule="exact"/>
              <w:jc w:val="right"/>
              <w:rPr>
                <w:rFonts w:asciiTheme="minorHAnsi" w:hAnsiTheme="minorHAnsi" w:cstheme="minorHAnsi"/>
                <w:b/>
                <w:bCs/>
                <w:color w:val="000000"/>
                <w:sz w:val="18"/>
                <w:szCs w:val="18"/>
                <w:lang w:eastAsia="en-GB"/>
              </w:rPr>
            </w:pPr>
          </w:p>
        </w:tc>
        <w:tc>
          <w:tcPr>
            <w:tcW w:w="567" w:type="dxa"/>
            <w:tcBorders>
              <w:top w:val="single" w:sz="4" w:space="0" w:color="auto"/>
              <w:bottom w:val="nil"/>
              <w:right w:val="single" w:sz="4" w:space="0" w:color="auto"/>
            </w:tcBorders>
            <w:shd w:val="clear" w:color="000000" w:fill="FFFFFF"/>
            <w:vAlign w:val="center"/>
          </w:tcPr>
          <w:p w14:paraId="055601C6" w14:textId="77777777" w:rsidR="00A139C5" w:rsidRPr="0044286B" w:rsidRDefault="00A139C5" w:rsidP="00707A63">
            <w:pPr>
              <w:spacing w:line="140" w:lineRule="exact"/>
              <w:jc w:val="right"/>
              <w:rPr>
                <w:rFonts w:asciiTheme="minorHAnsi" w:hAnsiTheme="minorHAnsi" w:cstheme="minorHAnsi"/>
                <w:b/>
                <w:bCs/>
                <w:color w:val="000000"/>
                <w:sz w:val="18"/>
                <w:szCs w:val="18"/>
                <w:lang w:eastAsia="en-GB"/>
              </w:rPr>
            </w:pPr>
          </w:p>
        </w:tc>
      </w:tr>
      <w:tr w:rsidR="00A139C5" w:rsidRPr="0044286B" w14:paraId="4ED6EE5F" w14:textId="77777777" w:rsidTr="00707A63">
        <w:trPr>
          <w:trHeight w:val="255"/>
        </w:trPr>
        <w:tc>
          <w:tcPr>
            <w:tcW w:w="5035" w:type="dxa"/>
            <w:tcBorders>
              <w:top w:val="nil"/>
              <w:left w:val="single" w:sz="4" w:space="0" w:color="auto"/>
              <w:bottom w:val="nil"/>
              <w:right w:val="nil"/>
            </w:tcBorders>
            <w:shd w:val="clear" w:color="000000" w:fill="FFFFFF"/>
            <w:vAlign w:val="center"/>
            <w:hideMark/>
          </w:tcPr>
          <w:p w14:paraId="349EF3C5" w14:textId="77777777" w:rsidR="00A139C5" w:rsidRPr="0044286B" w:rsidRDefault="00A139C5" w:rsidP="00707A63">
            <w:pPr>
              <w:spacing w:line="140" w:lineRule="exac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2006-2010</w:t>
            </w:r>
          </w:p>
        </w:tc>
        <w:tc>
          <w:tcPr>
            <w:tcW w:w="841" w:type="dxa"/>
            <w:tcBorders>
              <w:top w:val="nil"/>
              <w:left w:val="nil"/>
              <w:bottom w:val="nil"/>
              <w:right w:val="nil"/>
            </w:tcBorders>
            <w:shd w:val="clear" w:color="000000" w:fill="FFFFFF"/>
            <w:vAlign w:val="center"/>
          </w:tcPr>
          <w:p w14:paraId="50FA99BE"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-3.73</w:t>
            </w:r>
          </w:p>
        </w:tc>
        <w:tc>
          <w:tcPr>
            <w:tcW w:w="516" w:type="dxa"/>
            <w:tcBorders>
              <w:top w:val="nil"/>
              <w:left w:val="nil"/>
              <w:bottom w:val="nil"/>
              <w:right w:val="nil"/>
            </w:tcBorders>
            <w:shd w:val="clear" w:color="000000" w:fill="FFFFFF"/>
            <w:vAlign w:val="center"/>
          </w:tcPr>
          <w:p w14:paraId="38E8EB4F"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33" w:type="dxa"/>
            <w:tcBorders>
              <w:top w:val="nil"/>
              <w:left w:val="nil"/>
              <w:bottom w:val="nil"/>
              <w:right w:val="nil"/>
            </w:tcBorders>
            <w:shd w:val="clear" w:color="000000" w:fill="FFFFFF"/>
            <w:vAlign w:val="center"/>
            <w:hideMark/>
          </w:tcPr>
          <w:p w14:paraId="5A981502"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-0.64</w:t>
            </w:r>
          </w:p>
        </w:tc>
        <w:tc>
          <w:tcPr>
            <w:tcW w:w="567" w:type="dxa"/>
            <w:tcBorders>
              <w:top w:val="nil"/>
              <w:left w:val="nil"/>
              <w:bottom w:val="nil"/>
              <w:right w:val="nil"/>
            </w:tcBorders>
            <w:shd w:val="clear" w:color="000000" w:fill="FFFFFF"/>
            <w:vAlign w:val="center"/>
          </w:tcPr>
          <w:p w14:paraId="176AC95E"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tcBorders>
              <w:top w:val="nil"/>
              <w:left w:val="nil"/>
              <w:bottom w:val="nil"/>
            </w:tcBorders>
            <w:shd w:val="clear" w:color="000000" w:fill="FFFFFF"/>
            <w:vAlign w:val="center"/>
            <w:hideMark/>
          </w:tcPr>
          <w:p w14:paraId="76BBD43E"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1.25</w:t>
            </w:r>
          </w:p>
        </w:tc>
        <w:tc>
          <w:tcPr>
            <w:tcW w:w="567" w:type="dxa"/>
            <w:tcBorders>
              <w:top w:val="nil"/>
              <w:bottom w:val="nil"/>
              <w:right w:val="single" w:sz="4" w:space="0" w:color="auto"/>
            </w:tcBorders>
            <w:shd w:val="clear" w:color="000000" w:fill="FFFFFF"/>
            <w:vAlign w:val="center"/>
          </w:tcPr>
          <w:p w14:paraId="1ECA381A"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r>
      <w:tr w:rsidR="00A139C5" w:rsidRPr="0044286B" w14:paraId="7B8133EB" w14:textId="77777777" w:rsidTr="00707A63">
        <w:trPr>
          <w:trHeight w:val="255"/>
        </w:trPr>
        <w:tc>
          <w:tcPr>
            <w:tcW w:w="5035" w:type="dxa"/>
            <w:tcBorders>
              <w:top w:val="nil"/>
              <w:left w:val="single" w:sz="4" w:space="0" w:color="auto"/>
              <w:bottom w:val="nil"/>
              <w:right w:val="nil"/>
            </w:tcBorders>
            <w:shd w:val="clear" w:color="000000" w:fill="FFFFFF"/>
            <w:vAlign w:val="center"/>
            <w:hideMark/>
          </w:tcPr>
          <w:p w14:paraId="2683A3CE" w14:textId="77777777" w:rsidR="00A139C5" w:rsidRPr="0044286B" w:rsidRDefault="00A139C5" w:rsidP="00707A63">
            <w:pPr>
              <w:spacing w:line="140" w:lineRule="exac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2011-2017</w:t>
            </w:r>
          </w:p>
        </w:tc>
        <w:tc>
          <w:tcPr>
            <w:tcW w:w="841" w:type="dxa"/>
            <w:tcBorders>
              <w:top w:val="nil"/>
              <w:left w:val="nil"/>
              <w:bottom w:val="nil"/>
              <w:right w:val="nil"/>
            </w:tcBorders>
            <w:shd w:val="clear" w:color="000000" w:fill="FFFFFF"/>
            <w:vAlign w:val="center"/>
            <w:hideMark/>
          </w:tcPr>
          <w:p w14:paraId="232FE1E4"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-17.59</w:t>
            </w:r>
          </w:p>
        </w:tc>
        <w:tc>
          <w:tcPr>
            <w:tcW w:w="516" w:type="dxa"/>
            <w:tcBorders>
              <w:top w:val="nil"/>
              <w:left w:val="nil"/>
              <w:bottom w:val="nil"/>
              <w:right w:val="nil"/>
            </w:tcBorders>
            <w:shd w:val="clear" w:color="000000" w:fill="FFFFFF"/>
            <w:vAlign w:val="center"/>
          </w:tcPr>
          <w:p w14:paraId="7EF9A950"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33" w:type="dxa"/>
            <w:tcBorders>
              <w:top w:val="nil"/>
              <w:left w:val="nil"/>
              <w:bottom w:val="nil"/>
              <w:right w:val="nil"/>
            </w:tcBorders>
            <w:shd w:val="clear" w:color="000000" w:fill="FFFFFF"/>
            <w:vAlign w:val="center"/>
            <w:hideMark/>
          </w:tcPr>
          <w:p w14:paraId="4AE158D3"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-10.03</w:t>
            </w:r>
          </w:p>
        </w:tc>
        <w:tc>
          <w:tcPr>
            <w:tcW w:w="567" w:type="dxa"/>
            <w:tcBorders>
              <w:top w:val="nil"/>
              <w:left w:val="nil"/>
              <w:bottom w:val="nil"/>
              <w:right w:val="nil"/>
            </w:tcBorders>
            <w:shd w:val="clear" w:color="000000" w:fill="FFFFFF"/>
            <w:vAlign w:val="center"/>
          </w:tcPr>
          <w:p w14:paraId="42196CBF"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tcBorders>
              <w:top w:val="nil"/>
              <w:left w:val="nil"/>
              <w:bottom w:val="nil"/>
            </w:tcBorders>
            <w:shd w:val="clear" w:color="000000" w:fill="FFFFFF"/>
            <w:vAlign w:val="center"/>
            <w:hideMark/>
          </w:tcPr>
          <w:p w14:paraId="646DA9E9"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67" w:type="dxa"/>
            <w:tcBorders>
              <w:top w:val="nil"/>
              <w:bottom w:val="nil"/>
              <w:right w:val="single" w:sz="4" w:space="0" w:color="auto"/>
            </w:tcBorders>
            <w:shd w:val="clear" w:color="000000" w:fill="FFFFFF"/>
            <w:vAlign w:val="center"/>
          </w:tcPr>
          <w:p w14:paraId="5E1C3745"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r>
      <w:tr w:rsidR="00A139C5" w:rsidRPr="0044286B" w14:paraId="1CE3EDDB" w14:textId="77777777" w:rsidTr="00707A63">
        <w:trPr>
          <w:trHeight w:val="270"/>
        </w:trPr>
        <w:tc>
          <w:tcPr>
            <w:tcW w:w="5035" w:type="dxa"/>
            <w:tcBorders>
              <w:top w:val="nil"/>
              <w:left w:val="single" w:sz="4" w:space="0" w:color="auto"/>
              <w:bottom w:val="nil"/>
              <w:right w:val="nil"/>
            </w:tcBorders>
            <w:shd w:val="clear" w:color="000000" w:fill="FFFFFF"/>
            <w:vAlign w:val="center"/>
            <w:hideMark/>
          </w:tcPr>
          <w:p w14:paraId="26B1C71E"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 xml:space="preserve">% of </w:t>
            </w:r>
            <w:proofErr w:type="gramStart"/>
            <w:r w:rsidRPr="0044286B">
              <w:rPr>
                <w:rFonts w:asciiTheme="minorHAnsi" w:hAnsiTheme="minorHAnsi" w:cstheme="minorHAnsi"/>
                <w:b/>
                <w:bCs/>
                <w:color w:val="000000"/>
                <w:sz w:val="18"/>
                <w:szCs w:val="18"/>
                <w:lang w:eastAsia="en-GB"/>
              </w:rPr>
              <w:t>18-24 year-olds</w:t>
            </w:r>
            <w:proofErr w:type="gramEnd"/>
            <w:r w:rsidRPr="0044286B">
              <w:rPr>
                <w:rFonts w:asciiTheme="minorHAnsi" w:hAnsiTheme="minorHAnsi" w:cstheme="minorHAnsi"/>
                <w:b/>
                <w:bCs/>
                <w:color w:val="000000"/>
                <w:sz w:val="18"/>
                <w:szCs w:val="18"/>
                <w:lang w:eastAsia="en-GB"/>
              </w:rPr>
              <w:t xml:space="preserve"> claiming Jobseekers Allowance</w:t>
            </w:r>
          </w:p>
        </w:tc>
        <w:tc>
          <w:tcPr>
            <w:tcW w:w="841" w:type="dxa"/>
            <w:tcBorders>
              <w:top w:val="nil"/>
              <w:left w:val="nil"/>
              <w:bottom w:val="nil"/>
              <w:right w:val="nil"/>
            </w:tcBorders>
            <w:shd w:val="clear" w:color="000000" w:fill="FFFFFF"/>
            <w:vAlign w:val="center"/>
            <w:hideMark/>
          </w:tcPr>
          <w:p w14:paraId="0D309069"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16" w:type="dxa"/>
            <w:tcBorders>
              <w:top w:val="nil"/>
              <w:left w:val="nil"/>
              <w:bottom w:val="nil"/>
              <w:right w:val="nil"/>
            </w:tcBorders>
            <w:shd w:val="clear" w:color="000000" w:fill="FFFFFF"/>
            <w:vAlign w:val="center"/>
          </w:tcPr>
          <w:p w14:paraId="1B20BCB3"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bottom w:val="nil"/>
              <w:right w:val="nil"/>
            </w:tcBorders>
            <w:shd w:val="clear" w:color="000000" w:fill="FFFFFF"/>
            <w:vAlign w:val="center"/>
            <w:hideMark/>
          </w:tcPr>
          <w:p w14:paraId="51F3ED7A"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1.37</w:t>
            </w:r>
          </w:p>
        </w:tc>
        <w:tc>
          <w:tcPr>
            <w:tcW w:w="567" w:type="dxa"/>
            <w:tcBorders>
              <w:top w:val="nil"/>
              <w:left w:val="nil"/>
              <w:bottom w:val="nil"/>
              <w:right w:val="nil"/>
            </w:tcBorders>
            <w:shd w:val="clear" w:color="000000" w:fill="FFFFFF"/>
            <w:vAlign w:val="center"/>
          </w:tcPr>
          <w:p w14:paraId="15EA41FB"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tcBorders>
              <w:top w:val="nil"/>
              <w:left w:val="nil"/>
              <w:bottom w:val="nil"/>
            </w:tcBorders>
            <w:shd w:val="clear" w:color="000000" w:fill="FFFFFF"/>
            <w:vAlign w:val="center"/>
            <w:hideMark/>
          </w:tcPr>
          <w:p w14:paraId="56F1F9CC"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0.13</w:t>
            </w:r>
          </w:p>
        </w:tc>
        <w:tc>
          <w:tcPr>
            <w:tcW w:w="567" w:type="dxa"/>
            <w:tcBorders>
              <w:top w:val="nil"/>
              <w:bottom w:val="nil"/>
              <w:right w:val="single" w:sz="4" w:space="0" w:color="auto"/>
            </w:tcBorders>
            <w:shd w:val="clear" w:color="000000" w:fill="FFFFFF"/>
            <w:vAlign w:val="center"/>
          </w:tcPr>
          <w:p w14:paraId="1C08E91E"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r>
      <w:tr w:rsidR="00A139C5" w:rsidRPr="0044286B" w14:paraId="2CB785CC" w14:textId="77777777" w:rsidTr="00707A63">
        <w:trPr>
          <w:trHeight w:val="330"/>
        </w:trPr>
        <w:tc>
          <w:tcPr>
            <w:tcW w:w="5035" w:type="dxa"/>
            <w:tcBorders>
              <w:top w:val="nil"/>
              <w:left w:val="single" w:sz="4" w:space="0" w:color="auto"/>
              <w:bottom w:val="nil"/>
              <w:right w:val="nil"/>
            </w:tcBorders>
            <w:shd w:val="clear" w:color="000000" w:fill="FFFFFF"/>
            <w:vAlign w:val="center"/>
            <w:hideMark/>
          </w:tcPr>
          <w:p w14:paraId="6F28A8BF"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 of Pupils Attaining at least 5 GCSEs A-C</w:t>
            </w:r>
          </w:p>
        </w:tc>
        <w:tc>
          <w:tcPr>
            <w:tcW w:w="841" w:type="dxa"/>
            <w:tcBorders>
              <w:top w:val="nil"/>
              <w:left w:val="nil"/>
              <w:bottom w:val="nil"/>
              <w:right w:val="nil"/>
            </w:tcBorders>
            <w:shd w:val="clear" w:color="000000" w:fill="FFFFFF"/>
            <w:vAlign w:val="center"/>
            <w:hideMark/>
          </w:tcPr>
          <w:p w14:paraId="05DE9E74"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16" w:type="dxa"/>
            <w:tcBorders>
              <w:top w:val="nil"/>
              <w:left w:val="nil"/>
              <w:bottom w:val="nil"/>
              <w:right w:val="nil"/>
            </w:tcBorders>
            <w:shd w:val="clear" w:color="000000" w:fill="FFFFFF"/>
            <w:vAlign w:val="center"/>
          </w:tcPr>
          <w:p w14:paraId="48716D61"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bottom w:val="nil"/>
              <w:right w:val="nil"/>
            </w:tcBorders>
            <w:shd w:val="clear" w:color="000000" w:fill="FFFFFF"/>
            <w:vAlign w:val="center"/>
            <w:hideMark/>
          </w:tcPr>
          <w:p w14:paraId="427E06A4"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-0.18</w:t>
            </w:r>
          </w:p>
        </w:tc>
        <w:tc>
          <w:tcPr>
            <w:tcW w:w="567" w:type="dxa"/>
            <w:tcBorders>
              <w:top w:val="nil"/>
              <w:left w:val="nil"/>
              <w:bottom w:val="nil"/>
              <w:right w:val="nil"/>
            </w:tcBorders>
            <w:shd w:val="clear" w:color="000000" w:fill="FFFFFF"/>
            <w:vAlign w:val="center"/>
          </w:tcPr>
          <w:p w14:paraId="77D1AAB3"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tcBorders>
              <w:top w:val="nil"/>
              <w:left w:val="nil"/>
              <w:bottom w:val="nil"/>
            </w:tcBorders>
            <w:shd w:val="clear" w:color="000000" w:fill="FFFFFF"/>
            <w:vAlign w:val="center"/>
            <w:hideMark/>
          </w:tcPr>
          <w:p w14:paraId="418E8F29"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-0.29</w:t>
            </w:r>
          </w:p>
        </w:tc>
        <w:tc>
          <w:tcPr>
            <w:tcW w:w="567" w:type="dxa"/>
            <w:tcBorders>
              <w:top w:val="nil"/>
              <w:bottom w:val="nil"/>
              <w:right w:val="single" w:sz="4" w:space="0" w:color="auto"/>
            </w:tcBorders>
            <w:shd w:val="clear" w:color="000000" w:fill="FFFFFF"/>
            <w:vAlign w:val="center"/>
          </w:tcPr>
          <w:p w14:paraId="1516F4BC"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r>
      <w:tr w:rsidR="00A139C5" w:rsidRPr="0044286B" w14:paraId="4045FBF4" w14:textId="77777777" w:rsidTr="00707A63">
        <w:trPr>
          <w:trHeight w:val="229"/>
        </w:trPr>
        <w:tc>
          <w:tcPr>
            <w:tcW w:w="5035" w:type="dxa"/>
            <w:tcBorders>
              <w:top w:val="nil"/>
              <w:left w:val="single" w:sz="4" w:space="0" w:color="auto"/>
              <w:right w:val="nil"/>
            </w:tcBorders>
            <w:shd w:val="clear" w:color="000000" w:fill="FFFFFF"/>
            <w:vAlign w:val="center"/>
            <w:hideMark/>
          </w:tcPr>
          <w:p w14:paraId="1794B11D"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Median House Price to Workplace Earnings Ratio</w:t>
            </w:r>
          </w:p>
        </w:tc>
        <w:tc>
          <w:tcPr>
            <w:tcW w:w="841" w:type="dxa"/>
            <w:tcBorders>
              <w:top w:val="nil"/>
              <w:left w:val="nil"/>
              <w:right w:val="nil"/>
            </w:tcBorders>
            <w:shd w:val="clear" w:color="000000" w:fill="FFFFFF"/>
            <w:vAlign w:val="center"/>
            <w:hideMark/>
          </w:tcPr>
          <w:p w14:paraId="3E5B5C62"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16" w:type="dxa"/>
            <w:tcBorders>
              <w:top w:val="nil"/>
              <w:left w:val="nil"/>
              <w:right w:val="nil"/>
            </w:tcBorders>
            <w:shd w:val="clear" w:color="000000" w:fill="FFFFFF"/>
            <w:vAlign w:val="center"/>
          </w:tcPr>
          <w:p w14:paraId="51F3F3F1"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right w:val="nil"/>
            </w:tcBorders>
            <w:shd w:val="clear" w:color="000000" w:fill="FFFFFF"/>
            <w:vAlign w:val="center"/>
            <w:hideMark/>
          </w:tcPr>
          <w:p w14:paraId="16E24450"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-0.19</w:t>
            </w:r>
          </w:p>
        </w:tc>
        <w:tc>
          <w:tcPr>
            <w:tcW w:w="567" w:type="dxa"/>
            <w:tcBorders>
              <w:top w:val="nil"/>
              <w:left w:val="nil"/>
              <w:right w:val="nil"/>
            </w:tcBorders>
            <w:shd w:val="clear" w:color="000000" w:fill="FFFFFF"/>
            <w:vAlign w:val="center"/>
          </w:tcPr>
          <w:p w14:paraId="016369CA"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tcBorders>
              <w:top w:val="nil"/>
              <w:left w:val="nil"/>
            </w:tcBorders>
            <w:shd w:val="clear" w:color="000000" w:fill="FFFFFF"/>
            <w:vAlign w:val="center"/>
            <w:hideMark/>
          </w:tcPr>
          <w:p w14:paraId="5DDE0AC0"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-0.06</w:t>
            </w:r>
          </w:p>
        </w:tc>
        <w:tc>
          <w:tcPr>
            <w:tcW w:w="567" w:type="dxa"/>
            <w:tcBorders>
              <w:top w:val="nil"/>
              <w:right w:val="single" w:sz="4" w:space="0" w:color="auto"/>
            </w:tcBorders>
            <w:shd w:val="clear" w:color="000000" w:fill="FFFFFF"/>
            <w:vAlign w:val="center"/>
          </w:tcPr>
          <w:p w14:paraId="2A4F5393"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r>
      <w:tr w:rsidR="00A139C5" w:rsidRPr="0044286B" w14:paraId="11A1E05B" w14:textId="77777777" w:rsidTr="00707A63">
        <w:trPr>
          <w:trHeight w:val="383"/>
        </w:trPr>
        <w:tc>
          <w:tcPr>
            <w:tcW w:w="5035" w:type="dxa"/>
            <w:tcBorders>
              <w:left w:val="single" w:sz="4" w:space="0" w:color="auto"/>
            </w:tcBorders>
            <w:shd w:val="clear" w:color="000000" w:fill="FFFFFF"/>
            <w:vAlign w:val="center"/>
            <w:hideMark/>
          </w:tcPr>
          <w:p w14:paraId="57DF9967"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Total Number of Social Housing Units for each LAD per 100 people (18 and over)</w:t>
            </w:r>
          </w:p>
        </w:tc>
        <w:tc>
          <w:tcPr>
            <w:tcW w:w="841" w:type="dxa"/>
            <w:shd w:val="clear" w:color="000000" w:fill="FFFFFF"/>
            <w:vAlign w:val="center"/>
            <w:hideMark/>
          </w:tcPr>
          <w:p w14:paraId="380CF57C"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16" w:type="dxa"/>
            <w:shd w:val="clear" w:color="000000" w:fill="FFFFFF"/>
            <w:vAlign w:val="center"/>
          </w:tcPr>
          <w:p w14:paraId="6432738E"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shd w:val="clear" w:color="000000" w:fill="FFFFFF"/>
            <w:vAlign w:val="center"/>
            <w:hideMark/>
          </w:tcPr>
          <w:p w14:paraId="7E8802CC"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0.41</w:t>
            </w:r>
          </w:p>
        </w:tc>
        <w:tc>
          <w:tcPr>
            <w:tcW w:w="567" w:type="dxa"/>
            <w:shd w:val="clear" w:color="000000" w:fill="FFFFFF"/>
            <w:vAlign w:val="center"/>
          </w:tcPr>
          <w:p w14:paraId="42E041BF"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shd w:val="clear" w:color="000000" w:fill="FFFFFF"/>
            <w:vAlign w:val="center"/>
            <w:hideMark/>
          </w:tcPr>
          <w:p w14:paraId="30471D1F"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0.13</w:t>
            </w:r>
          </w:p>
        </w:tc>
        <w:tc>
          <w:tcPr>
            <w:tcW w:w="567" w:type="dxa"/>
            <w:tcBorders>
              <w:right w:val="single" w:sz="4" w:space="0" w:color="auto"/>
            </w:tcBorders>
            <w:shd w:val="clear" w:color="000000" w:fill="FFFFFF"/>
            <w:vAlign w:val="center"/>
          </w:tcPr>
          <w:p w14:paraId="3334F4D8"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r>
      <w:tr w:rsidR="00A139C5" w:rsidRPr="0044286B" w14:paraId="62C87330" w14:textId="77777777" w:rsidTr="00707A63">
        <w:trPr>
          <w:trHeight w:val="270"/>
        </w:trPr>
        <w:tc>
          <w:tcPr>
            <w:tcW w:w="5035" w:type="dxa"/>
            <w:tcBorders>
              <w:left w:val="single" w:sz="4" w:space="0" w:color="auto"/>
              <w:bottom w:val="nil"/>
              <w:right w:val="nil"/>
            </w:tcBorders>
            <w:shd w:val="clear" w:color="000000" w:fill="FFFFFF"/>
            <w:vAlign w:val="center"/>
            <w:hideMark/>
          </w:tcPr>
          <w:p w14:paraId="0A28CD64"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 Pupils in Secondary Schools who were Black</w:t>
            </w:r>
          </w:p>
        </w:tc>
        <w:tc>
          <w:tcPr>
            <w:tcW w:w="841" w:type="dxa"/>
            <w:tcBorders>
              <w:left w:val="nil"/>
              <w:bottom w:val="nil"/>
              <w:right w:val="nil"/>
            </w:tcBorders>
            <w:shd w:val="clear" w:color="000000" w:fill="FFFFFF"/>
            <w:vAlign w:val="center"/>
            <w:hideMark/>
          </w:tcPr>
          <w:p w14:paraId="5A5C2FFF"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16" w:type="dxa"/>
            <w:tcBorders>
              <w:left w:val="nil"/>
              <w:bottom w:val="nil"/>
              <w:right w:val="nil"/>
            </w:tcBorders>
            <w:shd w:val="clear" w:color="000000" w:fill="FFFFFF"/>
            <w:vAlign w:val="center"/>
          </w:tcPr>
          <w:p w14:paraId="1DAA2C18"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left w:val="nil"/>
              <w:bottom w:val="nil"/>
              <w:right w:val="nil"/>
            </w:tcBorders>
            <w:shd w:val="clear" w:color="000000" w:fill="FFFFFF"/>
            <w:vAlign w:val="center"/>
            <w:hideMark/>
          </w:tcPr>
          <w:p w14:paraId="246A621F"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-0.31</w:t>
            </w:r>
          </w:p>
        </w:tc>
        <w:tc>
          <w:tcPr>
            <w:tcW w:w="567" w:type="dxa"/>
            <w:tcBorders>
              <w:left w:val="nil"/>
              <w:bottom w:val="nil"/>
              <w:right w:val="nil"/>
            </w:tcBorders>
            <w:shd w:val="clear" w:color="000000" w:fill="FFFFFF"/>
            <w:vAlign w:val="center"/>
          </w:tcPr>
          <w:p w14:paraId="20430B17"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tcBorders>
              <w:left w:val="nil"/>
              <w:bottom w:val="nil"/>
            </w:tcBorders>
            <w:shd w:val="clear" w:color="000000" w:fill="FFFFFF"/>
            <w:vAlign w:val="center"/>
            <w:hideMark/>
          </w:tcPr>
          <w:p w14:paraId="470D444D"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-0.26</w:t>
            </w:r>
          </w:p>
        </w:tc>
        <w:tc>
          <w:tcPr>
            <w:tcW w:w="567" w:type="dxa"/>
            <w:tcBorders>
              <w:bottom w:val="nil"/>
              <w:right w:val="single" w:sz="4" w:space="0" w:color="auto"/>
            </w:tcBorders>
            <w:shd w:val="clear" w:color="000000" w:fill="FFFFFF"/>
            <w:vAlign w:val="center"/>
          </w:tcPr>
          <w:p w14:paraId="63021ABB"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r>
      <w:tr w:rsidR="00A139C5" w:rsidRPr="0044286B" w14:paraId="6CB39BC7" w14:textId="77777777" w:rsidTr="00707A63">
        <w:trPr>
          <w:trHeight w:val="270"/>
        </w:trPr>
        <w:tc>
          <w:tcPr>
            <w:tcW w:w="5035" w:type="dxa"/>
            <w:tcBorders>
              <w:top w:val="nil"/>
              <w:left w:val="single" w:sz="4" w:space="0" w:color="auto"/>
              <w:bottom w:val="nil"/>
              <w:right w:val="nil"/>
            </w:tcBorders>
            <w:shd w:val="clear" w:color="000000" w:fill="FFFFFF"/>
            <w:vAlign w:val="center"/>
            <w:hideMark/>
          </w:tcPr>
          <w:p w14:paraId="3EF7F0EC"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 Pupils in Secondary Schools who were South Asian</w:t>
            </w:r>
          </w:p>
        </w:tc>
        <w:tc>
          <w:tcPr>
            <w:tcW w:w="841" w:type="dxa"/>
            <w:tcBorders>
              <w:top w:val="nil"/>
              <w:left w:val="nil"/>
              <w:bottom w:val="nil"/>
              <w:right w:val="nil"/>
            </w:tcBorders>
            <w:shd w:val="clear" w:color="000000" w:fill="FFFFFF"/>
            <w:vAlign w:val="center"/>
            <w:hideMark/>
          </w:tcPr>
          <w:p w14:paraId="48E26A92"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16" w:type="dxa"/>
            <w:tcBorders>
              <w:top w:val="nil"/>
              <w:left w:val="nil"/>
              <w:bottom w:val="nil"/>
              <w:right w:val="nil"/>
            </w:tcBorders>
            <w:shd w:val="clear" w:color="000000" w:fill="FFFFFF"/>
            <w:vAlign w:val="center"/>
          </w:tcPr>
          <w:p w14:paraId="311F3EE7"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bottom w:val="nil"/>
              <w:right w:val="nil"/>
            </w:tcBorders>
            <w:shd w:val="clear" w:color="000000" w:fill="FFFFFF"/>
            <w:vAlign w:val="center"/>
            <w:hideMark/>
          </w:tcPr>
          <w:p w14:paraId="16BCF1EC"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-0.55</w:t>
            </w:r>
          </w:p>
        </w:tc>
        <w:tc>
          <w:tcPr>
            <w:tcW w:w="567" w:type="dxa"/>
            <w:tcBorders>
              <w:top w:val="nil"/>
              <w:left w:val="nil"/>
              <w:bottom w:val="nil"/>
              <w:right w:val="nil"/>
            </w:tcBorders>
            <w:shd w:val="clear" w:color="000000" w:fill="FFFFFF"/>
            <w:vAlign w:val="center"/>
          </w:tcPr>
          <w:p w14:paraId="6999A194"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tcBorders>
              <w:top w:val="nil"/>
              <w:left w:val="nil"/>
              <w:bottom w:val="nil"/>
            </w:tcBorders>
            <w:shd w:val="clear" w:color="000000" w:fill="FFFFFF"/>
            <w:vAlign w:val="center"/>
            <w:hideMark/>
          </w:tcPr>
          <w:p w14:paraId="45D8A978"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-0.16</w:t>
            </w:r>
          </w:p>
        </w:tc>
        <w:tc>
          <w:tcPr>
            <w:tcW w:w="567" w:type="dxa"/>
            <w:tcBorders>
              <w:top w:val="nil"/>
              <w:bottom w:val="nil"/>
              <w:right w:val="single" w:sz="4" w:space="0" w:color="auto"/>
            </w:tcBorders>
            <w:shd w:val="clear" w:color="000000" w:fill="FFFFFF"/>
            <w:vAlign w:val="center"/>
          </w:tcPr>
          <w:p w14:paraId="23EA405B"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r>
      <w:tr w:rsidR="00A139C5" w:rsidRPr="0044286B" w14:paraId="6807DE6E" w14:textId="77777777" w:rsidTr="00707A63">
        <w:trPr>
          <w:trHeight w:val="270"/>
        </w:trPr>
        <w:tc>
          <w:tcPr>
            <w:tcW w:w="5035" w:type="dxa"/>
            <w:tcBorders>
              <w:top w:val="nil"/>
              <w:left w:val="single" w:sz="4" w:space="0" w:color="auto"/>
              <w:bottom w:val="nil"/>
              <w:right w:val="nil"/>
            </w:tcBorders>
            <w:shd w:val="clear" w:color="000000" w:fill="FFFFFF"/>
            <w:vAlign w:val="center"/>
            <w:hideMark/>
          </w:tcPr>
          <w:p w14:paraId="416C0E64"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TPS Funding per each Female aged 13-17</w:t>
            </w:r>
          </w:p>
        </w:tc>
        <w:tc>
          <w:tcPr>
            <w:tcW w:w="841" w:type="dxa"/>
            <w:tcBorders>
              <w:top w:val="nil"/>
              <w:left w:val="nil"/>
              <w:bottom w:val="nil"/>
              <w:right w:val="nil"/>
            </w:tcBorders>
            <w:shd w:val="clear" w:color="000000" w:fill="FFFFFF"/>
            <w:vAlign w:val="center"/>
            <w:hideMark/>
          </w:tcPr>
          <w:p w14:paraId="6970D7C9"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16" w:type="dxa"/>
            <w:tcBorders>
              <w:top w:val="nil"/>
              <w:left w:val="nil"/>
              <w:bottom w:val="nil"/>
              <w:right w:val="nil"/>
            </w:tcBorders>
            <w:shd w:val="clear" w:color="000000" w:fill="FFFFFF"/>
            <w:vAlign w:val="center"/>
          </w:tcPr>
          <w:p w14:paraId="29132279"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bottom w:val="nil"/>
              <w:right w:val="nil"/>
            </w:tcBorders>
            <w:shd w:val="clear" w:color="000000" w:fill="FFFFFF"/>
            <w:vAlign w:val="center"/>
            <w:hideMark/>
          </w:tcPr>
          <w:p w14:paraId="5E1E3760"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67" w:type="dxa"/>
            <w:tcBorders>
              <w:top w:val="nil"/>
              <w:left w:val="nil"/>
              <w:bottom w:val="nil"/>
              <w:right w:val="nil"/>
            </w:tcBorders>
            <w:shd w:val="clear" w:color="000000" w:fill="FFFFFF"/>
            <w:vAlign w:val="center"/>
          </w:tcPr>
          <w:p w14:paraId="483F394A"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50" w:type="dxa"/>
            <w:tcBorders>
              <w:top w:val="nil"/>
              <w:left w:val="nil"/>
              <w:bottom w:val="nil"/>
            </w:tcBorders>
            <w:shd w:val="clear" w:color="000000" w:fill="FFFFFF"/>
            <w:vAlign w:val="center"/>
            <w:hideMark/>
          </w:tcPr>
          <w:p w14:paraId="3C859670"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-0.12</w:t>
            </w:r>
          </w:p>
        </w:tc>
        <w:tc>
          <w:tcPr>
            <w:tcW w:w="567" w:type="dxa"/>
            <w:tcBorders>
              <w:top w:val="nil"/>
              <w:bottom w:val="nil"/>
              <w:right w:val="single" w:sz="4" w:space="0" w:color="auto"/>
            </w:tcBorders>
            <w:shd w:val="clear" w:color="000000" w:fill="FFFFFF"/>
            <w:vAlign w:val="center"/>
          </w:tcPr>
          <w:p w14:paraId="6BE91642"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r>
      <w:tr w:rsidR="00A139C5" w:rsidRPr="0044286B" w14:paraId="456075C1" w14:textId="77777777" w:rsidTr="00707A63">
        <w:trPr>
          <w:trHeight w:val="270"/>
        </w:trPr>
        <w:tc>
          <w:tcPr>
            <w:tcW w:w="5035" w:type="dxa"/>
            <w:tcBorders>
              <w:top w:val="nil"/>
              <w:left w:val="single" w:sz="4" w:space="0" w:color="auto"/>
              <w:bottom w:val="single" w:sz="4" w:space="0" w:color="auto"/>
              <w:right w:val="nil"/>
            </w:tcBorders>
            <w:shd w:val="clear" w:color="000000" w:fill="FFFFFF"/>
            <w:vAlign w:val="center"/>
            <w:hideMark/>
          </w:tcPr>
          <w:p w14:paraId="10ED16ED" w14:textId="77777777" w:rsidR="00A139C5" w:rsidRPr="0044286B" w:rsidRDefault="00A139C5" w:rsidP="00707A63">
            <w:pPr>
              <w:spacing w:line="140" w:lineRule="exact"/>
              <w:rPr>
                <w:rFonts w:asciiTheme="minorHAnsi" w:hAnsiTheme="minorHAnsi" w:cstheme="minorHAnsi"/>
                <w:b/>
                <w:bCs/>
                <w:color w:val="000000"/>
                <w:sz w:val="18"/>
                <w:szCs w:val="18"/>
                <w:lang w:eastAsia="en-GB"/>
              </w:rPr>
            </w:pPr>
            <w:r w:rsidRPr="0044286B">
              <w:rPr>
                <w:rFonts w:asciiTheme="minorHAnsi" w:hAnsiTheme="minorHAnsi" w:cstheme="minorHAnsi"/>
                <w:b/>
                <w:bCs/>
                <w:color w:val="000000"/>
                <w:sz w:val="18"/>
                <w:szCs w:val="18"/>
                <w:lang w:eastAsia="en-GB"/>
              </w:rPr>
              <w:t>Constant</w:t>
            </w:r>
          </w:p>
        </w:tc>
        <w:tc>
          <w:tcPr>
            <w:tcW w:w="841" w:type="dxa"/>
            <w:tcBorders>
              <w:top w:val="nil"/>
              <w:left w:val="nil"/>
              <w:bottom w:val="single" w:sz="4" w:space="0" w:color="auto"/>
              <w:right w:val="nil"/>
            </w:tcBorders>
            <w:shd w:val="clear" w:color="000000" w:fill="FFFFFF"/>
            <w:vAlign w:val="center"/>
            <w:hideMark/>
          </w:tcPr>
          <w:p w14:paraId="72954A53"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516" w:type="dxa"/>
            <w:tcBorders>
              <w:top w:val="nil"/>
              <w:left w:val="nil"/>
              <w:bottom w:val="single" w:sz="4" w:space="0" w:color="auto"/>
              <w:right w:val="nil"/>
            </w:tcBorders>
            <w:shd w:val="clear" w:color="000000" w:fill="FFFFFF"/>
            <w:vAlign w:val="center"/>
          </w:tcPr>
          <w:p w14:paraId="64515640"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bottom w:val="single" w:sz="4" w:space="0" w:color="auto"/>
              <w:right w:val="nil"/>
            </w:tcBorders>
            <w:shd w:val="clear" w:color="000000" w:fill="FFFFFF"/>
            <w:vAlign w:val="center"/>
            <w:hideMark/>
          </w:tcPr>
          <w:p w14:paraId="1F66B815"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44.42</w:t>
            </w:r>
          </w:p>
        </w:tc>
        <w:tc>
          <w:tcPr>
            <w:tcW w:w="567" w:type="dxa"/>
            <w:tcBorders>
              <w:top w:val="nil"/>
              <w:left w:val="nil"/>
              <w:bottom w:val="single" w:sz="4" w:space="0" w:color="auto"/>
              <w:right w:val="nil"/>
            </w:tcBorders>
            <w:shd w:val="clear" w:color="000000" w:fill="FFFFFF"/>
            <w:vAlign w:val="center"/>
          </w:tcPr>
          <w:p w14:paraId="42B0C782"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c>
          <w:tcPr>
            <w:tcW w:w="850" w:type="dxa"/>
            <w:tcBorders>
              <w:top w:val="nil"/>
              <w:left w:val="nil"/>
              <w:bottom w:val="single" w:sz="4" w:space="0" w:color="auto"/>
            </w:tcBorders>
            <w:shd w:val="clear" w:color="000000" w:fill="FFFFFF"/>
            <w:vAlign w:val="center"/>
            <w:hideMark/>
          </w:tcPr>
          <w:p w14:paraId="12E2A3D1"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55.63</w:t>
            </w:r>
          </w:p>
        </w:tc>
        <w:tc>
          <w:tcPr>
            <w:tcW w:w="567" w:type="dxa"/>
            <w:tcBorders>
              <w:top w:val="nil"/>
              <w:bottom w:val="single" w:sz="4" w:space="0" w:color="auto"/>
              <w:right w:val="single" w:sz="4" w:space="0" w:color="auto"/>
            </w:tcBorders>
            <w:shd w:val="clear" w:color="000000" w:fill="FFFFFF"/>
            <w:vAlign w:val="center"/>
          </w:tcPr>
          <w:p w14:paraId="1BB33762"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w:t>
            </w:r>
          </w:p>
        </w:tc>
      </w:tr>
      <w:tr w:rsidR="00A139C5" w:rsidRPr="0044286B" w14:paraId="12A6771F" w14:textId="77777777" w:rsidTr="00707A63">
        <w:trPr>
          <w:trHeight w:val="270"/>
        </w:trPr>
        <w:tc>
          <w:tcPr>
            <w:tcW w:w="5035" w:type="dxa"/>
            <w:tcBorders>
              <w:top w:val="nil"/>
              <w:left w:val="single" w:sz="4" w:space="0" w:color="auto"/>
              <w:bottom w:val="nil"/>
              <w:right w:val="nil"/>
            </w:tcBorders>
            <w:shd w:val="clear" w:color="000000" w:fill="FFFFFF"/>
            <w:vAlign w:val="center"/>
            <w:hideMark/>
          </w:tcPr>
          <w:p w14:paraId="20924E13" w14:textId="77777777" w:rsidR="00A139C5" w:rsidRPr="0044286B" w:rsidRDefault="00A139C5" w:rsidP="00707A63">
            <w:pPr>
              <w:spacing w:line="140" w:lineRule="exact"/>
              <w:rPr>
                <w:rFonts w:asciiTheme="minorHAnsi" w:hAnsiTheme="minorHAnsi" w:cstheme="minorHAnsi"/>
                <w:b/>
                <w:bCs/>
                <w:iCs/>
                <w:color w:val="000000"/>
                <w:sz w:val="18"/>
                <w:szCs w:val="18"/>
                <w:u w:val="single"/>
                <w:lang w:eastAsia="en-GB"/>
              </w:rPr>
            </w:pPr>
            <w:r w:rsidRPr="0044286B">
              <w:rPr>
                <w:rFonts w:asciiTheme="minorHAnsi" w:hAnsiTheme="minorHAnsi" w:cstheme="minorHAnsi"/>
                <w:b/>
                <w:bCs/>
                <w:iCs/>
                <w:color w:val="000000"/>
                <w:sz w:val="18"/>
                <w:szCs w:val="18"/>
                <w:u w:val="single"/>
                <w:lang w:eastAsia="en-GB"/>
              </w:rPr>
              <w:t>Random Effects</w:t>
            </w:r>
          </w:p>
        </w:tc>
        <w:tc>
          <w:tcPr>
            <w:tcW w:w="841" w:type="dxa"/>
            <w:tcBorders>
              <w:top w:val="nil"/>
              <w:left w:val="nil"/>
              <w:bottom w:val="nil"/>
              <w:right w:val="nil"/>
            </w:tcBorders>
            <w:shd w:val="clear" w:color="000000" w:fill="FFFFFF"/>
            <w:vAlign w:val="center"/>
          </w:tcPr>
          <w:p w14:paraId="27C9E407" w14:textId="77777777" w:rsidR="00A139C5" w:rsidRPr="0044286B" w:rsidRDefault="00A139C5" w:rsidP="00707A63">
            <w:pPr>
              <w:spacing w:line="140" w:lineRule="exact"/>
              <w:jc w:val="right"/>
              <w:rPr>
                <w:rFonts w:asciiTheme="minorHAnsi" w:hAnsiTheme="minorHAnsi" w:cstheme="minorHAnsi"/>
                <w:b/>
                <w:bCs/>
                <w:i/>
                <w:iCs/>
                <w:color w:val="000000"/>
                <w:sz w:val="18"/>
                <w:szCs w:val="18"/>
                <w:u w:val="single"/>
                <w:lang w:eastAsia="en-GB"/>
              </w:rPr>
            </w:pPr>
          </w:p>
        </w:tc>
        <w:tc>
          <w:tcPr>
            <w:tcW w:w="516" w:type="dxa"/>
            <w:tcBorders>
              <w:top w:val="nil"/>
              <w:left w:val="nil"/>
              <w:bottom w:val="nil"/>
              <w:right w:val="nil"/>
            </w:tcBorders>
            <w:shd w:val="clear" w:color="000000" w:fill="FFFFFF"/>
            <w:vAlign w:val="center"/>
          </w:tcPr>
          <w:p w14:paraId="073DB212" w14:textId="77777777" w:rsidR="00A139C5" w:rsidRPr="0044286B" w:rsidRDefault="00A139C5" w:rsidP="00707A63">
            <w:pPr>
              <w:spacing w:line="140" w:lineRule="exact"/>
              <w:jc w:val="right"/>
              <w:rPr>
                <w:rFonts w:asciiTheme="minorHAnsi" w:hAnsiTheme="minorHAnsi" w:cstheme="minorHAnsi"/>
                <w:b/>
                <w:bCs/>
                <w:i/>
                <w:iCs/>
                <w:color w:val="000000"/>
                <w:sz w:val="18"/>
                <w:szCs w:val="18"/>
                <w:u w:val="single"/>
                <w:lang w:eastAsia="en-GB"/>
              </w:rPr>
            </w:pPr>
          </w:p>
        </w:tc>
        <w:tc>
          <w:tcPr>
            <w:tcW w:w="833" w:type="dxa"/>
            <w:tcBorders>
              <w:top w:val="nil"/>
              <w:left w:val="nil"/>
              <w:bottom w:val="nil"/>
              <w:right w:val="nil"/>
            </w:tcBorders>
            <w:shd w:val="clear" w:color="000000" w:fill="FFFFFF"/>
            <w:vAlign w:val="center"/>
          </w:tcPr>
          <w:p w14:paraId="64E501A0" w14:textId="77777777" w:rsidR="00A139C5" w:rsidRPr="0044286B" w:rsidRDefault="00A139C5" w:rsidP="00707A63">
            <w:pPr>
              <w:spacing w:line="140" w:lineRule="exact"/>
              <w:jc w:val="right"/>
              <w:rPr>
                <w:rFonts w:asciiTheme="minorHAnsi" w:hAnsiTheme="minorHAnsi" w:cstheme="minorHAnsi"/>
                <w:b/>
                <w:bCs/>
                <w:i/>
                <w:iCs/>
                <w:color w:val="000000"/>
                <w:sz w:val="18"/>
                <w:szCs w:val="18"/>
                <w:u w:val="single"/>
                <w:lang w:eastAsia="en-GB"/>
              </w:rPr>
            </w:pPr>
          </w:p>
        </w:tc>
        <w:tc>
          <w:tcPr>
            <w:tcW w:w="567" w:type="dxa"/>
            <w:tcBorders>
              <w:top w:val="nil"/>
              <w:left w:val="nil"/>
              <w:bottom w:val="nil"/>
              <w:right w:val="nil"/>
            </w:tcBorders>
            <w:shd w:val="clear" w:color="000000" w:fill="FFFFFF"/>
            <w:vAlign w:val="center"/>
          </w:tcPr>
          <w:p w14:paraId="407C53F5" w14:textId="77777777" w:rsidR="00A139C5" w:rsidRPr="0044286B" w:rsidRDefault="00A139C5" w:rsidP="00707A63">
            <w:pPr>
              <w:spacing w:line="140" w:lineRule="exact"/>
              <w:jc w:val="right"/>
              <w:rPr>
                <w:rFonts w:asciiTheme="minorHAnsi" w:hAnsiTheme="minorHAnsi" w:cstheme="minorHAnsi"/>
                <w:b/>
                <w:bCs/>
                <w:i/>
                <w:iCs/>
                <w:color w:val="000000"/>
                <w:sz w:val="18"/>
                <w:szCs w:val="18"/>
                <w:u w:val="single"/>
                <w:lang w:eastAsia="en-GB"/>
              </w:rPr>
            </w:pPr>
          </w:p>
        </w:tc>
        <w:tc>
          <w:tcPr>
            <w:tcW w:w="850" w:type="dxa"/>
            <w:tcBorders>
              <w:top w:val="nil"/>
              <w:left w:val="nil"/>
              <w:bottom w:val="nil"/>
            </w:tcBorders>
            <w:shd w:val="clear" w:color="000000" w:fill="FFFFFF"/>
            <w:vAlign w:val="center"/>
          </w:tcPr>
          <w:p w14:paraId="7CADA901" w14:textId="77777777" w:rsidR="00A139C5" w:rsidRPr="0044286B" w:rsidRDefault="00A139C5" w:rsidP="00707A63">
            <w:pPr>
              <w:spacing w:line="140" w:lineRule="exact"/>
              <w:jc w:val="right"/>
              <w:rPr>
                <w:rFonts w:asciiTheme="minorHAnsi" w:hAnsiTheme="minorHAnsi" w:cstheme="minorHAnsi"/>
                <w:b/>
                <w:bCs/>
                <w:i/>
                <w:iCs/>
                <w:color w:val="000000"/>
                <w:sz w:val="18"/>
                <w:szCs w:val="18"/>
                <w:u w:val="single"/>
                <w:lang w:eastAsia="en-GB"/>
              </w:rPr>
            </w:pPr>
          </w:p>
        </w:tc>
        <w:tc>
          <w:tcPr>
            <w:tcW w:w="567" w:type="dxa"/>
            <w:tcBorders>
              <w:top w:val="nil"/>
              <w:bottom w:val="nil"/>
              <w:right w:val="single" w:sz="4" w:space="0" w:color="auto"/>
            </w:tcBorders>
            <w:shd w:val="clear" w:color="000000" w:fill="FFFFFF"/>
            <w:vAlign w:val="center"/>
          </w:tcPr>
          <w:p w14:paraId="2D3984C0" w14:textId="77777777" w:rsidR="00A139C5" w:rsidRPr="0044286B" w:rsidRDefault="00A139C5" w:rsidP="00707A63">
            <w:pPr>
              <w:spacing w:line="140" w:lineRule="exact"/>
              <w:jc w:val="right"/>
              <w:rPr>
                <w:rFonts w:asciiTheme="minorHAnsi" w:hAnsiTheme="minorHAnsi" w:cstheme="minorHAnsi"/>
                <w:b/>
                <w:bCs/>
                <w:i/>
                <w:iCs/>
                <w:color w:val="000000"/>
                <w:sz w:val="18"/>
                <w:szCs w:val="18"/>
                <w:u w:val="single"/>
                <w:lang w:eastAsia="en-GB"/>
              </w:rPr>
            </w:pPr>
          </w:p>
        </w:tc>
      </w:tr>
      <w:tr w:rsidR="00A139C5" w:rsidRPr="0044286B" w14:paraId="007BB700" w14:textId="77777777" w:rsidTr="00707A63">
        <w:trPr>
          <w:trHeight w:val="255"/>
        </w:trPr>
        <w:tc>
          <w:tcPr>
            <w:tcW w:w="5035" w:type="dxa"/>
            <w:tcBorders>
              <w:top w:val="nil"/>
              <w:left w:val="single" w:sz="4" w:space="0" w:color="auto"/>
              <w:bottom w:val="nil"/>
              <w:right w:val="nil"/>
            </w:tcBorders>
            <w:shd w:val="clear" w:color="000000" w:fill="FFFFFF"/>
            <w:vAlign w:val="center"/>
            <w:hideMark/>
          </w:tcPr>
          <w:p w14:paraId="17348AAD" w14:textId="77777777" w:rsidR="00A139C5" w:rsidRPr="009C4969" w:rsidRDefault="00DF1ADE" w:rsidP="00707A63">
            <w:pPr>
              <w:spacing w:line="140" w:lineRule="exact"/>
              <w:rPr>
                <w:rFonts w:asciiTheme="minorHAnsi" w:hAnsiTheme="minorHAnsi" w:cstheme="minorHAnsi"/>
                <w:color w:val="000000"/>
                <w:sz w:val="18"/>
                <w:szCs w:val="18"/>
                <w:lang w:eastAsia="en-GB"/>
              </w:rPr>
            </w:pPr>
            <m:oMath>
              <m:sSub>
                <m:sSubPr>
                  <m:ctrlPr>
                    <w:rPr>
                      <w:rFonts w:ascii="Cambria Math" w:hAnsi="Cambria Math" w:cstheme="minorHAnsi"/>
                      <w:i/>
                      <w:color w:val="000000"/>
                      <w:sz w:val="18"/>
                      <w:szCs w:val="18"/>
                      <w:lang w:eastAsia="en-GB"/>
                    </w:rPr>
                  </m:ctrlPr>
                </m:sSubPr>
                <m:e>
                  <m:r>
                    <w:rPr>
                      <w:rFonts w:ascii="Cambria Math" w:hAnsi="Cambria Math" w:cstheme="minorHAnsi"/>
                      <w:color w:val="000000"/>
                      <w:sz w:val="18"/>
                      <w:szCs w:val="18"/>
                      <w:lang w:eastAsia="en-GB"/>
                    </w:rPr>
                    <m:t>σ</m:t>
                  </m:r>
                </m:e>
                <m:sub>
                  <m:r>
                    <w:rPr>
                      <w:rFonts w:ascii="Cambria Math" w:hAnsi="Cambria Math" w:cstheme="minorHAnsi"/>
                      <w:color w:val="000000"/>
                      <w:sz w:val="18"/>
                      <w:szCs w:val="18"/>
                      <w:lang w:eastAsia="en-GB"/>
                    </w:rPr>
                    <m:t>u</m:t>
                  </m:r>
                </m:sub>
              </m:sSub>
            </m:oMath>
            <w:r w:rsidR="00A139C5" w:rsidRPr="003D099F">
              <w:rPr>
                <w:rFonts w:asciiTheme="minorHAnsi" w:hAnsiTheme="minorHAnsi" w:cstheme="minorHAnsi"/>
                <w:color w:val="000000"/>
                <w:sz w:val="18"/>
                <w:szCs w:val="18"/>
                <w:lang w:eastAsia="en-GB"/>
              </w:rPr>
              <w:t>Between LAD variation</w:t>
            </w:r>
          </w:p>
        </w:tc>
        <w:tc>
          <w:tcPr>
            <w:tcW w:w="841" w:type="dxa"/>
            <w:tcBorders>
              <w:top w:val="nil"/>
              <w:left w:val="nil"/>
              <w:bottom w:val="nil"/>
              <w:right w:val="nil"/>
            </w:tcBorders>
            <w:shd w:val="clear" w:color="000000" w:fill="FFFFFF"/>
            <w:vAlign w:val="center"/>
            <w:hideMark/>
          </w:tcPr>
          <w:p w14:paraId="55B8BAFB" w14:textId="77777777" w:rsidR="00A139C5" w:rsidRPr="009C4969" w:rsidRDefault="00A139C5" w:rsidP="00707A63">
            <w:pPr>
              <w:spacing w:line="140" w:lineRule="exact"/>
              <w:jc w:val="right"/>
              <w:rPr>
                <w:rFonts w:asciiTheme="minorHAnsi" w:hAnsiTheme="minorHAnsi" w:cstheme="minorHAnsi"/>
                <w:color w:val="000000"/>
                <w:sz w:val="18"/>
                <w:szCs w:val="18"/>
                <w:lang w:eastAsia="en-GB"/>
              </w:rPr>
            </w:pPr>
            <w:r w:rsidRPr="009C4969">
              <w:rPr>
                <w:rFonts w:asciiTheme="minorHAnsi" w:hAnsiTheme="minorHAnsi" w:cstheme="minorHAnsi"/>
                <w:color w:val="000000"/>
                <w:sz w:val="18"/>
                <w:szCs w:val="18"/>
                <w:lang w:eastAsia="en-GB"/>
              </w:rPr>
              <w:t>10.54</w:t>
            </w:r>
          </w:p>
        </w:tc>
        <w:tc>
          <w:tcPr>
            <w:tcW w:w="516" w:type="dxa"/>
            <w:tcBorders>
              <w:top w:val="nil"/>
              <w:left w:val="nil"/>
              <w:bottom w:val="nil"/>
              <w:right w:val="nil"/>
            </w:tcBorders>
            <w:shd w:val="clear" w:color="000000" w:fill="FFFFFF"/>
            <w:vAlign w:val="center"/>
          </w:tcPr>
          <w:p w14:paraId="2AEA0880" w14:textId="77777777" w:rsidR="00A139C5" w:rsidRPr="001800D8"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bottom w:val="nil"/>
              <w:right w:val="nil"/>
            </w:tcBorders>
            <w:shd w:val="clear" w:color="000000" w:fill="FFFFFF"/>
            <w:vAlign w:val="center"/>
          </w:tcPr>
          <w:p w14:paraId="6F54DDC1" w14:textId="77777777" w:rsidR="00A139C5" w:rsidRPr="00682940" w:rsidRDefault="00A139C5" w:rsidP="00707A63">
            <w:pPr>
              <w:spacing w:line="140" w:lineRule="exact"/>
              <w:jc w:val="right"/>
              <w:rPr>
                <w:rFonts w:asciiTheme="minorHAnsi" w:hAnsiTheme="minorHAnsi" w:cstheme="minorHAnsi"/>
                <w:color w:val="000000"/>
                <w:sz w:val="18"/>
                <w:szCs w:val="18"/>
                <w:lang w:eastAsia="en-GB"/>
              </w:rPr>
            </w:pPr>
            <w:r w:rsidRPr="00682940">
              <w:rPr>
                <w:rFonts w:asciiTheme="minorHAnsi" w:hAnsiTheme="minorHAnsi" w:cstheme="minorHAnsi"/>
                <w:color w:val="000000"/>
                <w:sz w:val="18"/>
                <w:szCs w:val="18"/>
                <w:lang w:eastAsia="en-GB"/>
              </w:rPr>
              <w:t>9.63</w:t>
            </w:r>
          </w:p>
        </w:tc>
        <w:tc>
          <w:tcPr>
            <w:tcW w:w="567" w:type="dxa"/>
            <w:tcBorders>
              <w:top w:val="nil"/>
              <w:left w:val="nil"/>
              <w:bottom w:val="nil"/>
              <w:right w:val="nil"/>
            </w:tcBorders>
            <w:shd w:val="clear" w:color="000000" w:fill="FFFFFF"/>
            <w:vAlign w:val="center"/>
          </w:tcPr>
          <w:p w14:paraId="25CC2B5A" w14:textId="77777777" w:rsidR="00A139C5" w:rsidRPr="005851B6" w:rsidRDefault="00A139C5" w:rsidP="00707A63">
            <w:pPr>
              <w:spacing w:line="140" w:lineRule="exact"/>
              <w:jc w:val="right"/>
              <w:rPr>
                <w:rFonts w:asciiTheme="minorHAnsi" w:hAnsiTheme="minorHAnsi" w:cstheme="minorHAnsi"/>
                <w:color w:val="000000"/>
                <w:sz w:val="18"/>
                <w:szCs w:val="18"/>
                <w:lang w:eastAsia="en-GB"/>
              </w:rPr>
            </w:pPr>
          </w:p>
        </w:tc>
        <w:tc>
          <w:tcPr>
            <w:tcW w:w="850" w:type="dxa"/>
            <w:tcBorders>
              <w:top w:val="nil"/>
              <w:left w:val="nil"/>
              <w:bottom w:val="nil"/>
            </w:tcBorders>
            <w:shd w:val="clear" w:color="000000" w:fill="FFFFFF"/>
            <w:vAlign w:val="center"/>
          </w:tcPr>
          <w:p w14:paraId="24A7E773" w14:textId="77777777" w:rsidR="00A139C5" w:rsidRPr="005B55D1" w:rsidRDefault="00A139C5" w:rsidP="00707A63">
            <w:pPr>
              <w:spacing w:line="140" w:lineRule="exact"/>
              <w:jc w:val="right"/>
              <w:rPr>
                <w:rFonts w:asciiTheme="minorHAnsi" w:hAnsiTheme="minorHAnsi" w:cstheme="minorHAnsi"/>
                <w:color w:val="000000"/>
                <w:sz w:val="18"/>
                <w:szCs w:val="18"/>
                <w:lang w:eastAsia="en-GB"/>
              </w:rPr>
            </w:pPr>
            <w:r w:rsidRPr="00564D6D">
              <w:rPr>
                <w:rFonts w:asciiTheme="minorHAnsi" w:hAnsiTheme="minorHAnsi" w:cstheme="minorHAnsi"/>
                <w:color w:val="000000"/>
                <w:sz w:val="18"/>
                <w:szCs w:val="18"/>
                <w:lang w:eastAsia="en-GB"/>
              </w:rPr>
              <w:t>12.91</w:t>
            </w:r>
          </w:p>
        </w:tc>
        <w:tc>
          <w:tcPr>
            <w:tcW w:w="567" w:type="dxa"/>
            <w:tcBorders>
              <w:top w:val="nil"/>
              <w:bottom w:val="nil"/>
              <w:right w:val="single" w:sz="4" w:space="0" w:color="auto"/>
            </w:tcBorders>
            <w:shd w:val="clear" w:color="000000" w:fill="FFFFFF"/>
            <w:vAlign w:val="center"/>
          </w:tcPr>
          <w:p w14:paraId="5866F2C1" w14:textId="77777777" w:rsidR="00A139C5" w:rsidRPr="005B55D1" w:rsidRDefault="00A139C5" w:rsidP="00707A63">
            <w:pPr>
              <w:spacing w:line="140" w:lineRule="exact"/>
              <w:jc w:val="right"/>
              <w:rPr>
                <w:rFonts w:asciiTheme="minorHAnsi" w:hAnsiTheme="minorHAnsi" w:cstheme="minorHAnsi"/>
                <w:color w:val="000000"/>
                <w:sz w:val="18"/>
                <w:szCs w:val="18"/>
                <w:lang w:eastAsia="en-GB"/>
              </w:rPr>
            </w:pPr>
          </w:p>
        </w:tc>
      </w:tr>
      <w:tr w:rsidR="00A139C5" w:rsidRPr="0044286B" w14:paraId="2B8D3BF3" w14:textId="77777777" w:rsidTr="00707A63">
        <w:trPr>
          <w:trHeight w:val="255"/>
        </w:trPr>
        <w:tc>
          <w:tcPr>
            <w:tcW w:w="5035" w:type="dxa"/>
            <w:tcBorders>
              <w:top w:val="nil"/>
              <w:left w:val="single" w:sz="4" w:space="0" w:color="auto"/>
              <w:bottom w:val="nil"/>
              <w:right w:val="nil"/>
            </w:tcBorders>
            <w:shd w:val="clear" w:color="000000" w:fill="FFFFFF"/>
            <w:vAlign w:val="center"/>
            <w:hideMark/>
          </w:tcPr>
          <w:p w14:paraId="25282928" w14:textId="77777777" w:rsidR="00A139C5" w:rsidRPr="009C4969" w:rsidRDefault="00DF1ADE" w:rsidP="00707A63">
            <w:pPr>
              <w:spacing w:line="140" w:lineRule="exact"/>
              <w:rPr>
                <w:rFonts w:asciiTheme="minorHAnsi" w:hAnsiTheme="minorHAnsi" w:cstheme="minorHAnsi"/>
                <w:color w:val="000000"/>
                <w:sz w:val="18"/>
                <w:szCs w:val="18"/>
                <w:lang w:eastAsia="en-GB"/>
              </w:rPr>
            </w:pPr>
            <m:oMath>
              <m:sSub>
                <m:sSubPr>
                  <m:ctrlPr>
                    <w:rPr>
                      <w:rFonts w:ascii="Cambria Math" w:hAnsi="Cambria Math" w:cstheme="minorHAnsi"/>
                      <w:i/>
                      <w:color w:val="000000"/>
                      <w:sz w:val="18"/>
                      <w:szCs w:val="18"/>
                      <w:lang w:eastAsia="en-GB"/>
                    </w:rPr>
                  </m:ctrlPr>
                </m:sSubPr>
                <m:e>
                  <m:r>
                    <w:rPr>
                      <w:rFonts w:ascii="Cambria Math" w:hAnsi="Cambria Math" w:cstheme="minorHAnsi"/>
                      <w:color w:val="000000"/>
                      <w:sz w:val="18"/>
                      <w:szCs w:val="18"/>
                      <w:lang w:eastAsia="en-GB"/>
                    </w:rPr>
                    <m:t>σ</m:t>
                  </m:r>
                </m:e>
                <m:sub>
                  <m:r>
                    <w:rPr>
                      <w:rFonts w:ascii="Cambria Math" w:hAnsi="Cambria Math" w:cstheme="minorHAnsi"/>
                      <w:color w:val="000000"/>
                      <w:sz w:val="18"/>
                      <w:szCs w:val="18"/>
                      <w:lang w:eastAsia="en-GB"/>
                    </w:rPr>
                    <m:t>e</m:t>
                  </m:r>
                </m:sub>
              </m:sSub>
            </m:oMath>
            <w:r w:rsidR="00A139C5" w:rsidRPr="003D099F">
              <w:rPr>
                <w:rFonts w:asciiTheme="minorHAnsi" w:hAnsiTheme="minorHAnsi" w:cstheme="minorHAnsi"/>
                <w:color w:val="000000"/>
                <w:sz w:val="18"/>
                <w:szCs w:val="18"/>
                <w:lang w:eastAsia="en-GB"/>
              </w:rPr>
              <w:t>Within LAD variation</w:t>
            </w:r>
          </w:p>
        </w:tc>
        <w:tc>
          <w:tcPr>
            <w:tcW w:w="841" w:type="dxa"/>
            <w:tcBorders>
              <w:top w:val="nil"/>
              <w:left w:val="nil"/>
              <w:bottom w:val="nil"/>
              <w:right w:val="nil"/>
            </w:tcBorders>
            <w:shd w:val="clear" w:color="000000" w:fill="FFFFFF"/>
            <w:vAlign w:val="center"/>
            <w:hideMark/>
          </w:tcPr>
          <w:p w14:paraId="10BFB92E" w14:textId="77777777" w:rsidR="00A139C5" w:rsidRPr="009C4969" w:rsidRDefault="00A139C5" w:rsidP="00707A63">
            <w:pPr>
              <w:spacing w:line="140" w:lineRule="exact"/>
              <w:jc w:val="right"/>
              <w:rPr>
                <w:rFonts w:asciiTheme="minorHAnsi" w:hAnsiTheme="minorHAnsi" w:cstheme="minorHAnsi"/>
                <w:color w:val="000000"/>
                <w:sz w:val="18"/>
                <w:szCs w:val="18"/>
                <w:lang w:eastAsia="en-GB"/>
              </w:rPr>
            </w:pPr>
            <w:r w:rsidRPr="009C4969">
              <w:rPr>
                <w:rFonts w:asciiTheme="minorHAnsi" w:hAnsiTheme="minorHAnsi" w:cstheme="minorHAnsi"/>
                <w:color w:val="000000"/>
                <w:sz w:val="18"/>
                <w:szCs w:val="18"/>
                <w:lang w:eastAsia="en-GB"/>
              </w:rPr>
              <w:t>6.44</w:t>
            </w:r>
          </w:p>
        </w:tc>
        <w:tc>
          <w:tcPr>
            <w:tcW w:w="516" w:type="dxa"/>
            <w:tcBorders>
              <w:top w:val="nil"/>
              <w:left w:val="nil"/>
              <w:bottom w:val="nil"/>
              <w:right w:val="nil"/>
            </w:tcBorders>
            <w:shd w:val="clear" w:color="000000" w:fill="FFFFFF"/>
            <w:vAlign w:val="center"/>
          </w:tcPr>
          <w:p w14:paraId="262FC9EE" w14:textId="77777777" w:rsidR="00A139C5" w:rsidRPr="001800D8"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bottom w:val="nil"/>
              <w:right w:val="nil"/>
            </w:tcBorders>
            <w:shd w:val="clear" w:color="000000" w:fill="FFFFFF"/>
            <w:vAlign w:val="center"/>
          </w:tcPr>
          <w:p w14:paraId="126271BD" w14:textId="77777777" w:rsidR="00A139C5" w:rsidRPr="00682940" w:rsidRDefault="00A139C5" w:rsidP="00707A63">
            <w:pPr>
              <w:spacing w:line="140" w:lineRule="exact"/>
              <w:jc w:val="right"/>
              <w:rPr>
                <w:rFonts w:asciiTheme="minorHAnsi" w:hAnsiTheme="minorHAnsi" w:cstheme="minorHAnsi"/>
                <w:color w:val="000000"/>
                <w:sz w:val="18"/>
                <w:szCs w:val="18"/>
                <w:lang w:eastAsia="en-GB"/>
              </w:rPr>
            </w:pPr>
            <w:r w:rsidRPr="00682940">
              <w:rPr>
                <w:rFonts w:asciiTheme="minorHAnsi" w:hAnsiTheme="minorHAnsi" w:cstheme="minorHAnsi"/>
                <w:color w:val="000000"/>
                <w:sz w:val="18"/>
                <w:szCs w:val="18"/>
                <w:lang w:eastAsia="en-GB"/>
              </w:rPr>
              <w:t>5.72</w:t>
            </w:r>
          </w:p>
        </w:tc>
        <w:tc>
          <w:tcPr>
            <w:tcW w:w="567" w:type="dxa"/>
            <w:tcBorders>
              <w:top w:val="nil"/>
              <w:left w:val="nil"/>
              <w:bottom w:val="nil"/>
              <w:right w:val="nil"/>
            </w:tcBorders>
            <w:shd w:val="clear" w:color="000000" w:fill="FFFFFF"/>
            <w:vAlign w:val="center"/>
          </w:tcPr>
          <w:p w14:paraId="65B21951" w14:textId="77777777" w:rsidR="00A139C5" w:rsidRPr="005851B6" w:rsidRDefault="00A139C5" w:rsidP="00707A63">
            <w:pPr>
              <w:spacing w:line="140" w:lineRule="exact"/>
              <w:jc w:val="right"/>
              <w:rPr>
                <w:rFonts w:asciiTheme="minorHAnsi" w:hAnsiTheme="minorHAnsi" w:cstheme="minorHAnsi"/>
                <w:color w:val="000000"/>
                <w:sz w:val="18"/>
                <w:szCs w:val="18"/>
                <w:lang w:eastAsia="en-GB"/>
              </w:rPr>
            </w:pPr>
          </w:p>
        </w:tc>
        <w:tc>
          <w:tcPr>
            <w:tcW w:w="850" w:type="dxa"/>
            <w:tcBorders>
              <w:top w:val="nil"/>
              <w:left w:val="nil"/>
              <w:bottom w:val="nil"/>
            </w:tcBorders>
            <w:shd w:val="clear" w:color="000000" w:fill="FFFFFF"/>
            <w:vAlign w:val="center"/>
          </w:tcPr>
          <w:p w14:paraId="7C821CB7" w14:textId="77777777" w:rsidR="00A139C5" w:rsidRPr="005B55D1" w:rsidRDefault="00A139C5" w:rsidP="00707A63">
            <w:pPr>
              <w:spacing w:line="140" w:lineRule="exact"/>
              <w:jc w:val="right"/>
              <w:rPr>
                <w:rFonts w:asciiTheme="minorHAnsi" w:hAnsiTheme="minorHAnsi" w:cstheme="minorHAnsi"/>
                <w:color w:val="000000"/>
                <w:sz w:val="18"/>
                <w:szCs w:val="18"/>
                <w:lang w:eastAsia="en-GB"/>
              </w:rPr>
            </w:pPr>
            <w:r w:rsidRPr="00564D6D">
              <w:rPr>
                <w:rFonts w:asciiTheme="minorHAnsi" w:hAnsiTheme="minorHAnsi" w:cstheme="minorHAnsi"/>
                <w:color w:val="000000"/>
                <w:sz w:val="18"/>
                <w:szCs w:val="18"/>
                <w:lang w:eastAsia="en-GB"/>
              </w:rPr>
              <w:t>5.13</w:t>
            </w:r>
          </w:p>
        </w:tc>
        <w:tc>
          <w:tcPr>
            <w:tcW w:w="567" w:type="dxa"/>
            <w:tcBorders>
              <w:top w:val="nil"/>
              <w:bottom w:val="nil"/>
              <w:right w:val="single" w:sz="4" w:space="0" w:color="auto"/>
            </w:tcBorders>
            <w:shd w:val="clear" w:color="000000" w:fill="FFFFFF"/>
            <w:vAlign w:val="center"/>
          </w:tcPr>
          <w:p w14:paraId="26948A60" w14:textId="77777777" w:rsidR="00A139C5" w:rsidRPr="005B55D1" w:rsidRDefault="00A139C5" w:rsidP="00707A63">
            <w:pPr>
              <w:spacing w:line="140" w:lineRule="exact"/>
              <w:jc w:val="right"/>
              <w:rPr>
                <w:rFonts w:asciiTheme="minorHAnsi" w:hAnsiTheme="minorHAnsi" w:cstheme="minorHAnsi"/>
                <w:color w:val="000000"/>
                <w:sz w:val="18"/>
                <w:szCs w:val="18"/>
                <w:lang w:eastAsia="en-GB"/>
              </w:rPr>
            </w:pPr>
          </w:p>
        </w:tc>
      </w:tr>
      <w:tr w:rsidR="00A139C5" w:rsidRPr="0044286B" w14:paraId="081C3B53" w14:textId="77777777" w:rsidTr="00707A63">
        <w:trPr>
          <w:trHeight w:val="255"/>
        </w:trPr>
        <w:tc>
          <w:tcPr>
            <w:tcW w:w="5035" w:type="dxa"/>
            <w:tcBorders>
              <w:top w:val="nil"/>
              <w:left w:val="single" w:sz="4" w:space="0" w:color="auto"/>
              <w:bottom w:val="single" w:sz="4" w:space="0" w:color="000000"/>
              <w:right w:val="nil"/>
            </w:tcBorders>
            <w:shd w:val="clear" w:color="000000" w:fill="FFFFFF"/>
            <w:vAlign w:val="center"/>
            <w:hideMark/>
          </w:tcPr>
          <w:p w14:paraId="6441A028" w14:textId="77777777" w:rsidR="00A139C5" w:rsidRPr="0044286B" w:rsidRDefault="00A139C5" w:rsidP="00707A63">
            <w:pPr>
              <w:spacing w:line="140" w:lineRule="exac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Rho</w:t>
            </w:r>
          </w:p>
        </w:tc>
        <w:tc>
          <w:tcPr>
            <w:tcW w:w="841" w:type="dxa"/>
            <w:tcBorders>
              <w:top w:val="nil"/>
              <w:left w:val="nil"/>
              <w:bottom w:val="single" w:sz="4" w:space="0" w:color="000000"/>
              <w:right w:val="nil"/>
            </w:tcBorders>
            <w:shd w:val="clear" w:color="000000" w:fill="FFFFFF"/>
            <w:vAlign w:val="center"/>
            <w:hideMark/>
          </w:tcPr>
          <w:p w14:paraId="44AA184A"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0.73</w:t>
            </w:r>
          </w:p>
        </w:tc>
        <w:tc>
          <w:tcPr>
            <w:tcW w:w="516" w:type="dxa"/>
            <w:tcBorders>
              <w:top w:val="nil"/>
              <w:left w:val="nil"/>
              <w:bottom w:val="single" w:sz="4" w:space="0" w:color="000000"/>
              <w:right w:val="nil"/>
            </w:tcBorders>
            <w:shd w:val="clear" w:color="000000" w:fill="FFFFFF"/>
            <w:vAlign w:val="center"/>
          </w:tcPr>
          <w:p w14:paraId="4C72AF17"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33" w:type="dxa"/>
            <w:tcBorders>
              <w:top w:val="nil"/>
              <w:left w:val="nil"/>
              <w:bottom w:val="single" w:sz="4" w:space="0" w:color="000000"/>
              <w:right w:val="nil"/>
            </w:tcBorders>
            <w:shd w:val="clear" w:color="000000" w:fill="FFFFFF"/>
            <w:vAlign w:val="center"/>
          </w:tcPr>
          <w:p w14:paraId="66B3E7E2"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0.74</w:t>
            </w:r>
          </w:p>
        </w:tc>
        <w:tc>
          <w:tcPr>
            <w:tcW w:w="567" w:type="dxa"/>
            <w:tcBorders>
              <w:top w:val="nil"/>
              <w:left w:val="nil"/>
              <w:bottom w:val="single" w:sz="4" w:space="0" w:color="000000"/>
              <w:right w:val="nil"/>
            </w:tcBorders>
            <w:shd w:val="clear" w:color="000000" w:fill="FFFFFF"/>
            <w:vAlign w:val="center"/>
          </w:tcPr>
          <w:p w14:paraId="1ED3C3D6"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c>
          <w:tcPr>
            <w:tcW w:w="850" w:type="dxa"/>
            <w:tcBorders>
              <w:top w:val="nil"/>
              <w:left w:val="nil"/>
              <w:bottom w:val="single" w:sz="4" w:space="0" w:color="000000"/>
            </w:tcBorders>
            <w:shd w:val="clear" w:color="000000" w:fill="FFFFFF"/>
            <w:vAlign w:val="center"/>
          </w:tcPr>
          <w:p w14:paraId="3D0CB073"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0.86</w:t>
            </w:r>
          </w:p>
        </w:tc>
        <w:tc>
          <w:tcPr>
            <w:tcW w:w="567" w:type="dxa"/>
            <w:tcBorders>
              <w:top w:val="nil"/>
              <w:bottom w:val="single" w:sz="4" w:space="0" w:color="000000"/>
              <w:right w:val="single" w:sz="4" w:space="0" w:color="auto"/>
            </w:tcBorders>
            <w:shd w:val="clear" w:color="000000" w:fill="FFFFFF"/>
            <w:vAlign w:val="center"/>
          </w:tcPr>
          <w:p w14:paraId="2AD9FF19" w14:textId="77777777" w:rsidR="00A139C5" w:rsidRPr="0044286B" w:rsidRDefault="00A139C5" w:rsidP="00707A63">
            <w:pPr>
              <w:spacing w:line="140" w:lineRule="exact"/>
              <w:jc w:val="right"/>
              <w:rPr>
                <w:rFonts w:asciiTheme="minorHAnsi" w:hAnsiTheme="minorHAnsi" w:cstheme="minorHAnsi"/>
                <w:color w:val="000000"/>
                <w:sz w:val="18"/>
                <w:szCs w:val="18"/>
                <w:lang w:eastAsia="en-GB"/>
              </w:rPr>
            </w:pPr>
          </w:p>
        </w:tc>
      </w:tr>
      <w:tr w:rsidR="00A139C5" w:rsidRPr="0044286B" w14:paraId="5D10191D" w14:textId="77777777" w:rsidTr="00707A63">
        <w:trPr>
          <w:trHeight w:val="255"/>
        </w:trPr>
        <w:tc>
          <w:tcPr>
            <w:tcW w:w="5035" w:type="dxa"/>
            <w:tcBorders>
              <w:top w:val="nil"/>
              <w:left w:val="single" w:sz="4" w:space="0" w:color="auto"/>
              <w:bottom w:val="single" w:sz="4" w:space="0" w:color="auto"/>
              <w:right w:val="nil"/>
            </w:tcBorders>
            <w:shd w:val="clear" w:color="000000" w:fill="FFFFFF"/>
            <w:vAlign w:val="center"/>
            <w:hideMark/>
          </w:tcPr>
          <w:p w14:paraId="3E1C9F71" w14:textId="77777777" w:rsidR="00A139C5" w:rsidRPr="0044286B" w:rsidRDefault="00A139C5" w:rsidP="00707A63">
            <w:pPr>
              <w:spacing w:line="140" w:lineRule="exact"/>
              <w:rPr>
                <w:rFonts w:asciiTheme="minorHAnsi" w:hAnsiTheme="minorHAnsi" w:cstheme="minorHAnsi"/>
                <w:color w:val="000000"/>
                <w:sz w:val="18"/>
                <w:szCs w:val="18"/>
                <w:lang w:eastAsia="en-GB"/>
              </w:rPr>
            </w:pPr>
            <w:r w:rsidRPr="0044286B">
              <w:rPr>
                <w:rFonts w:asciiTheme="minorHAnsi" w:hAnsiTheme="minorHAnsi" w:cstheme="minorHAnsi"/>
                <w:color w:val="000000"/>
                <w:sz w:val="18"/>
                <w:szCs w:val="18"/>
                <w:lang w:eastAsia="en-GB"/>
              </w:rPr>
              <w:t>*** p&lt;0.01, ** p&lt;0.05, * p&lt;0.1</w:t>
            </w:r>
          </w:p>
        </w:tc>
        <w:tc>
          <w:tcPr>
            <w:tcW w:w="841" w:type="dxa"/>
            <w:tcBorders>
              <w:top w:val="nil"/>
              <w:left w:val="nil"/>
              <w:bottom w:val="single" w:sz="4" w:space="0" w:color="auto"/>
              <w:right w:val="nil"/>
            </w:tcBorders>
            <w:shd w:val="clear" w:color="000000" w:fill="FFFFFF"/>
            <w:vAlign w:val="center"/>
            <w:hideMark/>
          </w:tcPr>
          <w:p w14:paraId="6B1D860B" w14:textId="77777777" w:rsidR="00A139C5" w:rsidRPr="0044286B" w:rsidRDefault="00A139C5" w:rsidP="00707A63">
            <w:pPr>
              <w:spacing w:line="140" w:lineRule="exact"/>
              <w:rPr>
                <w:rFonts w:asciiTheme="minorHAnsi" w:hAnsiTheme="minorHAnsi" w:cstheme="minorHAnsi"/>
                <w:i/>
                <w:iCs/>
                <w:color w:val="000000"/>
                <w:sz w:val="18"/>
                <w:szCs w:val="18"/>
                <w:lang w:eastAsia="en-GB"/>
              </w:rPr>
            </w:pPr>
            <w:r w:rsidRPr="0044286B">
              <w:rPr>
                <w:rFonts w:asciiTheme="minorHAnsi" w:hAnsiTheme="minorHAnsi" w:cstheme="minorHAnsi"/>
                <w:i/>
                <w:iCs/>
                <w:color w:val="000000"/>
                <w:sz w:val="18"/>
                <w:szCs w:val="18"/>
                <w:lang w:eastAsia="en-GB"/>
              </w:rPr>
              <w:t> </w:t>
            </w:r>
          </w:p>
        </w:tc>
        <w:tc>
          <w:tcPr>
            <w:tcW w:w="516" w:type="dxa"/>
            <w:tcBorders>
              <w:top w:val="nil"/>
              <w:left w:val="nil"/>
              <w:bottom w:val="single" w:sz="4" w:space="0" w:color="auto"/>
              <w:right w:val="nil"/>
            </w:tcBorders>
            <w:shd w:val="clear" w:color="000000" w:fill="FFFFFF"/>
          </w:tcPr>
          <w:p w14:paraId="66AC4596" w14:textId="77777777" w:rsidR="00A139C5" w:rsidRPr="0044286B" w:rsidRDefault="00A139C5" w:rsidP="00707A63">
            <w:pPr>
              <w:spacing w:line="140" w:lineRule="exact"/>
              <w:rPr>
                <w:rFonts w:asciiTheme="minorHAnsi" w:hAnsiTheme="minorHAnsi" w:cstheme="minorHAnsi"/>
                <w:i/>
                <w:iCs/>
                <w:color w:val="000000"/>
                <w:sz w:val="18"/>
                <w:szCs w:val="18"/>
                <w:lang w:eastAsia="en-GB"/>
              </w:rPr>
            </w:pPr>
          </w:p>
        </w:tc>
        <w:tc>
          <w:tcPr>
            <w:tcW w:w="833" w:type="dxa"/>
            <w:tcBorders>
              <w:top w:val="nil"/>
              <w:left w:val="nil"/>
              <w:bottom w:val="single" w:sz="4" w:space="0" w:color="auto"/>
              <w:right w:val="nil"/>
            </w:tcBorders>
            <w:shd w:val="clear" w:color="000000" w:fill="FFFFFF"/>
            <w:vAlign w:val="center"/>
            <w:hideMark/>
          </w:tcPr>
          <w:p w14:paraId="79F6736A" w14:textId="77777777" w:rsidR="00A139C5" w:rsidRPr="0044286B" w:rsidRDefault="00A139C5" w:rsidP="00707A63">
            <w:pPr>
              <w:spacing w:line="140" w:lineRule="exact"/>
              <w:rPr>
                <w:rFonts w:asciiTheme="minorHAnsi" w:hAnsiTheme="minorHAnsi" w:cstheme="minorHAnsi"/>
                <w:i/>
                <w:iCs/>
                <w:color w:val="000000"/>
                <w:sz w:val="18"/>
                <w:szCs w:val="18"/>
                <w:lang w:eastAsia="en-GB"/>
              </w:rPr>
            </w:pPr>
            <w:r w:rsidRPr="0044286B">
              <w:rPr>
                <w:rFonts w:asciiTheme="minorHAnsi" w:hAnsiTheme="minorHAnsi" w:cstheme="minorHAnsi"/>
                <w:i/>
                <w:iCs/>
                <w:color w:val="000000"/>
                <w:sz w:val="18"/>
                <w:szCs w:val="18"/>
                <w:lang w:eastAsia="en-GB"/>
              </w:rPr>
              <w:t> </w:t>
            </w:r>
          </w:p>
        </w:tc>
        <w:tc>
          <w:tcPr>
            <w:tcW w:w="567" w:type="dxa"/>
            <w:tcBorders>
              <w:top w:val="nil"/>
              <w:left w:val="nil"/>
              <w:bottom w:val="single" w:sz="4" w:space="0" w:color="auto"/>
              <w:right w:val="nil"/>
            </w:tcBorders>
            <w:shd w:val="clear" w:color="000000" w:fill="FFFFFF"/>
          </w:tcPr>
          <w:p w14:paraId="7EB6A73C" w14:textId="77777777" w:rsidR="00A139C5" w:rsidRPr="0044286B" w:rsidRDefault="00A139C5" w:rsidP="00707A63">
            <w:pPr>
              <w:spacing w:line="140" w:lineRule="exact"/>
              <w:rPr>
                <w:rFonts w:asciiTheme="minorHAnsi" w:hAnsiTheme="minorHAnsi" w:cstheme="minorHAnsi"/>
                <w:i/>
                <w:iCs/>
                <w:color w:val="000000"/>
                <w:sz w:val="18"/>
                <w:szCs w:val="18"/>
                <w:lang w:eastAsia="en-GB"/>
              </w:rPr>
            </w:pPr>
          </w:p>
        </w:tc>
        <w:tc>
          <w:tcPr>
            <w:tcW w:w="850" w:type="dxa"/>
            <w:tcBorders>
              <w:top w:val="nil"/>
              <w:left w:val="nil"/>
              <w:bottom w:val="single" w:sz="4" w:space="0" w:color="auto"/>
            </w:tcBorders>
            <w:shd w:val="clear" w:color="000000" w:fill="FFFFFF"/>
            <w:vAlign w:val="center"/>
            <w:hideMark/>
          </w:tcPr>
          <w:p w14:paraId="403AA135" w14:textId="77777777" w:rsidR="00A139C5" w:rsidRPr="0044286B" w:rsidRDefault="00A139C5" w:rsidP="00707A63">
            <w:pPr>
              <w:spacing w:line="140" w:lineRule="exact"/>
              <w:rPr>
                <w:rFonts w:asciiTheme="minorHAnsi" w:hAnsiTheme="minorHAnsi" w:cstheme="minorHAnsi"/>
                <w:i/>
                <w:iCs/>
                <w:color w:val="000000"/>
                <w:sz w:val="18"/>
                <w:szCs w:val="18"/>
                <w:lang w:eastAsia="en-GB"/>
              </w:rPr>
            </w:pPr>
            <w:r w:rsidRPr="0044286B">
              <w:rPr>
                <w:rFonts w:asciiTheme="minorHAnsi" w:hAnsiTheme="minorHAnsi" w:cstheme="minorHAnsi"/>
                <w:i/>
                <w:iCs/>
                <w:color w:val="000000"/>
                <w:sz w:val="18"/>
                <w:szCs w:val="18"/>
                <w:lang w:eastAsia="en-GB"/>
              </w:rPr>
              <w:t> </w:t>
            </w:r>
          </w:p>
        </w:tc>
        <w:tc>
          <w:tcPr>
            <w:tcW w:w="567" w:type="dxa"/>
            <w:tcBorders>
              <w:top w:val="nil"/>
              <w:bottom w:val="single" w:sz="4" w:space="0" w:color="auto"/>
              <w:right w:val="single" w:sz="4" w:space="0" w:color="auto"/>
            </w:tcBorders>
            <w:shd w:val="clear" w:color="000000" w:fill="FFFFFF"/>
          </w:tcPr>
          <w:p w14:paraId="24474433" w14:textId="77777777" w:rsidR="00A139C5" w:rsidRPr="0044286B" w:rsidRDefault="00A139C5" w:rsidP="00707A63">
            <w:pPr>
              <w:spacing w:line="140" w:lineRule="exact"/>
              <w:rPr>
                <w:rFonts w:asciiTheme="minorHAnsi" w:hAnsiTheme="minorHAnsi" w:cstheme="minorHAnsi"/>
                <w:i/>
                <w:iCs/>
                <w:color w:val="000000"/>
                <w:sz w:val="18"/>
                <w:szCs w:val="18"/>
                <w:lang w:eastAsia="en-GB"/>
              </w:rPr>
            </w:pPr>
          </w:p>
        </w:tc>
      </w:tr>
    </w:tbl>
    <w:p w14:paraId="4DA05D67" w14:textId="77777777" w:rsidR="00A139C5" w:rsidRPr="0044286B" w:rsidRDefault="00A139C5" w:rsidP="00A139C5"/>
    <w:p w14:paraId="4F74072B" w14:textId="77777777" w:rsidR="00343AD1" w:rsidRPr="00AF38EE" w:rsidRDefault="00343AD1" w:rsidP="00E5051A">
      <w:pPr>
        <w:pStyle w:val="EndNoteBibliography"/>
        <w:spacing w:after="0" w:line="360" w:lineRule="auto"/>
        <w:rPr>
          <w:rFonts w:asciiTheme="minorHAnsi" w:hAnsiTheme="minorHAnsi" w:cstheme="minorHAnsi"/>
          <w:noProof w:val="0"/>
          <w:lang w:val="en-GB"/>
        </w:rPr>
        <w:sectPr w:rsidR="00343AD1" w:rsidRPr="00AF38EE" w:rsidSect="005E06A6">
          <w:type w:val="continuous"/>
          <w:pgSz w:w="11906" w:h="16838"/>
          <w:pgMar w:top="1440" w:right="1440" w:bottom="1440" w:left="1440" w:header="708" w:footer="708" w:gutter="0"/>
          <w:lnNumType w:countBy="1"/>
          <w:cols w:space="708"/>
          <w:docGrid w:linePitch="360"/>
        </w:sectPr>
      </w:pPr>
    </w:p>
    <w:p w14:paraId="0BB8E778" w14:textId="4A280126" w:rsidR="0014445C" w:rsidRDefault="0014445C" w:rsidP="0014445C">
      <w:pPr>
        <w:pStyle w:val="BodyText"/>
        <w:kinsoku w:val="0"/>
        <w:overflowPunct w:val="0"/>
        <w:spacing w:line="180" w:lineRule="exact"/>
        <w:ind w:right="113"/>
        <w:rPr>
          <w:rFonts w:asciiTheme="minorHAnsi" w:hAnsiTheme="minorHAnsi" w:cstheme="minorHAnsi"/>
          <w:b/>
          <w:szCs w:val="24"/>
        </w:rPr>
      </w:pPr>
      <w:r>
        <w:rPr>
          <w:rFonts w:asciiTheme="minorHAnsi" w:hAnsiTheme="minorHAnsi" w:cstheme="minorHAnsi"/>
          <w:b/>
          <w:szCs w:val="24"/>
        </w:rPr>
        <w:lastRenderedPageBreak/>
        <w:t xml:space="preserve">Appendix A - Summary statistics of the time-varying variables by whether the </w:t>
      </w:r>
      <w:proofErr w:type="spellStart"/>
      <w:r>
        <w:rPr>
          <w:rFonts w:asciiTheme="minorHAnsi" w:hAnsiTheme="minorHAnsi" w:cstheme="minorHAnsi"/>
          <w:b/>
          <w:szCs w:val="24"/>
        </w:rPr>
        <w:t>LADs</w:t>
      </w:r>
      <w:proofErr w:type="spellEnd"/>
      <w:r>
        <w:rPr>
          <w:rFonts w:asciiTheme="minorHAnsi" w:hAnsiTheme="minorHAnsi" w:cstheme="minorHAnsi"/>
          <w:b/>
          <w:szCs w:val="24"/>
        </w:rPr>
        <w:t xml:space="preserve"> are </w:t>
      </w:r>
      <w:r w:rsidR="00F93349">
        <w:rPr>
          <w:rFonts w:asciiTheme="minorHAnsi" w:hAnsiTheme="minorHAnsi" w:cstheme="minorHAnsi"/>
          <w:b/>
          <w:szCs w:val="24"/>
        </w:rPr>
        <w:t>urban/</w:t>
      </w:r>
      <w:r>
        <w:rPr>
          <w:rFonts w:asciiTheme="minorHAnsi" w:hAnsiTheme="minorHAnsi" w:cstheme="minorHAnsi"/>
          <w:b/>
          <w:szCs w:val="24"/>
        </w:rPr>
        <w:t xml:space="preserve">rural, 1998 and 2017 </w:t>
      </w:r>
    </w:p>
    <w:tbl>
      <w:tblPr>
        <w:tblStyle w:val="TableGrid"/>
        <w:tblW w:w="14283" w:type="dxa"/>
        <w:tblLayout w:type="fixed"/>
        <w:tblLook w:val="04A0" w:firstRow="1" w:lastRow="0" w:firstColumn="1" w:lastColumn="0" w:noHBand="0" w:noVBand="1"/>
      </w:tblPr>
      <w:tblGrid>
        <w:gridCol w:w="2234"/>
        <w:gridCol w:w="851"/>
        <w:gridCol w:w="772"/>
        <w:gridCol w:w="750"/>
        <w:gridCol w:w="751"/>
        <w:gridCol w:w="750"/>
        <w:gridCol w:w="750"/>
        <w:gridCol w:w="763"/>
        <w:gridCol w:w="741"/>
        <w:gridCol w:w="13"/>
        <w:gridCol w:w="737"/>
        <w:gridCol w:w="750"/>
        <w:gridCol w:w="750"/>
        <w:gridCol w:w="751"/>
        <w:gridCol w:w="750"/>
        <w:gridCol w:w="750"/>
        <w:gridCol w:w="750"/>
        <w:gridCol w:w="670"/>
      </w:tblGrid>
      <w:tr w:rsidR="0014445C" w14:paraId="15C15E26" w14:textId="77777777" w:rsidTr="009912AE">
        <w:trPr>
          <w:cantSplit/>
          <w:trHeight w:val="293"/>
          <w:tblHeader/>
        </w:trPr>
        <w:tc>
          <w:tcPr>
            <w:tcW w:w="2234" w:type="dxa"/>
            <w:vMerge w:val="restart"/>
            <w:tcBorders>
              <w:top w:val="single" w:sz="4" w:space="0" w:color="auto"/>
              <w:left w:val="single" w:sz="4" w:space="0" w:color="auto"/>
              <w:bottom w:val="single" w:sz="4" w:space="0" w:color="auto"/>
              <w:right w:val="single" w:sz="4" w:space="0" w:color="auto"/>
            </w:tcBorders>
            <w:hideMark/>
          </w:tcPr>
          <w:p w14:paraId="4F94968C" w14:textId="77777777" w:rsidR="0014445C" w:rsidRDefault="0014445C" w:rsidP="009912AE">
            <w:pPr>
              <w:pStyle w:val="BodyText"/>
              <w:kinsoku w:val="0"/>
              <w:overflowPunct w:val="0"/>
              <w:spacing w:line="180" w:lineRule="exact"/>
              <w:ind w:right="113"/>
              <w:rPr>
                <w:rFonts w:asciiTheme="minorHAnsi" w:hAnsiTheme="minorHAnsi" w:cstheme="minorHAnsi"/>
                <w:lang w:eastAsia="zh-CN"/>
              </w:rPr>
            </w:pPr>
            <w:r>
              <w:rPr>
                <w:rFonts w:asciiTheme="minorHAnsi" w:hAnsiTheme="minorHAnsi" w:cstheme="minorHAnsi"/>
                <w:lang w:eastAsia="zh-CN"/>
              </w:rPr>
              <w:t xml:space="preserve">Variable name </w:t>
            </w:r>
          </w:p>
        </w:tc>
        <w:tc>
          <w:tcPr>
            <w:tcW w:w="12049" w:type="dxa"/>
            <w:gridSpan w:val="17"/>
            <w:tcBorders>
              <w:top w:val="single" w:sz="4" w:space="0" w:color="auto"/>
              <w:left w:val="single" w:sz="4" w:space="0" w:color="auto"/>
              <w:bottom w:val="single" w:sz="4" w:space="0" w:color="auto"/>
              <w:right w:val="single" w:sz="4" w:space="0" w:color="auto"/>
            </w:tcBorders>
          </w:tcPr>
          <w:p w14:paraId="12605C4B" w14:textId="77777777" w:rsidR="0014445C" w:rsidRDefault="0014445C" w:rsidP="009912AE">
            <w:pPr>
              <w:pStyle w:val="BodyText"/>
              <w:kinsoku w:val="0"/>
              <w:overflowPunct w:val="0"/>
              <w:spacing w:line="200" w:lineRule="exact"/>
              <w:ind w:right="113"/>
              <w:jc w:val="center"/>
              <w:rPr>
                <w:rFonts w:asciiTheme="minorHAnsi" w:hAnsiTheme="minorHAnsi" w:cstheme="minorHAnsi"/>
                <w:lang w:eastAsia="zh-CN"/>
              </w:rPr>
            </w:pPr>
            <w:r>
              <w:rPr>
                <w:rFonts w:asciiTheme="minorHAnsi" w:hAnsiTheme="minorHAnsi" w:cstheme="minorHAnsi"/>
                <w:lang w:eastAsia="zh-CN"/>
              </w:rPr>
              <w:t xml:space="preserve">Mean value across </w:t>
            </w:r>
            <w:proofErr w:type="spellStart"/>
            <w:r>
              <w:rPr>
                <w:rFonts w:asciiTheme="minorHAnsi" w:hAnsiTheme="minorHAnsi" w:cstheme="minorHAnsi"/>
                <w:lang w:eastAsia="zh-CN"/>
              </w:rPr>
              <w:t>LADs</w:t>
            </w:r>
            <w:proofErr w:type="spellEnd"/>
            <w:r>
              <w:rPr>
                <w:rFonts w:asciiTheme="minorHAnsi" w:hAnsiTheme="minorHAnsi" w:cstheme="minorHAnsi"/>
                <w:lang w:eastAsia="zh-CN"/>
              </w:rPr>
              <w:t xml:space="preserve"> </w:t>
            </w:r>
          </w:p>
        </w:tc>
      </w:tr>
      <w:tr w:rsidR="0014445C" w14:paraId="790F6CBE" w14:textId="77777777" w:rsidTr="009912AE">
        <w:trPr>
          <w:cantSplit/>
          <w:trHeight w:val="10"/>
          <w:tblHeader/>
        </w:trPr>
        <w:tc>
          <w:tcPr>
            <w:tcW w:w="2234" w:type="dxa"/>
            <w:vMerge/>
            <w:tcBorders>
              <w:top w:val="single" w:sz="4" w:space="0" w:color="auto"/>
              <w:left w:val="single" w:sz="4" w:space="0" w:color="auto"/>
              <w:bottom w:val="single" w:sz="4" w:space="0" w:color="auto"/>
              <w:right w:val="single" w:sz="4" w:space="0" w:color="auto"/>
            </w:tcBorders>
            <w:vAlign w:val="center"/>
          </w:tcPr>
          <w:p w14:paraId="3645946C" w14:textId="77777777" w:rsidR="0014445C" w:rsidRDefault="0014445C" w:rsidP="009912AE">
            <w:pPr>
              <w:spacing w:before="0" w:line="180" w:lineRule="exact"/>
              <w:rPr>
                <w:rFonts w:asciiTheme="minorHAnsi" w:hAnsiTheme="minorHAnsi" w:cstheme="minorHAnsi"/>
                <w:color w:val="000000" w:themeColor="text1"/>
              </w:rPr>
            </w:pPr>
          </w:p>
        </w:tc>
        <w:tc>
          <w:tcPr>
            <w:tcW w:w="6141" w:type="dxa"/>
            <w:gridSpan w:val="9"/>
            <w:tcBorders>
              <w:top w:val="single" w:sz="4" w:space="0" w:color="auto"/>
              <w:left w:val="single" w:sz="4" w:space="0" w:color="auto"/>
              <w:bottom w:val="single" w:sz="4" w:space="0" w:color="auto"/>
              <w:right w:val="single" w:sz="4" w:space="0" w:color="auto"/>
            </w:tcBorders>
            <w:vAlign w:val="center"/>
          </w:tcPr>
          <w:p w14:paraId="265BCB0D" w14:textId="77777777" w:rsidR="0014445C" w:rsidRDefault="0014445C" w:rsidP="009912AE">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1998</w:t>
            </w:r>
          </w:p>
        </w:tc>
        <w:tc>
          <w:tcPr>
            <w:tcW w:w="5908" w:type="dxa"/>
            <w:gridSpan w:val="8"/>
            <w:tcBorders>
              <w:top w:val="single" w:sz="4" w:space="0" w:color="auto"/>
              <w:left w:val="single" w:sz="4" w:space="0" w:color="auto"/>
              <w:bottom w:val="single" w:sz="4" w:space="0" w:color="auto"/>
              <w:right w:val="single" w:sz="4" w:space="0" w:color="auto"/>
            </w:tcBorders>
            <w:vAlign w:val="center"/>
          </w:tcPr>
          <w:p w14:paraId="2A898711" w14:textId="77777777" w:rsidR="0014445C" w:rsidRDefault="0014445C" w:rsidP="009912AE">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2017*</w:t>
            </w:r>
          </w:p>
        </w:tc>
      </w:tr>
      <w:tr w:rsidR="0014445C" w14:paraId="34075929" w14:textId="77777777" w:rsidTr="009912AE">
        <w:trPr>
          <w:cantSplit/>
          <w:trHeight w:val="1134"/>
          <w:tblHeader/>
        </w:trPr>
        <w:tc>
          <w:tcPr>
            <w:tcW w:w="2234" w:type="dxa"/>
            <w:vMerge/>
            <w:tcBorders>
              <w:top w:val="single" w:sz="4" w:space="0" w:color="auto"/>
              <w:left w:val="single" w:sz="4" w:space="0" w:color="auto"/>
              <w:bottom w:val="single" w:sz="4" w:space="0" w:color="auto"/>
              <w:right w:val="single" w:sz="4" w:space="0" w:color="auto"/>
            </w:tcBorders>
            <w:vAlign w:val="center"/>
            <w:hideMark/>
          </w:tcPr>
          <w:p w14:paraId="5FCB9F7F" w14:textId="77777777" w:rsidR="0014445C" w:rsidRDefault="0014445C" w:rsidP="009912AE">
            <w:pPr>
              <w:spacing w:before="0" w:after="0" w:line="180" w:lineRule="exact"/>
              <w:rPr>
                <w:rFonts w:asciiTheme="minorHAnsi" w:hAnsiTheme="minorHAnsi" w:cstheme="minorHAnsi"/>
                <w:color w:val="000000" w:themeColor="text1"/>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21B2A953"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Major Urban</w:t>
            </w:r>
          </w:p>
        </w:tc>
        <w:tc>
          <w:tcPr>
            <w:tcW w:w="772" w:type="dxa"/>
            <w:tcBorders>
              <w:top w:val="single" w:sz="4" w:space="0" w:color="auto"/>
              <w:left w:val="single" w:sz="4" w:space="0" w:color="auto"/>
              <w:bottom w:val="single" w:sz="4" w:space="0" w:color="auto"/>
              <w:right w:val="single" w:sz="4" w:space="0" w:color="auto"/>
            </w:tcBorders>
            <w:textDirection w:val="btLr"/>
          </w:tcPr>
          <w:p w14:paraId="5E1694FD"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Large Urban</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14:paraId="235EA4D3"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Other Urban</w:t>
            </w:r>
          </w:p>
        </w:tc>
        <w:tc>
          <w:tcPr>
            <w:tcW w:w="751" w:type="dxa"/>
            <w:tcBorders>
              <w:top w:val="single" w:sz="4" w:space="0" w:color="auto"/>
              <w:left w:val="single" w:sz="4" w:space="0" w:color="auto"/>
              <w:bottom w:val="single" w:sz="4" w:space="0" w:color="auto"/>
              <w:right w:val="single" w:sz="4" w:space="0" w:color="auto"/>
            </w:tcBorders>
            <w:textDirection w:val="btLr"/>
            <w:vAlign w:val="center"/>
          </w:tcPr>
          <w:p w14:paraId="00E5F03F"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 xml:space="preserve">Significant Rural </w:t>
            </w:r>
          </w:p>
        </w:tc>
        <w:tc>
          <w:tcPr>
            <w:tcW w:w="750" w:type="dxa"/>
            <w:tcBorders>
              <w:top w:val="single" w:sz="4" w:space="0" w:color="auto"/>
              <w:left w:val="single" w:sz="4" w:space="0" w:color="auto"/>
              <w:bottom w:val="single" w:sz="4" w:space="0" w:color="auto"/>
              <w:right w:val="single" w:sz="4" w:space="0" w:color="auto"/>
            </w:tcBorders>
            <w:textDirection w:val="btLr"/>
          </w:tcPr>
          <w:p w14:paraId="103E6034"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Rural 50%</w:t>
            </w:r>
          </w:p>
        </w:tc>
        <w:tc>
          <w:tcPr>
            <w:tcW w:w="750" w:type="dxa"/>
            <w:tcBorders>
              <w:top w:val="single" w:sz="4" w:space="0" w:color="auto"/>
              <w:left w:val="single" w:sz="4" w:space="0" w:color="auto"/>
              <w:bottom w:val="single" w:sz="4" w:space="0" w:color="auto"/>
              <w:right w:val="single" w:sz="4" w:space="0" w:color="auto"/>
            </w:tcBorders>
            <w:textDirection w:val="btLr"/>
          </w:tcPr>
          <w:p w14:paraId="43FD7106" w14:textId="77777777" w:rsidR="0014445C" w:rsidRPr="00CA5C81" w:rsidRDefault="0014445C" w:rsidP="009912AE">
            <w:pPr>
              <w:pStyle w:val="BodyText"/>
              <w:kinsoku w:val="0"/>
              <w:overflowPunct w:val="0"/>
              <w:spacing w:line="180" w:lineRule="exact"/>
              <w:ind w:left="113" w:right="113"/>
              <w:rPr>
                <w:rFonts w:asciiTheme="minorHAnsi" w:hAnsiTheme="minorHAnsi" w:cstheme="minorHAnsi"/>
                <w:sz w:val="20"/>
                <w:szCs w:val="20"/>
                <w:lang w:eastAsia="zh-CN"/>
              </w:rPr>
            </w:pPr>
            <w:r w:rsidRPr="00CA5C81">
              <w:rPr>
                <w:rFonts w:asciiTheme="minorHAnsi" w:hAnsiTheme="minorHAnsi" w:cstheme="minorHAnsi"/>
                <w:sz w:val="20"/>
                <w:szCs w:val="20"/>
                <w:lang w:eastAsia="zh-CN"/>
              </w:rPr>
              <w:t>Rural 80%</w:t>
            </w:r>
          </w:p>
        </w:tc>
        <w:tc>
          <w:tcPr>
            <w:tcW w:w="763" w:type="dxa"/>
            <w:tcBorders>
              <w:top w:val="single" w:sz="4" w:space="0" w:color="auto"/>
              <w:left w:val="single" w:sz="4" w:space="0" w:color="auto"/>
              <w:bottom w:val="single" w:sz="4" w:space="0" w:color="auto"/>
              <w:right w:val="single" w:sz="4" w:space="0" w:color="auto"/>
            </w:tcBorders>
            <w:textDirection w:val="btLr"/>
          </w:tcPr>
          <w:p w14:paraId="6CE5D91E"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 xml:space="preserve">Inner London </w:t>
            </w:r>
          </w:p>
        </w:tc>
        <w:tc>
          <w:tcPr>
            <w:tcW w:w="741" w:type="dxa"/>
            <w:tcBorders>
              <w:top w:val="single" w:sz="4" w:space="0" w:color="auto"/>
              <w:left w:val="single" w:sz="4" w:space="0" w:color="auto"/>
              <w:bottom w:val="single" w:sz="4" w:space="0" w:color="auto"/>
              <w:right w:val="single" w:sz="4" w:space="0" w:color="auto"/>
            </w:tcBorders>
            <w:textDirection w:val="btLr"/>
          </w:tcPr>
          <w:p w14:paraId="48C745A4"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Outer London</w:t>
            </w:r>
          </w:p>
        </w:tc>
        <w:tc>
          <w:tcPr>
            <w:tcW w:w="750" w:type="dxa"/>
            <w:gridSpan w:val="2"/>
            <w:tcBorders>
              <w:top w:val="single" w:sz="4" w:space="0" w:color="auto"/>
              <w:left w:val="single" w:sz="4" w:space="0" w:color="auto"/>
              <w:bottom w:val="single" w:sz="4" w:space="0" w:color="auto"/>
              <w:right w:val="single" w:sz="4" w:space="0" w:color="auto"/>
            </w:tcBorders>
            <w:textDirection w:val="btLr"/>
            <w:vAlign w:val="center"/>
          </w:tcPr>
          <w:p w14:paraId="1FC7743B"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Major Urban</w:t>
            </w:r>
          </w:p>
        </w:tc>
        <w:tc>
          <w:tcPr>
            <w:tcW w:w="750" w:type="dxa"/>
            <w:tcBorders>
              <w:top w:val="single" w:sz="4" w:space="0" w:color="auto"/>
              <w:left w:val="single" w:sz="4" w:space="0" w:color="auto"/>
              <w:bottom w:val="single" w:sz="4" w:space="0" w:color="auto"/>
              <w:right w:val="single" w:sz="4" w:space="0" w:color="auto"/>
            </w:tcBorders>
            <w:textDirection w:val="btLr"/>
          </w:tcPr>
          <w:p w14:paraId="41C2B222"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Large Urban</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14:paraId="65388CC1"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Other Urban</w:t>
            </w:r>
          </w:p>
        </w:tc>
        <w:tc>
          <w:tcPr>
            <w:tcW w:w="751" w:type="dxa"/>
            <w:tcBorders>
              <w:top w:val="single" w:sz="4" w:space="0" w:color="auto"/>
              <w:left w:val="single" w:sz="4" w:space="0" w:color="auto"/>
              <w:bottom w:val="single" w:sz="4" w:space="0" w:color="auto"/>
              <w:right w:val="single" w:sz="4" w:space="0" w:color="auto"/>
            </w:tcBorders>
            <w:textDirection w:val="btLr"/>
            <w:vAlign w:val="center"/>
          </w:tcPr>
          <w:p w14:paraId="457CB01D"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 xml:space="preserve">Significant Rural </w:t>
            </w:r>
          </w:p>
        </w:tc>
        <w:tc>
          <w:tcPr>
            <w:tcW w:w="750" w:type="dxa"/>
            <w:tcBorders>
              <w:top w:val="single" w:sz="4" w:space="0" w:color="auto"/>
              <w:left w:val="single" w:sz="4" w:space="0" w:color="auto"/>
              <w:bottom w:val="single" w:sz="4" w:space="0" w:color="auto"/>
              <w:right w:val="single" w:sz="4" w:space="0" w:color="auto"/>
            </w:tcBorders>
            <w:textDirection w:val="btLr"/>
          </w:tcPr>
          <w:p w14:paraId="5B7D26DE"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Rural 50%</w:t>
            </w:r>
          </w:p>
        </w:tc>
        <w:tc>
          <w:tcPr>
            <w:tcW w:w="750" w:type="dxa"/>
            <w:tcBorders>
              <w:top w:val="single" w:sz="4" w:space="0" w:color="auto"/>
              <w:left w:val="single" w:sz="4" w:space="0" w:color="auto"/>
              <w:bottom w:val="single" w:sz="4" w:space="0" w:color="auto"/>
              <w:right w:val="single" w:sz="4" w:space="0" w:color="auto"/>
            </w:tcBorders>
            <w:textDirection w:val="btLr"/>
          </w:tcPr>
          <w:p w14:paraId="6B4906C9"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Rural 80%</w:t>
            </w:r>
          </w:p>
        </w:tc>
        <w:tc>
          <w:tcPr>
            <w:tcW w:w="750" w:type="dxa"/>
            <w:tcBorders>
              <w:top w:val="single" w:sz="4" w:space="0" w:color="auto"/>
              <w:left w:val="single" w:sz="4" w:space="0" w:color="auto"/>
              <w:bottom w:val="single" w:sz="4" w:space="0" w:color="auto"/>
              <w:right w:val="single" w:sz="4" w:space="0" w:color="auto"/>
            </w:tcBorders>
            <w:textDirection w:val="btLr"/>
          </w:tcPr>
          <w:p w14:paraId="6B963BB0"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 xml:space="preserve">Inner London </w:t>
            </w:r>
          </w:p>
        </w:tc>
        <w:tc>
          <w:tcPr>
            <w:tcW w:w="670" w:type="dxa"/>
            <w:tcBorders>
              <w:top w:val="single" w:sz="4" w:space="0" w:color="auto"/>
              <w:left w:val="single" w:sz="4" w:space="0" w:color="auto"/>
              <w:bottom w:val="single" w:sz="4" w:space="0" w:color="auto"/>
              <w:right w:val="single" w:sz="4" w:space="0" w:color="auto"/>
            </w:tcBorders>
            <w:textDirection w:val="btLr"/>
          </w:tcPr>
          <w:p w14:paraId="7D7CB3B6" w14:textId="77777777" w:rsidR="0014445C" w:rsidRPr="00CA5C81" w:rsidRDefault="0014445C" w:rsidP="009912AE">
            <w:pPr>
              <w:pStyle w:val="BodyText"/>
              <w:kinsoku w:val="0"/>
              <w:overflowPunct w:val="0"/>
              <w:spacing w:line="180" w:lineRule="exact"/>
              <w:ind w:left="113" w:right="113"/>
              <w:jc w:val="center"/>
              <w:rPr>
                <w:rFonts w:asciiTheme="minorHAnsi" w:hAnsiTheme="minorHAnsi" w:cstheme="minorHAnsi"/>
                <w:sz w:val="20"/>
                <w:szCs w:val="20"/>
                <w:lang w:eastAsia="zh-CN"/>
              </w:rPr>
            </w:pPr>
            <w:r w:rsidRPr="00CA5C81">
              <w:rPr>
                <w:rFonts w:asciiTheme="minorHAnsi" w:hAnsiTheme="minorHAnsi" w:cstheme="minorHAnsi"/>
                <w:sz w:val="20"/>
                <w:szCs w:val="20"/>
                <w:lang w:eastAsia="zh-CN"/>
              </w:rPr>
              <w:t>Outer London</w:t>
            </w:r>
          </w:p>
        </w:tc>
      </w:tr>
      <w:tr w:rsidR="0014445C" w14:paraId="2D76DC11" w14:textId="77777777" w:rsidTr="00D42CE9">
        <w:trPr>
          <w:cantSplit/>
          <w:trHeight w:val="45"/>
        </w:trPr>
        <w:tc>
          <w:tcPr>
            <w:tcW w:w="2234" w:type="dxa"/>
            <w:tcBorders>
              <w:top w:val="single" w:sz="4" w:space="0" w:color="auto"/>
              <w:left w:val="single" w:sz="4" w:space="0" w:color="auto"/>
              <w:bottom w:val="single" w:sz="4" w:space="0" w:color="auto"/>
              <w:right w:val="single" w:sz="4" w:space="0" w:color="auto"/>
            </w:tcBorders>
            <w:hideMark/>
          </w:tcPr>
          <w:p w14:paraId="18F4401B" w14:textId="77777777" w:rsidR="0014445C" w:rsidRDefault="0014445C" w:rsidP="009912AE">
            <w:pPr>
              <w:pStyle w:val="BodyText"/>
              <w:kinsoku w:val="0"/>
              <w:overflowPunct w:val="0"/>
              <w:spacing w:line="200" w:lineRule="exact"/>
              <w:ind w:right="113"/>
              <w:rPr>
                <w:rFonts w:asciiTheme="minorHAnsi" w:hAnsiTheme="minorHAnsi" w:cstheme="minorHAnsi"/>
                <w:lang w:eastAsia="zh-CN"/>
              </w:rPr>
            </w:pPr>
            <w:r>
              <w:rPr>
                <w:rFonts w:asciiTheme="minorHAnsi" w:hAnsiTheme="minorHAnsi" w:cstheme="minorHAnsi"/>
                <w:lang w:eastAsia="zh-CN"/>
              </w:rPr>
              <w:t>Under-18 conception rate per 1,000 15-17-year-old women</w:t>
            </w:r>
          </w:p>
        </w:tc>
        <w:tc>
          <w:tcPr>
            <w:tcW w:w="851" w:type="dxa"/>
            <w:tcBorders>
              <w:top w:val="single" w:sz="4" w:space="0" w:color="auto"/>
              <w:left w:val="single" w:sz="4" w:space="0" w:color="auto"/>
              <w:bottom w:val="single" w:sz="4" w:space="0" w:color="auto"/>
              <w:right w:val="nil"/>
            </w:tcBorders>
            <w:vAlign w:val="center"/>
          </w:tcPr>
          <w:p w14:paraId="6D4C06DA"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50.1</w:t>
            </w:r>
          </w:p>
        </w:tc>
        <w:tc>
          <w:tcPr>
            <w:tcW w:w="772" w:type="dxa"/>
            <w:tcBorders>
              <w:top w:val="single" w:sz="4" w:space="0" w:color="auto"/>
              <w:left w:val="nil"/>
              <w:bottom w:val="single" w:sz="4" w:space="0" w:color="auto"/>
              <w:right w:val="nil"/>
            </w:tcBorders>
            <w:vAlign w:val="center"/>
          </w:tcPr>
          <w:p w14:paraId="18AFB822"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49.6</w:t>
            </w:r>
          </w:p>
        </w:tc>
        <w:tc>
          <w:tcPr>
            <w:tcW w:w="750" w:type="dxa"/>
            <w:tcBorders>
              <w:top w:val="single" w:sz="4" w:space="0" w:color="auto"/>
              <w:left w:val="nil"/>
              <w:bottom w:val="single" w:sz="4" w:space="0" w:color="auto"/>
              <w:right w:val="nil"/>
            </w:tcBorders>
            <w:vAlign w:val="center"/>
          </w:tcPr>
          <w:p w14:paraId="2837A939"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53.1</w:t>
            </w:r>
          </w:p>
        </w:tc>
        <w:tc>
          <w:tcPr>
            <w:tcW w:w="751" w:type="dxa"/>
            <w:tcBorders>
              <w:top w:val="single" w:sz="4" w:space="0" w:color="auto"/>
              <w:left w:val="nil"/>
              <w:bottom w:val="single" w:sz="4" w:space="0" w:color="auto"/>
              <w:right w:val="nil"/>
            </w:tcBorders>
            <w:vAlign w:val="center"/>
          </w:tcPr>
          <w:p w14:paraId="7A63C45F"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38.6</w:t>
            </w:r>
          </w:p>
        </w:tc>
        <w:tc>
          <w:tcPr>
            <w:tcW w:w="750" w:type="dxa"/>
            <w:tcBorders>
              <w:top w:val="single" w:sz="4" w:space="0" w:color="auto"/>
              <w:left w:val="nil"/>
              <w:bottom w:val="single" w:sz="4" w:space="0" w:color="auto"/>
              <w:right w:val="nil"/>
            </w:tcBorders>
            <w:vAlign w:val="center"/>
          </w:tcPr>
          <w:p w14:paraId="60717A74"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35.7</w:t>
            </w:r>
          </w:p>
        </w:tc>
        <w:tc>
          <w:tcPr>
            <w:tcW w:w="750" w:type="dxa"/>
            <w:tcBorders>
              <w:top w:val="single" w:sz="4" w:space="0" w:color="auto"/>
              <w:left w:val="nil"/>
              <w:bottom w:val="single" w:sz="4" w:space="0" w:color="auto"/>
              <w:right w:val="nil"/>
            </w:tcBorders>
            <w:vAlign w:val="center"/>
          </w:tcPr>
          <w:p w14:paraId="7C739D69"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31.1</w:t>
            </w:r>
          </w:p>
        </w:tc>
        <w:tc>
          <w:tcPr>
            <w:tcW w:w="763" w:type="dxa"/>
            <w:tcBorders>
              <w:top w:val="single" w:sz="4" w:space="0" w:color="auto"/>
              <w:left w:val="nil"/>
              <w:bottom w:val="single" w:sz="4" w:space="0" w:color="auto"/>
              <w:right w:val="nil"/>
            </w:tcBorders>
            <w:vAlign w:val="center"/>
          </w:tcPr>
          <w:p w14:paraId="7A6ACD36"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64.6</w:t>
            </w:r>
          </w:p>
        </w:tc>
        <w:tc>
          <w:tcPr>
            <w:tcW w:w="741" w:type="dxa"/>
            <w:tcBorders>
              <w:top w:val="single" w:sz="4" w:space="0" w:color="auto"/>
              <w:left w:val="nil"/>
              <w:bottom w:val="single" w:sz="4" w:space="0" w:color="auto"/>
              <w:right w:val="single" w:sz="4" w:space="0" w:color="auto"/>
            </w:tcBorders>
            <w:vAlign w:val="center"/>
          </w:tcPr>
          <w:p w14:paraId="6E4F8B6C"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41.9</w:t>
            </w:r>
          </w:p>
        </w:tc>
        <w:tc>
          <w:tcPr>
            <w:tcW w:w="750" w:type="dxa"/>
            <w:gridSpan w:val="2"/>
            <w:tcBorders>
              <w:top w:val="single" w:sz="4" w:space="0" w:color="auto"/>
              <w:left w:val="single" w:sz="4" w:space="0" w:color="auto"/>
              <w:bottom w:val="single" w:sz="4" w:space="0" w:color="auto"/>
              <w:right w:val="nil"/>
            </w:tcBorders>
            <w:vAlign w:val="center"/>
          </w:tcPr>
          <w:p w14:paraId="7CA4A358"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19.7</w:t>
            </w:r>
          </w:p>
        </w:tc>
        <w:tc>
          <w:tcPr>
            <w:tcW w:w="750" w:type="dxa"/>
            <w:tcBorders>
              <w:top w:val="single" w:sz="4" w:space="0" w:color="auto"/>
              <w:left w:val="nil"/>
              <w:bottom w:val="single" w:sz="4" w:space="0" w:color="auto"/>
              <w:right w:val="nil"/>
            </w:tcBorders>
            <w:vAlign w:val="center"/>
          </w:tcPr>
          <w:p w14:paraId="531B639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19.7</w:t>
            </w:r>
          </w:p>
        </w:tc>
        <w:tc>
          <w:tcPr>
            <w:tcW w:w="750" w:type="dxa"/>
            <w:tcBorders>
              <w:top w:val="single" w:sz="4" w:space="0" w:color="auto"/>
              <w:left w:val="nil"/>
              <w:bottom w:val="single" w:sz="4" w:space="0" w:color="auto"/>
              <w:right w:val="nil"/>
            </w:tcBorders>
            <w:vAlign w:val="center"/>
          </w:tcPr>
          <w:p w14:paraId="5CC7DAF0"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19.7</w:t>
            </w:r>
          </w:p>
        </w:tc>
        <w:tc>
          <w:tcPr>
            <w:tcW w:w="751" w:type="dxa"/>
            <w:tcBorders>
              <w:top w:val="single" w:sz="4" w:space="0" w:color="auto"/>
              <w:left w:val="nil"/>
              <w:bottom w:val="single" w:sz="4" w:space="0" w:color="auto"/>
              <w:right w:val="nil"/>
            </w:tcBorders>
            <w:vAlign w:val="center"/>
          </w:tcPr>
          <w:p w14:paraId="7A270F89"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15.3</w:t>
            </w:r>
          </w:p>
        </w:tc>
        <w:tc>
          <w:tcPr>
            <w:tcW w:w="750" w:type="dxa"/>
            <w:tcBorders>
              <w:top w:val="single" w:sz="4" w:space="0" w:color="auto"/>
              <w:left w:val="nil"/>
              <w:bottom w:val="single" w:sz="4" w:space="0" w:color="auto"/>
              <w:right w:val="nil"/>
            </w:tcBorders>
            <w:vAlign w:val="center"/>
          </w:tcPr>
          <w:p w14:paraId="478BFF9E"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14.7</w:t>
            </w:r>
          </w:p>
        </w:tc>
        <w:tc>
          <w:tcPr>
            <w:tcW w:w="750" w:type="dxa"/>
            <w:tcBorders>
              <w:top w:val="single" w:sz="4" w:space="0" w:color="auto"/>
              <w:left w:val="nil"/>
              <w:bottom w:val="single" w:sz="4" w:space="0" w:color="auto"/>
              <w:right w:val="nil"/>
            </w:tcBorders>
            <w:vAlign w:val="center"/>
          </w:tcPr>
          <w:p w14:paraId="60DA2C2F"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12.6</w:t>
            </w:r>
          </w:p>
        </w:tc>
        <w:tc>
          <w:tcPr>
            <w:tcW w:w="750" w:type="dxa"/>
            <w:tcBorders>
              <w:top w:val="single" w:sz="4" w:space="0" w:color="auto"/>
              <w:left w:val="nil"/>
              <w:bottom w:val="single" w:sz="4" w:space="0" w:color="auto"/>
              <w:right w:val="nil"/>
            </w:tcBorders>
            <w:vAlign w:val="center"/>
          </w:tcPr>
          <w:p w14:paraId="2CDDF479"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16.3</w:t>
            </w:r>
          </w:p>
        </w:tc>
        <w:tc>
          <w:tcPr>
            <w:tcW w:w="670" w:type="dxa"/>
            <w:tcBorders>
              <w:top w:val="single" w:sz="4" w:space="0" w:color="auto"/>
              <w:left w:val="nil"/>
              <w:bottom w:val="single" w:sz="4" w:space="0" w:color="auto"/>
              <w:right w:val="single" w:sz="4" w:space="0" w:color="auto"/>
            </w:tcBorders>
            <w:vAlign w:val="center"/>
          </w:tcPr>
          <w:p w14:paraId="59F880ED"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15.6</w:t>
            </w:r>
          </w:p>
        </w:tc>
      </w:tr>
      <w:tr w:rsidR="0014445C" w14:paraId="3073F899" w14:textId="77777777" w:rsidTr="00D42CE9">
        <w:trPr>
          <w:cantSplit/>
          <w:trHeight w:val="42"/>
        </w:trPr>
        <w:tc>
          <w:tcPr>
            <w:tcW w:w="2234" w:type="dxa"/>
            <w:tcBorders>
              <w:top w:val="single" w:sz="4" w:space="0" w:color="auto"/>
              <w:left w:val="single" w:sz="4" w:space="0" w:color="auto"/>
              <w:bottom w:val="single" w:sz="4" w:space="0" w:color="auto"/>
              <w:right w:val="single" w:sz="4" w:space="0" w:color="auto"/>
            </w:tcBorders>
            <w:hideMark/>
          </w:tcPr>
          <w:p w14:paraId="43E53518" w14:textId="77777777" w:rsidR="0014445C" w:rsidRDefault="0014445C" w:rsidP="009912AE">
            <w:pPr>
              <w:pStyle w:val="BodyText"/>
              <w:kinsoku w:val="0"/>
              <w:overflowPunct w:val="0"/>
              <w:spacing w:line="200" w:lineRule="exact"/>
              <w:ind w:right="113"/>
              <w:rPr>
                <w:rFonts w:asciiTheme="minorHAnsi" w:hAnsiTheme="minorHAnsi" w:cstheme="minorHAnsi"/>
                <w:lang w:eastAsia="zh-CN"/>
              </w:rPr>
            </w:pPr>
            <w:r>
              <w:rPr>
                <w:rFonts w:asciiTheme="minorHAnsi" w:hAnsiTheme="minorHAnsi" w:cstheme="minorHAnsi"/>
                <w:lang w:eastAsia="zh-CN"/>
              </w:rPr>
              <w:t>% claiming Jobseekers Allowance among the 18-24-year-old population</w:t>
            </w:r>
          </w:p>
        </w:tc>
        <w:tc>
          <w:tcPr>
            <w:tcW w:w="851" w:type="dxa"/>
            <w:tcBorders>
              <w:top w:val="single" w:sz="4" w:space="0" w:color="auto"/>
              <w:left w:val="single" w:sz="4" w:space="0" w:color="auto"/>
              <w:bottom w:val="single" w:sz="4" w:space="0" w:color="auto"/>
              <w:right w:val="nil"/>
            </w:tcBorders>
            <w:vAlign w:val="center"/>
          </w:tcPr>
          <w:p w14:paraId="4B32A70B"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7.7</w:t>
            </w:r>
          </w:p>
        </w:tc>
        <w:tc>
          <w:tcPr>
            <w:tcW w:w="772" w:type="dxa"/>
            <w:tcBorders>
              <w:top w:val="single" w:sz="4" w:space="0" w:color="auto"/>
              <w:left w:val="nil"/>
              <w:bottom w:val="single" w:sz="4" w:space="0" w:color="auto"/>
              <w:right w:val="nil"/>
            </w:tcBorders>
            <w:vAlign w:val="center"/>
          </w:tcPr>
          <w:p w14:paraId="713F3C37"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6.1</w:t>
            </w:r>
          </w:p>
        </w:tc>
        <w:tc>
          <w:tcPr>
            <w:tcW w:w="750" w:type="dxa"/>
            <w:tcBorders>
              <w:top w:val="single" w:sz="4" w:space="0" w:color="auto"/>
              <w:left w:val="nil"/>
              <w:bottom w:val="single" w:sz="4" w:space="0" w:color="auto"/>
              <w:right w:val="nil"/>
            </w:tcBorders>
            <w:vAlign w:val="center"/>
          </w:tcPr>
          <w:p w14:paraId="21F6076A"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6.9</w:t>
            </w:r>
          </w:p>
        </w:tc>
        <w:tc>
          <w:tcPr>
            <w:tcW w:w="751" w:type="dxa"/>
            <w:tcBorders>
              <w:top w:val="single" w:sz="4" w:space="0" w:color="auto"/>
              <w:left w:val="nil"/>
              <w:bottom w:val="single" w:sz="4" w:space="0" w:color="auto"/>
              <w:right w:val="nil"/>
            </w:tcBorders>
            <w:vAlign w:val="center"/>
          </w:tcPr>
          <w:p w14:paraId="768723AE"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5.2</w:t>
            </w:r>
          </w:p>
        </w:tc>
        <w:tc>
          <w:tcPr>
            <w:tcW w:w="750" w:type="dxa"/>
            <w:tcBorders>
              <w:top w:val="single" w:sz="4" w:space="0" w:color="auto"/>
              <w:left w:val="nil"/>
              <w:bottom w:val="single" w:sz="4" w:space="0" w:color="auto"/>
              <w:right w:val="nil"/>
            </w:tcBorders>
            <w:vAlign w:val="center"/>
          </w:tcPr>
          <w:p w14:paraId="3970B090"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5.1</w:t>
            </w:r>
          </w:p>
        </w:tc>
        <w:tc>
          <w:tcPr>
            <w:tcW w:w="750" w:type="dxa"/>
            <w:tcBorders>
              <w:top w:val="single" w:sz="4" w:space="0" w:color="auto"/>
              <w:left w:val="nil"/>
              <w:bottom w:val="single" w:sz="4" w:space="0" w:color="auto"/>
              <w:right w:val="nil"/>
            </w:tcBorders>
            <w:vAlign w:val="center"/>
          </w:tcPr>
          <w:p w14:paraId="333262F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4.7</w:t>
            </w:r>
          </w:p>
        </w:tc>
        <w:tc>
          <w:tcPr>
            <w:tcW w:w="763" w:type="dxa"/>
            <w:tcBorders>
              <w:top w:val="single" w:sz="4" w:space="0" w:color="auto"/>
              <w:left w:val="nil"/>
              <w:bottom w:val="single" w:sz="4" w:space="0" w:color="auto"/>
              <w:right w:val="nil"/>
            </w:tcBorders>
            <w:vAlign w:val="center"/>
          </w:tcPr>
          <w:p w14:paraId="2F0AC790"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8.5</w:t>
            </w:r>
          </w:p>
        </w:tc>
        <w:tc>
          <w:tcPr>
            <w:tcW w:w="741" w:type="dxa"/>
            <w:tcBorders>
              <w:top w:val="single" w:sz="4" w:space="0" w:color="auto"/>
              <w:left w:val="nil"/>
              <w:bottom w:val="single" w:sz="4" w:space="0" w:color="auto"/>
              <w:right w:val="single" w:sz="4" w:space="0" w:color="auto"/>
            </w:tcBorders>
            <w:vAlign w:val="center"/>
          </w:tcPr>
          <w:p w14:paraId="4B96BD7F"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5.2</w:t>
            </w:r>
          </w:p>
        </w:tc>
        <w:tc>
          <w:tcPr>
            <w:tcW w:w="750" w:type="dxa"/>
            <w:gridSpan w:val="2"/>
            <w:tcBorders>
              <w:top w:val="single" w:sz="4" w:space="0" w:color="auto"/>
              <w:left w:val="single" w:sz="4" w:space="0" w:color="auto"/>
              <w:bottom w:val="single" w:sz="4" w:space="0" w:color="auto"/>
              <w:right w:val="nil"/>
            </w:tcBorders>
            <w:vAlign w:val="center"/>
          </w:tcPr>
          <w:p w14:paraId="70F09756"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1.1</w:t>
            </w:r>
          </w:p>
        </w:tc>
        <w:tc>
          <w:tcPr>
            <w:tcW w:w="750" w:type="dxa"/>
            <w:tcBorders>
              <w:top w:val="single" w:sz="4" w:space="0" w:color="auto"/>
              <w:left w:val="nil"/>
              <w:bottom w:val="single" w:sz="4" w:space="0" w:color="auto"/>
              <w:right w:val="nil"/>
            </w:tcBorders>
            <w:vAlign w:val="center"/>
          </w:tcPr>
          <w:p w14:paraId="58EAB527"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0.8</w:t>
            </w:r>
          </w:p>
        </w:tc>
        <w:tc>
          <w:tcPr>
            <w:tcW w:w="750" w:type="dxa"/>
            <w:tcBorders>
              <w:top w:val="single" w:sz="4" w:space="0" w:color="auto"/>
              <w:left w:val="nil"/>
              <w:bottom w:val="single" w:sz="4" w:space="0" w:color="auto"/>
              <w:right w:val="nil"/>
            </w:tcBorders>
            <w:vAlign w:val="center"/>
          </w:tcPr>
          <w:p w14:paraId="3F347D3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1.2</w:t>
            </w:r>
          </w:p>
        </w:tc>
        <w:tc>
          <w:tcPr>
            <w:tcW w:w="751" w:type="dxa"/>
            <w:tcBorders>
              <w:top w:val="single" w:sz="4" w:space="0" w:color="auto"/>
              <w:left w:val="nil"/>
              <w:bottom w:val="single" w:sz="4" w:space="0" w:color="auto"/>
              <w:right w:val="nil"/>
            </w:tcBorders>
            <w:vAlign w:val="center"/>
          </w:tcPr>
          <w:p w14:paraId="5BB3D3CF"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0.6</w:t>
            </w:r>
          </w:p>
        </w:tc>
        <w:tc>
          <w:tcPr>
            <w:tcW w:w="750" w:type="dxa"/>
            <w:tcBorders>
              <w:top w:val="single" w:sz="4" w:space="0" w:color="auto"/>
              <w:left w:val="nil"/>
              <w:bottom w:val="single" w:sz="4" w:space="0" w:color="auto"/>
              <w:right w:val="nil"/>
            </w:tcBorders>
            <w:vAlign w:val="center"/>
          </w:tcPr>
          <w:p w14:paraId="1CD19494"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0.7</w:t>
            </w:r>
          </w:p>
        </w:tc>
        <w:tc>
          <w:tcPr>
            <w:tcW w:w="750" w:type="dxa"/>
            <w:tcBorders>
              <w:top w:val="single" w:sz="4" w:space="0" w:color="auto"/>
              <w:left w:val="nil"/>
              <w:bottom w:val="single" w:sz="4" w:space="0" w:color="auto"/>
              <w:right w:val="nil"/>
            </w:tcBorders>
            <w:vAlign w:val="center"/>
          </w:tcPr>
          <w:p w14:paraId="2F3DA637"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0.4</w:t>
            </w:r>
          </w:p>
        </w:tc>
        <w:tc>
          <w:tcPr>
            <w:tcW w:w="750" w:type="dxa"/>
            <w:tcBorders>
              <w:top w:val="single" w:sz="4" w:space="0" w:color="auto"/>
              <w:left w:val="nil"/>
              <w:bottom w:val="single" w:sz="4" w:space="0" w:color="auto"/>
              <w:right w:val="nil"/>
            </w:tcBorders>
            <w:vAlign w:val="center"/>
          </w:tcPr>
          <w:p w14:paraId="6B1E6B8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0.8</w:t>
            </w:r>
          </w:p>
        </w:tc>
        <w:tc>
          <w:tcPr>
            <w:tcW w:w="670" w:type="dxa"/>
            <w:tcBorders>
              <w:top w:val="single" w:sz="4" w:space="0" w:color="auto"/>
              <w:left w:val="nil"/>
              <w:bottom w:val="single" w:sz="4" w:space="0" w:color="auto"/>
              <w:right w:val="single" w:sz="4" w:space="0" w:color="auto"/>
            </w:tcBorders>
            <w:vAlign w:val="center"/>
          </w:tcPr>
          <w:p w14:paraId="090F712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0.8</w:t>
            </w:r>
          </w:p>
        </w:tc>
      </w:tr>
      <w:tr w:rsidR="0014445C" w14:paraId="695F5FB9" w14:textId="77777777" w:rsidTr="00D42CE9">
        <w:trPr>
          <w:cantSplit/>
          <w:trHeight w:val="32"/>
        </w:trPr>
        <w:tc>
          <w:tcPr>
            <w:tcW w:w="2234" w:type="dxa"/>
            <w:tcBorders>
              <w:top w:val="single" w:sz="4" w:space="0" w:color="auto"/>
              <w:left w:val="single" w:sz="4" w:space="0" w:color="auto"/>
              <w:bottom w:val="single" w:sz="4" w:space="0" w:color="auto"/>
              <w:right w:val="single" w:sz="4" w:space="0" w:color="auto"/>
            </w:tcBorders>
            <w:hideMark/>
          </w:tcPr>
          <w:p w14:paraId="6C14D7DA" w14:textId="77777777" w:rsidR="0014445C" w:rsidRDefault="0014445C" w:rsidP="009912AE">
            <w:pPr>
              <w:pStyle w:val="BodyText"/>
              <w:kinsoku w:val="0"/>
              <w:overflowPunct w:val="0"/>
              <w:spacing w:line="200" w:lineRule="exact"/>
              <w:ind w:right="113"/>
              <w:rPr>
                <w:rFonts w:asciiTheme="minorHAnsi" w:hAnsiTheme="minorHAnsi" w:cstheme="minorHAnsi"/>
                <w:lang w:eastAsia="zh-CN"/>
              </w:rPr>
            </w:pPr>
            <w:r>
              <w:rPr>
                <w:rFonts w:asciiTheme="minorHAnsi" w:hAnsiTheme="minorHAnsi" w:cstheme="minorHAnsi"/>
                <w:lang w:eastAsia="zh-CN"/>
              </w:rPr>
              <w:t>% of Pupils Attaining at least 5 GCSEs A-C*</w:t>
            </w:r>
          </w:p>
        </w:tc>
        <w:tc>
          <w:tcPr>
            <w:tcW w:w="851" w:type="dxa"/>
            <w:tcBorders>
              <w:top w:val="single" w:sz="4" w:space="0" w:color="auto"/>
              <w:left w:val="single" w:sz="4" w:space="0" w:color="auto"/>
              <w:bottom w:val="single" w:sz="4" w:space="0" w:color="auto"/>
              <w:right w:val="nil"/>
            </w:tcBorders>
            <w:vAlign w:val="center"/>
          </w:tcPr>
          <w:p w14:paraId="76A9B0F7"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44.0</w:t>
            </w:r>
          </w:p>
        </w:tc>
        <w:tc>
          <w:tcPr>
            <w:tcW w:w="772" w:type="dxa"/>
            <w:tcBorders>
              <w:top w:val="single" w:sz="4" w:space="0" w:color="auto"/>
              <w:left w:val="nil"/>
              <w:bottom w:val="single" w:sz="4" w:space="0" w:color="auto"/>
              <w:right w:val="nil"/>
            </w:tcBorders>
            <w:vAlign w:val="center"/>
          </w:tcPr>
          <w:p w14:paraId="66F6EDC9"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45.0</w:t>
            </w:r>
          </w:p>
        </w:tc>
        <w:tc>
          <w:tcPr>
            <w:tcW w:w="750" w:type="dxa"/>
            <w:tcBorders>
              <w:top w:val="single" w:sz="4" w:space="0" w:color="auto"/>
              <w:left w:val="nil"/>
              <w:bottom w:val="single" w:sz="4" w:space="0" w:color="auto"/>
              <w:right w:val="nil"/>
            </w:tcBorders>
            <w:vAlign w:val="center"/>
          </w:tcPr>
          <w:p w14:paraId="2A0D342D"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45.9</w:t>
            </w:r>
          </w:p>
        </w:tc>
        <w:tc>
          <w:tcPr>
            <w:tcW w:w="751" w:type="dxa"/>
            <w:tcBorders>
              <w:top w:val="single" w:sz="4" w:space="0" w:color="auto"/>
              <w:left w:val="nil"/>
              <w:bottom w:val="single" w:sz="4" w:space="0" w:color="auto"/>
              <w:right w:val="nil"/>
            </w:tcBorders>
            <w:vAlign w:val="center"/>
          </w:tcPr>
          <w:p w14:paraId="57977B5D"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49.0</w:t>
            </w:r>
          </w:p>
        </w:tc>
        <w:tc>
          <w:tcPr>
            <w:tcW w:w="750" w:type="dxa"/>
            <w:tcBorders>
              <w:top w:val="single" w:sz="4" w:space="0" w:color="auto"/>
              <w:left w:val="nil"/>
              <w:bottom w:val="single" w:sz="4" w:space="0" w:color="auto"/>
              <w:right w:val="nil"/>
            </w:tcBorders>
            <w:vAlign w:val="center"/>
          </w:tcPr>
          <w:p w14:paraId="69647088"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48.3</w:t>
            </w:r>
          </w:p>
        </w:tc>
        <w:tc>
          <w:tcPr>
            <w:tcW w:w="750" w:type="dxa"/>
            <w:tcBorders>
              <w:top w:val="single" w:sz="4" w:space="0" w:color="auto"/>
              <w:left w:val="nil"/>
              <w:bottom w:val="single" w:sz="4" w:space="0" w:color="auto"/>
              <w:right w:val="nil"/>
            </w:tcBorders>
            <w:vAlign w:val="center"/>
          </w:tcPr>
          <w:p w14:paraId="4D3DF1C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47.4</w:t>
            </w:r>
          </w:p>
        </w:tc>
        <w:tc>
          <w:tcPr>
            <w:tcW w:w="763" w:type="dxa"/>
            <w:tcBorders>
              <w:top w:val="single" w:sz="4" w:space="0" w:color="auto"/>
              <w:left w:val="nil"/>
              <w:bottom w:val="single" w:sz="4" w:space="0" w:color="auto"/>
              <w:right w:val="nil"/>
            </w:tcBorders>
            <w:vAlign w:val="center"/>
          </w:tcPr>
          <w:p w14:paraId="5C70B64E"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35.1</w:t>
            </w:r>
          </w:p>
        </w:tc>
        <w:tc>
          <w:tcPr>
            <w:tcW w:w="741" w:type="dxa"/>
            <w:tcBorders>
              <w:top w:val="single" w:sz="4" w:space="0" w:color="auto"/>
              <w:left w:val="nil"/>
              <w:bottom w:val="single" w:sz="4" w:space="0" w:color="auto"/>
              <w:right w:val="single" w:sz="4" w:space="0" w:color="auto"/>
            </w:tcBorders>
            <w:vAlign w:val="center"/>
          </w:tcPr>
          <w:p w14:paraId="6B0EC0D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43.2</w:t>
            </w:r>
          </w:p>
        </w:tc>
        <w:tc>
          <w:tcPr>
            <w:tcW w:w="750" w:type="dxa"/>
            <w:gridSpan w:val="2"/>
            <w:tcBorders>
              <w:top w:val="single" w:sz="4" w:space="0" w:color="auto"/>
              <w:left w:val="single" w:sz="4" w:space="0" w:color="auto"/>
              <w:bottom w:val="single" w:sz="4" w:space="0" w:color="auto"/>
              <w:right w:val="nil"/>
            </w:tcBorders>
            <w:vAlign w:val="center"/>
          </w:tcPr>
          <w:p w14:paraId="30084D79"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65.7</w:t>
            </w:r>
          </w:p>
        </w:tc>
        <w:tc>
          <w:tcPr>
            <w:tcW w:w="750" w:type="dxa"/>
            <w:tcBorders>
              <w:top w:val="single" w:sz="4" w:space="0" w:color="auto"/>
              <w:left w:val="nil"/>
              <w:bottom w:val="single" w:sz="4" w:space="0" w:color="auto"/>
              <w:right w:val="nil"/>
            </w:tcBorders>
            <w:vAlign w:val="center"/>
          </w:tcPr>
          <w:p w14:paraId="4990E74F"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65.4</w:t>
            </w:r>
          </w:p>
        </w:tc>
        <w:tc>
          <w:tcPr>
            <w:tcW w:w="750" w:type="dxa"/>
            <w:tcBorders>
              <w:top w:val="single" w:sz="4" w:space="0" w:color="auto"/>
              <w:left w:val="nil"/>
              <w:bottom w:val="single" w:sz="4" w:space="0" w:color="auto"/>
              <w:right w:val="nil"/>
            </w:tcBorders>
            <w:vAlign w:val="center"/>
          </w:tcPr>
          <w:p w14:paraId="57069F0F"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59.7</w:t>
            </w:r>
          </w:p>
        </w:tc>
        <w:tc>
          <w:tcPr>
            <w:tcW w:w="751" w:type="dxa"/>
            <w:tcBorders>
              <w:top w:val="single" w:sz="4" w:space="0" w:color="auto"/>
              <w:left w:val="nil"/>
              <w:bottom w:val="single" w:sz="4" w:space="0" w:color="auto"/>
              <w:right w:val="nil"/>
            </w:tcBorders>
            <w:vAlign w:val="center"/>
          </w:tcPr>
          <w:p w14:paraId="3410E8BA"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66.7</w:t>
            </w:r>
          </w:p>
        </w:tc>
        <w:tc>
          <w:tcPr>
            <w:tcW w:w="750" w:type="dxa"/>
            <w:tcBorders>
              <w:top w:val="single" w:sz="4" w:space="0" w:color="auto"/>
              <w:left w:val="nil"/>
              <w:bottom w:val="single" w:sz="4" w:space="0" w:color="auto"/>
              <w:right w:val="nil"/>
            </w:tcBorders>
            <w:vAlign w:val="center"/>
          </w:tcPr>
          <w:p w14:paraId="07BCFF17"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65.6</w:t>
            </w:r>
          </w:p>
        </w:tc>
        <w:tc>
          <w:tcPr>
            <w:tcW w:w="750" w:type="dxa"/>
            <w:tcBorders>
              <w:top w:val="single" w:sz="4" w:space="0" w:color="auto"/>
              <w:left w:val="nil"/>
              <w:bottom w:val="single" w:sz="4" w:space="0" w:color="auto"/>
              <w:right w:val="nil"/>
            </w:tcBorders>
            <w:vAlign w:val="center"/>
          </w:tcPr>
          <w:p w14:paraId="7892CED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65.5</w:t>
            </w:r>
          </w:p>
        </w:tc>
        <w:tc>
          <w:tcPr>
            <w:tcW w:w="750" w:type="dxa"/>
            <w:tcBorders>
              <w:top w:val="single" w:sz="4" w:space="0" w:color="auto"/>
              <w:left w:val="nil"/>
              <w:bottom w:val="single" w:sz="4" w:space="0" w:color="auto"/>
              <w:right w:val="nil"/>
            </w:tcBorders>
            <w:vAlign w:val="center"/>
          </w:tcPr>
          <w:p w14:paraId="33155AB5"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69.5</w:t>
            </w:r>
          </w:p>
        </w:tc>
        <w:tc>
          <w:tcPr>
            <w:tcW w:w="670" w:type="dxa"/>
            <w:tcBorders>
              <w:top w:val="single" w:sz="4" w:space="0" w:color="auto"/>
              <w:left w:val="nil"/>
              <w:bottom w:val="single" w:sz="4" w:space="0" w:color="auto"/>
              <w:right w:val="single" w:sz="4" w:space="0" w:color="auto"/>
            </w:tcBorders>
            <w:vAlign w:val="center"/>
          </w:tcPr>
          <w:p w14:paraId="55459484"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70.8</w:t>
            </w:r>
          </w:p>
        </w:tc>
      </w:tr>
      <w:tr w:rsidR="0014445C" w14:paraId="6B7A2DB0" w14:textId="77777777" w:rsidTr="00D42CE9">
        <w:trPr>
          <w:cantSplit/>
          <w:trHeight w:val="31"/>
        </w:trPr>
        <w:tc>
          <w:tcPr>
            <w:tcW w:w="2234" w:type="dxa"/>
            <w:tcBorders>
              <w:top w:val="single" w:sz="4" w:space="0" w:color="auto"/>
              <w:left w:val="single" w:sz="4" w:space="0" w:color="auto"/>
              <w:bottom w:val="single" w:sz="4" w:space="0" w:color="auto"/>
              <w:right w:val="single" w:sz="4" w:space="0" w:color="auto"/>
            </w:tcBorders>
            <w:hideMark/>
          </w:tcPr>
          <w:p w14:paraId="0AE818E6" w14:textId="77777777" w:rsidR="0014445C" w:rsidRDefault="0014445C" w:rsidP="009912AE">
            <w:pPr>
              <w:pStyle w:val="BodyText"/>
              <w:kinsoku w:val="0"/>
              <w:overflowPunct w:val="0"/>
              <w:spacing w:line="180" w:lineRule="exact"/>
              <w:ind w:right="113"/>
              <w:rPr>
                <w:rFonts w:asciiTheme="minorHAnsi" w:hAnsiTheme="minorHAnsi" w:cstheme="minorHAnsi"/>
                <w:lang w:eastAsia="zh-CN"/>
              </w:rPr>
            </w:pPr>
            <w:r>
              <w:rPr>
                <w:rFonts w:asciiTheme="minorHAnsi" w:hAnsiTheme="minorHAnsi" w:cstheme="minorHAnsi"/>
                <w:lang w:eastAsia="zh-CN"/>
              </w:rPr>
              <w:t>Median House Price to Workplace Earnings Ratio</w:t>
            </w:r>
          </w:p>
        </w:tc>
        <w:tc>
          <w:tcPr>
            <w:tcW w:w="851" w:type="dxa"/>
            <w:tcBorders>
              <w:top w:val="single" w:sz="4" w:space="0" w:color="auto"/>
              <w:left w:val="single" w:sz="4" w:space="0" w:color="auto"/>
              <w:bottom w:val="single" w:sz="4" w:space="0" w:color="auto"/>
              <w:right w:val="nil"/>
            </w:tcBorders>
            <w:vAlign w:val="center"/>
          </w:tcPr>
          <w:p w14:paraId="050FD71F"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3.5</w:t>
            </w:r>
          </w:p>
        </w:tc>
        <w:tc>
          <w:tcPr>
            <w:tcW w:w="772" w:type="dxa"/>
            <w:tcBorders>
              <w:top w:val="single" w:sz="4" w:space="0" w:color="auto"/>
              <w:left w:val="nil"/>
              <w:bottom w:val="single" w:sz="4" w:space="0" w:color="auto"/>
              <w:right w:val="nil"/>
            </w:tcBorders>
            <w:vAlign w:val="center"/>
          </w:tcPr>
          <w:p w14:paraId="4BBC7024"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3.5</w:t>
            </w:r>
          </w:p>
        </w:tc>
        <w:tc>
          <w:tcPr>
            <w:tcW w:w="750" w:type="dxa"/>
            <w:tcBorders>
              <w:top w:val="single" w:sz="4" w:space="0" w:color="auto"/>
              <w:left w:val="nil"/>
              <w:bottom w:val="single" w:sz="4" w:space="0" w:color="auto"/>
              <w:right w:val="nil"/>
            </w:tcBorders>
            <w:vAlign w:val="center"/>
          </w:tcPr>
          <w:p w14:paraId="1726F18B"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3.4</w:t>
            </w:r>
          </w:p>
        </w:tc>
        <w:tc>
          <w:tcPr>
            <w:tcW w:w="751" w:type="dxa"/>
            <w:tcBorders>
              <w:top w:val="single" w:sz="4" w:space="0" w:color="auto"/>
              <w:left w:val="nil"/>
              <w:bottom w:val="single" w:sz="4" w:space="0" w:color="auto"/>
              <w:right w:val="nil"/>
            </w:tcBorders>
            <w:vAlign w:val="center"/>
          </w:tcPr>
          <w:p w14:paraId="4C0D1A84"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4.2</w:t>
            </w:r>
          </w:p>
        </w:tc>
        <w:tc>
          <w:tcPr>
            <w:tcW w:w="750" w:type="dxa"/>
            <w:tcBorders>
              <w:top w:val="single" w:sz="4" w:space="0" w:color="auto"/>
              <w:left w:val="nil"/>
              <w:bottom w:val="single" w:sz="4" w:space="0" w:color="auto"/>
              <w:right w:val="nil"/>
            </w:tcBorders>
            <w:vAlign w:val="center"/>
          </w:tcPr>
          <w:p w14:paraId="2DBF1C8F"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4.8</w:t>
            </w:r>
          </w:p>
        </w:tc>
        <w:tc>
          <w:tcPr>
            <w:tcW w:w="750" w:type="dxa"/>
            <w:tcBorders>
              <w:top w:val="single" w:sz="4" w:space="0" w:color="auto"/>
              <w:left w:val="nil"/>
              <w:bottom w:val="single" w:sz="4" w:space="0" w:color="auto"/>
              <w:right w:val="nil"/>
            </w:tcBorders>
            <w:vAlign w:val="center"/>
          </w:tcPr>
          <w:p w14:paraId="17B7754A"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4.5</w:t>
            </w:r>
          </w:p>
        </w:tc>
        <w:tc>
          <w:tcPr>
            <w:tcW w:w="763" w:type="dxa"/>
            <w:tcBorders>
              <w:top w:val="single" w:sz="4" w:space="0" w:color="auto"/>
              <w:left w:val="nil"/>
              <w:bottom w:val="single" w:sz="4" w:space="0" w:color="auto"/>
              <w:right w:val="nil"/>
            </w:tcBorders>
            <w:vAlign w:val="center"/>
          </w:tcPr>
          <w:p w14:paraId="741B5B77"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5.7</w:t>
            </w:r>
          </w:p>
        </w:tc>
        <w:tc>
          <w:tcPr>
            <w:tcW w:w="741" w:type="dxa"/>
            <w:tcBorders>
              <w:top w:val="single" w:sz="4" w:space="0" w:color="auto"/>
              <w:left w:val="nil"/>
              <w:bottom w:val="single" w:sz="4" w:space="0" w:color="auto"/>
              <w:right w:val="single" w:sz="4" w:space="0" w:color="auto"/>
            </w:tcBorders>
            <w:vAlign w:val="center"/>
          </w:tcPr>
          <w:p w14:paraId="5890DE4A"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4.7</w:t>
            </w:r>
          </w:p>
        </w:tc>
        <w:tc>
          <w:tcPr>
            <w:tcW w:w="750" w:type="dxa"/>
            <w:gridSpan w:val="2"/>
            <w:tcBorders>
              <w:top w:val="single" w:sz="4" w:space="0" w:color="auto"/>
              <w:left w:val="single" w:sz="4" w:space="0" w:color="auto"/>
              <w:bottom w:val="single" w:sz="4" w:space="0" w:color="auto"/>
              <w:right w:val="nil"/>
            </w:tcBorders>
            <w:vAlign w:val="center"/>
          </w:tcPr>
          <w:p w14:paraId="48AC92AD"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7.7</w:t>
            </w:r>
          </w:p>
        </w:tc>
        <w:tc>
          <w:tcPr>
            <w:tcW w:w="750" w:type="dxa"/>
            <w:tcBorders>
              <w:top w:val="single" w:sz="4" w:space="0" w:color="auto"/>
              <w:left w:val="nil"/>
              <w:bottom w:val="single" w:sz="4" w:space="0" w:color="auto"/>
              <w:right w:val="nil"/>
            </w:tcBorders>
            <w:vAlign w:val="center"/>
          </w:tcPr>
          <w:p w14:paraId="1F83CFDD"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8.2</w:t>
            </w:r>
          </w:p>
        </w:tc>
        <w:tc>
          <w:tcPr>
            <w:tcW w:w="750" w:type="dxa"/>
            <w:tcBorders>
              <w:top w:val="single" w:sz="4" w:space="0" w:color="auto"/>
              <w:left w:val="nil"/>
              <w:bottom w:val="single" w:sz="4" w:space="0" w:color="auto"/>
              <w:right w:val="nil"/>
            </w:tcBorders>
            <w:vAlign w:val="center"/>
          </w:tcPr>
          <w:p w14:paraId="1ECA2309"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5.3</w:t>
            </w:r>
          </w:p>
        </w:tc>
        <w:tc>
          <w:tcPr>
            <w:tcW w:w="751" w:type="dxa"/>
            <w:tcBorders>
              <w:top w:val="single" w:sz="4" w:space="0" w:color="auto"/>
              <w:left w:val="nil"/>
              <w:bottom w:val="single" w:sz="4" w:space="0" w:color="auto"/>
              <w:right w:val="nil"/>
            </w:tcBorders>
            <w:vAlign w:val="center"/>
          </w:tcPr>
          <w:p w14:paraId="4BAECA43"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9.3</w:t>
            </w:r>
          </w:p>
        </w:tc>
        <w:tc>
          <w:tcPr>
            <w:tcW w:w="750" w:type="dxa"/>
            <w:tcBorders>
              <w:top w:val="single" w:sz="4" w:space="0" w:color="auto"/>
              <w:left w:val="nil"/>
              <w:bottom w:val="single" w:sz="4" w:space="0" w:color="auto"/>
              <w:right w:val="nil"/>
            </w:tcBorders>
            <w:vAlign w:val="center"/>
          </w:tcPr>
          <w:p w14:paraId="0B925CD0"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9.2</w:t>
            </w:r>
          </w:p>
        </w:tc>
        <w:tc>
          <w:tcPr>
            <w:tcW w:w="750" w:type="dxa"/>
            <w:tcBorders>
              <w:top w:val="single" w:sz="4" w:space="0" w:color="auto"/>
              <w:left w:val="nil"/>
              <w:bottom w:val="single" w:sz="4" w:space="0" w:color="auto"/>
              <w:right w:val="nil"/>
            </w:tcBorders>
            <w:vAlign w:val="center"/>
          </w:tcPr>
          <w:p w14:paraId="08FF3D54"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9.3</w:t>
            </w:r>
          </w:p>
        </w:tc>
        <w:tc>
          <w:tcPr>
            <w:tcW w:w="750" w:type="dxa"/>
            <w:tcBorders>
              <w:top w:val="single" w:sz="4" w:space="0" w:color="auto"/>
              <w:left w:val="nil"/>
              <w:bottom w:val="single" w:sz="4" w:space="0" w:color="auto"/>
              <w:right w:val="nil"/>
            </w:tcBorders>
            <w:vAlign w:val="center"/>
          </w:tcPr>
          <w:p w14:paraId="42E087F9"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18.3</w:t>
            </w:r>
          </w:p>
        </w:tc>
        <w:tc>
          <w:tcPr>
            <w:tcW w:w="670" w:type="dxa"/>
            <w:tcBorders>
              <w:top w:val="single" w:sz="4" w:space="0" w:color="auto"/>
              <w:left w:val="nil"/>
              <w:bottom w:val="single" w:sz="4" w:space="0" w:color="auto"/>
              <w:right w:val="single" w:sz="4" w:space="0" w:color="auto"/>
            </w:tcBorders>
            <w:vAlign w:val="center"/>
          </w:tcPr>
          <w:p w14:paraId="3ACD27BC"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14.1</w:t>
            </w:r>
          </w:p>
        </w:tc>
      </w:tr>
      <w:tr w:rsidR="0014445C" w14:paraId="37C30CEF" w14:textId="77777777" w:rsidTr="00D42CE9">
        <w:trPr>
          <w:cantSplit/>
          <w:trHeight w:val="65"/>
        </w:trPr>
        <w:tc>
          <w:tcPr>
            <w:tcW w:w="2234" w:type="dxa"/>
            <w:tcBorders>
              <w:top w:val="single" w:sz="4" w:space="0" w:color="auto"/>
              <w:left w:val="single" w:sz="4" w:space="0" w:color="auto"/>
              <w:bottom w:val="single" w:sz="4" w:space="0" w:color="auto"/>
              <w:right w:val="single" w:sz="4" w:space="0" w:color="auto"/>
            </w:tcBorders>
            <w:hideMark/>
          </w:tcPr>
          <w:p w14:paraId="4937A356" w14:textId="77777777" w:rsidR="0014445C" w:rsidRDefault="0014445C" w:rsidP="009912AE">
            <w:pPr>
              <w:pStyle w:val="BodyText"/>
              <w:kinsoku w:val="0"/>
              <w:overflowPunct w:val="0"/>
              <w:spacing w:line="180" w:lineRule="exact"/>
              <w:ind w:right="113"/>
              <w:rPr>
                <w:rFonts w:asciiTheme="minorHAnsi" w:hAnsiTheme="minorHAnsi" w:cstheme="minorHAnsi"/>
                <w:lang w:eastAsia="zh-CN"/>
              </w:rPr>
            </w:pPr>
            <w:r>
              <w:rPr>
                <w:rFonts w:asciiTheme="minorHAnsi" w:hAnsiTheme="minorHAnsi" w:cstheme="minorHAnsi"/>
                <w:lang w:eastAsia="zh-CN"/>
              </w:rPr>
              <w:t>Total Number of Social Housing Units for each LAD per 100 people (18 and over)</w:t>
            </w:r>
          </w:p>
        </w:tc>
        <w:tc>
          <w:tcPr>
            <w:tcW w:w="851" w:type="dxa"/>
            <w:tcBorders>
              <w:top w:val="single" w:sz="4" w:space="0" w:color="auto"/>
              <w:left w:val="single" w:sz="4" w:space="0" w:color="auto"/>
              <w:bottom w:val="single" w:sz="4" w:space="0" w:color="auto"/>
              <w:right w:val="nil"/>
            </w:tcBorders>
            <w:vAlign w:val="center"/>
          </w:tcPr>
          <w:p w14:paraId="7681F161"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11.5</w:t>
            </w:r>
          </w:p>
        </w:tc>
        <w:tc>
          <w:tcPr>
            <w:tcW w:w="772" w:type="dxa"/>
            <w:tcBorders>
              <w:top w:val="single" w:sz="4" w:space="0" w:color="auto"/>
              <w:left w:val="nil"/>
              <w:bottom w:val="single" w:sz="4" w:space="0" w:color="auto"/>
              <w:right w:val="nil"/>
            </w:tcBorders>
            <w:vAlign w:val="center"/>
          </w:tcPr>
          <w:p w14:paraId="72161FF4"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7.6</w:t>
            </w:r>
          </w:p>
        </w:tc>
        <w:tc>
          <w:tcPr>
            <w:tcW w:w="750" w:type="dxa"/>
            <w:tcBorders>
              <w:top w:val="single" w:sz="4" w:space="0" w:color="auto"/>
              <w:left w:val="nil"/>
              <w:bottom w:val="single" w:sz="4" w:space="0" w:color="auto"/>
              <w:right w:val="nil"/>
            </w:tcBorders>
            <w:vAlign w:val="center"/>
          </w:tcPr>
          <w:p w14:paraId="55D4CE72"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9.1</w:t>
            </w:r>
          </w:p>
        </w:tc>
        <w:tc>
          <w:tcPr>
            <w:tcW w:w="751" w:type="dxa"/>
            <w:tcBorders>
              <w:top w:val="single" w:sz="4" w:space="0" w:color="auto"/>
              <w:left w:val="nil"/>
              <w:bottom w:val="single" w:sz="4" w:space="0" w:color="auto"/>
              <w:right w:val="nil"/>
            </w:tcBorders>
            <w:vAlign w:val="center"/>
          </w:tcPr>
          <w:p w14:paraId="6000E086"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6.0</w:t>
            </w:r>
          </w:p>
        </w:tc>
        <w:tc>
          <w:tcPr>
            <w:tcW w:w="750" w:type="dxa"/>
            <w:tcBorders>
              <w:top w:val="single" w:sz="4" w:space="0" w:color="auto"/>
              <w:left w:val="nil"/>
              <w:bottom w:val="single" w:sz="4" w:space="0" w:color="auto"/>
              <w:right w:val="nil"/>
            </w:tcBorders>
            <w:vAlign w:val="center"/>
          </w:tcPr>
          <w:p w14:paraId="1CB27137"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5.9</w:t>
            </w:r>
          </w:p>
        </w:tc>
        <w:tc>
          <w:tcPr>
            <w:tcW w:w="750" w:type="dxa"/>
            <w:tcBorders>
              <w:top w:val="single" w:sz="4" w:space="0" w:color="auto"/>
              <w:left w:val="nil"/>
              <w:bottom w:val="single" w:sz="4" w:space="0" w:color="auto"/>
              <w:right w:val="nil"/>
            </w:tcBorders>
            <w:vAlign w:val="center"/>
          </w:tcPr>
          <w:p w14:paraId="04ADFA1D"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4.1</w:t>
            </w:r>
          </w:p>
        </w:tc>
        <w:tc>
          <w:tcPr>
            <w:tcW w:w="763" w:type="dxa"/>
            <w:tcBorders>
              <w:top w:val="single" w:sz="4" w:space="0" w:color="auto"/>
              <w:left w:val="nil"/>
              <w:bottom w:val="single" w:sz="4" w:space="0" w:color="auto"/>
              <w:right w:val="nil"/>
            </w:tcBorders>
            <w:vAlign w:val="center"/>
          </w:tcPr>
          <w:p w14:paraId="2160E7AE"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17.5</w:t>
            </w:r>
          </w:p>
        </w:tc>
        <w:tc>
          <w:tcPr>
            <w:tcW w:w="741" w:type="dxa"/>
            <w:tcBorders>
              <w:top w:val="single" w:sz="4" w:space="0" w:color="auto"/>
              <w:left w:val="nil"/>
              <w:bottom w:val="single" w:sz="4" w:space="0" w:color="auto"/>
              <w:right w:val="single" w:sz="4" w:space="0" w:color="auto"/>
            </w:tcBorders>
            <w:vAlign w:val="center"/>
          </w:tcPr>
          <w:p w14:paraId="1DA4BA15"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7.1</w:t>
            </w:r>
          </w:p>
        </w:tc>
        <w:tc>
          <w:tcPr>
            <w:tcW w:w="750" w:type="dxa"/>
            <w:gridSpan w:val="2"/>
            <w:tcBorders>
              <w:top w:val="single" w:sz="4" w:space="0" w:color="auto"/>
              <w:left w:val="single" w:sz="4" w:space="0" w:color="auto"/>
              <w:bottom w:val="single" w:sz="4" w:space="0" w:color="auto"/>
              <w:right w:val="nil"/>
            </w:tcBorders>
            <w:vAlign w:val="center"/>
          </w:tcPr>
          <w:p w14:paraId="53837020"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3.9</w:t>
            </w:r>
          </w:p>
        </w:tc>
        <w:tc>
          <w:tcPr>
            <w:tcW w:w="750" w:type="dxa"/>
            <w:tcBorders>
              <w:top w:val="single" w:sz="4" w:space="0" w:color="auto"/>
              <w:left w:val="nil"/>
              <w:bottom w:val="single" w:sz="4" w:space="0" w:color="auto"/>
              <w:right w:val="nil"/>
            </w:tcBorders>
            <w:vAlign w:val="center"/>
          </w:tcPr>
          <w:p w14:paraId="747153D0"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3.7</w:t>
            </w:r>
          </w:p>
        </w:tc>
        <w:tc>
          <w:tcPr>
            <w:tcW w:w="750" w:type="dxa"/>
            <w:tcBorders>
              <w:top w:val="single" w:sz="4" w:space="0" w:color="auto"/>
              <w:left w:val="nil"/>
              <w:bottom w:val="single" w:sz="4" w:space="0" w:color="auto"/>
              <w:right w:val="nil"/>
            </w:tcBorders>
            <w:vAlign w:val="center"/>
          </w:tcPr>
          <w:p w14:paraId="3AA94AC0"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5.7</w:t>
            </w:r>
          </w:p>
        </w:tc>
        <w:tc>
          <w:tcPr>
            <w:tcW w:w="751" w:type="dxa"/>
            <w:tcBorders>
              <w:top w:val="single" w:sz="4" w:space="0" w:color="auto"/>
              <w:left w:val="nil"/>
              <w:bottom w:val="single" w:sz="4" w:space="0" w:color="auto"/>
              <w:right w:val="nil"/>
            </w:tcBorders>
            <w:vAlign w:val="center"/>
          </w:tcPr>
          <w:p w14:paraId="0BA568B7"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2.0</w:t>
            </w:r>
          </w:p>
        </w:tc>
        <w:tc>
          <w:tcPr>
            <w:tcW w:w="750" w:type="dxa"/>
            <w:tcBorders>
              <w:top w:val="single" w:sz="4" w:space="0" w:color="auto"/>
              <w:left w:val="nil"/>
              <w:bottom w:val="single" w:sz="4" w:space="0" w:color="auto"/>
              <w:right w:val="nil"/>
            </w:tcBorders>
            <w:vAlign w:val="center"/>
          </w:tcPr>
          <w:p w14:paraId="63AEFA76"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1.8</w:t>
            </w:r>
          </w:p>
        </w:tc>
        <w:tc>
          <w:tcPr>
            <w:tcW w:w="750" w:type="dxa"/>
            <w:tcBorders>
              <w:top w:val="single" w:sz="4" w:space="0" w:color="auto"/>
              <w:left w:val="nil"/>
              <w:bottom w:val="single" w:sz="4" w:space="0" w:color="auto"/>
              <w:right w:val="nil"/>
            </w:tcBorders>
            <w:vAlign w:val="center"/>
          </w:tcPr>
          <w:p w14:paraId="4ACB73BB"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0.9</w:t>
            </w:r>
          </w:p>
        </w:tc>
        <w:tc>
          <w:tcPr>
            <w:tcW w:w="750" w:type="dxa"/>
            <w:tcBorders>
              <w:top w:val="single" w:sz="4" w:space="0" w:color="auto"/>
              <w:left w:val="nil"/>
              <w:bottom w:val="single" w:sz="4" w:space="0" w:color="auto"/>
              <w:right w:val="nil"/>
            </w:tcBorders>
            <w:vAlign w:val="center"/>
          </w:tcPr>
          <w:p w14:paraId="7A23B83A"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8.4</w:t>
            </w:r>
          </w:p>
        </w:tc>
        <w:tc>
          <w:tcPr>
            <w:tcW w:w="670" w:type="dxa"/>
            <w:tcBorders>
              <w:top w:val="single" w:sz="4" w:space="0" w:color="auto"/>
              <w:left w:val="nil"/>
              <w:bottom w:val="single" w:sz="4" w:space="0" w:color="auto"/>
              <w:right w:val="single" w:sz="4" w:space="0" w:color="auto"/>
            </w:tcBorders>
            <w:vAlign w:val="center"/>
          </w:tcPr>
          <w:p w14:paraId="475F8D78"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3.9</w:t>
            </w:r>
          </w:p>
        </w:tc>
      </w:tr>
      <w:tr w:rsidR="0014445C" w14:paraId="28CF2BDA" w14:textId="77777777" w:rsidTr="00D42CE9">
        <w:trPr>
          <w:cantSplit/>
          <w:trHeight w:val="31"/>
        </w:trPr>
        <w:tc>
          <w:tcPr>
            <w:tcW w:w="2234" w:type="dxa"/>
            <w:tcBorders>
              <w:top w:val="single" w:sz="4" w:space="0" w:color="auto"/>
              <w:left w:val="single" w:sz="4" w:space="0" w:color="auto"/>
              <w:bottom w:val="single" w:sz="4" w:space="0" w:color="auto"/>
              <w:right w:val="single" w:sz="4" w:space="0" w:color="auto"/>
            </w:tcBorders>
            <w:hideMark/>
          </w:tcPr>
          <w:p w14:paraId="50D40C95" w14:textId="77777777" w:rsidR="0014445C" w:rsidRDefault="0014445C" w:rsidP="009912AE">
            <w:pPr>
              <w:pStyle w:val="BodyText"/>
              <w:kinsoku w:val="0"/>
              <w:overflowPunct w:val="0"/>
              <w:spacing w:line="180" w:lineRule="exact"/>
              <w:ind w:right="113"/>
              <w:rPr>
                <w:rFonts w:asciiTheme="minorHAnsi" w:hAnsiTheme="minorHAnsi" w:cstheme="minorHAnsi"/>
                <w:lang w:eastAsia="zh-CN"/>
              </w:rPr>
            </w:pPr>
            <w:r>
              <w:rPr>
                <w:rFonts w:asciiTheme="minorHAnsi" w:hAnsiTheme="minorHAnsi" w:cstheme="minorHAnsi"/>
                <w:lang w:eastAsia="zh-CN"/>
              </w:rPr>
              <w:t>% Pupils in Secondary Schools which were Black</w:t>
            </w:r>
          </w:p>
        </w:tc>
        <w:tc>
          <w:tcPr>
            <w:tcW w:w="851" w:type="dxa"/>
            <w:tcBorders>
              <w:top w:val="single" w:sz="4" w:space="0" w:color="auto"/>
              <w:left w:val="single" w:sz="4" w:space="0" w:color="auto"/>
              <w:bottom w:val="single" w:sz="4" w:space="0" w:color="auto"/>
              <w:right w:val="nil"/>
            </w:tcBorders>
            <w:vAlign w:val="center"/>
          </w:tcPr>
          <w:p w14:paraId="71F38F36"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1.9</w:t>
            </w:r>
          </w:p>
        </w:tc>
        <w:tc>
          <w:tcPr>
            <w:tcW w:w="772" w:type="dxa"/>
            <w:tcBorders>
              <w:top w:val="single" w:sz="4" w:space="0" w:color="auto"/>
              <w:left w:val="nil"/>
              <w:bottom w:val="single" w:sz="4" w:space="0" w:color="auto"/>
              <w:right w:val="nil"/>
            </w:tcBorders>
            <w:vAlign w:val="center"/>
          </w:tcPr>
          <w:p w14:paraId="27C9F7B7"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1.1</w:t>
            </w:r>
          </w:p>
        </w:tc>
        <w:tc>
          <w:tcPr>
            <w:tcW w:w="750" w:type="dxa"/>
            <w:tcBorders>
              <w:top w:val="single" w:sz="4" w:space="0" w:color="auto"/>
              <w:left w:val="nil"/>
              <w:bottom w:val="single" w:sz="4" w:space="0" w:color="auto"/>
              <w:right w:val="nil"/>
            </w:tcBorders>
            <w:vAlign w:val="center"/>
          </w:tcPr>
          <w:p w14:paraId="0A30ECF1"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0.9</w:t>
            </w:r>
          </w:p>
        </w:tc>
        <w:tc>
          <w:tcPr>
            <w:tcW w:w="751" w:type="dxa"/>
            <w:tcBorders>
              <w:top w:val="single" w:sz="4" w:space="0" w:color="auto"/>
              <w:left w:val="nil"/>
              <w:bottom w:val="single" w:sz="4" w:space="0" w:color="auto"/>
              <w:right w:val="nil"/>
            </w:tcBorders>
            <w:vAlign w:val="center"/>
          </w:tcPr>
          <w:p w14:paraId="11FE9BA4"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0.7</w:t>
            </w:r>
          </w:p>
        </w:tc>
        <w:tc>
          <w:tcPr>
            <w:tcW w:w="750" w:type="dxa"/>
            <w:tcBorders>
              <w:top w:val="single" w:sz="4" w:space="0" w:color="auto"/>
              <w:left w:val="nil"/>
              <w:bottom w:val="single" w:sz="4" w:space="0" w:color="auto"/>
              <w:right w:val="nil"/>
            </w:tcBorders>
            <w:vAlign w:val="center"/>
          </w:tcPr>
          <w:p w14:paraId="6FA59DFE"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0.7</w:t>
            </w:r>
          </w:p>
        </w:tc>
        <w:tc>
          <w:tcPr>
            <w:tcW w:w="750" w:type="dxa"/>
            <w:tcBorders>
              <w:top w:val="single" w:sz="4" w:space="0" w:color="auto"/>
              <w:left w:val="nil"/>
              <w:bottom w:val="single" w:sz="4" w:space="0" w:color="auto"/>
              <w:right w:val="nil"/>
            </w:tcBorders>
            <w:vAlign w:val="center"/>
          </w:tcPr>
          <w:p w14:paraId="3FAB1B0D"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0.5</w:t>
            </w:r>
          </w:p>
        </w:tc>
        <w:tc>
          <w:tcPr>
            <w:tcW w:w="763" w:type="dxa"/>
            <w:tcBorders>
              <w:top w:val="single" w:sz="4" w:space="0" w:color="auto"/>
              <w:left w:val="nil"/>
              <w:bottom w:val="single" w:sz="4" w:space="0" w:color="auto"/>
              <w:right w:val="nil"/>
            </w:tcBorders>
            <w:vAlign w:val="center"/>
          </w:tcPr>
          <w:p w14:paraId="22398C47"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27.5</w:t>
            </w:r>
          </w:p>
        </w:tc>
        <w:tc>
          <w:tcPr>
            <w:tcW w:w="741" w:type="dxa"/>
            <w:tcBorders>
              <w:top w:val="single" w:sz="4" w:space="0" w:color="auto"/>
              <w:left w:val="nil"/>
              <w:bottom w:val="single" w:sz="4" w:space="0" w:color="auto"/>
              <w:right w:val="single" w:sz="4" w:space="0" w:color="auto"/>
            </w:tcBorders>
            <w:vAlign w:val="center"/>
          </w:tcPr>
          <w:p w14:paraId="14C74F5F"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9.6</w:t>
            </w:r>
          </w:p>
        </w:tc>
        <w:tc>
          <w:tcPr>
            <w:tcW w:w="750" w:type="dxa"/>
            <w:gridSpan w:val="2"/>
            <w:tcBorders>
              <w:top w:val="single" w:sz="4" w:space="0" w:color="auto"/>
              <w:left w:val="single" w:sz="4" w:space="0" w:color="auto"/>
              <w:bottom w:val="single" w:sz="4" w:space="0" w:color="auto"/>
              <w:right w:val="nil"/>
            </w:tcBorders>
            <w:vAlign w:val="center"/>
          </w:tcPr>
          <w:p w14:paraId="3D3C9F3E"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3.5</w:t>
            </w:r>
          </w:p>
        </w:tc>
        <w:tc>
          <w:tcPr>
            <w:tcW w:w="750" w:type="dxa"/>
            <w:tcBorders>
              <w:top w:val="single" w:sz="4" w:space="0" w:color="auto"/>
              <w:left w:val="nil"/>
              <w:bottom w:val="single" w:sz="4" w:space="0" w:color="auto"/>
              <w:right w:val="nil"/>
            </w:tcBorders>
            <w:vAlign w:val="center"/>
          </w:tcPr>
          <w:p w14:paraId="59B5DC0C"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2.3</w:t>
            </w:r>
          </w:p>
        </w:tc>
        <w:tc>
          <w:tcPr>
            <w:tcW w:w="750" w:type="dxa"/>
            <w:tcBorders>
              <w:top w:val="single" w:sz="4" w:space="0" w:color="auto"/>
              <w:left w:val="nil"/>
              <w:bottom w:val="single" w:sz="4" w:space="0" w:color="auto"/>
              <w:right w:val="nil"/>
            </w:tcBorders>
            <w:vAlign w:val="center"/>
          </w:tcPr>
          <w:p w14:paraId="30C79FFD"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2.5</w:t>
            </w:r>
          </w:p>
        </w:tc>
        <w:tc>
          <w:tcPr>
            <w:tcW w:w="751" w:type="dxa"/>
            <w:tcBorders>
              <w:top w:val="single" w:sz="4" w:space="0" w:color="auto"/>
              <w:left w:val="nil"/>
              <w:bottom w:val="single" w:sz="4" w:space="0" w:color="auto"/>
              <w:right w:val="nil"/>
            </w:tcBorders>
            <w:vAlign w:val="center"/>
          </w:tcPr>
          <w:p w14:paraId="75516866"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1.6</w:t>
            </w:r>
          </w:p>
        </w:tc>
        <w:tc>
          <w:tcPr>
            <w:tcW w:w="750" w:type="dxa"/>
            <w:tcBorders>
              <w:top w:val="single" w:sz="4" w:space="0" w:color="auto"/>
              <w:left w:val="nil"/>
              <w:bottom w:val="single" w:sz="4" w:space="0" w:color="auto"/>
              <w:right w:val="nil"/>
            </w:tcBorders>
            <w:vAlign w:val="center"/>
          </w:tcPr>
          <w:p w14:paraId="4F1F19CC"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1.2</w:t>
            </w:r>
          </w:p>
        </w:tc>
        <w:tc>
          <w:tcPr>
            <w:tcW w:w="750" w:type="dxa"/>
            <w:tcBorders>
              <w:top w:val="single" w:sz="4" w:space="0" w:color="auto"/>
              <w:left w:val="nil"/>
              <w:bottom w:val="single" w:sz="4" w:space="0" w:color="auto"/>
              <w:right w:val="nil"/>
            </w:tcBorders>
            <w:vAlign w:val="center"/>
          </w:tcPr>
          <w:p w14:paraId="772D93FA"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0.9</w:t>
            </w:r>
          </w:p>
        </w:tc>
        <w:tc>
          <w:tcPr>
            <w:tcW w:w="750" w:type="dxa"/>
            <w:tcBorders>
              <w:top w:val="single" w:sz="4" w:space="0" w:color="auto"/>
              <w:left w:val="nil"/>
              <w:bottom w:val="single" w:sz="4" w:space="0" w:color="auto"/>
              <w:right w:val="nil"/>
            </w:tcBorders>
            <w:vAlign w:val="center"/>
          </w:tcPr>
          <w:p w14:paraId="2A92DB1A"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28.3</w:t>
            </w:r>
          </w:p>
        </w:tc>
        <w:tc>
          <w:tcPr>
            <w:tcW w:w="670" w:type="dxa"/>
            <w:tcBorders>
              <w:top w:val="single" w:sz="4" w:space="0" w:color="auto"/>
              <w:left w:val="nil"/>
              <w:bottom w:val="single" w:sz="4" w:space="0" w:color="auto"/>
              <w:right w:val="single" w:sz="4" w:space="0" w:color="auto"/>
            </w:tcBorders>
            <w:vAlign w:val="center"/>
          </w:tcPr>
          <w:p w14:paraId="5EEC42E5"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16.8</w:t>
            </w:r>
          </w:p>
        </w:tc>
      </w:tr>
      <w:tr w:rsidR="0014445C" w14:paraId="5A9204D0" w14:textId="77777777" w:rsidTr="00D42CE9">
        <w:trPr>
          <w:cantSplit/>
          <w:trHeight w:val="90"/>
        </w:trPr>
        <w:tc>
          <w:tcPr>
            <w:tcW w:w="2234" w:type="dxa"/>
            <w:tcBorders>
              <w:top w:val="single" w:sz="4" w:space="0" w:color="auto"/>
              <w:left w:val="single" w:sz="4" w:space="0" w:color="auto"/>
              <w:bottom w:val="single" w:sz="4" w:space="0" w:color="auto"/>
              <w:right w:val="single" w:sz="4" w:space="0" w:color="auto"/>
            </w:tcBorders>
            <w:hideMark/>
          </w:tcPr>
          <w:p w14:paraId="2ED209D0" w14:textId="77777777" w:rsidR="0014445C" w:rsidRDefault="0014445C" w:rsidP="009912AE">
            <w:pPr>
              <w:pStyle w:val="BodyText"/>
              <w:kinsoku w:val="0"/>
              <w:overflowPunct w:val="0"/>
              <w:spacing w:line="200" w:lineRule="exact"/>
              <w:ind w:right="113"/>
              <w:rPr>
                <w:rFonts w:asciiTheme="minorHAnsi" w:hAnsiTheme="minorHAnsi" w:cstheme="minorHAnsi"/>
                <w:lang w:eastAsia="zh-CN"/>
              </w:rPr>
            </w:pPr>
            <w:r>
              <w:rPr>
                <w:rFonts w:asciiTheme="minorHAnsi" w:hAnsiTheme="minorHAnsi" w:cstheme="minorHAnsi"/>
                <w:lang w:eastAsia="zh-CN"/>
              </w:rPr>
              <w:t>Pupils in Secondary Schools which were South Asian</w:t>
            </w:r>
          </w:p>
        </w:tc>
        <w:tc>
          <w:tcPr>
            <w:tcW w:w="851" w:type="dxa"/>
            <w:tcBorders>
              <w:top w:val="single" w:sz="4" w:space="0" w:color="auto"/>
              <w:left w:val="single" w:sz="4" w:space="0" w:color="auto"/>
              <w:bottom w:val="single" w:sz="4" w:space="0" w:color="auto"/>
              <w:right w:val="nil"/>
            </w:tcBorders>
            <w:vAlign w:val="center"/>
          </w:tcPr>
          <w:p w14:paraId="4ACF2C35"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7.2</w:t>
            </w:r>
          </w:p>
        </w:tc>
        <w:tc>
          <w:tcPr>
            <w:tcW w:w="772" w:type="dxa"/>
            <w:tcBorders>
              <w:top w:val="single" w:sz="4" w:space="0" w:color="auto"/>
              <w:left w:val="nil"/>
              <w:bottom w:val="single" w:sz="4" w:space="0" w:color="auto"/>
              <w:right w:val="nil"/>
            </w:tcBorders>
            <w:vAlign w:val="center"/>
          </w:tcPr>
          <w:p w14:paraId="08DFB736"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4.5</w:t>
            </w:r>
          </w:p>
        </w:tc>
        <w:tc>
          <w:tcPr>
            <w:tcW w:w="750" w:type="dxa"/>
            <w:tcBorders>
              <w:top w:val="single" w:sz="4" w:space="0" w:color="auto"/>
              <w:left w:val="nil"/>
              <w:bottom w:val="single" w:sz="4" w:space="0" w:color="auto"/>
              <w:right w:val="nil"/>
            </w:tcBorders>
            <w:vAlign w:val="center"/>
          </w:tcPr>
          <w:p w14:paraId="098450D0" w14:textId="77777777" w:rsidR="0014445C" w:rsidRDefault="0014445C" w:rsidP="00D42CE9">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3.2</w:t>
            </w:r>
          </w:p>
        </w:tc>
        <w:tc>
          <w:tcPr>
            <w:tcW w:w="751" w:type="dxa"/>
            <w:tcBorders>
              <w:top w:val="single" w:sz="4" w:space="0" w:color="auto"/>
              <w:left w:val="nil"/>
              <w:bottom w:val="single" w:sz="4" w:space="0" w:color="auto"/>
              <w:right w:val="nil"/>
            </w:tcBorders>
            <w:vAlign w:val="center"/>
          </w:tcPr>
          <w:p w14:paraId="341CE5E6"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2.7</w:t>
            </w:r>
          </w:p>
        </w:tc>
        <w:tc>
          <w:tcPr>
            <w:tcW w:w="750" w:type="dxa"/>
            <w:tcBorders>
              <w:top w:val="single" w:sz="4" w:space="0" w:color="auto"/>
              <w:left w:val="nil"/>
              <w:bottom w:val="single" w:sz="4" w:space="0" w:color="auto"/>
              <w:right w:val="nil"/>
            </w:tcBorders>
            <w:vAlign w:val="center"/>
          </w:tcPr>
          <w:p w14:paraId="53AC7415"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1.7</w:t>
            </w:r>
          </w:p>
        </w:tc>
        <w:tc>
          <w:tcPr>
            <w:tcW w:w="750" w:type="dxa"/>
            <w:tcBorders>
              <w:top w:val="single" w:sz="4" w:space="0" w:color="auto"/>
              <w:left w:val="nil"/>
              <w:bottom w:val="single" w:sz="4" w:space="0" w:color="auto"/>
              <w:right w:val="nil"/>
            </w:tcBorders>
            <w:vAlign w:val="center"/>
          </w:tcPr>
          <w:p w14:paraId="19EE2711"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1.3</w:t>
            </w:r>
          </w:p>
        </w:tc>
        <w:tc>
          <w:tcPr>
            <w:tcW w:w="763" w:type="dxa"/>
            <w:tcBorders>
              <w:top w:val="single" w:sz="4" w:space="0" w:color="auto"/>
              <w:left w:val="nil"/>
              <w:bottom w:val="single" w:sz="4" w:space="0" w:color="auto"/>
              <w:right w:val="nil"/>
            </w:tcBorders>
            <w:vAlign w:val="center"/>
          </w:tcPr>
          <w:p w14:paraId="605D7E0E"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14.9</w:t>
            </w:r>
          </w:p>
        </w:tc>
        <w:tc>
          <w:tcPr>
            <w:tcW w:w="741" w:type="dxa"/>
            <w:tcBorders>
              <w:top w:val="single" w:sz="4" w:space="0" w:color="auto"/>
              <w:left w:val="nil"/>
              <w:bottom w:val="single" w:sz="4" w:space="0" w:color="auto"/>
              <w:right w:val="single" w:sz="4" w:space="0" w:color="auto"/>
            </w:tcBorders>
            <w:vAlign w:val="center"/>
          </w:tcPr>
          <w:p w14:paraId="7DB9D8D7"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15.0</w:t>
            </w:r>
          </w:p>
        </w:tc>
        <w:tc>
          <w:tcPr>
            <w:tcW w:w="750" w:type="dxa"/>
            <w:gridSpan w:val="2"/>
            <w:tcBorders>
              <w:top w:val="single" w:sz="4" w:space="0" w:color="auto"/>
              <w:left w:val="single" w:sz="4" w:space="0" w:color="auto"/>
              <w:bottom w:val="single" w:sz="4" w:space="0" w:color="auto"/>
              <w:right w:val="nil"/>
            </w:tcBorders>
            <w:vAlign w:val="center"/>
          </w:tcPr>
          <w:p w14:paraId="5DC0B6AD"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11.7</w:t>
            </w:r>
          </w:p>
        </w:tc>
        <w:tc>
          <w:tcPr>
            <w:tcW w:w="750" w:type="dxa"/>
            <w:tcBorders>
              <w:top w:val="single" w:sz="4" w:space="0" w:color="auto"/>
              <w:left w:val="nil"/>
              <w:bottom w:val="single" w:sz="4" w:space="0" w:color="auto"/>
              <w:right w:val="nil"/>
            </w:tcBorders>
            <w:vAlign w:val="center"/>
          </w:tcPr>
          <w:p w14:paraId="452CED61"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7.3</w:t>
            </w:r>
          </w:p>
        </w:tc>
        <w:tc>
          <w:tcPr>
            <w:tcW w:w="750" w:type="dxa"/>
            <w:tcBorders>
              <w:top w:val="single" w:sz="4" w:space="0" w:color="auto"/>
              <w:left w:val="nil"/>
              <w:bottom w:val="single" w:sz="4" w:space="0" w:color="auto"/>
              <w:right w:val="nil"/>
            </w:tcBorders>
            <w:vAlign w:val="center"/>
          </w:tcPr>
          <w:p w14:paraId="679B769B"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7.3</w:t>
            </w:r>
          </w:p>
        </w:tc>
        <w:tc>
          <w:tcPr>
            <w:tcW w:w="751" w:type="dxa"/>
            <w:tcBorders>
              <w:top w:val="single" w:sz="4" w:space="0" w:color="auto"/>
              <w:left w:val="nil"/>
              <w:bottom w:val="single" w:sz="4" w:space="0" w:color="auto"/>
              <w:right w:val="nil"/>
            </w:tcBorders>
            <w:vAlign w:val="center"/>
          </w:tcPr>
          <w:p w14:paraId="52220661"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4.5</w:t>
            </w:r>
          </w:p>
        </w:tc>
        <w:tc>
          <w:tcPr>
            <w:tcW w:w="750" w:type="dxa"/>
            <w:tcBorders>
              <w:top w:val="single" w:sz="4" w:space="0" w:color="auto"/>
              <w:left w:val="nil"/>
              <w:bottom w:val="single" w:sz="4" w:space="0" w:color="auto"/>
              <w:right w:val="nil"/>
            </w:tcBorders>
            <w:vAlign w:val="center"/>
          </w:tcPr>
          <w:p w14:paraId="7E5B8A8E"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3.3</w:t>
            </w:r>
          </w:p>
        </w:tc>
        <w:tc>
          <w:tcPr>
            <w:tcW w:w="750" w:type="dxa"/>
            <w:tcBorders>
              <w:top w:val="single" w:sz="4" w:space="0" w:color="auto"/>
              <w:left w:val="nil"/>
              <w:bottom w:val="single" w:sz="4" w:space="0" w:color="auto"/>
              <w:right w:val="nil"/>
            </w:tcBorders>
            <w:vAlign w:val="center"/>
          </w:tcPr>
          <w:p w14:paraId="18DF6931"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2.5</w:t>
            </w:r>
          </w:p>
        </w:tc>
        <w:tc>
          <w:tcPr>
            <w:tcW w:w="750" w:type="dxa"/>
            <w:tcBorders>
              <w:top w:val="single" w:sz="4" w:space="0" w:color="auto"/>
              <w:left w:val="nil"/>
              <w:bottom w:val="single" w:sz="4" w:space="0" w:color="auto"/>
              <w:right w:val="nil"/>
            </w:tcBorders>
            <w:vAlign w:val="center"/>
          </w:tcPr>
          <w:p w14:paraId="4DD33D2A"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17.5</w:t>
            </w:r>
          </w:p>
        </w:tc>
        <w:tc>
          <w:tcPr>
            <w:tcW w:w="670" w:type="dxa"/>
            <w:tcBorders>
              <w:top w:val="single" w:sz="4" w:space="0" w:color="auto"/>
              <w:left w:val="nil"/>
              <w:bottom w:val="single" w:sz="4" w:space="0" w:color="auto"/>
              <w:right w:val="single" w:sz="4" w:space="0" w:color="auto"/>
            </w:tcBorders>
            <w:vAlign w:val="center"/>
          </w:tcPr>
          <w:p w14:paraId="3BDE4F39" w14:textId="77777777" w:rsidR="0014445C" w:rsidRDefault="0014445C">
            <w:pPr>
              <w:pStyle w:val="BodyText"/>
              <w:kinsoku w:val="0"/>
              <w:overflowPunct w:val="0"/>
              <w:spacing w:line="180" w:lineRule="exact"/>
              <w:ind w:right="113"/>
              <w:jc w:val="center"/>
              <w:rPr>
                <w:rFonts w:asciiTheme="minorHAnsi" w:hAnsiTheme="minorHAnsi" w:cstheme="minorHAnsi"/>
                <w:lang w:eastAsia="zh-CN"/>
              </w:rPr>
            </w:pPr>
            <w:r>
              <w:rPr>
                <w:rFonts w:asciiTheme="minorHAnsi" w:hAnsiTheme="minorHAnsi" w:cstheme="minorHAnsi"/>
                <w:lang w:eastAsia="zh-CN"/>
              </w:rPr>
              <w:t>21.1</w:t>
            </w:r>
          </w:p>
        </w:tc>
      </w:tr>
      <w:tr w:rsidR="0014445C" w14:paraId="6A9BFD21" w14:textId="77777777" w:rsidTr="009912AE">
        <w:trPr>
          <w:cantSplit/>
          <w:trHeight w:val="90"/>
        </w:trPr>
        <w:tc>
          <w:tcPr>
            <w:tcW w:w="14283" w:type="dxa"/>
            <w:gridSpan w:val="18"/>
            <w:tcBorders>
              <w:top w:val="single" w:sz="4" w:space="0" w:color="auto"/>
              <w:left w:val="single" w:sz="4" w:space="0" w:color="auto"/>
              <w:bottom w:val="single" w:sz="4" w:space="0" w:color="auto"/>
            </w:tcBorders>
          </w:tcPr>
          <w:p w14:paraId="2ECF87DD" w14:textId="2626A85B" w:rsidR="0014445C" w:rsidRDefault="0014445C" w:rsidP="009912AE">
            <w:pPr>
              <w:pStyle w:val="BodyText"/>
              <w:kinsoku w:val="0"/>
              <w:overflowPunct w:val="0"/>
              <w:spacing w:line="140" w:lineRule="exact"/>
              <w:ind w:right="113"/>
              <w:rPr>
                <w:rFonts w:asciiTheme="minorHAnsi" w:hAnsiTheme="minorHAnsi" w:cstheme="minorHAnsi"/>
                <w:lang w:eastAsia="zh-CN"/>
              </w:rPr>
            </w:pPr>
            <w:r>
              <w:rPr>
                <w:rFonts w:asciiTheme="minorHAnsi" w:hAnsiTheme="minorHAnsi" w:cstheme="minorHAnsi"/>
                <w:lang w:eastAsia="zh-CN"/>
              </w:rPr>
              <w:t>*</w:t>
            </w:r>
            <w:r w:rsidR="00F93349">
              <w:rPr>
                <w:rFonts w:asciiTheme="minorHAnsi" w:hAnsiTheme="minorHAnsi" w:cstheme="minorHAnsi"/>
                <w:lang w:eastAsia="zh-CN"/>
              </w:rPr>
              <w:t xml:space="preserve">In this table, </w:t>
            </w:r>
            <w:r>
              <w:rPr>
                <w:rFonts w:asciiTheme="minorHAnsi" w:hAnsiTheme="minorHAnsi" w:cstheme="minorHAnsi"/>
                <w:lang w:eastAsia="zh-CN"/>
              </w:rPr>
              <w:t>the 2015 values for the GCSE variable are presented due to the 2016 and 2017 grading changes.</w:t>
            </w:r>
            <w:r w:rsidR="006D3340">
              <w:rPr>
                <w:rFonts w:asciiTheme="minorHAnsi" w:hAnsiTheme="minorHAnsi" w:cstheme="minorHAnsi"/>
                <w:lang w:eastAsia="zh-CN"/>
              </w:rPr>
              <w:t xml:space="preserve"> </w:t>
            </w:r>
          </w:p>
        </w:tc>
      </w:tr>
    </w:tbl>
    <w:p w14:paraId="62B334BF" w14:textId="0FFB5C08" w:rsidR="0014445C" w:rsidRDefault="0014445C" w:rsidP="004E23B7">
      <w:pPr>
        <w:spacing w:line="240" w:lineRule="auto"/>
        <w:rPr>
          <w:rFonts w:cstheme="minorHAnsi"/>
          <w:b/>
        </w:rPr>
      </w:pPr>
    </w:p>
    <w:p w14:paraId="60F45A7D" w14:textId="77777777" w:rsidR="0014445C" w:rsidRDefault="0014445C" w:rsidP="004E23B7">
      <w:pPr>
        <w:spacing w:line="240" w:lineRule="auto"/>
        <w:rPr>
          <w:rFonts w:cstheme="minorHAnsi"/>
          <w:b/>
        </w:rPr>
        <w:sectPr w:rsidR="0014445C" w:rsidSect="005E06A6">
          <w:type w:val="continuous"/>
          <w:pgSz w:w="16838" w:h="11906" w:orient="landscape"/>
          <w:pgMar w:top="1440" w:right="1440" w:bottom="1440" w:left="1440" w:header="708" w:footer="708" w:gutter="0"/>
          <w:lnNumType w:countBy="1"/>
          <w:cols w:space="708"/>
          <w:docGrid w:linePitch="360"/>
        </w:sectPr>
      </w:pPr>
    </w:p>
    <w:p w14:paraId="4F9E8325" w14:textId="34BE4996" w:rsidR="004E23B7" w:rsidRPr="001800D8" w:rsidRDefault="004E23B7" w:rsidP="004E23B7">
      <w:pPr>
        <w:spacing w:line="240" w:lineRule="auto"/>
        <w:rPr>
          <w:rFonts w:cstheme="minorHAnsi"/>
          <w:b/>
        </w:rPr>
      </w:pPr>
      <w:r w:rsidRPr="003D099F">
        <w:rPr>
          <w:rFonts w:cstheme="minorHAnsi"/>
          <w:b/>
        </w:rPr>
        <w:lastRenderedPageBreak/>
        <w:t>Appendix B</w:t>
      </w:r>
      <w:r w:rsidR="006D3340">
        <w:rPr>
          <w:rFonts w:cstheme="minorHAnsi"/>
          <w:b/>
        </w:rPr>
        <w:t xml:space="preserve"> </w:t>
      </w:r>
      <w:r w:rsidRPr="009C4969">
        <w:rPr>
          <w:rFonts w:cstheme="minorHAnsi"/>
          <w:b/>
        </w:rPr>
        <w:t xml:space="preserve">- </w:t>
      </w:r>
      <w:r w:rsidRPr="009C4969">
        <w:rPr>
          <w:rFonts w:cstheme="minorHAnsi"/>
          <w:b/>
          <w:color w:val="000000" w:themeColor="text1"/>
        </w:rPr>
        <w:t>Random intercept models of the Local Authority District under-18 conception rates' relationships with the Local Authority District characteristics, between 1998 and 2017 in the whole of England and excluding Inner and Outer London</w:t>
      </w:r>
    </w:p>
    <w:tbl>
      <w:tblPr>
        <w:tblW w:w="9493" w:type="dxa"/>
        <w:tblLook w:val="04A0" w:firstRow="1" w:lastRow="0" w:firstColumn="1" w:lastColumn="0" w:noHBand="0" w:noVBand="1"/>
      </w:tblPr>
      <w:tblGrid>
        <w:gridCol w:w="4957"/>
        <w:gridCol w:w="1512"/>
        <w:gridCol w:w="1512"/>
        <w:gridCol w:w="1512"/>
      </w:tblGrid>
      <w:tr w:rsidR="004E23B7" w:rsidRPr="0044286B" w14:paraId="77363210" w14:textId="77777777" w:rsidTr="00707A63">
        <w:trPr>
          <w:trHeight w:val="255"/>
          <w:tblHeader/>
        </w:trPr>
        <w:tc>
          <w:tcPr>
            <w:tcW w:w="4957" w:type="dxa"/>
            <w:tcBorders>
              <w:top w:val="single" w:sz="4" w:space="0" w:color="auto"/>
              <w:left w:val="single" w:sz="4" w:space="0" w:color="auto"/>
              <w:bottom w:val="nil"/>
              <w:right w:val="nil"/>
            </w:tcBorders>
            <w:shd w:val="clear" w:color="000000" w:fill="FFFFFF"/>
            <w:vAlign w:val="center"/>
            <w:hideMark/>
          </w:tcPr>
          <w:p w14:paraId="0F19FCA9" w14:textId="77777777" w:rsidR="004E23B7" w:rsidRPr="00682940" w:rsidRDefault="004E23B7" w:rsidP="00707A63">
            <w:pPr>
              <w:spacing w:line="140" w:lineRule="exact"/>
              <w:rPr>
                <w:rFonts w:cstheme="minorHAnsi"/>
                <w:color w:val="000000" w:themeColor="text1"/>
                <w:sz w:val="18"/>
                <w:szCs w:val="18"/>
                <w:lang w:eastAsia="en-GB"/>
              </w:rPr>
            </w:pPr>
            <w:r w:rsidRPr="00682940">
              <w:rPr>
                <w:rFonts w:cstheme="minorHAnsi"/>
                <w:color w:val="000000" w:themeColor="text1"/>
                <w:sz w:val="18"/>
                <w:szCs w:val="18"/>
                <w:lang w:eastAsia="en-GB"/>
              </w:rPr>
              <w:t> </w:t>
            </w:r>
          </w:p>
        </w:tc>
        <w:tc>
          <w:tcPr>
            <w:tcW w:w="1512" w:type="dxa"/>
            <w:tcBorders>
              <w:top w:val="single" w:sz="4" w:space="0" w:color="auto"/>
              <w:left w:val="single" w:sz="4" w:space="0" w:color="auto"/>
              <w:bottom w:val="nil"/>
              <w:right w:val="single" w:sz="4" w:space="0" w:color="auto"/>
            </w:tcBorders>
            <w:shd w:val="clear" w:color="000000" w:fill="FFFFFF"/>
            <w:vAlign w:val="center"/>
            <w:hideMark/>
          </w:tcPr>
          <w:p w14:paraId="72FE872E" w14:textId="77777777" w:rsidR="004E23B7" w:rsidRPr="00682940" w:rsidRDefault="004E23B7" w:rsidP="00707A63">
            <w:pPr>
              <w:spacing w:line="140" w:lineRule="exact"/>
              <w:rPr>
                <w:rFonts w:cstheme="minorHAnsi"/>
                <w:color w:val="000000" w:themeColor="text1"/>
                <w:sz w:val="18"/>
                <w:szCs w:val="18"/>
                <w:lang w:eastAsia="en-GB"/>
              </w:rPr>
            </w:pPr>
            <w:r w:rsidRPr="00682940">
              <w:rPr>
                <w:rFonts w:cstheme="minorHAnsi"/>
                <w:color w:val="000000" w:themeColor="text1"/>
                <w:sz w:val="18"/>
                <w:szCs w:val="18"/>
                <w:lang w:eastAsia="en-GB"/>
              </w:rPr>
              <w:t>Model 1</w:t>
            </w:r>
          </w:p>
        </w:tc>
        <w:tc>
          <w:tcPr>
            <w:tcW w:w="1512" w:type="dxa"/>
            <w:tcBorders>
              <w:top w:val="single" w:sz="4" w:space="0" w:color="auto"/>
              <w:left w:val="nil"/>
              <w:bottom w:val="nil"/>
              <w:right w:val="single" w:sz="4" w:space="0" w:color="auto"/>
            </w:tcBorders>
            <w:shd w:val="clear" w:color="000000" w:fill="FFFFFF"/>
            <w:vAlign w:val="center"/>
            <w:hideMark/>
          </w:tcPr>
          <w:p w14:paraId="2994DADC" w14:textId="77777777" w:rsidR="004E23B7" w:rsidRPr="005851B6" w:rsidRDefault="004E23B7" w:rsidP="00707A63">
            <w:pPr>
              <w:spacing w:line="140" w:lineRule="exact"/>
              <w:rPr>
                <w:rFonts w:cstheme="minorHAnsi"/>
                <w:color w:val="000000" w:themeColor="text1"/>
                <w:sz w:val="18"/>
                <w:szCs w:val="18"/>
                <w:lang w:eastAsia="en-GB"/>
              </w:rPr>
            </w:pPr>
            <w:r w:rsidRPr="005851B6">
              <w:rPr>
                <w:rFonts w:cstheme="minorHAnsi"/>
                <w:color w:val="000000" w:themeColor="text1"/>
                <w:sz w:val="18"/>
                <w:szCs w:val="18"/>
                <w:lang w:eastAsia="en-GB"/>
              </w:rPr>
              <w:t>Model 2</w:t>
            </w:r>
          </w:p>
        </w:tc>
        <w:tc>
          <w:tcPr>
            <w:tcW w:w="1512" w:type="dxa"/>
            <w:tcBorders>
              <w:top w:val="single" w:sz="4" w:space="0" w:color="auto"/>
              <w:left w:val="nil"/>
              <w:bottom w:val="nil"/>
              <w:right w:val="single" w:sz="4" w:space="0" w:color="auto"/>
            </w:tcBorders>
            <w:shd w:val="clear" w:color="000000" w:fill="FFFFFF"/>
            <w:vAlign w:val="center"/>
            <w:hideMark/>
          </w:tcPr>
          <w:p w14:paraId="4E9CFA2B" w14:textId="77777777" w:rsidR="004E23B7" w:rsidRPr="00564D6D" w:rsidRDefault="004E23B7" w:rsidP="00707A63">
            <w:pPr>
              <w:spacing w:line="140" w:lineRule="exact"/>
              <w:rPr>
                <w:rFonts w:cstheme="minorHAnsi"/>
                <w:color w:val="000000" w:themeColor="text1"/>
                <w:sz w:val="18"/>
                <w:szCs w:val="18"/>
                <w:lang w:eastAsia="en-GB"/>
              </w:rPr>
            </w:pPr>
            <w:r w:rsidRPr="00564D6D">
              <w:rPr>
                <w:rFonts w:cstheme="minorHAnsi"/>
                <w:color w:val="000000" w:themeColor="text1"/>
                <w:sz w:val="18"/>
                <w:szCs w:val="18"/>
                <w:lang w:eastAsia="en-GB"/>
              </w:rPr>
              <w:t>Model 3</w:t>
            </w:r>
          </w:p>
        </w:tc>
      </w:tr>
      <w:tr w:rsidR="004E23B7" w:rsidRPr="0044286B" w14:paraId="2BB87C9D" w14:textId="77777777" w:rsidTr="00707A63">
        <w:trPr>
          <w:trHeight w:val="321"/>
          <w:tblHeader/>
        </w:trPr>
        <w:tc>
          <w:tcPr>
            <w:tcW w:w="4957" w:type="dxa"/>
            <w:tcBorders>
              <w:top w:val="nil"/>
              <w:left w:val="single" w:sz="4" w:space="0" w:color="auto"/>
              <w:bottom w:val="nil"/>
              <w:right w:val="nil"/>
            </w:tcBorders>
            <w:shd w:val="clear" w:color="000000" w:fill="FFFFFF"/>
            <w:vAlign w:val="center"/>
            <w:hideMark/>
          </w:tcPr>
          <w:p w14:paraId="752B85F9"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 </w:t>
            </w:r>
          </w:p>
        </w:tc>
        <w:tc>
          <w:tcPr>
            <w:tcW w:w="1512" w:type="dxa"/>
            <w:tcBorders>
              <w:top w:val="nil"/>
              <w:left w:val="single" w:sz="4" w:space="0" w:color="auto"/>
              <w:bottom w:val="nil"/>
              <w:right w:val="single" w:sz="4" w:space="0" w:color="auto"/>
            </w:tcBorders>
            <w:shd w:val="clear" w:color="000000" w:fill="FFFFFF"/>
            <w:vAlign w:val="center"/>
            <w:hideMark/>
          </w:tcPr>
          <w:p w14:paraId="21BF8C88"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Rurality and Time Period Only</w:t>
            </w:r>
          </w:p>
        </w:tc>
        <w:tc>
          <w:tcPr>
            <w:tcW w:w="1512" w:type="dxa"/>
            <w:tcBorders>
              <w:top w:val="nil"/>
              <w:left w:val="nil"/>
              <w:bottom w:val="nil"/>
              <w:right w:val="single" w:sz="4" w:space="0" w:color="auto"/>
            </w:tcBorders>
            <w:shd w:val="clear" w:color="000000" w:fill="FFFFFF"/>
            <w:vAlign w:val="center"/>
            <w:hideMark/>
          </w:tcPr>
          <w:p w14:paraId="4C7F069C"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left w:val="nil"/>
              <w:bottom w:val="nil"/>
              <w:right w:val="single" w:sz="4" w:space="0" w:color="auto"/>
            </w:tcBorders>
            <w:shd w:val="clear" w:color="000000" w:fill="FFFFFF"/>
            <w:vAlign w:val="center"/>
          </w:tcPr>
          <w:p w14:paraId="402D7A45" w14:textId="77777777" w:rsidR="004E23B7" w:rsidRPr="0044286B" w:rsidRDefault="004E23B7" w:rsidP="00707A63">
            <w:pPr>
              <w:spacing w:line="140" w:lineRule="exact"/>
              <w:jc w:val="center"/>
              <w:rPr>
                <w:rFonts w:cstheme="minorHAnsi"/>
                <w:color w:val="000000" w:themeColor="text1"/>
                <w:sz w:val="18"/>
                <w:szCs w:val="18"/>
                <w:lang w:eastAsia="en-GB"/>
              </w:rPr>
            </w:pPr>
          </w:p>
        </w:tc>
      </w:tr>
      <w:tr w:rsidR="004E23B7" w:rsidRPr="0044286B" w14:paraId="777191A4" w14:textId="77777777" w:rsidTr="00707A63">
        <w:trPr>
          <w:trHeight w:val="566"/>
          <w:tblHeader/>
        </w:trPr>
        <w:tc>
          <w:tcPr>
            <w:tcW w:w="4957" w:type="dxa"/>
            <w:tcBorders>
              <w:top w:val="nil"/>
              <w:left w:val="single" w:sz="4" w:space="0" w:color="auto"/>
              <w:bottom w:val="nil"/>
              <w:right w:val="nil"/>
            </w:tcBorders>
            <w:shd w:val="clear" w:color="000000" w:fill="FFFFFF"/>
            <w:vAlign w:val="center"/>
            <w:hideMark/>
          </w:tcPr>
          <w:p w14:paraId="5F915AD1"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VARIABLES</w:t>
            </w:r>
          </w:p>
        </w:tc>
        <w:tc>
          <w:tcPr>
            <w:tcW w:w="1512" w:type="dxa"/>
            <w:tcBorders>
              <w:top w:val="nil"/>
              <w:left w:val="single" w:sz="4" w:space="0" w:color="auto"/>
              <w:bottom w:val="single" w:sz="4" w:space="0" w:color="auto"/>
              <w:right w:val="single" w:sz="4" w:space="0" w:color="auto"/>
            </w:tcBorders>
            <w:shd w:val="clear" w:color="000000" w:fill="FFFFFF"/>
            <w:vAlign w:val="center"/>
            <w:hideMark/>
          </w:tcPr>
          <w:p w14:paraId="6655DE3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Whole of England</w:t>
            </w:r>
          </w:p>
        </w:tc>
        <w:tc>
          <w:tcPr>
            <w:tcW w:w="1512" w:type="dxa"/>
            <w:tcBorders>
              <w:top w:val="nil"/>
              <w:left w:val="nil"/>
              <w:bottom w:val="single" w:sz="4" w:space="0" w:color="auto"/>
              <w:right w:val="single" w:sz="4" w:space="0" w:color="auto"/>
            </w:tcBorders>
            <w:shd w:val="clear" w:color="000000" w:fill="FFFFFF"/>
            <w:vAlign w:val="center"/>
            <w:hideMark/>
          </w:tcPr>
          <w:p w14:paraId="073AB91A"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Excluding Inner and Outer London</w:t>
            </w:r>
          </w:p>
        </w:tc>
        <w:tc>
          <w:tcPr>
            <w:tcW w:w="1512" w:type="dxa"/>
            <w:tcBorders>
              <w:top w:val="nil"/>
              <w:left w:val="nil"/>
              <w:bottom w:val="single" w:sz="4" w:space="0" w:color="auto"/>
              <w:right w:val="single" w:sz="4" w:space="0" w:color="auto"/>
            </w:tcBorders>
            <w:shd w:val="clear" w:color="000000" w:fill="FFFFFF"/>
            <w:vAlign w:val="center"/>
            <w:hideMark/>
          </w:tcPr>
          <w:p w14:paraId="72DBDB1B"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Whole of England</w:t>
            </w:r>
          </w:p>
        </w:tc>
      </w:tr>
      <w:tr w:rsidR="004E23B7" w:rsidRPr="0044286B" w14:paraId="3507FE6B" w14:textId="77777777" w:rsidTr="00707A63">
        <w:trPr>
          <w:trHeight w:val="270"/>
        </w:trPr>
        <w:tc>
          <w:tcPr>
            <w:tcW w:w="4957" w:type="dxa"/>
            <w:tcBorders>
              <w:top w:val="single" w:sz="4" w:space="0" w:color="auto"/>
              <w:left w:val="single" w:sz="4" w:space="0" w:color="auto"/>
              <w:bottom w:val="nil"/>
              <w:right w:val="nil"/>
            </w:tcBorders>
            <w:shd w:val="clear" w:color="000000" w:fill="FFFFFF"/>
            <w:vAlign w:val="center"/>
            <w:hideMark/>
          </w:tcPr>
          <w:p w14:paraId="5AED4413"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Time Period (Ref. = 1998)</w:t>
            </w:r>
          </w:p>
        </w:tc>
        <w:tc>
          <w:tcPr>
            <w:tcW w:w="1512" w:type="dxa"/>
            <w:tcBorders>
              <w:top w:val="single" w:sz="4" w:space="0" w:color="auto"/>
              <w:left w:val="nil"/>
              <w:bottom w:val="nil"/>
            </w:tcBorders>
            <w:shd w:val="clear" w:color="000000" w:fill="FFFFFF"/>
            <w:vAlign w:val="center"/>
            <w:hideMark/>
          </w:tcPr>
          <w:p w14:paraId="5B5984B6"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 </w:t>
            </w:r>
          </w:p>
        </w:tc>
        <w:tc>
          <w:tcPr>
            <w:tcW w:w="1512" w:type="dxa"/>
            <w:tcBorders>
              <w:top w:val="single" w:sz="4" w:space="0" w:color="auto"/>
              <w:bottom w:val="nil"/>
              <w:right w:val="nil"/>
            </w:tcBorders>
            <w:shd w:val="clear" w:color="000000" w:fill="FFFFFF"/>
            <w:vAlign w:val="center"/>
            <w:hideMark/>
          </w:tcPr>
          <w:p w14:paraId="144524F8"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 </w:t>
            </w:r>
          </w:p>
        </w:tc>
        <w:tc>
          <w:tcPr>
            <w:tcW w:w="1512" w:type="dxa"/>
            <w:tcBorders>
              <w:top w:val="nil"/>
              <w:left w:val="nil"/>
              <w:bottom w:val="nil"/>
              <w:right w:val="single" w:sz="4" w:space="0" w:color="auto"/>
            </w:tcBorders>
            <w:shd w:val="clear" w:color="000000" w:fill="FFFFFF"/>
            <w:vAlign w:val="center"/>
            <w:hideMark/>
          </w:tcPr>
          <w:p w14:paraId="3BA7F252"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 </w:t>
            </w:r>
          </w:p>
        </w:tc>
      </w:tr>
      <w:tr w:rsidR="004E23B7" w:rsidRPr="0044286B" w14:paraId="1B29C10D"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0EB8256B"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1999-2005</w:t>
            </w:r>
          </w:p>
        </w:tc>
        <w:tc>
          <w:tcPr>
            <w:tcW w:w="1512" w:type="dxa"/>
            <w:tcBorders>
              <w:top w:val="nil"/>
              <w:left w:val="nil"/>
              <w:bottom w:val="nil"/>
            </w:tcBorders>
            <w:shd w:val="clear" w:color="000000" w:fill="FFFFFF"/>
            <w:vAlign w:val="center"/>
            <w:hideMark/>
          </w:tcPr>
          <w:p w14:paraId="4980257B" w14:textId="10BF0E8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-4.21***</w:t>
            </w:r>
          </w:p>
        </w:tc>
        <w:tc>
          <w:tcPr>
            <w:tcW w:w="1512" w:type="dxa"/>
            <w:tcBorders>
              <w:top w:val="nil"/>
              <w:bottom w:val="nil"/>
              <w:right w:val="nil"/>
            </w:tcBorders>
            <w:shd w:val="clear" w:color="auto" w:fill="auto"/>
            <w:vAlign w:val="center"/>
          </w:tcPr>
          <w:p w14:paraId="542AAE95" w14:textId="39275A15"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3.19</w:t>
            </w:r>
          </w:p>
        </w:tc>
        <w:tc>
          <w:tcPr>
            <w:tcW w:w="1512" w:type="dxa"/>
            <w:tcBorders>
              <w:top w:val="nil"/>
              <w:left w:val="nil"/>
              <w:bottom w:val="nil"/>
              <w:right w:val="single" w:sz="4" w:space="0" w:color="auto"/>
            </w:tcBorders>
            <w:shd w:val="clear" w:color="auto" w:fill="auto"/>
            <w:vAlign w:val="center"/>
          </w:tcPr>
          <w:p w14:paraId="04786E3D" w14:textId="634E183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2.13</w:t>
            </w:r>
          </w:p>
        </w:tc>
      </w:tr>
      <w:tr w:rsidR="004E23B7" w:rsidRPr="0044286B" w14:paraId="5AC120B3"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2BDFCD9D"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2006-2010</w:t>
            </w:r>
          </w:p>
        </w:tc>
        <w:tc>
          <w:tcPr>
            <w:tcW w:w="1512" w:type="dxa"/>
            <w:tcBorders>
              <w:top w:val="nil"/>
              <w:left w:val="nil"/>
              <w:bottom w:val="nil"/>
            </w:tcBorders>
            <w:shd w:val="clear" w:color="000000" w:fill="FFFFFF"/>
            <w:vAlign w:val="center"/>
            <w:hideMark/>
          </w:tcPr>
          <w:p w14:paraId="43DFDB39" w14:textId="0016763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-8.20***</w:t>
            </w:r>
          </w:p>
        </w:tc>
        <w:tc>
          <w:tcPr>
            <w:tcW w:w="1512" w:type="dxa"/>
            <w:tcBorders>
              <w:top w:val="nil"/>
              <w:bottom w:val="nil"/>
              <w:right w:val="nil"/>
            </w:tcBorders>
            <w:shd w:val="clear" w:color="auto" w:fill="auto"/>
            <w:vAlign w:val="center"/>
          </w:tcPr>
          <w:p w14:paraId="7DE9F5B7" w14:textId="1CB38F9B"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29.80***</w:t>
            </w:r>
          </w:p>
        </w:tc>
        <w:tc>
          <w:tcPr>
            <w:tcW w:w="1512" w:type="dxa"/>
            <w:tcBorders>
              <w:top w:val="nil"/>
              <w:left w:val="nil"/>
              <w:bottom w:val="nil"/>
              <w:right w:val="single" w:sz="4" w:space="0" w:color="auto"/>
            </w:tcBorders>
            <w:shd w:val="clear" w:color="auto" w:fill="auto"/>
            <w:vAlign w:val="center"/>
          </w:tcPr>
          <w:p w14:paraId="13846FC9"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rPr>
              <w:t xml:space="preserve"> 26.07***</w:t>
            </w:r>
          </w:p>
        </w:tc>
      </w:tr>
      <w:tr w:rsidR="004E23B7" w:rsidRPr="0044286B" w14:paraId="5B763591"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3E10531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2011-2017</w:t>
            </w:r>
          </w:p>
        </w:tc>
        <w:tc>
          <w:tcPr>
            <w:tcW w:w="1512" w:type="dxa"/>
            <w:tcBorders>
              <w:top w:val="nil"/>
              <w:left w:val="nil"/>
              <w:bottom w:val="nil"/>
            </w:tcBorders>
            <w:shd w:val="clear" w:color="000000" w:fill="FFFFFF"/>
            <w:vAlign w:val="center"/>
            <w:hideMark/>
          </w:tcPr>
          <w:p w14:paraId="13504797"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-24.17***</w:t>
            </w:r>
          </w:p>
        </w:tc>
        <w:tc>
          <w:tcPr>
            <w:tcW w:w="1512" w:type="dxa"/>
            <w:tcBorders>
              <w:top w:val="nil"/>
              <w:bottom w:val="nil"/>
              <w:right w:val="nil"/>
            </w:tcBorders>
            <w:shd w:val="clear" w:color="auto" w:fill="auto"/>
            <w:vAlign w:val="center"/>
          </w:tcPr>
          <w:p w14:paraId="09D7221B"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rPr>
              <w:t xml:space="preserve"> -19.60***</w:t>
            </w:r>
          </w:p>
        </w:tc>
        <w:tc>
          <w:tcPr>
            <w:tcW w:w="1512" w:type="dxa"/>
            <w:tcBorders>
              <w:top w:val="nil"/>
              <w:left w:val="nil"/>
              <w:bottom w:val="nil"/>
              <w:right w:val="single" w:sz="4" w:space="0" w:color="auto"/>
            </w:tcBorders>
            <w:shd w:val="clear" w:color="auto" w:fill="auto"/>
            <w:vAlign w:val="center"/>
          </w:tcPr>
          <w:p w14:paraId="1D442CC5"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rPr>
              <w:t>-23.01***</w:t>
            </w:r>
          </w:p>
        </w:tc>
      </w:tr>
      <w:tr w:rsidR="004E23B7" w:rsidRPr="0044286B" w14:paraId="2C04F889"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60F1D7C3"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Urban/ Rural Measure (Ref. = Major Urban)</w:t>
            </w:r>
          </w:p>
        </w:tc>
        <w:tc>
          <w:tcPr>
            <w:tcW w:w="1512" w:type="dxa"/>
            <w:tcBorders>
              <w:top w:val="nil"/>
              <w:left w:val="nil"/>
              <w:bottom w:val="nil"/>
            </w:tcBorders>
            <w:shd w:val="clear" w:color="000000" w:fill="FFFFFF"/>
            <w:vAlign w:val="center"/>
            <w:hideMark/>
          </w:tcPr>
          <w:p w14:paraId="38EF36BF"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 </w:t>
            </w:r>
          </w:p>
        </w:tc>
        <w:tc>
          <w:tcPr>
            <w:tcW w:w="1512" w:type="dxa"/>
            <w:tcBorders>
              <w:top w:val="nil"/>
              <w:bottom w:val="nil"/>
              <w:right w:val="nil"/>
            </w:tcBorders>
            <w:shd w:val="clear" w:color="000000" w:fill="FFFFFF"/>
            <w:vAlign w:val="center"/>
          </w:tcPr>
          <w:p w14:paraId="4C140E3C" w14:textId="77777777" w:rsidR="004E23B7" w:rsidRPr="0044286B" w:rsidRDefault="004E23B7" w:rsidP="00707A63">
            <w:pPr>
              <w:spacing w:line="140" w:lineRule="exact"/>
              <w:rPr>
                <w:rFonts w:cstheme="minorHAnsi"/>
                <w:b/>
                <w:bCs/>
                <w:color w:val="000000" w:themeColor="text1"/>
                <w:sz w:val="18"/>
                <w:szCs w:val="18"/>
                <w:lang w:eastAsia="en-GB"/>
              </w:rPr>
            </w:pPr>
          </w:p>
        </w:tc>
        <w:tc>
          <w:tcPr>
            <w:tcW w:w="1512" w:type="dxa"/>
            <w:tcBorders>
              <w:top w:val="nil"/>
              <w:left w:val="nil"/>
              <w:bottom w:val="nil"/>
              <w:right w:val="single" w:sz="4" w:space="0" w:color="auto"/>
            </w:tcBorders>
            <w:shd w:val="clear" w:color="000000" w:fill="FFFFFF"/>
            <w:vAlign w:val="center"/>
          </w:tcPr>
          <w:p w14:paraId="3872ED43" w14:textId="77777777" w:rsidR="004E23B7" w:rsidRPr="0044286B" w:rsidRDefault="004E23B7" w:rsidP="00707A63">
            <w:pPr>
              <w:spacing w:line="140" w:lineRule="exact"/>
              <w:rPr>
                <w:rFonts w:cstheme="minorHAnsi"/>
                <w:b/>
                <w:bCs/>
                <w:color w:val="000000" w:themeColor="text1"/>
                <w:sz w:val="18"/>
                <w:szCs w:val="18"/>
                <w:lang w:eastAsia="en-GB"/>
              </w:rPr>
            </w:pPr>
          </w:p>
        </w:tc>
      </w:tr>
      <w:tr w:rsidR="004E23B7" w:rsidRPr="0044286B" w14:paraId="0267EC65"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55BF676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Large Urban</w:t>
            </w:r>
          </w:p>
        </w:tc>
        <w:tc>
          <w:tcPr>
            <w:tcW w:w="1512" w:type="dxa"/>
            <w:tcBorders>
              <w:top w:val="nil"/>
              <w:left w:val="nil"/>
              <w:bottom w:val="nil"/>
            </w:tcBorders>
            <w:shd w:val="clear" w:color="000000" w:fill="FFFFFF"/>
            <w:vAlign w:val="center"/>
            <w:hideMark/>
          </w:tcPr>
          <w:p w14:paraId="2AEEA6C6" w14:textId="18D17B3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-1.33</w:t>
            </w:r>
          </w:p>
        </w:tc>
        <w:tc>
          <w:tcPr>
            <w:tcW w:w="1512" w:type="dxa"/>
            <w:tcBorders>
              <w:top w:val="nil"/>
              <w:bottom w:val="nil"/>
              <w:right w:val="nil"/>
            </w:tcBorders>
            <w:shd w:val="clear" w:color="auto" w:fill="auto"/>
            <w:vAlign w:val="center"/>
          </w:tcPr>
          <w:p w14:paraId="2080B0EE" w14:textId="76E50D8E"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2.74*</w:t>
            </w:r>
          </w:p>
        </w:tc>
        <w:tc>
          <w:tcPr>
            <w:tcW w:w="1512" w:type="dxa"/>
            <w:tcBorders>
              <w:top w:val="nil"/>
              <w:left w:val="nil"/>
              <w:bottom w:val="nil"/>
              <w:right w:val="single" w:sz="4" w:space="0" w:color="auto"/>
            </w:tcBorders>
            <w:shd w:val="clear" w:color="auto" w:fill="auto"/>
            <w:vAlign w:val="center"/>
          </w:tcPr>
          <w:p w14:paraId="04105A61" w14:textId="606B6FA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2.12</w:t>
            </w:r>
          </w:p>
        </w:tc>
      </w:tr>
      <w:tr w:rsidR="004E23B7" w:rsidRPr="0044286B" w14:paraId="1C533AC3"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67E49829"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Other Urban</w:t>
            </w:r>
          </w:p>
        </w:tc>
        <w:tc>
          <w:tcPr>
            <w:tcW w:w="1512" w:type="dxa"/>
            <w:tcBorders>
              <w:top w:val="nil"/>
              <w:left w:val="nil"/>
              <w:bottom w:val="nil"/>
            </w:tcBorders>
            <w:shd w:val="clear" w:color="000000" w:fill="FFFFFF"/>
            <w:vAlign w:val="center"/>
            <w:hideMark/>
          </w:tcPr>
          <w:p w14:paraId="47AE42F3" w14:textId="35B7741F"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1.08</w:t>
            </w:r>
          </w:p>
        </w:tc>
        <w:tc>
          <w:tcPr>
            <w:tcW w:w="1512" w:type="dxa"/>
            <w:tcBorders>
              <w:top w:val="nil"/>
              <w:bottom w:val="nil"/>
              <w:right w:val="nil"/>
            </w:tcBorders>
            <w:shd w:val="clear" w:color="auto" w:fill="auto"/>
            <w:vAlign w:val="center"/>
          </w:tcPr>
          <w:p w14:paraId="034B3DE5" w14:textId="7C380810"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3.47**</w:t>
            </w:r>
          </w:p>
        </w:tc>
        <w:tc>
          <w:tcPr>
            <w:tcW w:w="1512" w:type="dxa"/>
            <w:tcBorders>
              <w:top w:val="nil"/>
              <w:left w:val="nil"/>
              <w:bottom w:val="nil"/>
              <w:right w:val="single" w:sz="4" w:space="0" w:color="auto"/>
            </w:tcBorders>
            <w:shd w:val="clear" w:color="auto" w:fill="auto"/>
            <w:vAlign w:val="center"/>
          </w:tcPr>
          <w:p w14:paraId="789236F5" w14:textId="2FED72B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2.93**</w:t>
            </w:r>
          </w:p>
        </w:tc>
      </w:tr>
      <w:tr w:rsidR="004E23B7" w:rsidRPr="0044286B" w14:paraId="4C9B9EBF"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400208A8"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Significant Rural</w:t>
            </w:r>
          </w:p>
        </w:tc>
        <w:tc>
          <w:tcPr>
            <w:tcW w:w="1512" w:type="dxa"/>
            <w:tcBorders>
              <w:top w:val="nil"/>
              <w:left w:val="nil"/>
              <w:bottom w:val="nil"/>
            </w:tcBorders>
            <w:shd w:val="clear" w:color="000000" w:fill="FFFFFF"/>
            <w:vAlign w:val="center"/>
            <w:hideMark/>
          </w:tcPr>
          <w:p w14:paraId="2912E941" w14:textId="4E386D3D"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-8.48***</w:t>
            </w:r>
          </w:p>
        </w:tc>
        <w:tc>
          <w:tcPr>
            <w:tcW w:w="1512" w:type="dxa"/>
            <w:tcBorders>
              <w:top w:val="nil"/>
              <w:bottom w:val="nil"/>
              <w:right w:val="nil"/>
            </w:tcBorders>
            <w:shd w:val="clear" w:color="auto" w:fill="auto"/>
            <w:vAlign w:val="center"/>
          </w:tcPr>
          <w:p w14:paraId="558B1C62" w14:textId="1DFA305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-3.37**</w:t>
            </w:r>
          </w:p>
        </w:tc>
        <w:tc>
          <w:tcPr>
            <w:tcW w:w="1512" w:type="dxa"/>
            <w:tcBorders>
              <w:top w:val="nil"/>
              <w:left w:val="nil"/>
              <w:bottom w:val="nil"/>
              <w:right w:val="single" w:sz="4" w:space="0" w:color="auto"/>
            </w:tcBorders>
            <w:shd w:val="clear" w:color="auto" w:fill="auto"/>
            <w:vAlign w:val="center"/>
          </w:tcPr>
          <w:p w14:paraId="54CCB72A" w14:textId="683FCB0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-4.11***</w:t>
            </w:r>
          </w:p>
        </w:tc>
      </w:tr>
      <w:tr w:rsidR="004E23B7" w:rsidRPr="0044286B" w14:paraId="25CED3D6"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0925F31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Rural-50%</w:t>
            </w:r>
          </w:p>
        </w:tc>
        <w:tc>
          <w:tcPr>
            <w:tcW w:w="1512" w:type="dxa"/>
            <w:tcBorders>
              <w:top w:val="nil"/>
              <w:left w:val="nil"/>
              <w:bottom w:val="nil"/>
            </w:tcBorders>
            <w:shd w:val="clear" w:color="000000" w:fill="FFFFFF"/>
            <w:vAlign w:val="center"/>
            <w:hideMark/>
          </w:tcPr>
          <w:p w14:paraId="0FEB4379"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 xml:space="preserve"> -10.99***</w:t>
            </w:r>
          </w:p>
        </w:tc>
        <w:tc>
          <w:tcPr>
            <w:tcW w:w="1512" w:type="dxa"/>
            <w:tcBorders>
              <w:top w:val="nil"/>
              <w:bottom w:val="nil"/>
              <w:right w:val="nil"/>
            </w:tcBorders>
            <w:shd w:val="clear" w:color="auto" w:fill="auto"/>
            <w:vAlign w:val="center"/>
          </w:tcPr>
          <w:p w14:paraId="4F884070" w14:textId="47CDFC8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-4.80***</w:t>
            </w:r>
          </w:p>
        </w:tc>
        <w:tc>
          <w:tcPr>
            <w:tcW w:w="1512" w:type="dxa"/>
            <w:tcBorders>
              <w:top w:val="nil"/>
              <w:left w:val="nil"/>
              <w:bottom w:val="nil"/>
              <w:right w:val="single" w:sz="4" w:space="0" w:color="auto"/>
            </w:tcBorders>
            <w:shd w:val="clear" w:color="auto" w:fill="auto"/>
            <w:vAlign w:val="center"/>
          </w:tcPr>
          <w:p w14:paraId="391CED78" w14:textId="45005E70"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-5.90***</w:t>
            </w:r>
          </w:p>
        </w:tc>
      </w:tr>
      <w:tr w:rsidR="004E23B7" w:rsidRPr="0044286B" w14:paraId="2DAE4DDA"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0AA177E9"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Rural-80%</w:t>
            </w:r>
          </w:p>
        </w:tc>
        <w:tc>
          <w:tcPr>
            <w:tcW w:w="1512" w:type="dxa"/>
            <w:tcBorders>
              <w:top w:val="nil"/>
              <w:left w:val="nil"/>
              <w:bottom w:val="nil"/>
            </w:tcBorders>
            <w:shd w:val="clear" w:color="000000" w:fill="FFFFFF"/>
            <w:vAlign w:val="center"/>
            <w:hideMark/>
          </w:tcPr>
          <w:p w14:paraId="6F81DDD7"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 xml:space="preserve"> -14.83***</w:t>
            </w:r>
          </w:p>
        </w:tc>
        <w:tc>
          <w:tcPr>
            <w:tcW w:w="1512" w:type="dxa"/>
            <w:tcBorders>
              <w:top w:val="nil"/>
              <w:bottom w:val="nil"/>
              <w:right w:val="nil"/>
            </w:tcBorders>
            <w:shd w:val="clear" w:color="auto" w:fill="auto"/>
            <w:vAlign w:val="center"/>
          </w:tcPr>
          <w:p w14:paraId="642863C9" w14:textId="6D9B4BFE"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-8.81***</w:t>
            </w:r>
          </w:p>
        </w:tc>
        <w:tc>
          <w:tcPr>
            <w:tcW w:w="1512" w:type="dxa"/>
            <w:tcBorders>
              <w:top w:val="nil"/>
              <w:left w:val="nil"/>
              <w:bottom w:val="nil"/>
              <w:right w:val="single" w:sz="4" w:space="0" w:color="auto"/>
            </w:tcBorders>
            <w:shd w:val="clear" w:color="auto" w:fill="auto"/>
            <w:vAlign w:val="center"/>
          </w:tcPr>
          <w:p w14:paraId="7C88F86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rPr>
              <w:t xml:space="preserve"> -10.00***</w:t>
            </w:r>
          </w:p>
        </w:tc>
      </w:tr>
      <w:tr w:rsidR="004E23B7" w:rsidRPr="0044286B" w14:paraId="549EC656"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2ED742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Inner London</w:t>
            </w:r>
          </w:p>
        </w:tc>
        <w:tc>
          <w:tcPr>
            <w:tcW w:w="1512" w:type="dxa"/>
            <w:tcBorders>
              <w:top w:val="nil"/>
              <w:left w:val="nil"/>
              <w:bottom w:val="nil"/>
            </w:tcBorders>
            <w:shd w:val="clear" w:color="000000" w:fill="FFFFFF"/>
            <w:vAlign w:val="center"/>
            <w:hideMark/>
          </w:tcPr>
          <w:p w14:paraId="3A8D8203" w14:textId="377639D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15.90***</w:t>
            </w:r>
          </w:p>
        </w:tc>
        <w:tc>
          <w:tcPr>
            <w:tcW w:w="1512" w:type="dxa"/>
            <w:tcBorders>
              <w:top w:val="nil"/>
              <w:bottom w:val="nil"/>
              <w:right w:val="nil"/>
            </w:tcBorders>
            <w:shd w:val="clear" w:color="000000" w:fill="FFFFFF"/>
            <w:vAlign w:val="center"/>
          </w:tcPr>
          <w:p w14:paraId="61C18D5F"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left w:val="nil"/>
              <w:bottom w:val="nil"/>
              <w:right w:val="single" w:sz="4" w:space="0" w:color="auto"/>
            </w:tcBorders>
            <w:shd w:val="clear" w:color="auto" w:fill="auto"/>
            <w:vAlign w:val="center"/>
          </w:tcPr>
          <w:p w14:paraId="59595F02" w14:textId="4078DAE5"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3.06</w:t>
            </w:r>
          </w:p>
        </w:tc>
      </w:tr>
      <w:tr w:rsidR="004E23B7" w:rsidRPr="0044286B" w14:paraId="63B7C864"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6A2BBFAF"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Outer London</w:t>
            </w:r>
          </w:p>
        </w:tc>
        <w:tc>
          <w:tcPr>
            <w:tcW w:w="1512" w:type="dxa"/>
            <w:tcBorders>
              <w:top w:val="nil"/>
              <w:left w:val="nil"/>
              <w:bottom w:val="nil"/>
            </w:tcBorders>
            <w:shd w:val="clear" w:color="000000" w:fill="FFFFFF"/>
            <w:vAlign w:val="center"/>
            <w:hideMark/>
          </w:tcPr>
          <w:p w14:paraId="2B6592BD" w14:textId="7773A41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-6.85**</w:t>
            </w:r>
          </w:p>
        </w:tc>
        <w:tc>
          <w:tcPr>
            <w:tcW w:w="1512" w:type="dxa"/>
            <w:tcBorders>
              <w:top w:val="nil"/>
              <w:bottom w:val="nil"/>
              <w:right w:val="nil"/>
            </w:tcBorders>
            <w:shd w:val="clear" w:color="000000" w:fill="FFFFFF"/>
            <w:vAlign w:val="center"/>
          </w:tcPr>
          <w:p w14:paraId="72BB214B"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left w:val="nil"/>
              <w:bottom w:val="nil"/>
              <w:right w:val="single" w:sz="4" w:space="0" w:color="auto"/>
            </w:tcBorders>
            <w:shd w:val="clear" w:color="auto" w:fill="auto"/>
            <w:vAlign w:val="center"/>
          </w:tcPr>
          <w:p w14:paraId="0FF922C6" w14:textId="53D0C98D"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-5.44**</w:t>
            </w:r>
          </w:p>
        </w:tc>
      </w:tr>
      <w:tr w:rsidR="004E23B7" w:rsidRPr="0044286B" w14:paraId="172F3F94"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C8F8297"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Urban/Rural Interactions with Time Period</w:t>
            </w:r>
          </w:p>
        </w:tc>
        <w:tc>
          <w:tcPr>
            <w:tcW w:w="1512" w:type="dxa"/>
            <w:tcBorders>
              <w:top w:val="nil"/>
              <w:left w:val="nil"/>
              <w:bottom w:val="nil"/>
            </w:tcBorders>
            <w:shd w:val="clear" w:color="000000" w:fill="FFFFFF"/>
            <w:vAlign w:val="center"/>
            <w:hideMark/>
          </w:tcPr>
          <w:p w14:paraId="4891A1AA"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 </w:t>
            </w:r>
          </w:p>
        </w:tc>
        <w:tc>
          <w:tcPr>
            <w:tcW w:w="1512" w:type="dxa"/>
            <w:tcBorders>
              <w:top w:val="nil"/>
              <w:bottom w:val="nil"/>
              <w:right w:val="nil"/>
            </w:tcBorders>
            <w:shd w:val="clear" w:color="000000" w:fill="FFFFFF"/>
            <w:vAlign w:val="center"/>
          </w:tcPr>
          <w:p w14:paraId="15F3C330" w14:textId="77777777" w:rsidR="004E23B7" w:rsidRPr="0044286B" w:rsidRDefault="004E23B7" w:rsidP="00707A63">
            <w:pPr>
              <w:spacing w:line="140" w:lineRule="exact"/>
              <w:rPr>
                <w:rFonts w:cstheme="minorHAnsi"/>
                <w:b/>
                <w:bCs/>
                <w:color w:val="000000" w:themeColor="text1"/>
                <w:sz w:val="18"/>
                <w:szCs w:val="18"/>
                <w:lang w:eastAsia="en-GB"/>
              </w:rPr>
            </w:pPr>
          </w:p>
        </w:tc>
        <w:tc>
          <w:tcPr>
            <w:tcW w:w="1512" w:type="dxa"/>
            <w:tcBorders>
              <w:top w:val="nil"/>
              <w:left w:val="nil"/>
              <w:bottom w:val="nil"/>
              <w:right w:val="single" w:sz="4" w:space="0" w:color="auto"/>
            </w:tcBorders>
            <w:shd w:val="clear" w:color="000000" w:fill="FFFFFF"/>
            <w:vAlign w:val="center"/>
          </w:tcPr>
          <w:p w14:paraId="4393C667" w14:textId="77777777" w:rsidR="004E23B7" w:rsidRPr="0044286B" w:rsidRDefault="004E23B7" w:rsidP="00707A63">
            <w:pPr>
              <w:spacing w:line="140" w:lineRule="exact"/>
              <w:rPr>
                <w:rFonts w:cstheme="minorHAnsi"/>
                <w:b/>
                <w:bCs/>
                <w:color w:val="000000" w:themeColor="text1"/>
                <w:sz w:val="18"/>
                <w:szCs w:val="18"/>
                <w:lang w:eastAsia="en-GB"/>
              </w:rPr>
            </w:pPr>
          </w:p>
        </w:tc>
      </w:tr>
      <w:tr w:rsidR="004E23B7" w:rsidRPr="0044286B" w14:paraId="35D997B9"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0AA6C24C"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Large Urban * 1999-2005</w:t>
            </w:r>
          </w:p>
        </w:tc>
        <w:tc>
          <w:tcPr>
            <w:tcW w:w="1512" w:type="dxa"/>
            <w:tcBorders>
              <w:top w:val="nil"/>
              <w:left w:val="nil"/>
              <w:bottom w:val="nil"/>
            </w:tcBorders>
            <w:shd w:val="clear" w:color="000000" w:fill="FFFFFF"/>
            <w:vAlign w:val="center"/>
            <w:hideMark/>
          </w:tcPr>
          <w:p w14:paraId="3A78938F" w14:textId="6AC2E59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-0.60</w:t>
            </w:r>
          </w:p>
        </w:tc>
        <w:tc>
          <w:tcPr>
            <w:tcW w:w="1512" w:type="dxa"/>
            <w:tcBorders>
              <w:top w:val="nil"/>
              <w:bottom w:val="nil"/>
              <w:right w:val="nil"/>
            </w:tcBorders>
            <w:shd w:val="clear" w:color="auto" w:fill="auto"/>
            <w:vAlign w:val="center"/>
          </w:tcPr>
          <w:p w14:paraId="3EC1A666" w14:textId="3F0095D0"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-1.71</w:t>
            </w:r>
          </w:p>
        </w:tc>
        <w:tc>
          <w:tcPr>
            <w:tcW w:w="1512" w:type="dxa"/>
            <w:tcBorders>
              <w:top w:val="nil"/>
              <w:left w:val="nil"/>
              <w:bottom w:val="nil"/>
              <w:right w:val="single" w:sz="4" w:space="0" w:color="auto"/>
            </w:tcBorders>
            <w:shd w:val="clear" w:color="auto" w:fill="auto"/>
            <w:vAlign w:val="center"/>
          </w:tcPr>
          <w:p w14:paraId="26195B8B" w14:textId="113A4705"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-1.22</w:t>
            </w:r>
          </w:p>
        </w:tc>
      </w:tr>
      <w:tr w:rsidR="004E23B7" w:rsidRPr="0044286B" w14:paraId="1B2E9C7B"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779E5ED5"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Large Urban * 2006-2010</w:t>
            </w:r>
          </w:p>
        </w:tc>
        <w:tc>
          <w:tcPr>
            <w:tcW w:w="1512" w:type="dxa"/>
            <w:tcBorders>
              <w:top w:val="nil"/>
              <w:left w:val="nil"/>
              <w:bottom w:val="nil"/>
            </w:tcBorders>
            <w:shd w:val="clear" w:color="000000" w:fill="FFFFFF"/>
            <w:vAlign w:val="center"/>
            <w:hideMark/>
          </w:tcPr>
          <w:p w14:paraId="11A90E4A" w14:textId="634ECCD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0.55</w:t>
            </w:r>
          </w:p>
        </w:tc>
        <w:tc>
          <w:tcPr>
            <w:tcW w:w="1512" w:type="dxa"/>
            <w:tcBorders>
              <w:top w:val="nil"/>
              <w:bottom w:val="nil"/>
              <w:right w:val="nil"/>
            </w:tcBorders>
            <w:shd w:val="clear" w:color="auto" w:fill="auto"/>
            <w:vAlign w:val="center"/>
          </w:tcPr>
          <w:p w14:paraId="1D95D892" w14:textId="6505F9D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-3.12**</w:t>
            </w:r>
          </w:p>
        </w:tc>
        <w:tc>
          <w:tcPr>
            <w:tcW w:w="1512" w:type="dxa"/>
            <w:tcBorders>
              <w:top w:val="nil"/>
              <w:left w:val="nil"/>
              <w:bottom w:val="nil"/>
              <w:right w:val="single" w:sz="4" w:space="0" w:color="auto"/>
            </w:tcBorders>
            <w:shd w:val="clear" w:color="auto" w:fill="auto"/>
            <w:vAlign w:val="center"/>
          </w:tcPr>
          <w:p w14:paraId="18A2088C" w14:textId="4D9627C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-2.66*</w:t>
            </w:r>
          </w:p>
        </w:tc>
      </w:tr>
      <w:tr w:rsidR="004E23B7" w:rsidRPr="0044286B" w14:paraId="7319B8F2"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6635E84F"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Large Urban * 2011-2017</w:t>
            </w:r>
          </w:p>
        </w:tc>
        <w:tc>
          <w:tcPr>
            <w:tcW w:w="1512" w:type="dxa"/>
            <w:tcBorders>
              <w:top w:val="nil"/>
              <w:left w:val="nil"/>
              <w:bottom w:val="nil"/>
            </w:tcBorders>
            <w:shd w:val="clear" w:color="000000" w:fill="FFFFFF"/>
            <w:vAlign w:val="center"/>
            <w:hideMark/>
          </w:tcPr>
          <w:p w14:paraId="3D1DFF6F" w14:textId="75DA334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0.39</w:t>
            </w:r>
          </w:p>
        </w:tc>
        <w:tc>
          <w:tcPr>
            <w:tcW w:w="1512" w:type="dxa"/>
            <w:tcBorders>
              <w:top w:val="nil"/>
              <w:bottom w:val="nil"/>
              <w:right w:val="nil"/>
            </w:tcBorders>
            <w:shd w:val="clear" w:color="auto" w:fill="auto"/>
            <w:vAlign w:val="center"/>
          </w:tcPr>
          <w:p w14:paraId="42DD0BE8" w14:textId="02DCD09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-3.04**</w:t>
            </w:r>
          </w:p>
        </w:tc>
        <w:tc>
          <w:tcPr>
            <w:tcW w:w="1512" w:type="dxa"/>
            <w:tcBorders>
              <w:top w:val="nil"/>
              <w:left w:val="nil"/>
              <w:bottom w:val="nil"/>
              <w:right w:val="single" w:sz="4" w:space="0" w:color="auto"/>
            </w:tcBorders>
            <w:shd w:val="clear" w:color="auto" w:fill="auto"/>
            <w:vAlign w:val="center"/>
          </w:tcPr>
          <w:p w14:paraId="351EA12B" w14:textId="06B59CE8"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-2.41*</w:t>
            </w:r>
          </w:p>
        </w:tc>
      </w:tr>
      <w:tr w:rsidR="004E23B7" w:rsidRPr="0044286B" w14:paraId="0A472890"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CD9234F"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Other Urban * 1999-2005</w:t>
            </w:r>
          </w:p>
        </w:tc>
        <w:tc>
          <w:tcPr>
            <w:tcW w:w="1512" w:type="dxa"/>
            <w:tcBorders>
              <w:top w:val="nil"/>
              <w:left w:val="nil"/>
              <w:bottom w:val="nil"/>
            </w:tcBorders>
            <w:shd w:val="clear" w:color="000000" w:fill="FFFFFF"/>
            <w:vAlign w:val="center"/>
            <w:hideMark/>
          </w:tcPr>
          <w:p w14:paraId="712C703A" w14:textId="2F5EBA3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-1.64</w:t>
            </w:r>
          </w:p>
        </w:tc>
        <w:tc>
          <w:tcPr>
            <w:tcW w:w="1512" w:type="dxa"/>
            <w:tcBorders>
              <w:top w:val="nil"/>
              <w:bottom w:val="nil"/>
              <w:right w:val="nil"/>
            </w:tcBorders>
            <w:shd w:val="clear" w:color="auto" w:fill="auto"/>
            <w:vAlign w:val="center"/>
          </w:tcPr>
          <w:p w14:paraId="50DA5BCD" w14:textId="5CE27DA8"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-1.52</w:t>
            </w:r>
          </w:p>
        </w:tc>
        <w:tc>
          <w:tcPr>
            <w:tcW w:w="1512" w:type="dxa"/>
            <w:tcBorders>
              <w:top w:val="nil"/>
              <w:left w:val="nil"/>
              <w:bottom w:val="nil"/>
              <w:right w:val="single" w:sz="4" w:space="0" w:color="auto"/>
            </w:tcBorders>
            <w:shd w:val="clear" w:color="auto" w:fill="auto"/>
            <w:vAlign w:val="center"/>
          </w:tcPr>
          <w:p w14:paraId="6400B5B1" w14:textId="03F9CFF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-0.93</w:t>
            </w:r>
          </w:p>
        </w:tc>
      </w:tr>
      <w:tr w:rsidR="004E23B7" w:rsidRPr="0044286B" w14:paraId="4792D2F1"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66EBC6F2"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Other Urban * 2006-2010</w:t>
            </w:r>
          </w:p>
        </w:tc>
        <w:tc>
          <w:tcPr>
            <w:tcW w:w="1512" w:type="dxa"/>
            <w:tcBorders>
              <w:top w:val="nil"/>
              <w:left w:val="nil"/>
              <w:bottom w:val="nil"/>
            </w:tcBorders>
            <w:shd w:val="clear" w:color="000000" w:fill="FFFFFF"/>
            <w:vAlign w:val="center"/>
            <w:hideMark/>
          </w:tcPr>
          <w:p w14:paraId="7E3C1950" w14:textId="2F0FC4A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-1.88</w:t>
            </w:r>
          </w:p>
        </w:tc>
        <w:tc>
          <w:tcPr>
            <w:tcW w:w="1512" w:type="dxa"/>
            <w:tcBorders>
              <w:top w:val="nil"/>
              <w:bottom w:val="nil"/>
              <w:right w:val="nil"/>
            </w:tcBorders>
            <w:shd w:val="clear" w:color="auto" w:fill="auto"/>
            <w:vAlign w:val="center"/>
          </w:tcPr>
          <w:p w14:paraId="62A40560" w14:textId="5976D1D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-3.43***</w:t>
            </w:r>
          </w:p>
        </w:tc>
        <w:tc>
          <w:tcPr>
            <w:tcW w:w="1512" w:type="dxa"/>
            <w:tcBorders>
              <w:top w:val="nil"/>
              <w:left w:val="nil"/>
              <w:bottom w:val="nil"/>
              <w:right w:val="single" w:sz="4" w:space="0" w:color="auto"/>
            </w:tcBorders>
            <w:shd w:val="clear" w:color="auto" w:fill="auto"/>
            <w:vAlign w:val="center"/>
          </w:tcPr>
          <w:p w14:paraId="496F22B2" w14:textId="236DC39D"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-2.86**</w:t>
            </w:r>
          </w:p>
        </w:tc>
      </w:tr>
      <w:tr w:rsidR="004E23B7" w:rsidRPr="0044286B" w14:paraId="25953A5E"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66B33DF1"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Other Urban * 2011-2017</w:t>
            </w:r>
          </w:p>
        </w:tc>
        <w:tc>
          <w:tcPr>
            <w:tcW w:w="1512" w:type="dxa"/>
            <w:tcBorders>
              <w:top w:val="nil"/>
              <w:left w:val="nil"/>
              <w:bottom w:val="nil"/>
            </w:tcBorders>
            <w:shd w:val="clear" w:color="000000" w:fill="FFFFFF"/>
            <w:vAlign w:val="center"/>
            <w:hideMark/>
          </w:tcPr>
          <w:p w14:paraId="055C30F4" w14:textId="6A4228C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-5.51***</w:t>
            </w:r>
          </w:p>
        </w:tc>
        <w:tc>
          <w:tcPr>
            <w:tcW w:w="1512" w:type="dxa"/>
            <w:tcBorders>
              <w:top w:val="nil"/>
              <w:bottom w:val="nil"/>
              <w:right w:val="nil"/>
            </w:tcBorders>
            <w:shd w:val="clear" w:color="auto" w:fill="auto"/>
            <w:vAlign w:val="center"/>
          </w:tcPr>
          <w:p w14:paraId="3CCEB16B" w14:textId="0D7FD2D8"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-4.49***</w:t>
            </w:r>
          </w:p>
        </w:tc>
        <w:tc>
          <w:tcPr>
            <w:tcW w:w="1512" w:type="dxa"/>
            <w:tcBorders>
              <w:top w:val="nil"/>
              <w:left w:val="nil"/>
              <w:bottom w:val="nil"/>
              <w:right w:val="single" w:sz="4" w:space="0" w:color="auto"/>
            </w:tcBorders>
            <w:shd w:val="clear" w:color="auto" w:fill="auto"/>
            <w:vAlign w:val="center"/>
          </w:tcPr>
          <w:p w14:paraId="60793939" w14:textId="50A462C6"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-3.82**</w:t>
            </w:r>
          </w:p>
        </w:tc>
      </w:tr>
      <w:tr w:rsidR="004E23B7" w:rsidRPr="0044286B" w14:paraId="6F45E4A2"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68ECE8E2"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Significant Rural * 1999-2005</w:t>
            </w:r>
          </w:p>
        </w:tc>
        <w:tc>
          <w:tcPr>
            <w:tcW w:w="1512" w:type="dxa"/>
            <w:tcBorders>
              <w:top w:val="nil"/>
              <w:left w:val="nil"/>
              <w:bottom w:val="nil"/>
            </w:tcBorders>
            <w:shd w:val="clear" w:color="000000" w:fill="FFFFFF"/>
            <w:vAlign w:val="center"/>
            <w:hideMark/>
          </w:tcPr>
          <w:p w14:paraId="63AF23E8" w14:textId="2B9ADB4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1.07</w:t>
            </w:r>
          </w:p>
        </w:tc>
        <w:tc>
          <w:tcPr>
            <w:tcW w:w="1512" w:type="dxa"/>
            <w:tcBorders>
              <w:top w:val="nil"/>
              <w:bottom w:val="nil"/>
              <w:right w:val="nil"/>
            </w:tcBorders>
            <w:shd w:val="clear" w:color="auto" w:fill="auto"/>
            <w:vAlign w:val="center"/>
          </w:tcPr>
          <w:p w14:paraId="51015425" w14:textId="44BC8263"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-0.30</w:t>
            </w:r>
          </w:p>
        </w:tc>
        <w:tc>
          <w:tcPr>
            <w:tcW w:w="1512" w:type="dxa"/>
            <w:tcBorders>
              <w:top w:val="nil"/>
              <w:left w:val="nil"/>
              <w:bottom w:val="nil"/>
              <w:right w:val="single" w:sz="4" w:space="0" w:color="auto"/>
            </w:tcBorders>
            <w:shd w:val="clear" w:color="auto" w:fill="auto"/>
            <w:vAlign w:val="center"/>
          </w:tcPr>
          <w:p w14:paraId="3B05F99E" w14:textId="04C490DE"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0.56</w:t>
            </w:r>
          </w:p>
        </w:tc>
      </w:tr>
      <w:tr w:rsidR="004E23B7" w:rsidRPr="0044286B" w14:paraId="22514227"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67610A91"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Significant Rural * 2006-2010</w:t>
            </w:r>
          </w:p>
        </w:tc>
        <w:tc>
          <w:tcPr>
            <w:tcW w:w="1512" w:type="dxa"/>
            <w:tcBorders>
              <w:top w:val="nil"/>
              <w:left w:val="nil"/>
              <w:bottom w:val="nil"/>
            </w:tcBorders>
            <w:shd w:val="clear" w:color="000000" w:fill="FFFFFF"/>
            <w:vAlign w:val="center"/>
            <w:hideMark/>
          </w:tcPr>
          <w:p w14:paraId="10DF564A" w14:textId="524A7AC3"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2.81**</w:t>
            </w:r>
          </w:p>
        </w:tc>
        <w:tc>
          <w:tcPr>
            <w:tcW w:w="1512" w:type="dxa"/>
            <w:tcBorders>
              <w:top w:val="nil"/>
              <w:bottom w:val="nil"/>
              <w:right w:val="nil"/>
            </w:tcBorders>
            <w:shd w:val="clear" w:color="auto" w:fill="auto"/>
            <w:vAlign w:val="center"/>
          </w:tcPr>
          <w:p w14:paraId="62FE00CA" w14:textId="5856657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-0.84</w:t>
            </w:r>
          </w:p>
        </w:tc>
        <w:tc>
          <w:tcPr>
            <w:tcW w:w="1512" w:type="dxa"/>
            <w:tcBorders>
              <w:top w:val="nil"/>
              <w:left w:val="nil"/>
              <w:bottom w:val="nil"/>
              <w:right w:val="single" w:sz="4" w:space="0" w:color="auto"/>
            </w:tcBorders>
            <w:shd w:val="clear" w:color="auto" w:fill="auto"/>
            <w:vAlign w:val="center"/>
          </w:tcPr>
          <w:p w14:paraId="45713028" w14:textId="1E9C216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-0.19</w:t>
            </w:r>
          </w:p>
        </w:tc>
      </w:tr>
      <w:tr w:rsidR="004E23B7" w:rsidRPr="0044286B" w14:paraId="2A2C07B9"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2263A0EB"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Significant Rural * 2011-2017</w:t>
            </w:r>
          </w:p>
        </w:tc>
        <w:tc>
          <w:tcPr>
            <w:tcW w:w="1512" w:type="dxa"/>
            <w:tcBorders>
              <w:top w:val="nil"/>
              <w:left w:val="nil"/>
              <w:bottom w:val="nil"/>
            </w:tcBorders>
            <w:shd w:val="clear" w:color="000000" w:fill="FFFFFF"/>
            <w:vAlign w:val="center"/>
            <w:hideMark/>
          </w:tcPr>
          <w:p w14:paraId="63212D89" w14:textId="5FDE9CF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5.55***</w:t>
            </w:r>
          </w:p>
        </w:tc>
        <w:tc>
          <w:tcPr>
            <w:tcW w:w="1512" w:type="dxa"/>
            <w:tcBorders>
              <w:top w:val="nil"/>
              <w:bottom w:val="nil"/>
              <w:right w:val="nil"/>
            </w:tcBorders>
            <w:shd w:val="clear" w:color="auto" w:fill="auto"/>
            <w:vAlign w:val="center"/>
          </w:tcPr>
          <w:p w14:paraId="0ADCDCA1" w14:textId="4DAA9017"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-0.22</w:t>
            </w:r>
          </w:p>
        </w:tc>
        <w:tc>
          <w:tcPr>
            <w:tcW w:w="1512" w:type="dxa"/>
            <w:tcBorders>
              <w:top w:val="nil"/>
              <w:left w:val="nil"/>
              <w:bottom w:val="nil"/>
              <w:right w:val="single" w:sz="4" w:space="0" w:color="auto"/>
            </w:tcBorders>
            <w:shd w:val="clear" w:color="auto" w:fill="auto"/>
            <w:vAlign w:val="center"/>
          </w:tcPr>
          <w:p w14:paraId="5608C9A1" w14:textId="00888C6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0.60</w:t>
            </w:r>
          </w:p>
        </w:tc>
      </w:tr>
      <w:tr w:rsidR="004E23B7" w:rsidRPr="0044286B" w14:paraId="31B4B52F"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7630FCB3"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Rural-50% * 1999-2005</w:t>
            </w:r>
          </w:p>
        </w:tc>
        <w:tc>
          <w:tcPr>
            <w:tcW w:w="1512" w:type="dxa"/>
            <w:tcBorders>
              <w:top w:val="nil"/>
              <w:left w:val="nil"/>
              <w:bottom w:val="nil"/>
            </w:tcBorders>
            <w:shd w:val="clear" w:color="000000" w:fill="FFFFFF"/>
            <w:vAlign w:val="center"/>
            <w:hideMark/>
          </w:tcPr>
          <w:p w14:paraId="505B5D95" w14:textId="709B204E"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-0.45</w:t>
            </w:r>
          </w:p>
        </w:tc>
        <w:tc>
          <w:tcPr>
            <w:tcW w:w="1512" w:type="dxa"/>
            <w:tcBorders>
              <w:top w:val="nil"/>
              <w:bottom w:val="nil"/>
              <w:right w:val="nil"/>
            </w:tcBorders>
            <w:shd w:val="clear" w:color="auto" w:fill="auto"/>
            <w:vAlign w:val="center"/>
          </w:tcPr>
          <w:p w14:paraId="5C21EF06" w14:textId="6B7DA8B5"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-2.46*</w:t>
            </w:r>
          </w:p>
        </w:tc>
        <w:tc>
          <w:tcPr>
            <w:tcW w:w="1512" w:type="dxa"/>
            <w:tcBorders>
              <w:top w:val="nil"/>
              <w:left w:val="nil"/>
              <w:bottom w:val="nil"/>
              <w:right w:val="single" w:sz="4" w:space="0" w:color="auto"/>
            </w:tcBorders>
            <w:shd w:val="clear" w:color="auto" w:fill="auto"/>
            <w:vAlign w:val="center"/>
          </w:tcPr>
          <w:p w14:paraId="1CDBA77A" w14:textId="6EE1E167"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-1.34</w:t>
            </w:r>
          </w:p>
        </w:tc>
      </w:tr>
      <w:tr w:rsidR="004E23B7" w:rsidRPr="0044286B" w14:paraId="71B8C7CA"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7C9798F3"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Rural-50% * 2006-2010</w:t>
            </w:r>
          </w:p>
        </w:tc>
        <w:tc>
          <w:tcPr>
            <w:tcW w:w="1512" w:type="dxa"/>
            <w:tcBorders>
              <w:top w:val="nil"/>
              <w:left w:val="nil"/>
              <w:bottom w:val="nil"/>
            </w:tcBorders>
            <w:shd w:val="clear" w:color="000000" w:fill="FFFFFF"/>
            <w:vAlign w:val="center"/>
            <w:hideMark/>
          </w:tcPr>
          <w:p w14:paraId="5ED38A0D" w14:textId="6F5B519F"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2.56*</w:t>
            </w:r>
          </w:p>
        </w:tc>
        <w:tc>
          <w:tcPr>
            <w:tcW w:w="1512" w:type="dxa"/>
            <w:tcBorders>
              <w:top w:val="nil"/>
              <w:bottom w:val="nil"/>
              <w:right w:val="nil"/>
            </w:tcBorders>
            <w:shd w:val="clear" w:color="auto" w:fill="auto"/>
            <w:vAlign w:val="center"/>
          </w:tcPr>
          <w:p w14:paraId="74640496" w14:textId="36B79D3D"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-1.96</w:t>
            </w:r>
          </w:p>
        </w:tc>
        <w:tc>
          <w:tcPr>
            <w:tcW w:w="1512" w:type="dxa"/>
            <w:tcBorders>
              <w:top w:val="nil"/>
              <w:left w:val="nil"/>
              <w:bottom w:val="nil"/>
              <w:right w:val="single" w:sz="4" w:space="0" w:color="auto"/>
            </w:tcBorders>
            <w:shd w:val="clear" w:color="auto" w:fill="auto"/>
            <w:vAlign w:val="center"/>
          </w:tcPr>
          <w:p w14:paraId="3C10F5F7" w14:textId="5B9B1626"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-0.95</w:t>
            </w:r>
          </w:p>
        </w:tc>
      </w:tr>
      <w:tr w:rsidR="004E23B7" w:rsidRPr="0044286B" w14:paraId="4F5A6704"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58D5800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Rural-50% * 2011-2017</w:t>
            </w:r>
          </w:p>
        </w:tc>
        <w:tc>
          <w:tcPr>
            <w:tcW w:w="1512" w:type="dxa"/>
            <w:tcBorders>
              <w:top w:val="nil"/>
              <w:left w:val="nil"/>
              <w:bottom w:val="nil"/>
            </w:tcBorders>
            <w:shd w:val="clear" w:color="000000" w:fill="FFFFFF"/>
            <w:vAlign w:val="center"/>
            <w:hideMark/>
          </w:tcPr>
          <w:p w14:paraId="119D58E6" w14:textId="04048E6E"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7.29***</w:t>
            </w:r>
          </w:p>
        </w:tc>
        <w:tc>
          <w:tcPr>
            <w:tcW w:w="1512" w:type="dxa"/>
            <w:tcBorders>
              <w:top w:val="nil"/>
              <w:bottom w:val="nil"/>
              <w:right w:val="nil"/>
            </w:tcBorders>
            <w:shd w:val="clear" w:color="auto" w:fill="auto"/>
            <w:vAlign w:val="center"/>
          </w:tcPr>
          <w:p w14:paraId="5C68268D" w14:textId="4BEE45C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0.39</w:t>
            </w:r>
          </w:p>
        </w:tc>
        <w:tc>
          <w:tcPr>
            <w:tcW w:w="1512" w:type="dxa"/>
            <w:tcBorders>
              <w:top w:val="nil"/>
              <w:left w:val="nil"/>
              <w:bottom w:val="nil"/>
              <w:right w:val="single" w:sz="4" w:space="0" w:color="auto"/>
            </w:tcBorders>
            <w:shd w:val="clear" w:color="auto" w:fill="auto"/>
            <w:vAlign w:val="center"/>
          </w:tcPr>
          <w:p w14:paraId="229BD580" w14:textId="5881320D"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1.57</w:t>
            </w:r>
          </w:p>
        </w:tc>
      </w:tr>
      <w:tr w:rsidR="004E23B7" w:rsidRPr="0044286B" w14:paraId="252B4473"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5A2EE449"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Rural-80% * 1999-2005</w:t>
            </w:r>
          </w:p>
        </w:tc>
        <w:tc>
          <w:tcPr>
            <w:tcW w:w="1512" w:type="dxa"/>
            <w:tcBorders>
              <w:top w:val="nil"/>
              <w:left w:val="nil"/>
              <w:bottom w:val="nil"/>
            </w:tcBorders>
            <w:shd w:val="clear" w:color="000000" w:fill="FFFFFF"/>
            <w:vAlign w:val="center"/>
            <w:hideMark/>
          </w:tcPr>
          <w:p w14:paraId="53F8AA92" w14:textId="017D1DA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0.05</w:t>
            </w:r>
          </w:p>
        </w:tc>
        <w:tc>
          <w:tcPr>
            <w:tcW w:w="1512" w:type="dxa"/>
            <w:tcBorders>
              <w:top w:val="nil"/>
              <w:bottom w:val="nil"/>
              <w:right w:val="nil"/>
            </w:tcBorders>
            <w:shd w:val="clear" w:color="auto" w:fill="auto"/>
            <w:vAlign w:val="center"/>
          </w:tcPr>
          <w:p w14:paraId="05B48C04" w14:textId="2B138E6B"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-1.47</w:t>
            </w:r>
          </w:p>
        </w:tc>
        <w:tc>
          <w:tcPr>
            <w:tcW w:w="1512" w:type="dxa"/>
            <w:tcBorders>
              <w:top w:val="nil"/>
              <w:left w:val="nil"/>
              <w:bottom w:val="nil"/>
              <w:right w:val="single" w:sz="4" w:space="0" w:color="auto"/>
            </w:tcBorders>
            <w:shd w:val="clear" w:color="auto" w:fill="auto"/>
            <w:vAlign w:val="center"/>
          </w:tcPr>
          <w:p w14:paraId="7A6C3B48" w14:textId="123D0F37"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-0.22</w:t>
            </w:r>
          </w:p>
        </w:tc>
      </w:tr>
      <w:tr w:rsidR="004E23B7" w:rsidRPr="0044286B" w14:paraId="3EC724B3"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07EDBD08"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Rural-80% * 2006-2010</w:t>
            </w:r>
          </w:p>
        </w:tc>
        <w:tc>
          <w:tcPr>
            <w:tcW w:w="1512" w:type="dxa"/>
            <w:tcBorders>
              <w:top w:val="nil"/>
              <w:left w:val="nil"/>
              <w:bottom w:val="nil"/>
            </w:tcBorders>
            <w:shd w:val="clear" w:color="000000" w:fill="FFFFFF"/>
            <w:vAlign w:val="center"/>
            <w:hideMark/>
          </w:tcPr>
          <w:p w14:paraId="467999CC" w14:textId="19383EC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3.22**</w:t>
            </w:r>
          </w:p>
        </w:tc>
        <w:tc>
          <w:tcPr>
            <w:tcW w:w="1512" w:type="dxa"/>
            <w:tcBorders>
              <w:top w:val="nil"/>
              <w:bottom w:val="nil"/>
              <w:right w:val="nil"/>
            </w:tcBorders>
            <w:shd w:val="clear" w:color="auto" w:fill="auto"/>
            <w:vAlign w:val="center"/>
          </w:tcPr>
          <w:p w14:paraId="420E024C" w14:textId="7BE84113"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-1.06</w:t>
            </w:r>
          </w:p>
        </w:tc>
        <w:tc>
          <w:tcPr>
            <w:tcW w:w="1512" w:type="dxa"/>
            <w:tcBorders>
              <w:top w:val="nil"/>
              <w:left w:val="nil"/>
              <w:bottom w:val="nil"/>
              <w:right w:val="single" w:sz="4" w:space="0" w:color="auto"/>
            </w:tcBorders>
            <w:shd w:val="clear" w:color="auto" w:fill="auto"/>
            <w:vAlign w:val="center"/>
          </w:tcPr>
          <w:p w14:paraId="2E7AF99F" w14:textId="09C66378"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0.02</w:t>
            </w:r>
          </w:p>
        </w:tc>
      </w:tr>
      <w:tr w:rsidR="004E23B7" w:rsidRPr="0044286B" w14:paraId="3141D0D9"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78D7BBFE"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Rural-80% * 2011-2017</w:t>
            </w:r>
          </w:p>
        </w:tc>
        <w:tc>
          <w:tcPr>
            <w:tcW w:w="1512" w:type="dxa"/>
            <w:tcBorders>
              <w:top w:val="nil"/>
              <w:left w:val="nil"/>
              <w:bottom w:val="nil"/>
            </w:tcBorders>
            <w:shd w:val="clear" w:color="000000" w:fill="FFFFFF"/>
            <w:vAlign w:val="center"/>
            <w:hideMark/>
          </w:tcPr>
          <w:p w14:paraId="0753FEBB" w14:textId="6DCA0E71"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9.82***</w:t>
            </w:r>
          </w:p>
        </w:tc>
        <w:tc>
          <w:tcPr>
            <w:tcW w:w="1512" w:type="dxa"/>
            <w:tcBorders>
              <w:top w:val="nil"/>
              <w:bottom w:val="nil"/>
              <w:right w:val="nil"/>
            </w:tcBorders>
            <w:shd w:val="clear" w:color="auto" w:fill="auto"/>
            <w:vAlign w:val="center"/>
          </w:tcPr>
          <w:p w14:paraId="3C5FFE5C" w14:textId="6E35749B"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2.74*</w:t>
            </w:r>
          </w:p>
        </w:tc>
        <w:tc>
          <w:tcPr>
            <w:tcW w:w="1512" w:type="dxa"/>
            <w:tcBorders>
              <w:top w:val="nil"/>
              <w:left w:val="nil"/>
              <w:bottom w:val="nil"/>
              <w:right w:val="single" w:sz="4" w:space="0" w:color="auto"/>
            </w:tcBorders>
            <w:shd w:val="clear" w:color="auto" w:fill="auto"/>
            <w:vAlign w:val="center"/>
          </w:tcPr>
          <w:p w14:paraId="49ADF2A0" w14:textId="354952C5"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4.04***</w:t>
            </w:r>
          </w:p>
        </w:tc>
      </w:tr>
      <w:tr w:rsidR="004E23B7" w:rsidRPr="0044286B" w14:paraId="58461318"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44F5DDD0"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Inner London * 1999-2005</w:t>
            </w:r>
          </w:p>
        </w:tc>
        <w:tc>
          <w:tcPr>
            <w:tcW w:w="1512" w:type="dxa"/>
            <w:tcBorders>
              <w:top w:val="nil"/>
              <w:left w:val="nil"/>
              <w:bottom w:val="nil"/>
            </w:tcBorders>
            <w:shd w:val="clear" w:color="000000" w:fill="FFFFFF"/>
            <w:vAlign w:val="center"/>
            <w:hideMark/>
          </w:tcPr>
          <w:p w14:paraId="274B4B42" w14:textId="326292B0"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-0.04</w:t>
            </w:r>
          </w:p>
        </w:tc>
        <w:tc>
          <w:tcPr>
            <w:tcW w:w="1512" w:type="dxa"/>
            <w:tcBorders>
              <w:top w:val="nil"/>
              <w:bottom w:val="nil"/>
              <w:right w:val="nil"/>
            </w:tcBorders>
            <w:shd w:val="clear" w:color="auto" w:fill="auto"/>
            <w:vAlign w:val="center"/>
          </w:tcPr>
          <w:p w14:paraId="0E92DC86" w14:textId="77777777" w:rsidR="004E23B7" w:rsidRPr="0044286B" w:rsidRDefault="004E23B7" w:rsidP="00707A63">
            <w:pPr>
              <w:spacing w:line="140" w:lineRule="exact"/>
              <w:jc w:val="center"/>
              <w:rPr>
                <w:rFonts w:cstheme="minorHAnsi"/>
                <w:color w:val="000000" w:themeColor="text1"/>
                <w:sz w:val="18"/>
                <w:szCs w:val="18"/>
                <w:lang w:eastAsia="en-GB"/>
              </w:rPr>
            </w:pPr>
            <w:r w:rsidRPr="0044286B">
              <w:rPr>
                <w:rFonts w:cstheme="minorHAnsi"/>
                <w:color w:val="000000" w:themeColor="text1"/>
                <w:sz w:val="18"/>
                <w:szCs w:val="18"/>
              </w:rPr>
              <w:t> </w:t>
            </w:r>
          </w:p>
        </w:tc>
        <w:tc>
          <w:tcPr>
            <w:tcW w:w="1512" w:type="dxa"/>
            <w:tcBorders>
              <w:top w:val="nil"/>
              <w:left w:val="nil"/>
              <w:bottom w:val="nil"/>
              <w:right w:val="single" w:sz="4" w:space="0" w:color="auto"/>
            </w:tcBorders>
            <w:shd w:val="clear" w:color="auto" w:fill="auto"/>
            <w:vAlign w:val="center"/>
          </w:tcPr>
          <w:p w14:paraId="3322C757" w14:textId="23179916"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-4.22</w:t>
            </w:r>
          </w:p>
        </w:tc>
      </w:tr>
      <w:tr w:rsidR="004E23B7" w:rsidRPr="0044286B" w14:paraId="6A1F47B1"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3576C4B"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Inner London * 2006-2010</w:t>
            </w:r>
          </w:p>
        </w:tc>
        <w:tc>
          <w:tcPr>
            <w:tcW w:w="1512" w:type="dxa"/>
            <w:tcBorders>
              <w:top w:val="nil"/>
              <w:left w:val="nil"/>
              <w:bottom w:val="nil"/>
            </w:tcBorders>
            <w:shd w:val="clear" w:color="000000" w:fill="FFFFFF"/>
            <w:vAlign w:val="center"/>
            <w:hideMark/>
          </w:tcPr>
          <w:p w14:paraId="1BE2344B" w14:textId="75B3D2AB"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-11.15***</w:t>
            </w:r>
          </w:p>
        </w:tc>
        <w:tc>
          <w:tcPr>
            <w:tcW w:w="1512" w:type="dxa"/>
            <w:tcBorders>
              <w:top w:val="nil"/>
              <w:bottom w:val="nil"/>
              <w:right w:val="nil"/>
            </w:tcBorders>
            <w:shd w:val="clear" w:color="auto" w:fill="auto"/>
            <w:vAlign w:val="center"/>
          </w:tcPr>
          <w:p w14:paraId="4FFCD9D1" w14:textId="77777777" w:rsidR="004E23B7" w:rsidRPr="0044286B" w:rsidRDefault="004E23B7" w:rsidP="00707A63">
            <w:pPr>
              <w:spacing w:line="140" w:lineRule="exact"/>
              <w:jc w:val="center"/>
              <w:rPr>
                <w:rFonts w:cstheme="minorHAnsi"/>
                <w:color w:val="000000" w:themeColor="text1"/>
                <w:sz w:val="18"/>
                <w:szCs w:val="18"/>
                <w:lang w:eastAsia="en-GB"/>
              </w:rPr>
            </w:pPr>
            <w:r w:rsidRPr="0044286B">
              <w:rPr>
                <w:rFonts w:cstheme="minorHAnsi"/>
                <w:color w:val="000000" w:themeColor="text1"/>
                <w:sz w:val="18"/>
                <w:szCs w:val="18"/>
              </w:rPr>
              <w:t> </w:t>
            </w:r>
          </w:p>
        </w:tc>
        <w:tc>
          <w:tcPr>
            <w:tcW w:w="1512" w:type="dxa"/>
            <w:tcBorders>
              <w:top w:val="nil"/>
              <w:left w:val="nil"/>
              <w:bottom w:val="nil"/>
              <w:right w:val="single" w:sz="4" w:space="0" w:color="auto"/>
            </w:tcBorders>
            <w:shd w:val="clear" w:color="auto" w:fill="auto"/>
            <w:vAlign w:val="center"/>
          </w:tcPr>
          <w:p w14:paraId="323D0616" w14:textId="12492967"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1.87</w:t>
            </w:r>
          </w:p>
        </w:tc>
      </w:tr>
      <w:tr w:rsidR="004E23B7" w:rsidRPr="0044286B" w14:paraId="5CFCA65A"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4D0E3900"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Inner London * 2011-2017</w:t>
            </w:r>
          </w:p>
        </w:tc>
        <w:tc>
          <w:tcPr>
            <w:tcW w:w="1512" w:type="dxa"/>
            <w:tcBorders>
              <w:top w:val="nil"/>
              <w:left w:val="nil"/>
              <w:bottom w:val="nil"/>
            </w:tcBorders>
            <w:shd w:val="clear" w:color="000000" w:fill="FFFFFF"/>
            <w:vAlign w:val="center"/>
            <w:hideMark/>
          </w:tcPr>
          <w:p w14:paraId="35AD9DD3" w14:textId="1A516986"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-18.21***</w:t>
            </w:r>
          </w:p>
        </w:tc>
        <w:tc>
          <w:tcPr>
            <w:tcW w:w="1512" w:type="dxa"/>
            <w:tcBorders>
              <w:top w:val="nil"/>
              <w:bottom w:val="nil"/>
              <w:right w:val="nil"/>
            </w:tcBorders>
            <w:shd w:val="clear" w:color="auto" w:fill="auto"/>
            <w:vAlign w:val="center"/>
          </w:tcPr>
          <w:p w14:paraId="608C85E9" w14:textId="77777777" w:rsidR="004E23B7" w:rsidRPr="0044286B" w:rsidRDefault="004E23B7" w:rsidP="00707A63">
            <w:pPr>
              <w:spacing w:line="140" w:lineRule="exact"/>
              <w:jc w:val="center"/>
              <w:rPr>
                <w:rFonts w:cstheme="minorHAnsi"/>
                <w:color w:val="000000" w:themeColor="text1"/>
                <w:sz w:val="18"/>
                <w:szCs w:val="18"/>
                <w:lang w:eastAsia="en-GB"/>
              </w:rPr>
            </w:pPr>
            <w:r w:rsidRPr="0044286B">
              <w:rPr>
                <w:rFonts w:cstheme="minorHAnsi"/>
                <w:color w:val="000000" w:themeColor="text1"/>
                <w:sz w:val="18"/>
                <w:szCs w:val="18"/>
              </w:rPr>
              <w:t> </w:t>
            </w:r>
          </w:p>
        </w:tc>
        <w:tc>
          <w:tcPr>
            <w:tcW w:w="1512" w:type="dxa"/>
            <w:tcBorders>
              <w:top w:val="nil"/>
              <w:left w:val="nil"/>
              <w:bottom w:val="nil"/>
              <w:right w:val="single" w:sz="4" w:space="0" w:color="auto"/>
            </w:tcBorders>
            <w:shd w:val="clear" w:color="auto" w:fill="auto"/>
            <w:vAlign w:val="center"/>
          </w:tcPr>
          <w:p w14:paraId="09FA28D2" w14:textId="7C62E0B7"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-2.35</w:t>
            </w:r>
          </w:p>
        </w:tc>
      </w:tr>
      <w:tr w:rsidR="004E23B7" w:rsidRPr="0044286B" w14:paraId="5B098934"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6386AF0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Outer London * 1999-2005</w:t>
            </w:r>
          </w:p>
        </w:tc>
        <w:tc>
          <w:tcPr>
            <w:tcW w:w="1512" w:type="dxa"/>
            <w:tcBorders>
              <w:top w:val="nil"/>
              <w:left w:val="nil"/>
              <w:bottom w:val="nil"/>
            </w:tcBorders>
            <w:shd w:val="clear" w:color="000000" w:fill="FFFFFF"/>
            <w:vAlign w:val="center"/>
            <w:hideMark/>
          </w:tcPr>
          <w:p w14:paraId="40F55B56" w14:textId="4AEA4CB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3.84**</w:t>
            </w:r>
          </w:p>
        </w:tc>
        <w:tc>
          <w:tcPr>
            <w:tcW w:w="1512" w:type="dxa"/>
            <w:tcBorders>
              <w:top w:val="nil"/>
              <w:bottom w:val="nil"/>
              <w:right w:val="nil"/>
            </w:tcBorders>
            <w:shd w:val="clear" w:color="auto" w:fill="auto"/>
            <w:vAlign w:val="center"/>
          </w:tcPr>
          <w:p w14:paraId="1FBDCA23" w14:textId="77777777" w:rsidR="004E23B7" w:rsidRPr="0044286B" w:rsidRDefault="004E23B7" w:rsidP="00707A63">
            <w:pPr>
              <w:spacing w:line="140" w:lineRule="exact"/>
              <w:jc w:val="center"/>
              <w:rPr>
                <w:rFonts w:cstheme="minorHAnsi"/>
                <w:color w:val="000000" w:themeColor="text1"/>
                <w:sz w:val="18"/>
                <w:szCs w:val="18"/>
                <w:lang w:eastAsia="en-GB"/>
              </w:rPr>
            </w:pPr>
            <w:r w:rsidRPr="0044286B">
              <w:rPr>
                <w:rFonts w:cstheme="minorHAnsi"/>
                <w:color w:val="000000" w:themeColor="text1"/>
                <w:sz w:val="18"/>
                <w:szCs w:val="18"/>
              </w:rPr>
              <w:t> </w:t>
            </w:r>
          </w:p>
        </w:tc>
        <w:tc>
          <w:tcPr>
            <w:tcW w:w="1512" w:type="dxa"/>
            <w:tcBorders>
              <w:top w:val="nil"/>
              <w:left w:val="nil"/>
              <w:bottom w:val="nil"/>
              <w:right w:val="single" w:sz="4" w:space="0" w:color="auto"/>
            </w:tcBorders>
            <w:shd w:val="clear" w:color="auto" w:fill="auto"/>
            <w:vAlign w:val="center"/>
          </w:tcPr>
          <w:p w14:paraId="4F0056AA" w14:textId="150D835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1.94</w:t>
            </w:r>
          </w:p>
        </w:tc>
      </w:tr>
      <w:tr w:rsidR="004E23B7" w:rsidRPr="0044286B" w14:paraId="4E64D621"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7E17ABE"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lastRenderedPageBreak/>
              <w:t>Outer London * 2006-2010</w:t>
            </w:r>
          </w:p>
        </w:tc>
        <w:tc>
          <w:tcPr>
            <w:tcW w:w="1512" w:type="dxa"/>
            <w:tcBorders>
              <w:top w:val="nil"/>
              <w:left w:val="nil"/>
              <w:bottom w:val="nil"/>
            </w:tcBorders>
            <w:shd w:val="clear" w:color="000000" w:fill="FFFFFF"/>
            <w:vAlign w:val="center"/>
            <w:hideMark/>
          </w:tcPr>
          <w:p w14:paraId="402E7F40" w14:textId="4AACDA39"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1.57</w:t>
            </w:r>
          </w:p>
        </w:tc>
        <w:tc>
          <w:tcPr>
            <w:tcW w:w="1512" w:type="dxa"/>
            <w:tcBorders>
              <w:top w:val="nil"/>
              <w:bottom w:val="nil"/>
              <w:right w:val="nil"/>
            </w:tcBorders>
            <w:shd w:val="clear" w:color="auto" w:fill="auto"/>
            <w:vAlign w:val="center"/>
          </w:tcPr>
          <w:p w14:paraId="52D484E1" w14:textId="77777777" w:rsidR="004E23B7" w:rsidRPr="0044286B" w:rsidRDefault="004E23B7" w:rsidP="00707A63">
            <w:pPr>
              <w:spacing w:line="140" w:lineRule="exact"/>
              <w:jc w:val="center"/>
              <w:rPr>
                <w:rFonts w:cstheme="minorHAnsi"/>
                <w:color w:val="000000" w:themeColor="text1"/>
                <w:sz w:val="18"/>
                <w:szCs w:val="18"/>
                <w:lang w:eastAsia="en-GB"/>
              </w:rPr>
            </w:pPr>
            <w:r w:rsidRPr="0044286B">
              <w:rPr>
                <w:rFonts w:cstheme="minorHAnsi"/>
                <w:color w:val="000000" w:themeColor="text1"/>
                <w:sz w:val="18"/>
                <w:szCs w:val="18"/>
              </w:rPr>
              <w:t> </w:t>
            </w:r>
          </w:p>
        </w:tc>
        <w:tc>
          <w:tcPr>
            <w:tcW w:w="1512" w:type="dxa"/>
            <w:tcBorders>
              <w:top w:val="nil"/>
              <w:left w:val="nil"/>
              <w:bottom w:val="nil"/>
              <w:right w:val="single" w:sz="4" w:space="0" w:color="auto"/>
            </w:tcBorders>
            <w:shd w:val="clear" w:color="auto" w:fill="auto"/>
            <w:vAlign w:val="center"/>
          </w:tcPr>
          <w:p w14:paraId="3DFA8248" w14:textId="309F23E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4.89**</w:t>
            </w:r>
          </w:p>
        </w:tc>
      </w:tr>
      <w:tr w:rsidR="004E23B7" w:rsidRPr="0044286B" w14:paraId="74254CE6"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0D777EE4"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Outer London * 2011-2017</w:t>
            </w:r>
          </w:p>
        </w:tc>
        <w:tc>
          <w:tcPr>
            <w:tcW w:w="1512" w:type="dxa"/>
            <w:tcBorders>
              <w:top w:val="nil"/>
              <w:left w:val="nil"/>
              <w:bottom w:val="nil"/>
            </w:tcBorders>
            <w:shd w:val="clear" w:color="000000" w:fill="FFFFFF"/>
            <w:vAlign w:val="center"/>
            <w:hideMark/>
          </w:tcPr>
          <w:p w14:paraId="3C4BAE92" w14:textId="20C5D48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2.86</w:t>
            </w:r>
          </w:p>
        </w:tc>
        <w:tc>
          <w:tcPr>
            <w:tcW w:w="1512" w:type="dxa"/>
            <w:tcBorders>
              <w:top w:val="nil"/>
              <w:bottom w:val="nil"/>
              <w:right w:val="nil"/>
            </w:tcBorders>
            <w:shd w:val="clear" w:color="auto" w:fill="auto"/>
            <w:vAlign w:val="center"/>
          </w:tcPr>
          <w:p w14:paraId="3E74E44A" w14:textId="77777777" w:rsidR="004E23B7" w:rsidRPr="0044286B" w:rsidRDefault="004E23B7" w:rsidP="00707A63">
            <w:pPr>
              <w:spacing w:line="140" w:lineRule="exact"/>
              <w:jc w:val="center"/>
              <w:rPr>
                <w:rFonts w:cstheme="minorHAnsi"/>
                <w:color w:val="000000" w:themeColor="text1"/>
                <w:sz w:val="18"/>
                <w:szCs w:val="18"/>
                <w:lang w:eastAsia="en-GB"/>
              </w:rPr>
            </w:pPr>
            <w:r w:rsidRPr="0044286B">
              <w:rPr>
                <w:rFonts w:cstheme="minorHAnsi"/>
                <w:color w:val="000000" w:themeColor="text1"/>
                <w:sz w:val="18"/>
                <w:szCs w:val="18"/>
              </w:rPr>
              <w:t> </w:t>
            </w:r>
          </w:p>
        </w:tc>
        <w:tc>
          <w:tcPr>
            <w:tcW w:w="1512" w:type="dxa"/>
            <w:tcBorders>
              <w:top w:val="nil"/>
              <w:left w:val="nil"/>
              <w:bottom w:val="nil"/>
              <w:right w:val="single" w:sz="4" w:space="0" w:color="auto"/>
            </w:tcBorders>
            <w:shd w:val="clear" w:color="auto" w:fill="auto"/>
            <w:vAlign w:val="center"/>
          </w:tcPr>
          <w:p w14:paraId="2566CF24" w14:textId="217E5C85"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3.77**</w:t>
            </w:r>
          </w:p>
        </w:tc>
      </w:tr>
      <w:tr w:rsidR="004E23B7" w:rsidRPr="0044286B" w14:paraId="4719A386"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560415EE"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Rate of 18-24-year-old Jobseekers per 1000</w:t>
            </w:r>
          </w:p>
        </w:tc>
        <w:tc>
          <w:tcPr>
            <w:tcW w:w="1512" w:type="dxa"/>
            <w:tcBorders>
              <w:top w:val="nil"/>
              <w:left w:val="nil"/>
              <w:bottom w:val="nil"/>
            </w:tcBorders>
            <w:shd w:val="clear" w:color="000000" w:fill="FFFFFF"/>
            <w:vAlign w:val="center"/>
          </w:tcPr>
          <w:p w14:paraId="75CA2765" w14:textId="77777777" w:rsidR="004E23B7" w:rsidRPr="0044286B" w:rsidRDefault="004E23B7" w:rsidP="00707A63">
            <w:pPr>
              <w:spacing w:line="140" w:lineRule="exact"/>
              <w:jc w:val="center"/>
              <w:rPr>
                <w:rFonts w:cstheme="minorHAnsi"/>
                <w:b/>
                <w:bCs/>
                <w:color w:val="000000" w:themeColor="text1"/>
                <w:sz w:val="18"/>
                <w:szCs w:val="18"/>
                <w:lang w:eastAsia="en-GB"/>
              </w:rPr>
            </w:pPr>
          </w:p>
        </w:tc>
        <w:tc>
          <w:tcPr>
            <w:tcW w:w="1512" w:type="dxa"/>
            <w:tcBorders>
              <w:top w:val="nil"/>
              <w:bottom w:val="nil"/>
              <w:right w:val="nil"/>
            </w:tcBorders>
            <w:shd w:val="clear" w:color="auto" w:fill="auto"/>
            <w:vAlign w:val="center"/>
          </w:tcPr>
          <w:p w14:paraId="67564905" w14:textId="77D057DD"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0.98***</w:t>
            </w:r>
          </w:p>
        </w:tc>
        <w:tc>
          <w:tcPr>
            <w:tcW w:w="1512" w:type="dxa"/>
            <w:tcBorders>
              <w:top w:val="nil"/>
              <w:left w:val="nil"/>
              <w:bottom w:val="nil"/>
              <w:right w:val="single" w:sz="4" w:space="0" w:color="auto"/>
            </w:tcBorders>
            <w:shd w:val="clear" w:color="auto" w:fill="auto"/>
            <w:vAlign w:val="center"/>
          </w:tcPr>
          <w:p w14:paraId="743C446B" w14:textId="7668D7C1"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0.89***</w:t>
            </w:r>
          </w:p>
        </w:tc>
      </w:tr>
      <w:tr w:rsidR="004E23B7" w:rsidRPr="0044286B" w14:paraId="09FE833D"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DA31FD3"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1999-2005 * Jobseekers Allowance</w:t>
            </w:r>
          </w:p>
        </w:tc>
        <w:tc>
          <w:tcPr>
            <w:tcW w:w="1512" w:type="dxa"/>
            <w:tcBorders>
              <w:top w:val="nil"/>
              <w:left w:val="nil"/>
              <w:bottom w:val="nil"/>
            </w:tcBorders>
            <w:shd w:val="clear" w:color="000000" w:fill="FFFFFF"/>
            <w:vAlign w:val="center"/>
          </w:tcPr>
          <w:p w14:paraId="3608BAD1"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07F3C39D" w14:textId="4B2328EF"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0.13</w:t>
            </w:r>
          </w:p>
        </w:tc>
        <w:tc>
          <w:tcPr>
            <w:tcW w:w="1512" w:type="dxa"/>
            <w:tcBorders>
              <w:top w:val="nil"/>
              <w:left w:val="nil"/>
              <w:bottom w:val="nil"/>
              <w:right w:val="single" w:sz="4" w:space="0" w:color="auto"/>
            </w:tcBorders>
            <w:shd w:val="clear" w:color="auto" w:fill="auto"/>
            <w:vAlign w:val="center"/>
          </w:tcPr>
          <w:p w14:paraId="2DA40FCA" w14:textId="3EE9BA73"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0.14</w:t>
            </w:r>
          </w:p>
        </w:tc>
      </w:tr>
      <w:tr w:rsidR="004E23B7" w:rsidRPr="0044286B" w14:paraId="5D44EA7C"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03FD803F"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2006-2010 * Jobseekers Allowance</w:t>
            </w:r>
          </w:p>
        </w:tc>
        <w:tc>
          <w:tcPr>
            <w:tcW w:w="1512" w:type="dxa"/>
            <w:tcBorders>
              <w:top w:val="nil"/>
              <w:left w:val="nil"/>
              <w:bottom w:val="nil"/>
            </w:tcBorders>
            <w:shd w:val="clear" w:color="000000" w:fill="FFFFFF"/>
            <w:vAlign w:val="center"/>
          </w:tcPr>
          <w:p w14:paraId="2F2DB67F"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07BEF62A" w14:textId="27249D2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-0.39**</w:t>
            </w:r>
          </w:p>
        </w:tc>
        <w:tc>
          <w:tcPr>
            <w:tcW w:w="1512" w:type="dxa"/>
            <w:tcBorders>
              <w:top w:val="nil"/>
              <w:left w:val="nil"/>
              <w:bottom w:val="nil"/>
              <w:right w:val="single" w:sz="4" w:space="0" w:color="auto"/>
            </w:tcBorders>
            <w:shd w:val="clear" w:color="auto" w:fill="auto"/>
            <w:vAlign w:val="center"/>
          </w:tcPr>
          <w:p w14:paraId="43F65C6F" w14:textId="555F4CE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-0.30*</w:t>
            </w:r>
          </w:p>
        </w:tc>
      </w:tr>
      <w:tr w:rsidR="004E23B7" w:rsidRPr="0044286B" w14:paraId="0B93D5FE"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7E480EC"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2011-2017 * Jobseekers Allowance</w:t>
            </w:r>
          </w:p>
        </w:tc>
        <w:tc>
          <w:tcPr>
            <w:tcW w:w="1512" w:type="dxa"/>
            <w:tcBorders>
              <w:top w:val="nil"/>
              <w:left w:val="nil"/>
              <w:bottom w:val="nil"/>
            </w:tcBorders>
            <w:shd w:val="clear" w:color="000000" w:fill="FFFFFF"/>
            <w:vAlign w:val="center"/>
          </w:tcPr>
          <w:p w14:paraId="5432AA76"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36C24AB5" w14:textId="3B213BAD"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-0.05</w:t>
            </w:r>
          </w:p>
        </w:tc>
        <w:tc>
          <w:tcPr>
            <w:tcW w:w="1512" w:type="dxa"/>
            <w:tcBorders>
              <w:top w:val="nil"/>
              <w:left w:val="nil"/>
              <w:bottom w:val="nil"/>
              <w:right w:val="single" w:sz="4" w:space="0" w:color="auto"/>
            </w:tcBorders>
            <w:shd w:val="clear" w:color="auto" w:fill="auto"/>
            <w:vAlign w:val="center"/>
          </w:tcPr>
          <w:p w14:paraId="56B8D36D" w14:textId="47AEDCD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0.03</w:t>
            </w:r>
          </w:p>
        </w:tc>
      </w:tr>
      <w:tr w:rsidR="004E23B7" w:rsidRPr="0044286B" w14:paraId="246E2955"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41851923"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 of Pupils Attaining at least 5 GCSEs A-C</w:t>
            </w:r>
          </w:p>
        </w:tc>
        <w:tc>
          <w:tcPr>
            <w:tcW w:w="1512" w:type="dxa"/>
            <w:tcBorders>
              <w:top w:val="nil"/>
              <w:left w:val="nil"/>
              <w:bottom w:val="nil"/>
            </w:tcBorders>
            <w:shd w:val="clear" w:color="000000" w:fill="FFFFFF"/>
            <w:vAlign w:val="center"/>
          </w:tcPr>
          <w:p w14:paraId="2A221F78" w14:textId="77777777" w:rsidR="004E23B7" w:rsidRPr="0044286B" w:rsidRDefault="004E23B7" w:rsidP="00707A63">
            <w:pPr>
              <w:spacing w:line="140" w:lineRule="exact"/>
              <w:jc w:val="center"/>
              <w:rPr>
                <w:rFonts w:cstheme="minorHAnsi"/>
                <w:b/>
                <w:bCs/>
                <w:color w:val="000000" w:themeColor="text1"/>
                <w:sz w:val="18"/>
                <w:szCs w:val="18"/>
                <w:lang w:eastAsia="en-GB"/>
              </w:rPr>
            </w:pPr>
          </w:p>
        </w:tc>
        <w:tc>
          <w:tcPr>
            <w:tcW w:w="1512" w:type="dxa"/>
            <w:tcBorders>
              <w:top w:val="nil"/>
              <w:bottom w:val="nil"/>
              <w:right w:val="nil"/>
            </w:tcBorders>
            <w:shd w:val="clear" w:color="auto" w:fill="auto"/>
            <w:vAlign w:val="center"/>
          </w:tcPr>
          <w:p w14:paraId="7A1E0A91" w14:textId="1EE56D63"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0.14**</w:t>
            </w:r>
          </w:p>
        </w:tc>
        <w:tc>
          <w:tcPr>
            <w:tcW w:w="1512" w:type="dxa"/>
            <w:tcBorders>
              <w:top w:val="nil"/>
              <w:left w:val="nil"/>
              <w:bottom w:val="nil"/>
              <w:right w:val="single" w:sz="4" w:space="0" w:color="auto"/>
            </w:tcBorders>
            <w:shd w:val="clear" w:color="auto" w:fill="auto"/>
            <w:vAlign w:val="center"/>
          </w:tcPr>
          <w:p w14:paraId="6D8863EB" w14:textId="04BA0CC5"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0.08</w:t>
            </w:r>
          </w:p>
        </w:tc>
      </w:tr>
      <w:tr w:rsidR="004E23B7" w:rsidRPr="0044286B" w14:paraId="3725932A"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1345834"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1999-2005 * GCSE</w:t>
            </w:r>
          </w:p>
        </w:tc>
        <w:tc>
          <w:tcPr>
            <w:tcW w:w="1512" w:type="dxa"/>
            <w:tcBorders>
              <w:top w:val="nil"/>
              <w:left w:val="nil"/>
              <w:bottom w:val="nil"/>
            </w:tcBorders>
            <w:shd w:val="clear" w:color="000000" w:fill="FFFFFF"/>
            <w:vAlign w:val="center"/>
          </w:tcPr>
          <w:p w14:paraId="402890D1"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6F48782A" w14:textId="455CDB0D"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-0.19***</w:t>
            </w:r>
          </w:p>
        </w:tc>
        <w:tc>
          <w:tcPr>
            <w:tcW w:w="1512" w:type="dxa"/>
            <w:tcBorders>
              <w:top w:val="nil"/>
              <w:left w:val="nil"/>
              <w:bottom w:val="nil"/>
              <w:right w:val="single" w:sz="4" w:space="0" w:color="auto"/>
            </w:tcBorders>
            <w:shd w:val="clear" w:color="auto" w:fill="auto"/>
            <w:vAlign w:val="center"/>
          </w:tcPr>
          <w:p w14:paraId="4A36E615" w14:textId="38822DF7"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-0.20***</w:t>
            </w:r>
          </w:p>
        </w:tc>
      </w:tr>
      <w:tr w:rsidR="004E23B7" w:rsidRPr="0044286B" w14:paraId="1CEFEA11"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78B7C70"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2006-2010 * GCSE</w:t>
            </w:r>
          </w:p>
        </w:tc>
        <w:tc>
          <w:tcPr>
            <w:tcW w:w="1512" w:type="dxa"/>
            <w:tcBorders>
              <w:top w:val="nil"/>
              <w:left w:val="nil"/>
              <w:bottom w:val="nil"/>
            </w:tcBorders>
            <w:shd w:val="clear" w:color="000000" w:fill="FFFFFF"/>
            <w:vAlign w:val="center"/>
          </w:tcPr>
          <w:p w14:paraId="7D31A7C8"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74FE8E5A" w14:textId="710EBE9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-0.53***</w:t>
            </w:r>
          </w:p>
        </w:tc>
        <w:tc>
          <w:tcPr>
            <w:tcW w:w="1512" w:type="dxa"/>
            <w:tcBorders>
              <w:top w:val="nil"/>
              <w:left w:val="nil"/>
              <w:bottom w:val="nil"/>
              <w:right w:val="single" w:sz="4" w:space="0" w:color="auto"/>
            </w:tcBorders>
            <w:shd w:val="clear" w:color="auto" w:fill="auto"/>
            <w:vAlign w:val="center"/>
          </w:tcPr>
          <w:p w14:paraId="64A805B5" w14:textId="0B8B535F"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-0.48***</w:t>
            </w:r>
          </w:p>
        </w:tc>
      </w:tr>
      <w:tr w:rsidR="004E23B7" w:rsidRPr="0044286B" w14:paraId="5337E86D"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AF34493"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2011-2017 * GCSE</w:t>
            </w:r>
          </w:p>
        </w:tc>
        <w:tc>
          <w:tcPr>
            <w:tcW w:w="1512" w:type="dxa"/>
            <w:tcBorders>
              <w:top w:val="nil"/>
              <w:left w:val="nil"/>
              <w:bottom w:val="nil"/>
            </w:tcBorders>
            <w:shd w:val="clear" w:color="000000" w:fill="FFFFFF"/>
            <w:vAlign w:val="center"/>
          </w:tcPr>
          <w:p w14:paraId="219A904C"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419E85BB" w14:textId="4C3DA3C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-0.05</w:t>
            </w:r>
          </w:p>
        </w:tc>
        <w:tc>
          <w:tcPr>
            <w:tcW w:w="1512" w:type="dxa"/>
            <w:tcBorders>
              <w:top w:val="nil"/>
              <w:left w:val="nil"/>
              <w:bottom w:val="nil"/>
              <w:right w:val="single" w:sz="4" w:space="0" w:color="auto"/>
            </w:tcBorders>
            <w:shd w:val="clear" w:color="auto" w:fill="auto"/>
            <w:vAlign w:val="center"/>
          </w:tcPr>
          <w:p w14:paraId="797D33C4" w14:textId="3784A98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0.00</w:t>
            </w:r>
          </w:p>
        </w:tc>
      </w:tr>
      <w:tr w:rsidR="004E23B7" w:rsidRPr="0044286B" w14:paraId="280B7781"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22DC921D"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Median House Price to Workplace Earnings Ratio</w:t>
            </w:r>
          </w:p>
        </w:tc>
        <w:tc>
          <w:tcPr>
            <w:tcW w:w="1512" w:type="dxa"/>
            <w:tcBorders>
              <w:top w:val="nil"/>
              <w:left w:val="nil"/>
              <w:bottom w:val="nil"/>
            </w:tcBorders>
            <w:shd w:val="clear" w:color="000000" w:fill="FFFFFF"/>
            <w:vAlign w:val="center"/>
          </w:tcPr>
          <w:p w14:paraId="02DE2753" w14:textId="77777777" w:rsidR="004E23B7" w:rsidRPr="0044286B" w:rsidRDefault="004E23B7" w:rsidP="00707A63">
            <w:pPr>
              <w:spacing w:line="140" w:lineRule="exact"/>
              <w:jc w:val="center"/>
              <w:rPr>
                <w:rFonts w:cstheme="minorHAnsi"/>
                <w:b/>
                <w:bCs/>
                <w:color w:val="000000" w:themeColor="text1"/>
                <w:sz w:val="18"/>
                <w:szCs w:val="18"/>
                <w:lang w:eastAsia="en-GB"/>
              </w:rPr>
            </w:pPr>
          </w:p>
        </w:tc>
        <w:tc>
          <w:tcPr>
            <w:tcW w:w="1512" w:type="dxa"/>
            <w:tcBorders>
              <w:top w:val="nil"/>
              <w:bottom w:val="nil"/>
              <w:right w:val="nil"/>
            </w:tcBorders>
            <w:shd w:val="clear" w:color="auto" w:fill="auto"/>
            <w:vAlign w:val="center"/>
          </w:tcPr>
          <w:p w14:paraId="1F9744E4" w14:textId="1A58DF64"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-1.81***</w:t>
            </w:r>
          </w:p>
        </w:tc>
        <w:tc>
          <w:tcPr>
            <w:tcW w:w="1512" w:type="dxa"/>
            <w:tcBorders>
              <w:top w:val="nil"/>
              <w:left w:val="nil"/>
              <w:bottom w:val="nil"/>
              <w:right w:val="single" w:sz="4" w:space="0" w:color="auto"/>
            </w:tcBorders>
            <w:shd w:val="clear" w:color="auto" w:fill="auto"/>
            <w:vAlign w:val="center"/>
          </w:tcPr>
          <w:p w14:paraId="093A98FA" w14:textId="6FD4F43D"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-1.78***</w:t>
            </w:r>
          </w:p>
        </w:tc>
      </w:tr>
      <w:tr w:rsidR="004E23B7" w:rsidRPr="0044286B" w14:paraId="70C9BBE2"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5AF44AAE"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1999-2005 * Housing Unaffordability</w:t>
            </w:r>
          </w:p>
        </w:tc>
        <w:tc>
          <w:tcPr>
            <w:tcW w:w="1512" w:type="dxa"/>
            <w:tcBorders>
              <w:top w:val="nil"/>
              <w:left w:val="nil"/>
              <w:bottom w:val="nil"/>
            </w:tcBorders>
            <w:shd w:val="clear" w:color="000000" w:fill="FFFFFF"/>
            <w:vAlign w:val="center"/>
          </w:tcPr>
          <w:p w14:paraId="68E1E59A"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3D323078" w14:textId="6D5167E5"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1.27***</w:t>
            </w:r>
          </w:p>
        </w:tc>
        <w:tc>
          <w:tcPr>
            <w:tcW w:w="1512" w:type="dxa"/>
            <w:tcBorders>
              <w:top w:val="nil"/>
              <w:left w:val="nil"/>
              <w:bottom w:val="nil"/>
              <w:right w:val="single" w:sz="4" w:space="0" w:color="auto"/>
            </w:tcBorders>
            <w:shd w:val="clear" w:color="auto" w:fill="auto"/>
            <w:vAlign w:val="center"/>
          </w:tcPr>
          <w:p w14:paraId="497A382C" w14:textId="04B4BA0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1.24***</w:t>
            </w:r>
          </w:p>
        </w:tc>
      </w:tr>
      <w:tr w:rsidR="004E23B7" w:rsidRPr="0044286B" w14:paraId="1E85E47D"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0639CD62"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2006-2010 * Housing Unaffordability</w:t>
            </w:r>
          </w:p>
        </w:tc>
        <w:tc>
          <w:tcPr>
            <w:tcW w:w="1512" w:type="dxa"/>
            <w:tcBorders>
              <w:top w:val="nil"/>
              <w:left w:val="nil"/>
              <w:bottom w:val="nil"/>
            </w:tcBorders>
            <w:shd w:val="clear" w:color="000000" w:fill="FFFFFF"/>
            <w:vAlign w:val="center"/>
          </w:tcPr>
          <w:p w14:paraId="7288DAE0"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0741BF03" w14:textId="22E564F7"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1.02***</w:t>
            </w:r>
          </w:p>
        </w:tc>
        <w:tc>
          <w:tcPr>
            <w:tcW w:w="1512" w:type="dxa"/>
            <w:tcBorders>
              <w:top w:val="nil"/>
              <w:left w:val="nil"/>
              <w:bottom w:val="nil"/>
              <w:right w:val="single" w:sz="4" w:space="0" w:color="auto"/>
            </w:tcBorders>
            <w:shd w:val="clear" w:color="auto" w:fill="auto"/>
            <w:vAlign w:val="center"/>
          </w:tcPr>
          <w:p w14:paraId="00497E7B" w14:textId="3E0C3616"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0.99***</w:t>
            </w:r>
          </w:p>
        </w:tc>
      </w:tr>
      <w:tr w:rsidR="004E23B7" w:rsidRPr="0044286B" w14:paraId="4859577A"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19B64E8"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2011-2017 * Housing Unaffordability</w:t>
            </w:r>
          </w:p>
        </w:tc>
        <w:tc>
          <w:tcPr>
            <w:tcW w:w="1512" w:type="dxa"/>
            <w:tcBorders>
              <w:top w:val="nil"/>
              <w:left w:val="nil"/>
              <w:bottom w:val="nil"/>
            </w:tcBorders>
            <w:shd w:val="clear" w:color="000000" w:fill="FFFFFF"/>
            <w:vAlign w:val="center"/>
          </w:tcPr>
          <w:p w14:paraId="117AE3D0"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328259A3" w14:textId="2507BA3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1.70***</w:t>
            </w:r>
          </w:p>
        </w:tc>
        <w:tc>
          <w:tcPr>
            <w:tcW w:w="1512" w:type="dxa"/>
            <w:tcBorders>
              <w:top w:val="nil"/>
              <w:left w:val="nil"/>
              <w:bottom w:val="nil"/>
              <w:right w:val="single" w:sz="4" w:space="0" w:color="auto"/>
            </w:tcBorders>
            <w:shd w:val="clear" w:color="auto" w:fill="auto"/>
            <w:vAlign w:val="center"/>
          </w:tcPr>
          <w:p w14:paraId="4DB58919" w14:textId="2FBFC0E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1.58***</w:t>
            </w:r>
          </w:p>
        </w:tc>
      </w:tr>
      <w:tr w:rsidR="004E23B7" w:rsidRPr="0044286B" w14:paraId="691EBE9C" w14:textId="77777777" w:rsidTr="00707A63">
        <w:trPr>
          <w:trHeight w:val="510"/>
        </w:trPr>
        <w:tc>
          <w:tcPr>
            <w:tcW w:w="4957" w:type="dxa"/>
            <w:tcBorders>
              <w:top w:val="nil"/>
              <w:left w:val="single" w:sz="4" w:space="0" w:color="auto"/>
              <w:bottom w:val="nil"/>
              <w:right w:val="nil"/>
            </w:tcBorders>
            <w:shd w:val="clear" w:color="000000" w:fill="FFFFFF"/>
            <w:vAlign w:val="center"/>
            <w:hideMark/>
          </w:tcPr>
          <w:p w14:paraId="267DC388"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Total Number of Social Housing Units for each LAD per 100 people (18 and over)</w:t>
            </w:r>
          </w:p>
        </w:tc>
        <w:tc>
          <w:tcPr>
            <w:tcW w:w="1512" w:type="dxa"/>
            <w:tcBorders>
              <w:top w:val="nil"/>
              <w:left w:val="nil"/>
              <w:bottom w:val="nil"/>
            </w:tcBorders>
            <w:shd w:val="clear" w:color="000000" w:fill="FFFFFF"/>
            <w:vAlign w:val="center"/>
          </w:tcPr>
          <w:p w14:paraId="41C2F493" w14:textId="77777777" w:rsidR="004E23B7" w:rsidRPr="0044286B" w:rsidRDefault="004E23B7" w:rsidP="00707A63">
            <w:pPr>
              <w:spacing w:line="140" w:lineRule="exact"/>
              <w:jc w:val="center"/>
              <w:rPr>
                <w:rFonts w:cstheme="minorHAnsi"/>
                <w:b/>
                <w:bCs/>
                <w:color w:val="000000" w:themeColor="text1"/>
                <w:sz w:val="18"/>
                <w:szCs w:val="18"/>
                <w:lang w:eastAsia="en-GB"/>
              </w:rPr>
            </w:pPr>
          </w:p>
        </w:tc>
        <w:tc>
          <w:tcPr>
            <w:tcW w:w="1512" w:type="dxa"/>
            <w:tcBorders>
              <w:top w:val="nil"/>
              <w:bottom w:val="nil"/>
              <w:right w:val="nil"/>
            </w:tcBorders>
            <w:shd w:val="clear" w:color="auto" w:fill="auto"/>
            <w:vAlign w:val="center"/>
          </w:tcPr>
          <w:p w14:paraId="6F2D7FC5" w14:textId="20AA2C7D"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0.46***</w:t>
            </w:r>
          </w:p>
        </w:tc>
        <w:tc>
          <w:tcPr>
            <w:tcW w:w="1512" w:type="dxa"/>
            <w:tcBorders>
              <w:top w:val="nil"/>
              <w:left w:val="nil"/>
              <w:bottom w:val="nil"/>
              <w:right w:val="single" w:sz="4" w:space="0" w:color="auto"/>
            </w:tcBorders>
            <w:shd w:val="clear" w:color="auto" w:fill="auto"/>
            <w:vAlign w:val="center"/>
          </w:tcPr>
          <w:p w14:paraId="3F8B96A3" w14:textId="413C1C21"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0.43***</w:t>
            </w:r>
          </w:p>
        </w:tc>
      </w:tr>
      <w:tr w:rsidR="004E23B7" w:rsidRPr="0044286B" w14:paraId="72B83102"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5B8346E1"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1999-2005 * Social Housing</w:t>
            </w:r>
          </w:p>
        </w:tc>
        <w:tc>
          <w:tcPr>
            <w:tcW w:w="1512" w:type="dxa"/>
            <w:tcBorders>
              <w:top w:val="nil"/>
              <w:left w:val="nil"/>
              <w:bottom w:val="nil"/>
            </w:tcBorders>
            <w:shd w:val="clear" w:color="000000" w:fill="FFFFFF"/>
            <w:vAlign w:val="center"/>
          </w:tcPr>
          <w:p w14:paraId="56430845"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64A1136F" w14:textId="1278081F"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-0.20**</w:t>
            </w:r>
          </w:p>
        </w:tc>
        <w:tc>
          <w:tcPr>
            <w:tcW w:w="1512" w:type="dxa"/>
            <w:tcBorders>
              <w:top w:val="nil"/>
              <w:left w:val="nil"/>
              <w:bottom w:val="nil"/>
              <w:right w:val="single" w:sz="4" w:space="0" w:color="auto"/>
            </w:tcBorders>
            <w:shd w:val="clear" w:color="auto" w:fill="auto"/>
            <w:vAlign w:val="center"/>
          </w:tcPr>
          <w:p w14:paraId="12737766" w14:textId="19E5E1C0"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-0.12</w:t>
            </w:r>
          </w:p>
        </w:tc>
      </w:tr>
      <w:tr w:rsidR="004E23B7" w:rsidRPr="0044286B" w14:paraId="09AAD142"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F3D1955"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2006-2010 * Social Housing</w:t>
            </w:r>
          </w:p>
        </w:tc>
        <w:tc>
          <w:tcPr>
            <w:tcW w:w="1512" w:type="dxa"/>
            <w:tcBorders>
              <w:top w:val="nil"/>
              <w:left w:val="nil"/>
              <w:bottom w:val="nil"/>
            </w:tcBorders>
            <w:shd w:val="clear" w:color="000000" w:fill="FFFFFF"/>
            <w:vAlign w:val="center"/>
          </w:tcPr>
          <w:p w14:paraId="0601923F"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05542F7E" w14:textId="0BCB6B5A"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-0.32***</w:t>
            </w:r>
          </w:p>
        </w:tc>
        <w:tc>
          <w:tcPr>
            <w:tcW w:w="1512" w:type="dxa"/>
            <w:tcBorders>
              <w:top w:val="nil"/>
              <w:left w:val="nil"/>
              <w:bottom w:val="nil"/>
              <w:right w:val="single" w:sz="4" w:space="0" w:color="auto"/>
            </w:tcBorders>
            <w:shd w:val="clear" w:color="auto" w:fill="auto"/>
            <w:vAlign w:val="center"/>
          </w:tcPr>
          <w:p w14:paraId="09AE9585" w14:textId="1B41EA1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-0.30***</w:t>
            </w:r>
          </w:p>
        </w:tc>
      </w:tr>
      <w:tr w:rsidR="004E23B7" w:rsidRPr="0044286B" w14:paraId="1A21839C"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792A7E74"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2011-2017 * Social Housing</w:t>
            </w:r>
          </w:p>
        </w:tc>
        <w:tc>
          <w:tcPr>
            <w:tcW w:w="1512" w:type="dxa"/>
            <w:tcBorders>
              <w:top w:val="nil"/>
              <w:left w:val="nil"/>
              <w:bottom w:val="nil"/>
            </w:tcBorders>
            <w:shd w:val="clear" w:color="000000" w:fill="FFFFFF"/>
            <w:vAlign w:val="center"/>
          </w:tcPr>
          <w:p w14:paraId="6E423228"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7C8B18D8" w14:textId="19B55260"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-0.52***</w:t>
            </w:r>
          </w:p>
        </w:tc>
        <w:tc>
          <w:tcPr>
            <w:tcW w:w="1512" w:type="dxa"/>
            <w:tcBorders>
              <w:top w:val="nil"/>
              <w:left w:val="nil"/>
              <w:bottom w:val="nil"/>
              <w:right w:val="single" w:sz="4" w:space="0" w:color="auto"/>
            </w:tcBorders>
            <w:shd w:val="clear" w:color="auto" w:fill="auto"/>
            <w:vAlign w:val="center"/>
          </w:tcPr>
          <w:p w14:paraId="7F452175" w14:textId="35252278"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-0.47***</w:t>
            </w:r>
          </w:p>
        </w:tc>
      </w:tr>
      <w:tr w:rsidR="004E23B7" w:rsidRPr="0044286B" w14:paraId="1E0D2F90"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2C2C620"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 Pupils in Secondary Schools who were Black</w:t>
            </w:r>
          </w:p>
        </w:tc>
        <w:tc>
          <w:tcPr>
            <w:tcW w:w="1512" w:type="dxa"/>
            <w:tcBorders>
              <w:top w:val="nil"/>
              <w:left w:val="nil"/>
              <w:bottom w:val="nil"/>
            </w:tcBorders>
            <w:shd w:val="clear" w:color="000000" w:fill="FFFFFF"/>
            <w:vAlign w:val="center"/>
          </w:tcPr>
          <w:p w14:paraId="553773EB" w14:textId="77777777" w:rsidR="004E23B7" w:rsidRPr="0044286B" w:rsidRDefault="004E23B7" w:rsidP="00707A63">
            <w:pPr>
              <w:spacing w:line="140" w:lineRule="exact"/>
              <w:jc w:val="center"/>
              <w:rPr>
                <w:rFonts w:cstheme="minorHAnsi"/>
                <w:b/>
                <w:bCs/>
                <w:color w:val="000000" w:themeColor="text1"/>
                <w:sz w:val="18"/>
                <w:szCs w:val="18"/>
                <w:lang w:eastAsia="en-GB"/>
              </w:rPr>
            </w:pPr>
          </w:p>
        </w:tc>
        <w:tc>
          <w:tcPr>
            <w:tcW w:w="1512" w:type="dxa"/>
            <w:tcBorders>
              <w:top w:val="nil"/>
              <w:bottom w:val="nil"/>
              <w:right w:val="nil"/>
            </w:tcBorders>
            <w:shd w:val="clear" w:color="auto" w:fill="auto"/>
            <w:vAlign w:val="center"/>
          </w:tcPr>
          <w:p w14:paraId="4B66E459" w14:textId="0BCBC004"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-0.29</w:t>
            </w:r>
          </w:p>
        </w:tc>
        <w:tc>
          <w:tcPr>
            <w:tcW w:w="1512" w:type="dxa"/>
            <w:tcBorders>
              <w:top w:val="nil"/>
              <w:left w:val="nil"/>
              <w:bottom w:val="nil"/>
              <w:right w:val="single" w:sz="4" w:space="0" w:color="auto"/>
            </w:tcBorders>
            <w:shd w:val="clear" w:color="auto" w:fill="auto"/>
            <w:vAlign w:val="center"/>
          </w:tcPr>
          <w:p w14:paraId="45530C57" w14:textId="591ACBB7"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0.51***</w:t>
            </w:r>
          </w:p>
        </w:tc>
      </w:tr>
      <w:tr w:rsidR="004E23B7" w:rsidRPr="0044286B" w14:paraId="754D4B23"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7AE66580"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1999-2005 * % Black</w:t>
            </w:r>
          </w:p>
        </w:tc>
        <w:tc>
          <w:tcPr>
            <w:tcW w:w="1512" w:type="dxa"/>
            <w:tcBorders>
              <w:top w:val="nil"/>
              <w:left w:val="nil"/>
              <w:bottom w:val="nil"/>
            </w:tcBorders>
            <w:shd w:val="clear" w:color="000000" w:fill="FFFFFF"/>
            <w:vAlign w:val="center"/>
          </w:tcPr>
          <w:p w14:paraId="73D0D68F"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2DC41DEB" w14:textId="7E2DCC5B"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0.74*</w:t>
            </w:r>
          </w:p>
        </w:tc>
        <w:tc>
          <w:tcPr>
            <w:tcW w:w="1512" w:type="dxa"/>
            <w:tcBorders>
              <w:top w:val="nil"/>
              <w:left w:val="nil"/>
              <w:bottom w:val="nil"/>
              <w:right w:val="single" w:sz="4" w:space="0" w:color="auto"/>
            </w:tcBorders>
            <w:shd w:val="clear" w:color="auto" w:fill="auto"/>
            <w:vAlign w:val="center"/>
          </w:tcPr>
          <w:p w14:paraId="57BC7E7C" w14:textId="7CCF475C"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-0.02</w:t>
            </w:r>
          </w:p>
        </w:tc>
      </w:tr>
      <w:tr w:rsidR="004E23B7" w:rsidRPr="0044286B" w14:paraId="3FE68E93"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14873BA"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2006-2010 * % Black</w:t>
            </w:r>
          </w:p>
        </w:tc>
        <w:tc>
          <w:tcPr>
            <w:tcW w:w="1512" w:type="dxa"/>
            <w:tcBorders>
              <w:top w:val="nil"/>
              <w:left w:val="nil"/>
              <w:bottom w:val="nil"/>
            </w:tcBorders>
            <w:shd w:val="clear" w:color="000000" w:fill="FFFFFF"/>
            <w:vAlign w:val="center"/>
          </w:tcPr>
          <w:p w14:paraId="438C83B5"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00A58821" w14:textId="6D21ACF8"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-0.10</w:t>
            </w:r>
          </w:p>
        </w:tc>
        <w:tc>
          <w:tcPr>
            <w:tcW w:w="1512" w:type="dxa"/>
            <w:tcBorders>
              <w:top w:val="nil"/>
              <w:left w:val="nil"/>
              <w:bottom w:val="nil"/>
              <w:right w:val="single" w:sz="4" w:space="0" w:color="auto"/>
            </w:tcBorders>
            <w:shd w:val="clear" w:color="auto" w:fill="auto"/>
            <w:vAlign w:val="center"/>
          </w:tcPr>
          <w:p w14:paraId="69641781" w14:textId="4D4A2B5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-0.49***</w:t>
            </w:r>
          </w:p>
        </w:tc>
      </w:tr>
      <w:tr w:rsidR="004E23B7" w:rsidRPr="0044286B" w14:paraId="775F14C2"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0AF87320"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2011-2017 * % Black</w:t>
            </w:r>
          </w:p>
        </w:tc>
        <w:tc>
          <w:tcPr>
            <w:tcW w:w="1512" w:type="dxa"/>
            <w:tcBorders>
              <w:top w:val="nil"/>
              <w:left w:val="nil"/>
              <w:bottom w:val="nil"/>
            </w:tcBorders>
            <w:shd w:val="clear" w:color="000000" w:fill="FFFFFF"/>
            <w:vAlign w:val="center"/>
          </w:tcPr>
          <w:p w14:paraId="78653E4E"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5F143291" w14:textId="1A7276D0"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0.15</w:t>
            </w:r>
          </w:p>
        </w:tc>
        <w:tc>
          <w:tcPr>
            <w:tcW w:w="1512" w:type="dxa"/>
            <w:tcBorders>
              <w:top w:val="nil"/>
              <w:left w:val="nil"/>
              <w:bottom w:val="nil"/>
              <w:right w:val="single" w:sz="4" w:space="0" w:color="auto"/>
            </w:tcBorders>
            <w:shd w:val="clear" w:color="auto" w:fill="auto"/>
            <w:vAlign w:val="center"/>
          </w:tcPr>
          <w:p w14:paraId="24E4C4D0" w14:textId="4CD591A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-0.54***</w:t>
            </w:r>
          </w:p>
        </w:tc>
      </w:tr>
      <w:tr w:rsidR="004E23B7" w:rsidRPr="0044286B" w14:paraId="31A44051"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5AC5555"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 Pupils in Secondary Schools who were South Asian</w:t>
            </w:r>
          </w:p>
        </w:tc>
        <w:tc>
          <w:tcPr>
            <w:tcW w:w="1512" w:type="dxa"/>
            <w:tcBorders>
              <w:top w:val="nil"/>
              <w:left w:val="nil"/>
              <w:bottom w:val="nil"/>
            </w:tcBorders>
            <w:shd w:val="clear" w:color="000000" w:fill="FFFFFF"/>
            <w:vAlign w:val="center"/>
          </w:tcPr>
          <w:p w14:paraId="0F52654A" w14:textId="77777777" w:rsidR="004E23B7" w:rsidRPr="0044286B" w:rsidRDefault="004E23B7" w:rsidP="00707A63">
            <w:pPr>
              <w:spacing w:line="140" w:lineRule="exact"/>
              <w:jc w:val="center"/>
              <w:rPr>
                <w:rFonts w:cstheme="minorHAnsi"/>
                <w:b/>
                <w:bCs/>
                <w:color w:val="000000" w:themeColor="text1"/>
                <w:sz w:val="18"/>
                <w:szCs w:val="18"/>
                <w:lang w:eastAsia="en-GB"/>
              </w:rPr>
            </w:pPr>
          </w:p>
        </w:tc>
        <w:tc>
          <w:tcPr>
            <w:tcW w:w="1512" w:type="dxa"/>
            <w:tcBorders>
              <w:top w:val="nil"/>
              <w:bottom w:val="nil"/>
              <w:right w:val="nil"/>
            </w:tcBorders>
            <w:shd w:val="clear" w:color="auto" w:fill="auto"/>
            <w:vAlign w:val="center"/>
          </w:tcPr>
          <w:p w14:paraId="67047F54" w14:textId="3561D1FF"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0.28***</w:t>
            </w:r>
          </w:p>
        </w:tc>
        <w:tc>
          <w:tcPr>
            <w:tcW w:w="1512" w:type="dxa"/>
            <w:tcBorders>
              <w:top w:val="nil"/>
              <w:left w:val="nil"/>
              <w:bottom w:val="nil"/>
              <w:right w:val="single" w:sz="4" w:space="0" w:color="auto"/>
            </w:tcBorders>
            <w:shd w:val="clear" w:color="auto" w:fill="auto"/>
            <w:vAlign w:val="center"/>
          </w:tcPr>
          <w:p w14:paraId="3295A33E" w14:textId="1E040714"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-0.01</w:t>
            </w:r>
          </w:p>
        </w:tc>
      </w:tr>
      <w:tr w:rsidR="004E23B7" w:rsidRPr="0044286B" w14:paraId="239E7CE1"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05441F2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1999-2005 * % South Asian</w:t>
            </w:r>
          </w:p>
        </w:tc>
        <w:tc>
          <w:tcPr>
            <w:tcW w:w="1512" w:type="dxa"/>
            <w:tcBorders>
              <w:top w:val="nil"/>
              <w:left w:val="nil"/>
              <w:bottom w:val="nil"/>
            </w:tcBorders>
            <w:shd w:val="clear" w:color="000000" w:fill="FFFFFF"/>
            <w:vAlign w:val="center"/>
          </w:tcPr>
          <w:p w14:paraId="216B9F5E"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38CD9338" w14:textId="16924C0E"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-0.35***</w:t>
            </w:r>
          </w:p>
        </w:tc>
        <w:tc>
          <w:tcPr>
            <w:tcW w:w="1512" w:type="dxa"/>
            <w:tcBorders>
              <w:top w:val="nil"/>
              <w:left w:val="nil"/>
              <w:bottom w:val="nil"/>
              <w:right w:val="single" w:sz="4" w:space="0" w:color="auto"/>
            </w:tcBorders>
            <w:shd w:val="clear" w:color="auto" w:fill="auto"/>
            <w:vAlign w:val="center"/>
          </w:tcPr>
          <w:p w14:paraId="41959C6B" w14:textId="13FD28DF"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-0.12**</w:t>
            </w:r>
          </w:p>
        </w:tc>
      </w:tr>
      <w:tr w:rsidR="004E23B7" w:rsidRPr="0044286B" w14:paraId="2E9587D7"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12298C92"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2006-2010 * % South Asian</w:t>
            </w:r>
          </w:p>
        </w:tc>
        <w:tc>
          <w:tcPr>
            <w:tcW w:w="1512" w:type="dxa"/>
            <w:tcBorders>
              <w:top w:val="nil"/>
              <w:left w:val="nil"/>
              <w:bottom w:val="nil"/>
            </w:tcBorders>
            <w:shd w:val="clear" w:color="000000" w:fill="FFFFFF"/>
            <w:vAlign w:val="center"/>
          </w:tcPr>
          <w:p w14:paraId="5F0285CB"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7ED3A4E5" w14:textId="1ADA6457"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-0.34***</w:t>
            </w:r>
          </w:p>
        </w:tc>
        <w:tc>
          <w:tcPr>
            <w:tcW w:w="1512" w:type="dxa"/>
            <w:tcBorders>
              <w:top w:val="nil"/>
              <w:left w:val="nil"/>
              <w:bottom w:val="nil"/>
              <w:right w:val="single" w:sz="4" w:space="0" w:color="auto"/>
            </w:tcBorders>
            <w:shd w:val="clear" w:color="auto" w:fill="auto"/>
            <w:vAlign w:val="center"/>
          </w:tcPr>
          <w:p w14:paraId="1869D177" w14:textId="334E1E18"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-0.15***</w:t>
            </w:r>
          </w:p>
        </w:tc>
      </w:tr>
      <w:tr w:rsidR="004E23B7" w:rsidRPr="0044286B" w14:paraId="26DC18EE"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9891321"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2011-2017 * % South Asian</w:t>
            </w:r>
          </w:p>
        </w:tc>
        <w:tc>
          <w:tcPr>
            <w:tcW w:w="1512" w:type="dxa"/>
            <w:tcBorders>
              <w:top w:val="nil"/>
              <w:left w:val="nil"/>
              <w:bottom w:val="nil"/>
            </w:tcBorders>
            <w:shd w:val="clear" w:color="000000" w:fill="FFFFFF"/>
            <w:vAlign w:val="center"/>
          </w:tcPr>
          <w:p w14:paraId="5AAFB287"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2160C135" w14:textId="4C11BCF4"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-0.34***</w:t>
            </w:r>
          </w:p>
        </w:tc>
        <w:tc>
          <w:tcPr>
            <w:tcW w:w="1512" w:type="dxa"/>
            <w:tcBorders>
              <w:top w:val="nil"/>
              <w:left w:val="nil"/>
              <w:bottom w:val="nil"/>
              <w:right w:val="single" w:sz="4" w:space="0" w:color="auto"/>
            </w:tcBorders>
            <w:shd w:val="clear" w:color="auto" w:fill="auto"/>
            <w:vAlign w:val="center"/>
          </w:tcPr>
          <w:p w14:paraId="17E0D1C4" w14:textId="6A8F7B6F"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-0.07</w:t>
            </w:r>
          </w:p>
        </w:tc>
      </w:tr>
      <w:tr w:rsidR="004E23B7" w:rsidRPr="0044286B" w14:paraId="2BAD8490"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64B53C4C"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TPS Funding per each Female aged 13-17</w:t>
            </w:r>
          </w:p>
        </w:tc>
        <w:tc>
          <w:tcPr>
            <w:tcW w:w="1512" w:type="dxa"/>
            <w:tcBorders>
              <w:top w:val="nil"/>
              <w:left w:val="nil"/>
              <w:bottom w:val="nil"/>
            </w:tcBorders>
            <w:shd w:val="clear" w:color="000000" w:fill="FFFFFF"/>
            <w:vAlign w:val="center"/>
          </w:tcPr>
          <w:p w14:paraId="17D727A6" w14:textId="77777777" w:rsidR="004E23B7" w:rsidRPr="0044286B" w:rsidRDefault="004E23B7" w:rsidP="00707A63">
            <w:pPr>
              <w:spacing w:line="140" w:lineRule="exact"/>
              <w:jc w:val="center"/>
              <w:rPr>
                <w:rFonts w:cstheme="minorHAnsi"/>
                <w:b/>
                <w:bCs/>
                <w:color w:val="000000" w:themeColor="text1"/>
                <w:sz w:val="18"/>
                <w:szCs w:val="18"/>
                <w:lang w:eastAsia="en-GB"/>
              </w:rPr>
            </w:pPr>
          </w:p>
        </w:tc>
        <w:tc>
          <w:tcPr>
            <w:tcW w:w="1512" w:type="dxa"/>
            <w:tcBorders>
              <w:top w:val="nil"/>
              <w:bottom w:val="nil"/>
              <w:right w:val="nil"/>
            </w:tcBorders>
            <w:shd w:val="clear" w:color="auto" w:fill="auto"/>
            <w:vAlign w:val="center"/>
          </w:tcPr>
          <w:p w14:paraId="3418BE55" w14:textId="19A992BD"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0.22***</w:t>
            </w:r>
          </w:p>
        </w:tc>
        <w:tc>
          <w:tcPr>
            <w:tcW w:w="1512" w:type="dxa"/>
            <w:tcBorders>
              <w:top w:val="nil"/>
              <w:left w:val="nil"/>
              <w:bottom w:val="nil"/>
              <w:right w:val="single" w:sz="4" w:space="0" w:color="auto"/>
            </w:tcBorders>
            <w:shd w:val="clear" w:color="auto" w:fill="auto"/>
            <w:vAlign w:val="center"/>
          </w:tcPr>
          <w:p w14:paraId="344A911B" w14:textId="57FE1B87" w:rsidR="004E23B7" w:rsidRPr="0044286B" w:rsidRDefault="006D3340" w:rsidP="00707A63">
            <w:pPr>
              <w:spacing w:line="140" w:lineRule="exact"/>
              <w:rPr>
                <w:rFonts w:cstheme="minorHAnsi"/>
                <w:b/>
                <w:bCs/>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0.23***</w:t>
            </w:r>
          </w:p>
        </w:tc>
      </w:tr>
      <w:tr w:rsidR="004E23B7" w:rsidRPr="0044286B" w14:paraId="6C797E45"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AC3544A"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2006-2010 * TPS Funding (REF. = 1999-2005)</w:t>
            </w:r>
          </w:p>
        </w:tc>
        <w:tc>
          <w:tcPr>
            <w:tcW w:w="1512" w:type="dxa"/>
            <w:tcBorders>
              <w:top w:val="nil"/>
              <w:left w:val="nil"/>
              <w:bottom w:val="nil"/>
            </w:tcBorders>
            <w:shd w:val="clear" w:color="000000" w:fill="FFFFFF"/>
            <w:vAlign w:val="center"/>
          </w:tcPr>
          <w:p w14:paraId="72857BC3" w14:textId="77777777" w:rsidR="004E23B7" w:rsidRPr="0044286B" w:rsidRDefault="004E23B7" w:rsidP="00707A63">
            <w:pPr>
              <w:spacing w:line="140" w:lineRule="exact"/>
              <w:jc w:val="center"/>
              <w:rPr>
                <w:rFonts w:cstheme="minorHAnsi"/>
                <w:color w:val="000000" w:themeColor="text1"/>
                <w:sz w:val="18"/>
                <w:szCs w:val="18"/>
                <w:lang w:eastAsia="en-GB"/>
              </w:rPr>
            </w:pPr>
          </w:p>
        </w:tc>
        <w:tc>
          <w:tcPr>
            <w:tcW w:w="1512" w:type="dxa"/>
            <w:tcBorders>
              <w:top w:val="nil"/>
              <w:bottom w:val="nil"/>
              <w:right w:val="nil"/>
            </w:tcBorders>
            <w:shd w:val="clear" w:color="auto" w:fill="auto"/>
            <w:vAlign w:val="center"/>
          </w:tcPr>
          <w:p w14:paraId="05E9E2BA" w14:textId="6DAA15BD"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-0.00</w:t>
            </w:r>
          </w:p>
        </w:tc>
        <w:tc>
          <w:tcPr>
            <w:tcW w:w="1512" w:type="dxa"/>
            <w:tcBorders>
              <w:top w:val="nil"/>
              <w:left w:val="nil"/>
              <w:bottom w:val="nil"/>
              <w:right w:val="single" w:sz="4" w:space="0" w:color="auto"/>
            </w:tcBorders>
            <w:shd w:val="clear" w:color="auto" w:fill="auto"/>
            <w:vAlign w:val="center"/>
          </w:tcPr>
          <w:p w14:paraId="78ABA8D9" w14:textId="72FAD08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-0.00</w:t>
            </w:r>
          </w:p>
        </w:tc>
      </w:tr>
      <w:tr w:rsidR="004E23B7" w:rsidRPr="0044286B" w14:paraId="0C70A4B6" w14:textId="77777777" w:rsidTr="00707A63">
        <w:trPr>
          <w:trHeight w:val="270"/>
        </w:trPr>
        <w:tc>
          <w:tcPr>
            <w:tcW w:w="4957" w:type="dxa"/>
            <w:tcBorders>
              <w:top w:val="nil"/>
              <w:left w:val="single" w:sz="4" w:space="0" w:color="auto"/>
              <w:bottom w:val="single" w:sz="4" w:space="0" w:color="auto"/>
              <w:right w:val="nil"/>
            </w:tcBorders>
            <w:shd w:val="clear" w:color="000000" w:fill="FFFFFF"/>
            <w:vAlign w:val="center"/>
            <w:hideMark/>
          </w:tcPr>
          <w:p w14:paraId="0BEE1D92" w14:textId="77777777" w:rsidR="004E23B7" w:rsidRPr="0044286B" w:rsidRDefault="004E23B7" w:rsidP="00707A63">
            <w:pPr>
              <w:spacing w:line="140" w:lineRule="exact"/>
              <w:rPr>
                <w:rFonts w:cstheme="minorHAnsi"/>
                <w:b/>
                <w:bCs/>
                <w:color w:val="000000" w:themeColor="text1"/>
                <w:sz w:val="18"/>
                <w:szCs w:val="18"/>
                <w:lang w:eastAsia="en-GB"/>
              </w:rPr>
            </w:pPr>
            <w:r w:rsidRPr="0044286B">
              <w:rPr>
                <w:rFonts w:cstheme="minorHAnsi"/>
                <w:b/>
                <w:bCs/>
                <w:color w:val="000000" w:themeColor="text1"/>
                <w:sz w:val="18"/>
                <w:szCs w:val="18"/>
                <w:lang w:eastAsia="en-GB"/>
              </w:rPr>
              <w:t>Constant</w:t>
            </w:r>
          </w:p>
        </w:tc>
        <w:tc>
          <w:tcPr>
            <w:tcW w:w="1512" w:type="dxa"/>
            <w:tcBorders>
              <w:top w:val="nil"/>
              <w:left w:val="nil"/>
              <w:bottom w:val="single" w:sz="4" w:space="0" w:color="auto"/>
            </w:tcBorders>
            <w:shd w:val="clear" w:color="000000" w:fill="FFFFFF"/>
            <w:vAlign w:val="center"/>
          </w:tcPr>
          <w:p w14:paraId="48F1314C" w14:textId="69EE7530"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48.70</w:t>
            </w:r>
          </w:p>
        </w:tc>
        <w:tc>
          <w:tcPr>
            <w:tcW w:w="1512" w:type="dxa"/>
            <w:tcBorders>
              <w:top w:val="nil"/>
              <w:bottom w:val="single" w:sz="4" w:space="0" w:color="auto"/>
              <w:right w:val="nil"/>
            </w:tcBorders>
            <w:shd w:val="clear" w:color="auto" w:fill="auto"/>
            <w:vAlign w:val="center"/>
          </w:tcPr>
          <w:p w14:paraId="67FD007B" w14:textId="7087DB59"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35.35***</w:t>
            </w:r>
          </w:p>
        </w:tc>
        <w:tc>
          <w:tcPr>
            <w:tcW w:w="1512" w:type="dxa"/>
            <w:tcBorders>
              <w:top w:val="nil"/>
              <w:left w:val="nil"/>
              <w:bottom w:val="single" w:sz="4" w:space="0" w:color="auto"/>
              <w:right w:val="single" w:sz="4" w:space="0" w:color="auto"/>
            </w:tcBorders>
            <w:shd w:val="clear" w:color="auto" w:fill="auto"/>
            <w:vAlign w:val="center"/>
          </w:tcPr>
          <w:p w14:paraId="700860A6"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rPr>
              <w:t xml:space="preserve"> 39.78***</w:t>
            </w:r>
          </w:p>
        </w:tc>
      </w:tr>
      <w:tr w:rsidR="004E23B7" w:rsidRPr="0044286B" w14:paraId="1D46AF12" w14:textId="77777777" w:rsidTr="00707A63">
        <w:trPr>
          <w:trHeight w:val="270"/>
        </w:trPr>
        <w:tc>
          <w:tcPr>
            <w:tcW w:w="4957" w:type="dxa"/>
            <w:tcBorders>
              <w:top w:val="nil"/>
              <w:left w:val="single" w:sz="4" w:space="0" w:color="auto"/>
              <w:bottom w:val="nil"/>
              <w:right w:val="nil"/>
            </w:tcBorders>
            <w:shd w:val="clear" w:color="000000" w:fill="FFFFFF"/>
            <w:vAlign w:val="center"/>
            <w:hideMark/>
          </w:tcPr>
          <w:p w14:paraId="586B9CE1" w14:textId="77777777" w:rsidR="004E23B7" w:rsidRPr="0044286B" w:rsidRDefault="004E23B7" w:rsidP="00707A63">
            <w:pPr>
              <w:spacing w:line="140" w:lineRule="exact"/>
              <w:rPr>
                <w:rFonts w:cstheme="minorHAnsi"/>
                <w:b/>
                <w:bCs/>
                <w:i/>
                <w:iCs/>
                <w:color w:val="000000" w:themeColor="text1"/>
                <w:sz w:val="18"/>
                <w:szCs w:val="18"/>
                <w:u w:val="single"/>
                <w:lang w:eastAsia="en-GB"/>
              </w:rPr>
            </w:pPr>
            <w:r w:rsidRPr="0044286B">
              <w:rPr>
                <w:rFonts w:cstheme="minorHAnsi"/>
                <w:b/>
                <w:bCs/>
                <w:i/>
                <w:iCs/>
                <w:color w:val="000000" w:themeColor="text1"/>
                <w:sz w:val="18"/>
                <w:szCs w:val="18"/>
                <w:u w:val="single"/>
                <w:lang w:eastAsia="en-GB"/>
              </w:rPr>
              <w:t>Random Effects</w:t>
            </w:r>
          </w:p>
        </w:tc>
        <w:tc>
          <w:tcPr>
            <w:tcW w:w="1512" w:type="dxa"/>
            <w:tcBorders>
              <w:top w:val="nil"/>
              <w:left w:val="nil"/>
              <w:bottom w:val="nil"/>
            </w:tcBorders>
            <w:shd w:val="clear" w:color="000000" w:fill="FFFFFF"/>
            <w:vAlign w:val="center"/>
          </w:tcPr>
          <w:p w14:paraId="336E3782" w14:textId="77777777" w:rsidR="004E23B7" w:rsidRPr="0044286B" w:rsidRDefault="004E23B7" w:rsidP="00707A63">
            <w:pPr>
              <w:spacing w:line="140" w:lineRule="exact"/>
              <w:rPr>
                <w:rFonts w:cstheme="minorHAnsi"/>
                <w:b/>
                <w:bCs/>
                <w:i/>
                <w:iCs/>
                <w:color w:val="000000" w:themeColor="text1"/>
                <w:sz w:val="18"/>
                <w:szCs w:val="18"/>
                <w:u w:val="single"/>
                <w:lang w:eastAsia="en-GB"/>
              </w:rPr>
            </w:pPr>
          </w:p>
        </w:tc>
        <w:tc>
          <w:tcPr>
            <w:tcW w:w="1512" w:type="dxa"/>
            <w:tcBorders>
              <w:top w:val="single" w:sz="4" w:space="0" w:color="auto"/>
              <w:bottom w:val="nil"/>
              <w:right w:val="nil"/>
            </w:tcBorders>
            <w:shd w:val="clear" w:color="000000" w:fill="FFFFFF"/>
            <w:vAlign w:val="center"/>
          </w:tcPr>
          <w:p w14:paraId="265452EA" w14:textId="77777777" w:rsidR="004E23B7" w:rsidRPr="0044286B" w:rsidRDefault="004E23B7" w:rsidP="00707A63">
            <w:pPr>
              <w:spacing w:line="140" w:lineRule="exact"/>
              <w:rPr>
                <w:rFonts w:cstheme="minorHAnsi"/>
                <w:b/>
                <w:bCs/>
                <w:i/>
                <w:iCs/>
                <w:color w:val="000000" w:themeColor="text1"/>
                <w:sz w:val="18"/>
                <w:szCs w:val="18"/>
                <w:u w:val="single"/>
                <w:lang w:eastAsia="en-GB"/>
              </w:rPr>
            </w:pPr>
          </w:p>
        </w:tc>
        <w:tc>
          <w:tcPr>
            <w:tcW w:w="1512" w:type="dxa"/>
            <w:tcBorders>
              <w:top w:val="single" w:sz="4" w:space="0" w:color="auto"/>
              <w:left w:val="nil"/>
              <w:bottom w:val="nil"/>
              <w:right w:val="single" w:sz="4" w:space="0" w:color="auto"/>
            </w:tcBorders>
            <w:shd w:val="clear" w:color="000000" w:fill="FFFFFF"/>
            <w:vAlign w:val="center"/>
          </w:tcPr>
          <w:p w14:paraId="0BFDA8F0" w14:textId="77777777" w:rsidR="004E23B7" w:rsidRPr="0044286B" w:rsidRDefault="004E23B7" w:rsidP="00707A63">
            <w:pPr>
              <w:spacing w:line="140" w:lineRule="exact"/>
              <w:rPr>
                <w:rFonts w:cstheme="minorHAnsi"/>
                <w:b/>
                <w:bCs/>
                <w:i/>
                <w:iCs/>
                <w:color w:val="000000" w:themeColor="text1"/>
                <w:sz w:val="18"/>
                <w:szCs w:val="18"/>
                <w:u w:val="single"/>
                <w:lang w:eastAsia="en-GB"/>
              </w:rPr>
            </w:pPr>
          </w:p>
        </w:tc>
      </w:tr>
      <w:tr w:rsidR="004E23B7" w:rsidRPr="0044286B" w14:paraId="6963A8E0"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3BB6FBA3"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Between LAD variation</w:t>
            </w:r>
          </w:p>
        </w:tc>
        <w:tc>
          <w:tcPr>
            <w:tcW w:w="1512" w:type="dxa"/>
            <w:tcBorders>
              <w:top w:val="nil"/>
              <w:left w:val="nil"/>
              <w:bottom w:val="nil"/>
            </w:tcBorders>
            <w:shd w:val="clear" w:color="000000" w:fill="FFFFFF"/>
            <w:vAlign w:val="center"/>
          </w:tcPr>
          <w:p w14:paraId="75E07B98" w14:textId="06AF61D5"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8.43</w:t>
            </w:r>
          </w:p>
        </w:tc>
        <w:tc>
          <w:tcPr>
            <w:tcW w:w="1512" w:type="dxa"/>
            <w:tcBorders>
              <w:top w:val="nil"/>
              <w:bottom w:val="nil"/>
              <w:right w:val="nil"/>
            </w:tcBorders>
            <w:shd w:val="clear" w:color="auto" w:fill="auto"/>
            <w:vAlign w:val="center"/>
          </w:tcPr>
          <w:p w14:paraId="3FF27F30" w14:textId="0BB9FDB8"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4.26</w:t>
            </w:r>
          </w:p>
        </w:tc>
        <w:tc>
          <w:tcPr>
            <w:tcW w:w="1512" w:type="dxa"/>
            <w:tcBorders>
              <w:top w:val="nil"/>
              <w:left w:val="nil"/>
              <w:bottom w:val="nil"/>
              <w:right w:val="single" w:sz="4" w:space="0" w:color="auto"/>
            </w:tcBorders>
            <w:shd w:val="clear" w:color="auto" w:fill="auto"/>
            <w:vAlign w:val="center"/>
          </w:tcPr>
          <w:p w14:paraId="55062FC6" w14:textId="3D64C92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4.28</w:t>
            </w:r>
          </w:p>
        </w:tc>
      </w:tr>
      <w:tr w:rsidR="004E23B7" w:rsidRPr="0044286B" w14:paraId="3B894045" w14:textId="77777777" w:rsidTr="00707A63">
        <w:trPr>
          <w:trHeight w:val="255"/>
        </w:trPr>
        <w:tc>
          <w:tcPr>
            <w:tcW w:w="4957" w:type="dxa"/>
            <w:tcBorders>
              <w:top w:val="nil"/>
              <w:left w:val="single" w:sz="4" w:space="0" w:color="auto"/>
              <w:bottom w:val="nil"/>
              <w:right w:val="nil"/>
            </w:tcBorders>
            <w:shd w:val="clear" w:color="000000" w:fill="FFFFFF"/>
            <w:vAlign w:val="center"/>
            <w:hideMark/>
          </w:tcPr>
          <w:p w14:paraId="2F52936F"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Within LAD variation</w:t>
            </w:r>
          </w:p>
        </w:tc>
        <w:tc>
          <w:tcPr>
            <w:tcW w:w="1512" w:type="dxa"/>
            <w:tcBorders>
              <w:top w:val="nil"/>
              <w:left w:val="nil"/>
              <w:bottom w:val="nil"/>
            </w:tcBorders>
            <w:shd w:val="clear" w:color="000000" w:fill="FFFFFF"/>
            <w:vAlign w:val="center"/>
          </w:tcPr>
          <w:p w14:paraId="0DEEDF0C" w14:textId="7DA4661E"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5.82</w:t>
            </w:r>
          </w:p>
        </w:tc>
        <w:tc>
          <w:tcPr>
            <w:tcW w:w="1512" w:type="dxa"/>
            <w:tcBorders>
              <w:top w:val="nil"/>
              <w:bottom w:val="nil"/>
              <w:right w:val="nil"/>
            </w:tcBorders>
            <w:shd w:val="clear" w:color="auto" w:fill="auto"/>
            <w:vAlign w:val="center"/>
          </w:tcPr>
          <w:p w14:paraId="1FEF7B0B" w14:textId="4BA2E5EE"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4.81</w:t>
            </w:r>
          </w:p>
        </w:tc>
        <w:tc>
          <w:tcPr>
            <w:tcW w:w="1512" w:type="dxa"/>
            <w:tcBorders>
              <w:top w:val="nil"/>
              <w:left w:val="nil"/>
              <w:bottom w:val="nil"/>
              <w:right w:val="single" w:sz="4" w:space="0" w:color="auto"/>
            </w:tcBorders>
            <w:shd w:val="clear" w:color="auto" w:fill="auto"/>
            <w:vAlign w:val="center"/>
          </w:tcPr>
          <w:p w14:paraId="41502ADD" w14:textId="2F754616"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4.83</w:t>
            </w:r>
          </w:p>
        </w:tc>
      </w:tr>
      <w:tr w:rsidR="004E23B7" w:rsidRPr="0044286B" w14:paraId="1497B2F6" w14:textId="77777777" w:rsidTr="00707A63">
        <w:trPr>
          <w:trHeight w:val="255"/>
        </w:trPr>
        <w:tc>
          <w:tcPr>
            <w:tcW w:w="4957" w:type="dxa"/>
            <w:tcBorders>
              <w:top w:val="nil"/>
              <w:left w:val="single" w:sz="4" w:space="0" w:color="auto"/>
              <w:bottom w:val="single" w:sz="4" w:space="0" w:color="auto"/>
              <w:right w:val="nil"/>
            </w:tcBorders>
            <w:shd w:val="clear" w:color="000000" w:fill="FFFFFF"/>
            <w:vAlign w:val="center"/>
            <w:hideMark/>
          </w:tcPr>
          <w:p w14:paraId="1B7364B2"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rho</w:t>
            </w:r>
          </w:p>
        </w:tc>
        <w:tc>
          <w:tcPr>
            <w:tcW w:w="1512" w:type="dxa"/>
            <w:tcBorders>
              <w:top w:val="nil"/>
              <w:left w:val="nil"/>
              <w:bottom w:val="single" w:sz="4" w:space="0" w:color="auto"/>
            </w:tcBorders>
            <w:shd w:val="clear" w:color="000000" w:fill="FFFFFF"/>
            <w:vAlign w:val="center"/>
          </w:tcPr>
          <w:p w14:paraId="34EABB09" w14:textId="3494451F"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lang w:eastAsia="en-GB"/>
              </w:rPr>
              <w:t xml:space="preserve">  </w:t>
            </w:r>
            <w:r w:rsidR="004E23B7" w:rsidRPr="0044286B">
              <w:rPr>
                <w:rFonts w:cstheme="minorHAnsi"/>
                <w:color w:val="000000" w:themeColor="text1"/>
                <w:sz w:val="18"/>
                <w:szCs w:val="18"/>
                <w:lang w:eastAsia="en-GB"/>
              </w:rPr>
              <w:t xml:space="preserve"> 0.68</w:t>
            </w:r>
          </w:p>
        </w:tc>
        <w:tc>
          <w:tcPr>
            <w:tcW w:w="1512" w:type="dxa"/>
            <w:tcBorders>
              <w:top w:val="nil"/>
              <w:bottom w:val="single" w:sz="4" w:space="0" w:color="auto"/>
              <w:right w:val="nil"/>
            </w:tcBorders>
            <w:shd w:val="clear" w:color="auto" w:fill="auto"/>
            <w:vAlign w:val="center"/>
          </w:tcPr>
          <w:p w14:paraId="2C160EDB" w14:textId="34ED449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0.44</w:t>
            </w:r>
          </w:p>
        </w:tc>
        <w:tc>
          <w:tcPr>
            <w:tcW w:w="1512" w:type="dxa"/>
            <w:tcBorders>
              <w:top w:val="nil"/>
              <w:left w:val="nil"/>
              <w:bottom w:val="single" w:sz="4" w:space="0" w:color="auto"/>
              <w:right w:val="single" w:sz="4" w:space="0" w:color="auto"/>
            </w:tcBorders>
            <w:shd w:val="clear" w:color="auto" w:fill="auto"/>
            <w:vAlign w:val="center"/>
          </w:tcPr>
          <w:p w14:paraId="65449F14" w14:textId="11377E52" w:rsidR="004E23B7" w:rsidRPr="0044286B" w:rsidRDefault="006D3340" w:rsidP="00707A63">
            <w:pPr>
              <w:spacing w:line="140" w:lineRule="exact"/>
              <w:rPr>
                <w:rFonts w:cstheme="minorHAnsi"/>
                <w:color w:val="000000" w:themeColor="text1"/>
                <w:sz w:val="18"/>
                <w:szCs w:val="18"/>
                <w:lang w:eastAsia="en-GB"/>
              </w:rPr>
            </w:pPr>
            <w:r>
              <w:rPr>
                <w:rFonts w:cstheme="minorHAnsi"/>
                <w:color w:val="000000" w:themeColor="text1"/>
                <w:sz w:val="18"/>
                <w:szCs w:val="18"/>
              </w:rPr>
              <w:t xml:space="preserve"> </w:t>
            </w:r>
            <w:r w:rsidR="004E23B7" w:rsidRPr="0044286B">
              <w:rPr>
                <w:rFonts w:cstheme="minorHAnsi"/>
                <w:color w:val="000000" w:themeColor="text1"/>
                <w:sz w:val="18"/>
                <w:szCs w:val="18"/>
              </w:rPr>
              <w:t xml:space="preserve"> 0.44</w:t>
            </w:r>
          </w:p>
        </w:tc>
      </w:tr>
      <w:tr w:rsidR="004E23B7" w:rsidRPr="0044286B" w14:paraId="7B8B0476" w14:textId="77777777" w:rsidTr="00707A63">
        <w:trPr>
          <w:trHeight w:val="255"/>
        </w:trPr>
        <w:tc>
          <w:tcPr>
            <w:tcW w:w="4957" w:type="dxa"/>
            <w:tcBorders>
              <w:top w:val="single" w:sz="4" w:space="0" w:color="auto"/>
              <w:left w:val="single" w:sz="4" w:space="0" w:color="auto"/>
              <w:bottom w:val="single" w:sz="4" w:space="0" w:color="auto"/>
            </w:tcBorders>
            <w:shd w:val="clear" w:color="000000" w:fill="FFFFFF"/>
            <w:vAlign w:val="center"/>
            <w:hideMark/>
          </w:tcPr>
          <w:p w14:paraId="1AB9420A" w14:textId="77777777" w:rsidR="004E23B7" w:rsidRPr="0044286B" w:rsidRDefault="004E23B7" w:rsidP="00707A63">
            <w:pPr>
              <w:spacing w:line="140" w:lineRule="exact"/>
              <w:rPr>
                <w:rFonts w:cstheme="minorHAnsi"/>
                <w:color w:val="000000" w:themeColor="text1"/>
                <w:sz w:val="18"/>
                <w:szCs w:val="18"/>
                <w:lang w:eastAsia="en-GB"/>
              </w:rPr>
            </w:pPr>
            <w:r w:rsidRPr="0044286B">
              <w:rPr>
                <w:rFonts w:cstheme="minorHAnsi"/>
                <w:color w:val="000000" w:themeColor="text1"/>
                <w:sz w:val="18"/>
                <w:szCs w:val="18"/>
                <w:lang w:eastAsia="en-GB"/>
              </w:rPr>
              <w:t>*** p&lt;0.01, ** p&lt;0.05, * p&lt;0.1</w:t>
            </w:r>
          </w:p>
        </w:tc>
        <w:tc>
          <w:tcPr>
            <w:tcW w:w="1512" w:type="dxa"/>
            <w:tcBorders>
              <w:top w:val="single" w:sz="4" w:space="0" w:color="auto"/>
              <w:bottom w:val="single" w:sz="4" w:space="0" w:color="auto"/>
            </w:tcBorders>
            <w:shd w:val="clear" w:color="000000" w:fill="FFFFFF"/>
            <w:vAlign w:val="center"/>
            <w:hideMark/>
          </w:tcPr>
          <w:p w14:paraId="502735BA" w14:textId="77777777" w:rsidR="004E23B7" w:rsidRPr="0044286B" w:rsidRDefault="004E23B7" w:rsidP="00707A63">
            <w:pPr>
              <w:spacing w:line="140" w:lineRule="exact"/>
              <w:rPr>
                <w:rFonts w:cstheme="minorHAnsi"/>
                <w:i/>
                <w:iCs/>
                <w:color w:val="000000" w:themeColor="text1"/>
                <w:sz w:val="18"/>
                <w:szCs w:val="18"/>
                <w:lang w:eastAsia="en-GB"/>
              </w:rPr>
            </w:pPr>
            <w:r w:rsidRPr="0044286B">
              <w:rPr>
                <w:rFonts w:cstheme="minorHAnsi"/>
                <w:i/>
                <w:iCs/>
                <w:color w:val="000000" w:themeColor="text1"/>
                <w:sz w:val="18"/>
                <w:szCs w:val="18"/>
                <w:lang w:eastAsia="en-GB"/>
              </w:rPr>
              <w:t> </w:t>
            </w:r>
          </w:p>
        </w:tc>
        <w:tc>
          <w:tcPr>
            <w:tcW w:w="1512" w:type="dxa"/>
            <w:tcBorders>
              <w:top w:val="single" w:sz="4" w:space="0" w:color="auto"/>
              <w:bottom w:val="single" w:sz="4" w:space="0" w:color="auto"/>
            </w:tcBorders>
            <w:shd w:val="clear" w:color="000000" w:fill="FFFFFF"/>
            <w:vAlign w:val="center"/>
            <w:hideMark/>
          </w:tcPr>
          <w:p w14:paraId="0B44EDFA" w14:textId="77777777" w:rsidR="004E23B7" w:rsidRPr="0044286B" w:rsidRDefault="004E23B7" w:rsidP="00707A63">
            <w:pPr>
              <w:spacing w:line="140" w:lineRule="exact"/>
              <w:rPr>
                <w:rFonts w:cstheme="minorHAnsi"/>
                <w:i/>
                <w:iCs/>
                <w:color w:val="000000" w:themeColor="text1"/>
                <w:sz w:val="18"/>
                <w:szCs w:val="18"/>
                <w:lang w:eastAsia="en-GB"/>
              </w:rPr>
            </w:pPr>
            <w:r w:rsidRPr="0044286B">
              <w:rPr>
                <w:rFonts w:cstheme="minorHAnsi"/>
                <w:i/>
                <w:iCs/>
                <w:color w:val="000000" w:themeColor="text1"/>
                <w:sz w:val="18"/>
                <w:szCs w:val="18"/>
                <w:lang w:eastAsia="en-GB"/>
              </w:rPr>
              <w:t> </w:t>
            </w:r>
          </w:p>
        </w:tc>
        <w:tc>
          <w:tcPr>
            <w:tcW w:w="1512" w:type="dxa"/>
            <w:tcBorders>
              <w:top w:val="single" w:sz="4" w:space="0" w:color="auto"/>
              <w:bottom w:val="single" w:sz="4" w:space="0" w:color="auto"/>
              <w:right w:val="single" w:sz="4" w:space="0" w:color="auto"/>
            </w:tcBorders>
            <w:shd w:val="clear" w:color="000000" w:fill="FFFFFF"/>
            <w:vAlign w:val="center"/>
            <w:hideMark/>
          </w:tcPr>
          <w:p w14:paraId="6E6A3548" w14:textId="77777777" w:rsidR="004E23B7" w:rsidRPr="0044286B" w:rsidRDefault="004E23B7" w:rsidP="00707A63">
            <w:pPr>
              <w:spacing w:line="140" w:lineRule="exact"/>
              <w:rPr>
                <w:rFonts w:cstheme="minorHAnsi"/>
                <w:i/>
                <w:iCs/>
                <w:color w:val="000000" w:themeColor="text1"/>
                <w:sz w:val="18"/>
                <w:szCs w:val="18"/>
                <w:lang w:eastAsia="en-GB"/>
              </w:rPr>
            </w:pPr>
            <w:r w:rsidRPr="0044286B">
              <w:rPr>
                <w:rFonts w:cstheme="minorHAnsi"/>
                <w:i/>
                <w:iCs/>
                <w:color w:val="000000" w:themeColor="text1"/>
                <w:sz w:val="18"/>
                <w:szCs w:val="18"/>
                <w:lang w:eastAsia="en-GB"/>
              </w:rPr>
              <w:t> </w:t>
            </w:r>
          </w:p>
        </w:tc>
      </w:tr>
    </w:tbl>
    <w:p w14:paraId="281ED247" w14:textId="7BC5E61E" w:rsidR="009371EE" w:rsidRPr="009C4969" w:rsidRDefault="009371EE" w:rsidP="00E5051A">
      <w:pPr>
        <w:pStyle w:val="EndNoteBibliography"/>
        <w:spacing w:after="0" w:line="360" w:lineRule="auto"/>
        <w:rPr>
          <w:rFonts w:asciiTheme="minorHAnsi" w:hAnsiTheme="minorHAnsi" w:cstheme="minorHAnsi"/>
        </w:rPr>
        <w:sectPr w:rsidR="009371EE" w:rsidRPr="009C4969" w:rsidSect="005E06A6">
          <w:type w:val="continuous"/>
          <w:pgSz w:w="11906" w:h="16838"/>
          <w:pgMar w:top="1440" w:right="1440" w:bottom="1440" w:left="1440" w:header="708" w:footer="708" w:gutter="0"/>
          <w:lnNumType w:countBy="1"/>
          <w:cols w:space="708"/>
          <w:docGrid w:linePitch="360"/>
        </w:sectPr>
      </w:pPr>
    </w:p>
    <w:p w14:paraId="2BF2E800" w14:textId="504ACC80" w:rsidR="009371EE" w:rsidRPr="00682940" w:rsidRDefault="004E23B7" w:rsidP="009371EE">
      <w:pPr>
        <w:spacing w:line="240" w:lineRule="auto"/>
        <w:rPr>
          <w:rFonts w:cstheme="minorHAnsi"/>
          <w:sz w:val="20"/>
          <w:szCs w:val="20"/>
        </w:rPr>
      </w:pPr>
      <w:r w:rsidRPr="003D099F">
        <w:rPr>
          <w:rFonts w:cstheme="minorHAnsi"/>
          <w:b/>
          <w:sz w:val="20"/>
          <w:szCs w:val="20"/>
        </w:rPr>
        <w:lastRenderedPageBreak/>
        <w:t xml:space="preserve">Appendix </w:t>
      </w:r>
      <w:r w:rsidR="00E7162B">
        <w:rPr>
          <w:rFonts w:cstheme="minorHAnsi"/>
          <w:b/>
          <w:sz w:val="20"/>
          <w:szCs w:val="20"/>
        </w:rPr>
        <w:t>C</w:t>
      </w:r>
      <w:r w:rsidR="009371EE" w:rsidRPr="009C4969">
        <w:rPr>
          <w:rFonts w:cstheme="minorHAnsi"/>
          <w:b/>
          <w:sz w:val="20"/>
          <w:szCs w:val="20"/>
        </w:rPr>
        <w:t xml:space="preserve"> – Fixed effect models of the Local Authority District under-18 conception rates’ relationships with the Local Authority District characteristics, between 1998 and 2017 in the whole of </w:t>
      </w:r>
      <w:r w:rsidR="009371EE" w:rsidRPr="001800D8">
        <w:rPr>
          <w:rFonts w:cstheme="minorHAnsi"/>
          <w:b/>
          <w:sz w:val="20"/>
          <w:szCs w:val="20"/>
        </w:rPr>
        <w:t>England and after excluding Inner and Outer London</w:t>
      </w:r>
    </w:p>
    <w:tbl>
      <w:tblPr>
        <w:tblW w:w="9262" w:type="dxa"/>
        <w:tblLook w:val="04A0" w:firstRow="1" w:lastRow="0" w:firstColumn="1" w:lastColumn="0" w:noHBand="0" w:noVBand="1"/>
      </w:tblPr>
      <w:tblGrid>
        <w:gridCol w:w="3557"/>
        <w:gridCol w:w="1141"/>
        <w:gridCol w:w="1141"/>
        <w:gridCol w:w="1141"/>
        <w:gridCol w:w="1141"/>
        <w:gridCol w:w="1141"/>
      </w:tblGrid>
      <w:tr w:rsidR="009371EE" w:rsidRPr="0044286B" w14:paraId="367BBCA0" w14:textId="77777777" w:rsidTr="00707A63">
        <w:trPr>
          <w:trHeight w:val="227"/>
        </w:trPr>
        <w:tc>
          <w:tcPr>
            <w:tcW w:w="3557" w:type="dxa"/>
            <w:tcBorders>
              <w:top w:val="single" w:sz="4" w:space="0" w:color="auto"/>
              <w:left w:val="single" w:sz="4" w:space="0" w:color="auto"/>
              <w:bottom w:val="nil"/>
              <w:right w:val="nil"/>
            </w:tcBorders>
            <w:shd w:val="clear" w:color="000000" w:fill="FFFFFF"/>
            <w:vAlign w:val="center"/>
            <w:hideMark/>
          </w:tcPr>
          <w:p w14:paraId="20BB0E01" w14:textId="77777777" w:rsidR="009371EE" w:rsidRPr="00DC33F7" w:rsidRDefault="009371EE" w:rsidP="00707A63">
            <w:pPr>
              <w:spacing w:line="140" w:lineRule="exact"/>
              <w:rPr>
                <w:rFonts w:cstheme="minorHAnsi"/>
                <w:color w:val="000000"/>
                <w:sz w:val="16"/>
                <w:szCs w:val="16"/>
                <w:lang w:eastAsia="en-GB"/>
              </w:rPr>
            </w:pPr>
            <w:r w:rsidRPr="00682940">
              <w:rPr>
                <w:rFonts w:cstheme="minorHAnsi"/>
                <w:color w:val="000000"/>
                <w:sz w:val="16"/>
                <w:szCs w:val="16"/>
                <w:lang w:eastAsia="en-GB"/>
              </w:rPr>
              <w:t> </w:t>
            </w:r>
          </w:p>
        </w:tc>
        <w:tc>
          <w:tcPr>
            <w:tcW w:w="11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500FF" w14:textId="77777777" w:rsidR="009371EE" w:rsidRPr="00564D6D" w:rsidRDefault="009371EE" w:rsidP="00707A63">
            <w:pPr>
              <w:spacing w:line="140" w:lineRule="exact"/>
              <w:rPr>
                <w:rFonts w:cstheme="minorHAnsi"/>
                <w:color w:val="000000"/>
                <w:sz w:val="16"/>
                <w:szCs w:val="16"/>
                <w:lang w:eastAsia="en-GB"/>
              </w:rPr>
            </w:pPr>
            <w:r w:rsidRPr="005851B6">
              <w:rPr>
                <w:rFonts w:cstheme="minorHAnsi"/>
                <w:color w:val="000000"/>
                <w:sz w:val="16"/>
                <w:szCs w:val="16"/>
                <w:lang w:eastAsia="en-GB"/>
              </w:rPr>
              <w:t>Model 1</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14:paraId="17D41F2A" w14:textId="77777777" w:rsidR="009371EE" w:rsidRPr="005B55D1" w:rsidRDefault="009371EE" w:rsidP="00707A63">
            <w:pPr>
              <w:spacing w:line="140" w:lineRule="exact"/>
              <w:rPr>
                <w:rFonts w:cstheme="minorHAnsi"/>
                <w:color w:val="000000"/>
                <w:sz w:val="16"/>
                <w:szCs w:val="16"/>
                <w:lang w:eastAsia="en-GB"/>
              </w:rPr>
            </w:pPr>
            <w:r w:rsidRPr="005B55D1">
              <w:rPr>
                <w:rFonts w:cstheme="minorHAnsi"/>
                <w:color w:val="000000"/>
                <w:sz w:val="16"/>
                <w:szCs w:val="16"/>
                <w:lang w:eastAsia="en-GB"/>
              </w:rPr>
              <w:t>Model 2</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14:paraId="3FBC50A5" w14:textId="77777777" w:rsidR="009371EE" w:rsidRPr="004D0536" w:rsidRDefault="009371EE" w:rsidP="00707A63">
            <w:pPr>
              <w:spacing w:line="140" w:lineRule="exact"/>
              <w:rPr>
                <w:rFonts w:cstheme="minorHAnsi"/>
                <w:color w:val="000000"/>
                <w:sz w:val="16"/>
                <w:szCs w:val="16"/>
                <w:lang w:eastAsia="en-GB"/>
              </w:rPr>
            </w:pPr>
            <w:r w:rsidRPr="005B55D1">
              <w:rPr>
                <w:rFonts w:cstheme="minorHAnsi"/>
                <w:color w:val="000000"/>
                <w:sz w:val="16"/>
                <w:szCs w:val="16"/>
                <w:lang w:eastAsia="en-GB"/>
              </w:rPr>
              <w:t>Model 3</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14:paraId="366EA13C" w14:textId="77777777" w:rsidR="009371EE" w:rsidRPr="00FC3349" w:rsidRDefault="009371EE" w:rsidP="00707A63">
            <w:pPr>
              <w:spacing w:line="140" w:lineRule="exact"/>
              <w:rPr>
                <w:rFonts w:cstheme="minorHAnsi"/>
                <w:color w:val="000000"/>
                <w:sz w:val="16"/>
                <w:szCs w:val="16"/>
                <w:lang w:eastAsia="en-GB"/>
              </w:rPr>
            </w:pPr>
            <w:r w:rsidRPr="00FC3349">
              <w:rPr>
                <w:rFonts w:cstheme="minorHAnsi"/>
                <w:color w:val="000000"/>
                <w:sz w:val="16"/>
                <w:szCs w:val="16"/>
                <w:lang w:eastAsia="en-GB"/>
              </w:rPr>
              <w:t>Model 4</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14:paraId="4D2C45BA" w14:textId="77777777" w:rsidR="009371EE" w:rsidRPr="008C153F" w:rsidRDefault="009371EE" w:rsidP="00707A63">
            <w:pPr>
              <w:spacing w:line="140" w:lineRule="exact"/>
              <w:rPr>
                <w:rFonts w:cstheme="minorHAnsi"/>
                <w:color w:val="000000"/>
                <w:sz w:val="16"/>
                <w:szCs w:val="16"/>
                <w:lang w:eastAsia="en-GB"/>
              </w:rPr>
            </w:pPr>
            <w:r w:rsidRPr="00846EE2">
              <w:rPr>
                <w:rFonts w:cstheme="minorHAnsi"/>
                <w:color w:val="000000"/>
                <w:sz w:val="16"/>
                <w:szCs w:val="16"/>
                <w:lang w:eastAsia="en-GB"/>
              </w:rPr>
              <w:t>Model 5</w:t>
            </w:r>
          </w:p>
        </w:tc>
      </w:tr>
      <w:tr w:rsidR="009371EE" w:rsidRPr="0044286B" w14:paraId="06132EEF" w14:textId="77777777" w:rsidTr="00707A63">
        <w:trPr>
          <w:trHeight w:val="524"/>
        </w:trPr>
        <w:tc>
          <w:tcPr>
            <w:tcW w:w="3557" w:type="dxa"/>
            <w:tcBorders>
              <w:top w:val="nil"/>
              <w:left w:val="single" w:sz="4" w:space="0" w:color="auto"/>
              <w:bottom w:val="nil"/>
              <w:right w:val="nil"/>
            </w:tcBorders>
            <w:shd w:val="clear" w:color="000000" w:fill="FFFFFF"/>
            <w:vAlign w:val="center"/>
            <w:hideMark/>
          </w:tcPr>
          <w:p w14:paraId="4400079D"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 </w:t>
            </w:r>
          </w:p>
        </w:tc>
        <w:tc>
          <w:tcPr>
            <w:tcW w:w="1141" w:type="dxa"/>
            <w:tcBorders>
              <w:top w:val="nil"/>
              <w:left w:val="single" w:sz="4" w:space="0" w:color="auto"/>
              <w:bottom w:val="nil"/>
              <w:right w:val="single" w:sz="4" w:space="0" w:color="auto"/>
            </w:tcBorders>
            <w:shd w:val="clear" w:color="000000" w:fill="FFFFFF"/>
            <w:vAlign w:val="center"/>
            <w:hideMark/>
          </w:tcPr>
          <w:p w14:paraId="5030E26F"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Time Period Only</w:t>
            </w:r>
          </w:p>
        </w:tc>
        <w:tc>
          <w:tcPr>
            <w:tcW w:w="1141" w:type="dxa"/>
            <w:tcBorders>
              <w:top w:val="single" w:sz="4" w:space="0" w:color="auto"/>
              <w:left w:val="nil"/>
              <w:bottom w:val="nil"/>
              <w:right w:val="single" w:sz="4" w:space="0" w:color="auto"/>
            </w:tcBorders>
            <w:shd w:val="clear" w:color="000000" w:fill="FFFFFF"/>
            <w:vAlign w:val="center"/>
            <w:hideMark/>
          </w:tcPr>
          <w:p w14:paraId="7E6B9257" w14:textId="77777777" w:rsidR="009371EE" w:rsidRPr="0044286B" w:rsidRDefault="009371EE" w:rsidP="00707A63">
            <w:pPr>
              <w:spacing w:line="140" w:lineRule="exact"/>
              <w:jc w:val="center"/>
              <w:rPr>
                <w:rFonts w:cstheme="minorHAnsi"/>
                <w:color w:val="000000"/>
                <w:sz w:val="16"/>
                <w:szCs w:val="16"/>
                <w:lang w:eastAsia="en-GB"/>
              </w:rPr>
            </w:pPr>
          </w:p>
        </w:tc>
        <w:tc>
          <w:tcPr>
            <w:tcW w:w="1141" w:type="dxa"/>
            <w:tcBorders>
              <w:top w:val="single" w:sz="4" w:space="0" w:color="auto"/>
              <w:left w:val="nil"/>
              <w:bottom w:val="nil"/>
              <w:right w:val="single" w:sz="4" w:space="0" w:color="auto"/>
            </w:tcBorders>
            <w:shd w:val="clear" w:color="000000" w:fill="FFFFFF"/>
            <w:vAlign w:val="center"/>
          </w:tcPr>
          <w:p w14:paraId="7FDA0186" w14:textId="77777777" w:rsidR="009371EE" w:rsidRPr="0044286B" w:rsidRDefault="009371EE" w:rsidP="00707A63">
            <w:pPr>
              <w:spacing w:line="140" w:lineRule="exact"/>
              <w:jc w:val="center"/>
              <w:rPr>
                <w:rFonts w:cstheme="minorHAnsi"/>
                <w:color w:val="000000"/>
                <w:sz w:val="16"/>
                <w:szCs w:val="16"/>
                <w:lang w:eastAsia="en-GB"/>
              </w:rPr>
            </w:pPr>
          </w:p>
        </w:tc>
        <w:tc>
          <w:tcPr>
            <w:tcW w:w="1141" w:type="dxa"/>
            <w:tcBorders>
              <w:top w:val="single" w:sz="4" w:space="0" w:color="auto"/>
              <w:left w:val="nil"/>
              <w:bottom w:val="nil"/>
              <w:right w:val="single" w:sz="4" w:space="0" w:color="auto"/>
            </w:tcBorders>
            <w:shd w:val="clear" w:color="000000" w:fill="FFFFFF"/>
            <w:vAlign w:val="center"/>
          </w:tcPr>
          <w:p w14:paraId="69795D80" w14:textId="77777777" w:rsidR="009371EE" w:rsidRPr="0044286B" w:rsidRDefault="009371EE" w:rsidP="00707A63">
            <w:pPr>
              <w:spacing w:line="140" w:lineRule="exact"/>
              <w:jc w:val="center"/>
              <w:rPr>
                <w:rFonts w:cstheme="minorHAnsi"/>
                <w:color w:val="000000"/>
                <w:sz w:val="16"/>
                <w:szCs w:val="16"/>
                <w:lang w:eastAsia="en-GB"/>
              </w:rPr>
            </w:pPr>
          </w:p>
        </w:tc>
        <w:tc>
          <w:tcPr>
            <w:tcW w:w="1141" w:type="dxa"/>
            <w:tcBorders>
              <w:top w:val="single" w:sz="4" w:space="0" w:color="auto"/>
              <w:left w:val="nil"/>
              <w:bottom w:val="nil"/>
              <w:right w:val="single" w:sz="4" w:space="0" w:color="auto"/>
            </w:tcBorders>
            <w:shd w:val="clear" w:color="000000" w:fill="FFFFFF"/>
            <w:vAlign w:val="center"/>
          </w:tcPr>
          <w:p w14:paraId="7004E006" w14:textId="77777777" w:rsidR="009371EE" w:rsidRPr="0044286B" w:rsidRDefault="009371EE" w:rsidP="00707A63">
            <w:pPr>
              <w:spacing w:line="140" w:lineRule="exact"/>
              <w:jc w:val="center"/>
              <w:rPr>
                <w:rFonts w:cstheme="minorHAnsi"/>
                <w:color w:val="000000"/>
                <w:sz w:val="16"/>
                <w:szCs w:val="16"/>
                <w:lang w:eastAsia="en-GB"/>
              </w:rPr>
            </w:pPr>
          </w:p>
        </w:tc>
      </w:tr>
      <w:tr w:rsidR="009371EE" w:rsidRPr="0044286B" w14:paraId="65BCD6B2" w14:textId="77777777" w:rsidTr="00707A63">
        <w:trPr>
          <w:trHeight w:val="512"/>
        </w:trPr>
        <w:tc>
          <w:tcPr>
            <w:tcW w:w="3557" w:type="dxa"/>
            <w:tcBorders>
              <w:top w:val="nil"/>
              <w:left w:val="single" w:sz="4" w:space="0" w:color="auto"/>
              <w:bottom w:val="nil"/>
              <w:right w:val="nil"/>
            </w:tcBorders>
            <w:shd w:val="clear" w:color="000000" w:fill="FFFFFF"/>
            <w:vAlign w:val="center"/>
            <w:hideMark/>
          </w:tcPr>
          <w:p w14:paraId="28FC37E7"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VARIABLES</w:t>
            </w:r>
          </w:p>
        </w:tc>
        <w:tc>
          <w:tcPr>
            <w:tcW w:w="1141" w:type="dxa"/>
            <w:tcBorders>
              <w:top w:val="nil"/>
              <w:left w:val="single" w:sz="4" w:space="0" w:color="auto"/>
              <w:bottom w:val="nil"/>
              <w:right w:val="single" w:sz="4" w:space="0" w:color="auto"/>
            </w:tcBorders>
            <w:shd w:val="clear" w:color="auto" w:fill="auto"/>
            <w:vAlign w:val="center"/>
            <w:hideMark/>
          </w:tcPr>
          <w:p w14:paraId="6EF971C8" w14:textId="77777777" w:rsidR="009371EE" w:rsidRPr="0044286B" w:rsidRDefault="009371EE" w:rsidP="00707A63">
            <w:pPr>
              <w:spacing w:line="140" w:lineRule="exact"/>
              <w:jc w:val="center"/>
              <w:rPr>
                <w:rFonts w:cstheme="minorHAnsi"/>
                <w:sz w:val="16"/>
                <w:szCs w:val="16"/>
                <w:lang w:eastAsia="en-GB"/>
              </w:rPr>
            </w:pPr>
            <w:r w:rsidRPr="0044286B">
              <w:rPr>
                <w:rFonts w:cstheme="minorHAnsi"/>
                <w:sz w:val="16"/>
                <w:szCs w:val="16"/>
                <w:lang w:eastAsia="en-GB"/>
              </w:rPr>
              <w:t>1998-2017</w:t>
            </w:r>
          </w:p>
        </w:tc>
        <w:tc>
          <w:tcPr>
            <w:tcW w:w="2282" w:type="dxa"/>
            <w:gridSpan w:val="2"/>
            <w:tcBorders>
              <w:top w:val="nil"/>
              <w:left w:val="nil"/>
              <w:bottom w:val="nil"/>
              <w:right w:val="single" w:sz="4" w:space="0" w:color="auto"/>
            </w:tcBorders>
            <w:shd w:val="clear" w:color="000000" w:fill="FFFFFF"/>
            <w:vAlign w:val="center"/>
            <w:hideMark/>
          </w:tcPr>
          <w:p w14:paraId="728EEFD4" w14:textId="77777777" w:rsidR="009371EE" w:rsidRPr="0044286B" w:rsidRDefault="009371EE" w:rsidP="00707A63">
            <w:pPr>
              <w:spacing w:line="140" w:lineRule="exact"/>
              <w:jc w:val="center"/>
              <w:rPr>
                <w:rFonts w:cstheme="minorHAnsi"/>
                <w:color w:val="000000"/>
                <w:sz w:val="16"/>
                <w:szCs w:val="16"/>
                <w:lang w:eastAsia="en-GB"/>
              </w:rPr>
            </w:pPr>
            <w:r w:rsidRPr="0044286B">
              <w:rPr>
                <w:rFonts w:cstheme="minorHAnsi"/>
                <w:color w:val="000000"/>
                <w:sz w:val="16"/>
                <w:szCs w:val="16"/>
                <w:lang w:eastAsia="en-GB"/>
              </w:rPr>
              <w:t>1998-2017</w:t>
            </w:r>
          </w:p>
        </w:tc>
        <w:tc>
          <w:tcPr>
            <w:tcW w:w="2282" w:type="dxa"/>
            <w:gridSpan w:val="2"/>
            <w:tcBorders>
              <w:top w:val="nil"/>
              <w:left w:val="nil"/>
              <w:bottom w:val="nil"/>
              <w:right w:val="single" w:sz="4" w:space="0" w:color="auto"/>
            </w:tcBorders>
            <w:shd w:val="clear" w:color="000000" w:fill="FFFFFF"/>
            <w:vAlign w:val="center"/>
            <w:hideMark/>
          </w:tcPr>
          <w:p w14:paraId="709380B0" w14:textId="77777777" w:rsidR="009371EE" w:rsidRPr="0044286B" w:rsidRDefault="009371EE" w:rsidP="00707A63">
            <w:pPr>
              <w:spacing w:line="140" w:lineRule="exact"/>
              <w:jc w:val="center"/>
              <w:rPr>
                <w:rFonts w:cstheme="minorHAnsi"/>
                <w:color w:val="000000"/>
                <w:sz w:val="16"/>
                <w:szCs w:val="16"/>
                <w:lang w:eastAsia="en-GB"/>
              </w:rPr>
            </w:pPr>
            <w:r w:rsidRPr="0044286B">
              <w:rPr>
                <w:rFonts w:cstheme="minorHAnsi"/>
                <w:color w:val="000000"/>
                <w:sz w:val="16"/>
                <w:szCs w:val="16"/>
                <w:lang w:eastAsia="en-GB"/>
              </w:rPr>
              <w:t>1998-2010 with TPS funding</w:t>
            </w:r>
          </w:p>
        </w:tc>
      </w:tr>
      <w:tr w:rsidR="009371EE" w:rsidRPr="0044286B" w14:paraId="5AF75033" w14:textId="77777777" w:rsidTr="00707A63">
        <w:trPr>
          <w:trHeight w:val="850"/>
        </w:trPr>
        <w:tc>
          <w:tcPr>
            <w:tcW w:w="3557" w:type="dxa"/>
            <w:tcBorders>
              <w:top w:val="nil"/>
              <w:left w:val="single" w:sz="4" w:space="0" w:color="auto"/>
              <w:bottom w:val="nil"/>
              <w:right w:val="nil"/>
            </w:tcBorders>
            <w:shd w:val="clear" w:color="000000" w:fill="FFFFFF"/>
            <w:vAlign w:val="center"/>
            <w:hideMark/>
          </w:tcPr>
          <w:p w14:paraId="1885671F"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 </w:t>
            </w:r>
          </w:p>
        </w:tc>
        <w:tc>
          <w:tcPr>
            <w:tcW w:w="1141" w:type="dxa"/>
            <w:tcBorders>
              <w:top w:val="nil"/>
              <w:left w:val="single" w:sz="4" w:space="0" w:color="auto"/>
              <w:bottom w:val="single" w:sz="4" w:space="0" w:color="auto"/>
              <w:right w:val="single" w:sz="4" w:space="0" w:color="auto"/>
            </w:tcBorders>
            <w:shd w:val="clear" w:color="000000" w:fill="FFFFFF"/>
            <w:vAlign w:val="center"/>
            <w:hideMark/>
          </w:tcPr>
          <w:p w14:paraId="50D1DEC9"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Whole of England</w:t>
            </w:r>
          </w:p>
        </w:tc>
        <w:tc>
          <w:tcPr>
            <w:tcW w:w="1141" w:type="dxa"/>
            <w:tcBorders>
              <w:top w:val="nil"/>
              <w:left w:val="nil"/>
              <w:bottom w:val="single" w:sz="4" w:space="0" w:color="auto"/>
              <w:right w:val="single" w:sz="4" w:space="0" w:color="auto"/>
            </w:tcBorders>
            <w:shd w:val="clear" w:color="000000" w:fill="FFFFFF"/>
            <w:vAlign w:val="center"/>
            <w:hideMark/>
          </w:tcPr>
          <w:p w14:paraId="1E5CACA6"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Excluding Inner and Outer London</w:t>
            </w:r>
          </w:p>
        </w:tc>
        <w:tc>
          <w:tcPr>
            <w:tcW w:w="1141" w:type="dxa"/>
            <w:tcBorders>
              <w:top w:val="nil"/>
              <w:left w:val="nil"/>
              <w:bottom w:val="single" w:sz="4" w:space="0" w:color="auto"/>
              <w:right w:val="single" w:sz="4" w:space="0" w:color="auto"/>
            </w:tcBorders>
            <w:shd w:val="clear" w:color="000000" w:fill="FFFFFF"/>
            <w:vAlign w:val="center"/>
            <w:hideMark/>
          </w:tcPr>
          <w:p w14:paraId="645817CC"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Whole of England</w:t>
            </w:r>
          </w:p>
        </w:tc>
        <w:tc>
          <w:tcPr>
            <w:tcW w:w="1141" w:type="dxa"/>
            <w:tcBorders>
              <w:top w:val="nil"/>
              <w:left w:val="nil"/>
              <w:bottom w:val="single" w:sz="4" w:space="0" w:color="auto"/>
              <w:right w:val="single" w:sz="4" w:space="0" w:color="auto"/>
            </w:tcBorders>
            <w:shd w:val="clear" w:color="000000" w:fill="FFFFFF"/>
            <w:vAlign w:val="center"/>
            <w:hideMark/>
          </w:tcPr>
          <w:p w14:paraId="2295CF7E"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Excluding Inner and Outer London</w:t>
            </w:r>
          </w:p>
        </w:tc>
        <w:tc>
          <w:tcPr>
            <w:tcW w:w="1141" w:type="dxa"/>
            <w:tcBorders>
              <w:top w:val="nil"/>
              <w:left w:val="nil"/>
              <w:bottom w:val="single" w:sz="4" w:space="0" w:color="auto"/>
              <w:right w:val="single" w:sz="4" w:space="0" w:color="auto"/>
            </w:tcBorders>
            <w:shd w:val="clear" w:color="000000" w:fill="FFFFFF"/>
            <w:vAlign w:val="center"/>
            <w:hideMark/>
          </w:tcPr>
          <w:p w14:paraId="6845DB34"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Whole of England</w:t>
            </w:r>
          </w:p>
        </w:tc>
      </w:tr>
      <w:tr w:rsidR="009371EE" w:rsidRPr="0044286B" w14:paraId="54F2CF86" w14:textId="77777777" w:rsidTr="00707A63">
        <w:trPr>
          <w:trHeight w:val="240"/>
        </w:trPr>
        <w:tc>
          <w:tcPr>
            <w:tcW w:w="3557" w:type="dxa"/>
            <w:tcBorders>
              <w:top w:val="single" w:sz="4" w:space="0" w:color="auto"/>
              <w:left w:val="single" w:sz="4" w:space="0" w:color="auto"/>
              <w:bottom w:val="nil"/>
              <w:right w:val="nil"/>
            </w:tcBorders>
            <w:shd w:val="clear" w:color="000000" w:fill="FFFFFF"/>
            <w:vAlign w:val="center"/>
            <w:hideMark/>
          </w:tcPr>
          <w:p w14:paraId="5CCCAD76"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Time Period (Ref. = 1998-2005)</w:t>
            </w:r>
          </w:p>
        </w:tc>
        <w:tc>
          <w:tcPr>
            <w:tcW w:w="1141" w:type="dxa"/>
            <w:tcBorders>
              <w:top w:val="nil"/>
              <w:left w:val="nil"/>
              <w:bottom w:val="nil"/>
              <w:right w:val="nil"/>
            </w:tcBorders>
            <w:shd w:val="clear" w:color="000000" w:fill="FFFFFF"/>
            <w:vAlign w:val="center"/>
            <w:hideMark/>
          </w:tcPr>
          <w:p w14:paraId="33276827" w14:textId="77777777" w:rsidR="009371EE" w:rsidRPr="0044286B" w:rsidRDefault="009371EE" w:rsidP="00707A63">
            <w:pPr>
              <w:spacing w:line="140" w:lineRule="exact"/>
              <w:jc w:val="center"/>
              <w:rPr>
                <w:rFonts w:cstheme="minorHAnsi"/>
                <w:b/>
                <w:bCs/>
                <w:color w:val="000000"/>
                <w:sz w:val="16"/>
                <w:szCs w:val="16"/>
                <w:lang w:eastAsia="en-GB"/>
              </w:rPr>
            </w:pPr>
            <w:r w:rsidRPr="0044286B">
              <w:rPr>
                <w:rFonts w:cstheme="minorHAnsi"/>
                <w:b/>
                <w:bCs/>
                <w:color w:val="000000"/>
                <w:sz w:val="16"/>
                <w:szCs w:val="16"/>
                <w:lang w:eastAsia="en-GB"/>
              </w:rPr>
              <w:t> </w:t>
            </w:r>
          </w:p>
        </w:tc>
        <w:tc>
          <w:tcPr>
            <w:tcW w:w="1141" w:type="dxa"/>
            <w:tcBorders>
              <w:top w:val="nil"/>
              <w:left w:val="nil"/>
              <w:bottom w:val="nil"/>
              <w:right w:val="nil"/>
            </w:tcBorders>
            <w:shd w:val="clear" w:color="000000" w:fill="FFFFFF"/>
            <w:vAlign w:val="center"/>
            <w:hideMark/>
          </w:tcPr>
          <w:p w14:paraId="09D3634F" w14:textId="77777777" w:rsidR="009371EE" w:rsidRPr="0044286B" w:rsidRDefault="009371EE" w:rsidP="00707A63">
            <w:pPr>
              <w:spacing w:line="140" w:lineRule="exact"/>
              <w:jc w:val="center"/>
              <w:rPr>
                <w:rFonts w:cstheme="minorHAnsi"/>
                <w:b/>
                <w:bCs/>
                <w:color w:val="000000"/>
                <w:sz w:val="16"/>
                <w:szCs w:val="16"/>
                <w:lang w:eastAsia="en-GB"/>
              </w:rPr>
            </w:pPr>
            <w:r w:rsidRPr="0044286B">
              <w:rPr>
                <w:rFonts w:cstheme="minorHAnsi"/>
                <w:b/>
                <w:bCs/>
                <w:color w:val="000000"/>
                <w:sz w:val="16"/>
                <w:szCs w:val="16"/>
                <w:lang w:eastAsia="en-GB"/>
              </w:rPr>
              <w:t> </w:t>
            </w:r>
          </w:p>
        </w:tc>
        <w:tc>
          <w:tcPr>
            <w:tcW w:w="1141" w:type="dxa"/>
            <w:tcBorders>
              <w:top w:val="nil"/>
              <w:left w:val="nil"/>
              <w:bottom w:val="nil"/>
              <w:right w:val="nil"/>
            </w:tcBorders>
            <w:shd w:val="clear" w:color="000000" w:fill="FFFFFF"/>
            <w:vAlign w:val="center"/>
            <w:hideMark/>
          </w:tcPr>
          <w:p w14:paraId="0D957796" w14:textId="77777777" w:rsidR="009371EE" w:rsidRPr="0044286B" w:rsidRDefault="009371EE" w:rsidP="00707A63">
            <w:pPr>
              <w:spacing w:line="140" w:lineRule="exact"/>
              <w:jc w:val="center"/>
              <w:rPr>
                <w:rFonts w:cstheme="minorHAnsi"/>
                <w:b/>
                <w:bCs/>
                <w:color w:val="000000"/>
                <w:sz w:val="16"/>
                <w:szCs w:val="16"/>
                <w:lang w:eastAsia="en-GB"/>
              </w:rPr>
            </w:pPr>
            <w:r w:rsidRPr="0044286B">
              <w:rPr>
                <w:rFonts w:cstheme="minorHAnsi"/>
                <w:b/>
                <w:bCs/>
                <w:color w:val="000000"/>
                <w:sz w:val="16"/>
                <w:szCs w:val="16"/>
                <w:lang w:eastAsia="en-GB"/>
              </w:rPr>
              <w:t> </w:t>
            </w:r>
          </w:p>
        </w:tc>
        <w:tc>
          <w:tcPr>
            <w:tcW w:w="1141" w:type="dxa"/>
            <w:tcBorders>
              <w:top w:val="nil"/>
              <w:left w:val="nil"/>
              <w:bottom w:val="nil"/>
              <w:right w:val="nil"/>
            </w:tcBorders>
            <w:shd w:val="clear" w:color="000000" w:fill="FFFFFF"/>
            <w:vAlign w:val="center"/>
            <w:hideMark/>
          </w:tcPr>
          <w:p w14:paraId="3A197D93" w14:textId="77777777" w:rsidR="009371EE" w:rsidRPr="0044286B" w:rsidRDefault="009371EE" w:rsidP="00707A63">
            <w:pPr>
              <w:spacing w:line="140" w:lineRule="exact"/>
              <w:jc w:val="center"/>
              <w:rPr>
                <w:rFonts w:cstheme="minorHAnsi"/>
                <w:b/>
                <w:bCs/>
                <w:color w:val="000000"/>
                <w:sz w:val="16"/>
                <w:szCs w:val="16"/>
                <w:lang w:eastAsia="en-GB"/>
              </w:rPr>
            </w:pPr>
            <w:r w:rsidRPr="0044286B">
              <w:rPr>
                <w:rFonts w:cstheme="minorHAnsi"/>
                <w:b/>
                <w:bCs/>
                <w:color w:val="000000"/>
                <w:sz w:val="16"/>
                <w:szCs w:val="16"/>
                <w:lang w:eastAsia="en-GB"/>
              </w:rPr>
              <w:t> </w:t>
            </w:r>
          </w:p>
        </w:tc>
        <w:tc>
          <w:tcPr>
            <w:tcW w:w="1141" w:type="dxa"/>
            <w:tcBorders>
              <w:top w:val="nil"/>
              <w:left w:val="nil"/>
              <w:bottom w:val="nil"/>
              <w:right w:val="single" w:sz="4" w:space="0" w:color="auto"/>
            </w:tcBorders>
            <w:shd w:val="clear" w:color="000000" w:fill="FFFFFF"/>
            <w:vAlign w:val="center"/>
            <w:hideMark/>
          </w:tcPr>
          <w:p w14:paraId="7EF34033" w14:textId="77777777" w:rsidR="009371EE" w:rsidRPr="0044286B" w:rsidRDefault="009371EE" w:rsidP="00707A63">
            <w:pPr>
              <w:spacing w:line="140" w:lineRule="exact"/>
              <w:jc w:val="center"/>
              <w:rPr>
                <w:rFonts w:cstheme="minorHAnsi"/>
                <w:b/>
                <w:bCs/>
                <w:color w:val="000000"/>
                <w:sz w:val="16"/>
                <w:szCs w:val="16"/>
                <w:lang w:eastAsia="en-GB"/>
              </w:rPr>
            </w:pPr>
            <w:r w:rsidRPr="0044286B">
              <w:rPr>
                <w:rFonts w:cstheme="minorHAnsi"/>
                <w:b/>
                <w:bCs/>
                <w:color w:val="000000"/>
                <w:sz w:val="16"/>
                <w:szCs w:val="16"/>
                <w:lang w:eastAsia="en-GB"/>
              </w:rPr>
              <w:t> </w:t>
            </w:r>
          </w:p>
        </w:tc>
      </w:tr>
      <w:tr w:rsidR="009371EE" w:rsidRPr="0044286B" w14:paraId="1122AAC3" w14:textId="77777777" w:rsidTr="00707A63">
        <w:trPr>
          <w:trHeight w:val="227"/>
        </w:trPr>
        <w:tc>
          <w:tcPr>
            <w:tcW w:w="3557" w:type="dxa"/>
            <w:tcBorders>
              <w:top w:val="nil"/>
              <w:left w:val="single" w:sz="4" w:space="0" w:color="auto"/>
              <w:bottom w:val="nil"/>
              <w:right w:val="nil"/>
            </w:tcBorders>
            <w:shd w:val="clear" w:color="000000" w:fill="FFFFFF"/>
            <w:vAlign w:val="center"/>
            <w:hideMark/>
          </w:tcPr>
          <w:p w14:paraId="02103035"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2006-2010</w:t>
            </w:r>
          </w:p>
        </w:tc>
        <w:tc>
          <w:tcPr>
            <w:tcW w:w="1141" w:type="dxa"/>
            <w:tcBorders>
              <w:top w:val="nil"/>
              <w:left w:val="nil"/>
              <w:bottom w:val="nil"/>
              <w:right w:val="nil"/>
            </w:tcBorders>
            <w:shd w:val="clear" w:color="auto" w:fill="auto"/>
            <w:vAlign w:val="center"/>
            <w:hideMark/>
          </w:tcPr>
          <w:p w14:paraId="421623A4" w14:textId="2B1F4D89"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-3.73***</w:t>
            </w:r>
          </w:p>
        </w:tc>
        <w:tc>
          <w:tcPr>
            <w:tcW w:w="1141" w:type="dxa"/>
            <w:tcBorders>
              <w:top w:val="nil"/>
              <w:left w:val="nil"/>
              <w:bottom w:val="nil"/>
              <w:right w:val="nil"/>
            </w:tcBorders>
            <w:shd w:val="clear" w:color="auto" w:fill="auto"/>
            <w:vAlign w:val="center"/>
            <w:hideMark/>
          </w:tcPr>
          <w:p w14:paraId="666221DF"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-1.69***</w:t>
            </w:r>
          </w:p>
        </w:tc>
        <w:tc>
          <w:tcPr>
            <w:tcW w:w="1141" w:type="dxa"/>
            <w:tcBorders>
              <w:top w:val="nil"/>
              <w:left w:val="nil"/>
              <w:bottom w:val="nil"/>
              <w:right w:val="nil"/>
            </w:tcBorders>
            <w:shd w:val="clear" w:color="auto" w:fill="auto"/>
            <w:vAlign w:val="center"/>
            <w:hideMark/>
          </w:tcPr>
          <w:p w14:paraId="5DBA49F1" w14:textId="52A160AA"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-0.64**</w:t>
            </w:r>
          </w:p>
        </w:tc>
        <w:tc>
          <w:tcPr>
            <w:tcW w:w="1141" w:type="dxa"/>
            <w:tcBorders>
              <w:top w:val="nil"/>
              <w:left w:val="nil"/>
              <w:bottom w:val="nil"/>
              <w:right w:val="nil"/>
            </w:tcBorders>
            <w:shd w:val="clear" w:color="auto" w:fill="auto"/>
            <w:vAlign w:val="center"/>
            <w:hideMark/>
          </w:tcPr>
          <w:p w14:paraId="4EB38BE6" w14:textId="4FED241C"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1.40***</w:t>
            </w:r>
          </w:p>
        </w:tc>
        <w:tc>
          <w:tcPr>
            <w:tcW w:w="1141" w:type="dxa"/>
            <w:tcBorders>
              <w:top w:val="nil"/>
              <w:left w:val="nil"/>
              <w:bottom w:val="nil"/>
              <w:right w:val="single" w:sz="4" w:space="0" w:color="auto"/>
            </w:tcBorders>
            <w:shd w:val="clear" w:color="auto" w:fill="auto"/>
            <w:vAlign w:val="center"/>
            <w:hideMark/>
          </w:tcPr>
          <w:p w14:paraId="590ADF3A"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1.25***</w:t>
            </w:r>
          </w:p>
        </w:tc>
      </w:tr>
      <w:tr w:rsidR="009371EE" w:rsidRPr="0044286B" w14:paraId="20E576A7" w14:textId="77777777" w:rsidTr="00707A63">
        <w:trPr>
          <w:trHeight w:val="227"/>
        </w:trPr>
        <w:tc>
          <w:tcPr>
            <w:tcW w:w="3557" w:type="dxa"/>
            <w:tcBorders>
              <w:top w:val="nil"/>
              <w:left w:val="single" w:sz="4" w:space="0" w:color="auto"/>
              <w:bottom w:val="nil"/>
              <w:right w:val="nil"/>
            </w:tcBorders>
            <w:shd w:val="clear" w:color="000000" w:fill="FFFFFF"/>
            <w:vAlign w:val="center"/>
            <w:hideMark/>
          </w:tcPr>
          <w:p w14:paraId="79FDA386"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2011-2017</w:t>
            </w:r>
          </w:p>
        </w:tc>
        <w:tc>
          <w:tcPr>
            <w:tcW w:w="1141" w:type="dxa"/>
            <w:tcBorders>
              <w:top w:val="nil"/>
              <w:left w:val="nil"/>
              <w:bottom w:val="nil"/>
              <w:right w:val="nil"/>
            </w:tcBorders>
            <w:shd w:val="clear" w:color="auto" w:fill="auto"/>
            <w:vAlign w:val="center"/>
            <w:hideMark/>
          </w:tcPr>
          <w:p w14:paraId="12773DB9"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-17.59***</w:t>
            </w:r>
          </w:p>
        </w:tc>
        <w:tc>
          <w:tcPr>
            <w:tcW w:w="1141" w:type="dxa"/>
            <w:tcBorders>
              <w:top w:val="nil"/>
              <w:left w:val="nil"/>
              <w:bottom w:val="nil"/>
              <w:right w:val="nil"/>
            </w:tcBorders>
            <w:shd w:val="clear" w:color="auto" w:fill="auto"/>
            <w:vAlign w:val="center"/>
            <w:hideMark/>
          </w:tcPr>
          <w:p w14:paraId="0387A75F"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-11.02***</w:t>
            </w:r>
          </w:p>
        </w:tc>
        <w:tc>
          <w:tcPr>
            <w:tcW w:w="1141" w:type="dxa"/>
            <w:tcBorders>
              <w:top w:val="nil"/>
              <w:left w:val="nil"/>
              <w:bottom w:val="nil"/>
              <w:right w:val="nil"/>
            </w:tcBorders>
            <w:shd w:val="clear" w:color="auto" w:fill="auto"/>
            <w:vAlign w:val="center"/>
            <w:hideMark/>
          </w:tcPr>
          <w:p w14:paraId="062C8DBB"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-10.03***</w:t>
            </w:r>
          </w:p>
        </w:tc>
        <w:tc>
          <w:tcPr>
            <w:tcW w:w="1141" w:type="dxa"/>
            <w:tcBorders>
              <w:top w:val="nil"/>
              <w:left w:val="nil"/>
              <w:bottom w:val="nil"/>
              <w:right w:val="nil"/>
            </w:tcBorders>
            <w:shd w:val="clear" w:color="auto" w:fill="auto"/>
            <w:vAlign w:val="center"/>
            <w:hideMark/>
          </w:tcPr>
          <w:p w14:paraId="7645E478"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single" w:sz="4" w:space="0" w:color="auto"/>
            </w:tcBorders>
            <w:shd w:val="clear" w:color="auto" w:fill="auto"/>
            <w:vAlign w:val="center"/>
            <w:hideMark/>
          </w:tcPr>
          <w:p w14:paraId="725ACFDE" w14:textId="77777777" w:rsidR="009371EE" w:rsidRPr="0044286B" w:rsidRDefault="009371EE" w:rsidP="00707A63">
            <w:pPr>
              <w:spacing w:line="140" w:lineRule="exact"/>
              <w:rPr>
                <w:rFonts w:cstheme="minorHAnsi"/>
                <w:color w:val="000000"/>
                <w:sz w:val="16"/>
                <w:szCs w:val="16"/>
                <w:lang w:eastAsia="en-GB"/>
              </w:rPr>
            </w:pPr>
          </w:p>
        </w:tc>
      </w:tr>
      <w:tr w:rsidR="009371EE" w:rsidRPr="0044286B" w14:paraId="7DD939AC" w14:textId="77777777" w:rsidTr="00707A63">
        <w:trPr>
          <w:trHeight w:val="240"/>
        </w:trPr>
        <w:tc>
          <w:tcPr>
            <w:tcW w:w="3557" w:type="dxa"/>
            <w:tcBorders>
              <w:top w:val="nil"/>
              <w:left w:val="single" w:sz="4" w:space="0" w:color="auto"/>
              <w:bottom w:val="nil"/>
              <w:right w:val="nil"/>
            </w:tcBorders>
            <w:shd w:val="clear" w:color="000000" w:fill="FFFFFF"/>
            <w:vAlign w:val="center"/>
            <w:hideMark/>
          </w:tcPr>
          <w:p w14:paraId="1E05BA04"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 Jobseekers among 18-24-year-olds</w:t>
            </w:r>
          </w:p>
        </w:tc>
        <w:tc>
          <w:tcPr>
            <w:tcW w:w="1141" w:type="dxa"/>
            <w:tcBorders>
              <w:top w:val="nil"/>
              <w:left w:val="nil"/>
              <w:bottom w:val="nil"/>
              <w:right w:val="nil"/>
            </w:tcBorders>
            <w:shd w:val="clear" w:color="auto" w:fill="auto"/>
            <w:vAlign w:val="center"/>
            <w:hideMark/>
          </w:tcPr>
          <w:p w14:paraId="5CBDDAA8"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7A7A4980" w14:textId="2C697B1F"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 xml:space="preserve"> 1.18***</w:t>
            </w:r>
          </w:p>
        </w:tc>
        <w:tc>
          <w:tcPr>
            <w:tcW w:w="1141" w:type="dxa"/>
            <w:tcBorders>
              <w:top w:val="nil"/>
              <w:left w:val="nil"/>
              <w:bottom w:val="nil"/>
              <w:right w:val="nil"/>
            </w:tcBorders>
            <w:shd w:val="clear" w:color="auto" w:fill="auto"/>
            <w:vAlign w:val="center"/>
            <w:hideMark/>
          </w:tcPr>
          <w:p w14:paraId="4062B7F9" w14:textId="1E08F3A9"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1.37***</w:t>
            </w:r>
          </w:p>
        </w:tc>
        <w:tc>
          <w:tcPr>
            <w:tcW w:w="1141" w:type="dxa"/>
            <w:tcBorders>
              <w:top w:val="nil"/>
              <w:left w:val="nil"/>
              <w:bottom w:val="nil"/>
              <w:right w:val="nil"/>
            </w:tcBorders>
            <w:shd w:val="clear" w:color="auto" w:fill="auto"/>
            <w:vAlign w:val="center"/>
            <w:hideMark/>
          </w:tcPr>
          <w:p w14:paraId="2638AAB1"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-0.12</w:t>
            </w:r>
          </w:p>
        </w:tc>
        <w:tc>
          <w:tcPr>
            <w:tcW w:w="1141" w:type="dxa"/>
            <w:tcBorders>
              <w:top w:val="nil"/>
              <w:left w:val="nil"/>
              <w:bottom w:val="nil"/>
              <w:right w:val="single" w:sz="4" w:space="0" w:color="auto"/>
            </w:tcBorders>
            <w:shd w:val="clear" w:color="auto" w:fill="auto"/>
            <w:vAlign w:val="center"/>
            <w:hideMark/>
          </w:tcPr>
          <w:p w14:paraId="66F91CF8"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0.13</w:t>
            </w:r>
          </w:p>
        </w:tc>
      </w:tr>
      <w:tr w:rsidR="009371EE" w:rsidRPr="0044286B" w14:paraId="15A00D2A" w14:textId="77777777" w:rsidTr="00707A63">
        <w:trPr>
          <w:trHeight w:val="293"/>
        </w:trPr>
        <w:tc>
          <w:tcPr>
            <w:tcW w:w="3557" w:type="dxa"/>
            <w:tcBorders>
              <w:top w:val="nil"/>
              <w:left w:val="single" w:sz="4" w:space="0" w:color="auto"/>
              <w:bottom w:val="nil"/>
              <w:right w:val="nil"/>
            </w:tcBorders>
            <w:shd w:val="clear" w:color="000000" w:fill="FFFFFF"/>
            <w:vAlign w:val="center"/>
            <w:hideMark/>
          </w:tcPr>
          <w:p w14:paraId="118664B0"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 of Pupils Attaining at least 5 GCSEs A-C</w:t>
            </w:r>
          </w:p>
        </w:tc>
        <w:tc>
          <w:tcPr>
            <w:tcW w:w="1141" w:type="dxa"/>
            <w:tcBorders>
              <w:top w:val="nil"/>
              <w:left w:val="nil"/>
              <w:bottom w:val="nil"/>
              <w:right w:val="nil"/>
            </w:tcBorders>
            <w:shd w:val="clear" w:color="auto" w:fill="auto"/>
            <w:vAlign w:val="center"/>
            <w:hideMark/>
          </w:tcPr>
          <w:p w14:paraId="6BD1684F"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5B9B9DA0" w14:textId="19C63BE5"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-0.11***</w:t>
            </w:r>
          </w:p>
        </w:tc>
        <w:tc>
          <w:tcPr>
            <w:tcW w:w="1141" w:type="dxa"/>
            <w:tcBorders>
              <w:top w:val="nil"/>
              <w:left w:val="nil"/>
              <w:bottom w:val="nil"/>
              <w:right w:val="nil"/>
            </w:tcBorders>
            <w:shd w:val="clear" w:color="auto" w:fill="auto"/>
            <w:vAlign w:val="center"/>
            <w:hideMark/>
          </w:tcPr>
          <w:p w14:paraId="7BFAF7EF" w14:textId="11DAEF3A"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-0.18***</w:t>
            </w:r>
          </w:p>
        </w:tc>
        <w:tc>
          <w:tcPr>
            <w:tcW w:w="1141" w:type="dxa"/>
            <w:tcBorders>
              <w:top w:val="nil"/>
              <w:left w:val="nil"/>
              <w:bottom w:val="nil"/>
              <w:right w:val="nil"/>
            </w:tcBorders>
            <w:shd w:val="clear" w:color="auto" w:fill="auto"/>
            <w:vAlign w:val="center"/>
            <w:hideMark/>
          </w:tcPr>
          <w:p w14:paraId="660692D8"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-0.20***</w:t>
            </w:r>
          </w:p>
        </w:tc>
        <w:tc>
          <w:tcPr>
            <w:tcW w:w="1141" w:type="dxa"/>
            <w:tcBorders>
              <w:top w:val="nil"/>
              <w:left w:val="nil"/>
              <w:bottom w:val="nil"/>
              <w:right w:val="single" w:sz="4" w:space="0" w:color="auto"/>
            </w:tcBorders>
            <w:shd w:val="clear" w:color="auto" w:fill="auto"/>
            <w:vAlign w:val="center"/>
            <w:hideMark/>
          </w:tcPr>
          <w:p w14:paraId="253C4E99"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-0.29***</w:t>
            </w:r>
          </w:p>
        </w:tc>
      </w:tr>
      <w:tr w:rsidR="009371EE" w:rsidRPr="0044286B" w14:paraId="6ADD56F3" w14:textId="77777777" w:rsidTr="00707A63">
        <w:trPr>
          <w:trHeight w:val="163"/>
        </w:trPr>
        <w:tc>
          <w:tcPr>
            <w:tcW w:w="3557" w:type="dxa"/>
            <w:tcBorders>
              <w:top w:val="nil"/>
              <w:left w:val="single" w:sz="4" w:space="0" w:color="auto"/>
              <w:bottom w:val="nil"/>
              <w:right w:val="nil"/>
            </w:tcBorders>
            <w:shd w:val="clear" w:color="000000" w:fill="FFFFFF"/>
            <w:vAlign w:val="center"/>
            <w:hideMark/>
          </w:tcPr>
          <w:p w14:paraId="3825C5F9"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Median House Price to Workplace Earnings Ratio</w:t>
            </w:r>
          </w:p>
        </w:tc>
        <w:tc>
          <w:tcPr>
            <w:tcW w:w="1141" w:type="dxa"/>
            <w:tcBorders>
              <w:top w:val="nil"/>
              <w:left w:val="nil"/>
              <w:bottom w:val="nil"/>
              <w:right w:val="nil"/>
            </w:tcBorders>
            <w:shd w:val="clear" w:color="auto" w:fill="auto"/>
            <w:vAlign w:val="center"/>
            <w:hideMark/>
          </w:tcPr>
          <w:p w14:paraId="1C28A066"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5D9E32B5" w14:textId="175144F3"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 xml:space="preserve"> 0.34***</w:t>
            </w:r>
          </w:p>
        </w:tc>
        <w:tc>
          <w:tcPr>
            <w:tcW w:w="1141" w:type="dxa"/>
            <w:tcBorders>
              <w:top w:val="nil"/>
              <w:left w:val="nil"/>
              <w:bottom w:val="nil"/>
              <w:right w:val="nil"/>
            </w:tcBorders>
            <w:shd w:val="clear" w:color="auto" w:fill="auto"/>
            <w:vAlign w:val="center"/>
            <w:hideMark/>
          </w:tcPr>
          <w:p w14:paraId="190C38CD" w14:textId="4F65F564"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-0.19***</w:t>
            </w:r>
          </w:p>
        </w:tc>
        <w:tc>
          <w:tcPr>
            <w:tcW w:w="1141" w:type="dxa"/>
            <w:tcBorders>
              <w:top w:val="nil"/>
              <w:left w:val="nil"/>
              <w:bottom w:val="nil"/>
              <w:right w:val="nil"/>
            </w:tcBorders>
            <w:shd w:val="clear" w:color="auto" w:fill="auto"/>
            <w:vAlign w:val="center"/>
            <w:hideMark/>
          </w:tcPr>
          <w:p w14:paraId="04EBCB4C"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-0.20**</w:t>
            </w:r>
          </w:p>
        </w:tc>
        <w:tc>
          <w:tcPr>
            <w:tcW w:w="1141" w:type="dxa"/>
            <w:tcBorders>
              <w:top w:val="nil"/>
              <w:left w:val="nil"/>
              <w:bottom w:val="nil"/>
              <w:right w:val="single" w:sz="4" w:space="0" w:color="auto"/>
            </w:tcBorders>
            <w:shd w:val="clear" w:color="auto" w:fill="auto"/>
            <w:vAlign w:val="center"/>
            <w:hideMark/>
          </w:tcPr>
          <w:p w14:paraId="64E2C646"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-0.06</w:t>
            </w:r>
          </w:p>
        </w:tc>
      </w:tr>
      <w:tr w:rsidR="009371EE" w:rsidRPr="0044286B" w14:paraId="593716BB" w14:textId="77777777" w:rsidTr="00707A63">
        <w:trPr>
          <w:trHeight w:val="521"/>
        </w:trPr>
        <w:tc>
          <w:tcPr>
            <w:tcW w:w="3557" w:type="dxa"/>
            <w:tcBorders>
              <w:top w:val="nil"/>
              <w:left w:val="single" w:sz="4" w:space="0" w:color="auto"/>
              <w:bottom w:val="nil"/>
              <w:right w:val="nil"/>
            </w:tcBorders>
            <w:shd w:val="clear" w:color="000000" w:fill="FFFFFF"/>
            <w:vAlign w:val="center"/>
            <w:hideMark/>
          </w:tcPr>
          <w:p w14:paraId="485D9B38"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Total Number of Social Housing Units for each LAD per 100 people (18 and over)</w:t>
            </w:r>
          </w:p>
        </w:tc>
        <w:tc>
          <w:tcPr>
            <w:tcW w:w="1141" w:type="dxa"/>
            <w:tcBorders>
              <w:top w:val="nil"/>
              <w:left w:val="nil"/>
              <w:bottom w:val="nil"/>
              <w:right w:val="nil"/>
            </w:tcBorders>
            <w:shd w:val="clear" w:color="auto" w:fill="auto"/>
            <w:vAlign w:val="center"/>
            <w:hideMark/>
          </w:tcPr>
          <w:p w14:paraId="4A187F65"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28DC2D8B" w14:textId="7CB76BBD"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 xml:space="preserve"> 0.34***</w:t>
            </w:r>
          </w:p>
        </w:tc>
        <w:tc>
          <w:tcPr>
            <w:tcW w:w="1141" w:type="dxa"/>
            <w:tcBorders>
              <w:top w:val="nil"/>
              <w:left w:val="nil"/>
              <w:bottom w:val="nil"/>
              <w:right w:val="nil"/>
            </w:tcBorders>
            <w:shd w:val="clear" w:color="auto" w:fill="auto"/>
            <w:vAlign w:val="center"/>
            <w:hideMark/>
          </w:tcPr>
          <w:p w14:paraId="21CBFDE5" w14:textId="474A726D"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0.41***</w:t>
            </w:r>
          </w:p>
        </w:tc>
        <w:tc>
          <w:tcPr>
            <w:tcW w:w="1141" w:type="dxa"/>
            <w:tcBorders>
              <w:top w:val="nil"/>
              <w:left w:val="nil"/>
              <w:bottom w:val="nil"/>
              <w:right w:val="nil"/>
            </w:tcBorders>
            <w:shd w:val="clear" w:color="auto" w:fill="auto"/>
            <w:vAlign w:val="center"/>
            <w:hideMark/>
          </w:tcPr>
          <w:p w14:paraId="29D81036" w14:textId="4962F76F"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0.10*</w:t>
            </w:r>
          </w:p>
        </w:tc>
        <w:tc>
          <w:tcPr>
            <w:tcW w:w="1141" w:type="dxa"/>
            <w:tcBorders>
              <w:top w:val="nil"/>
              <w:left w:val="nil"/>
              <w:bottom w:val="nil"/>
              <w:right w:val="single" w:sz="4" w:space="0" w:color="auto"/>
            </w:tcBorders>
            <w:shd w:val="clear" w:color="auto" w:fill="auto"/>
            <w:vAlign w:val="center"/>
            <w:hideMark/>
          </w:tcPr>
          <w:p w14:paraId="60F2AF2C"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0.13**</w:t>
            </w:r>
          </w:p>
        </w:tc>
      </w:tr>
      <w:tr w:rsidR="009371EE" w:rsidRPr="0044286B" w14:paraId="718598A1" w14:textId="77777777" w:rsidTr="00707A63">
        <w:trPr>
          <w:trHeight w:val="293"/>
        </w:trPr>
        <w:tc>
          <w:tcPr>
            <w:tcW w:w="3557" w:type="dxa"/>
            <w:tcBorders>
              <w:top w:val="nil"/>
              <w:left w:val="single" w:sz="4" w:space="0" w:color="auto"/>
              <w:bottom w:val="nil"/>
              <w:right w:val="nil"/>
            </w:tcBorders>
            <w:shd w:val="clear" w:color="000000" w:fill="FFFFFF"/>
            <w:vAlign w:val="center"/>
            <w:hideMark/>
          </w:tcPr>
          <w:p w14:paraId="316FE56B"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 Pupils in Secondary Schools who were Black</w:t>
            </w:r>
          </w:p>
        </w:tc>
        <w:tc>
          <w:tcPr>
            <w:tcW w:w="1141" w:type="dxa"/>
            <w:tcBorders>
              <w:top w:val="nil"/>
              <w:left w:val="nil"/>
              <w:bottom w:val="nil"/>
              <w:right w:val="nil"/>
            </w:tcBorders>
            <w:shd w:val="clear" w:color="auto" w:fill="auto"/>
            <w:vAlign w:val="center"/>
            <w:hideMark/>
          </w:tcPr>
          <w:p w14:paraId="2CC0F969"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022D0C30" w14:textId="4DE9B04D"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-1.21***</w:t>
            </w:r>
          </w:p>
        </w:tc>
        <w:tc>
          <w:tcPr>
            <w:tcW w:w="1141" w:type="dxa"/>
            <w:tcBorders>
              <w:top w:val="nil"/>
              <w:left w:val="nil"/>
              <w:bottom w:val="nil"/>
              <w:right w:val="nil"/>
            </w:tcBorders>
            <w:shd w:val="clear" w:color="auto" w:fill="auto"/>
            <w:vAlign w:val="center"/>
            <w:hideMark/>
          </w:tcPr>
          <w:p w14:paraId="15393527"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-0.31***</w:t>
            </w:r>
          </w:p>
        </w:tc>
        <w:tc>
          <w:tcPr>
            <w:tcW w:w="1141" w:type="dxa"/>
            <w:tcBorders>
              <w:top w:val="nil"/>
              <w:left w:val="nil"/>
              <w:bottom w:val="nil"/>
              <w:right w:val="nil"/>
            </w:tcBorders>
            <w:shd w:val="clear" w:color="auto" w:fill="auto"/>
            <w:vAlign w:val="center"/>
            <w:hideMark/>
          </w:tcPr>
          <w:p w14:paraId="4EB8D6FC"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-0.71***</w:t>
            </w:r>
          </w:p>
        </w:tc>
        <w:tc>
          <w:tcPr>
            <w:tcW w:w="1141" w:type="dxa"/>
            <w:tcBorders>
              <w:top w:val="nil"/>
              <w:left w:val="nil"/>
              <w:bottom w:val="nil"/>
              <w:right w:val="single" w:sz="4" w:space="0" w:color="auto"/>
            </w:tcBorders>
            <w:shd w:val="clear" w:color="auto" w:fill="auto"/>
            <w:vAlign w:val="center"/>
            <w:hideMark/>
          </w:tcPr>
          <w:p w14:paraId="241C6CC5"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-0.26**</w:t>
            </w:r>
          </w:p>
        </w:tc>
      </w:tr>
      <w:tr w:rsidR="009371EE" w:rsidRPr="0044286B" w14:paraId="1E43B395" w14:textId="77777777" w:rsidTr="00707A63">
        <w:trPr>
          <w:trHeight w:val="296"/>
        </w:trPr>
        <w:tc>
          <w:tcPr>
            <w:tcW w:w="3557" w:type="dxa"/>
            <w:tcBorders>
              <w:top w:val="nil"/>
              <w:left w:val="single" w:sz="4" w:space="0" w:color="auto"/>
              <w:bottom w:val="nil"/>
              <w:right w:val="nil"/>
            </w:tcBorders>
            <w:shd w:val="clear" w:color="000000" w:fill="FFFFFF"/>
            <w:vAlign w:val="center"/>
            <w:hideMark/>
          </w:tcPr>
          <w:p w14:paraId="2D3D5B3D"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 Pupils in Secondary Schools who were South Asian</w:t>
            </w:r>
          </w:p>
        </w:tc>
        <w:tc>
          <w:tcPr>
            <w:tcW w:w="1141" w:type="dxa"/>
            <w:tcBorders>
              <w:top w:val="nil"/>
              <w:left w:val="nil"/>
              <w:bottom w:val="nil"/>
              <w:right w:val="nil"/>
            </w:tcBorders>
            <w:shd w:val="clear" w:color="auto" w:fill="auto"/>
            <w:vAlign w:val="center"/>
            <w:hideMark/>
          </w:tcPr>
          <w:p w14:paraId="25E20BA7"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6BE5CCFF" w14:textId="13257B42"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-0.70***</w:t>
            </w:r>
          </w:p>
        </w:tc>
        <w:tc>
          <w:tcPr>
            <w:tcW w:w="1141" w:type="dxa"/>
            <w:tcBorders>
              <w:top w:val="nil"/>
              <w:left w:val="nil"/>
              <w:bottom w:val="nil"/>
              <w:right w:val="nil"/>
            </w:tcBorders>
            <w:shd w:val="clear" w:color="auto" w:fill="auto"/>
            <w:vAlign w:val="center"/>
            <w:hideMark/>
          </w:tcPr>
          <w:p w14:paraId="69F64FD7"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-0.44***</w:t>
            </w:r>
          </w:p>
        </w:tc>
        <w:tc>
          <w:tcPr>
            <w:tcW w:w="1141" w:type="dxa"/>
            <w:tcBorders>
              <w:top w:val="nil"/>
              <w:left w:val="nil"/>
              <w:bottom w:val="nil"/>
              <w:right w:val="nil"/>
            </w:tcBorders>
            <w:shd w:val="clear" w:color="auto" w:fill="auto"/>
            <w:vAlign w:val="center"/>
            <w:hideMark/>
          </w:tcPr>
          <w:p w14:paraId="2961D907"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-0.32***</w:t>
            </w:r>
          </w:p>
        </w:tc>
        <w:tc>
          <w:tcPr>
            <w:tcW w:w="1141" w:type="dxa"/>
            <w:tcBorders>
              <w:top w:val="nil"/>
              <w:left w:val="nil"/>
              <w:bottom w:val="nil"/>
              <w:right w:val="single" w:sz="4" w:space="0" w:color="auto"/>
            </w:tcBorders>
            <w:shd w:val="clear" w:color="auto" w:fill="auto"/>
            <w:vAlign w:val="center"/>
            <w:hideMark/>
          </w:tcPr>
          <w:p w14:paraId="29CFA6EE"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-0.16**</w:t>
            </w:r>
          </w:p>
        </w:tc>
      </w:tr>
      <w:tr w:rsidR="009371EE" w:rsidRPr="0044286B" w14:paraId="0E63DEA9" w14:textId="77777777" w:rsidTr="00707A63">
        <w:trPr>
          <w:trHeight w:val="240"/>
        </w:trPr>
        <w:tc>
          <w:tcPr>
            <w:tcW w:w="3557" w:type="dxa"/>
            <w:tcBorders>
              <w:top w:val="nil"/>
              <w:left w:val="single" w:sz="4" w:space="0" w:color="auto"/>
              <w:bottom w:val="nil"/>
              <w:right w:val="nil"/>
            </w:tcBorders>
            <w:shd w:val="clear" w:color="000000" w:fill="FFFFFF"/>
            <w:vAlign w:val="center"/>
            <w:hideMark/>
          </w:tcPr>
          <w:p w14:paraId="264D1AAC"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TPS Funding per each Female aged 13-17</w:t>
            </w:r>
          </w:p>
        </w:tc>
        <w:tc>
          <w:tcPr>
            <w:tcW w:w="1141" w:type="dxa"/>
            <w:tcBorders>
              <w:top w:val="nil"/>
              <w:left w:val="nil"/>
              <w:bottom w:val="nil"/>
              <w:right w:val="nil"/>
            </w:tcBorders>
            <w:shd w:val="clear" w:color="auto" w:fill="auto"/>
            <w:vAlign w:val="center"/>
            <w:hideMark/>
          </w:tcPr>
          <w:p w14:paraId="7704ED28"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130B0BF9"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29D70D6D" w14:textId="77777777" w:rsidR="009371EE" w:rsidRPr="0044286B" w:rsidRDefault="009371EE" w:rsidP="00707A63">
            <w:pPr>
              <w:spacing w:line="140" w:lineRule="exact"/>
              <w:rPr>
                <w:rFonts w:cstheme="minorHAnsi"/>
                <w:color w:val="000000"/>
                <w:sz w:val="16"/>
                <w:szCs w:val="16"/>
                <w:lang w:eastAsia="en-GB"/>
              </w:rPr>
            </w:pPr>
          </w:p>
        </w:tc>
        <w:tc>
          <w:tcPr>
            <w:tcW w:w="1141" w:type="dxa"/>
            <w:tcBorders>
              <w:top w:val="nil"/>
              <w:left w:val="nil"/>
              <w:bottom w:val="nil"/>
              <w:right w:val="nil"/>
            </w:tcBorders>
            <w:shd w:val="clear" w:color="auto" w:fill="auto"/>
            <w:vAlign w:val="center"/>
            <w:hideMark/>
          </w:tcPr>
          <w:p w14:paraId="3A2ACA64"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-0.18***</w:t>
            </w:r>
          </w:p>
        </w:tc>
        <w:tc>
          <w:tcPr>
            <w:tcW w:w="1141" w:type="dxa"/>
            <w:tcBorders>
              <w:top w:val="nil"/>
              <w:left w:val="nil"/>
              <w:bottom w:val="nil"/>
              <w:right w:val="single" w:sz="4" w:space="0" w:color="auto"/>
            </w:tcBorders>
            <w:shd w:val="clear" w:color="auto" w:fill="auto"/>
            <w:vAlign w:val="center"/>
            <w:hideMark/>
          </w:tcPr>
          <w:p w14:paraId="16A33639"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-0.12***</w:t>
            </w:r>
          </w:p>
        </w:tc>
      </w:tr>
      <w:tr w:rsidR="009371EE" w:rsidRPr="0044286B" w14:paraId="249BE8AC" w14:textId="77777777" w:rsidTr="00707A63">
        <w:trPr>
          <w:trHeight w:val="240"/>
        </w:trPr>
        <w:tc>
          <w:tcPr>
            <w:tcW w:w="3557" w:type="dxa"/>
            <w:tcBorders>
              <w:top w:val="nil"/>
              <w:left w:val="single" w:sz="4" w:space="0" w:color="auto"/>
              <w:bottom w:val="single" w:sz="4" w:space="0" w:color="auto"/>
              <w:right w:val="nil"/>
            </w:tcBorders>
            <w:shd w:val="clear" w:color="000000" w:fill="FFFFFF"/>
            <w:vAlign w:val="center"/>
            <w:hideMark/>
          </w:tcPr>
          <w:p w14:paraId="2861A47B" w14:textId="77777777" w:rsidR="009371EE" w:rsidRPr="0044286B" w:rsidRDefault="009371EE" w:rsidP="00707A63">
            <w:pPr>
              <w:spacing w:line="140" w:lineRule="exact"/>
              <w:rPr>
                <w:rFonts w:cstheme="minorHAnsi"/>
                <w:b/>
                <w:bCs/>
                <w:color w:val="000000"/>
                <w:sz w:val="16"/>
                <w:szCs w:val="16"/>
                <w:lang w:eastAsia="en-GB"/>
              </w:rPr>
            </w:pPr>
            <w:r w:rsidRPr="0044286B">
              <w:rPr>
                <w:rFonts w:cstheme="minorHAnsi"/>
                <w:b/>
                <w:bCs/>
                <w:color w:val="000000"/>
                <w:sz w:val="16"/>
                <w:szCs w:val="16"/>
                <w:lang w:eastAsia="en-GB"/>
              </w:rPr>
              <w:t>Constant</w:t>
            </w:r>
          </w:p>
        </w:tc>
        <w:tc>
          <w:tcPr>
            <w:tcW w:w="1141" w:type="dxa"/>
            <w:tcBorders>
              <w:top w:val="nil"/>
              <w:left w:val="nil"/>
              <w:bottom w:val="single" w:sz="4" w:space="0" w:color="auto"/>
              <w:right w:val="nil"/>
            </w:tcBorders>
            <w:shd w:val="clear" w:color="000000" w:fill="FFFFFF"/>
            <w:vAlign w:val="center"/>
            <w:hideMark/>
          </w:tcPr>
          <w:p w14:paraId="44EFC72B"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 xml:space="preserve"> 39.73***</w:t>
            </w:r>
          </w:p>
        </w:tc>
        <w:tc>
          <w:tcPr>
            <w:tcW w:w="1141" w:type="dxa"/>
            <w:tcBorders>
              <w:top w:val="nil"/>
              <w:left w:val="nil"/>
              <w:bottom w:val="single" w:sz="4" w:space="0" w:color="auto"/>
              <w:right w:val="nil"/>
            </w:tcBorders>
            <w:shd w:val="clear" w:color="000000" w:fill="FFFFFF"/>
            <w:vAlign w:val="center"/>
            <w:hideMark/>
          </w:tcPr>
          <w:p w14:paraId="3DB89736" w14:textId="469A9A92" w:rsidR="009371EE" w:rsidRPr="0044286B" w:rsidRDefault="006D3340" w:rsidP="00707A63">
            <w:pPr>
              <w:spacing w:line="140" w:lineRule="exact"/>
              <w:rPr>
                <w:rFonts w:cstheme="minorHAnsi"/>
                <w:color w:val="000000"/>
                <w:sz w:val="16"/>
                <w:szCs w:val="16"/>
                <w:lang w:eastAsia="en-GB"/>
              </w:rPr>
            </w:pPr>
            <w:r>
              <w:rPr>
                <w:rFonts w:cstheme="minorHAnsi"/>
                <w:color w:val="000000"/>
                <w:sz w:val="16"/>
                <w:szCs w:val="16"/>
                <w:lang w:eastAsia="en-GB"/>
              </w:rPr>
              <w:t xml:space="preserve"> </w:t>
            </w:r>
            <w:r w:rsidR="009371EE" w:rsidRPr="0044286B">
              <w:rPr>
                <w:rFonts w:cstheme="minorHAnsi"/>
                <w:color w:val="000000"/>
                <w:sz w:val="16"/>
                <w:szCs w:val="16"/>
                <w:lang w:eastAsia="en-GB"/>
              </w:rPr>
              <w:t>37.09***</w:t>
            </w:r>
          </w:p>
        </w:tc>
        <w:tc>
          <w:tcPr>
            <w:tcW w:w="1141" w:type="dxa"/>
            <w:tcBorders>
              <w:top w:val="nil"/>
              <w:left w:val="nil"/>
              <w:bottom w:val="single" w:sz="4" w:space="0" w:color="auto"/>
              <w:right w:val="nil"/>
            </w:tcBorders>
            <w:shd w:val="clear" w:color="000000" w:fill="FFFFFF"/>
            <w:vAlign w:val="center"/>
            <w:hideMark/>
          </w:tcPr>
          <w:p w14:paraId="6D8DBD3E"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 xml:space="preserve"> 42.02***</w:t>
            </w:r>
          </w:p>
        </w:tc>
        <w:tc>
          <w:tcPr>
            <w:tcW w:w="1141" w:type="dxa"/>
            <w:tcBorders>
              <w:top w:val="nil"/>
              <w:left w:val="nil"/>
              <w:bottom w:val="single" w:sz="4" w:space="0" w:color="auto"/>
              <w:right w:val="nil"/>
            </w:tcBorders>
            <w:shd w:val="clear" w:color="000000" w:fill="FFFFFF"/>
            <w:vAlign w:val="center"/>
            <w:hideMark/>
          </w:tcPr>
          <w:p w14:paraId="71A1F06D"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53.58***</w:t>
            </w:r>
          </w:p>
        </w:tc>
        <w:tc>
          <w:tcPr>
            <w:tcW w:w="1141" w:type="dxa"/>
            <w:tcBorders>
              <w:top w:val="nil"/>
              <w:left w:val="nil"/>
              <w:bottom w:val="single" w:sz="4" w:space="0" w:color="auto"/>
              <w:right w:val="single" w:sz="4" w:space="0" w:color="auto"/>
            </w:tcBorders>
            <w:shd w:val="clear" w:color="000000" w:fill="FFFFFF"/>
            <w:vAlign w:val="center"/>
            <w:hideMark/>
          </w:tcPr>
          <w:p w14:paraId="6C917E01"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55.62***</w:t>
            </w:r>
          </w:p>
        </w:tc>
      </w:tr>
      <w:tr w:rsidR="009371EE" w:rsidRPr="0044286B" w14:paraId="3620F474" w14:textId="77777777" w:rsidTr="00707A63">
        <w:trPr>
          <w:trHeight w:val="240"/>
        </w:trPr>
        <w:tc>
          <w:tcPr>
            <w:tcW w:w="3557" w:type="dxa"/>
            <w:tcBorders>
              <w:top w:val="single" w:sz="4" w:space="0" w:color="auto"/>
              <w:left w:val="single" w:sz="4" w:space="0" w:color="auto"/>
              <w:bottom w:val="nil"/>
              <w:right w:val="nil"/>
            </w:tcBorders>
            <w:shd w:val="clear" w:color="000000" w:fill="FFFFFF"/>
            <w:vAlign w:val="center"/>
            <w:hideMark/>
          </w:tcPr>
          <w:p w14:paraId="0C39CF27" w14:textId="77777777" w:rsidR="009371EE" w:rsidRPr="0044286B" w:rsidRDefault="009371EE" w:rsidP="00707A63">
            <w:pPr>
              <w:spacing w:line="140" w:lineRule="exact"/>
              <w:rPr>
                <w:rFonts w:cstheme="minorHAnsi"/>
                <w:b/>
                <w:bCs/>
                <w:i/>
                <w:iCs/>
                <w:color w:val="000000"/>
                <w:sz w:val="16"/>
                <w:szCs w:val="16"/>
                <w:u w:val="single"/>
                <w:lang w:eastAsia="en-GB"/>
              </w:rPr>
            </w:pPr>
            <w:r w:rsidRPr="0044286B">
              <w:rPr>
                <w:rFonts w:cstheme="minorHAnsi"/>
                <w:b/>
                <w:bCs/>
                <w:i/>
                <w:iCs/>
                <w:color w:val="000000"/>
                <w:sz w:val="16"/>
                <w:szCs w:val="16"/>
                <w:u w:val="single"/>
                <w:lang w:eastAsia="en-GB"/>
              </w:rPr>
              <w:t>Random Effects</w:t>
            </w:r>
          </w:p>
        </w:tc>
        <w:tc>
          <w:tcPr>
            <w:tcW w:w="1141" w:type="dxa"/>
            <w:tcBorders>
              <w:top w:val="single" w:sz="4" w:space="0" w:color="auto"/>
              <w:left w:val="nil"/>
              <w:bottom w:val="nil"/>
              <w:right w:val="nil"/>
            </w:tcBorders>
            <w:shd w:val="clear" w:color="000000" w:fill="FFFFFF"/>
            <w:vAlign w:val="center"/>
          </w:tcPr>
          <w:p w14:paraId="20CCB548" w14:textId="77777777" w:rsidR="009371EE" w:rsidRPr="0044286B" w:rsidRDefault="009371EE" w:rsidP="00707A63">
            <w:pPr>
              <w:spacing w:line="140" w:lineRule="exact"/>
              <w:rPr>
                <w:rFonts w:cstheme="minorHAnsi"/>
                <w:b/>
                <w:bCs/>
                <w:i/>
                <w:iCs/>
                <w:color w:val="000000"/>
                <w:sz w:val="16"/>
                <w:szCs w:val="16"/>
                <w:u w:val="single"/>
                <w:lang w:eastAsia="en-GB"/>
              </w:rPr>
            </w:pPr>
          </w:p>
        </w:tc>
        <w:tc>
          <w:tcPr>
            <w:tcW w:w="1141" w:type="dxa"/>
            <w:tcBorders>
              <w:top w:val="single" w:sz="4" w:space="0" w:color="auto"/>
              <w:left w:val="nil"/>
              <w:bottom w:val="nil"/>
              <w:right w:val="nil"/>
            </w:tcBorders>
            <w:shd w:val="clear" w:color="000000" w:fill="FFFFFF"/>
            <w:vAlign w:val="center"/>
          </w:tcPr>
          <w:p w14:paraId="685341C7" w14:textId="77777777" w:rsidR="009371EE" w:rsidRPr="0044286B" w:rsidRDefault="009371EE" w:rsidP="00707A63">
            <w:pPr>
              <w:spacing w:line="140" w:lineRule="exact"/>
              <w:rPr>
                <w:rFonts w:cstheme="minorHAnsi"/>
                <w:b/>
                <w:bCs/>
                <w:i/>
                <w:iCs/>
                <w:color w:val="000000"/>
                <w:sz w:val="16"/>
                <w:szCs w:val="16"/>
                <w:u w:val="single"/>
                <w:lang w:eastAsia="en-GB"/>
              </w:rPr>
            </w:pPr>
          </w:p>
        </w:tc>
        <w:tc>
          <w:tcPr>
            <w:tcW w:w="1141" w:type="dxa"/>
            <w:tcBorders>
              <w:top w:val="single" w:sz="4" w:space="0" w:color="auto"/>
              <w:left w:val="nil"/>
              <w:bottom w:val="nil"/>
              <w:right w:val="nil"/>
            </w:tcBorders>
            <w:shd w:val="clear" w:color="000000" w:fill="FFFFFF"/>
            <w:vAlign w:val="center"/>
          </w:tcPr>
          <w:p w14:paraId="5D0F5917" w14:textId="77777777" w:rsidR="009371EE" w:rsidRPr="0044286B" w:rsidRDefault="009371EE" w:rsidP="00707A63">
            <w:pPr>
              <w:spacing w:line="140" w:lineRule="exact"/>
              <w:rPr>
                <w:rFonts w:cstheme="minorHAnsi"/>
                <w:b/>
                <w:bCs/>
                <w:i/>
                <w:iCs/>
                <w:color w:val="000000"/>
                <w:sz w:val="16"/>
                <w:szCs w:val="16"/>
                <w:u w:val="single"/>
                <w:lang w:eastAsia="en-GB"/>
              </w:rPr>
            </w:pPr>
          </w:p>
        </w:tc>
        <w:tc>
          <w:tcPr>
            <w:tcW w:w="1141" w:type="dxa"/>
            <w:tcBorders>
              <w:top w:val="single" w:sz="4" w:space="0" w:color="auto"/>
              <w:left w:val="nil"/>
              <w:bottom w:val="nil"/>
              <w:right w:val="nil"/>
            </w:tcBorders>
            <w:shd w:val="clear" w:color="000000" w:fill="FFFFFF"/>
            <w:vAlign w:val="center"/>
          </w:tcPr>
          <w:p w14:paraId="30D9B37A" w14:textId="77777777" w:rsidR="009371EE" w:rsidRPr="0044286B" w:rsidRDefault="009371EE" w:rsidP="00707A63">
            <w:pPr>
              <w:spacing w:line="140" w:lineRule="exact"/>
              <w:rPr>
                <w:rFonts w:cstheme="minorHAnsi"/>
                <w:b/>
                <w:bCs/>
                <w:i/>
                <w:iCs/>
                <w:color w:val="000000"/>
                <w:sz w:val="16"/>
                <w:szCs w:val="16"/>
                <w:u w:val="single"/>
                <w:lang w:eastAsia="en-GB"/>
              </w:rPr>
            </w:pPr>
          </w:p>
        </w:tc>
        <w:tc>
          <w:tcPr>
            <w:tcW w:w="1141" w:type="dxa"/>
            <w:tcBorders>
              <w:top w:val="single" w:sz="4" w:space="0" w:color="auto"/>
              <w:left w:val="nil"/>
              <w:bottom w:val="nil"/>
              <w:right w:val="single" w:sz="4" w:space="0" w:color="auto"/>
            </w:tcBorders>
            <w:shd w:val="clear" w:color="000000" w:fill="FFFFFF"/>
            <w:vAlign w:val="center"/>
          </w:tcPr>
          <w:p w14:paraId="2AC72D48" w14:textId="77777777" w:rsidR="009371EE" w:rsidRPr="0044286B" w:rsidRDefault="009371EE" w:rsidP="00707A63">
            <w:pPr>
              <w:spacing w:line="140" w:lineRule="exact"/>
              <w:rPr>
                <w:rFonts w:cstheme="minorHAnsi"/>
                <w:b/>
                <w:bCs/>
                <w:i/>
                <w:iCs/>
                <w:color w:val="000000"/>
                <w:sz w:val="16"/>
                <w:szCs w:val="16"/>
                <w:u w:val="single"/>
                <w:lang w:eastAsia="en-GB"/>
              </w:rPr>
            </w:pPr>
          </w:p>
        </w:tc>
      </w:tr>
      <w:tr w:rsidR="009371EE" w:rsidRPr="0044286B" w14:paraId="623C9E17" w14:textId="77777777" w:rsidTr="00707A63">
        <w:trPr>
          <w:trHeight w:val="227"/>
        </w:trPr>
        <w:tc>
          <w:tcPr>
            <w:tcW w:w="3557" w:type="dxa"/>
            <w:tcBorders>
              <w:top w:val="nil"/>
              <w:left w:val="single" w:sz="4" w:space="0" w:color="auto"/>
              <w:bottom w:val="nil"/>
              <w:right w:val="nil"/>
            </w:tcBorders>
            <w:shd w:val="clear" w:color="000000" w:fill="FFFFFF"/>
            <w:vAlign w:val="center"/>
            <w:hideMark/>
          </w:tcPr>
          <w:p w14:paraId="294EE30E"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Between LAD variation</w:t>
            </w:r>
          </w:p>
        </w:tc>
        <w:tc>
          <w:tcPr>
            <w:tcW w:w="1141" w:type="dxa"/>
            <w:tcBorders>
              <w:top w:val="nil"/>
              <w:left w:val="nil"/>
              <w:bottom w:val="nil"/>
              <w:right w:val="nil"/>
            </w:tcBorders>
            <w:shd w:val="clear" w:color="auto" w:fill="auto"/>
            <w:vAlign w:val="center"/>
            <w:hideMark/>
          </w:tcPr>
          <w:p w14:paraId="52694C8D"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10.54</w:t>
            </w:r>
          </w:p>
        </w:tc>
        <w:tc>
          <w:tcPr>
            <w:tcW w:w="1141" w:type="dxa"/>
            <w:tcBorders>
              <w:top w:val="nil"/>
              <w:left w:val="nil"/>
              <w:bottom w:val="nil"/>
              <w:right w:val="nil"/>
            </w:tcBorders>
            <w:shd w:val="clear" w:color="auto" w:fill="auto"/>
            <w:vAlign w:val="center"/>
            <w:hideMark/>
          </w:tcPr>
          <w:p w14:paraId="2CAAAD77"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 xml:space="preserve"> 11.18</w:t>
            </w:r>
          </w:p>
        </w:tc>
        <w:tc>
          <w:tcPr>
            <w:tcW w:w="1141" w:type="dxa"/>
            <w:tcBorders>
              <w:top w:val="nil"/>
              <w:left w:val="nil"/>
              <w:bottom w:val="nil"/>
              <w:right w:val="nil"/>
            </w:tcBorders>
            <w:shd w:val="clear" w:color="auto" w:fill="auto"/>
            <w:vAlign w:val="center"/>
            <w:hideMark/>
          </w:tcPr>
          <w:p w14:paraId="2ACD8BD1" w14:textId="1754C739"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9.63</w:t>
            </w:r>
          </w:p>
        </w:tc>
        <w:tc>
          <w:tcPr>
            <w:tcW w:w="1141" w:type="dxa"/>
            <w:tcBorders>
              <w:top w:val="nil"/>
              <w:left w:val="nil"/>
              <w:bottom w:val="nil"/>
              <w:right w:val="nil"/>
            </w:tcBorders>
            <w:shd w:val="clear" w:color="auto" w:fill="auto"/>
            <w:vAlign w:val="center"/>
            <w:hideMark/>
          </w:tcPr>
          <w:p w14:paraId="2A79A5BF"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12.94</w:t>
            </w:r>
          </w:p>
        </w:tc>
        <w:tc>
          <w:tcPr>
            <w:tcW w:w="1141" w:type="dxa"/>
            <w:tcBorders>
              <w:top w:val="nil"/>
              <w:left w:val="nil"/>
              <w:bottom w:val="nil"/>
              <w:right w:val="single" w:sz="4" w:space="0" w:color="auto"/>
            </w:tcBorders>
            <w:shd w:val="clear" w:color="auto" w:fill="auto"/>
            <w:vAlign w:val="center"/>
            <w:hideMark/>
          </w:tcPr>
          <w:p w14:paraId="17D85B8B"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sz w:val="16"/>
                <w:szCs w:val="16"/>
              </w:rPr>
              <w:t>12.81</w:t>
            </w:r>
          </w:p>
        </w:tc>
      </w:tr>
      <w:tr w:rsidR="009371EE" w:rsidRPr="0044286B" w14:paraId="305D6650" w14:textId="77777777" w:rsidTr="00707A63">
        <w:trPr>
          <w:trHeight w:val="227"/>
        </w:trPr>
        <w:tc>
          <w:tcPr>
            <w:tcW w:w="3557" w:type="dxa"/>
            <w:tcBorders>
              <w:top w:val="nil"/>
              <w:left w:val="single" w:sz="4" w:space="0" w:color="auto"/>
              <w:bottom w:val="nil"/>
              <w:right w:val="nil"/>
            </w:tcBorders>
            <w:shd w:val="clear" w:color="000000" w:fill="FFFFFF"/>
            <w:vAlign w:val="center"/>
            <w:hideMark/>
          </w:tcPr>
          <w:p w14:paraId="4A89B3D8"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Within LAD variation</w:t>
            </w:r>
          </w:p>
        </w:tc>
        <w:tc>
          <w:tcPr>
            <w:tcW w:w="1141" w:type="dxa"/>
            <w:tcBorders>
              <w:top w:val="nil"/>
              <w:left w:val="nil"/>
              <w:bottom w:val="nil"/>
              <w:right w:val="nil"/>
            </w:tcBorders>
            <w:shd w:val="clear" w:color="auto" w:fill="auto"/>
            <w:vAlign w:val="center"/>
            <w:hideMark/>
          </w:tcPr>
          <w:p w14:paraId="1FC536FE" w14:textId="7D4F0127"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 xml:space="preserve"> 6.44</w:t>
            </w:r>
          </w:p>
        </w:tc>
        <w:tc>
          <w:tcPr>
            <w:tcW w:w="1141" w:type="dxa"/>
            <w:tcBorders>
              <w:top w:val="nil"/>
              <w:left w:val="nil"/>
              <w:bottom w:val="nil"/>
              <w:right w:val="nil"/>
            </w:tcBorders>
            <w:shd w:val="clear" w:color="auto" w:fill="auto"/>
            <w:vAlign w:val="center"/>
            <w:hideMark/>
          </w:tcPr>
          <w:p w14:paraId="6BDB79B9" w14:textId="324F94B1"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 xml:space="preserve"> 5.40</w:t>
            </w:r>
          </w:p>
        </w:tc>
        <w:tc>
          <w:tcPr>
            <w:tcW w:w="1141" w:type="dxa"/>
            <w:tcBorders>
              <w:top w:val="nil"/>
              <w:left w:val="nil"/>
              <w:bottom w:val="nil"/>
              <w:right w:val="nil"/>
            </w:tcBorders>
            <w:shd w:val="clear" w:color="auto" w:fill="auto"/>
            <w:vAlign w:val="center"/>
            <w:hideMark/>
          </w:tcPr>
          <w:p w14:paraId="5DD9AB09" w14:textId="7B8ABFD4"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5.72</w:t>
            </w:r>
          </w:p>
        </w:tc>
        <w:tc>
          <w:tcPr>
            <w:tcW w:w="1141" w:type="dxa"/>
            <w:tcBorders>
              <w:top w:val="nil"/>
              <w:left w:val="nil"/>
              <w:bottom w:val="nil"/>
              <w:right w:val="nil"/>
            </w:tcBorders>
            <w:shd w:val="clear" w:color="auto" w:fill="auto"/>
            <w:vAlign w:val="center"/>
            <w:hideMark/>
          </w:tcPr>
          <w:p w14:paraId="028369CA" w14:textId="0CA6FF68"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4.95</w:t>
            </w:r>
          </w:p>
        </w:tc>
        <w:tc>
          <w:tcPr>
            <w:tcW w:w="1141" w:type="dxa"/>
            <w:tcBorders>
              <w:top w:val="nil"/>
              <w:left w:val="nil"/>
              <w:bottom w:val="nil"/>
              <w:right w:val="single" w:sz="4" w:space="0" w:color="auto"/>
            </w:tcBorders>
            <w:shd w:val="clear" w:color="auto" w:fill="auto"/>
            <w:vAlign w:val="center"/>
            <w:hideMark/>
          </w:tcPr>
          <w:p w14:paraId="067E24FB" w14:textId="2158145E"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5.13</w:t>
            </w:r>
          </w:p>
        </w:tc>
      </w:tr>
      <w:tr w:rsidR="009371EE" w:rsidRPr="0044286B" w14:paraId="700DA267" w14:textId="77777777" w:rsidTr="00707A63">
        <w:trPr>
          <w:trHeight w:val="227"/>
        </w:trPr>
        <w:tc>
          <w:tcPr>
            <w:tcW w:w="3557" w:type="dxa"/>
            <w:tcBorders>
              <w:top w:val="nil"/>
              <w:left w:val="single" w:sz="4" w:space="0" w:color="auto"/>
              <w:bottom w:val="single" w:sz="4" w:space="0" w:color="auto"/>
              <w:right w:val="nil"/>
            </w:tcBorders>
            <w:shd w:val="clear" w:color="000000" w:fill="FFFFFF"/>
            <w:vAlign w:val="center"/>
            <w:hideMark/>
          </w:tcPr>
          <w:p w14:paraId="0A2ACD38"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rho</w:t>
            </w:r>
          </w:p>
        </w:tc>
        <w:tc>
          <w:tcPr>
            <w:tcW w:w="1141" w:type="dxa"/>
            <w:tcBorders>
              <w:top w:val="nil"/>
              <w:left w:val="nil"/>
              <w:bottom w:val="single" w:sz="4" w:space="0" w:color="auto"/>
              <w:right w:val="nil"/>
            </w:tcBorders>
            <w:shd w:val="clear" w:color="auto" w:fill="auto"/>
            <w:vAlign w:val="center"/>
            <w:hideMark/>
          </w:tcPr>
          <w:p w14:paraId="270F907C" w14:textId="100BB481"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 xml:space="preserve"> 0.72</w:t>
            </w:r>
          </w:p>
        </w:tc>
        <w:tc>
          <w:tcPr>
            <w:tcW w:w="1141" w:type="dxa"/>
            <w:tcBorders>
              <w:top w:val="nil"/>
              <w:left w:val="nil"/>
              <w:bottom w:val="single" w:sz="4" w:space="0" w:color="auto"/>
              <w:right w:val="nil"/>
            </w:tcBorders>
            <w:shd w:val="clear" w:color="auto" w:fill="auto"/>
            <w:vAlign w:val="center"/>
            <w:hideMark/>
          </w:tcPr>
          <w:p w14:paraId="1B26AA8C" w14:textId="429BF946"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 xml:space="preserve"> 0.81</w:t>
            </w:r>
          </w:p>
        </w:tc>
        <w:tc>
          <w:tcPr>
            <w:tcW w:w="1141" w:type="dxa"/>
            <w:tcBorders>
              <w:top w:val="nil"/>
              <w:left w:val="nil"/>
              <w:bottom w:val="single" w:sz="4" w:space="0" w:color="auto"/>
              <w:right w:val="nil"/>
            </w:tcBorders>
            <w:shd w:val="clear" w:color="auto" w:fill="auto"/>
            <w:vAlign w:val="center"/>
            <w:hideMark/>
          </w:tcPr>
          <w:p w14:paraId="35696F40" w14:textId="24290058"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0.74</w:t>
            </w:r>
          </w:p>
        </w:tc>
        <w:tc>
          <w:tcPr>
            <w:tcW w:w="1141" w:type="dxa"/>
            <w:tcBorders>
              <w:top w:val="nil"/>
              <w:left w:val="nil"/>
              <w:bottom w:val="single" w:sz="4" w:space="0" w:color="auto"/>
              <w:right w:val="nil"/>
            </w:tcBorders>
            <w:shd w:val="clear" w:color="auto" w:fill="auto"/>
            <w:vAlign w:val="center"/>
            <w:hideMark/>
          </w:tcPr>
          <w:p w14:paraId="28DDB6CA" w14:textId="7656C7D7"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0.87</w:t>
            </w:r>
          </w:p>
        </w:tc>
        <w:tc>
          <w:tcPr>
            <w:tcW w:w="1141" w:type="dxa"/>
            <w:tcBorders>
              <w:top w:val="nil"/>
              <w:left w:val="nil"/>
              <w:bottom w:val="single" w:sz="4" w:space="0" w:color="auto"/>
              <w:right w:val="single" w:sz="4" w:space="0" w:color="auto"/>
            </w:tcBorders>
            <w:shd w:val="clear" w:color="auto" w:fill="auto"/>
            <w:vAlign w:val="center"/>
            <w:hideMark/>
          </w:tcPr>
          <w:p w14:paraId="5CBA3EF2" w14:textId="22149FC8" w:rsidR="009371EE" w:rsidRPr="0044286B" w:rsidRDefault="006D3340" w:rsidP="00707A63">
            <w:pPr>
              <w:spacing w:line="140" w:lineRule="exact"/>
              <w:rPr>
                <w:rFonts w:cstheme="minorHAnsi"/>
                <w:color w:val="000000"/>
                <w:sz w:val="16"/>
                <w:szCs w:val="16"/>
                <w:lang w:eastAsia="en-GB"/>
              </w:rPr>
            </w:pPr>
            <w:r>
              <w:rPr>
                <w:rFonts w:cstheme="minorHAnsi"/>
                <w:sz w:val="16"/>
                <w:szCs w:val="16"/>
              </w:rPr>
              <w:t xml:space="preserve"> </w:t>
            </w:r>
            <w:r w:rsidR="009371EE" w:rsidRPr="0044286B">
              <w:rPr>
                <w:rFonts w:cstheme="minorHAnsi"/>
                <w:sz w:val="16"/>
                <w:szCs w:val="16"/>
              </w:rPr>
              <w:t>0.86</w:t>
            </w:r>
          </w:p>
        </w:tc>
      </w:tr>
      <w:tr w:rsidR="009371EE" w:rsidRPr="0044286B" w14:paraId="31436C84" w14:textId="77777777" w:rsidTr="00707A63">
        <w:trPr>
          <w:trHeight w:val="227"/>
        </w:trPr>
        <w:tc>
          <w:tcPr>
            <w:tcW w:w="3557" w:type="dxa"/>
            <w:tcBorders>
              <w:top w:val="single" w:sz="4" w:space="0" w:color="auto"/>
              <w:left w:val="single" w:sz="4" w:space="0" w:color="auto"/>
              <w:bottom w:val="single" w:sz="4" w:space="0" w:color="auto"/>
              <w:right w:val="nil"/>
            </w:tcBorders>
            <w:shd w:val="clear" w:color="000000" w:fill="FFFFFF"/>
            <w:vAlign w:val="center"/>
            <w:hideMark/>
          </w:tcPr>
          <w:p w14:paraId="561C371D" w14:textId="77777777" w:rsidR="009371EE" w:rsidRPr="0044286B" w:rsidRDefault="009371EE" w:rsidP="00707A63">
            <w:pPr>
              <w:spacing w:line="140" w:lineRule="exact"/>
              <w:rPr>
                <w:rFonts w:cstheme="minorHAnsi"/>
                <w:color w:val="000000"/>
                <w:sz w:val="16"/>
                <w:szCs w:val="16"/>
                <w:lang w:eastAsia="en-GB"/>
              </w:rPr>
            </w:pPr>
            <w:r w:rsidRPr="0044286B">
              <w:rPr>
                <w:rFonts w:cstheme="minorHAnsi"/>
                <w:color w:val="000000"/>
                <w:sz w:val="16"/>
                <w:szCs w:val="16"/>
                <w:lang w:eastAsia="en-GB"/>
              </w:rPr>
              <w:t>*** p&lt;0.01, ** p&lt;0.05, * p&lt;0.1</w:t>
            </w:r>
          </w:p>
        </w:tc>
        <w:tc>
          <w:tcPr>
            <w:tcW w:w="1141" w:type="dxa"/>
            <w:tcBorders>
              <w:top w:val="single" w:sz="4" w:space="0" w:color="auto"/>
              <w:left w:val="nil"/>
              <w:bottom w:val="single" w:sz="4" w:space="0" w:color="auto"/>
              <w:right w:val="nil"/>
            </w:tcBorders>
            <w:shd w:val="clear" w:color="000000" w:fill="FFFFFF"/>
            <w:vAlign w:val="center"/>
            <w:hideMark/>
          </w:tcPr>
          <w:p w14:paraId="137B2A61" w14:textId="77777777" w:rsidR="009371EE" w:rsidRPr="0044286B" w:rsidRDefault="009371EE" w:rsidP="00707A63">
            <w:pPr>
              <w:spacing w:line="140" w:lineRule="exact"/>
              <w:rPr>
                <w:rFonts w:cstheme="minorHAnsi"/>
                <w:i/>
                <w:iCs/>
                <w:color w:val="000000"/>
                <w:sz w:val="16"/>
                <w:szCs w:val="16"/>
                <w:lang w:eastAsia="en-GB"/>
              </w:rPr>
            </w:pPr>
            <w:r w:rsidRPr="0044286B">
              <w:rPr>
                <w:rFonts w:cstheme="minorHAnsi"/>
                <w:i/>
                <w:iCs/>
                <w:color w:val="000000"/>
                <w:sz w:val="16"/>
                <w:szCs w:val="16"/>
                <w:lang w:eastAsia="en-GB"/>
              </w:rPr>
              <w:t> </w:t>
            </w:r>
          </w:p>
        </w:tc>
        <w:tc>
          <w:tcPr>
            <w:tcW w:w="1141" w:type="dxa"/>
            <w:tcBorders>
              <w:top w:val="single" w:sz="4" w:space="0" w:color="auto"/>
              <w:left w:val="nil"/>
              <w:bottom w:val="single" w:sz="4" w:space="0" w:color="auto"/>
              <w:right w:val="nil"/>
            </w:tcBorders>
            <w:shd w:val="clear" w:color="000000" w:fill="FFFFFF"/>
            <w:vAlign w:val="center"/>
            <w:hideMark/>
          </w:tcPr>
          <w:p w14:paraId="771592B8" w14:textId="77777777" w:rsidR="009371EE" w:rsidRPr="0044286B" w:rsidRDefault="009371EE" w:rsidP="00707A63">
            <w:pPr>
              <w:spacing w:line="140" w:lineRule="exact"/>
              <w:rPr>
                <w:rFonts w:cstheme="minorHAnsi"/>
                <w:i/>
                <w:iCs/>
                <w:color w:val="000000"/>
                <w:sz w:val="16"/>
                <w:szCs w:val="16"/>
                <w:lang w:eastAsia="en-GB"/>
              </w:rPr>
            </w:pPr>
            <w:r w:rsidRPr="0044286B">
              <w:rPr>
                <w:rFonts w:cstheme="minorHAnsi"/>
                <w:i/>
                <w:iCs/>
                <w:color w:val="000000"/>
                <w:sz w:val="16"/>
                <w:szCs w:val="16"/>
                <w:lang w:eastAsia="en-GB"/>
              </w:rPr>
              <w:t> </w:t>
            </w:r>
          </w:p>
        </w:tc>
        <w:tc>
          <w:tcPr>
            <w:tcW w:w="1141" w:type="dxa"/>
            <w:tcBorders>
              <w:top w:val="single" w:sz="4" w:space="0" w:color="auto"/>
              <w:left w:val="nil"/>
              <w:bottom w:val="single" w:sz="4" w:space="0" w:color="auto"/>
              <w:right w:val="nil"/>
            </w:tcBorders>
            <w:shd w:val="clear" w:color="000000" w:fill="FFFFFF"/>
            <w:vAlign w:val="center"/>
            <w:hideMark/>
          </w:tcPr>
          <w:p w14:paraId="11AA81A0" w14:textId="77777777" w:rsidR="009371EE" w:rsidRPr="0044286B" w:rsidRDefault="009371EE" w:rsidP="00707A63">
            <w:pPr>
              <w:spacing w:line="140" w:lineRule="exact"/>
              <w:rPr>
                <w:rFonts w:cstheme="minorHAnsi"/>
                <w:i/>
                <w:iCs/>
                <w:color w:val="000000"/>
                <w:sz w:val="16"/>
                <w:szCs w:val="16"/>
                <w:lang w:eastAsia="en-GB"/>
              </w:rPr>
            </w:pPr>
            <w:r w:rsidRPr="0044286B">
              <w:rPr>
                <w:rFonts w:cstheme="minorHAnsi"/>
                <w:i/>
                <w:iCs/>
                <w:color w:val="000000"/>
                <w:sz w:val="16"/>
                <w:szCs w:val="16"/>
                <w:lang w:eastAsia="en-GB"/>
              </w:rPr>
              <w:t> </w:t>
            </w:r>
          </w:p>
        </w:tc>
        <w:tc>
          <w:tcPr>
            <w:tcW w:w="1141" w:type="dxa"/>
            <w:tcBorders>
              <w:top w:val="single" w:sz="4" w:space="0" w:color="auto"/>
              <w:left w:val="nil"/>
              <w:bottom w:val="single" w:sz="4" w:space="0" w:color="auto"/>
              <w:right w:val="nil"/>
            </w:tcBorders>
            <w:shd w:val="clear" w:color="000000" w:fill="FFFFFF"/>
            <w:vAlign w:val="center"/>
            <w:hideMark/>
          </w:tcPr>
          <w:p w14:paraId="553B9670" w14:textId="77777777" w:rsidR="009371EE" w:rsidRPr="0044286B" w:rsidRDefault="009371EE" w:rsidP="00707A63">
            <w:pPr>
              <w:spacing w:line="140" w:lineRule="exact"/>
              <w:rPr>
                <w:rFonts w:cstheme="minorHAnsi"/>
                <w:i/>
                <w:iCs/>
                <w:color w:val="000000"/>
                <w:sz w:val="16"/>
                <w:szCs w:val="16"/>
                <w:lang w:eastAsia="en-GB"/>
              </w:rPr>
            </w:pPr>
            <w:r w:rsidRPr="0044286B">
              <w:rPr>
                <w:rFonts w:cstheme="minorHAnsi"/>
                <w:i/>
                <w:iCs/>
                <w:color w:val="000000"/>
                <w:sz w:val="16"/>
                <w:szCs w:val="16"/>
                <w:lang w:eastAsia="en-GB"/>
              </w:rPr>
              <w:t> </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14:paraId="6A07332E" w14:textId="77777777" w:rsidR="009371EE" w:rsidRPr="0044286B" w:rsidRDefault="009371EE" w:rsidP="00707A63">
            <w:pPr>
              <w:spacing w:line="140" w:lineRule="exact"/>
              <w:rPr>
                <w:rFonts w:cstheme="minorHAnsi"/>
                <w:i/>
                <w:iCs/>
                <w:color w:val="000000"/>
                <w:sz w:val="16"/>
                <w:szCs w:val="16"/>
                <w:lang w:eastAsia="en-GB"/>
              </w:rPr>
            </w:pPr>
            <w:r w:rsidRPr="0044286B">
              <w:rPr>
                <w:rFonts w:cstheme="minorHAnsi"/>
                <w:i/>
                <w:iCs/>
                <w:color w:val="000000"/>
                <w:sz w:val="16"/>
                <w:szCs w:val="16"/>
                <w:lang w:eastAsia="en-GB"/>
              </w:rPr>
              <w:t> </w:t>
            </w:r>
          </w:p>
        </w:tc>
      </w:tr>
    </w:tbl>
    <w:p w14:paraId="02A6C0A6" w14:textId="77777777" w:rsidR="009371EE" w:rsidRPr="0044286B" w:rsidRDefault="009371EE" w:rsidP="009371EE">
      <w:pPr>
        <w:spacing w:line="140" w:lineRule="exact"/>
        <w:rPr>
          <w:rFonts w:cstheme="minorHAnsi"/>
          <w:sz w:val="16"/>
          <w:szCs w:val="16"/>
        </w:rPr>
      </w:pPr>
    </w:p>
    <w:p w14:paraId="61AE6AF6" w14:textId="544983AC" w:rsidR="009371EE" w:rsidRPr="009C4969" w:rsidRDefault="009371EE" w:rsidP="00E5051A">
      <w:pPr>
        <w:pStyle w:val="EndNoteBibliography"/>
        <w:spacing w:after="0" w:line="360" w:lineRule="auto"/>
        <w:rPr>
          <w:rFonts w:asciiTheme="minorHAnsi" w:hAnsiTheme="minorHAnsi" w:cstheme="minorHAnsi"/>
        </w:rPr>
      </w:pPr>
    </w:p>
    <w:sectPr w:rsidR="009371EE" w:rsidRPr="009C4969" w:rsidSect="005E06A6">
      <w:footerReference w:type="default" r:id="rId18"/>
      <w:type w:val="continuous"/>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D2FE1" w14:textId="77777777" w:rsidR="00081F8B" w:rsidRDefault="00081F8B">
      <w:r>
        <w:separator/>
      </w:r>
    </w:p>
  </w:endnote>
  <w:endnote w:type="continuationSeparator" w:id="0">
    <w:p w14:paraId="2AEC93A1" w14:textId="77777777" w:rsidR="00081F8B" w:rsidRDefault="0008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705446"/>
      <w:docPartObj>
        <w:docPartGallery w:val="Page Numbers (Bottom of Page)"/>
        <w:docPartUnique/>
      </w:docPartObj>
    </w:sdtPr>
    <w:sdtEndPr>
      <w:rPr>
        <w:noProof/>
      </w:rPr>
    </w:sdtEndPr>
    <w:sdtContent>
      <w:p w14:paraId="2CEDB413" w14:textId="77777777" w:rsidR="00F93349" w:rsidRDefault="00F933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21FD31" w14:textId="77777777" w:rsidR="00F93349" w:rsidRDefault="00F93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117176"/>
      <w:docPartObj>
        <w:docPartGallery w:val="Page Numbers (Bottom of Page)"/>
        <w:docPartUnique/>
      </w:docPartObj>
    </w:sdtPr>
    <w:sdtEndPr>
      <w:rPr>
        <w:noProof/>
      </w:rPr>
    </w:sdtEndPr>
    <w:sdtContent>
      <w:p w14:paraId="4B59A156" w14:textId="77777777" w:rsidR="00F93349" w:rsidRDefault="00F933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F482B" w14:textId="77777777" w:rsidR="00F93349" w:rsidRDefault="00F93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958BA" w14:textId="77777777" w:rsidR="00201A11" w:rsidRPr="007B3081" w:rsidRDefault="00201A11" w:rsidP="00707A63">
    <w:pPr>
      <w:pStyle w:val="Footer"/>
      <w:tabs>
        <w:tab w:val="clear" w:pos="4153"/>
        <w:tab w:val="clear" w:pos="8306"/>
        <w:tab w:val="center" w:pos="4253"/>
        <w:tab w:val="right" w:pos="8505"/>
      </w:tabs>
      <w:ind w:right="45"/>
      <w:jc w:val="center"/>
      <w:rPr>
        <w:rFonts w:cs="Arial"/>
        <w:sz w:val="18"/>
        <w:szCs w:val="18"/>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8</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48DFA" w14:textId="77777777" w:rsidR="00081F8B" w:rsidRDefault="00081F8B">
      <w:r>
        <w:separator/>
      </w:r>
    </w:p>
  </w:footnote>
  <w:footnote w:type="continuationSeparator" w:id="0">
    <w:p w14:paraId="52459838" w14:textId="77777777" w:rsidR="00081F8B" w:rsidRDefault="00081F8B">
      <w:r>
        <w:continuationSeparator/>
      </w:r>
    </w:p>
  </w:footnote>
  <w:footnote w:id="1">
    <w:p w14:paraId="19F20D1D" w14:textId="4547064A" w:rsidR="00201A11" w:rsidRPr="003D099F" w:rsidRDefault="00201A11">
      <w:pPr>
        <w:pStyle w:val="FootnoteText"/>
      </w:pPr>
      <w:r w:rsidRPr="003D099F">
        <w:rPr>
          <w:rStyle w:val="FootnoteReference"/>
        </w:rPr>
        <w:footnoteRef/>
      </w:r>
      <w:r w:rsidRPr="003D099F">
        <w:t xml:space="preserve"> Pregnancy losses</w:t>
      </w:r>
      <w:r w:rsidRPr="009C4969">
        <w:t xml:space="preserve"> (miscarriages</w:t>
      </w:r>
      <w:r w:rsidR="00A5221A">
        <w:t>/spontaneous abortions</w:t>
      </w:r>
      <w:r w:rsidRPr="009C4969">
        <w:t xml:space="preserve">) are not included in these </w:t>
      </w:r>
      <w:r>
        <w:t xml:space="preserve">official </w:t>
      </w:r>
      <w:r w:rsidRPr="009C4969">
        <w:t xml:space="preserve">statistics due to the difficulty of recording </w:t>
      </w:r>
      <w:r>
        <w:t>them</w:t>
      </w:r>
      <w:r w:rsidRPr="009C4969">
        <w:t xml:space="preserve">, particularly </w:t>
      </w:r>
      <w:r>
        <w:t>as</w:t>
      </w:r>
      <w:r w:rsidRPr="009C4969">
        <w:t xml:space="preserve"> individual</w:t>
      </w:r>
      <w:r>
        <w:t>s</w:t>
      </w:r>
      <w:r w:rsidRPr="009C4969">
        <w:t xml:space="preserve"> may be unsure if they experienced a pregnancy loss. It is estimated that</w:t>
      </w:r>
      <w:r>
        <w:t>, for all ages,</w:t>
      </w:r>
      <w:r w:rsidRPr="009C4969">
        <w:t xml:space="preserve"> one in five pregnancies end prematurely but only one in eight realise and/or report this as a miscarriage (Tommy’s, 2020). </w:t>
      </w:r>
    </w:p>
  </w:footnote>
  <w:footnote w:id="2">
    <w:p w14:paraId="2318717D" w14:textId="199C32CA" w:rsidR="00201A11" w:rsidRPr="009C4969" w:rsidRDefault="00201A11" w:rsidP="002B793F">
      <w:pPr>
        <w:pStyle w:val="FootnoteText"/>
      </w:pPr>
      <w:r w:rsidRPr="003D099F">
        <w:rPr>
          <w:rStyle w:val="FootnoteReference"/>
        </w:rPr>
        <w:footnoteRef/>
      </w:r>
      <w:r w:rsidRPr="003D099F">
        <w:t xml:space="preserve"> </w:t>
      </w:r>
      <w:r w:rsidRPr="009C4969">
        <w:t>Emergency contraception is not included in these statistics as numbers of conceptions that would have occurred without use cannot be known and, in any case, such use cannot readily be attributed to a specific geographical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FC333" w14:textId="77777777" w:rsidR="00F93349" w:rsidRDefault="00F93349" w:rsidP="00B43859">
    <w:pPr>
      <w:pStyle w:val="Header"/>
      <w:tabs>
        <w:tab w:val="clear" w:pos="4153"/>
        <w:tab w:val="clear" w:pos="8306"/>
        <w:tab w:val="right" w:pos="878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05936"/>
    <w:lvl w:ilvl="0">
      <w:start w:val="1"/>
      <w:numFmt w:val="decimal"/>
      <w:pStyle w:val="ListNumber5"/>
      <w:lvlText w:val="%1."/>
      <w:lvlJc w:val="left"/>
      <w:pPr>
        <w:tabs>
          <w:tab w:val="num" w:pos="3052"/>
        </w:tabs>
        <w:ind w:left="305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0E5496"/>
    <w:multiLevelType w:val="hybridMultilevel"/>
    <w:tmpl w:val="9C9EEEE6"/>
    <w:lvl w:ilvl="0" w:tplc="B382F5C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323D4"/>
    <w:multiLevelType w:val="hybridMultilevel"/>
    <w:tmpl w:val="820EE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5138AF"/>
    <w:multiLevelType w:val="hybridMultilevel"/>
    <w:tmpl w:val="81541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F0023"/>
    <w:multiLevelType w:val="multilevel"/>
    <w:tmpl w:val="F968B9D6"/>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5" w15:restartNumberingAfterBreak="0">
    <w:nsid w:val="56A665C6"/>
    <w:multiLevelType w:val="multilevel"/>
    <w:tmpl w:val="3C0A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813C9E"/>
    <w:multiLevelType w:val="hybridMultilevel"/>
    <w:tmpl w:val="A1BC4E56"/>
    <w:lvl w:ilvl="0" w:tplc="9506A60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16"/>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_tradnl" w:vendorID="64" w:dllVersion="6" w:nlCheck="1" w:checkStyle="0"/>
  <w:activeWritingStyle w:appName="MSWord" w:lang="en-GB" w:vendorID="64" w:dllVersion="6" w:nlCheck="1" w:checkStyle="1"/>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567"/>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0szQzNjIFQkNjSyUdpeDU4uLM/DyQAkPzWgDTYqRtLQAAAA=="/>
    <w:docVar w:name="EN.InstantFormat" w:val="&lt;ENInstantFormat&gt;&lt;Enabled&gt;1&lt;/Enabled&gt;&lt;ScanUnformatted&gt;1&lt;/ScanUnformatted&gt;&lt;ScanChanges&gt;1&lt;/ScanChanges&gt;&lt;Suspended&gt;1&lt;/Suspended&gt;&lt;/ENInstantFormat&gt;"/>
    <w:docVar w:name="EN.Layout" w:val="&lt;ENLayout&gt;&lt;Style&gt;J Adolescent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D07CEB"/>
    <w:rsid w:val="00001121"/>
    <w:rsid w:val="00002BE0"/>
    <w:rsid w:val="00002D66"/>
    <w:rsid w:val="00002DB7"/>
    <w:rsid w:val="00004D5C"/>
    <w:rsid w:val="00004FC3"/>
    <w:rsid w:val="0000504B"/>
    <w:rsid w:val="00005168"/>
    <w:rsid w:val="00013318"/>
    <w:rsid w:val="00014BBF"/>
    <w:rsid w:val="00015DE9"/>
    <w:rsid w:val="00017E7D"/>
    <w:rsid w:val="00020789"/>
    <w:rsid w:val="00020F25"/>
    <w:rsid w:val="00021EF0"/>
    <w:rsid w:val="000230A2"/>
    <w:rsid w:val="000240EA"/>
    <w:rsid w:val="00024198"/>
    <w:rsid w:val="0002545A"/>
    <w:rsid w:val="0002648C"/>
    <w:rsid w:val="00026A45"/>
    <w:rsid w:val="000273CD"/>
    <w:rsid w:val="00030702"/>
    <w:rsid w:val="0003255D"/>
    <w:rsid w:val="0003390B"/>
    <w:rsid w:val="0003596D"/>
    <w:rsid w:val="000360D3"/>
    <w:rsid w:val="00036D5E"/>
    <w:rsid w:val="0003798C"/>
    <w:rsid w:val="00037BFA"/>
    <w:rsid w:val="00037D88"/>
    <w:rsid w:val="00041062"/>
    <w:rsid w:val="0004113B"/>
    <w:rsid w:val="00042797"/>
    <w:rsid w:val="00042D9A"/>
    <w:rsid w:val="00044242"/>
    <w:rsid w:val="0004447F"/>
    <w:rsid w:val="00044846"/>
    <w:rsid w:val="000454D0"/>
    <w:rsid w:val="000464C6"/>
    <w:rsid w:val="00046A7D"/>
    <w:rsid w:val="00047DED"/>
    <w:rsid w:val="00051165"/>
    <w:rsid w:val="0005130D"/>
    <w:rsid w:val="00051671"/>
    <w:rsid w:val="0005294E"/>
    <w:rsid w:val="00052F45"/>
    <w:rsid w:val="00053F3F"/>
    <w:rsid w:val="000562E9"/>
    <w:rsid w:val="000568BD"/>
    <w:rsid w:val="00056C44"/>
    <w:rsid w:val="000617C5"/>
    <w:rsid w:val="00061C49"/>
    <w:rsid w:val="00062393"/>
    <w:rsid w:val="0006251A"/>
    <w:rsid w:val="00064671"/>
    <w:rsid w:val="00065758"/>
    <w:rsid w:val="0006692B"/>
    <w:rsid w:val="0006711E"/>
    <w:rsid w:val="000673E0"/>
    <w:rsid w:val="00072C36"/>
    <w:rsid w:val="00075435"/>
    <w:rsid w:val="00075AFF"/>
    <w:rsid w:val="00076261"/>
    <w:rsid w:val="00081583"/>
    <w:rsid w:val="00081F8B"/>
    <w:rsid w:val="00083A72"/>
    <w:rsid w:val="000848C6"/>
    <w:rsid w:val="0008556D"/>
    <w:rsid w:val="00085944"/>
    <w:rsid w:val="000862A0"/>
    <w:rsid w:val="000907C0"/>
    <w:rsid w:val="0009190D"/>
    <w:rsid w:val="00094BEC"/>
    <w:rsid w:val="00095AD7"/>
    <w:rsid w:val="00095B53"/>
    <w:rsid w:val="00097BD0"/>
    <w:rsid w:val="000A0CBD"/>
    <w:rsid w:val="000A156F"/>
    <w:rsid w:val="000A1781"/>
    <w:rsid w:val="000A197B"/>
    <w:rsid w:val="000A21DF"/>
    <w:rsid w:val="000A2D1A"/>
    <w:rsid w:val="000A5221"/>
    <w:rsid w:val="000A7138"/>
    <w:rsid w:val="000B06E5"/>
    <w:rsid w:val="000B0C4E"/>
    <w:rsid w:val="000B4516"/>
    <w:rsid w:val="000B66C3"/>
    <w:rsid w:val="000B7193"/>
    <w:rsid w:val="000B7EAE"/>
    <w:rsid w:val="000C04A1"/>
    <w:rsid w:val="000C1587"/>
    <w:rsid w:val="000C1AD0"/>
    <w:rsid w:val="000C3BC3"/>
    <w:rsid w:val="000C472A"/>
    <w:rsid w:val="000C4BC1"/>
    <w:rsid w:val="000C4C2D"/>
    <w:rsid w:val="000C4C4C"/>
    <w:rsid w:val="000D0F61"/>
    <w:rsid w:val="000D1194"/>
    <w:rsid w:val="000D19D7"/>
    <w:rsid w:val="000D1E2C"/>
    <w:rsid w:val="000D2744"/>
    <w:rsid w:val="000D36E0"/>
    <w:rsid w:val="000D4D6A"/>
    <w:rsid w:val="000D564B"/>
    <w:rsid w:val="000E012C"/>
    <w:rsid w:val="000E086C"/>
    <w:rsid w:val="000E108A"/>
    <w:rsid w:val="000E2BE6"/>
    <w:rsid w:val="000E35FA"/>
    <w:rsid w:val="000E36A4"/>
    <w:rsid w:val="000E36B0"/>
    <w:rsid w:val="000E3F33"/>
    <w:rsid w:val="000E4F24"/>
    <w:rsid w:val="000E57CD"/>
    <w:rsid w:val="000E65D8"/>
    <w:rsid w:val="000E711F"/>
    <w:rsid w:val="000E730A"/>
    <w:rsid w:val="000E759D"/>
    <w:rsid w:val="000F06A5"/>
    <w:rsid w:val="000F07A2"/>
    <w:rsid w:val="000F1EF8"/>
    <w:rsid w:val="000F2ACC"/>
    <w:rsid w:val="000F3A1C"/>
    <w:rsid w:val="000F3CB6"/>
    <w:rsid w:val="000F64AB"/>
    <w:rsid w:val="000F7161"/>
    <w:rsid w:val="000F73DD"/>
    <w:rsid w:val="00101BAE"/>
    <w:rsid w:val="00102D5C"/>
    <w:rsid w:val="00104419"/>
    <w:rsid w:val="00105514"/>
    <w:rsid w:val="00106279"/>
    <w:rsid w:val="00107FB9"/>
    <w:rsid w:val="001104E7"/>
    <w:rsid w:val="00110C84"/>
    <w:rsid w:val="00112CC8"/>
    <w:rsid w:val="0011313F"/>
    <w:rsid w:val="00113FDA"/>
    <w:rsid w:val="00115D6B"/>
    <w:rsid w:val="00117175"/>
    <w:rsid w:val="00117218"/>
    <w:rsid w:val="001202DD"/>
    <w:rsid w:val="00120488"/>
    <w:rsid w:val="001215BC"/>
    <w:rsid w:val="001216BA"/>
    <w:rsid w:val="00121C08"/>
    <w:rsid w:val="00122160"/>
    <w:rsid w:val="00122A14"/>
    <w:rsid w:val="00124DB4"/>
    <w:rsid w:val="0012647F"/>
    <w:rsid w:val="001272DC"/>
    <w:rsid w:val="0013233D"/>
    <w:rsid w:val="0013277E"/>
    <w:rsid w:val="001349DA"/>
    <w:rsid w:val="00135854"/>
    <w:rsid w:val="00136C5D"/>
    <w:rsid w:val="00136F1A"/>
    <w:rsid w:val="00141D6B"/>
    <w:rsid w:val="001421DC"/>
    <w:rsid w:val="00142777"/>
    <w:rsid w:val="001433D9"/>
    <w:rsid w:val="0014445C"/>
    <w:rsid w:val="00144BC4"/>
    <w:rsid w:val="001451A1"/>
    <w:rsid w:val="001454DC"/>
    <w:rsid w:val="0015051E"/>
    <w:rsid w:val="00150F80"/>
    <w:rsid w:val="00151077"/>
    <w:rsid w:val="001511CA"/>
    <w:rsid w:val="00151EDD"/>
    <w:rsid w:val="0015223B"/>
    <w:rsid w:val="00153B20"/>
    <w:rsid w:val="00154FA5"/>
    <w:rsid w:val="00156233"/>
    <w:rsid w:val="00156F48"/>
    <w:rsid w:val="001575EA"/>
    <w:rsid w:val="0016124C"/>
    <w:rsid w:val="001629B1"/>
    <w:rsid w:val="00163D23"/>
    <w:rsid w:val="001641F3"/>
    <w:rsid w:val="001643CC"/>
    <w:rsid w:val="0016451D"/>
    <w:rsid w:val="001663C9"/>
    <w:rsid w:val="00166B12"/>
    <w:rsid w:val="0016785B"/>
    <w:rsid w:val="0017007F"/>
    <w:rsid w:val="001702C8"/>
    <w:rsid w:val="001710C0"/>
    <w:rsid w:val="00171C0F"/>
    <w:rsid w:val="001728E5"/>
    <w:rsid w:val="00173064"/>
    <w:rsid w:val="0017316E"/>
    <w:rsid w:val="00174712"/>
    <w:rsid w:val="001767C9"/>
    <w:rsid w:val="00176A5A"/>
    <w:rsid w:val="00176B47"/>
    <w:rsid w:val="00177E3E"/>
    <w:rsid w:val="001800D8"/>
    <w:rsid w:val="001808BF"/>
    <w:rsid w:val="00181484"/>
    <w:rsid w:val="00181C60"/>
    <w:rsid w:val="00181E3C"/>
    <w:rsid w:val="00183446"/>
    <w:rsid w:val="00183AFF"/>
    <w:rsid w:val="00186375"/>
    <w:rsid w:val="001869E4"/>
    <w:rsid w:val="00190B65"/>
    <w:rsid w:val="00191A1D"/>
    <w:rsid w:val="00191F39"/>
    <w:rsid w:val="00192EBC"/>
    <w:rsid w:val="0019360C"/>
    <w:rsid w:val="00195016"/>
    <w:rsid w:val="00195810"/>
    <w:rsid w:val="00197BA7"/>
    <w:rsid w:val="00197D99"/>
    <w:rsid w:val="00197E62"/>
    <w:rsid w:val="001A372D"/>
    <w:rsid w:val="001A3732"/>
    <w:rsid w:val="001A3A9A"/>
    <w:rsid w:val="001A3DAE"/>
    <w:rsid w:val="001A619C"/>
    <w:rsid w:val="001B0CD2"/>
    <w:rsid w:val="001B3443"/>
    <w:rsid w:val="001B545F"/>
    <w:rsid w:val="001B67A0"/>
    <w:rsid w:val="001C0DF1"/>
    <w:rsid w:val="001C113E"/>
    <w:rsid w:val="001C19E4"/>
    <w:rsid w:val="001C1B2A"/>
    <w:rsid w:val="001C2DF6"/>
    <w:rsid w:val="001C3CDF"/>
    <w:rsid w:val="001C44C4"/>
    <w:rsid w:val="001D0246"/>
    <w:rsid w:val="001D0BCB"/>
    <w:rsid w:val="001D0BF6"/>
    <w:rsid w:val="001D0C86"/>
    <w:rsid w:val="001D20AD"/>
    <w:rsid w:val="001D30C0"/>
    <w:rsid w:val="001D3E80"/>
    <w:rsid w:val="001D3EB1"/>
    <w:rsid w:val="001D461E"/>
    <w:rsid w:val="001D4EA6"/>
    <w:rsid w:val="001D5073"/>
    <w:rsid w:val="001D6F2F"/>
    <w:rsid w:val="001E34ED"/>
    <w:rsid w:val="001E5C5A"/>
    <w:rsid w:val="001F2F3D"/>
    <w:rsid w:val="001F3242"/>
    <w:rsid w:val="001F427D"/>
    <w:rsid w:val="001F4A58"/>
    <w:rsid w:val="001F5DA4"/>
    <w:rsid w:val="001F6F64"/>
    <w:rsid w:val="001F7F3F"/>
    <w:rsid w:val="00200EB3"/>
    <w:rsid w:val="00201A11"/>
    <w:rsid w:val="002034AC"/>
    <w:rsid w:val="0020551F"/>
    <w:rsid w:val="0020577A"/>
    <w:rsid w:val="00205E69"/>
    <w:rsid w:val="002070D4"/>
    <w:rsid w:val="00207A41"/>
    <w:rsid w:val="002117EF"/>
    <w:rsid w:val="00211854"/>
    <w:rsid w:val="0021230B"/>
    <w:rsid w:val="00212A2F"/>
    <w:rsid w:val="00212BFC"/>
    <w:rsid w:val="002141BA"/>
    <w:rsid w:val="00215096"/>
    <w:rsid w:val="002151B1"/>
    <w:rsid w:val="00216068"/>
    <w:rsid w:val="002168C3"/>
    <w:rsid w:val="00217C36"/>
    <w:rsid w:val="00220030"/>
    <w:rsid w:val="002222B5"/>
    <w:rsid w:val="00224088"/>
    <w:rsid w:val="00226719"/>
    <w:rsid w:val="002273B4"/>
    <w:rsid w:val="00231FE2"/>
    <w:rsid w:val="00232557"/>
    <w:rsid w:val="00234066"/>
    <w:rsid w:val="00236024"/>
    <w:rsid w:val="0023691D"/>
    <w:rsid w:val="00236E3E"/>
    <w:rsid w:val="002376CB"/>
    <w:rsid w:val="0023784F"/>
    <w:rsid w:val="00240109"/>
    <w:rsid w:val="0024172F"/>
    <w:rsid w:val="00241E41"/>
    <w:rsid w:val="00242704"/>
    <w:rsid w:val="00246D89"/>
    <w:rsid w:val="00247B21"/>
    <w:rsid w:val="00250653"/>
    <w:rsid w:val="00252266"/>
    <w:rsid w:val="00252D02"/>
    <w:rsid w:val="0026254D"/>
    <w:rsid w:val="00263364"/>
    <w:rsid w:val="00263599"/>
    <w:rsid w:val="00263D50"/>
    <w:rsid w:val="00263F39"/>
    <w:rsid w:val="00264A1F"/>
    <w:rsid w:val="00264B6A"/>
    <w:rsid w:val="00264E41"/>
    <w:rsid w:val="00264F26"/>
    <w:rsid w:val="00265A2D"/>
    <w:rsid w:val="00265A74"/>
    <w:rsid w:val="0026630D"/>
    <w:rsid w:val="002676EC"/>
    <w:rsid w:val="00267AB1"/>
    <w:rsid w:val="00267D1D"/>
    <w:rsid w:val="00267F8E"/>
    <w:rsid w:val="00270B1A"/>
    <w:rsid w:val="0027126F"/>
    <w:rsid w:val="002720C9"/>
    <w:rsid w:val="002720EF"/>
    <w:rsid w:val="00274125"/>
    <w:rsid w:val="00274AB9"/>
    <w:rsid w:val="00274C81"/>
    <w:rsid w:val="002778B6"/>
    <w:rsid w:val="00282529"/>
    <w:rsid w:val="00283F7B"/>
    <w:rsid w:val="002848C2"/>
    <w:rsid w:val="002859BF"/>
    <w:rsid w:val="00286D15"/>
    <w:rsid w:val="002870EB"/>
    <w:rsid w:val="00290C34"/>
    <w:rsid w:val="00290D75"/>
    <w:rsid w:val="002911A7"/>
    <w:rsid w:val="002923FD"/>
    <w:rsid w:val="0029279D"/>
    <w:rsid w:val="00292F33"/>
    <w:rsid w:val="00292F9C"/>
    <w:rsid w:val="00293554"/>
    <w:rsid w:val="002939DD"/>
    <w:rsid w:val="0029429B"/>
    <w:rsid w:val="00294FA9"/>
    <w:rsid w:val="002A4167"/>
    <w:rsid w:val="002A4223"/>
    <w:rsid w:val="002A48FA"/>
    <w:rsid w:val="002A4CD3"/>
    <w:rsid w:val="002A60FB"/>
    <w:rsid w:val="002B06AD"/>
    <w:rsid w:val="002B0B46"/>
    <w:rsid w:val="002B0B54"/>
    <w:rsid w:val="002B1554"/>
    <w:rsid w:val="002B1D52"/>
    <w:rsid w:val="002B2037"/>
    <w:rsid w:val="002B2F75"/>
    <w:rsid w:val="002B345E"/>
    <w:rsid w:val="002B37FD"/>
    <w:rsid w:val="002B3F09"/>
    <w:rsid w:val="002B494C"/>
    <w:rsid w:val="002B513D"/>
    <w:rsid w:val="002B72D2"/>
    <w:rsid w:val="002B793F"/>
    <w:rsid w:val="002C020C"/>
    <w:rsid w:val="002C2116"/>
    <w:rsid w:val="002C2FCE"/>
    <w:rsid w:val="002C359D"/>
    <w:rsid w:val="002C47C0"/>
    <w:rsid w:val="002C6CBB"/>
    <w:rsid w:val="002C77CA"/>
    <w:rsid w:val="002D0842"/>
    <w:rsid w:val="002D0EA5"/>
    <w:rsid w:val="002D180E"/>
    <w:rsid w:val="002D1F2F"/>
    <w:rsid w:val="002D27D1"/>
    <w:rsid w:val="002D2E2A"/>
    <w:rsid w:val="002D3A9E"/>
    <w:rsid w:val="002D59DF"/>
    <w:rsid w:val="002D6B97"/>
    <w:rsid w:val="002D730C"/>
    <w:rsid w:val="002E2B0C"/>
    <w:rsid w:val="002E2E78"/>
    <w:rsid w:val="002E4385"/>
    <w:rsid w:val="002E52D5"/>
    <w:rsid w:val="002E5923"/>
    <w:rsid w:val="002E6BB0"/>
    <w:rsid w:val="002F0533"/>
    <w:rsid w:val="002F189D"/>
    <w:rsid w:val="002F4C01"/>
    <w:rsid w:val="002F5B15"/>
    <w:rsid w:val="002F64ED"/>
    <w:rsid w:val="0030024C"/>
    <w:rsid w:val="00300611"/>
    <w:rsid w:val="003008CC"/>
    <w:rsid w:val="00305035"/>
    <w:rsid w:val="00305E40"/>
    <w:rsid w:val="003061B9"/>
    <w:rsid w:val="003079FC"/>
    <w:rsid w:val="00310132"/>
    <w:rsid w:val="0031046A"/>
    <w:rsid w:val="00310737"/>
    <w:rsid w:val="00311A92"/>
    <w:rsid w:val="003128AD"/>
    <w:rsid w:val="00312A86"/>
    <w:rsid w:val="00314B2D"/>
    <w:rsid w:val="00315A25"/>
    <w:rsid w:val="00316349"/>
    <w:rsid w:val="003169FA"/>
    <w:rsid w:val="00316AB0"/>
    <w:rsid w:val="003206E2"/>
    <w:rsid w:val="003214A5"/>
    <w:rsid w:val="003220CF"/>
    <w:rsid w:val="003221CF"/>
    <w:rsid w:val="0032221C"/>
    <w:rsid w:val="00322DF4"/>
    <w:rsid w:val="003231E8"/>
    <w:rsid w:val="0032393D"/>
    <w:rsid w:val="003262A9"/>
    <w:rsid w:val="003304B1"/>
    <w:rsid w:val="00330A89"/>
    <w:rsid w:val="00331039"/>
    <w:rsid w:val="00331A1E"/>
    <w:rsid w:val="00332D37"/>
    <w:rsid w:val="00336381"/>
    <w:rsid w:val="003407A4"/>
    <w:rsid w:val="00343AD1"/>
    <w:rsid w:val="0034492D"/>
    <w:rsid w:val="0034727E"/>
    <w:rsid w:val="003503EF"/>
    <w:rsid w:val="00352058"/>
    <w:rsid w:val="0035371F"/>
    <w:rsid w:val="00354A58"/>
    <w:rsid w:val="003550B4"/>
    <w:rsid w:val="003616B0"/>
    <w:rsid w:val="00364E7C"/>
    <w:rsid w:val="00364F8D"/>
    <w:rsid w:val="00365872"/>
    <w:rsid w:val="00366E58"/>
    <w:rsid w:val="00367477"/>
    <w:rsid w:val="00371717"/>
    <w:rsid w:val="00371D50"/>
    <w:rsid w:val="0037458F"/>
    <w:rsid w:val="0037506E"/>
    <w:rsid w:val="00380A9D"/>
    <w:rsid w:val="003816C0"/>
    <w:rsid w:val="00381871"/>
    <w:rsid w:val="00382985"/>
    <w:rsid w:val="00382A9C"/>
    <w:rsid w:val="00383036"/>
    <w:rsid w:val="003836F3"/>
    <w:rsid w:val="00384413"/>
    <w:rsid w:val="00384457"/>
    <w:rsid w:val="00385F3B"/>
    <w:rsid w:val="00386562"/>
    <w:rsid w:val="00391621"/>
    <w:rsid w:val="003922D4"/>
    <w:rsid w:val="0039288F"/>
    <w:rsid w:val="003934A0"/>
    <w:rsid w:val="00393830"/>
    <w:rsid w:val="00393C5A"/>
    <w:rsid w:val="0039639A"/>
    <w:rsid w:val="00396B44"/>
    <w:rsid w:val="00396E8E"/>
    <w:rsid w:val="003A062D"/>
    <w:rsid w:val="003A0954"/>
    <w:rsid w:val="003A169B"/>
    <w:rsid w:val="003A16CB"/>
    <w:rsid w:val="003A174E"/>
    <w:rsid w:val="003A18BF"/>
    <w:rsid w:val="003A18D1"/>
    <w:rsid w:val="003A1D36"/>
    <w:rsid w:val="003A6987"/>
    <w:rsid w:val="003A72E3"/>
    <w:rsid w:val="003B043C"/>
    <w:rsid w:val="003B1753"/>
    <w:rsid w:val="003B17BC"/>
    <w:rsid w:val="003B367C"/>
    <w:rsid w:val="003B3E77"/>
    <w:rsid w:val="003B4A9B"/>
    <w:rsid w:val="003B52FC"/>
    <w:rsid w:val="003C24F6"/>
    <w:rsid w:val="003C4745"/>
    <w:rsid w:val="003C49FA"/>
    <w:rsid w:val="003C582F"/>
    <w:rsid w:val="003C6711"/>
    <w:rsid w:val="003C6C86"/>
    <w:rsid w:val="003C7453"/>
    <w:rsid w:val="003D0627"/>
    <w:rsid w:val="003D099F"/>
    <w:rsid w:val="003D0E97"/>
    <w:rsid w:val="003D25A0"/>
    <w:rsid w:val="003D29D8"/>
    <w:rsid w:val="003D31F3"/>
    <w:rsid w:val="003D3550"/>
    <w:rsid w:val="003D573D"/>
    <w:rsid w:val="003D5D06"/>
    <w:rsid w:val="003D5D7E"/>
    <w:rsid w:val="003D605B"/>
    <w:rsid w:val="003D6F00"/>
    <w:rsid w:val="003D7BB4"/>
    <w:rsid w:val="003E0009"/>
    <w:rsid w:val="003E110B"/>
    <w:rsid w:val="003E5872"/>
    <w:rsid w:val="003E59DB"/>
    <w:rsid w:val="003E710A"/>
    <w:rsid w:val="003E7A00"/>
    <w:rsid w:val="003F11CD"/>
    <w:rsid w:val="003F2636"/>
    <w:rsid w:val="003F2D10"/>
    <w:rsid w:val="003F3AB2"/>
    <w:rsid w:val="003F3EDE"/>
    <w:rsid w:val="003F65FE"/>
    <w:rsid w:val="003F7BC1"/>
    <w:rsid w:val="0040155B"/>
    <w:rsid w:val="00402321"/>
    <w:rsid w:val="00404C53"/>
    <w:rsid w:val="00404EA3"/>
    <w:rsid w:val="0040546D"/>
    <w:rsid w:val="00405591"/>
    <w:rsid w:val="00412221"/>
    <w:rsid w:val="004126A5"/>
    <w:rsid w:val="00412D58"/>
    <w:rsid w:val="00413357"/>
    <w:rsid w:val="00413DA9"/>
    <w:rsid w:val="00414F8D"/>
    <w:rsid w:val="00417530"/>
    <w:rsid w:val="0042194D"/>
    <w:rsid w:val="004223B3"/>
    <w:rsid w:val="00423915"/>
    <w:rsid w:val="0042530A"/>
    <w:rsid w:val="00425784"/>
    <w:rsid w:val="00427174"/>
    <w:rsid w:val="00427815"/>
    <w:rsid w:val="0043038C"/>
    <w:rsid w:val="00430C59"/>
    <w:rsid w:val="00430DCF"/>
    <w:rsid w:val="0043136C"/>
    <w:rsid w:val="00432FC7"/>
    <w:rsid w:val="004363FC"/>
    <w:rsid w:val="00440415"/>
    <w:rsid w:val="00440536"/>
    <w:rsid w:val="004405BA"/>
    <w:rsid w:val="0044286B"/>
    <w:rsid w:val="004446B6"/>
    <w:rsid w:val="0044618E"/>
    <w:rsid w:val="00446E86"/>
    <w:rsid w:val="004474C2"/>
    <w:rsid w:val="004524D1"/>
    <w:rsid w:val="004541AB"/>
    <w:rsid w:val="004547A3"/>
    <w:rsid w:val="00454B6B"/>
    <w:rsid w:val="0045510B"/>
    <w:rsid w:val="00455628"/>
    <w:rsid w:val="004559DF"/>
    <w:rsid w:val="00455F8F"/>
    <w:rsid w:val="004562ED"/>
    <w:rsid w:val="00457B73"/>
    <w:rsid w:val="00461319"/>
    <w:rsid w:val="0046134A"/>
    <w:rsid w:val="00462A6F"/>
    <w:rsid w:val="00462F3C"/>
    <w:rsid w:val="00463172"/>
    <w:rsid w:val="00463B2C"/>
    <w:rsid w:val="004658F6"/>
    <w:rsid w:val="00465FE2"/>
    <w:rsid w:val="004667CE"/>
    <w:rsid w:val="0046713B"/>
    <w:rsid w:val="00467441"/>
    <w:rsid w:val="00467A73"/>
    <w:rsid w:val="004708C6"/>
    <w:rsid w:val="004719D0"/>
    <w:rsid w:val="00471BF6"/>
    <w:rsid w:val="004720BC"/>
    <w:rsid w:val="00473915"/>
    <w:rsid w:val="00473E08"/>
    <w:rsid w:val="004765E4"/>
    <w:rsid w:val="00476FDC"/>
    <w:rsid w:val="004772CD"/>
    <w:rsid w:val="00477B80"/>
    <w:rsid w:val="004805C2"/>
    <w:rsid w:val="004814D1"/>
    <w:rsid w:val="00482DD9"/>
    <w:rsid w:val="004845D2"/>
    <w:rsid w:val="0049056D"/>
    <w:rsid w:val="00491214"/>
    <w:rsid w:val="004916E4"/>
    <w:rsid w:val="00492CA3"/>
    <w:rsid w:val="004933D3"/>
    <w:rsid w:val="00497630"/>
    <w:rsid w:val="004A09D4"/>
    <w:rsid w:val="004A2BE1"/>
    <w:rsid w:val="004A4DCE"/>
    <w:rsid w:val="004A5AA8"/>
    <w:rsid w:val="004A5C9D"/>
    <w:rsid w:val="004A5D91"/>
    <w:rsid w:val="004A5FA0"/>
    <w:rsid w:val="004B06DC"/>
    <w:rsid w:val="004B1B2E"/>
    <w:rsid w:val="004B1ED3"/>
    <w:rsid w:val="004B548B"/>
    <w:rsid w:val="004B594A"/>
    <w:rsid w:val="004B662C"/>
    <w:rsid w:val="004B6C3C"/>
    <w:rsid w:val="004B7829"/>
    <w:rsid w:val="004C0F20"/>
    <w:rsid w:val="004C2666"/>
    <w:rsid w:val="004C32C1"/>
    <w:rsid w:val="004C32DB"/>
    <w:rsid w:val="004C48E1"/>
    <w:rsid w:val="004C5341"/>
    <w:rsid w:val="004C6082"/>
    <w:rsid w:val="004C663F"/>
    <w:rsid w:val="004C6954"/>
    <w:rsid w:val="004C69F2"/>
    <w:rsid w:val="004C6AAA"/>
    <w:rsid w:val="004D0536"/>
    <w:rsid w:val="004D0FF9"/>
    <w:rsid w:val="004D386B"/>
    <w:rsid w:val="004D3F7F"/>
    <w:rsid w:val="004D4150"/>
    <w:rsid w:val="004D45E8"/>
    <w:rsid w:val="004D5610"/>
    <w:rsid w:val="004D5C5A"/>
    <w:rsid w:val="004D5FE0"/>
    <w:rsid w:val="004D6FCE"/>
    <w:rsid w:val="004E1544"/>
    <w:rsid w:val="004E23B7"/>
    <w:rsid w:val="004E2B55"/>
    <w:rsid w:val="004E2D5B"/>
    <w:rsid w:val="004E35FB"/>
    <w:rsid w:val="004E7CDA"/>
    <w:rsid w:val="004F0A9C"/>
    <w:rsid w:val="004F11FD"/>
    <w:rsid w:val="004F2BFF"/>
    <w:rsid w:val="004F4871"/>
    <w:rsid w:val="004F49B7"/>
    <w:rsid w:val="004F6867"/>
    <w:rsid w:val="00505014"/>
    <w:rsid w:val="00507C7F"/>
    <w:rsid w:val="00507D58"/>
    <w:rsid w:val="00510624"/>
    <w:rsid w:val="005112F7"/>
    <w:rsid w:val="00511AAD"/>
    <w:rsid w:val="00511B69"/>
    <w:rsid w:val="0051201D"/>
    <w:rsid w:val="00512C1A"/>
    <w:rsid w:val="00514DF7"/>
    <w:rsid w:val="005151C4"/>
    <w:rsid w:val="00516328"/>
    <w:rsid w:val="0051651C"/>
    <w:rsid w:val="00516BBF"/>
    <w:rsid w:val="00516BC5"/>
    <w:rsid w:val="00517029"/>
    <w:rsid w:val="005175DE"/>
    <w:rsid w:val="00517DA3"/>
    <w:rsid w:val="0052057A"/>
    <w:rsid w:val="005222D0"/>
    <w:rsid w:val="00522381"/>
    <w:rsid w:val="005243DE"/>
    <w:rsid w:val="00524B73"/>
    <w:rsid w:val="00525D05"/>
    <w:rsid w:val="00526C18"/>
    <w:rsid w:val="00526D6C"/>
    <w:rsid w:val="0052725D"/>
    <w:rsid w:val="00527945"/>
    <w:rsid w:val="00527ED1"/>
    <w:rsid w:val="005320BC"/>
    <w:rsid w:val="00532A42"/>
    <w:rsid w:val="00532C50"/>
    <w:rsid w:val="005337C6"/>
    <w:rsid w:val="00533A9B"/>
    <w:rsid w:val="00533EDC"/>
    <w:rsid w:val="0053484D"/>
    <w:rsid w:val="00534FC5"/>
    <w:rsid w:val="005350AE"/>
    <w:rsid w:val="0053715D"/>
    <w:rsid w:val="00540372"/>
    <w:rsid w:val="005419AC"/>
    <w:rsid w:val="0054328C"/>
    <w:rsid w:val="00546ABC"/>
    <w:rsid w:val="00546AFB"/>
    <w:rsid w:val="00547B90"/>
    <w:rsid w:val="00547D01"/>
    <w:rsid w:val="00547FE0"/>
    <w:rsid w:val="00550D81"/>
    <w:rsid w:val="0055300B"/>
    <w:rsid w:val="00553131"/>
    <w:rsid w:val="0055330C"/>
    <w:rsid w:val="0055415E"/>
    <w:rsid w:val="0055454C"/>
    <w:rsid w:val="00556D04"/>
    <w:rsid w:val="005570B3"/>
    <w:rsid w:val="00557599"/>
    <w:rsid w:val="00557E3C"/>
    <w:rsid w:val="00560ED0"/>
    <w:rsid w:val="00560FEF"/>
    <w:rsid w:val="00561AC4"/>
    <w:rsid w:val="00562A13"/>
    <w:rsid w:val="00564862"/>
    <w:rsid w:val="00564D6D"/>
    <w:rsid w:val="00565484"/>
    <w:rsid w:val="005656FE"/>
    <w:rsid w:val="00565E05"/>
    <w:rsid w:val="00570A9F"/>
    <w:rsid w:val="00570CD9"/>
    <w:rsid w:val="00572006"/>
    <w:rsid w:val="00573860"/>
    <w:rsid w:val="00573E14"/>
    <w:rsid w:val="0057406D"/>
    <w:rsid w:val="0057406F"/>
    <w:rsid w:val="00574402"/>
    <w:rsid w:val="00575A71"/>
    <w:rsid w:val="005773C6"/>
    <w:rsid w:val="00577ABA"/>
    <w:rsid w:val="00580345"/>
    <w:rsid w:val="00580C52"/>
    <w:rsid w:val="0058277D"/>
    <w:rsid w:val="0058355B"/>
    <w:rsid w:val="00583864"/>
    <w:rsid w:val="005851B6"/>
    <w:rsid w:val="00585381"/>
    <w:rsid w:val="00586B97"/>
    <w:rsid w:val="0058716B"/>
    <w:rsid w:val="005879DB"/>
    <w:rsid w:val="005903EE"/>
    <w:rsid w:val="005919D1"/>
    <w:rsid w:val="00592152"/>
    <w:rsid w:val="0059217B"/>
    <w:rsid w:val="00592815"/>
    <w:rsid w:val="005928FD"/>
    <w:rsid w:val="00595788"/>
    <w:rsid w:val="0059628D"/>
    <w:rsid w:val="005964C8"/>
    <w:rsid w:val="00596720"/>
    <w:rsid w:val="005968C5"/>
    <w:rsid w:val="005A0EF1"/>
    <w:rsid w:val="005A1578"/>
    <w:rsid w:val="005A1780"/>
    <w:rsid w:val="005A17CC"/>
    <w:rsid w:val="005A4FB5"/>
    <w:rsid w:val="005A501F"/>
    <w:rsid w:val="005B1E22"/>
    <w:rsid w:val="005B28DD"/>
    <w:rsid w:val="005B3BF3"/>
    <w:rsid w:val="005B55D1"/>
    <w:rsid w:val="005C0AD7"/>
    <w:rsid w:val="005C111A"/>
    <w:rsid w:val="005C2D6B"/>
    <w:rsid w:val="005C32D8"/>
    <w:rsid w:val="005C33B9"/>
    <w:rsid w:val="005C463F"/>
    <w:rsid w:val="005C74FA"/>
    <w:rsid w:val="005C76F5"/>
    <w:rsid w:val="005C7D13"/>
    <w:rsid w:val="005D0094"/>
    <w:rsid w:val="005D0D74"/>
    <w:rsid w:val="005D0EEE"/>
    <w:rsid w:val="005D1163"/>
    <w:rsid w:val="005D2D13"/>
    <w:rsid w:val="005D3F84"/>
    <w:rsid w:val="005D48F1"/>
    <w:rsid w:val="005D68F3"/>
    <w:rsid w:val="005E0080"/>
    <w:rsid w:val="005E06A6"/>
    <w:rsid w:val="005E0CE1"/>
    <w:rsid w:val="005E0FAA"/>
    <w:rsid w:val="005E19FF"/>
    <w:rsid w:val="005E1C50"/>
    <w:rsid w:val="005E2512"/>
    <w:rsid w:val="005E2E3E"/>
    <w:rsid w:val="005E4AF1"/>
    <w:rsid w:val="005F0AA8"/>
    <w:rsid w:val="005F2550"/>
    <w:rsid w:val="005F2E78"/>
    <w:rsid w:val="005F311C"/>
    <w:rsid w:val="005F615D"/>
    <w:rsid w:val="005F65D5"/>
    <w:rsid w:val="005F78F6"/>
    <w:rsid w:val="006040E4"/>
    <w:rsid w:val="0060430D"/>
    <w:rsid w:val="00604C20"/>
    <w:rsid w:val="0060542B"/>
    <w:rsid w:val="00606545"/>
    <w:rsid w:val="00607552"/>
    <w:rsid w:val="0061048D"/>
    <w:rsid w:val="006113BA"/>
    <w:rsid w:val="00612D6E"/>
    <w:rsid w:val="0061399E"/>
    <w:rsid w:val="00613D23"/>
    <w:rsid w:val="0061479D"/>
    <w:rsid w:val="00614F55"/>
    <w:rsid w:val="00615118"/>
    <w:rsid w:val="00615B8D"/>
    <w:rsid w:val="00615EE8"/>
    <w:rsid w:val="00616DAF"/>
    <w:rsid w:val="00617276"/>
    <w:rsid w:val="00617292"/>
    <w:rsid w:val="00617B59"/>
    <w:rsid w:val="00620858"/>
    <w:rsid w:val="0062244B"/>
    <w:rsid w:val="00622A6F"/>
    <w:rsid w:val="00623136"/>
    <w:rsid w:val="00623BB7"/>
    <w:rsid w:val="00624EA4"/>
    <w:rsid w:val="00625A31"/>
    <w:rsid w:val="00626A67"/>
    <w:rsid w:val="00630C37"/>
    <w:rsid w:val="00631A72"/>
    <w:rsid w:val="00634EE1"/>
    <w:rsid w:val="00635312"/>
    <w:rsid w:val="006368DD"/>
    <w:rsid w:val="0063753A"/>
    <w:rsid w:val="00641FFA"/>
    <w:rsid w:val="00644CF2"/>
    <w:rsid w:val="00644F54"/>
    <w:rsid w:val="006507B0"/>
    <w:rsid w:val="006525EE"/>
    <w:rsid w:val="00652737"/>
    <w:rsid w:val="006532EE"/>
    <w:rsid w:val="00654B8C"/>
    <w:rsid w:val="0065559B"/>
    <w:rsid w:val="0065566C"/>
    <w:rsid w:val="00655B6A"/>
    <w:rsid w:val="00655D54"/>
    <w:rsid w:val="00656B0F"/>
    <w:rsid w:val="00662535"/>
    <w:rsid w:val="006632F7"/>
    <w:rsid w:val="00664A9F"/>
    <w:rsid w:val="00664B44"/>
    <w:rsid w:val="00667169"/>
    <w:rsid w:val="00667FE5"/>
    <w:rsid w:val="00670A63"/>
    <w:rsid w:val="006713FE"/>
    <w:rsid w:val="00672DE2"/>
    <w:rsid w:val="00673F46"/>
    <w:rsid w:val="00675985"/>
    <w:rsid w:val="00675A5D"/>
    <w:rsid w:val="00675DEF"/>
    <w:rsid w:val="006805B3"/>
    <w:rsid w:val="00680DF5"/>
    <w:rsid w:val="006820C5"/>
    <w:rsid w:val="00682940"/>
    <w:rsid w:val="006843EE"/>
    <w:rsid w:val="0068571C"/>
    <w:rsid w:val="00686537"/>
    <w:rsid w:val="00686CBA"/>
    <w:rsid w:val="006901B9"/>
    <w:rsid w:val="00691C67"/>
    <w:rsid w:val="0069302D"/>
    <w:rsid w:val="00695C4E"/>
    <w:rsid w:val="00695DE2"/>
    <w:rsid w:val="006A0157"/>
    <w:rsid w:val="006A0A24"/>
    <w:rsid w:val="006A1FA9"/>
    <w:rsid w:val="006A2A52"/>
    <w:rsid w:val="006A36B9"/>
    <w:rsid w:val="006A7AFB"/>
    <w:rsid w:val="006A7FC2"/>
    <w:rsid w:val="006B04F3"/>
    <w:rsid w:val="006B13C1"/>
    <w:rsid w:val="006B23ED"/>
    <w:rsid w:val="006B240C"/>
    <w:rsid w:val="006B2941"/>
    <w:rsid w:val="006B2B02"/>
    <w:rsid w:val="006B3C18"/>
    <w:rsid w:val="006B59D6"/>
    <w:rsid w:val="006B60F9"/>
    <w:rsid w:val="006B7C5D"/>
    <w:rsid w:val="006C06A1"/>
    <w:rsid w:val="006C1D09"/>
    <w:rsid w:val="006C2E6F"/>
    <w:rsid w:val="006C31FE"/>
    <w:rsid w:val="006C33C1"/>
    <w:rsid w:val="006C3E48"/>
    <w:rsid w:val="006C4C13"/>
    <w:rsid w:val="006C6D0A"/>
    <w:rsid w:val="006D2174"/>
    <w:rsid w:val="006D3340"/>
    <w:rsid w:val="006D3DF5"/>
    <w:rsid w:val="006D43C8"/>
    <w:rsid w:val="006D5105"/>
    <w:rsid w:val="006D54E0"/>
    <w:rsid w:val="006D6971"/>
    <w:rsid w:val="006D6FBA"/>
    <w:rsid w:val="006E0F4C"/>
    <w:rsid w:val="006E1897"/>
    <w:rsid w:val="006E1AE5"/>
    <w:rsid w:val="006E216F"/>
    <w:rsid w:val="006E4050"/>
    <w:rsid w:val="006E4846"/>
    <w:rsid w:val="006E4FB0"/>
    <w:rsid w:val="006E58B2"/>
    <w:rsid w:val="006E6323"/>
    <w:rsid w:val="006E7C59"/>
    <w:rsid w:val="006F31F2"/>
    <w:rsid w:val="006F3305"/>
    <w:rsid w:val="006F34DA"/>
    <w:rsid w:val="006F416D"/>
    <w:rsid w:val="006F4197"/>
    <w:rsid w:val="006F6A19"/>
    <w:rsid w:val="0070428B"/>
    <w:rsid w:val="00704471"/>
    <w:rsid w:val="007049D4"/>
    <w:rsid w:val="00704CFD"/>
    <w:rsid w:val="00705CF6"/>
    <w:rsid w:val="00707A63"/>
    <w:rsid w:val="00707ACE"/>
    <w:rsid w:val="0071059C"/>
    <w:rsid w:val="00714173"/>
    <w:rsid w:val="007160DC"/>
    <w:rsid w:val="0071668A"/>
    <w:rsid w:val="00717681"/>
    <w:rsid w:val="00717CDD"/>
    <w:rsid w:val="00717EA6"/>
    <w:rsid w:val="00720A39"/>
    <w:rsid w:val="00721EE9"/>
    <w:rsid w:val="007228BB"/>
    <w:rsid w:val="00723F60"/>
    <w:rsid w:val="00724BAB"/>
    <w:rsid w:val="00724C5C"/>
    <w:rsid w:val="00725056"/>
    <w:rsid w:val="007251DE"/>
    <w:rsid w:val="007259E2"/>
    <w:rsid w:val="0072669B"/>
    <w:rsid w:val="00726F77"/>
    <w:rsid w:val="00726FCF"/>
    <w:rsid w:val="00730829"/>
    <w:rsid w:val="00732775"/>
    <w:rsid w:val="00732A7C"/>
    <w:rsid w:val="00732B96"/>
    <w:rsid w:val="007332AB"/>
    <w:rsid w:val="00733E88"/>
    <w:rsid w:val="00736AB0"/>
    <w:rsid w:val="007400B9"/>
    <w:rsid w:val="00740ADC"/>
    <w:rsid w:val="00740C74"/>
    <w:rsid w:val="00741759"/>
    <w:rsid w:val="00745813"/>
    <w:rsid w:val="00746060"/>
    <w:rsid w:val="0074672E"/>
    <w:rsid w:val="00746A2C"/>
    <w:rsid w:val="007516E7"/>
    <w:rsid w:val="00751FAB"/>
    <w:rsid w:val="00755719"/>
    <w:rsid w:val="00756B95"/>
    <w:rsid w:val="007603B8"/>
    <w:rsid w:val="007616EA"/>
    <w:rsid w:val="00764382"/>
    <w:rsid w:val="00765DA8"/>
    <w:rsid w:val="00766A60"/>
    <w:rsid w:val="00770698"/>
    <w:rsid w:val="007708F8"/>
    <w:rsid w:val="00770BDC"/>
    <w:rsid w:val="00776A87"/>
    <w:rsid w:val="007771B5"/>
    <w:rsid w:val="0078123F"/>
    <w:rsid w:val="00781A5A"/>
    <w:rsid w:val="007839D4"/>
    <w:rsid w:val="00784E86"/>
    <w:rsid w:val="00784EEB"/>
    <w:rsid w:val="00785938"/>
    <w:rsid w:val="00786D23"/>
    <w:rsid w:val="00786E2B"/>
    <w:rsid w:val="00787465"/>
    <w:rsid w:val="00790555"/>
    <w:rsid w:val="00791AC3"/>
    <w:rsid w:val="00791AD3"/>
    <w:rsid w:val="00794251"/>
    <w:rsid w:val="00796162"/>
    <w:rsid w:val="00796440"/>
    <w:rsid w:val="00797417"/>
    <w:rsid w:val="007A060D"/>
    <w:rsid w:val="007A0A28"/>
    <w:rsid w:val="007A10F2"/>
    <w:rsid w:val="007A1AA7"/>
    <w:rsid w:val="007A3260"/>
    <w:rsid w:val="007A3652"/>
    <w:rsid w:val="007A4920"/>
    <w:rsid w:val="007A59C1"/>
    <w:rsid w:val="007B2301"/>
    <w:rsid w:val="007B282C"/>
    <w:rsid w:val="007B3081"/>
    <w:rsid w:val="007B341C"/>
    <w:rsid w:val="007B53FE"/>
    <w:rsid w:val="007B5855"/>
    <w:rsid w:val="007B5D7D"/>
    <w:rsid w:val="007C0B66"/>
    <w:rsid w:val="007C1F39"/>
    <w:rsid w:val="007C2923"/>
    <w:rsid w:val="007C3A4D"/>
    <w:rsid w:val="007C3C9C"/>
    <w:rsid w:val="007C509C"/>
    <w:rsid w:val="007C550D"/>
    <w:rsid w:val="007C62C6"/>
    <w:rsid w:val="007C7429"/>
    <w:rsid w:val="007D01EB"/>
    <w:rsid w:val="007D085B"/>
    <w:rsid w:val="007D0938"/>
    <w:rsid w:val="007D280E"/>
    <w:rsid w:val="007D39DD"/>
    <w:rsid w:val="007D49F0"/>
    <w:rsid w:val="007D5032"/>
    <w:rsid w:val="007D588D"/>
    <w:rsid w:val="007D5B32"/>
    <w:rsid w:val="007D6453"/>
    <w:rsid w:val="007D6BE8"/>
    <w:rsid w:val="007E0536"/>
    <w:rsid w:val="007E06B9"/>
    <w:rsid w:val="007E0F1B"/>
    <w:rsid w:val="007E26FC"/>
    <w:rsid w:val="007E2A71"/>
    <w:rsid w:val="007E2E6E"/>
    <w:rsid w:val="007E319E"/>
    <w:rsid w:val="007E37E1"/>
    <w:rsid w:val="007E3AFC"/>
    <w:rsid w:val="007E3D0D"/>
    <w:rsid w:val="007E7F81"/>
    <w:rsid w:val="007F0DAF"/>
    <w:rsid w:val="007F1C0A"/>
    <w:rsid w:val="007F2256"/>
    <w:rsid w:val="007F2845"/>
    <w:rsid w:val="007F2C92"/>
    <w:rsid w:val="007F3170"/>
    <w:rsid w:val="007F3F0A"/>
    <w:rsid w:val="007F41E2"/>
    <w:rsid w:val="007F55F5"/>
    <w:rsid w:val="007F5CC4"/>
    <w:rsid w:val="007F5D1F"/>
    <w:rsid w:val="007F5E70"/>
    <w:rsid w:val="00800413"/>
    <w:rsid w:val="00800CA4"/>
    <w:rsid w:val="00803403"/>
    <w:rsid w:val="0080394C"/>
    <w:rsid w:val="008040CD"/>
    <w:rsid w:val="00804A7F"/>
    <w:rsid w:val="00807097"/>
    <w:rsid w:val="008142AA"/>
    <w:rsid w:val="008144B9"/>
    <w:rsid w:val="00815E90"/>
    <w:rsid w:val="00816F7C"/>
    <w:rsid w:val="00817A60"/>
    <w:rsid w:val="00821D81"/>
    <w:rsid w:val="00823CC8"/>
    <w:rsid w:val="0082437D"/>
    <w:rsid w:val="00825232"/>
    <w:rsid w:val="00825476"/>
    <w:rsid w:val="00825480"/>
    <w:rsid w:val="0082552C"/>
    <w:rsid w:val="008278D2"/>
    <w:rsid w:val="0083120C"/>
    <w:rsid w:val="008316DC"/>
    <w:rsid w:val="00832235"/>
    <w:rsid w:val="00833886"/>
    <w:rsid w:val="00835DF8"/>
    <w:rsid w:val="0083611C"/>
    <w:rsid w:val="0084008E"/>
    <w:rsid w:val="00841172"/>
    <w:rsid w:val="00843405"/>
    <w:rsid w:val="008448B0"/>
    <w:rsid w:val="00845E46"/>
    <w:rsid w:val="00846EE2"/>
    <w:rsid w:val="00847B1F"/>
    <w:rsid w:val="00850240"/>
    <w:rsid w:val="0085079A"/>
    <w:rsid w:val="00852B00"/>
    <w:rsid w:val="00853265"/>
    <w:rsid w:val="00853B03"/>
    <w:rsid w:val="00853D57"/>
    <w:rsid w:val="00853DC4"/>
    <w:rsid w:val="00855D08"/>
    <w:rsid w:val="00856250"/>
    <w:rsid w:val="008601A5"/>
    <w:rsid w:val="00861DB1"/>
    <w:rsid w:val="00862E5C"/>
    <w:rsid w:val="00863849"/>
    <w:rsid w:val="00864554"/>
    <w:rsid w:val="00864633"/>
    <w:rsid w:val="00866E72"/>
    <w:rsid w:val="00867024"/>
    <w:rsid w:val="00867F8B"/>
    <w:rsid w:val="00870256"/>
    <w:rsid w:val="008702C7"/>
    <w:rsid w:val="00870DBA"/>
    <w:rsid w:val="0087290C"/>
    <w:rsid w:val="00874BCE"/>
    <w:rsid w:val="0087513F"/>
    <w:rsid w:val="0087514F"/>
    <w:rsid w:val="00875DC1"/>
    <w:rsid w:val="00877087"/>
    <w:rsid w:val="00877359"/>
    <w:rsid w:val="00877E9C"/>
    <w:rsid w:val="0088014E"/>
    <w:rsid w:val="00882271"/>
    <w:rsid w:val="00885DCA"/>
    <w:rsid w:val="008866E5"/>
    <w:rsid w:val="0088702E"/>
    <w:rsid w:val="00890036"/>
    <w:rsid w:val="00890816"/>
    <w:rsid w:val="008924C1"/>
    <w:rsid w:val="00892D98"/>
    <w:rsid w:val="00893B6D"/>
    <w:rsid w:val="00895322"/>
    <w:rsid w:val="008953AB"/>
    <w:rsid w:val="008978B4"/>
    <w:rsid w:val="008A25F1"/>
    <w:rsid w:val="008A2859"/>
    <w:rsid w:val="008A2E8C"/>
    <w:rsid w:val="008A3888"/>
    <w:rsid w:val="008A4635"/>
    <w:rsid w:val="008A571E"/>
    <w:rsid w:val="008B03BB"/>
    <w:rsid w:val="008B0BFD"/>
    <w:rsid w:val="008B3BE7"/>
    <w:rsid w:val="008B45AC"/>
    <w:rsid w:val="008B4BE4"/>
    <w:rsid w:val="008B6BA4"/>
    <w:rsid w:val="008B7335"/>
    <w:rsid w:val="008C153F"/>
    <w:rsid w:val="008C6685"/>
    <w:rsid w:val="008C66C6"/>
    <w:rsid w:val="008C693B"/>
    <w:rsid w:val="008C6D6C"/>
    <w:rsid w:val="008D0711"/>
    <w:rsid w:val="008D54BF"/>
    <w:rsid w:val="008D78A9"/>
    <w:rsid w:val="008E0ED9"/>
    <w:rsid w:val="008E4520"/>
    <w:rsid w:val="008E4897"/>
    <w:rsid w:val="008E649A"/>
    <w:rsid w:val="008E7459"/>
    <w:rsid w:val="008F0858"/>
    <w:rsid w:val="008F0EF8"/>
    <w:rsid w:val="008F2297"/>
    <w:rsid w:val="008F22E6"/>
    <w:rsid w:val="008F25ED"/>
    <w:rsid w:val="008F494B"/>
    <w:rsid w:val="008F5EF5"/>
    <w:rsid w:val="008F64A0"/>
    <w:rsid w:val="008F6B6D"/>
    <w:rsid w:val="00900E75"/>
    <w:rsid w:val="009031B4"/>
    <w:rsid w:val="00903D65"/>
    <w:rsid w:val="00903F8A"/>
    <w:rsid w:val="0091200D"/>
    <w:rsid w:val="00912525"/>
    <w:rsid w:val="00912596"/>
    <w:rsid w:val="00914B53"/>
    <w:rsid w:val="0092249B"/>
    <w:rsid w:val="009239C1"/>
    <w:rsid w:val="009239D0"/>
    <w:rsid w:val="00923A44"/>
    <w:rsid w:val="00923C2B"/>
    <w:rsid w:val="00927277"/>
    <w:rsid w:val="00930359"/>
    <w:rsid w:val="0093074F"/>
    <w:rsid w:val="0093118C"/>
    <w:rsid w:val="009317CE"/>
    <w:rsid w:val="00931E53"/>
    <w:rsid w:val="00933581"/>
    <w:rsid w:val="009345B3"/>
    <w:rsid w:val="009355DA"/>
    <w:rsid w:val="00935738"/>
    <w:rsid w:val="00936DED"/>
    <w:rsid w:val="00937044"/>
    <w:rsid w:val="009371EE"/>
    <w:rsid w:val="00940EC7"/>
    <w:rsid w:val="00941340"/>
    <w:rsid w:val="009414ED"/>
    <w:rsid w:val="00942085"/>
    <w:rsid w:val="00942C5A"/>
    <w:rsid w:val="00943825"/>
    <w:rsid w:val="009445EF"/>
    <w:rsid w:val="00945931"/>
    <w:rsid w:val="00945C44"/>
    <w:rsid w:val="00945CC9"/>
    <w:rsid w:val="0095023A"/>
    <w:rsid w:val="00952CAC"/>
    <w:rsid w:val="00954E2C"/>
    <w:rsid w:val="00955ECA"/>
    <w:rsid w:val="009564CF"/>
    <w:rsid w:val="00960E65"/>
    <w:rsid w:val="00960FED"/>
    <w:rsid w:val="009615DE"/>
    <w:rsid w:val="009616F8"/>
    <w:rsid w:val="00962ABE"/>
    <w:rsid w:val="0096599D"/>
    <w:rsid w:val="00966081"/>
    <w:rsid w:val="00966921"/>
    <w:rsid w:val="00966F7E"/>
    <w:rsid w:val="00970993"/>
    <w:rsid w:val="00970AE1"/>
    <w:rsid w:val="009718B3"/>
    <w:rsid w:val="00972A00"/>
    <w:rsid w:val="00974913"/>
    <w:rsid w:val="0097492B"/>
    <w:rsid w:val="00975457"/>
    <w:rsid w:val="00975864"/>
    <w:rsid w:val="00976090"/>
    <w:rsid w:val="00976DAE"/>
    <w:rsid w:val="009770D5"/>
    <w:rsid w:val="009804E7"/>
    <w:rsid w:val="009809F3"/>
    <w:rsid w:val="00980EA2"/>
    <w:rsid w:val="00981C4B"/>
    <w:rsid w:val="0098444E"/>
    <w:rsid w:val="00985188"/>
    <w:rsid w:val="009912AE"/>
    <w:rsid w:val="0099212D"/>
    <w:rsid w:val="00994996"/>
    <w:rsid w:val="00994A4C"/>
    <w:rsid w:val="00995B79"/>
    <w:rsid w:val="009967A4"/>
    <w:rsid w:val="00997102"/>
    <w:rsid w:val="00997BC1"/>
    <w:rsid w:val="009A093D"/>
    <w:rsid w:val="009A137C"/>
    <w:rsid w:val="009A3228"/>
    <w:rsid w:val="009A3288"/>
    <w:rsid w:val="009A3BBD"/>
    <w:rsid w:val="009A504D"/>
    <w:rsid w:val="009A566A"/>
    <w:rsid w:val="009A5D49"/>
    <w:rsid w:val="009A5DCE"/>
    <w:rsid w:val="009A6854"/>
    <w:rsid w:val="009A7DFE"/>
    <w:rsid w:val="009B2B70"/>
    <w:rsid w:val="009B3B61"/>
    <w:rsid w:val="009B3EF8"/>
    <w:rsid w:val="009B495D"/>
    <w:rsid w:val="009B6191"/>
    <w:rsid w:val="009B64F5"/>
    <w:rsid w:val="009B77BE"/>
    <w:rsid w:val="009C265C"/>
    <w:rsid w:val="009C2FA8"/>
    <w:rsid w:val="009C32E7"/>
    <w:rsid w:val="009C4969"/>
    <w:rsid w:val="009D0098"/>
    <w:rsid w:val="009D01A8"/>
    <w:rsid w:val="009D08DF"/>
    <w:rsid w:val="009D0AF8"/>
    <w:rsid w:val="009D24C6"/>
    <w:rsid w:val="009D37BE"/>
    <w:rsid w:val="009D3FB6"/>
    <w:rsid w:val="009E03D7"/>
    <w:rsid w:val="009E1311"/>
    <w:rsid w:val="009E1D34"/>
    <w:rsid w:val="009E5FD0"/>
    <w:rsid w:val="009E6BFE"/>
    <w:rsid w:val="009E6D3D"/>
    <w:rsid w:val="009E7149"/>
    <w:rsid w:val="009E760D"/>
    <w:rsid w:val="009E76CB"/>
    <w:rsid w:val="009E7F97"/>
    <w:rsid w:val="009F01AF"/>
    <w:rsid w:val="009F1A53"/>
    <w:rsid w:val="009F2243"/>
    <w:rsid w:val="009F6CE3"/>
    <w:rsid w:val="00A00BD5"/>
    <w:rsid w:val="00A015C8"/>
    <w:rsid w:val="00A02D50"/>
    <w:rsid w:val="00A04458"/>
    <w:rsid w:val="00A06659"/>
    <w:rsid w:val="00A072D6"/>
    <w:rsid w:val="00A0736C"/>
    <w:rsid w:val="00A07F18"/>
    <w:rsid w:val="00A10315"/>
    <w:rsid w:val="00A10A14"/>
    <w:rsid w:val="00A10F77"/>
    <w:rsid w:val="00A12929"/>
    <w:rsid w:val="00A13707"/>
    <w:rsid w:val="00A139C5"/>
    <w:rsid w:val="00A151CB"/>
    <w:rsid w:val="00A167B2"/>
    <w:rsid w:val="00A20ABB"/>
    <w:rsid w:val="00A20B42"/>
    <w:rsid w:val="00A2103F"/>
    <w:rsid w:val="00A2442B"/>
    <w:rsid w:val="00A24832"/>
    <w:rsid w:val="00A24C38"/>
    <w:rsid w:val="00A30E0A"/>
    <w:rsid w:val="00A32190"/>
    <w:rsid w:val="00A36059"/>
    <w:rsid w:val="00A41BA8"/>
    <w:rsid w:val="00A423FA"/>
    <w:rsid w:val="00A43CB7"/>
    <w:rsid w:val="00A4555B"/>
    <w:rsid w:val="00A463EC"/>
    <w:rsid w:val="00A473CF"/>
    <w:rsid w:val="00A47CE2"/>
    <w:rsid w:val="00A503FA"/>
    <w:rsid w:val="00A5221A"/>
    <w:rsid w:val="00A528B8"/>
    <w:rsid w:val="00A53761"/>
    <w:rsid w:val="00A54B0A"/>
    <w:rsid w:val="00A54BFE"/>
    <w:rsid w:val="00A552BC"/>
    <w:rsid w:val="00A5536D"/>
    <w:rsid w:val="00A55880"/>
    <w:rsid w:val="00A56272"/>
    <w:rsid w:val="00A60E52"/>
    <w:rsid w:val="00A621EF"/>
    <w:rsid w:val="00A62EAC"/>
    <w:rsid w:val="00A63E1B"/>
    <w:rsid w:val="00A64488"/>
    <w:rsid w:val="00A64B58"/>
    <w:rsid w:val="00A667FD"/>
    <w:rsid w:val="00A678AD"/>
    <w:rsid w:val="00A70087"/>
    <w:rsid w:val="00A74808"/>
    <w:rsid w:val="00A74D63"/>
    <w:rsid w:val="00A774FD"/>
    <w:rsid w:val="00A7778A"/>
    <w:rsid w:val="00A80A84"/>
    <w:rsid w:val="00A82AF6"/>
    <w:rsid w:val="00A82DDE"/>
    <w:rsid w:val="00A82FBF"/>
    <w:rsid w:val="00A83C67"/>
    <w:rsid w:val="00A842AF"/>
    <w:rsid w:val="00A85CCD"/>
    <w:rsid w:val="00A85D13"/>
    <w:rsid w:val="00A85EA5"/>
    <w:rsid w:val="00A864DB"/>
    <w:rsid w:val="00A86C49"/>
    <w:rsid w:val="00A87E38"/>
    <w:rsid w:val="00A91A7D"/>
    <w:rsid w:val="00A91CE7"/>
    <w:rsid w:val="00A930C9"/>
    <w:rsid w:val="00A93A97"/>
    <w:rsid w:val="00A94634"/>
    <w:rsid w:val="00A94B2F"/>
    <w:rsid w:val="00A95C0D"/>
    <w:rsid w:val="00A96BC1"/>
    <w:rsid w:val="00A97E0D"/>
    <w:rsid w:val="00AA1C5E"/>
    <w:rsid w:val="00AA4A80"/>
    <w:rsid w:val="00AA5149"/>
    <w:rsid w:val="00AA5BDF"/>
    <w:rsid w:val="00AA637C"/>
    <w:rsid w:val="00AA6E6F"/>
    <w:rsid w:val="00AA716A"/>
    <w:rsid w:val="00AA7AC4"/>
    <w:rsid w:val="00AB099A"/>
    <w:rsid w:val="00AB28F9"/>
    <w:rsid w:val="00AB2B52"/>
    <w:rsid w:val="00AB2D4D"/>
    <w:rsid w:val="00AB36E9"/>
    <w:rsid w:val="00AB3EFA"/>
    <w:rsid w:val="00AB4C31"/>
    <w:rsid w:val="00AB65FE"/>
    <w:rsid w:val="00AB74D7"/>
    <w:rsid w:val="00AB7CE8"/>
    <w:rsid w:val="00AC2DDA"/>
    <w:rsid w:val="00AC307A"/>
    <w:rsid w:val="00AC4BF4"/>
    <w:rsid w:val="00AC4F42"/>
    <w:rsid w:val="00AC6439"/>
    <w:rsid w:val="00AD1A7B"/>
    <w:rsid w:val="00AD3905"/>
    <w:rsid w:val="00AD494F"/>
    <w:rsid w:val="00AD4F2F"/>
    <w:rsid w:val="00AD5A31"/>
    <w:rsid w:val="00AD616D"/>
    <w:rsid w:val="00AD63AB"/>
    <w:rsid w:val="00AD6879"/>
    <w:rsid w:val="00AD6ECF"/>
    <w:rsid w:val="00AD6ED0"/>
    <w:rsid w:val="00AD7669"/>
    <w:rsid w:val="00AE33A5"/>
    <w:rsid w:val="00AE463B"/>
    <w:rsid w:val="00AE4DF2"/>
    <w:rsid w:val="00AE5F62"/>
    <w:rsid w:val="00AF15C4"/>
    <w:rsid w:val="00AF38EE"/>
    <w:rsid w:val="00AF3D79"/>
    <w:rsid w:val="00AF75C4"/>
    <w:rsid w:val="00B02D2F"/>
    <w:rsid w:val="00B0415D"/>
    <w:rsid w:val="00B0584F"/>
    <w:rsid w:val="00B05AF9"/>
    <w:rsid w:val="00B0760C"/>
    <w:rsid w:val="00B11918"/>
    <w:rsid w:val="00B13A1F"/>
    <w:rsid w:val="00B15021"/>
    <w:rsid w:val="00B16B37"/>
    <w:rsid w:val="00B170A3"/>
    <w:rsid w:val="00B17738"/>
    <w:rsid w:val="00B20CD9"/>
    <w:rsid w:val="00B22140"/>
    <w:rsid w:val="00B22727"/>
    <w:rsid w:val="00B22F3E"/>
    <w:rsid w:val="00B234B4"/>
    <w:rsid w:val="00B24138"/>
    <w:rsid w:val="00B26A9D"/>
    <w:rsid w:val="00B27300"/>
    <w:rsid w:val="00B3003B"/>
    <w:rsid w:val="00B30A6C"/>
    <w:rsid w:val="00B32F67"/>
    <w:rsid w:val="00B34124"/>
    <w:rsid w:val="00B357F2"/>
    <w:rsid w:val="00B40CB3"/>
    <w:rsid w:val="00B40DE3"/>
    <w:rsid w:val="00B414AF"/>
    <w:rsid w:val="00B4211D"/>
    <w:rsid w:val="00B42DCC"/>
    <w:rsid w:val="00B43228"/>
    <w:rsid w:val="00B43778"/>
    <w:rsid w:val="00B43859"/>
    <w:rsid w:val="00B43E4D"/>
    <w:rsid w:val="00B44DA1"/>
    <w:rsid w:val="00B46CBE"/>
    <w:rsid w:val="00B50016"/>
    <w:rsid w:val="00B51FC4"/>
    <w:rsid w:val="00B55860"/>
    <w:rsid w:val="00B56015"/>
    <w:rsid w:val="00B56C6F"/>
    <w:rsid w:val="00B56CE0"/>
    <w:rsid w:val="00B61132"/>
    <w:rsid w:val="00B612A8"/>
    <w:rsid w:val="00B6154E"/>
    <w:rsid w:val="00B62188"/>
    <w:rsid w:val="00B622E4"/>
    <w:rsid w:val="00B6312F"/>
    <w:rsid w:val="00B65A28"/>
    <w:rsid w:val="00B65DB4"/>
    <w:rsid w:val="00B66D4A"/>
    <w:rsid w:val="00B70B34"/>
    <w:rsid w:val="00B70C0B"/>
    <w:rsid w:val="00B7174B"/>
    <w:rsid w:val="00B7214B"/>
    <w:rsid w:val="00B72F2A"/>
    <w:rsid w:val="00B738B9"/>
    <w:rsid w:val="00B75CDD"/>
    <w:rsid w:val="00B75F47"/>
    <w:rsid w:val="00B76AAA"/>
    <w:rsid w:val="00B7777F"/>
    <w:rsid w:val="00B8057C"/>
    <w:rsid w:val="00B81D86"/>
    <w:rsid w:val="00B830F0"/>
    <w:rsid w:val="00B861DD"/>
    <w:rsid w:val="00B869F5"/>
    <w:rsid w:val="00B86B9C"/>
    <w:rsid w:val="00B93C7C"/>
    <w:rsid w:val="00B94A6A"/>
    <w:rsid w:val="00B94B18"/>
    <w:rsid w:val="00B94B1E"/>
    <w:rsid w:val="00B97E2A"/>
    <w:rsid w:val="00BA2585"/>
    <w:rsid w:val="00BA32E7"/>
    <w:rsid w:val="00BA3BAC"/>
    <w:rsid w:val="00BA446F"/>
    <w:rsid w:val="00BA557A"/>
    <w:rsid w:val="00BA65A8"/>
    <w:rsid w:val="00BA7862"/>
    <w:rsid w:val="00BB1834"/>
    <w:rsid w:val="00BB251B"/>
    <w:rsid w:val="00BB29DE"/>
    <w:rsid w:val="00BB3D4D"/>
    <w:rsid w:val="00BB4FC4"/>
    <w:rsid w:val="00BB523D"/>
    <w:rsid w:val="00BB59C6"/>
    <w:rsid w:val="00BC13FE"/>
    <w:rsid w:val="00BC149C"/>
    <w:rsid w:val="00BC1E61"/>
    <w:rsid w:val="00BC2B25"/>
    <w:rsid w:val="00BC4FB6"/>
    <w:rsid w:val="00BC7546"/>
    <w:rsid w:val="00BC76DB"/>
    <w:rsid w:val="00BD09D6"/>
    <w:rsid w:val="00BD13FE"/>
    <w:rsid w:val="00BD27ED"/>
    <w:rsid w:val="00BD4E64"/>
    <w:rsid w:val="00BD5209"/>
    <w:rsid w:val="00BD5857"/>
    <w:rsid w:val="00BD615C"/>
    <w:rsid w:val="00BD6710"/>
    <w:rsid w:val="00BE376A"/>
    <w:rsid w:val="00BE5BD9"/>
    <w:rsid w:val="00BE6F69"/>
    <w:rsid w:val="00BE79D7"/>
    <w:rsid w:val="00BE7A99"/>
    <w:rsid w:val="00BE7F0A"/>
    <w:rsid w:val="00BF0F8E"/>
    <w:rsid w:val="00BF1546"/>
    <w:rsid w:val="00BF1BFB"/>
    <w:rsid w:val="00BF2B82"/>
    <w:rsid w:val="00BF383B"/>
    <w:rsid w:val="00BF4A86"/>
    <w:rsid w:val="00BF4DFB"/>
    <w:rsid w:val="00BF5529"/>
    <w:rsid w:val="00BF5F32"/>
    <w:rsid w:val="00BF7CDF"/>
    <w:rsid w:val="00C01575"/>
    <w:rsid w:val="00C067FE"/>
    <w:rsid w:val="00C11783"/>
    <w:rsid w:val="00C12F82"/>
    <w:rsid w:val="00C13119"/>
    <w:rsid w:val="00C140CF"/>
    <w:rsid w:val="00C168C9"/>
    <w:rsid w:val="00C175B0"/>
    <w:rsid w:val="00C176C4"/>
    <w:rsid w:val="00C17FBE"/>
    <w:rsid w:val="00C2009B"/>
    <w:rsid w:val="00C20167"/>
    <w:rsid w:val="00C20D28"/>
    <w:rsid w:val="00C219CE"/>
    <w:rsid w:val="00C2319A"/>
    <w:rsid w:val="00C24140"/>
    <w:rsid w:val="00C24313"/>
    <w:rsid w:val="00C253EF"/>
    <w:rsid w:val="00C2563A"/>
    <w:rsid w:val="00C31757"/>
    <w:rsid w:val="00C31B78"/>
    <w:rsid w:val="00C31E37"/>
    <w:rsid w:val="00C320C8"/>
    <w:rsid w:val="00C32ACA"/>
    <w:rsid w:val="00C33F0F"/>
    <w:rsid w:val="00C34228"/>
    <w:rsid w:val="00C354EE"/>
    <w:rsid w:val="00C35B86"/>
    <w:rsid w:val="00C363DD"/>
    <w:rsid w:val="00C37506"/>
    <w:rsid w:val="00C413C3"/>
    <w:rsid w:val="00C41DCC"/>
    <w:rsid w:val="00C43A24"/>
    <w:rsid w:val="00C43A58"/>
    <w:rsid w:val="00C440EA"/>
    <w:rsid w:val="00C4587C"/>
    <w:rsid w:val="00C47160"/>
    <w:rsid w:val="00C47B19"/>
    <w:rsid w:val="00C50912"/>
    <w:rsid w:val="00C516A0"/>
    <w:rsid w:val="00C51841"/>
    <w:rsid w:val="00C52E4C"/>
    <w:rsid w:val="00C53840"/>
    <w:rsid w:val="00C570C5"/>
    <w:rsid w:val="00C57125"/>
    <w:rsid w:val="00C57708"/>
    <w:rsid w:val="00C579CF"/>
    <w:rsid w:val="00C616BB"/>
    <w:rsid w:val="00C619D8"/>
    <w:rsid w:val="00C6203E"/>
    <w:rsid w:val="00C633C2"/>
    <w:rsid w:val="00C6477B"/>
    <w:rsid w:val="00C64807"/>
    <w:rsid w:val="00C659CF"/>
    <w:rsid w:val="00C66232"/>
    <w:rsid w:val="00C6649A"/>
    <w:rsid w:val="00C66C65"/>
    <w:rsid w:val="00C66E1E"/>
    <w:rsid w:val="00C67677"/>
    <w:rsid w:val="00C70B4D"/>
    <w:rsid w:val="00C72B8F"/>
    <w:rsid w:val="00C75499"/>
    <w:rsid w:val="00C75B8D"/>
    <w:rsid w:val="00C76F66"/>
    <w:rsid w:val="00C7711F"/>
    <w:rsid w:val="00C778EB"/>
    <w:rsid w:val="00C81A72"/>
    <w:rsid w:val="00C82A02"/>
    <w:rsid w:val="00C831E7"/>
    <w:rsid w:val="00C84001"/>
    <w:rsid w:val="00C84E06"/>
    <w:rsid w:val="00C86591"/>
    <w:rsid w:val="00C8722E"/>
    <w:rsid w:val="00C87AC3"/>
    <w:rsid w:val="00C90F8E"/>
    <w:rsid w:val="00C91EB3"/>
    <w:rsid w:val="00C92147"/>
    <w:rsid w:val="00C951E1"/>
    <w:rsid w:val="00C95336"/>
    <w:rsid w:val="00C97390"/>
    <w:rsid w:val="00C97E69"/>
    <w:rsid w:val="00CA16C6"/>
    <w:rsid w:val="00CA467A"/>
    <w:rsid w:val="00CA50A2"/>
    <w:rsid w:val="00CA5973"/>
    <w:rsid w:val="00CA60B6"/>
    <w:rsid w:val="00CA670E"/>
    <w:rsid w:val="00CA6A59"/>
    <w:rsid w:val="00CA7918"/>
    <w:rsid w:val="00CB1464"/>
    <w:rsid w:val="00CB29D6"/>
    <w:rsid w:val="00CB31DC"/>
    <w:rsid w:val="00CB3260"/>
    <w:rsid w:val="00CB45DE"/>
    <w:rsid w:val="00CB49B4"/>
    <w:rsid w:val="00CB6137"/>
    <w:rsid w:val="00CC0450"/>
    <w:rsid w:val="00CC14FE"/>
    <w:rsid w:val="00CC274E"/>
    <w:rsid w:val="00CC5B29"/>
    <w:rsid w:val="00CC5C53"/>
    <w:rsid w:val="00CC662A"/>
    <w:rsid w:val="00CC7CE9"/>
    <w:rsid w:val="00CD0462"/>
    <w:rsid w:val="00CD11E2"/>
    <w:rsid w:val="00CD159C"/>
    <w:rsid w:val="00CD1FA4"/>
    <w:rsid w:val="00CD20ED"/>
    <w:rsid w:val="00CD2237"/>
    <w:rsid w:val="00CD2D15"/>
    <w:rsid w:val="00CD344D"/>
    <w:rsid w:val="00CD47CD"/>
    <w:rsid w:val="00CD7EE0"/>
    <w:rsid w:val="00CE0AA2"/>
    <w:rsid w:val="00CE23D8"/>
    <w:rsid w:val="00CE4589"/>
    <w:rsid w:val="00CE4DE2"/>
    <w:rsid w:val="00CE64B8"/>
    <w:rsid w:val="00CE7FCA"/>
    <w:rsid w:val="00CF0A6E"/>
    <w:rsid w:val="00CF1063"/>
    <w:rsid w:val="00CF1127"/>
    <w:rsid w:val="00CF150F"/>
    <w:rsid w:val="00CF178D"/>
    <w:rsid w:val="00CF59F6"/>
    <w:rsid w:val="00CF69F3"/>
    <w:rsid w:val="00D004D5"/>
    <w:rsid w:val="00D01540"/>
    <w:rsid w:val="00D03075"/>
    <w:rsid w:val="00D04761"/>
    <w:rsid w:val="00D059B3"/>
    <w:rsid w:val="00D0617D"/>
    <w:rsid w:val="00D07CEB"/>
    <w:rsid w:val="00D11268"/>
    <w:rsid w:val="00D1189A"/>
    <w:rsid w:val="00D12A4A"/>
    <w:rsid w:val="00D130B5"/>
    <w:rsid w:val="00D134B1"/>
    <w:rsid w:val="00D1435B"/>
    <w:rsid w:val="00D143DC"/>
    <w:rsid w:val="00D14933"/>
    <w:rsid w:val="00D15115"/>
    <w:rsid w:val="00D157D4"/>
    <w:rsid w:val="00D158B7"/>
    <w:rsid w:val="00D15A16"/>
    <w:rsid w:val="00D15BBB"/>
    <w:rsid w:val="00D17B40"/>
    <w:rsid w:val="00D2066B"/>
    <w:rsid w:val="00D207AE"/>
    <w:rsid w:val="00D21327"/>
    <w:rsid w:val="00D2148D"/>
    <w:rsid w:val="00D22A72"/>
    <w:rsid w:val="00D22E23"/>
    <w:rsid w:val="00D22F8E"/>
    <w:rsid w:val="00D25EDD"/>
    <w:rsid w:val="00D26D94"/>
    <w:rsid w:val="00D26ED1"/>
    <w:rsid w:val="00D26EF1"/>
    <w:rsid w:val="00D27906"/>
    <w:rsid w:val="00D34AE4"/>
    <w:rsid w:val="00D355D8"/>
    <w:rsid w:val="00D3640E"/>
    <w:rsid w:val="00D364D0"/>
    <w:rsid w:val="00D400D4"/>
    <w:rsid w:val="00D4020A"/>
    <w:rsid w:val="00D40829"/>
    <w:rsid w:val="00D419AE"/>
    <w:rsid w:val="00D41FC9"/>
    <w:rsid w:val="00D422EF"/>
    <w:rsid w:val="00D427DA"/>
    <w:rsid w:val="00D42CE9"/>
    <w:rsid w:val="00D42FC8"/>
    <w:rsid w:val="00D478F7"/>
    <w:rsid w:val="00D51E28"/>
    <w:rsid w:val="00D5249A"/>
    <w:rsid w:val="00D52F8B"/>
    <w:rsid w:val="00D55E34"/>
    <w:rsid w:val="00D56E23"/>
    <w:rsid w:val="00D572C6"/>
    <w:rsid w:val="00D57848"/>
    <w:rsid w:val="00D6049A"/>
    <w:rsid w:val="00D61BE8"/>
    <w:rsid w:val="00D63B12"/>
    <w:rsid w:val="00D65A2D"/>
    <w:rsid w:val="00D65B0A"/>
    <w:rsid w:val="00D672EC"/>
    <w:rsid w:val="00D6796A"/>
    <w:rsid w:val="00D70EB3"/>
    <w:rsid w:val="00D7224B"/>
    <w:rsid w:val="00D725C2"/>
    <w:rsid w:val="00D73F54"/>
    <w:rsid w:val="00D74351"/>
    <w:rsid w:val="00D7607E"/>
    <w:rsid w:val="00D769F4"/>
    <w:rsid w:val="00D76CB3"/>
    <w:rsid w:val="00D77085"/>
    <w:rsid w:val="00D93961"/>
    <w:rsid w:val="00D94162"/>
    <w:rsid w:val="00DA26F8"/>
    <w:rsid w:val="00DA3876"/>
    <w:rsid w:val="00DA3C8C"/>
    <w:rsid w:val="00DA63C8"/>
    <w:rsid w:val="00DA7C31"/>
    <w:rsid w:val="00DB16B6"/>
    <w:rsid w:val="00DB2365"/>
    <w:rsid w:val="00DB4528"/>
    <w:rsid w:val="00DB52F1"/>
    <w:rsid w:val="00DB7334"/>
    <w:rsid w:val="00DC108E"/>
    <w:rsid w:val="00DC1C6C"/>
    <w:rsid w:val="00DC3041"/>
    <w:rsid w:val="00DC33F7"/>
    <w:rsid w:val="00DC5549"/>
    <w:rsid w:val="00DC6218"/>
    <w:rsid w:val="00DC64C7"/>
    <w:rsid w:val="00DC6CB5"/>
    <w:rsid w:val="00DC75C6"/>
    <w:rsid w:val="00DC7FA0"/>
    <w:rsid w:val="00DD0F1E"/>
    <w:rsid w:val="00DD1A33"/>
    <w:rsid w:val="00DD23CD"/>
    <w:rsid w:val="00DD26D3"/>
    <w:rsid w:val="00DD42AF"/>
    <w:rsid w:val="00DD61E3"/>
    <w:rsid w:val="00DD6E2B"/>
    <w:rsid w:val="00DD757A"/>
    <w:rsid w:val="00DE02E7"/>
    <w:rsid w:val="00DE0421"/>
    <w:rsid w:val="00DE0576"/>
    <w:rsid w:val="00DE1B3A"/>
    <w:rsid w:val="00DE3226"/>
    <w:rsid w:val="00DE4C21"/>
    <w:rsid w:val="00DE555A"/>
    <w:rsid w:val="00DE72D0"/>
    <w:rsid w:val="00DF0D27"/>
    <w:rsid w:val="00DF1ADE"/>
    <w:rsid w:val="00DF4DE6"/>
    <w:rsid w:val="00DF5108"/>
    <w:rsid w:val="00DF5ADA"/>
    <w:rsid w:val="00DF6644"/>
    <w:rsid w:val="00DF6D1A"/>
    <w:rsid w:val="00DF73DC"/>
    <w:rsid w:val="00DF7F14"/>
    <w:rsid w:val="00E00892"/>
    <w:rsid w:val="00E00A1A"/>
    <w:rsid w:val="00E014F5"/>
    <w:rsid w:val="00E01952"/>
    <w:rsid w:val="00E0231D"/>
    <w:rsid w:val="00E02A0F"/>
    <w:rsid w:val="00E03937"/>
    <w:rsid w:val="00E03A54"/>
    <w:rsid w:val="00E05735"/>
    <w:rsid w:val="00E06C09"/>
    <w:rsid w:val="00E11289"/>
    <w:rsid w:val="00E11B44"/>
    <w:rsid w:val="00E11B8A"/>
    <w:rsid w:val="00E12EB6"/>
    <w:rsid w:val="00E14892"/>
    <w:rsid w:val="00E1527F"/>
    <w:rsid w:val="00E16C08"/>
    <w:rsid w:val="00E16DC7"/>
    <w:rsid w:val="00E1753F"/>
    <w:rsid w:val="00E20EDF"/>
    <w:rsid w:val="00E2120C"/>
    <w:rsid w:val="00E21ACA"/>
    <w:rsid w:val="00E23487"/>
    <w:rsid w:val="00E241C4"/>
    <w:rsid w:val="00E243B6"/>
    <w:rsid w:val="00E250DD"/>
    <w:rsid w:val="00E26365"/>
    <w:rsid w:val="00E2763E"/>
    <w:rsid w:val="00E27E7D"/>
    <w:rsid w:val="00E30020"/>
    <w:rsid w:val="00E30525"/>
    <w:rsid w:val="00E30820"/>
    <w:rsid w:val="00E32908"/>
    <w:rsid w:val="00E33866"/>
    <w:rsid w:val="00E34414"/>
    <w:rsid w:val="00E401F8"/>
    <w:rsid w:val="00E43357"/>
    <w:rsid w:val="00E441D5"/>
    <w:rsid w:val="00E452D9"/>
    <w:rsid w:val="00E45A91"/>
    <w:rsid w:val="00E46196"/>
    <w:rsid w:val="00E46328"/>
    <w:rsid w:val="00E50352"/>
    <w:rsid w:val="00E504C0"/>
    <w:rsid w:val="00E5051A"/>
    <w:rsid w:val="00E51C8B"/>
    <w:rsid w:val="00E52F11"/>
    <w:rsid w:val="00E5414C"/>
    <w:rsid w:val="00E5445B"/>
    <w:rsid w:val="00E544A6"/>
    <w:rsid w:val="00E5516A"/>
    <w:rsid w:val="00E5523F"/>
    <w:rsid w:val="00E60E2C"/>
    <w:rsid w:val="00E61F5E"/>
    <w:rsid w:val="00E62805"/>
    <w:rsid w:val="00E63F66"/>
    <w:rsid w:val="00E64ABF"/>
    <w:rsid w:val="00E65A15"/>
    <w:rsid w:val="00E660E7"/>
    <w:rsid w:val="00E6623C"/>
    <w:rsid w:val="00E66A3D"/>
    <w:rsid w:val="00E70204"/>
    <w:rsid w:val="00E70630"/>
    <w:rsid w:val="00E7162B"/>
    <w:rsid w:val="00E7190F"/>
    <w:rsid w:val="00E71B16"/>
    <w:rsid w:val="00E722DB"/>
    <w:rsid w:val="00E724D7"/>
    <w:rsid w:val="00E72567"/>
    <w:rsid w:val="00E72966"/>
    <w:rsid w:val="00E74482"/>
    <w:rsid w:val="00E74CCE"/>
    <w:rsid w:val="00E74E34"/>
    <w:rsid w:val="00E773BC"/>
    <w:rsid w:val="00E77756"/>
    <w:rsid w:val="00E82F86"/>
    <w:rsid w:val="00E831B6"/>
    <w:rsid w:val="00E83B0F"/>
    <w:rsid w:val="00E85B7B"/>
    <w:rsid w:val="00E85D12"/>
    <w:rsid w:val="00E86095"/>
    <w:rsid w:val="00E86125"/>
    <w:rsid w:val="00E86837"/>
    <w:rsid w:val="00E87FCE"/>
    <w:rsid w:val="00E92CD4"/>
    <w:rsid w:val="00E93A39"/>
    <w:rsid w:val="00E94A1E"/>
    <w:rsid w:val="00E96159"/>
    <w:rsid w:val="00E970D2"/>
    <w:rsid w:val="00E97698"/>
    <w:rsid w:val="00E978C6"/>
    <w:rsid w:val="00EA0D82"/>
    <w:rsid w:val="00EA1161"/>
    <w:rsid w:val="00EA146F"/>
    <w:rsid w:val="00EA21CA"/>
    <w:rsid w:val="00EA2CC9"/>
    <w:rsid w:val="00EA2DDA"/>
    <w:rsid w:val="00EA2E8F"/>
    <w:rsid w:val="00EA31F7"/>
    <w:rsid w:val="00EA328E"/>
    <w:rsid w:val="00EA40F6"/>
    <w:rsid w:val="00EA5692"/>
    <w:rsid w:val="00EA5A81"/>
    <w:rsid w:val="00EA6C11"/>
    <w:rsid w:val="00EB0877"/>
    <w:rsid w:val="00EB1685"/>
    <w:rsid w:val="00EB3545"/>
    <w:rsid w:val="00EB36CB"/>
    <w:rsid w:val="00EB4C24"/>
    <w:rsid w:val="00EB553F"/>
    <w:rsid w:val="00EB6638"/>
    <w:rsid w:val="00EB72DE"/>
    <w:rsid w:val="00EC10F3"/>
    <w:rsid w:val="00EC1EB8"/>
    <w:rsid w:val="00EC1EBB"/>
    <w:rsid w:val="00EC32EA"/>
    <w:rsid w:val="00EC4E02"/>
    <w:rsid w:val="00EC6673"/>
    <w:rsid w:val="00ED0654"/>
    <w:rsid w:val="00ED5F79"/>
    <w:rsid w:val="00EE135C"/>
    <w:rsid w:val="00EE2E27"/>
    <w:rsid w:val="00EE4B7C"/>
    <w:rsid w:val="00EE51FB"/>
    <w:rsid w:val="00EE7DB1"/>
    <w:rsid w:val="00EF093A"/>
    <w:rsid w:val="00EF0C99"/>
    <w:rsid w:val="00EF153A"/>
    <w:rsid w:val="00EF1701"/>
    <w:rsid w:val="00EF1BD3"/>
    <w:rsid w:val="00EF21F8"/>
    <w:rsid w:val="00EF2F3F"/>
    <w:rsid w:val="00EF4DE3"/>
    <w:rsid w:val="00EF4FF1"/>
    <w:rsid w:val="00EF582E"/>
    <w:rsid w:val="00EF59F0"/>
    <w:rsid w:val="00EF6E3D"/>
    <w:rsid w:val="00EF7ECE"/>
    <w:rsid w:val="00F01077"/>
    <w:rsid w:val="00F01169"/>
    <w:rsid w:val="00F01FD1"/>
    <w:rsid w:val="00F01FD6"/>
    <w:rsid w:val="00F02491"/>
    <w:rsid w:val="00F0262A"/>
    <w:rsid w:val="00F040A2"/>
    <w:rsid w:val="00F055EE"/>
    <w:rsid w:val="00F056BF"/>
    <w:rsid w:val="00F1236F"/>
    <w:rsid w:val="00F1504B"/>
    <w:rsid w:val="00F16E96"/>
    <w:rsid w:val="00F2102F"/>
    <w:rsid w:val="00F258F5"/>
    <w:rsid w:val="00F301F7"/>
    <w:rsid w:val="00F31B88"/>
    <w:rsid w:val="00F31C79"/>
    <w:rsid w:val="00F31FB6"/>
    <w:rsid w:val="00F320FD"/>
    <w:rsid w:val="00F35917"/>
    <w:rsid w:val="00F35F18"/>
    <w:rsid w:val="00F40BF3"/>
    <w:rsid w:val="00F41A92"/>
    <w:rsid w:val="00F42690"/>
    <w:rsid w:val="00F42E73"/>
    <w:rsid w:val="00F42E98"/>
    <w:rsid w:val="00F438E4"/>
    <w:rsid w:val="00F44570"/>
    <w:rsid w:val="00F44C5C"/>
    <w:rsid w:val="00F44F79"/>
    <w:rsid w:val="00F4556C"/>
    <w:rsid w:val="00F46137"/>
    <w:rsid w:val="00F47608"/>
    <w:rsid w:val="00F47F8F"/>
    <w:rsid w:val="00F529F4"/>
    <w:rsid w:val="00F557E1"/>
    <w:rsid w:val="00F56296"/>
    <w:rsid w:val="00F61E26"/>
    <w:rsid w:val="00F61E33"/>
    <w:rsid w:val="00F62BB2"/>
    <w:rsid w:val="00F63201"/>
    <w:rsid w:val="00F632C8"/>
    <w:rsid w:val="00F634DA"/>
    <w:rsid w:val="00F63606"/>
    <w:rsid w:val="00F64028"/>
    <w:rsid w:val="00F64F67"/>
    <w:rsid w:val="00F65C64"/>
    <w:rsid w:val="00F67BE2"/>
    <w:rsid w:val="00F7059A"/>
    <w:rsid w:val="00F70FD0"/>
    <w:rsid w:val="00F72487"/>
    <w:rsid w:val="00F72548"/>
    <w:rsid w:val="00F73F07"/>
    <w:rsid w:val="00F745C5"/>
    <w:rsid w:val="00F80FB9"/>
    <w:rsid w:val="00F847C4"/>
    <w:rsid w:val="00F85117"/>
    <w:rsid w:val="00F8563A"/>
    <w:rsid w:val="00F85B4A"/>
    <w:rsid w:val="00F8701C"/>
    <w:rsid w:val="00F871F4"/>
    <w:rsid w:val="00F87ED7"/>
    <w:rsid w:val="00F907AC"/>
    <w:rsid w:val="00F90908"/>
    <w:rsid w:val="00F92683"/>
    <w:rsid w:val="00F93349"/>
    <w:rsid w:val="00F936D3"/>
    <w:rsid w:val="00F93779"/>
    <w:rsid w:val="00F93AB8"/>
    <w:rsid w:val="00F940F0"/>
    <w:rsid w:val="00F96C93"/>
    <w:rsid w:val="00FA1435"/>
    <w:rsid w:val="00FA28D9"/>
    <w:rsid w:val="00FA40B2"/>
    <w:rsid w:val="00FA4E70"/>
    <w:rsid w:val="00FA659E"/>
    <w:rsid w:val="00FA6621"/>
    <w:rsid w:val="00FA679E"/>
    <w:rsid w:val="00FB12B4"/>
    <w:rsid w:val="00FB65A5"/>
    <w:rsid w:val="00FB6641"/>
    <w:rsid w:val="00FB7356"/>
    <w:rsid w:val="00FC195A"/>
    <w:rsid w:val="00FC1BE3"/>
    <w:rsid w:val="00FC3349"/>
    <w:rsid w:val="00FC3E9A"/>
    <w:rsid w:val="00FC4502"/>
    <w:rsid w:val="00FC5B86"/>
    <w:rsid w:val="00FC6DCD"/>
    <w:rsid w:val="00FC6F29"/>
    <w:rsid w:val="00FC710E"/>
    <w:rsid w:val="00FC718A"/>
    <w:rsid w:val="00FD2120"/>
    <w:rsid w:val="00FD3278"/>
    <w:rsid w:val="00FD57DD"/>
    <w:rsid w:val="00FD6173"/>
    <w:rsid w:val="00FD6BDC"/>
    <w:rsid w:val="00FD738F"/>
    <w:rsid w:val="00FD7617"/>
    <w:rsid w:val="00FD7B09"/>
    <w:rsid w:val="00FE198A"/>
    <w:rsid w:val="00FE3064"/>
    <w:rsid w:val="00FE4D66"/>
    <w:rsid w:val="00FE68A7"/>
    <w:rsid w:val="00FE6963"/>
    <w:rsid w:val="00FE6CF6"/>
    <w:rsid w:val="00FE7241"/>
    <w:rsid w:val="00FE7B9D"/>
    <w:rsid w:val="00FE7D5A"/>
    <w:rsid w:val="00FF1C08"/>
    <w:rsid w:val="00FF26A0"/>
    <w:rsid w:val="00FF3D37"/>
    <w:rsid w:val="00FF4B79"/>
    <w:rsid w:val="00FF5428"/>
    <w:rsid w:val="00FF5762"/>
    <w:rsid w:val="00FF664C"/>
    <w:rsid w:val="00FF6FF0"/>
    <w:rsid w:val="00FF7D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88534B"/>
  <w15:docId w15:val="{5EFF377B-3189-4C79-8AB2-124E0268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GB" w:eastAsia="zh-CN" w:bidi="ar-SA"/>
      </w:rPr>
    </w:rPrDefault>
    <w:pPrDefault>
      <w:pPr>
        <w:spacing w:before="200" w:line="360"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3"/>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57A"/>
  </w:style>
  <w:style w:type="paragraph" w:styleId="Heading1">
    <w:name w:val="heading 1"/>
    <w:basedOn w:val="Normal"/>
    <w:next w:val="Normal"/>
    <w:link w:val="Heading1Char"/>
    <w:uiPriority w:val="1"/>
    <w:qFormat/>
    <w:rsid w:val="00870DBA"/>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uiPriority w:val="1"/>
    <w:qFormat/>
    <w:rsid w:val="00CC274E"/>
    <w:pPr>
      <w:numPr>
        <w:ilvl w:val="1"/>
      </w:numPr>
      <w:spacing w:before="360"/>
      <w:outlineLvl w:val="1"/>
    </w:pPr>
    <w:rPr>
      <w:bCs w:val="0"/>
      <w:sz w:val="28"/>
      <w:szCs w:val="24"/>
      <w:lang w:eastAsia="en-GB"/>
    </w:rPr>
  </w:style>
  <w:style w:type="paragraph" w:styleId="Heading3">
    <w:name w:val="heading 3"/>
    <w:basedOn w:val="Heading1"/>
    <w:next w:val="Normal"/>
    <w:link w:val="Heading3Char"/>
    <w:uiPriority w:val="1"/>
    <w:qFormat/>
    <w:rsid w:val="00CC274E"/>
    <w:pPr>
      <w:numPr>
        <w:ilvl w:val="2"/>
      </w:numPr>
      <w:spacing w:before="360"/>
      <w:outlineLvl w:val="2"/>
    </w:pPr>
    <w:rPr>
      <w:bCs w:val="0"/>
      <w:sz w:val="22"/>
      <w:szCs w:val="26"/>
    </w:rPr>
  </w:style>
  <w:style w:type="paragraph" w:styleId="Heading4">
    <w:name w:val="heading 4"/>
    <w:basedOn w:val="Heading1"/>
    <w:next w:val="Normal"/>
    <w:link w:val="Heading4Char"/>
    <w:qFormat/>
    <w:rsid w:val="00CC274E"/>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CC274E"/>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CC274E"/>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CC274E"/>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CC274E"/>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CC274E"/>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7CEB"/>
    <w:rPr>
      <w:rFonts w:cs="Arial"/>
      <w:b/>
      <w:bCs/>
      <w:kern w:val="32"/>
      <w:sz w:val="36"/>
      <w:szCs w:val="32"/>
      <w:lang w:eastAsia="en-US"/>
    </w:rPr>
  </w:style>
  <w:style w:type="character" w:customStyle="1" w:styleId="Heading2Char">
    <w:name w:val="Heading 2 Char"/>
    <w:basedOn w:val="DefaultParagraphFont"/>
    <w:link w:val="Heading2"/>
    <w:uiPriority w:val="1"/>
    <w:rsid w:val="00D07CEB"/>
    <w:rPr>
      <w:rFonts w:cs="Arial"/>
      <w:b/>
      <w:kern w:val="32"/>
      <w:sz w:val="28"/>
      <w:szCs w:val="24"/>
      <w:lang w:eastAsia="en-GB"/>
    </w:rPr>
  </w:style>
  <w:style w:type="character" w:customStyle="1" w:styleId="Heading3Char">
    <w:name w:val="Heading 3 Char"/>
    <w:basedOn w:val="DefaultParagraphFont"/>
    <w:link w:val="Heading3"/>
    <w:uiPriority w:val="1"/>
    <w:rsid w:val="00D07CEB"/>
    <w:rPr>
      <w:rFonts w:cs="Arial"/>
      <w:b/>
      <w:kern w:val="32"/>
      <w:szCs w:val="26"/>
      <w:lang w:eastAsia="en-US"/>
    </w:rPr>
  </w:style>
  <w:style w:type="character" w:customStyle="1" w:styleId="Heading4Char">
    <w:name w:val="Heading 4 Char"/>
    <w:basedOn w:val="DefaultParagraphFont"/>
    <w:link w:val="Heading4"/>
    <w:rsid w:val="00CC274E"/>
    <w:rPr>
      <w:rFonts w:eastAsiaTheme="majorEastAsia" w:cstheme="majorBidi"/>
      <w:b/>
      <w:iCs/>
      <w:kern w:val="32"/>
      <w:szCs w:val="24"/>
      <w:lang w:eastAsia="en-US"/>
    </w:rPr>
  </w:style>
  <w:style w:type="character" w:customStyle="1" w:styleId="Heading5Char">
    <w:name w:val="Heading 5 Char"/>
    <w:basedOn w:val="DefaultParagraphFont"/>
    <w:link w:val="Heading5"/>
    <w:rsid w:val="00CC274E"/>
    <w:rPr>
      <w:rFonts w:eastAsiaTheme="majorEastAsia" w:cstheme="majorBidi"/>
      <w:b/>
      <w:bCs/>
      <w:kern w:val="32"/>
      <w:szCs w:val="24"/>
      <w:lang w:eastAsia="en-US"/>
    </w:rPr>
  </w:style>
  <w:style w:type="character" w:customStyle="1" w:styleId="Heading6Char">
    <w:name w:val="Heading 6 Char"/>
    <w:basedOn w:val="DefaultParagraphFont"/>
    <w:link w:val="Heading6"/>
    <w:rsid w:val="00CC274E"/>
    <w:rPr>
      <w:rFonts w:eastAsiaTheme="majorEastAsia" w:cstheme="majorBidi"/>
      <w:bCs/>
      <w:iCs/>
      <w:kern w:val="32"/>
      <w:szCs w:val="24"/>
      <w:lang w:eastAsia="en-US"/>
    </w:rPr>
  </w:style>
  <w:style w:type="character" w:customStyle="1" w:styleId="Heading7Char">
    <w:name w:val="Heading 7 Char"/>
    <w:basedOn w:val="DefaultParagraphFont"/>
    <w:link w:val="Heading7"/>
    <w:rsid w:val="00CC274E"/>
    <w:rPr>
      <w:rFonts w:eastAsiaTheme="majorEastAsia" w:cstheme="majorBidi"/>
      <w:bCs/>
      <w:iCs/>
      <w:kern w:val="32"/>
      <w:szCs w:val="24"/>
      <w:lang w:eastAsia="en-US"/>
    </w:rPr>
  </w:style>
  <w:style w:type="character" w:customStyle="1" w:styleId="Heading8Char">
    <w:name w:val="Heading 8 Char"/>
    <w:basedOn w:val="DefaultParagraphFont"/>
    <w:link w:val="Heading8"/>
    <w:rsid w:val="00CC274E"/>
    <w:rPr>
      <w:rFonts w:eastAsiaTheme="majorEastAsia" w:cstheme="majorBidi"/>
      <w:bCs/>
      <w:kern w:val="32"/>
      <w:szCs w:val="32"/>
      <w:lang w:eastAsia="en-US"/>
    </w:rPr>
  </w:style>
  <w:style w:type="character" w:customStyle="1" w:styleId="Heading9Char">
    <w:name w:val="Heading 9 Char"/>
    <w:basedOn w:val="DefaultParagraphFont"/>
    <w:link w:val="Heading9"/>
    <w:rsid w:val="00CC274E"/>
    <w:rPr>
      <w:rFonts w:eastAsiaTheme="majorEastAsia" w:cstheme="majorBidi"/>
      <w:bCs/>
      <w:iCs/>
      <w:color w:val="000000" w:themeColor="text1"/>
      <w:kern w:val="32"/>
      <w:szCs w:val="32"/>
      <w:lang w:eastAsia="en-US"/>
    </w:rPr>
  </w:style>
  <w:style w:type="paragraph" w:styleId="BodyText">
    <w:name w:val="Body Text"/>
    <w:basedOn w:val="Normal"/>
    <w:link w:val="BodyTextChar"/>
    <w:uiPriority w:val="1"/>
    <w:qFormat/>
    <w:rPr>
      <w:lang w:eastAsia="en-GB"/>
    </w:rPr>
  </w:style>
  <w:style w:type="character" w:customStyle="1" w:styleId="BodyTextChar">
    <w:name w:val="Body Text Char"/>
    <w:basedOn w:val="DefaultParagraphFont"/>
    <w:link w:val="BodyText"/>
    <w:uiPriority w:val="1"/>
    <w:rsid w:val="00C64807"/>
    <w:rPr>
      <w:lang w:eastAsia="en-GB"/>
    </w:rPr>
  </w:style>
  <w:style w:type="paragraph" w:styleId="BodyTextIndent">
    <w:name w:val="Body Text Indent"/>
    <w:basedOn w:val="Normal"/>
    <w:link w:val="BodyTextIndentChar"/>
    <w:semiHidden/>
    <w:pPr>
      <w:ind w:left="283"/>
    </w:pPr>
  </w:style>
  <w:style w:type="character" w:customStyle="1" w:styleId="BodyTextIndentChar">
    <w:name w:val="Body Text Indent Char"/>
    <w:basedOn w:val="DefaultParagraphFont"/>
    <w:link w:val="BodyTextIndent"/>
    <w:semiHidden/>
    <w:rsid w:val="00C64807"/>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D07CEB"/>
    <w:rPr>
      <w:rFonts w:ascii="Tahoma" w:hAnsi="Tahoma" w:cs="Tahoma"/>
      <w:sz w:val="16"/>
      <w:szCs w:val="16"/>
    </w:rPr>
  </w:style>
  <w:style w:type="paragraph" w:styleId="Footer">
    <w:name w:val="footer"/>
    <w:link w:val="FooterChar"/>
    <w:uiPriority w:val="99"/>
    <w:rsid w:val="00B357F2"/>
    <w:pPr>
      <w:tabs>
        <w:tab w:val="center" w:pos="4153"/>
        <w:tab w:val="right" w:pos="8306"/>
      </w:tabs>
      <w:spacing w:after="120"/>
    </w:pPr>
    <w:rPr>
      <w:szCs w:val="24"/>
      <w:lang w:eastAsia="en-US"/>
    </w:rPr>
  </w:style>
  <w:style w:type="character" w:customStyle="1" w:styleId="FooterChar">
    <w:name w:val="Footer Char"/>
    <w:basedOn w:val="DefaultParagraphFont"/>
    <w:link w:val="Footer"/>
    <w:uiPriority w:val="99"/>
    <w:rsid w:val="008316DC"/>
    <w:rPr>
      <w:szCs w:val="24"/>
      <w:lang w:eastAsia="en-US"/>
    </w:rPr>
  </w:style>
  <w:style w:type="character" w:styleId="PageNumber">
    <w:name w:val="page number"/>
    <w:basedOn w:val="DefaultParagraphFont"/>
    <w:unhideWhenUsed/>
    <w:rsid w:val="008F2297"/>
    <w:rPr>
      <w:rFonts w:ascii="Calibri" w:hAnsi="Calibri"/>
      <w:sz w:val="22"/>
      <w:lang w:val="en-GB"/>
    </w:rPr>
  </w:style>
  <w:style w:type="paragraph" w:styleId="DocumentMap">
    <w:name w:val="Document Map"/>
    <w:basedOn w:val="Normal"/>
    <w:link w:val="DocumentMapChar"/>
    <w:semiHidden/>
    <w:pPr>
      <w:shd w:val="clear" w:color="auto" w:fill="000080"/>
    </w:pPr>
    <w:rPr>
      <w:rFonts w:ascii="Tahoma" w:hAnsi="Tahoma" w:cs="Tahoma"/>
      <w:szCs w:val="20"/>
    </w:rPr>
  </w:style>
  <w:style w:type="paragraph" w:styleId="Header">
    <w:name w:val="header"/>
    <w:basedOn w:val="Normal"/>
    <w:link w:val="HeaderChar"/>
    <w:uiPriority w:val="99"/>
    <w:rsid w:val="00B357F2"/>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D07CEB"/>
    <w:rPr>
      <w:szCs w:val="24"/>
      <w:lang w:eastAsia="en-US"/>
    </w:rPr>
  </w:style>
  <w:style w:type="paragraph" w:styleId="Caption">
    <w:name w:val="caption"/>
    <w:basedOn w:val="Normal"/>
    <w:next w:val="Normal"/>
    <w:uiPriority w:val="35"/>
    <w:qFormat/>
    <w:rsid w:val="00570CD9"/>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unhideWhenUsed/>
    <w:rsid w:val="007F5D1F"/>
    <w:rPr>
      <w:color w:val="0000FF" w:themeColor="hyperlink"/>
      <w:u w:val="single"/>
    </w:rPr>
  </w:style>
  <w:style w:type="table" w:styleId="TableGrid">
    <w:name w:val="Table Grid"/>
    <w:basedOn w:val="TableNormal"/>
    <w:uiPriority w:val="39"/>
    <w:pPr>
      <w:adjustRightInd w:val="0"/>
      <w:spacing w:before="40" w:after="40"/>
    </w:p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8144B9"/>
    <w:pPr>
      <w:spacing w:before="40" w:after="40"/>
      <w:ind w:left="6"/>
    </w:pPr>
  </w:style>
  <w:style w:type="character" w:customStyle="1" w:styleId="TableCellChar">
    <w:name w:val="Table Cell Char"/>
    <w:basedOn w:val="DefaultParagraphFont"/>
    <w:link w:val="TableCell"/>
    <w:locked/>
    <w:rsid w:val="00547D01"/>
  </w:style>
  <w:style w:type="table" w:customStyle="1" w:styleId="FigureNoOutline">
    <w:name w:val="Figure No Outline"/>
    <w:basedOn w:val="TableNormal"/>
    <w:tblPr>
      <w:tblCellMar>
        <w:left w:w="0" w:type="dxa"/>
        <w:right w:w="0" w:type="dxa"/>
      </w:tblCellMar>
    </w:tblPr>
  </w:style>
  <w:style w:type="table" w:customStyle="1" w:styleId="FigureOutline">
    <w:name w:val="Figure Outline"/>
    <w:basedOn w:val="TableNormal"/>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8144B9"/>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AF3D79"/>
    <w:pPr>
      <w:spacing w:after="240"/>
      <w:outlineLvl w:val="0"/>
    </w:pPr>
    <w:rPr>
      <w:rFonts w:cs="Arial"/>
      <w:b/>
      <w:bCs/>
      <w:kern w:val="32"/>
      <w:sz w:val="36"/>
      <w:szCs w:val="32"/>
      <w:lang w:eastAsia="en-US"/>
    </w:rPr>
  </w:style>
  <w:style w:type="paragraph" w:customStyle="1" w:styleId="Quotation">
    <w:name w:val="Quotation"/>
    <w:basedOn w:val="Normal"/>
    <w:qFormat/>
    <w:rsid w:val="008144B9"/>
    <w:pPr>
      <w:ind w:left="425" w:right="425"/>
    </w:pPr>
    <w:rPr>
      <w:iCs/>
      <w:szCs w:val="24"/>
      <w:lang w:eastAsia="en-US"/>
    </w:rPr>
  </w:style>
  <w:style w:type="paragraph" w:styleId="TOC1">
    <w:name w:val="toc 1"/>
    <w:basedOn w:val="Normal"/>
    <w:next w:val="Normal"/>
    <w:autoRedefine/>
    <w:uiPriority w:val="39"/>
    <w:rsid w:val="00226719"/>
    <w:pPr>
      <w:tabs>
        <w:tab w:val="left" w:pos="1218"/>
        <w:tab w:val="right" w:leader="dot" w:pos="8789"/>
      </w:tabs>
      <w:spacing w:after="100"/>
      <w:ind w:left="1204" w:hanging="1204"/>
      <w:contextualSpacing/>
    </w:pPr>
    <w:rPr>
      <w:b/>
      <w:sz w:val="24"/>
    </w:rPr>
  </w:style>
  <w:style w:type="paragraph" w:styleId="TOC2">
    <w:name w:val="toc 2"/>
    <w:basedOn w:val="TOC1"/>
    <w:next w:val="Normal"/>
    <w:autoRedefine/>
    <w:uiPriority w:val="39"/>
    <w:rsid w:val="00A473CF"/>
    <w:pPr>
      <w:tabs>
        <w:tab w:val="clear" w:pos="1218"/>
        <w:tab w:val="left" w:pos="709"/>
      </w:tabs>
      <w:spacing w:before="0"/>
      <w:ind w:left="709" w:hanging="567"/>
    </w:pPr>
    <w:rPr>
      <w:b w:val="0"/>
    </w:rPr>
  </w:style>
  <w:style w:type="paragraph" w:styleId="TOC3">
    <w:name w:val="toc 3"/>
    <w:basedOn w:val="TOC1"/>
    <w:next w:val="Normal"/>
    <w:autoRedefine/>
    <w:uiPriority w:val="39"/>
    <w:rsid w:val="00A473CF"/>
    <w:pPr>
      <w:spacing w:before="0"/>
      <w:ind w:left="1190" w:hanging="680"/>
    </w:pPr>
    <w:rPr>
      <w:b w:val="0"/>
    </w:rPr>
  </w:style>
  <w:style w:type="paragraph" w:styleId="TOC4">
    <w:name w:val="toc 4"/>
    <w:basedOn w:val="TOC1"/>
    <w:next w:val="Normal"/>
    <w:autoRedefine/>
    <w:rsid w:val="005D48F1"/>
    <w:pPr>
      <w:tabs>
        <w:tab w:val="left" w:pos="1843"/>
      </w:tabs>
      <w:spacing w:before="0"/>
      <w:ind w:left="1843" w:hanging="851"/>
    </w:pPr>
    <w:rPr>
      <w:b w:val="0"/>
    </w:rPr>
  </w:style>
  <w:style w:type="paragraph" w:styleId="TOCHeading">
    <w:name w:val="TOC Heading"/>
    <w:basedOn w:val="Heading1"/>
    <w:next w:val="Normal"/>
    <w:uiPriority w:val="39"/>
    <w:semiHidden/>
    <w:unhideWhenUsed/>
    <w:qFormat/>
    <w:rsid w:val="00B44DA1"/>
    <w:pPr>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Subheading">
    <w:name w:val="Contents Subheading"/>
    <w:basedOn w:val="Contents"/>
    <w:next w:val="Normal"/>
    <w:qFormat/>
    <w:rsid w:val="00C01575"/>
    <w:pPr>
      <w:outlineLvl w:val="1"/>
    </w:pPr>
    <w:rPr>
      <w:sz w:val="28"/>
    </w:rPr>
  </w:style>
  <w:style w:type="paragraph" w:styleId="TOC5">
    <w:name w:val="toc 5"/>
    <w:basedOn w:val="TOC1"/>
    <w:next w:val="Normal"/>
    <w:autoRedefine/>
    <w:rsid w:val="00290C34"/>
    <w:pPr>
      <w:tabs>
        <w:tab w:val="left" w:pos="2127"/>
      </w:tabs>
      <w:spacing w:before="0"/>
      <w:ind w:left="2552" w:hanging="1418"/>
    </w:pPr>
    <w:rPr>
      <w:b w:val="0"/>
      <w:sz w:val="22"/>
    </w:rPr>
  </w:style>
  <w:style w:type="paragraph" w:customStyle="1" w:styleId="AppendixMain">
    <w:name w:val="Appendix Main"/>
    <w:basedOn w:val="Contents"/>
    <w:next w:val="Normal"/>
    <w:qFormat/>
    <w:rsid w:val="00D40829"/>
    <w:pPr>
      <w:keepNext/>
      <w:numPr>
        <w:numId w:val="2"/>
      </w:numPr>
      <w:spacing w:before="360" w:after="0"/>
    </w:pPr>
  </w:style>
  <w:style w:type="paragraph" w:customStyle="1" w:styleId="AppendixSubheading">
    <w:name w:val="Appendix Subheading"/>
    <w:basedOn w:val="AppendixMain"/>
    <w:next w:val="Normal"/>
    <w:qFormat/>
    <w:rsid w:val="00D40829"/>
    <w:pPr>
      <w:numPr>
        <w:ilvl w:val="1"/>
      </w:numPr>
      <w:outlineLvl w:val="1"/>
    </w:pPr>
    <w:rPr>
      <w:sz w:val="28"/>
    </w:rPr>
  </w:style>
  <w:style w:type="paragraph" w:customStyle="1" w:styleId="AppendixThird">
    <w:name w:val="Appendix Third"/>
    <w:basedOn w:val="AppendixMain"/>
    <w:next w:val="Normal"/>
    <w:qFormat/>
    <w:rsid w:val="00D40829"/>
    <w:pPr>
      <w:numPr>
        <w:ilvl w:val="2"/>
      </w:numPr>
      <w:ind w:left="1077" w:hanging="1077"/>
      <w:outlineLvl w:val="2"/>
    </w:pPr>
    <w:rPr>
      <w:sz w:val="24"/>
    </w:rPr>
  </w:style>
  <w:style w:type="table" w:styleId="TableList8">
    <w:name w:val="Table List 8"/>
    <w:basedOn w:val="TableNormal"/>
    <w:rsid w:val="00512C1A"/>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C6477B"/>
    <w:pPr>
      <w:spacing w:before="0"/>
      <w:ind w:firstLine="0"/>
    </w:pPr>
  </w:style>
  <w:style w:type="paragraph" w:styleId="Bibliography">
    <w:name w:val="Bibliography"/>
    <w:basedOn w:val="Normal"/>
    <w:next w:val="Normal"/>
    <w:uiPriority w:val="37"/>
    <w:semiHidden/>
    <w:unhideWhenUsed/>
    <w:rsid w:val="00C64807"/>
  </w:style>
  <w:style w:type="paragraph" w:styleId="BlockText">
    <w:name w:val="Block Text"/>
    <w:basedOn w:val="Normal"/>
    <w:semiHidden/>
    <w:unhideWhenUsed/>
    <w:rsid w:val="00C6480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C64807"/>
    <w:pPr>
      <w:spacing w:after="120" w:line="480" w:lineRule="auto"/>
    </w:pPr>
  </w:style>
  <w:style w:type="character" w:customStyle="1" w:styleId="BodyText2Char">
    <w:name w:val="Body Text 2 Char"/>
    <w:basedOn w:val="DefaultParagraphFont"/>
    <w:link w:val="BodyText2"/>
    <w:semiHidden/>
    <w:rsid w:val="00C64807"/>
  </w:style>
  <w:style w:type="paragraph" w:styleId="BodyText3">
    <w:name w:val="Body Text 3"/>
    <w:basedOn w:val="Normal"/>
    <w:link w:val="BodyText3Char"/>
    <w:semiHidden/>
    <w:unhideWhenUsed/>
    <w:rsid w:val="00C64807"/>
    <w:pPr>
      <w:spacing w:after="120"/>
    </w:pPr>
    <w:rPr>
      <w:sz w:val="16"/>
      <w:szCs w:val="16"/>
    </w:rPr>
  </w:style>
  <w:style w:type="character" w:customStyle="1" w:styleId="BodyText3Char">
    <w:name w:val="Body Text 3 Char"/>
    <w:basedOn w:val="DefaultParagraphFont"/>
    <w:link w:val="BodyText3"/>
    <w:semiHidden/>
    <w:rsid w:val="00C64807"/>
    <w:rPr>
      <w:sz w:val="16"/>
      <w:szCs w:val="16"/>
    </w:rPr>
  </w:style>
  <w:style w:type="paragraph" w:styleId="BodyTextFirstIndent2">
    <w:name w:val="Body Text First Indent 2"/>
    <w:basedOn w:val="BodyTextIndent"/>
    <w:link w:val="BodyTextFirstIndent2Char"/>
    <w:semiHidden/>
    <w:unhideWhenUsed/>
    <w:rsid w:val="00C64807"/>
    <w:pPr>
      <w:ind w:left="360" w:firstLine="360"/>
    </w:pPr>
  </w:style>
  <w:style w:type="character" w:customStyle="1" w:styleId="BodyTextFirstIndent2Char">
    <w:name w:val="Body Text First Indent 2 Char"/>
    <w:basedOn w:val="BodyTextIndentChar"/>
    <w:link w:val="BodyTextFirstIndent2"/>
    <w:semiHidden/>
    <w:rsid w:val="00C64807"/>
  </w:style>
  <w:style w:type="paragraph" w:styleId="BodyTextIndent2">
    <w:name w:val="Body Text Indent 2"/>
    <w:basedOn w:val="Normal"/>
    <w:link w:val="BodyTextIndent2Char"/>
    <w:semiHidden/>
    <w:unhideWhenUsed/>
    <w:rsid w:val="00C64807"/>
    <w:pPr>
      <w:spacing w:after="120" w:line="480" w:lineRule="auto"/>
      <w:ind w:left="283"/>
    </w:pPr>
  </w:style>
  <w:style w:type="character" w:customStyle="1" w:styleId="BodyTextIndent2Char">
    <w:name w:val="Body Text Indent 2 Char"/>
    <w:basedOn w:val="DefaultParagraphFont"/>
    <w:link w:val="BodyTextIndent2"/>
    <w:semiHidden/>
    <w:rsid w:val="00C64807"/>
  </w:style>
  <w:style w:type="paragraph" w:styleId="BodyTextIndent3">
    <w:name w:val="Body Text Indent 3"/>
    <w:basedOn w:val="Normal"/>
    <w:link w:val="BodyTextIndent3Char"/>
    <w:semiHidden/>
    <w:unhideWhenUsed/>
    <w:rsid w:val="00C64807"/>
    <w:pPr>
      <w:spacing w:after="120"/>
      <w:ind w:left="283"/>
    </w:pPr>
    <w:rPr>
      <w:sz w:val="16"/>
      <w:szCs w:val="16"/>
    </w:rPr>
  </w:style>
  <w:style w:type="character" w:customStyle="1" w:styleId="BodyTextIndent3Char">
    <w:name w:val="Body Text Indent 3 Char"/>
    <w:basedOn w:val="DefaultParagraphFont"/>
    <w:link w:val="BodyTextIndent3"/>
    <w:semiHidden/>
    <w:rsid w:val="00C64807"/>
    <w:rPr>
      <w:sz w:val="16"/>
      <w:szCs w:val="16"/>
    </w:rPr>
  </w:style>
  <w:style w:type="paragraph" w:styleId="Closing">
    <w:name w:val="Closing"/>
    <w:basedOn w:val="Normal"/>
    <w:link w:val="ClosingChar"/>
    <w:semiHidden/>
    <w:unhideWhenUsed/>
    <w:rsid w:val="00C64807"/>
    <w:pPr>
      <w:spacing w:before="0" w:line="240" w:lineRule="auto"/>
      <w:ind w:left="4252"/>
    </w:pPr>
  </w:style>
  <w:style w:type="character" w:customStyle="1" w:styleId="ClosingChar">
    <w:name w:val="Closing Char"/>
    <w:basedOn w:val="DefaultParagraphFont"/>
    <w:link w:val="Closing"/>
    <w:semiHidden/>
    <w:rsid w:val="00C64807"/>
  </w:style>
  <w:style w:type="paragraph" w:styleId="CommentText">
    <w:name w:val="annotation text"/>
    <w:basedOn w:val="Normal"/>
    <w:link w:val="CommentTextChar"/>
    <w:uiPriority w:val="99"/>
    <w:unhideWhenUsed/>
    <w:rsid w:val="00C64807"/>
    <w:pPr>
      <w:spacing w:line="240" w:lineRule="auto"/>
    </w:pPr>
    <w:rPr>
      <w:sz w:val="20"/>
      <w:szCs w:val="20"/>
    </w:rPr>
  </w:style>
  <w:style w:type="character" w:customStyle="1" w:styleId="CommentTextChar">
    <w:name w:val="Comment Text Char"/>
    <w:basedOn w:val="DefaultParagraphFont"/>
    <w:link w:val="CommentText"/>
    <w:uiPriority w:val="99"/>
    <w:rsid w:val="00C64807"/>
    <w:rPr>
      <w:sz w:val="20"/>
      <w:szCs w:val="20"/>
    </w:rPr>
  </w:style>
  <w:style w:type="paragraph" w:styleId="CommentSubject">
    <w:name w:val="annotation subject"/>
    <w:basedOn w:val="CommentText"/>
    <w:next w:val="CommentText"/>
    <w:link w:val="CommentSubjectChar"/>
    <w:semiHidden/>
    <w:unhideWhenUsed/>
    <w:rsid w:val="00C64807"/>
    <w:rPr>
      <w:b/>
      <w:bCs/>
    </w:rPr>
  </w:style>
  <w:style w:type="character" w:customStyle="1" w:styleId="CommentSubjectChar">
    <w:name w:val="Comment Subject Char"/>
    <w:basedOn w:val="CommentTextChar"/>
    <w:link w:val="CommentSubject"/>
    <w:semiHidden/>
    <w:rsid w:val="00C64807"/>
    <w:rPr>
      <w:b/>
      <w:bCs/>
      <w:sz w:val="20"/>
      <w:szCs w:val="20"/>
    </w:rPr>
  </w:style>
  <w:style w:type="paragraph" w:styleId="Date">
    <w:name w:val="Date"/>
    <w:basedOn w:val="Normal"/>
    <w:next w:val="Normal"/>
    <w:link w:val="DateChar"/>
    <w:rsid w:val="00C64807"/>
  </w:style>
  <w:style w:type="character" w:customStyle="1" w:styleId="DateChar">
    <w:name w:val="Date Char"/>
    <w:basedOn w:val="DefaultParagraphFont"/>
    <w:link w:val="Date"/>
    <w:rsid w:val="00C64807"/>
  </w:style>
  <w:style w:type="paragraph" w:styleId="E-mailSignature">
    <w:name w:val="E-mail Signature"/>
    <w:basedOn w:val="Normal"/>
    <w:link w:val="E-mailSignatureChar"/>
    <w:semiHidden/>
    <w:unhideWhenUsed/>
    <w:rsid w:val="00C64807"/>
    <w:pPr>
      <w:spacing w:before="0" w:line="240" w:lineRule="auto"/>
    </w:pPr>
  </w:style>
  <w:style w:type="character" w:customStyle="1" w:styleId="E-mailSignatureChar">
    <w:name w:val="E-mail Signature Char"/>
    <w:basedOn w:val="DefaultParagraphFont"/>
    <w:link w:val="E-mailSignature"/>
    <w:semiHidden/>
    <w:rsid w:val="00C64807"/>
  </w:style>
  <w:style w:type="paragraph" w:styleId="EndnoteText">
    <w:name w:val="endnote text"/>
    <w:basedOn w:val="Normal"/>
    <w:link w:val="EndnoteTextChar"/>
    <w:uiPriority w:val="99"/>
    <w:unhideWhenUsed/>
    <w:rsid w:val="00C64807"/>
    <w:pPr>
      <w:spacing w:before="0" w:line="240" w:lineRule="auto"/>
    </w:pPr>
    <w:rPr>
      <w:sz w:val="20"/>
      <w:szCs w:val="20"/>
    </w:rPr>
  </w:style>
  <w:style w:type="character" w:customStyle="1" w:styleId="EndnoteTextChar">
    <w:name w:val="Endnote Text Char"/>
    <w:basedOn w:val="DefaultParagraphFont"/>
    <w:link w:val="EndnoteText"/>
    <w:uiPriority w:val="99"/>
    <w:rsid w:val="00C64807"/>
    <w:rPr>
      <w:sz w:val="20"/>
      <w:szCs w:val="20"/>
    </w:rPr>
  </w:style>
  <w:style w:type="paragraph" w:styleId="EnvelopeAddress">
    <w:name w:val="envelope address"/>
    <w:basedOn w:val="Normal"/>
    <w:semiHidden/>
    <w:unhideWhenUsed/>
    <w:rsid w:val="00C64807"/>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64807"/>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480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64807"/>
    <w:rPr>
      <w:sz w:val="20"/>
      <w:szCs w:val="20"/>
    </w:rPr>
  </w:style>
  <w:style w:type="paragraph" w:styleId="HTMLAddress">
    <w:name w:val="HTML Address"/>
    <w:basedOn w:val="Normal"/>
    <w:link w:val="HTMLAddressChar"/>
    <w:semiHidden/>
    <w:unhideWhenUsed/>
    <w:rsid w:val="00C64807"/>
    <w:pPr>
      <w:spacing w:before="0" w:line="240" w:lineRule="auto"/>
    </w:pPr>
    <w:rPr>
      <w:i/>
      <w:iCs/>
    </w:rPr>
  </w:style>
  <w:style w:type="character" w:customStyle="1" w:styleId="HTMLAddressChar">
    <w:name w:val="HTML Address Char"/>
    <w:basedOn w:val="DefaultParagraphFont"/>
    <w:link w:val="HTMLAddress"/>
    <w:semiHidden/>
    <w:rsid w:val="00C64807"/>
    <w:rPr>
      <w:i/>
      <w:iCs/>
    </w:rPr>
  </w:style>
  <w:style w:type="paragraph" w:styleId="HTMLPreformatted">
    <w:name w:val="HTML Preformatted"/>
    <w:basedOn w:val="Normal"/>
    <w:link w:val="HTMLPreformattedChar"/>
    <w:semiHidden/>
    <w:unhideWhenUsed/>
    <w:rsid w:val="00C64807"/>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64807"/>
    <w:rPr>
      <w:rFonts w:ascii="Consolas" w:hAnsi="Consolas"/>
      <w:sz w:val="20"/>
      <w:szCs w:val="20"/>
    </w:rPr>
  </w:style>
  <w:style w:type="paragraph" w:styleId="Index1">
    <w:name w:val="index 1"/>
    <w:basedOn w:val="Normal"/>
    <w:next w:val="Normal"/>
    <w:autoRedefine/>
    <w:semiHidden/>
    <w:unhideWhenUsed/>
    <w:rsid w:val="00C64807"/>
    <w:pPr>
      <w:spacing w:before="0" w:line="240" w:lineRule="auto"/>
      <w:ind w:left="220" w:hanging="220"/>
    </w:pPr>
  </w:style>
  <w:style w:type="paragraph" w:styleId="Index2">
    <w:name w:val="index 2"/>
    <w:basedOn w:val="Normal"/>
    <w:next w:val="Normal"/>
    <w:autoRedefine/>
    <w:semiHidden/>
    <w:unhideWhenUsed/>
    <w:rsid w:val="00C64807"/>
    <w:pPr>
      <w:spacing w:before="0" w:line="240" w:lineRule="auto"/>
      <w:ind w:left="440" w:hanging="220"/>
    </w:pPr>
  </w:style>
  <w:style w:type="paragraph" w:styleId="Index3">
    <w:name w:val="index 3"/>
    <w:basedOn w:val="Normal"/>
    <w:next w:val="Normal"/>
    <w:autoRedefine/>
    <w:semiHidden/>
    <w:unhideWhenUsed/>
    <w:rsid w:val="00C64807"/>
    <w:pPr>
      <w:spacing w:before="0" w:line="240" w:lineRule="auto"/>
      <w:ind w:left="660" w:hanging="220"/>
    </w:pPr>
  </w:style>
  <w:style w:type="paragraph" w:styleId="Index4">
    <w:name w:val="index 4"/>
    <w:basedOn w:val="Normal"/>
    <w:next w:val="Normal"/>
    <w:autoRedefine/>
    <w:semiHidden/>
    <w:unhideWhenUsed/>
    <w:rsid w:val="00C64807"/>
    <w:pPr>
      <w:spacing w:before="0" w:line="240" w:lineRule="auto"/>
      <w:ind w:left="880" w:hanging="220"/>
    </w:pPr>
  </w:style>
  <w:style w:type="paragraph" w:styleId="Index5">
    <w:name w:val="index 5"/>
    <w:basedOn w:val="Normal"/>
    <w:next w:val="Normal"/>
    <w:autoRedefine/>
    <w:semiHidden/>
    <w:unhideWhenUsed/>
    <w:rsid w:val="00C64807"/>
    <w:pPr>
      <w:spacing w:before="0" w:line="240" w:lineRule="auto"/>
      <w:ind w:left="1100" w:hanging="220"/>
    </w:pPr>
  </w:style>
  <w:style w:type="paragraph" w:styleId="Index6">
    <w:name w:val="index 6"/>
    <w:basedOn w:val="Normal"/>
    <w:next w:val="Normal"/>
    <w:autoRedefine/>
    <w:semiHidden/>
    <w:unhideWhenUsed/>
    <w:rsid w:val="00C64807"/>
    <w:pPr>
      <w:spacing w:before="0" w:line="240" w:lineRule="auto"/>
      <w:ind w:left="1320" w:hanging="220"/>
    </w:pPr>
  </w:style>
  <w:style w:type="paragraph" w:styleId="Index7">
    <w:name w:val="index 7"/>
    <w:basedOn w:val="Normal"/>
    <w:next w:val="Normal"/>
    <w:autoRedefine/>
    <w:semiHidden/>
    <w:unhideWhenUsed/>
    <w:rsid w:val="00C64807"/>
    <w:pPr>
      <w:spacing w:before="0" w:line="240" w:lineRule="auto"/>
      <w:ind w:left="1540" w:hanging="220"/>
    </w:pPr>
  </w:style>
  <w:style w:type="paragraph" w:styleId="Index8">
    <w:name w:val="index 8"/>
    <w:basedOn w:val="Normal"/>
    <w:next w:val="Normal"/>
    <w:autoRedefine/>
    <w:semiHidden/>
    <w:unhideWhenUsed/>
    <w:rsid w:val="00C64807"/>
    <w:pPr>
      <w:spacing w:before="0" w:line="240" w:lineRule="auto"/>
      <w:ind w:left="1760" w:hanging="220"/>
    </w:pPr>
  </w:style>
  <w:style w:type="paragraph" w:styleId="Index9">
    <w:name w:val="index 9"/>
    <w:basedOn w:val="Normal"/>
    <w:next w:val="Normal"/>
    <w:autoRedefine/>
    <w:semiHidden/>
    <w:unhideWhenUsed/>
    <w:rsid w:val="00C64807"/>
    <w:pPr>
      <w:spacing w:before="0" w:line="240" w:lineRule="auto"/>
      <w:ind w:left="1980" w:hanging="220"/>
    </w:pPr>
  </w:style>
  <w:style w:type="paragraph" w:styleId="IndexHeading">
    <w:name w:val="index heading"/>
    <w:basedOn w:val="Normal"/>
    <w:next w:val="Index1"/>
    <w:semiHidden/>
    <w:unhideWhenUsed/>
    <w:rsid w:val="00C64807"/>
    <w:rPr>
      <w:rFonts w:asciiTheme="majorHAnsi" w:eastAsiaTheme="majorEastAsia" w:hAnsiTheme="majorHAnsi" w:cstheme="majorBidi"/>
      <w:b/>
      <w:bCs/>
    </w:rPr>
  </w:style>
  <w:style w:type="paragraph" w:styleId="List">
    <w:name w:val="List"/>
    <w:basedOn w:val="Normal"/>
    <w:semiHidden/>
    <w:unhideWhenUsed/>
    <w:rsid w:val="00C64807"/>
    <w:pPr>
      <w:ind w:left="283" w:hanging="283"/>
      <w:contextualSpacing/>
    </w:pPr>
  </w:style>
  <w:style w:type="paragraph" w:styleId="List2">
    <w:name w:val="List 2"/>
    <w:basedOn w:val="Normal"/>
    <w:semiHidden/>
    <w:unhideWhenUsed/>
    <w:rsid w:val="00C64807"/>
    <w:pPr>
      <w:ind w:left="566" w:hanging="283"/>
      <w:contextualSpacing/>
    </w:pPr>
  </w:style>
  <w:style w:type="paragraph" w:styleId="List3">
    <w:name w:val="List 3"/>
    <w:basedOn w:val="Normal"/>
    <w:semiHidden/>
    <w:unhideWhenUsed/>
    <w:rsid w:val="00C64807"/>
    <w:pPr>
      <w:ind w:left="849" w:hanging="283"/>
      <w:contextualSpacing/>
    </w:pPr>
  </w:style>
  <w:style w:type="paragraph" w:styleId="List4">
    <w:name w:val="List 4"/>
    <w:basedOn w:val="Normal"/>
    <w:semiHidden/>
    <w:rsid w:val="00C64807"/>
    <w:pPr>
      <w:ind w:left="1132" w:hanging="283"/>
      <w:contextualSpacing/>
    </w:pPr>
  </w:style>
  <w:style w:type="paragraph" w:styleId="List5">
    <w:name w:val="List 5"/>
    <w:basedOn w:val="Normal"/>
    <w:semiHidden/>
    <w:rsid w:val="00C64807"/>
    <w:pPr>
      <w:ind w:left="1415" w:hanging="283"/>
      <w:contextualSpacing/>
    </w:pPr>
  </w:style>
  <w:style w:type="paragraph" w:styleId="ListBullet">
    <w:name w:val="List Bullet"/>
    <w:basedOn w:val="Normal"/>
    <w:semiHidden/>
    <w:unhideWhenUsed/>
    <w:rsid w:val="00C64807"/>
    <w:pPr>
      <w:numPr>
        <w:numId w:val="4"/>
      </w:numPr>
      <w:contextualSpacing/>
    </w:pPr>
  </w:style>
  <w:style w:type="paragraph" w:styleId="ListBullet2">
    <w:name w:val="List Bullet 2"/>
    <w:basedOn w:val="Normal"/>
    <w:semiHidden/>
    <w:unhideWhenUsed/>
    <w:rsid w:val="00C64807"/>
    <w:pPr>
      <w:numPr>
        <w:numId w:val="5"/>
      </w:numPr>
      <w:contextualSpacing/>
    </w:pPr>
  </w:style>
  <w:style w:type="paragraph" w:styleId="ListBullet3">
    <w:name w:val="List Bullet 3"/>
    <w:basedOn w:val="Normal"/>
    <w:semiHidden/>
    <w:unhideWhenUsed/>
    <w:rsid w:val="00C64807"/>
    <w:pPr>
      <w:numPr>
        <w:numId w:val="6"/>
      </w:numPr>
      <w:contextualSpacing/>
    </w:pPr>
  </w:style>
  <w:style w:type="paragraph" w:styleId="ListBullet4">
    <w:name w:val="List Bullet 4"/>
    <w:basedOn w:val="Normal"/>
    <w:semiHidden/>
    <w:unhideWhenUsed/>
    <w:rsid w:val="00C64807"/>
    <w:pPr>
      <w:numPr>
        <w:numId w:val="7"/>
      </w:numPr>
      <w:contextualSpacing/>
    </w:pPr>
  </w:style>
  <w:style w:type="paragraph" w:styleId="ListBullet5">
    <w:name w:val="List Bullet 5"/>
    <w:basedOn w:val="Normal"/>
    <w:semiHidden/>
    <w:unhideWhenUsed/>
    <w:rsid w:val="00C64807"/>
    <w:pPr>
      <w:numPr>
        <w:numId w:val="8"/>
      </w:numPr>
      <w:contextualSpacing/>
    </w:pPr>
  </w:style>
  <w:style w:type="paragraph" w:styleId="ListContinue">
    <w:name w:val="List Continue"/>
    <w:basedOn w:val="Normal"/>
    <w:semiHidden/>
    <w:unhideWhenUsed/>
    <w:rsid w:val="00C64807"/>
    <w:pPr>
      <w:spacing w:after="120"/>
      <w:ind w:left="283"/>
      <w:contextualSpacing/>
    </w:pPr>
  </w:style>
  <w:style w:type="paragraph" w:styleId="ListContinue2">
    <w:name w:val="List Continue 2"/>
    <w:basedOn w:val="Normal"/>
    <w:semiHidden/>
    <w:unhideWhenUsed/>
    <w:rsid w:val="00C64807"/>
    <w:pPr>
      <w:spacing w:after="120"/>
      <w:ind w:left="566"/>
      <w:contextualSpacing/>
    </w:pPr>
  </w:style>
  <w:style w:type="paragraph" w:styleId="ListContinue3">
    <w:name w:val="List Continue 3"/>
    <w:basedOn w:val="Normal"/>
    <w:semiHidden/>
    <w:unhideWhenUsed/>
    <w:rsid w:val="00C64807"/>
    <w:pPr>
      <w:spacing w:after="120"/>
      <w:ind w:left="849"/>
      <w:contextualSpacing/>
    </w:pPr>
  </w:style>
  <w:style w:type="paragraph" w:styleId="ListContinue4">
    <w:name w:val="List Continue 4"/>
    <w:basedOn w:val="Normal"/>
    <w:semiHidden/>
    <w:unhideWhenUsed/>
    <w:rsid w:val="00C64807"/>
    <w:pPr>
      <w:spacing w:after="120"/>
      <w:ind w:left="1132"/>
      <w:contextualSpacing/>
    </w:pPr>
  </w:style>
  <w:style w:type="paragraph" w:styleId="ListContinue5">
    <w:name w:val="List Continue 5"/>
    <w:basedOn w:val="Normal"/>
    <w:semiHidden/>
    <w:unhideWhenUsed/>
    <w:rsid w:val="00C64807"/>
    <w:pPr>
      <w:spacing w:after="120"/>
      <w:ind w:left="1415"/>
      <w:contextualSpacing/>
    </w:pPr>
  </w:style>
  <w:style w:type="paragraph" w:styleId="ListNumber">
    <w:name w:val="List Number"/>
    <w:basedOn w:val="Normal"/>
    <w:rsid w:val="00586B97"/>
    <w:pPr>
      <w:numPr>
        <w:numId w:val="9"/>
      </w:numPr>
      <w:ind w:left="357" w:hanging="357"/>
      <w:contextualSpacing/>
    </w:pPr>
  </w:style>
  <w:style w:type="paragraph" w:styleId="ListNumber2">
    <w:name w:val="List Number 2"/>
    <w:basedOn w:val="Normal"/>
    <w:semiHidden/>
    <w:unhideWhenUsed/>
    <w:rsid w:val="00C64807"/>
    <w:pPr>
      <w:numPr>
        <w:numId w:val="10"/>
      </w:numPr>
      <w:contextualSpacing/>
    </w:pPr>
  </w:style>
  <w:style w:type="paragraph" w:styleId="ListNumber3">
    <w:name w:val="List Number 3"/>
    <w:basedOn w:val="Normal"/>
    <w:semiHidden/>
    <w:unhideWhenUsed/>
    <w:rsid w:val="00C64807"/>
    <w:pPr>
      <w:numPr>
        <w:numId w:val="11"/>
      </w:numPr>
      <w:contextualSpacing/>
    </w:pPr>
  </w:style>
  <w:style w:type="paragraph" w:styleId="ListNumber4">
    <w:name w:val="List Number 4"/>
    <w:basedOn w:val="Normal"/>
    <w:semiHidden/>
    <w:unhideWhenUsed/>
    <w:rsid w:val="00C64807"/>
    <w:pPr>
      <w:numPr>
        <w:numId w:val="12"/>
      </w:numPr>
      <w:contextualSpacing/>
    </w:pPr>
  </w:style>
  <w:style w:type="paragraph" w:styleId="ListNumber5">
    <w:name w:val="List Number 5"/>
    <w:basedOn w:val="Normal"/>
    <w:semiHidden/>
    <w:unhideWhenUsed/>
    <w:rsid w:val="00C64807"/>
    <w:pPr>
      <w:numPr>
        <w:numId w:val="13"/>
      </w:numPr>
      <w:contextualSpacing/>
    </w:pPr>
  </w:style>
  <w:style w:type="paragraph" w:styleId="MacroText">
    <w:name w:val="macro"/>
    <w:link w:val="MacroTextChar"/>
    <w:semiHidden/>
    <w:unhideWhenUsed/>
    <w:rsid w:val="00C6480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64807"/>
    <w:rPr>
      <w:rFonts w:ascii="Consolas" w:hAnsi="Consolas"/>
      <w:sz w:val="20"/>
      <w:szCs w:val="20"/>
    </w:rPr>
  </w:style>
  <w:style w:type="paragraph" w:styleId="MessageHeader">
    <w:name w:val="Message Header"/>
    <w:basedOn w:val="Normal"/>
    <w:link w:val="MessageHeaderChar"/>
    <w:semiHidden/>
    <w:unhideWhenUsed/>
    <w:rsid w:val="00C64807"/>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64807"/>
    <w:rPr>
      <w:rFonts w:asciiTheme="majorHAnsi" w:eastAsiaTheme="majorEastAsia" w:hAnsiTheme="majorHAnsi" w:cstheme="majorBidi"/>
      <w:sz w:val="24"/>
      <w:szCs w:val="24"/>
      <w:shd w:val="pct20" w:color="auto" w:fill="auto"/>
    </w:rPr>
  </w:style>
  <w:style w:type="paragraph" w:styleId="NoSpacing">
    <w:name w:val="No Spacing"/>
    <w:uiPriority w:val="1"/>
    <w:rsid w:val="00C64807"/>
    <w:pPr>
      <w:spacing w:before="0" w:line="240" w:lineRule="auto"/>
    </w:pPr>
  </w:style>
  <w:style w:type="paragraph" w:styleId="NormalWeb">
    <w:name w:val="Normal (Web)"/>
    <w:basedOn w:val="Normal"/>
    <w:semiHidden/>
    <w:unhideWhenUsed/>
    <w:rsid w:val="00C64807"/>
    <w:rPr>
      <w:rFonts w:ascii="Times New Roman" w:hAnsi="Times New Roman"/>
      <w:sz w:val="24"/>
      <w:szCs w:val="24"/>
    </w:rPr>
  </w:style>
  <w:style w:type="paragraph" w:styleId="NormalIndent">
    <w:name w:val="Normal Indent"/>
    <w:basedOn w:val="Normal"/>
    <w:semiHidden/>
    <w:unhideWhenUsed/>
    <w:rsid w:val="00C64807"/>
    <w:pPr>
      <w:ind w:left="720"/>
    </w:pPr>
  </w:style>
  <w:style w:type="paragraph" w:styleId="NoteHeading">
    <w:name w:val="Note Heading"/>
    <w:basedOn w:val="Normal"/>
    <w:next w:val="Normal"/>
    <w:link w:val="NoteHeadingChar"/>
    <w:semiHidden/>
    <w:unhideWhenUsed/>
    <w:rsid w:val="00C64807"/>
    <w:pPr>
      <w:spacing w:before="0" w:line="240" w:lineRule="auto"/>
    </w:pPr>
  </w:style>
  <w:style w:type="character" w:customStyle="1" w:styleId="NoteHeadingChar">
    <w:name w:val="Note Heading Char"/>
    <w:basedOn w:val="DefaultParagraphFont"/>
    <w:link w:val="NoteHeading"/>
    <w:semiHidden/>
    <w:rsid w:val="00C64807"/>
  </w:style>
  <w:style w:type="paragraph" w:styleId="PlainText">
    <w:name w:val="Plain Text"/>
    <w:basedOn w:val="Normal"/>
    <w:link w:val="PlainTextChar"/>
    <w:semiHidden/>
    <w:unhideWhenUsed/>
    <w:rsid w:val="00C64807"/>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C64807"/>
    <w:rPr>
      <w:rFonts w:ascii="Consolas" w:hAnsi="Consolas"/>
      <w:sz w:val="21"/>
      <w:szCs w:val="21"/>
    </w:rPr>
  </w:style>
  <w:style w:type="paragraph" w:styleId="Signature">
    <w:name w:val="Signature"/>
    <w:basedOn w:val="Normal"/>
    <w:link w:val="SignatureChar"/>
    <w:semiHidden/>
    <w:unhideWhenUsed/>
    <w:rsid w:val="00C64807"/>
    <w:pPr>
      <w:spacing w:before="0" w:line="240" w:lineRule="auto"/>
      <w:ind w:left="4252"/>
    </w:pPr>
  </w:style>
  <w:style w:type="character" w:customStyle="1" w:styleId="SignatureChar">
    <w:name w:val="Signature Char"/>
    <w:basedOn w:val="DefaultParagraphFont"/>
    <w:link w:val="Signature"/>
    <w:semiHidden/>
    <w:rsid w:val="00C64807"/>
  </w:style>
  <w:style w:type="paragraph" w:styleId="TableofAuthorities">
    <w:name w:val="table of authorities"/>
    <w:basedOn w:val="Normal"/>
    <w:next w:val="Normal"/>
    <w:semiHidden/>
    <w:unhideWhenUsed/>
    <w:rsid w:val="00C64807"/>
    <w:pPr>
      <w:ind w:left="220" w:hanging="220"/>
    </w:pPr>
  </w:style>
  <w:style w:type="paragraph" w:styleId="TOAHeading">
    <w:name w:val="toa heading"/>
    <w:basedOn w:val="Normal"/>
    <w:next w:val="Normal"/>
    <w:semiHidden/>
    <w:unhideWhenUsed/>
    <w:rsid w:val="00C64807"/>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64807"/>
    <w:pPr>
      <w:spacing w:after="100"/>
      <w:ind w:left="1100"/>
    </w:pPr>
  </w:style>
  <w:style w:type="paragraph" w:styleId="TOC7">
    <w:name w:val="toc 7"/>
    <w:basedOn w:val="Normal"/>
    <w:next w:val="Normal"/>
    <w:autoRedefine/>
    <w:semiHidden/>
    <w:unhideWhenUsed/>
    <w:rsid w:val="00C64807"/>
    <w:pPr>
      <w:spacing w:after="100"/>
      <w:ind w:left="1320"/>
    </w:pPr>
  </w:style>
  <w:style w:type="paragraph" w:styleId="TOC8">
    <w:name w:val="toc 8"/>
    <w:basedOn w:val="Normal"/>
    <w:next w:val="Normal"/>
    <w:autoRedefine/>
    <w:semiHidden/>
    <w:unhideWhenUsed/>
    <w:rsid w:val="00C64807"/>
    <w:pPr>
      <w:spacing w:after="100"/>
      <w:ind w:left="1540"/>
    </w:pPr>
  </w:style>
  <w:style w:type="paragraph" w:styleId="TOC9">
    <w:name w:val="toc 9"/>
    <w:basedOn w:val="Normal"/>
    <w:next w:val="Normal"/>
    <w:autoRedefine/>
    <w:semiHidden/>
    <w:unhideWhenUsed/>
    <w:rsid w:val="00C64807"/>
    <w:pPr>
      <w:spacing w:after="100"/>
      <w:ind w:left="1760"/>
    </w:pPr>
  </w:style>
  <w:style w:type="paragraph" w:customStyle="1" w:styleId="FooterLandscapedEven">
    <w:name w:val="Footer Landscaped Even"/>
    <w:basedOn w:val="Footer"/>
    <w:qFormat/>
    <w:rsid w:val="009D08DF"/>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9D08DF"/>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0A5221"/>
    <w:rPr>
      <w:b/>
    </w:rPr>
  </w:style>
  <w:style w:type="paragraph" w:customStyle="1" w:styleId="Insertedimage">
    <w:name w:val="Inserted image"/>
    <w:basedOn w:val="Normal"/>
    <w:next w:val="Normal"/>
    <w:qFormat/>
    <w:rsid w:val="00300611"/>
    <w:pPr>
      <w:keepNext/>
      <w:spacing w:before="120" w:after="120" w:line="240" w:lineRule="auto"/>
      <w:jc w:val="center"/>
    </w:pPr>
    <w:rPr>
      <w:noProof/>
    </w:rPr>
  </w:style>
  <w:style w:type="paragraph" w:styleId="Title">
    <w:name w:val="Title"/>
    <w:basedOn w:val="Normal"/>
    <w:next w:val="Normal"/>
    <w:link w:val="TitleChar"/>
    <w:rsid w:val="00540372"/>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540372"/>
    <w:rPr>
      <w:rFonts w:asciiTheme="minorHAnsi" w:eastAsiaTheme="majorEastAsia" w:hAnsiTheme="minorHAnsi" w:cstheme="majorBidi"/>
      <w:b/>
      <w:spacing w:val="5"/>
      <w:kern w:val="28"/>
      <w:sz w:val="24"/>
      <w:szCs w:val="52"/>
    </w:rPr>
  </w:style>
  <w:style w:type="character" w:styleId="FollowedHyperlink">
    <w:name w:val="FollowedHyperlink"/>
    <w:basedOn w:val="DefaultParagraphFont"/>
    <w:semiHidden/>
    <w:unhideWhenUsed/>
    <w:rsid w:val="000D4D6A"/>
    <w:rPr>
      <w:color w:val="800080" w:themeColor="followedHyperlink"/>
      <w:u w:val="single"/>
    </w:rPr>
  </w:style>
  <w:style w:type="paragraph" w:styleId="ListParagraph">
    <w:name w:val="List Paragraph"/>
    <w:basedOn w:val="Normal"/>
    <w:uiPriority w:val="34"/>
    <w:qFormat/>
    <w:rsid w:val="00557E3C"/>
    <w:pPr>
      <w:ind w:left="720"/>
      <w:contextualSpacing/>
    </w:pPr>
  </w:style>
  <w:style w:type="paragraph" w:customStyle="1" w:styleId="Default">
    <w:name w:val="Default"/>
    <w:rsid w:val="0087513F"/>
    <w:pPr>
      <w:autoSpaceDE w:val="0"/>
      <w:autoSpaceDN w:val="0"/>
      <w:adjustRightInd w:val="0"/>
      <w:spacing w:before="0"/>
    </w:pPr>
    <w:rPr>
      <w:rFonts w:cs="Lucida Sans"/>
      <w:color w:val="000000"/>
      <w:szCs w:val="24"/>
    </w:rPr>
  </w:style>
  <w:style w:type="character" w:customStyle="1" w:styleId="TableHeaderChar">
    <w:name w:val="Table Header Char"/>
    <w:basedOn w:val="TableCellChar"/>
    <w:link w:val="TableHeader"/>
    <w:locked/>
    <w:rsid w:val="00547D01"/>
    <w:rPr>
      <w:b/>
      <w:bCs/>
    </w:rPr>
  </w:style>
  <w:style w:type="paragraph" w:customStyle="1" w:styleId="TableHeader">
    <w:name w:val="Table Header"/>
    <w:basedOn w:val="TableCell"/>
    <w:next w:val="TableCell"/>
    <w:link w:val="TableHeaderChar"/>
    <w:qFormat/>
    <w:rsid w:val="00547D01"/>
    <w:pPr>
      <w:adjustRightInd w:val="0"/>
    </w:pPr>
    <w:rPr>
      <w:b/>
      <w:bCs/>
    </w:rPr>
  </w:style>
  <w:style w:type="paragraph" w:customStyle="1" w:styleId="AbstractNormal">
    <w:name w:val="Abstract Normal"/>
    <w:basedOn w:val="Normal"/>
    <w:qFormat/>
    <w:rsid w:val="00DC3041"/>
    <w:pPr>
      <w:spacing w:before="0" w:line="276" w:lineRule="auto"/>
    </w:pPr>
  </w:style>
  <w:style w:type="character" w:styleId="CommentReference">
    <w:name w:val="annotation reference"/>
    <w:basedOn w:val="DefaultParagraphFont"/>
    <w:uiPriority w:val="99"/>
    <w:unhideWhenUsed/>
    <w:rsid w:val="00D07CEB"/>
    <w:rPr>
      <w:sz w:val="16"/>
      <w:szCs w:val="16"/>
    </w:rPr>
  </w:style>
  <w:style w:type="paragraph" w:customStyle="1" w:styleId="EndNoteBibliographyTitle">
    <w:name w:val="EndNote Bibliography Title"/>
    <w:basedOn w:val="Normal"/>
    <w:link w:val="EndNoteBibliographyTitleChar"/>
    <w:rsid w:val="00D07CEB"/>
    <w:pPr>
      <w:spacing w:before="0" w:line="259" w:lineRule="auto"/>
      <w:jc w:val="center"/>
    </w:pPr>
    <w:rPr>
      <w:rFonts w:eastAsiaTheme="minorHAnsi" w:cs="Calibri"/>
      <w:noProof/>
      <w:lang w:val="en-US" w:eastAsia="en-US"/>
    </w:rPr>
  </w:style>
  <w:style w:type="character" w:customStyle="1" w:styleId="EndNoteBibliographyTitleChar">
    <w:name w:val="EndNote Bibliography Title Char"/>
    <w:basedOn w:val="DefaultParagraphFont"/>
    <w:link w:val="EndNoteBibliographyTitle"/>
    <w:rsid w:val="00D07CEB"/>
    <w:rPr>
      <w:rFonts w:eastAsiaTheme="minorHAnsi" w:cs="Calibri"/>
      <w:noProof/>
      <w:lang w:val="en-US" w:eastAsia="en-US"/>
    </w:rPr>
  </w:style>
  <w:style w:type="paragraph" w:customStyle="1" w:styleId="EndNoteBibliography">
    <w:name w:val="EndNote Bibliography"/>
    <w:basedOn w:val="Normal"/>
    <w:link w:val="EndNoteBibliographyChar"/>
    <w:rsid w:val="00D07CEB"/>
    <w:pPr>
      <w:spacing w:before="0" w:after="160" w:line="240" w:lineRule="auto"/>
    </w:pPr>
    <w:rPr>
      <w:rFonts w:eastAsiaTheme="minorHAnsi" w:cs="Calibri"/>
      <w:noProof/>
      <w:lang w:val="en-US" w:eastAsia="en-US"/>
    </w:rPr>
  </w:style>
  <w:style w:type="character" w:customStyle="1" w:styleId="EndNoteBibliographyChar">
    <w:name w:val="EndNote Bibliography Char"/>
    <w:basedOn w:val="DefaultParagraphFont"/>
    <w:link w:val="EndNoteBibliography"/>
    <w:rsid w:val="00D07CEB"/>
    <w:rPr>
      <w:rFonts w:eastAsiaTheme="minorHAnsi" w:cs="Calibri"/>
      <w:noProof/>
      <w:lang w:val="en-US" w:eastAsia="en-US"/>
    </w:rPr>
  </w:style>
  <w:style w:type="character" w:customStyle="1" w:styleId="highwire-access-icon">
    <w:name w:val="highwire-access-icon"/>
    <w:basedOn w:val="DefaultParagraphFont"/>
    <w:rsid w:val="00D07CEB"/>
  </w:style>
  <w:style w:type="character" w:customStyle="1" w:styleId="name">
    <w:name w:val="name"/>
    <w:basedOn w:val="DefaultParagraphFont"/>
    <w:rsid w:val="00D07CEB"/>
  </w:style>
  <w:style w:type="character" w:customStyle="1" w:styleId="UnresolvedMention1">
    <w:name w:val="Unresolved Mention1"/>
    <w:basedOn w:val="DefaultParagraphFont"/>
    <w:uiPriority w:val="99"/>
    <w:semiHidden/>
    <w:unhideWhenUsed/>
    <w:rsid w:val="001F5DA4"/>
    <w:rPr>
      <w:color w:val="605E5C"/>
      <w:shd w:val="clear" w:color="auto" w:fill="E1DFDD"/>
    </w:rPr>
  </w:style>
  <w:style w:type="character" w:customStyle="1" w:styleId="DocumentMapChar">
    <w:name w:val="Document Map Char"/>
    <w:basedOn w:val="DefaultParagraphFont"/>
    <w:link w:val="DocumentMap"/>
    <w:semiHidden/>
    <w:rsid w:val="002B793F"/>
    <w:rPr>
      <w:rFonts w:ascii="Tahoma" w:hAnsi="Tahoma" w:cs="Tahoma"/>
      <w:szCs w:val="20"/>
      <w:shd w:val="clear" w:color="auto" w:fill="000080"/>
    </w:rPr>
  </w:style>
  <w:style w:type="character" w:customStyle="1" w:styleId="UnresolvedMention11">
    <w:name w:val="Unresolved Mention11"/>
    <w:basedOn w:val="DefaultParagraphFont"/>
    <w:uiPriority w:val="99"/>
    <w:semiHidden/>
    <w:unhideWhenUsed/>
    <w:rsid w:val="002B793F"/>
    <w:rPr>
      <w:color w:val="808080"/>
      <w:shd w:val="clear" w:color="auto" w:fill="E6E6E6"/>
    </w:rPr>
  </w:style>
  <w:style w:type="character" w:styleId="FootnoteReference">
    <w:name w:val="footnote reference"/>
    <w:basedOn w:val="DefaultParagraphFont"/>
    <w:uiPriority w:val="99"/>
    <w:semiHidden/>
    <w:unhideWhenUsed/>
    <w:rsid w:val="002B793F"/>
    <w:rPr>
      <w:vertAlign w:val="superscript"/>
    </w:rPr>
  </w:style>
  <w:style w:type="paragraph" w:customStyle="1" w:styleId="TableParagraph">
    <w:name w:val="Table Paragraph"/>
    <w:basedOn w:val="Normal"/>
    <w:uiPriority w:val="1"/>
    <w:qFormat/>
    <w:rsid w:val="002B793F"/>
    <w:pPr>
      <w:widowControl w:val="0"/>
      <w:autoSpaceDE w:val="0"/>
      <w:autoSpaceDN w:val="0"/>
      <w:adjustRightInd w:val="0"/>
      <w:spacing w:before="0" w:line="240" w:lineRule="auto"/>
      <w:jc w:val="both"/>
    </w:pPr>
    <w:rPr>
      <w:rFonts w:ascii="Times New Roman" w:eastAsiaTheme="minorEastAsia" w:hAnsi="Times New Roman"/>
      <w:color w:val="000000" w:themeColor="text1"/>
      <w:sz w:val="24"/>
      <w:szCs w:val="24"/>
      <w:lang w:eastAsia="en-GB"/>
    </w:rPr>
  </w:style>
  <w:style w:type="character" w:styleId="EndnoteReference">
    <w:name w:val="endnote reference"/>
    <w:basedOn w:val="DefaultParagraphFont"/>
    <w:uiPriority w:val="99"/>
    <w:semiHidden/>
    <w:unhideWhenUsed/>
    <w:rsid w:val="002B793F"/>
    <w:rPr>
      <w:vertAlign w:val="superscript"/>
    </w:rPr>
  </w:style>
  <w:style w:type="paragraph" w:customStyle="1" w:styleId="Normal0">
    <w:name w:val="[Normal]"/>
    <w:rsid w:val="002B793F"/>
    <w:pPr>
      <w:widowControl w:val="0"/>
      <w:autoSpaceDE w:val="0"/>
      <w:autoSpaceDN w:val="0"/>
      <w:adjustRightInd w:val="0"/>
      <w:spacing w:before="0" w:line="240" w:lineRule="auto"/>
    </w:pPr>
    <w:rPr>
      <w:rFonts w:ascii="Arial" w:eastAsiaTheme="minorHAnsi" w:hAnsi="Arial" w:cs="Arial"/>
      <w:sz w:val="24"/>
      <w:szCs w:val="24"/>
      <w:lang w:eastAsia="en-US"/>
    </w:rPr>
  </w:style>
  <w:style w:type="character" w:customStyle="1" w:styleId="UnresolvedMention2">
    <w:name w:val="Unresolved Mention2"/>
    <w:basedOn w:val="DefaultParagraphFont"/>
    <w:uiPriority w:val="99"/>
    <w:semiHidden/>
    <w:unhideWhenUsed/>
    <w:rsid w:val="002B793F"/>
    <w:rPr>
      <w:color w:val="605E5C"/>
      <w:shd w:val="clear" w:color="auto" w:fill="E1DFDD"/>
    </w:rPr>
  </w:style>
  <w:style w:type="character" w:styleId="Emphasis">
    <w:name w:val="Emphasis"/>
    <w:basedOn w:val="DefaultParagraphFont"/>
    <w:uiPriority w:val="20"/>
    <w:qFormat/>
    <w:rsid w:val="002B793F"/>
    <w:rPr>
      <w:i/>
      <w:iCs/>
    </w:rPr>
  </w:style>
  <w:style w:type="paragraph" w:styleId="Revision">
    <w:name w:val="Revision"/>
    <w:hidden/>
    <w:uiPriority w:val="99"/>
    <w:semiHidden/>
    <w:rsid w:val="002B793F"/>
    <w:pPr>
      <w:spacing w:before="0" w:line="240" w:lineRule="auto"/>
    </w:pPr>
    <w:rPr>
      <w:rFonts w:asciiTheme="minorHAnsi" w:eastAsiaTheme="minorHAnsi" w:hAnsiTheme="minorHAnsi" w:cstheme="minorBidi"/>
      <w:lang w:eastAsia="en-US"/>
    </w:rPr>
  </w:style>
  <w:style w:type="character" w:customStyle="1" w:styleId="BodyTextIndentChar1">
    <w:name w:val="Body Text Indent Char1"/>
    <w:basedOn w:val="DefaultParagraphFont"/>
    <w:uiPriority w:val="99"/>
    <w:semiHidden/>
    <w:rsid w:val="002B793F"/>
  </w:style>
  <w:style w:type="character" w:customStyle="1" w:styleId="DocumentMapChar1">
    <w:name w:val="Document Map Char1"/>
    <w:basedOn w:val="DefaultParagraphFont"/>
    <w:uiPriority w:val="99"/>
    <w:semiHidden/>
    <w:rsid w:val="002B793F"/>
    <w:rPr>
      <w:rFonts w:ascii="Segoe UI" w:hAnsi="Segoe UI" w:cs="Segoe UI"/>
      <w:sz w:val="16"/>
      <w:szCs w:val="16"/>
    </w:rPr>
  </w:style>
  <w:style w:type="character" w:customStyle="1" w:styleId="BodyText2Char1">
    <w:name w:val="Body Text 2 Char1"/>
    <w:basedOn w:val="DefaultParagraphFont"/>
    <w:uiPriority w:val="99"/>
    <w:semiHidden/>
    <w:rsid w:val="002B793F"/>
  </w:style>
  <w:style w:type="character" w:customStyle="1" w:styleId="BodyText3Char1">
    <w:name w:val="Body Text 3 Char1"/>
    <w:basedOn w:val="DefaultParagraphFont"/>
    <w:uiPriority w:val="99"/>
    <w:semiHidden/>
    <w:rsid w:val="002B793F"/>
    <w:rPr>
      <w:sz w:val="16"/>
      <w:szCs w:val="16"/>
    </w:rPr>
  </w:style>
  <w:style w:type="character" w:customStyle="1" w:styleId="BodyTextFirstIndent2Char1">
    <w:name w:val="Body Text First Indent 2 Char1"/>
    <w:basedOn w:val="BodyTextIndentChar1"/>
    <w:uiPriority w:val="99"/>
    <w:semiHidden/>
    <w:rsid w:val="002B793F"/>
  </w:style>
  <w:style w:type="character" w:customStyle="1" w:styleId="BodyTextIndent3Char1">
    <w:name w:val="Body Text Indent 3 Char1"/>
    <w:basedOn w:val="DefaultParagraphFont"/>
    <w:uiPriority w:val="99"/>
    <w:semiHidden/>
    <w:rsid w:val="002B793F"/>
    <w:rPr>
      <w:sz w:val="16"/>
      <w:szCs w:val="16"/>
    </w:rPr>
  </w:style>
  <w:style w:type="character" w:customStyle="1" w:styleId="ClosingChar1">
    <w:name w:val="Closing Char1"/>
    <w:basedOn w:val="DefaultParagraphFont"/>
    <w:uiPriority w:val="99"/>
    <w:semiHidden/>
    <w:rsid w:val="002B793F"/>
  </w:style>
  <w:style w:type="character" w:customStyle="1" w:styleId="E-mailSignatureChar1">
    <w:name w:val="E-mail Signature Char1"/>
    <w:basedOn w:val="DefaultParagraphFont"/>
    <w:uiPriority w:val="99"/>
    <w:semiHidden/>
    <w:rsid w:val="002B793F"/>
  </w:style>
  <w:style w:type="character" w:customStyle="1" w:styleId="EndnoteTextChar1">
    <w:name w:val="Endnote Text Char1"/>
    <w:basedOn w:val="DefaultParagraphFont"/>
    <w:uiPriority w:val="99"/>
    <w:semiHidden/>
    <w:rsid w:val="002B793F"/>
    <w:rPr>
      <w:sz w:val="20"/>
      <w:szCs w:val="20"/>
    </w:rPr>
  </w:style>
  <w:style w:type="character" w:customStyle="1" w:styleId="HTMLAddressChar1">
    <w:name w:val="HTML Address Char1"/>
    <w:basedOn w:val="DefaultParagraphFont"/>
    <w:uiPriority w:val="99"/>
    <w:semiHidden/>
    <w:rsid w:val="002B793F"/>
    <w:rPr>
      <w:i/>
      <w:iCs/>
    </w:rPr>
  </w:style>
  <w:style w:type="character" w:customStyle="1" w:styleId="HTMLPreformattedChar1">
    <w:name w:val="HTML Preformatted Char1"/>
    <w:basedOn w:val="DefaultParagraphFont"/>
    <w:uiPriority w:val="99"/>
    <w:semiHidden/>
    <w:rsid w:val="002B793F"/>
    <w:rPr>
      <w:rFonts w:ascii="Consolas" w:hAnsi="Consolas"/>
      <w:sz w:val="20"/>
      <w:szCs w:val="20"/>
    </w:rPr>
  </w:style>
  <w:style w:type="character" w:customStyle="1" w:styleId="MacroTextChar1">
    <w:name w:val="Macro Text Char1"/>
    <w:basedOn w:val="DefaultParagraphFont"/>
    <w:uiPriority w:val="99"/>
    <w:semiHidden/>
    <w:rsid w:val="002B793F"/>
    <w:rPr>
      <w:rFonts w:ascii="Consolas" w:hAnsi="Consolas"/>
      <w:sz w:val="20"/>
      <w:szCs w:val="20"/>
    </w:rPr>
  </w:style>
  <w:style w:type="character" w:customStyle="1" w:styleId="MessageHeaderChar1">
    <w:name w:val="Message Header Char1"/>
    <w:basedOn w:val="DefaultParagraphFont"/>
    <w:uiPriority w:val="99"/>
    <w:semiHidden/>
    <w:rsid w:val="002B793F"/>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2B793F"/>
  </w:style>
  <w:style w:type="character" w:customStyle="1" w:styleId="PlainTextChar1">
    <w:name w:val="Plain Text Char1"/>
    <w:basedOn w:val="DefaultParagraphFont"/>
    <w:uiPriority w:val="99"/>
    <w:semiHidden/>
    <w:rsid w:val="002B793F"/>
    <w:rPr>
      <w:rFonts w:ascii="Consolas" w:hAnsi="Consolas"/>
      <w:sz w:val="21"/>
      <w:szCs w:val="21"/>
    </w:rPr>
  </w:style>
  <w:style w:type="character" w:customStyle="1" w:styleId="SignatureChar1">
    <w:name w:val="Signature Char1"/>
    <w:basedOn w:val="DefaultParagraphFont"/>
    <w:uiPriority w:val="99"/>
    <w:semiHidden/>
    <w:rsid w:val="002B793F"/>
  </w:style>
  <w:style w:type="character" w:styleId="PlaceholderText">
    <w:name w:val="Placeholder Text"/>
    <w:basedOn w:val="DefaultParagraphFont"/>
    <w:uiPriority w:val="99"/>
    <w:semiHidden/>
    <w:rsid w:val="002B793F"/>
    <w:rPr>
      <w:color w:val="808080"/>
    </w:rPr>
  </w:style>
  <w:style w:type="character" w:styleId="LineNumber">
    <w:name w:val="line number"/>
    <w:basedOn w:val="DefaultParagraphFont"/>
    <w:semiHidden/>
    <w:unhideWhenUsed/>
    <w:rsid w:val="00CD0462"/>
  </w:style>
  <w:style w:type="character" w:styleId="UnresolvedMention">
    <w:name w:val="Unresolved Mention"/>
    <w:basedOn w:val="DefaultParagraphFont"/>
    <w:uiPriority w:val="99"/>
    <w:semiHidden/>
    <w:unhideWhenUsed/>
    <w:rsid w:val="00E50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1621">
      <w:bodyDiv w:val="1"/>
      <w:marLeft w:val="0"/>
      <w:marRight w:val="0"/>
      <w:marTop w:val="0"/>
      <w:marBottom w:val="0"/>
      <w:divBdr>
        <w:top w:val="none" w:sz="0" w:space="0" w:color="auto"/>
        <w:left w:val="none" w:sz="0" w:space="0" w:color="auto"/>
        <w:bottom w:val="none" w:sz="0" w:space="0" w:color="auto"/>
        <w:right w:val="none" w:sz="0" w:space="0" w:color="auto"/>
      </w:divBdr>
    </w:div>
    <w:div w:id="365061031">
      <w:bodyDiv w:val="1"/>
      <w:marLeft w:val="0"/>
      <w:marRight w:val="0"/>
      <w:marTop w:val="0"/>
      <w:marBottom w:val="0"/>
      <w:divBdr>
        <w:top w:val="none" w:sz="0" w:space="0" w:color="auto"/>
        <w:left w:val="none" w:sz="0" w:space="0" w:color="auto"/>
        <w:bottom w:val="none" w:sz="0" w:space="0" w:color="auto"/>
        <w:right w:val="none" w:sz="0" w:space="0" w:color="auto"/>
      </w:divBdr>
    </w:div>
    <w:div w:id="465783390">
      <w:bodyDiv w:val="1"/>
      <w:marLeft w:val="0"/>
      <w:marRight w:val="0"/>
      <w:marTop w:val="0"/>
      <w:marBottom w:val="0"/>
      <w:divBdr>
        <w:top w:val="none" w:sz="0" w:space="0" w:color="auto"/>
        <w:left w:val="none" w:sz="0" w:space="0" w:color="auto"/>
        <w:bottom w:val="none" w:sz="0" w:space="0" w:color="auto"/>
        <w:right w:val="none" w:sz="0" w:space="0" w:color="auto"/>
      </w:divBdr>
    </w:div>
    <w:div w:id="535046133">
      <w:bodyDiv w:val="1"/>
      <w:marLeft w:val="0"/>
      <w:marRight w:val="0"/>
      <w:marTop w:val="0"/>
      <w:marBottom w:val="0"/>
      <w:divBdr>
        <w:top w:val="none" w:sz="0" w:space="0" w:color="auto"/>
        <w:left w:val="none" w:sz="0" w:space="0" w:color="auto"/>
        <w:bottom w:val="none" w:sz="0" w:space="0" w:color="auto"/>
        <w:right w:val="none" w:sz="0" w:space="0" w:color="auto"/>
      </w:divBdr>
    </w:div>
    <w:div w:id="717437107">
      <w:bodyDiv w:val="1"/>
      <w:marLeft w:val="0"/>
      <w:marRight w:val="0"/>
      <w:marTop w:val="0"/>
      <w:marBottom w:val="0"/>
      <w:divBdr>
        <w:top w:val="none" w:sz="0" w:space="0" w:color="auto"/>
        <w:left w:val="none" w:sz="0" w:space="0" w:color="auto"/>
        <w:bottom w:val="none" w:sz="0" w:space="0" w:color="auto"/>
        <w:right w:val="none" w:sz="0" w:space="0" w:color="auto"/>
      </w:divBdr>
    </w:div>
    <w:div w:id="829519682">
      <w:bodyDiv w:val="1"/>
      <w:marLeft w:val="0"/>
      <w:marRight w:val="0"/>
      <w:marTop w:val="0"/>
      <w:marBottom w:val="0"/>
      <w:divBdr>
        <w:top w:val="none" w:sz="0" w:space="0" w:color="auto"/>
        <w:left w:val="none" w:sz="0" w:space="0" w:color="auto"/>
        <w:bottom w:val="none" w:sz="0" w:space="0" w:color="auto"/>
        <w:right w:val="none" w:sz="0" w:space="0" w:color="auto"/>
      </w:divBdr>
    </w:div>
    <w:div w:id="860363384">
      <w:bodyDiv w:val="1"/>
      <w:marLeft w:val="0"/>
      <w:marRight w:val="0"/>
      <w:marTop w:val="0"/>
      <w:marBottom w:val="0"/>
      <w:divBdr>
        <w:top w:val="none" w:sz="0" w:space="0" w:color="auto"/>
        <w:left w:val="none" w:sz="0" w:space="0" w:color="auto"/>
        <w:bottom w:val="none" w:sz="0" w:space="0" w:color="auto"/>
        <w:right w:val="none" w:sz="0" w:space="0" w:color="auto"/>
      </w:divBdr>
    </w:div>
    <w:div w:id="889340755">
      <w:bodyDiv w:val="1"/>
      <w:marLeft w:val="0"/>
      <w:marRight w:val="0"/>
      <w:marTop w:val="0"/>
      <w:marBottom w:val="0"/>
      <w:divBdr>
        <w:top w:val="none" w:sz="0" w:space="0" w:color="auto"/>
        <w:left w:val="none" w:sz="0" w:space="0" w:color="auto"/>
        <w:bottom w:val="none" w:sz="0" w:space="0" w:color="auto"/>
        <w:right w:val="none" w:sz="0" w:space="0" w:color="auto"/>
      </w:divBdr>
    </w:div>
    <w:div w:id="950673408">
      <w:bodyDiv w:val="1"/>
      <w:marLeft w:val="0"/>
      <w:marRight w:val="0"/>
      <w:marTop w:val="0"/>
      <w:marBottom w:val="0"/>
      <w:divBdr>
        <w:top w:val="none" w:sz="0" w:space="0" w:color="auto"/>
        <w:left w:val="none" w:sz="0" w:space="0" w:color="auto"/>
        <w:bottom w:val="none" w:sz="0" w:space="0" w:color="auto"/>
        <w:right w:val="none" w:sz="0" w:space="0" w:color="auto"/>
      </w:divBdr>
    </w:div>
    <w:div w:id="1370568040">
      <w:bodyDiv w:val="1"/>
      <w:marLeft w:val="0"/>
      <w:marRight w:val="0"/>
      <w:marTop w:val="0"/>
      <w:marBottom w:val="0"/>
      <w:divBdr>
        <w:top w:val="none" w:sz="0" w:space="0" w:color="auto"/>
        <w:left w:val="none" w:sz="0" w:space="0" w:color="auto"/>
        <w:bottom w:val="none" w:sz="0" w:space="0" w:color="auto"/>
        <w:right w:val="none" w:sz="0" w:space="0" w:color="auto"/>
      </w:divBdr>
      <w:divsChild>
        <w:div w:id="2109960239">
          <w:marLeft w:val="0"/>
          <w:marRight w:val="0"/>
          <w:marTop w:val="0"/>
          <w:marBottom w:val="0"/>
          <w:divBdr>
            <w:top w:val="none" w:sz="0" w:space="0" w:color="auto"/>
            <w:left w:val="none" w:sz="0" w:space="0" w:color="auto"/>
            <w:bottom w:val="none" w:sz="0" w:space="0" w:color="auto"/>
            <w:right w:val="none" w:sz="0" w:space="0" w:color="auto"/>
          </w:divBdr>
          <w:divsChild>
            <w:div w:id="288173616">
              <w:marLeft w:val="0"/>
              <w:marRight w:val="0"/>
              <w:marTop w:val="0"/>
              <w:marBottom w:val="0"/>
              <w:divBdr>
                <w:top w:val="single" w:sz="6" w:space="0" w:color="E0E4E9"/>
                <w:left w:val="single" w:sz="6" w:space="0" w:color="E0E4E9"/>
                <w:bottom w:val="single" w:sz="6" w:space="0" w:color="E0E4E9"/>
                <w:right w:val="single" w:sz="6" w:space="0" w:color="E0E4E9"/>
              </w:divBdr>
              <w:divsChild>
                <w:div w:id="1839693286">
                  <w:marLeft w:val="0"/>
                  <w:marRight w:val="0"/>
                  <w:marTop w:val="0"/>
                  <w:marBottom w:val="0"/>
                  <w:divBdr>
                    <w:top w:val="none" w:sz="0" w:space="0" w:color="auto"/>
                    <w:left w:val="none" w:sz="0" w:space="0" w:color="auto"/>
                    <w:bottom w:val="none" w:sz="0" w:space="0" w:color="auto"/>
                    <w:right w:val="none" w:sz="0" w:space="0" w:color="auto"/>
                  </w:divBdr>
                  <w:divsChild>
                    <w:div w:id="11804433">
                      <w:marLeft w:val="0"/>
                      <w:marRight w:val="0"/>
                      <w:marTop w:val="0"/>
                      <w:marBottom w:val="0"/>
                      <w:divBdr>
                        <w:top w:val="none" w:sz="0" w:space="0" w:color="auto"/>
                        <w:left w:val="none" w:sz="0" w:space="0" w:color="auto"/>
                        <w:bottom w:val="none" w:sz="0" w:space="0" w:color="auto"/>
                        <w:right w:val="none" w:sz="0" w:space="0" w:color="auto"/>
                      </w:divBdr>
                      <w:divsChild>
                        <w:div w:id="475296199">
                          <w:marLeft w:val="0"/>
                          <w:marRight w:val="0"/>
                          <w:marTop w:val="0"/>
                          <w:marBottom w:val="0"/>
                          <w:divBdr>
                            <w:top w:val="none" w:sz="0" w:space="0" w:color="auto"/>
                            <w:left w:val="none" w:sz="0" w:space="0" w:color="auto"/>
                            <w:bottom w:val="none" w:sz="0" w:space="0" w:color="auto"/>
                            <w:right w:val="none" w:sz="0" w:space="0" w:color="auto"/>
                          </w:divBdr>
                          <w:divsChild>
                            <w:div w:id="15883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57435">
      <w:bodyDiv w:val="1"/>
      <w:marLeft w:val="0"/>
      <w:marRight w:val="0"/>
      <w:marTop w:val="0"/>
      <w:marBottom w:val="0"/>
      <w:divBdr>
        <w:top w:val="none" w:sz="0" w:space="0" w:color="auto"/>
        <w:left w:val="none" w:sz="0" w:space="0" w:color="auto"/>
        <w:bottom w:val="none" w:sz="0" w:space="0" w:color="auto"/>
        <w:right w:val="none" w:sz="0" w:space="0" w:color="auto"/>
      </w:divBdr>
    </w:div>
    <w:div w:id="1751728237">
      <w:bodyDiv w:val="1"/>
      <w:marLeft w:val="0"/>
      <w:marRight w:val="0"/>
      <w:marTop w:val="0"/>
      <w:marBottom w:val="0"/>
      <w:divBdr>
        <w:top w:val="none" w:sz="0" w:space="0" w:color="auto"/>
        <w:left w:val="none" w:sz="0" w:space="0" w:color="auto"/>
        <w:bottom w:val="none" w:sz="0" w:space="0" w:color="auto"/>
        <w:right w:val="none" w:sz="0" w:space="0" w:color="auto"/>
      </w:divBdr>
    </w:div>
    <w:div w:id="1850488430">
      <w:bodyDiv w:val="1"/>
      <w:marLeft w:val="0"/>
      <w:marRight w:val="0"/>
      <w:marTop w:val="0"/>
      <w:marBottom w:val="0"/>
      <w:divBdr>
        <w:top w:val="none" w:sz="0" w:space="0" w:color="auto"/>
        <w:left w:val="none" w:sz="0" w:space="0" w:color="auto"/>
        <w:bottom w:val="none" w:sz="0" w:space="0" w:color="auto"/>
        <w:right w:val="none" w:sz="0" w:space="0" w:color="auto"/>
      </w:divBdr>
    </w:div>
    <w:div w:id="20968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Downloads\uos_thesis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19079d7ed64244c/Documents/Data%20shit/conceptionstatisticstables2017%20(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otonac-my.sharepoint.com/personal/klh5g12_soton_ac_uk/Documents/Figure%201%20data%20-%20before%20and%20after%20covariates%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otonac-my.sharepoint.com/personal/klh5g12_soton_ac_uk/Documents/Figure%201%20data%20-%20before%20and%20after%20covariates%20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099622764006662"/>
          <c:y val="4.0729967313982568E-2"/>
          <c:w val="0.72885338481155171"/>
          <c:h val="0.83386455686649386"/>
        </c:manualLayout>
      </c:layout>
      <c:lineChart>
        <c:grouping val="standard"/>
        <c:varyColors val="0"/>
        <c:ser>
          <c:idx val="0"/>
          <c:order val="0"/>
          <c:tx>
            <c:strRef>
              <c:f>'[conceptionstatisticstables2017 (1).xls]regional'!$B$25</c:f>
              <c:strCache>
                <c:ptCount val="1"/>
                <c:pt idx="0">
                  <c:v>Inner London</c:v>
                </c:pt>
              </c:strCache>
            </c:strRef>
          </c:tx>
          <c:spPr>
            <a:ln w="19050" cap="rnd" cmpd="sng" algn="ctr">
              <a:solidFill>
                <a:schemeClr val="tx1"/>
              </a:solidFill>
              <a:prstDash val="solid"/>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(1).xls]regional'!$C$25:$V$25</c:f>
              <c:numCache>
                <c:formatCode>0.0</c:formatCode>
                <c:ptCount val="20"/>
                <c:pt idx="0">
                  <c:v>66.7</c:v>
                </c:pt>
                <c:pt idx="1">
                  <c:v>65.3</c:v>
                </c:pt>
                <c:pt idx="2">
                  <c:v>66.099999999999994</c:v>
                </c:pt>
                <c:pt idx="3">
                  <c:v>65.5</c:v>
                </c:pt>
                <c:pt idx="4">
                  <c:v>67.400000000000006</c:v>
                </c:pt>
                <c:pt idx="5">
                  <c:v>62.5</c:v>
                </c:pt>
                <c:pt idx="6">
                  <c:v>57.6</c:v>
                </c:pt>
                <c:pt idx="7">
                  <c:v>53.3</c:v>
                </c:pt>
                <c:pt idx="8">
                  <c:v>53.1</c:v>
                </c:pt>
                <c:pt idx="9">
                  <c:v>52</c:v>
                </c:pt>
                <c:pt idx="10">
                  <c:v>47</c:v>
                </c:pt>
                <c:pt idx="11">
                  <c:v>42.1</c:v>
                </c:pt>
                <c:pt idx="12">
                  <c:v>38.9</c:v>
                </c:pt>
                <c:pt idx="13">
                  <c:v>31.9</c:v>
                </c:pt>
                <c:pt idx="14">
                  <c:v>28.5</c:v>
                </c:pt>
                <c:pt idx="15" formatCode="#,##0.0">
                  <c:v>22.5</c:v>
                </c:pt>
                <c:pt idx="16">
                  <c:v>23.1</c:v>
                </c:pt>
                <c:pt idx="17">
                  <c:v>20.8</c:v>
                </c:pt>
                <c:pt idx="18">
                  <c:v>18.100000000000001</c:v>
                </c:pt>
                <c:pt idx="19">
                  <c:v>17</c:v>
                </c:pt>
              </c:numCache>
            </c:numRef>
          </c:val>
          <c:smooth val="0"/>
          <c:extLst>
            <c:ext xmlns:c16="http://schemas.microsoft.com/office/drawing/2014/chart" uri="{C3380CC4-5D6E-409C-BE32-E72D297353CC}">
              <c16:uniqueId val="{00000000-B447-42B1-8E10-AB08F0CD4E94}"/>
            </c:ext>
          </c:extLst>
        </c:ser>
        <c:ser>
          <c:idx val="1"/>
          <c:order val="1"/>
          <c:tx>
            <c:strRef>
              <c:f>'[conceptionstatisticstables2017 (1).xls]regional'!$B$26</c:f>
              <c:strCache>
                <c:ptCount val="1"/>
                <c:pt idx="0">
                  <c:v>North East</c:v>
                </c:pt>
              </c:strCache>
            </c:strRef>
          </c:tx>
          <c:spPr>
            <a:ln w="19050" cap="rnd" cmpd="sng" algn="ctr">
              <a:solidFill>
                <a:schemeClr val="tx1">
                  <a:lumMod val="50000"/>
                  <a:lumOff val="50000"/>
                </a:schemeClr>
              </a:solidFill>
              <a:prstDash val="solid"/>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(1).xls]regional'!$C$26:$V$26</c:f>
              <c:numCache>
                <c:formatCode>0.0</c:formatCode>
                <c:ptCount val="20"/>
                <c:pt idx="0">
                  <c:v>56.5</c:v>
                </c:pt>
                <c:pt idx="1">
                  <c:v>55.3</c:v>
                </c:pt>
                <c:pt idx="2">
                  <c:v>50.8</c:v>
                </c:pt>
                <c:pt idx="3">
                  <c:v>48.3</c:v>
                </c:pt>
                <c:pt idx="4">
                  <c:v>51.2</c:v>
                </c:pt>
                <c:pt idx="5">
                  <c:v>52.4</c:v>
                </c:pt>
                <c:pt idx="6">
                  <c:v>51.2</c:v>
                </c:pt>
                <c:pt idx="7">
                  <c:v>50.5</c:v>
                </c:pt>
                <c:pt idx="8">
                  <c:v>49.1</c:v>
                </c:pt>
                <c:pt idx="9">
                  <c:v>52.8</c:v>
                </c:pt>
                <c:pt idx="10">
                  <c:v>48</c:v>
                </c:pt>
                <c:pt idx="11">
                  <c:v>45.7</c:v>
                </c:pt>
                <c:pt idx="12">
                  <c:v>43.5</c:v>
                </c:pt>
                <c:pt idx="13">
                  <c:v>38.4</c:v>
                </c:pt>
                <c:pt idx="14">
                  <c:v>35.5</c:v>
                </c:pt>
                <c:pt idx="15" formatCode="#,##0.0">
                  <c:v>30.6</c:v>
                </c:pt>
                <c:pt idx="16">
                  <c:v>30.2</c:v>
                </c:pt>
                <c:pt idx="17">
                  <c:v>28</c:v>
                </c:pt>
                <c:pt idx="18">
                  <c:v>24.6</c:v>
                </c:pt>
                <c:pt idx="19">
                  <c:v>24.7</c:v>
                </c:pt>
              </c:numCache>
            </c:numRef>
          </c:val>
          <c:smooth val="0"/>
          <c:extLst>
            <c:ext xmlns:c16="http://schemas.microsoft.com/office/drawing/2014/chart" uri="{C3380CC4-5D6E-409C-BE32-E72D297353CC}">
              <c16:uniqueId val="{00000001-B447-42B1-8E10-AB08F0CD4E94}"/>
            </c:ext>
          </c:extLst>
        </c:ser>
        <c:ser>
          <c:idx val="2"/>
          <c:order val="2"/>
          <c:tx>
            <c:strRef>
              <c:f>'[conceptionstatisticstables2017 (1).xls]regional'!$B$27</c:f>
              <c:strCache>
                <c:ptCount val="1"/>
                <c:pt idx="0">
                  <c:v>Yorkshire and the Humber</c:v>
                </c:pt>
              </c:strCache>
            </c:strRef>
          </c:tx>
          <c:spPr>
            <a:ln w="19050" cap="rnd" cmpd="sng" algn="ctr">
              <a:solidFill>
                <a:schemeClr val="bg2">
                  <a:lumMod val="90000"/>
                </a:schemeClr>
              </a:solidFill>
              <a:prstDash val="solid"/>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(1).xls]regional'!$C$27:$V$27</c:f>
              <c:numCache>
                <c:formatCode>0.0</c:formatCode>
                <c:ptCount val="20"/>
                <c:pt idx="0">
                  <c:v>53.1</c:v>
                </c:pt>
                <c:pt idx="1">
                  <c:v>51</c:v>
                </c:pt>
                <c:pt idx="2">
                  <c:v>47.9</c:v>
                </c:pt>
                <c:pt idx="3">
                  <c:v>47.1</c:v>
                </c:pt>
                <c:pt idx="4">
                  <c:v>47.2</c:v>
                </c:pt>
                <c:pt idx="5">
                  <c:v>47.1</c:v>
                </c:pt>
                <c:pt idx="6">
                  <c:v>48.1</c:v>
                </c:pt>
                <c:pt idx="7">
                  <c:v>48.9</c:v>
                </c:pt>
                <c:pt idx="8">
                  <c:v>48</c:v>
                </c:pt>
                <c:pt idx="9">
                  <c:v>48.3</c:v>
                </c:pt>
                <c:pt idx="10">
                  <c:v>47.1</c:v>
                </c:pt>
                <c:pt idx="11">
                  <c:v>43.5</c:v>
                </c:pt>
                <c:pt idx="12">
                  <c:v>39.9</c:v>
                </c:pt>
                <c:pt idx="13">
                  <c:v>33.799999999999997</c:v>
                </c:pt>
                <c:pt idx="14">
                  <c:v>31.7</c:v>
                </c:pt>
                <c:pt idx="15" formatCode="#,##0.0">
                  <c:v>28.5</c:v>
                </c:pt>
                <c:pt idx="16">
                  <c:v>26.4</c:v>
                </c:pt>
                <c:pt idx="17">
                  <c:v>24.3</c:v>
                </c:pt>
                <c:pt idx="18">
                  <c:v>22</c:v>
                </c:pt>
                <c:pt idx="19">
                  <c:v>20.6</c:v>
                </c:pt>
              </c:numCache>
            </c:numRef>
          </c:val>
          <c:smooth val="0"/>
          <c:extLst>
            <c:ext xmlns:c16="http://schemas.microsoft.com/office/drawing/2014/chart" uri="{C3380CC4-5D6E-409C-BE32-E72D297353CC}">
              <c16:uniqueId val="{00000002-B447-42B1-8E10-AB08F0CD4E94}"/>
            </c:ext>
          </c:extLst>
        </c:ser>
        <c:ser>
          <c:idx val="3"/>
          <c:order val="3"/>
          <c:tx>
            <c:strRef>
              <c:f>'[conceptionstatisticstables2017 (1).xls]regional'!$B$28</c:f>
              <c:strCache>
                <c:ptCount val="1"/>
                <c:pt idx="0">
                  <c:v>West Midlands</c:v>
                </c:pt>
              </c:strCache>
            </c:strRef>
          </c:tx>
          <c:spPr>
            <a:ln w="19050" cap="rnd" cmpd="sng" algn="ctr">
              <a:solidFill>
                <a:schemeClr val="tx1"/>
              </a:solidFill>
              <a:prstDash val="dash"/>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(1).xls]regional'!$C$28:$V$28</c:f>
              <c:numCache>
                <c:formatCode>0.0</c:formatCode>
                <c:ptCount val="20"/>
                <c:pt idx="0">
                  <c:v>51.7</c:v>
                </c:pt>
                <c:pt idx="1">
                  <c:v>49.3</c:v>
                </c:pt>
                <c:pt idx="2">
                  <c:v>49</c:v>
                </c:pt>
                <c:pt idx="3">
                  <c:v>47.2</c:v>
                </c:pt>
                <c:pt idx="4">
                  <c:v>47</c:v>
                </c:pt>
                <c:pt idx="5">
                  <c:v>47.4</c:v>
                </c:pt>
                <c:pt idx="6">
                  <c:v>45.2</c:v>
                </c:pt>
                <c:pt idx="7">
                  <c:v>45.7</c:v>
                </c:pt>
                <c:pt idx="8">
                  <c:v>46.3</c:v>
                </c:pt>
                <c:pt idx="9">
                  <c:v>46.6</c:v>
                </c:pt>
                <c:pt idx="10">
                  <c:v>43.2</c:v>
                </c:pt>
                <c:pt idx="11">
                  <c:v>42.1</c:v>
                </c:pt>
                <c:pt idx="12">
                  <c:v>38.5</c:v>
                </c:pt>
                <c:pt idx="13">
                  <c:v>34.9</c:v>
                </c:pt>
                <c:pt idx="14">
                  <c:v>32</c:v>
                </c:pt>
                <c:pt idx="15" formatCode="#,##0.0">
                  <c:v>28.9</c:v>
                </c:pt>
                <c:pt idx="16">
                  <c:v>26.5</c:v>
                </c:pt>
                <c:pt idx="17">
                  <c:v>23.6</c:v>
                </c:pt>
                <c:pt idx="18">
                  <c:v>21.4</c:v>
                </c:pt>
                <c:pt idx="19">
                  <c:v>19.899999999999999</c:v>
                </c:pt>
              </c:numCache>
            </c:numRef>
          </c:val>
          <c:smooth val="0"/>
          <c:extLst>
            <c:ext xmlns:c16="http://schemas.microsoft.com/office/drawing/2014/chart" uri="{C3380CC4-5D6E-409C-BE32-E72D297353CC}">
              <c16:uniqueId val="{00000003-B447-42B1-8E10-AB08F0CD4E94}"/>
            </c:ext>
          </c:extLst>
        </c:ser>
        <c:ser>
          <c:idx val="4"/>
          <c:order val="4"/>
          <c:tx>
            <c:strRef>
              <c:f>'[conceptionstatisticstables2017 (1).xls]regional'!$B$29</c:f>
              <c:strCache>
                <c:ptCount val="1"/>
                <c:pt idx="0">
                  <c:v>North West</c:v>
                </c:pt>
              </c:strCache>
            </c:strRef>
          </c:tx>
          <c:spPr>
            <a:ln w="19050" cap="rnd" cmpd="sng" algn="ctr">
              <a:solidFill>
                <a:schemeClr val="tx1">
                  <a:lumMod val="50000"/>
                  <a:lumOff val="50000"/>
                </a:schemeClr>
              </a:solidFill>
              <a:prstDash val="dash"/>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(1).xls]regional'!$C$29:$V$29</c:f>
              <c:numCache>
                <c:formatCode>0.0</c:formatCode>
                <c:ptCount val="20"/>
                <c:pt idx="0">
                  <c:v>50.3</c:v>
                </c:pt>
                <c:pt idx="1">
                  <c:v>48.8</c:v>
                </c:pt>
                <c:pt idx="2">
                  <c:v>47.5</c:v>
                </c:pt>
                <c:pt idx="3">
                  <c:v>45.1</c:v>
                </c:pt>
                <c:pt idx="4">
                  <c:v>45.4</c:v>
                </c:pt>
                <c:pt idx="5">
                  <c:v>45.2</c:v>
                </c:pt>
                <c:pt idx="6">
                  <c:v>46</c:v>
                </c:pt>
                <c:pt idx="7">
                  <c:v>46.9</c:v>
                </c:pt>
                <c:pt idx="8">
                  <c:v>44.2</c:v>
                </c:pt>
                <c:pt idx="9">
                  <c:v>46.6</c:v>
                </c:pt>
                <c:pt idx="10">
                  <c:v>44.8</c:v>
                </c:pt>
                <c:pt idx="11">
                  <c:v>42.6</c:v>
                </c:pt>
                <c:pt idx="12">
                  <c:v>39.6</c:v>
                </c:pt>
                <c:pt idx="13">
                  <c:v>35.299999999999997</c:v>
                </c:pt>
                <c:pt idx="14">
                  <c:v>31.6</c:v>
                </c:pt>
                <c:pt idx="15" formatCode="#,##0.0">
                  <c:v>27.6</c:v>
                </c:pt>
                <c:pt idx="16">
                  <c:v>26.8</c:v>
                </c:pt>
                <c:pt idx="17">
                  <c:v>24.7</c:v>
                </c:pt>
                <c:pt idx="18">
                  <c:v>22.4</c:v>
                </c:pt>
                <c:pt idx="19">
                  <c:v>21.9</c:v>
                </c:pt>
              </c:numCache>
            </c:numRef>
          </c:val>
          <c:smooth val="0"/>
          <c:extLst>
            <c:ext xmlns:c16="http://schemas.microsoft.com/office/drawing/2014/chart" uri="{C3380CC4-5D6E-409C-BE32-E72D297353CC}">
              <c16:uniqueId val="{00000004-B447-42B1-8E10-AB08F0CD4E94}"/>
            </c:ext>
          </c:extLst>
        </c:ser>
        <c:ser>
          <c:idx val="5"/>
          <c:order val="5"/>
          <c:tx>
            <c:strRef>
              <c:f>'[conceptionstatisticstables2017 (1).xls]regional'!$B$30</c:f>
              <c:strCache>
                <c:ptCount val="1"/>
                <c:pt idx="0">
                  <c:v>East Midlands</c:v>
                </c:pt>
              </c:strCache>
            </c:strRef>
          </c:tx>
          <c:spPr>
            <a:ln w="19050" cap="rnd" cmpd="sng" algn="ctr">
              <a:solidFill>
                <a:schemeClr val="bg2">
                  <a:lumMod val="90000"/>
                </a:schemeClr>
              </a:solidFill>
              <a:prstDash val="dash"/>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(1).xls]regional'!$C$30:$V$30</c:f>
              <c:numCache>
                <c:formatCode>0.0</c:formatCode>
                <c:ptCount val="20"/>
                <c:pt idx="0">
                  <c:v>48.8</c:v>
                </c:pt>
                <c:pt idx="1">
                  <c:v>43.5</c:v>
                </c:pt>
                <c:pt idx="2">
                  <c:v>42.8</c:v>
                </c:pt>
                <c:pt idx="3">
                  <c:v>40.200000000000003</c:v>
                </c:pt>
                <c:pt idx="4">
                  <c:v>40.6</c:v>
                </c:pt>
                <c:pt idx="5">
                  <c:v>41.5</c:v>
                </c:pt>
                <c:pt idx="6">
                  <c:v>41.4</c:v>
                </c:pt>
                <c:pt idx="7">
                  <c:v>40.9</c:v>
                </c:pt>
                <c:pt idx="8">
                  <c:v>40.299999999999997</c:v>
                </c:pt>
                <c:pt idx="9">
                  <c:v>40.6</c:v>
                </c:pt>
                <c:pt idx="10">
                  <c:v>39.4</c:v>
                </c:pt>
                <c:pt idx="11">
                  <c:v>36.799999999999997</c:v>
                </c:pt>
                <c:pt idx="12">
                  <c:v>33.4</c:v>
                </c:pt>
                <c:pt idx="13">
                  <c:v>31.3</c:v>
                </c:pt>
                <c:pt idx="14">
                  <c:v>28.3</c:v>
                </c:pt>
                <c:pt idx="15" formatCode="#,##0.0">
                  <c:v>24.6</c:v>
                </c:pt>
                <c:pt idx="16">
                  <c:v>21.6</c:v>
                </c:pt>
                <c:pt idx="17">
                  <c:v>20.2</c:v>
                </c:pt>
                <c:pt idx="18">
                  <c:v>19.399999999999999</c:v>
                </c:pt>
                <c:pt idx="19">
                  <c:v>17.5</c:v>
                </c:pt>
              </c:numCache>
            </c:numRef>
          </c:val>
          <c:smooth val="0"/>
          <c:extLst>
            <c:ext xmlns:c16="http://schemas.microsoft.com/office/drawing/2014/chart" uri="{C3380CC4-5D6E-409C-BE32-E72D297353CC}">
              <c16:uniqueId val="{00000005-B447-42B1-8E10-AB08F0CD4E94}"/>
            </c:ext>
          </c:extLst>
        </c:ser>
        <c:ser>
          <c:idx val="6"/>
          <c:order val="6"/>
          <c:tx>
            <c:strRef>
              <c:f>'[conceptionstatisticstables2017 (1).xls]regional'!$B$31</c:f>
              <c:strCache>
                <c:ptCount val="1"/>
                <c:pt idx="0">
                  <c:v>Outer London</c:v>
                </c:pt>
              </c:strCache>
            </c:strRef>
          </c:tx>
          <c:spPr>
            <a:ln w="19050" cap="rnd" cmpd="sng" algn="ctr">
              <a:solidFill>
                <a:schemeClr val="tx1"/>
              </a:solidFill>
              <a:prstDash val="sysDot"/>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(1).xls]regional'!$C$31:$V$31</c:f>
              <c:numCache>
                <c:formatCode>0.0</c:formatCode>
                <c:ptCount val="20"/>
                <c:pt idx="0">
                  <c:v>42.2</c:v>
                </c:pt>
                <c:pt idx="1">
                  <c:v>42.1</c:v>
                </c:pt>
                <c:pt idx="2">
                  <c:v>41.5</c:v>
                </c:pt>
                <c:pt idx="3">
                  <c:v>41.9</c:v>
                </c:pt>
                <c:pt idx="4">
                  <c:v>43.7</c:v>
                </c:pt>
                <c:pt idx="5">
                  <c:v>43.5</c:v>
                </c:pt>
                <c:pt idx="6">
                  <c:v>41.9</c:v>
                </c:pt>
                <c:pt idx="7">
                  <c:v>39.200000000000003</c:v>
                </c:pt>
                <c:pt idx="8">
                  <c:v>38.200000000000003</c:v>
                </c:pt>
                <c:pt idx="9">
                  <c:v>37.799999999999997</c:v>
                </c:pt>
                <c:pt idx="10">
                  <c:v>37.700000000000003</c:v>
                </c:pt>
                <c:pt idx="11">
                  <c:v>34</c:v>
                </c:pt>
                <c:pt idx="12">
                  <c:v>29.8</c:v>
                </c:pt>
                <c:pt idx="13">
                  <c:v>27.1</c:v>
                </c:pt>
                <c:pt idx="14">
                  <c:v>24.5</c:v>
                </c:pt>
                <c:pt idx="15" formatCode="#,##0.0">
                  <c:v>21.4</c:v>
                </c:pt>
                <c:pt idx="16">
                  <c:v>20.6</c:v>
                </c:pt>
                <c:pt idx="17">
                  <c:v>18.3</c:v>
                </c:pt>
                <c:pt idx="18">
                  <c:v>16.600000000000001</c:v>
                </c:pt>
                <c:pt idx="19">
                  <c:v>16</c:v>
                </c:pt>
              </c:numCache>
            </c:numRef>
          </c:val>
          <c:smooth val="0"/>
          <c:extLst>
            <c:ext xmlns:c16="http://schemas.microsoft.com/office/drawing/2014/chart" uri="{C3380CC4-5D6E-409C-BE32-E72D297353CC}">
              <c16:uniqueId val="{00000006-B447-42B1-8E10-AB08F0CD4E94}"/>
            </c:ext>
          </c:extLst>
        </c:ser>
        <c:ser>
          <c:idx val="7"/>
          <c:order val="7"/>
          <c:tx>
            <c:strRef>
              <c:f>'[conceptionstatisticstables2017 (1).xls]regional'!$B$32</c:f>
              <c:strCache>
                <c:ptCount val="1"/>
                <c:pt idx="0">
                  <c:v>South West</c:v>
                </c:pt>
              </c:strCache>
            </c:strRef>
          </c:tx>
          <c:spPr>
            <a:ln w="19050" cap="rnd" cmpd="sng" algn="ctr">
              <a:solidFill>
                <a:schemeClr val="tx1">
                  <a:lumMod val="50000"/>
                  <a:lumOff val="50000"/>
                </a:schemeClr>
              </a:solidFill>
              <a:prstDash val="sysDot"/>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(1).xls]regional'!$C$32:$V$32</c:f>
              <c:numCache>
                <c:formatCode>0.0</c:formatCode>
                <c:ptCount val="20"/>
                <c:pt idx="0">
                  <c:v>39.4</c:v>
                </c:pt>
                <c:pt idx="1">
                  <c:v>37.5</c:v>
                </c:pt>
                <c:pt idx="2">
                  <c:v>36.299999999999997</c:v>
                </c:pt>
                <c:pt idx="3">
                  <c:v>37.1</c:v>
                </c:pt>
                <c:pt idx="4">
                  <c:v>35.4</c:v>
                </c:pt>
                <c:pt idx="5">
                  <c:v>34.200000000000003</c:v>
                </c:pt>
                <c:pt idx="6">
                  <c:v>34.6</c:v>
                </c:pt>
                <c:pt idx="7">
                  <c:v>34.6</c:v>
                </c:pt>
                <c:pt idx="8">
                  <c:v>33.799999999999997</c:v>
                </c:pt>
                <c:pt idx="9">
                  <c:v>36.9</c:v>
                </c:pt>
                <c:pt idx="10">
                  <c:v>35.299999999999997</c:v>
                </c:pt>
                <c:pt idx="11">
                  <c:v>32.6</c:v>
                </c:pt>
                <c:pt idx="12">
                  <c:v>30</c:v>
                </c:pt>
                <c:pt idx="13">
                  <c:v>27.3</c:v>
                </c:pt>
                <c:pt idx="14">
                  <c:v>24.8</c:v>
                </c:pt>
                <c:pt idx="15" formatCode="#,##0.0">
                  <c:v>21.2</c:v>
                </c:pt>
                <c:pt idx="16">
                  <c:v>18.8</c:v>
                </c:pt>
                <c:pt idx="17">
                  <c:v>16.8</c:v>
                </c:pt>
                <c:pt idx="18">
                  <c:v>15.8</c:v>
                </c:pt>
                <c:pt idx="19">
                  <c:v>14.9</c:v>
                </c:pt>
              </c:numCache>
            </c:numRef>
          </c:val>
          <c:smooth val="0"/>
          <c:extLst>
            <c:ext xmlns:c16="http://schemas.microsoft.com/office/drawing/2014/chart" uri="{C3380CC4-5D6E-409C-BE32-E72D297353CC}">
              <c16:uniqueId val="{00000007-B447-42B1-8E10-AB08F0CD4E94}"/>
            </c:ext>
          </c:extLst>
        </c:ser>
        <c:ser>
          <c:idx val="8"/>
          <c:order val="8"/>
          <c:tx>
            <c:strRef>
              <c:f>'[conceptionstatisticstables2017 (1).xls]regional'!$B$33</c:f>
              <c:strCache>
                <c:ptCount val="1"/>
                <c:pt idx="0">
                  <c:v>East </c:v>
                </c:pt>
              </c:strCache>
            </c:strRef>
          </c:tx>
          <c:spPr>
            <a:ln w="19050" cap="rnd" cmpd="sng" algn="ctr">
              <a:solidFill>
                <a:schemeClr val="dk1">
                  <a:tint val="55000"/>
                </a:schemeClr>
              </a:solidFill>
              <a:prstDash val="solid"/>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(1).xls]regional'!$C$33:$V$33</c:f>
              <c:numCache>
                <c:formatCode>0.0</c:formatCode>
                <c:ptCount val="20"/>
                <c:pt idx="0">
                  <c:v>37.9</c:v>
                </c:pt>
                <c:pt idx="1">
                  <c:v>36.4</c:v>
                </c:pt>
                <c:pt idx="2">
                  <c:v>35.1</c:v>
                </c:pt>
                <c:pt idx="3">
                  <c:v>34.200000000000003</c:v>
                </c:pt>
                <c:pt idx="4">
                  <c:v>34.6</c:v>
                </c:pt>
                <c:pt idx="5">
                  <c:v>33.1</c:v>
                </c:pt>
                <c:pt idx="6">
                  <c:v>32.4</c:v>
                </c:pt>
                <c:pt idx="7">
                  <c:v>32.4</c:v>
                </c:pt>
                <c:pt idx="8">
                  <c:v>33.1</c:v>
                </c:pt>
                <c:pt idx="9">
                  <c:v>33</c:v>
                </c:pt>
                <c:pt idx="10">
                  <c:v>31.1</c:v>
                </c:pt>
                <c:pt idx="11">
                  <c:v>30.7</c:v>
                </c:pt>
                <c:pt idx="12">
                  <c:v>29.1</c:v>
                </c:pt>
                <c:pt idx="13">
                  <c:v>26.6</c:v>
                </c:pt>
                <c:pt idx="14">
                  <c:v>23.2</c:v>
                </c:pt>
                <c:pt idx="15" formatCode="#,##0.0">
                  <c:v>21</c:v>
                </c:pt>
                <c:pt idx="16">
                  <c:v>20.2</c:v>
                </c:pt>
                <c:pt idx="17">
                  <c:v>18.8</c:v>
                </c:pt>
                <c:pt idx="18">
                  <c:v>17.100000000000001</c:v>
                </c:pt>
                <c:pt idx="19">
                  <c:v>16</c:v>
                </c:pt>
              </c:numCache>
            </c:numRef>
          </c:val>
          <c:smooth val="0"/>
          <c:extLst>
            <c:ext xmlns:c16="http://schemas.microsoft.com/office/drawing/2014/chart" uri="{C3380CC4-5D6E-409C-BE32-E72D297353CC}">
              <c16:uniqueId val="{00000008-B447-42B1-8E10-AB08F0CD4E94}"/>
            </c:ext>
          </c:extLst>
        </c:ser>
        <c:ser>
          <c:idx val="9"/>
          <c:order val="9"/>
          <c:tx>
            <c:strRef>
              <c:f>'[conceptionstatisticstables2017 (1).xls]regional'!$B$34</c:f>
              <c:strCache>
                <c:ptCount val="1"/>
                <c:pt idx="0">
                  <c:v>South East </c:v>
                </c:pt>
              </c:strCache>
            </c:strRef>
          </c:tx>
          <c:spPr>
            <a:ln w="19050" cap="rnd" cmpd="sng" algn="ctr">
              <a:solidFill>
                <a:schemeClr val="bg2">
                  <a:lumMod val="90000"/>
                </a:schemeClr>
              </a:solidFill>
              <a:prstDash val="lgDashDot"/>
              <a:round/>
            </a:ln>
            <a:effectLst/>
          </c:spPr>
          <c:marker>
            <c:symbol val="none"/>
          </c:marker>
          <c:cat>
            <c:strRef>
              <c:f>'[conceptionstatisticstables2017 (1).xls]regional'!$C$6:$V$6</c:f>
              <c:strCach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strCache>
            </c:strRef>
          </c:cat>
          <c:val>
            <c:numRef>
              <c:f>'[conceptionstatisticstables2017 (1).xls]regional'!$C$34:$V$34</c:f>
              <c:numCache>
                <c:formatCode>0.0</c:formatCode>
                <c:ptCount val="20"/>
                <c:pt idx="0">
                  <c:v>37.799999999999997</c:v>
                </c:pt>
                <c:pt idx="1">
                  <c:v>35.9</c:v>
                </c:pt>
                <c:pt idx="2">
                  <c:v>36</c:v>
                </c:pt>
                <c:pt idx="3">
                  <c:v>35</c:v>
                </c:pt>
                <c:pt idx="4">
                  <c:v>34.6</c:v>
                </c:pt>
                <c:pt idx="5">
                  <c:v>33.200000000000003</c:v>
                </c:pt>
                <c:pt idx="6">
                  <c:v>33.5</c:v>
                </c:pt>
                <c:pt idx="7">
                  <c:v>34.4</c:v>
                </c:pt>
                <c:pt idx="8">
                  <c:v>33.4</c:v>
                </c:pt>
                <c:pt idx="9">
                  <c:v>33</c:v>
                </c:pt>
                <c:pt idx="10">
                  <c:v>33</c:v>
                </c:pt>
                <c:pt idx="11">
                  <c:v>29.9</c:v>
                </c:pt>
                <c:pt idx="12">
                  <c:v>28</c:v>
                </c:pt>
                <c:pt idx="13">
                  <c:v>26.1</c:v>
                </c:pt>
                <c:pt idx="14">
                  <c:v>23.2</c:v>
                </c:pt>
                <c:pt idx="15" formatCode="#,##0.0">
                  <c:v>20.5</c:v>
                </c:pt>
                <c:pt idx="16">
                  <c:v>18.8</c:v>
                </c:pt>
                <c:pt idx="17">
                  <c:v>17.100000000000001</c:v>
                </c:pt>
                <c:pt idx="18">
                  <c:v>15</c:v>
                </c:pt>
                <c:pt idx="19">
                  <c:v>13.9</c:v>
                </c:pt>
              </c:numCache>
            </c:numRef>
          </c:val>
          <c:smooth val="0"/>
          <c:extLst>
            <c:ext xmlns:c16="http://schemas.microsoft.com/office/drawing/2014/chart" uri="{C3380CC4-5D6E-409C-BE32-E72D297353CC}">
              <c16:uniqueId val="{00000009-B447-42B1-8E10-AB08F0CD4E94}"/>
            </c:ext>
          </c:extLst>
        </c:ser>
        <c:dLbls>
          <c:showLegendKey val="0"/>
          <c:showVal val="0"/>
          <c:showCatName val="0"/>
          <c:showSerName val="0"/>
          <c:showPercent val="0"/>
          <c:showBubbleSize val="0"/>
        </c:dLbls>
        <c:smooth val="0"/>
        <c:axId val="354233904"/>
        <c:axId val="1"/>
      </c:lineChart>
      <c:catAx>
        <c:axId val="354233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max val="70"/>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Under-18 Conception Rate per 1,000 women aged 15-17</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233904"/>
        <c:crosses val="autoZero"/>
        <c:crossBetween val="between"/>
      </c:valAx>
      <c:spPr>
        <a:noFill/>
        <a:ln w="25400">
          <a:noFill/>
        </a:ln>
        <a:effectLst/>
      </c:spPr>
    </c:plotArea>
    <c:legend>
      <c:legendPos val="r"/>
      <c:layout>
        <c:manualLayout>
          <c:xMode val="edge"/>
          <c:yMode val="edge"/>
          <c:x val="0.82799304937629048"/>
          <c:y val="2.0809790948655378E-2"/>
          <c:w val="0.15859275053304903"/>
          <c:h val="0.976745742245478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34404304989514"/>
          <c:y val="4.1565465921965819E-2"/>
          <c:w val="0.78252720294385314"/>
          <c:h val="0.6965563973750285"/>
        </c:manualLayout>
      </c:layout>
      <c:lineChart>
        <c:grouping val="standard"/>
        <c:varyColors val="0"/>
        <c:ser>
          <c:idx val="0"/>
          <c:order val="0"/>
          <c:tx>
            <c:strRef>
              <c:f>Sheet1!$D$7</c:f>
              <c:strCache>
                <c:ptCount val="1"/>
                <c:pt idx="0">
                  <c:v>Major urban</c:v>
                </c:pt>
              </c:strCache>
            </c:strRef>
          </c:tx>
          <c:spPr>
            <a:ln w="28575" cap="rnd">
              <a:solidFill>
                <a:schemeClr val="tx1"/>
              </a:solidFill>
              <a:round/>
            </a:ln>
            <a:effectLst/>
          </c:spPr>
          <c:marker>
            <c:symbol val="none"/>
          </c:marker>
          <c:cat>
            <c:strRef>
              <c:f>Sheet1!$C$8:$C$11</c:f>
              <c:strCache>
                <c:ptCount val="4"/>
                <c:pt idx="0">
                  <c:v>1998</c:v>
                </c:pt>
                <c:pt idx="1">
                  <c:v>1995-2005</c:v>
                </c:pt>
                <c:pt idx="2">
                  <c:v>2006-2010</c:v>
                </c:pt>
                <c:pt idx="3">
                  <c:v>2011-2017</c:v>
                </c:pt>
              </c:strCache>
            </c:strRef>
          </c:cat>
          <c:val>
            <c:numRef>
              <c:f>Sheet1!$D$8:$D$11</c:f>
              <c:numCache>
                <c:formatCode>General</c:formatCode>
                <c:ptCount val="4"/>
                <c:pt idx="0">
                  <c:v>48.7</c:v>
                </c:pt>
                <c:pt idx="1">
                  <c:v>44.49</c:v>
                </c:pt>
                <c:pt idx="2">
                  <c:v>40.5</c:v>
                </c:pt>
                <c:pt idx="3">
                  <c:v>24.53</c:v>
                </c:pt>
              </c:numCache>
            </c:numRef>
          </c:val>
          <c:smooth val="0"/>
          <c:extLst>
            <c:ext xmlns:c16="http://schemas.microsoft.com/office/drawing/2014/chart" uri="{C3380CC4-5D6E-409C-BE32-E72D297353CC}">
              <c16:uniqueId val="{00000000-98A3-4E7E-AF02-64351CBD1BD0}"/>
            </c:ext>
          </c:extLst>
        </c:ser>
        <c:ser>
          <c:idx val="1"/>
          <c:order val="1"/>
          <c:tx>
            <c:strRef>
              <c:f>Sheet1!$E$7</c:f>
              <c:strCache>
                <c:ptCount val="1"/>
                <c:pt idx="0">
                  <c:v>Large Urban</c:v>
                </c:pt>
              </c:strCache>
            </c:strRef>
          </c:tx>
          <c:spPr>
            <a:ln w="28575" cap="rnd">
              <a:solidFill>
                <a:schemeClr val="tx1"/>
              </a:solidFill>
              <a:prstDash val="dash"/>
              <a:round/>
            </a:ln>
            <a:effectLst/>
          </c:spPr>
          <c:marker>
            <c:symbol val="none"/>
          </c:marker>
          <c:cat>
            <c:strRef>
              <c:f>Sheet1!$C$8:$C$11</c:f>
              <c:strCache>
                <c:ptCount val="4"/>
                <c:pt idx="0">
                  <c:v>1998</c:v>
                </c:pt>
                <c:pt idx="1">
                  <c:v>1995-2005</c:v>
                </c:pt>
                <c:pt idx="2">
                  <c:v>2006-2010</c:v>
                </c:pt>
                <c:pt idx="3">
                  <c:v>2011-2017</c:v>
                </c:pt>
              </c:strCache>
            </c:strRef>
          </c:cat>
          <c:val>
            <c:numRef>
              <c:f>Sheet1!$E$8:$E$11</c:f>
              <c:numCache>
                <c:formatCode>General</c:formatCode>
                <c:ptCount val="4"/>
                <c:pt idx="0">
                  <c:v>47.370000000000005</c:v>
                </c:pt>
                <c:pt idx="1">
                  <c:v>42.56</c:v>
                </c:pt>
                <c:pt idx="2">
                  <c:v>39.72</c:v>
                </c:pt>
                <c:pt idx="3">
                  <c:v>23.590000000000003</c:v>
                </c:pt>
              </c:numCache>
            </c:numRef>
          </c:val>
          <c:smooth val="0"/>
          <c:extLst>
            <c:ext xmlns:c16="http://schemas.microsoft.com/office/drawing/2014/chart" uri="{C3380CC4-5D6E-409C-BE32-E72D297353CC}">
              <c16:uniqueId val="{00000001-98A3-4E7E-AF02-64351CBD1BD0}"/>
            </c:ext>
          </c:extLst>
        </c:ser>
        <c:ser>
          <c:idx val="2"/>
          <c:order val="2"/>
          <c:tx>
            <c:strRef>
              <c:f>Sheet1!$F$7</c:f>
              <c:strCache>
                <c:ptCount val="1"/>
                <c:pt idx="0">
                  <c:v>Other Urban</c:v>
                </c:pt>
              </c:strCache>
            </c:strRef>
          </c:tx>
          <c:spPr>
            <a:ln w="28575" cap="rnd">
              <a:solidFill>
                <a:schemeClr val="tx1"/>
              </a:solidFill>
              <a:prstDash val="sysDot"/>
              <a:round/>
            </a:ln>
            <a:effectLst/>
          </c:spPr>
          <c:marker>
            <c:symbol val="none"/>
          </c:marker>
          <c:cat>
            <c:strRef>
              <c:f>Sheet1!$C$8:$C$11</c:f>
              <c:strCache>
                <c:ptCount val="4"/>
                <c:pt idx="0">
                  <c:v>1998</c:v>
                </c:pt>
                <c:pt idx="1">
                  <c:v>1995-2005</c:v>
                </c:pt>
                <c:pt idx="2">
                  <c:v>2006-2010</c:v>
                </c:pt>
                <c:pt idx="3">
                  <c:v>2011-2017</c:v>
                </c:pt>
              </c:strCache>
            </c:strRef>
          </c:cat>
          <c:val>
            <c:numRef>
              <c:f>Sheet1!$F$8:$F$11</c:f>
              <c:numCache>
                <c:formatCode>General</c:formatCode>
                <c:ptCount val="4"/>
                <c:pt idx="0">
                  <c:v>49.78</c:v>
                </c:pt>
                <c:pt idx="1">
                  <c:v>43.93</c:v>
                </c:pt>
                <c:pt idx="2">
                  <c:v>39.699999999999996</c:v>
                </c:pt>
                <c:pt idx="3">
                  <c:v>20.100000000000001</c:v>
                </c:pt>
              </c:numCache>
            </c:numRef>
          </c:val>
          <c:smooth val="0"/>
          <c:extLst>
            <c:ext xmlns:c16="http://schemas.microsoft.com/office/drawing/2014/chart" uri="{C3380CC4-5D6E-409C-BE32-E72D297353CC}">
              <c16:uniqueId val="{00000002-98A3-4E7E-AF02-64351CBD1BD0}"/>
            </c:ext>
          </c:extLst>
        </c:ser>
        <c:ser>
          <c:idx val="3"/>
          <c:order val="3"/>
          <c:tx>
            <c:strRef>
              <c:f>Sheet1!$G$7</c:f>
              <c:strCache>
                <c:ptCount val="1"/>
                <c:pt idx="0">
                  <c:v>Significant Rural</c:v>
                </c:pt>
              </c:strCache>
            </c:strRef>
          </c:tx>
          <c:spPr>
            <a:ln w="28575" cap="rnd">
              <a:solidFill>
                <a:schemeClr val="bg1">
                  <a:lumMod val="75000"/>
                </a:schemeClr>
              </a:solidFill>
              <a:round/>
            </a:ln>
            <a:effectLst/>
          </c:spPr>
          <c:marker>
            <c:symbol val="none"/>
          </c:marker>
          <c:cat>
            <c:strRef>
              <c:f>Sheet1!$C$8:$C$11</c:f>
              <c:strCache>
                <c:ptCount val="4"/>
                <c:pt idx="0">
                  <c:v>1998</c:v>
                </c:pt>
                <c:pt idx="1">
                  <c:v>1995-2005</c:v>
                </c:pt>
                <c:pt idx="2">
                  <c:v>2006-2010</c:v>
                </c:pt>
                <c:pt idx="3">
                  <c:v>2011-2017</c:v>
                </c:pt>
              </c:strCache>
            </c:strRef>
          </c:cat>
          <c:val>
            <c:numRef>
              <c:f>Sheet1!$G$8:$G$11</c:f>
              <c:numCache>
                <c:formatCode>General</c:formatCode>
                <c:ptCount val="4"/>
                <c:pt idx="0">
                  <c:v>40.22</c:v>
                </c:pt>
                <c:pt idx="1">
                  <c:v>37.080000000000005</c:v>
                </c:pt>
                <c:pt idx="2">
                  <c:v>34.83</c:v>
                </c:pt>
                <c:pt idx="3">
                  <c:v>21.6</c:v>
                </c:pt>
              </c:numCache>
            </c:numRef>
          </c:val>
          <c:smooth val="0"/>
          <c:extLst>
            <c:ext xmlns:c16="http://schemas.microsoft.com/office/drawing/2014/chart" uri="{C3380CC4-5D6E-409C-BE32-E72D297353CC}">
              <c16:uniqueId val="{00000003-98A3-4E7E-AF02-64351CBD1BD0}"/>
            </c:ext>
          </c:extLst>
        </c:ser>
        <c:ser>
          <c:idx val="4"/>
          <c:order val="4"/>
          <c:tx>
            <c:strRef>
              <c:f>Sheet1!$H$7</c:f>
              <c:strCache>
                <c:ptCount val="1"/>
                <c:pt idx="0">
                  <c:v>Rural-50%</c:v>
                </c:pt>
              </c:strCache>
            </c:strRef>
          </c:tx>
          <c:spPr>
            <a:ln w="28575" cap="rnd">
              <a:solidFill>
                <a:schemeClr val="bg1">
                  <a:lumMod val="75000"/>
                </a:schemeClr>
              </a:solidFill>
              <a:prstDash val="dash"/>
              <a:round/>
            </a:ln>
            <a:effectLst/>
          </c:spPr>
          <c:marker>
            <c:symbol val="none"/>
          </c:marker>
          <c:cat>
            <c:strRef>
              <c:f>Sheet1!$C$8:$C$11</c:f>
              <c:strCache>
                <c:ptCount val="4"/>
                <c:pt idx="0">
                  <c:v>1998</c:v>
                </c:pt>
                <c:pt idx="1">
                  <c:v>1995-2005</c:v>
                </c:pt>
                <c:pt idx="2">
                  <c:v>2006-2010</c:v>
                </c:pt>
                <c:pt idx="3">
                  <c:v>2011-2017</c:v>
                </c:pt>
              </c:strCache>
            </c:strRef>
          </c:cat>
          <c:val>
            <c:numRef>
              <c:f>Sheet1!$H$8:$H$11</c:f>
              <c:numCache>
                <c:formatCode>General</c:formatCode>
                <c:ptCount val="4"/>
                <c:pt idx="0">
                  <c:v>37.71</c:v>
                </c:pt>
                <c:pt idx="1">
                  <c:v>33.049999999999997</c:v>
                </c:pt>
                <c:pt idx="2">
                  <c:v>32.07</c:v>
                </c:pt>
                <c:pt idx="3">
                  <c:v>20.830000000000002</c:v>
                </c:pt>
              </c:numCache>
            </c:numRef>
          </c:val>
          <c:smooth val="0"/>
          <c:extLst>
            <c:ext xmlns:c16="http://schemas.microsoft.com/office/drawing/2014/chart" uri="{C3380CC4-5D6E-409C-BE32-E72D297353CC}">
              <c16:uniqueId val="{00000004-98A3-4E7E-AF02-64351CBD1BD0}"/>
            </c:ext>
          </c:extLst>
        </c:ser>
        <c:ser>
          <c:idx val="5"/>
          <c:order val="5"/>
          <c:tx>
            <c:strRef>
              <c:f>Sheet1!$I$7</c:f>
              <c:strCache>
                <c:ptCount val="1"/>
                <c:pt idx="0">
                  <c:v>Rural-80%</c:v>
                </c:pt>
              </c:strCache>
            </c:strRef>
          </c:tx>
          <c:spPr>
            <a:ln w="28575" cap="rnd">
              <a:solidFill>
                <a:schemeClr val="bg1">
                  <a:lumMod val="75000"/>
                </a:schemeClr>
              </a:solidFill>
              <a:prstDash val="sysDot"/>
              <a:round/>
            </a:ln>
            <a:effectLst/>
          </c:spPr>
          <c:marker>
            <c:symbol val="none"/>
          </c:marker>
          <c:cat>
            <c:strRef>
              <c:f>Sheet1!$C$8:$C$11</c:f>
              <c:strCache>
                <c:ptCount val="4"/>
                <c:pt idx="0">
                  <c:v>1998</c:v>
                </c:pt>
                <c:pt idx="1">
                  <c:v>1995-2005</c:v>
                </c:pt>
                <c:pt idx="2">
                  <c:v>2006-2010</c:v>
                </c:pt>
                <c:pt idx="3">
                  <c:v>2011-2017</c:v>
                </c:pt>
              </c:strCache>
            </c:strRef>
          </c:cat>
          <c:val>
            <c:numRef>
              <c:f>Sheet1!$I$8:$I$11</c:f>
              <c:numCache>
                <c:formatCode>General</c:formatCode>
                <c:ptCount val="4"/>
                <c:pt idx="0">
                  <c:v>33.870000000000005</c:v>
                </c:pt>
                <c:pt idx="1">
                  <c:v>29.710000000000004</c:v>
                </c:pt>
                <c:pt idx="2">
                  <c:v>28.89</c:v>
                </c:pt>
                <c:pt idx="3">
                  <c:v>19.520000000000003</c:v>
                </c:pt>
              </c:numCache>
            </c:numRef>
          </c:val>
          <c:smooth val="0"/>
          <c:extLst>
            <c:ext xmlns:c16="http://schemas.microsoft.com/office/drawing/2014/chart" uri="{C3380CC4-5D6E-409C-BE32-E72D297353CC}">
              <c16:uniqueId val="{00000005-98A3-4E7E-AF02-64351CBD1BD0}"/>
            </c:ext>
          </c:extLst>
        </c:ser>
        <c:ser>
          <c:idx val="6"/>
          <c:order val="6"/>
          <c:tx>
            <c:strRef>
              <c:f>Sheet1!$J$7</c:f>
              <c:strCache>
                <c:ptCount val="1"/>
                <c:pt idx="0">
                  <c:v>Inner London</c:v>
                </c:pt>
              </c:strCache>
            </c:strRef>
          </c:tx>
          <c:spPr>
            <a:ln w="28575" cap="rnd" cmpd="sng">
              <a:solidFill>
                <a:schemeClr val="tx1">
                  <a:lumMod val="50000"/>
                  <a:lumOff val="50000"/>
                </a:schemeClr>
              </a:solidFill>
              <a:bevel/>
            </a:ln>
            <a:effectLst/>
          </c:spPr>
          <c:marker>
            <c:symbol val="x"/>
            <c:size val="5"/>
            <c:spPr>
              <a:noFill/>
              <a:ln w="9525">
                <a:solidFill>
                  <a:schemeClr val="tx1">
                    <a:lumMod val="50000"/>
                    <a:lumOff val="50000"/>
                  </a:schemeClr>
                </a:solidFill>
              </a:ln>
              <a:effectLst/>
            </c:spPr>
          </c:marker>
          <c:cat>
            <c:strRef>
              <c:f>Sheet1!$C$8:$C$11</c:f>
              <c:strCache>
                <c:ptCount val="4"/>
                <c:pt idx="0">
                  <c:v>1998</c:v>
                </c:pt>
                <c:pt idx="1">
                  <c:v>1995-2005</c:v>
                </c:pt>
                <c:pt idx="2">
                  <c:v>2006-2010</c:v>
                </c:pt>
                <c:pt idx="3">
                  <c:v>2011-2017</c:v>
                </c:pt>
              </c:strCache>
            </c:strRef>
          </c:cat>
          <c:val>
            <c:numRef>
              <c:f>Sheet1!$J$8:$J$11</c:f>
              <c:numCache>
                <c:formatCode>General</c:formatCode>
                <c:ptCount val="4"/>
                <c:pt idx="0">
                  <c:v>64.600000000000009</c:v>
                </c:pt>
                <c:pt idx="1">
                  <c:v>60.35</c:v>
                </c:pt>
                <c:pt idx="2">
                  <c:v>45.25</c:v>
                </c:pt>
                <c:pt idx="3">
                  <c:v>22.22</c:v>
                </c:pt>
              </c:numCache>
            </c:numRef>
          </c:val>
          <c:smooth val="0"/>
          <c:extLst>
            <c:ext xmlns:c16="http://schemas.microsoft.com/office/drawing/2014/chart" uri="{C3380CC4-5D6E-409C-BE32-E72D297353CC}">
              <c16:uniqueId val="{00000006-98A3-4E7E-AF02-64351CBD1BD0}"/>
            </c:ext>
          </c:extLst>
        </c:ser>
        <c:ser>
          <c:idx val="7"/>
          <c:order val="7"/>
          <c:tx>
            <c:strRef>
              <c:f>Sheet1!$K$7</c:f>
              <c:strCache>
                <c:ptCount val="1"/>
                <c:pt idx="0">
                  <c:v>Outer London</c:v>
                </c:pt>
              </c:strCache>
            </c:strRef>
          </c:tx>
          <c:spPr>
            <a:ln w="28575" cap="rnd">
              <a:solidFill>
                <a:schemeClr val="tx1">
                  <a:lumMod val="50000"/>
                  <a:lumOff val="50000"/>
                </a:schemeClr>
              </a:solidFill>
              <a:round/>
            </a:ln>
            <a:effectLst/>
          </c:spPr>
          <c:marker>
            <c:symbol val="x"/>
            <c:size val="5"/>
            <c:spPr>
              <a:solidFill>
                <a:schemeClr val="tx1">
                  <a:lumMod val="50000"/>
                  <a:lumOff val="50000"/>
                </a:schemeClr>
              </a:solidFill>
              <a:ln w="9525">
                <a:solidFill>
                  <a:schemeClr val="tx1">
                    <a:lumMod val="50000"/>
                    <a:lumOff val="50000"/>
                  </a:schemeClr>
                </a:solidFill>
              </a:ln>
              <a:effectLst/>
            </c:spPr>
          </c:marker>
          <c:cat>
            <c:strRef>
              <c:f>Sheet1!$C$8:$C$11</c:f>
              <c:strCache>
                <c:ptCount val="4"/>
                <c:pt idx="0">
                  <c:v>1998</c:v>
                </c:pt>
                <c:pt idx="1">
                  <c:v>1995-2005</c:v>
                </c:pt>
                <c:pt idx="2">
                  <c:v>2006-2010</c:v>
                </c:pt>
                <c:pt idx="3">
                  <c:v>2011-2017</c:v>
                </c:pt>
              </c:strCache>
            </c:strRef>
          </c:cat>
          <c:val>
            <c:numRef>
              <c:f>Sheet1!$K$8:$K$11</c:f>
              <c:numCache>
                <c:formatCode>General</c:formatCode>
                <c:ptCount val="4"/>
                <c:pt idx="0">
                  <c:v>41.85</c:v>
                </c:pt>
                <c:pt idx="1">
                  <c:v>41.480000000000004</c:v>
                </c:pt>
                <c:pt idx="2">
                  <c:v>35.22</c:v>
                </c:pt>
                <c:pt idx="3">
                  <c:v>20.54</c:v>
                </c:pt>
              </c:numCache>
            </c:numRef>
          </c:val>
          <c:smooth val="0"/>
          <c:extLst>
            <c:ext xmlns:c16="http://schemas.microsoft.com/office/drawing/2014/chart" uri="{C3380CC4-5D6E-409C-BE32-E72D297353CC}">
              <c16:uniqueId val="{00000007-98A3-4E7E-AF02-64351CBD1BD0}"/>
            </c:ext>
          </c:extLst>
        </c:ser>
        <c:dLbls>
          <c:showLegendKey val="0"/>
          <c:showVal val="0"/>
          <c:showCatName val="0"/>
          <c:showSerName val="0"/>
          <c:showPercent val="0"/>
          <c:showBubbleSize val="0"/>
        </c:dLbls>
        <c:smooth val="0"/>
        <c:axId val="683423855"/>
        <c:axId val="559366639"/>
      </c:lineChart>
      <c:catAx>
        <c:axId val="6834238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r>
                  <a:rPr lang="en-GB" baseline="0"/>
                  <a:t> Period</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366639"/>
        <c:crosses val="autoZero"/>
        <c:auto val="1"/>
        <c:lblAlgn val="ctr"/>
        <c:lblOffset val="100"/>
        <c:noMultiLvlLbl val="0"/>
      </c:catAx>
      <c:valAx>
        <c:axId val="559366639"/>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Predicted under-18 conception rates from</a:t>
                </a:r>
                <a:r>
                  <a:rPr lang="en-GB" baseline="0"/>
                  <a:t> Model 1</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423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83763455546275"/>
          <c:y val="4.3193752831917898E-2"/>
          <c:w val="0.57834000258164453"/>
          <c:h val="0.6865404117704631"/>
        </c:manualLayout>
      </c:layout>
      <c:lineChart>
        <c:grouping val="standard"/>
        <c:varyColors val="0"/>
        <c:ser>
          <c:idx val="0"/>
          <c:order val="0"/>
          <c:tx>
            <c:strRef>
              <c:f>Sheet1!$O$7</c:f>
              <c:strCache>
                <c:ptCount val="1"/>
                <c:pt idx="0">
                  <c:v>Major urban</c:v>
                </c:pt>
              </c:strCache>
            </c:strRef>
          </c:tx>
          <c:spPr>
            <a:ln w="28575" cap="rnd">
              <a:solidFill>
                <a:schemeClr val="tx1"/>
              </a:solidFill>
              <a:round/>
            </a:ln>
            <a:effectLst/>
          </c:spPr>
          <c:marker>
            <c:symbol val="none"/>
          </c:marker>
          <c:cat>
            <c:strRef>
              <c:f>Sheet1!$N$8:$N$11</c:f>
              <c:strCache>
                <c:ptCount val="4"/>
                <c:pt idx="0">
                  <c:v>1998</c:v>
                </c:pt>
                <c:pt idx="1">
                  <c:v>1995-2005</c:v>
                </c:pt>
                <c:pt idx="2">
                  <c:v>2006-2010</c:v>
                </c:pt>
                <c:pt idx="3">
                  <c:v>2011-2017</c:v>
                </c:pt>
              </c:strCache>
            </c:strRef>
          </c:cat>
          <c:val>
            <c:numRef>
              <c:f>Sheet1!$P$36:$P$39</c:f>
              <c:numCache>
                <c:formatCode>General</c:formatCode>
                <c:ptCount val="4"/>
                <c:pt idx="0">
                  <c:v>39.771000000000008</c:v>
                </c:pt>
                <c:pt idx="1">
                  <c:v>39.295000000000002</c:v>
                </c:pt>
                <c:pt idx="2">
                  <c:v>39.631999999999998</c:v>
                </c:pt>
                <c:pt idx="3">
                  <c:v>23.789000000000001</c:v>
                </c:pt>
              </c:numCache>
            </c:numRef>
          </c:val>
          <c:smooth val="0"/>
          <c:extLst>
            <c:ext xmlns:c16="http://schemas.microsoft.com/office/drawing/2014/chart" uri="{C3380CC4-5D6E-409C-BE32-E72D297353CC}">
              <c16:uniqueId val="{00000000-AAC8-4F3C-B64F-9D08C687F5B7}"/>
            </c:ext>
          </c:extLst>
        </c:ser>
        <c:ser>
          <c:idx val="1"/>
          <c:order val="1"/>
          <c:tx>
            <c:strRef>
              <c:f>Sheet1!$P$7</c:f>
              <c:strCache>
                <c:ptCount val="1"/>
                <c:pt idx="0">
                  <c:v>Large Urban</c:v>
                </c:pt>
              </c:strCache>
            </c:strRef>
          </c:tx>
          <c:spPr>
            <a:ln w="28575" cap="rnd">
              <a:solidFill>
                <a:schemeClr val="tx1"/>
              </a:solidFill>
              <a:prstDash val="dash"/>
              <a:round/>
            </a:ln>
            <a:effectLst/>
          </c:spPr>
          <c:marker>
            <c:symbol val="none"/>
          </c:marker>
          <c:cat>
            <c:strRef>
              <c:f>Sheet1!$N$8:$N$11</c:f>
              <c:strCache>
                <c:ptCount val="4"/>
                <c:pt idx="0">
                  <c:v>1998</c:v>
                </c:pt>
                <c:pt idx="1">
                  <c:v>1995-2005</c:v>
                </c:pt>
                <c:pt idx="2">
                  <c:v>2006-2010</c:v>
                </c:pt>
                <c:pt idx="3">
                  <c:v>2011-2017</c:v>
                </c:pt>
              </c:strCache>
            </c:strRef>
          </c:cat>
          <c:val>
            <c:numRef>
              <c:f>Sheet1!$Q$36:$Q$39</c:f>
              <c:numCache>
                <c:formatCode>General</c:formatCode>
                <c:ptCount val="4"/>
                <c:pt idx="0">
                  <c:v>41.891000000000005</c:v>
                </c:pt>
                <c:pt idx="1">
                  <c:v>40.195</c:v>
                </c:pt>
                <c:pt idx="2">
                  <c:v>39.092000000000006</c:v>
                </c:pt>
                <c:pt idx="3">
                  <c:v>23.499000000000002</c:v>
                </c:pt>
              </c:numCache>
            </c:numRef>
          </c:val>
          <c:smooth val="0"/>
          <c:extLst>
            <c:ext xmlns:c16="http://schemas.microsoft.com/office/drawing/2014/chart" uri="{C3380CC4-5D6E-409C-BE32-E72D297353CC}">
              <c16:uniqueId val="{00000001-AAC8-4F3C-B64F-9D08C687F5B7}"/>
            </c:ext>
          </c:extLst>
        </c:ser>
        <c:ser>
          <c:idx val="2"/>
          <c:order val="2"/>
          <c:tx>
            <c:strRef>
              <c:f>Sheet1!$Q$7</c:f>
              <c:strCache>
                <c:ptCount val="1"/>
                <c:pt idx="0">
                  <c:v>Other Urban</c:v>
                </c:pt>
              </c:strCache>
            </c:strRef>
          </c:tx>
          <c:spPr>
            <a:ln w="28575" cap="rnd">
              <a:solidFill>
                <a:schemeClr val="tx1"/>
              </a:solidFill>
              <a:prstDash val="sysDot"/>
              <a:round/>
            </a:ln>
            <a:effectLst/>
          </c:spPr>
          <c:marker>
            <c:symbol val="none"/>
          </c:marker>
          <c:cat>
            <c:strRef>
              <c:f>Sheet1!$N$8:$N$11</c:f>
              <c:strCache>
                <c:ptCount val="4"/>
                <c:pt idx="0">
                  <c:v>1998</c:v>
                </c:pt>
                <c:pt idx="1">
                  <c:v>1995-2005</c:v>
                </c:pt>
                <c:pt idx="2">
                  <c:v>2006-2010</c:v>
                </c:pt>
                <c:pt idx="3">
                  <c:v>2011-2017</c:v>
                </c:pt>
              </c:strCache>
            </c:strRef>
          </c:cat>
          <c:val>
            <c:numRef>
              <c:f>Sheet1!$R$36:$R$39</c:f>
              <c:numCache>
                <c:formatCode>General</c:formatCode>
                <c:ptCount val="4"/>
                <c:pt idx="0">
                  <c:v>42.701000000000008</c:v>
                </c:pt>
                <c:pt idx="1">
                  <c:v>41.295000000000002</c:v>
                </c:pt>
                <c:pt idx="2">
                  <c:v>39.702000000000005</c:v>
                </c:pt>
                <c:pt idx="3">
                  <c:v>22.899000000000001</c:v>
                </c:pt>
              </c:numCache>
            </c:numRef>
          </c:val>
          <c:smooth val="0"/>
          <c:extLst>
            <c:ext xmlns:c16="http://schemas.microsoft.com/office/drawing/2014/chart" uri="{C3380CC4-5D6E-409C-BE32-E72D297353CC}">
              <c16:uniqueId val="{00000002-AAC8-4F3C-B64F-9D08C687F5B7}"/>
            </c:ext>
          </c:extLst>
        </c:ser>
        <c:ser>
          <c:idx val="3"/>
          <c:order val="3"/>
          <c:tx>
            <c:strRef>
              <c:f>Sheet1!$R$7</c:f>
              <c:strCache>
                <c:ptCount val="1"/>
                <c:pt idx="0">
                  <c:v>Significant Rural</c:v>
                </c:pt>
              </c:strCache>
            </c:strRef>
          </c:tx>
          <c:spPr>
            <a:ln w="28575" cap="rnd">
              <a:solidFill>
                <a:schemeClr val="bg1">
                  <a:lumMod val="75000"/>
                </a:schemeClr>
              </a:solidFill>
              <a:round/>
            </a:ln>
            <a:effectLst/>
          </c:spPr>
          <c:marker>
            <c:symbol val="none"/>
          </c:marker>
          <c:cat>
            <c:strRef>
              <c:f>Sheet1!$N$8:$N$11</c:f>
              <c:strCache>
                <c:ptCount val="4"/>
                <c:pt idx="0">
                  <c:v>1998</c:v>
                </c:pt>
                <c:pt idx="1">
                  <c:v>1995-2005</c:v>
                </c:pt>
                <c:pt idx="2">
                  <c:v>2006-2010</c:v>
                </c:pt>
                <c:pt idx="3">
                  <c:v>2011-2017</c:v>
                </c:pt>
              </c:strCache>
            </c:strRef>
          </c:cat>
          <c:val>
            <c:numRef>
              <c:f>Sheet1!$S$36:$S$39</c:f>
              <c:numCache>
                <c:formatCode>General</c:formatCode>
                <c:ptCount val="4"/>
                <c:pt idx="0">
                  <c:v>35.661000000000008</c:v>
                </c:pt>
                <c:pt idx="1">
                  <c:v>35.745000000000005</c:v>
                </c:pt>
                <c:pt idx="2">
                  <c:v>35.332000000000001</c:v>
                </c:pt>
                <c:pt idx="3">
                  <c:v>20.279000000000003</c:v>
                </c:pt>
              </c:numCache>
            </c:numRef>
          </c:val>
          <c:smooth val="0"/>
          <c:extLst>
            <c:ext xmlns:c16="http://schemas.microsoft.com/office/drawing/2014/chart" uri="{C3380CC4-5D6E-409C-BE32-E72D297353CC}">
              <c16:uniqueId val="{00000003-AAC8-4F3C-B64F-9D08C687F5B7}"/>
            </c:ext>
          </c:extLst>
        </c:ser>
        <c:ser>
          <c:idx val="4"/>
          <c:order val="4"/>
          <c:tx>
            <c:strRef>
              <c:f>Sheet1!$S$7</c:f>
              <c:strCache>
                <c:ptCount val="1"/>
                <c:pt idx="0">
                  <c:v>Rural-50%</c:v>
                </c:pt>
              </c:strCache>
            </c:strRef>
          </c:tx>
          <c:spPr>
            <a:ln w="28575" cap="rnd">
              <a:solidFill>
                <a:schemeClr val="bg1">
                  <a:lumMod val="75000"/>
                </a:schemeClr>
              </a:solidFill>
              <a:prstDash val="dash"/>
              <a:round/>
            </a:ln>
            <a:effectLst/>
          </c:spPr>
          <c:marker>
            <c:symbol val="none"/>
          </c:marker>
          <c:cat>
            <c:strRef>
              <c:f>Sheet1!$N$8:$N$11</c:f>
              <c:strCache>
                <c:ptCount val="4"/>
                <c:pt idx="0">
                  <c:v>1998</c:v>
                </c:pt>
                <c:pt idx="1">
                  <c:v>1995-2005</c:v>
                </c:pt>
                <c:pt idx="2">
                  <c:v>2006-2010</c:v>
                </c:pt>
                <c:pt idx="3">
                  <c:v>2011-2017</c:v>
                </c:pt>
              </c:strCache>
            </c:strRef>
          </c:cat>
          <c:val>
            <c:numRef>
              <c:f>Sheet1!$T$36:$T$39</c:f>
              <c:numCache>
                <c:formatCode>General</c:formatCode>
                <c:ptCount val="4"/>
                <c:pt idx="0">
                  <c:v>33.871000000000009</c:v>
                </c:pt>
                <c:pt idx="1">
                  <c:v>32.055</c:v>
                </c:pt>
                <c:pt idx="2">
                  <c:v>32.781999999999996</c:v>
                </c:pt>
                <c:pt idx="3">
                  <c:v>19.459000000000003</c:v>
                </c:pt>
              </c:numCache>
            </c:numRef>
          </c:val>
          <c:smooth val="0"/>
          <c:extLst>
            <c:ext xmlns:c16="http://schemas.microsoft.com/office/drawing/2014/chart" uri="{C3380CC4-5D6E-409C-BE32-E72D297353CC}">
              <c16:uniqueId val="{00000004-AAC8-4F3C-B64F-9D08C687F5B7}"/>
            </c:ext>
          </c:extLst>
        </c:ser>
        <c:ser>
          <c:idx val="5"/>
          <c:order val="5"/>
          <c:tx>
            <c:strRef>
              <c:f>Sheet1!$T$7</c:f>
              <c:strCache>
                <c:ptCount val="1"/>
                <c:pt idx="0">
                  <c:v>Rural-80%</c:v>
                </c:pt>
              </c:strCache>
            </c:strRef>
          </c:tx>
          <c:spPr>
            <a:ln w="28575" cap="rnd">
              <a:solidFill>
                <a:schemeClr val="bg1">
                  <a:lumMod val="75000"/>
                </a:schemeClr>
              </a:solidFill>
              <a:prstDash val="sysDot"/>
              <a:round/>
            </a:ln>
            <a:effectLst/>
          </c:spPr>
          <c:marker>
            <c:symbol val="none"/>
          </c:marker>
          <c:cat>
            <c:strRef>
              <c:f>Sheet1!$N$8:$N$11</c:f>
              <c:strCache>
                <c:ptCount val="4"/>
                <c:pt idx="0">
                  <c:v>1998</c:v>
                </c:pt>
                <c:pt idx="1">
                  <c:v>1995-2005</c:v>
                </c:pt>
                <c:pt idx="2">
                  <c:v>2006-2010</c:v>
                </c:pt>
                <c:pt idx="3">
                  <c:v>2011-2017</c:v>
                </c:pt>
              </c:strCache>
            </c:strRef>
          </c:cat>
          <c:val>
            <c:numRef>
              <c:f>Sheet1!$U$36:$U$39</c:f>
              <c:numCache>
                <c:formatCode>General</c:formatCode>
                <c:ptCount val="4"/>
                <c:pt idx="0">
                  <c:v>29.771000000000004</c:v>
                </c:pt>
                <c:pt idx="1">
                  <c:v>29.075000000000003</c:v>
                </c:pt>
                <c:pt idx="2">
                  <c:v>29.652000000000005</c:v>
                </c:pt>
                <c:pt idx="3">
                  <c:v>17.829000000000001</c:v>
                </c:pt>
              </c:numCache>
            </c:numRef>
          </c:val>
          <c:smooth val="0"/>
          <c:extLst>
            <c:ext xmlns:c16="http://schemas.microsoft.com/office/drawing/2014/chart" uri="{C3380CC4-5D6E-409C-BE32-E72D297353CC}">
              <c16:uniqueId val="{00000005-AAC8-4F3C-B64F-9D08C687F5B7}"/>
            </c:ext>
          </c:extLst>
        </c:ser>
        <c:ser>
          <c:idx val="6"/>
          <c:order val="6"/>
          <c:tx>
            <c:strRef>
              <c:f>Sheet1!$U$7</c:f>
              <c:strCache>
                <c:ptCount val="1"/>
                <c:pt idx="0">
                  <c:v>Inner London</c:v>
                </c:pt>
              </c:strCache>
            </c:strRef>
          </c:tx>
          <c:spPr>
            <a:ln w="28575" cap="rnd">
              <a:solidFill>
                <a:schemeClr val="tx1">
                  <a:lumMod val="50000"/>
                  <a:lumOff val="50000"/>
                </a:schemeClr>
              </a:solidFill>
              <a:round/>
            </a:ln>
            <a:effectLst/>
          </c:spPr>
          <c:marker>
            <c:symbol val="x"/>
            <c:size val="5"/>
            <c:spPr>
              <a:noFill/>
              <a:ln w="9525">
                <a:solidFill>
                  <a:schemeClr val="tx1">
                    <a:lumMod val="50000"/>
                    <a:lumOff val="50000"/>
                  </a:schemeClr>
                </a:solidFill>
              </a:ln>
              <a:effectLst/>
            </c:spPr>
          </c:marker>
          <c:cat>
            <c:strRef>
              <c:f>Sheet1!$N$8:$N$11</c:f>
              <c:strCache>
                <c:ptCount val="4"/>
                <c:pt idx="0">
                  <c:v>1998</c:v>
                </c:pt>
                <c:pt idx="1">
                  <c:v>1995-2005</c:v>
                </c:pt>
                <c:pt idx="2">
                  <c:v>2006-2010</c:v>
                </c:pt>
                <c:pt idx="3">
                  <c:v>2011-2017</c:v>
                </c:pt>
              </c:strCache>
            </c:strRef>
          </c:cat>
          <c:val>
            <c:numRef>
              <c:f>Sheet1!$V$36:$V$39</c:f>
              <c:numCache>
                <c:formatCode>General</c:formatCode>
                <c:ptCount val="4"/>
                <c:pt idx="0">
                  <c:v>42.83100000000001</c:v>
                </c:pt>
                <c:pt idx="1">
                  <c:v>38.135000000000005</c:v>
                </c:pt>
                <c:pt idx="2">
                  <c:v>44.562000000000005</c:v>
                </c:pt>
                <c:pt idx="3">
                  <c:v>24.499000000000002</c:v>
                </c:pt>
              </c:numCache>
            </c:numRef>
          </c:val>
          <c:smooth val="0"/>
          <c:extLst>
            <c:ext xmlns:c16="http://schemas.microsoft.com/office/drawing/2014/chart" uri="{C3380CC4-5D6E-409C-BE32-E72D297353CC}">
              <c16:uniqueId val="{00000006-AAC8-4F3C-B64F-9D08C687F5B7}"/>
            </c:ext>
          </c:extLst>
        </c:ser>
        <c:ser>
          <c:idx val="7"/>
          <c:order val="7"/>
          <c:tx>
            <c:strRef>
              <c:f>Sheet1!$V$7</c:f>
              <c:strCache>
                <c:ptCount val="1"/>
                <c:pt idx="0">
                  <c:v>Outer London</c:v>
                </c:pt>
              </c:strCache>
            </c:strRef>
          </c:tx>
          <c:spPr>
            <a:ln w="28575" cap="rnd">
              <a:solidFill>
                <a:schemeClr val="tx1">
                  <a:lumMod val="50000"/>
                  <a:lumOff val="50000"/>
                </a:schemeClr>
              </a:solidFill>
              <a:round/>
            </a:ln>
            <a:effectLst/>
          </c:spPr>
          <c:marker>
            <c:symbol val="square"/>
            <c:size val="5"/>
            <c:spPr>
              <a:solidFill>
                <a:schemeClr val="tx1">
                  <a:lumMod val="50000"/>
                  <a:lumOff val="50000"/>
                </a:schemeClr>
              </a:solidFill>
              <a:ln w="9525">
                <a:solidFill>
                  <a:schemeClr val="tx1">
                    <a:lumMod val="50000"/>
                    <a:lumOff val="50000"/>
                  </a:schemeClr>
                </a:solidFill>
              </a:ln>
              <a:effectLst/>
            </c:spPr>
          </c:marker>
          <c:cat>
            <c:strRef>
              <c:f>Sheet1!$N$8:$N$11</c:f>
              <c:strCache>
                <c:ptCount val="4"/>
                <c:pt idx="0">
                  <c:v>1998</c:v>
                </c:pt>
                <c:pt idx="1">
                  <c:v>1995-2005</c:v>
                </c:pt>
                <c:pt idx="2">
                  <c:v>2006-2010</c:v>
                </c:pt>
                <c:pt idx="3">
                  <c:v>2011-2017</c:v>
                </c:pt>
              </c:strCache>
            </c:strRef>
          </c:cat>
          <c:val>
            <c:numRef>
              <c:f>Sheet1!$W$36:$W$39</c:f>
              <c:numCache>
                <c:formatCode>General</c:formatCode>
                <c:ptCount val="4"/>
                <c:pt idx="0">
                  <c:v>34.33100000000001</c:v>
                </c:pt>
                <c:pt idx="1">
                  <c:v>35.795000000000002</c:v>
                </c:pt>
                <c:pt idx="2">
                  <c:v>39.082000000000001</c:v>
                </c:pt>
                <c:pt idx="3">
                  <c:v>22.119</c:v>
                </c:pt>
              </c:numCache>
            </c:numRef>
          </c:val>
          <c:smooth val="0"/>
          <c:extLst>
            <c:ext xmlns:c16="http://schemas.microsoft.com/office/drawing/2014/chart" uri="{C3380CC4-5D6E-409C-BE32-E72D297353CC}">
              <c16:uniqueId val="{00000007-AAC8-4F3C-B64F-9D08C687F5B7}"/>
            </c:ext>
          </c:extLst>
        </c:ser>
        <c:dLbls>
          <c:showLegendKey val="0"/>
          <c:showVal val="0"/>
          <c:showCatName val="0"/>
          <c:showSerName val="0"/>
          <c:showPercent val="0"/>
          <c:showBubbleSize val="0"/>
        </c:dLbls>
        <c:smooth val="0"/>
        <c:axId val="682513903"/>
        <c:axId val="175207487"/>
      </c:lineChart>
      <c:catAx>
        <c:axId val="68251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 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207487"/>
        <c:crosses val="autoZero"/>
        <c:auto val="1"/>
        <c:lblAlgn val="ctr"/>
        <c:lblOffset val="100"/>
        <c:noMultiLvlLbl val="0"/>
      </c:catAx>
      <c:valAx>
        <c:axId val="175207487"/>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Predicte</a:t>
                </a:r>
                <a:r>
                  <a:rPr lang="en-GB" baseline="0"/>
                  <a:t>d under-18 conception rates from Model 2</a:t>
                </a:r>
                <a:endParaRPr lang="en-GB"/>
              </a:p>
            </c:rich>
          </c:tx>
          <c:layout>
            <c:manualLayout>
              <c:xMode val="edge"/>
              <c:yMode val="edge"/>
              <c:x val="1.201684702683645E-2"/>
              <c:y val="7.758581923889459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2513903"/>
        <c:crosses val="autoZero"/>
        <c:crossBetween val="between"/>
      </c:valAx>
      <c:spPr>
        <a:noFill/>
        <a:ln>
          <a:noFill/>
        </a:ln>
        <a:effectLst/>
      </c:spPr>
    </c:plotArea>
    <c:legend>
      <c:legendPos val="r"/>
      <c:layout>
        <c:manualLayout>
          <c:xMode val="edge"/>
          <c:yMode val="edge"/>
          <c:x val="0.7296484167796895"/>
          <c:y val="4.2264256031628457E-2"/>
          <c:w val="0.27035158322031044"/>
          <c:h val="0.8240668303558829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9CEAD4892CF4FA839221C8EA516CD" ma:contentTypeVersion="12" ma:contentTypeDescription="Create a new document." ma:contentTypeScope="" ma:versionID="1398d98abb5718b1441ebfe6fdff7d9a">
  <xsd:schema xmlns:xsd="http://www.w3.org/2001/XMLSchema" xmlns:xs="http://www.w3.org/2001/XMLSchema" xmlns:p="http://schemas.microsoft.com/office/2006/metadata/properties" xmlns:ns3="8ad0fd67-7ee0-4272-9e8c-e45e895b3eab" xmlns:ns4="6a4ad14f-635e-4535-8dea-de8d95f21186" targetNamespace="http://schemas.microsoft.com/office/2006/metadata/properties" ma:root="true" ma:fieldsID="1ae6155cfd63afea2e01f8e2996a2908" ns3:_="" ns4:_="">
    <xsd:import namespace="8ad0fd67-7ee0-4272-9e8c-e45e895b3eab"/>
    <xsd:import namespace="6a4ad14f-635e-4535-8dea-de8d95f2118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0fd67-7ee0-4272-9e8c-e45e895b3e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ad14f-635e-4535-8dea-de8d95f2118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C92BF-CD0F-46EA-8961-F7768E49F113}">
  <ds:schemaRefs>
    <ds:schemaRef ds:uri="http://schemas.microsoft.com/sharepoint/v3/contenttype/forms"/>
  </ds:schemaRefs>
</ds:datastoreItem>
</file>

<file path=customXml/itemProps2.xml><?xml version="1.0" encoding="utf-8"?>
<ds:datastoreItem xmlns:ds="http://schemas.openxmlformats.org/officeDocument/2006/customXml" ds:itemID="{33F0BDB4-4E0C-4AF8-8857-B6991C42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0fd67-7ee0-4272-9e8c-e45e895b3eab"/>
    <ds:schemaRef ds:uri="6a4ad14f-635e-4535-8dea-de8d95f21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042E6-21E8-4175-8711-6DCB0EF986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01C17E-C81E-4DC9-BED6-387188DD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uos_thesis_template.dotx</Template>
  <TotalTime>3</TotalTime>
  <Pages>33</Pages>
  <Words>9119</Words>
  <Characters>54349</Characters>
  <Application>Microsoft Office Word</Application>
  <DocSecurity>0</DocSecurity>
  <Lines>452</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Heap</dc:creator>
  <cp:lastModifiedBy>Katie Heap</cp:lastModifiedBy>
  <cp:revision>5</cp:revision>
  <cp:lastPrinted>2020-05-12T14:38:00Z</cp:lastPrinted>
  <dcterms:created xsi:type="dcterms:W3CDTF">2020-09-29T22:37:00Z</dcterms:created>
  <dcterms:modified xsi:type="dcterms:W3CDTF">2020-09-29T22:44:00Z</dcterms:modified>
</cp:coreProperties>
</file>