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B30E8" w14:textId="0B333786" w:rsidR="00AF5E00" w:rsidRDefault="00AF5E00" w:rsidP="00AF5E00">
      <w:pPr>
        <w:jc w:val="both"/>
        <w:rPr>
          <w:rFonts w:ascii="Garamond" w:eastAsia="Times New Roman" w:hAnsi="Garamond" w:cs="Times New Roman"/>
          <w:b/>
          <w:bCs/>
          <w:lang w:eastAsia="en-GB"/>
        </w:rPr>
      </w:pPr>
      <w:r w:rsidRPr="00AF5E00">
        <w:rPr>
          <w:rFonts w:ascii="Garamond" w:eastAsia="Times New Roman" w:hAnsi="Garamond" w:cs="Times New Roman"/>
          <w:b/>
          <w:bCs/>
          <w:lang w:eastAsia="en-GB"/>
        </w:rPr>
        <w:t>Life from the fragments: Ambivalence, critique and minoritarian affect</w:t>
      </w:r>
    </w:p>
    <w:p w14:paraId="46E5CF38" w14:textId="77777777" w:rsidR="00AF5E00" w:rsidRPr="00AF5E00" w:rsidRDefault="00AF5E00" w:rsidP="00AF5E00">
      <w:pPr>
        <w:jc w:val="both"/>
        <w:rPr>
          <w:rFonts w:ascii="Garamond" w:eastAsia="Times New Roman" w:hAnsi="Garamond" w:cs="Times New Roman"/>
          <w:b/>
          <w:bCs/>
          <w:lang w:eastAsia="en-GB"/>
        </w:rPr>
      </w:pPr>
    </w:p>
    <w:p w14:paraId="6F22301A" w14:textId="5B07332A" w:rsidR="00AF5E00" w:rsidRDefault="00AF5E00" w:rsidP="00AF5E00">
      <w:pPr>
        <w:jc w:val="both"/>
        <w:rPr>
          <w:rFonts w:ascii="Garamond" w:eastAsia="Times New Roman" w:hAnsi="Garamond" w:cs="Times New Roman"/>
          <w:lang w:eastAsia="en-GB"/>
        </w:rPr>
      </w:pPr>
      <w:r>
        <w:rPr>
          <w:rFonts w:ascii="Garamond" w:eastAsia="Times New Roman" w:hAnsi="Garamond" w:cs="Times New Roman"/>
          <w:lang w:eastAsia="en-GB"/>
        </w:rPr>
        <w:t>Jason Lim (University of Brighton) &amp; Eleanor Wilkinson (University of Southampton)</w:t>
      </w:r>
    </w:p>
    <w:p w14:paraId="3E42B77D" w14:textId="49C0F992" w:rsidR="00AF5E00" w:rsidRDefault="00AF5E00" w:rsidP="00AF5E00">
      <w:pPr>
        <w:jc w:val="both"/>
        <w:rPr>
          <w:rFonts w:ascii="Garamond" w:eastAsia="Times New Roman" w:hAnsi="Garamond" w:cs="Times New Roman"/>
          <w:lang w:eastAsia="en-GB"/>
        </w:rPr>
      </w:pPr>
      <w:r>
        <w:rPr>
          <w:rFonts w:ascii="Garamond" w:eastAsia="Times New Roman" w:hAnsi="Garamond" w:cs="Times New Roman"/>
          <w:lang w:eastAsia="en-GB"/>
        </w:rPr>
        <w:t xml:space="preserve">Accepted for publication in </w:t>
      </w:r>
      <w:r w:rsidRPr="00AF5E00">
        <w:rPr>
          <w:rFonts w:ascii="Garamond" w:eastAsia="Times New Roman" w:hAnsi="Garamond" w:cs="Times New Roman"/>
          <w:i/>
          <w:iCs/>
          <w:lang w:eastAsia="en-GB"/>
        </w:rPr>
        <w:t>Dialogues in Human Geography</w:t>
      </w:r>
    </w:p>
    <w:p w14:paraId="3EAEB429" w14:textId="77777777" w:rsidR="00AF5E00" w:rsidRPr="00AF5E00" w:rsidRDefault="00AF5E00" w:rsidP="00AF5E00">
      <w:pPr>
        <w:jc w:val="both"/>
        <w:rPr>
          <w:rFonts w:ascii="Garamond" w:eastAsia="Times New Roman" w:hAnsi="Garamond" w:cs="Times New Roman"/>
          <w:b/>
          <w:bCs/>
          <w:lang w:eastAsia="en-GB"/>
        </w:rPr>
      </w:pPr>
    </w:p>
    <w:p w14:paraId="664D276B" w14:textId="38EE2577" w:rsidR="00AF5E00" w:rsidRPr="00AF5E00" w:rsidRDefault="00AF5E00" w:rsidP="00AF5E00">
      <w:pPr>
        <w:jc w:val="both"/>
        <w:rPr>
          <w:rFonts w:ascii="Garamond" w:eastAsia="Times New Roman" w:hAnsi="Garamond" w:cs="Times New Roman"/>
          <w:b/>
          <w:bCs/>
          <w:lang w:eastAsia="en-GB"/>
        </w:rPr>
      </w:pPr>
      <w:r w:rsidRPr="00AF5E00">
        <w:rPr>
          <w:rFonts w:ascii="Garamond" w:eastAsia="Times New Roman" w:hAnsi="Garamond" w:cs="Times New Roman"/>
          <w:b/>
          <w:bCs/>
          <w:lang w:eastAsia="en-GB"/>
        </w:rPr>
        <w:t>Abstract</w:t>
      </w:r>
    </w:p>
    <w:p w14:paraId="5DEDC417" w14:textId="1ED7CE1D" w:rsidR="00AF5E00" w:rsidRPr="00AF5E00" w:rsidRDefault="00AF5E00" w:rsidP="00AF5E00">
      <w:pPr>
        <w:jc w:val="both"/>
        <w:rPr>
          <w:rFonts w:ascii="Garamond" w:eastAsia="Times New Roman" w:hAnsi="Garamond" w:cs="Times New Roman"/>
          <w:lang w:eastAsia="en-GB"/>
        </w:rPr>
      </w:pPr>
      <w:r w:rsidRPr="00AF5E00">
        <w:rPr>
          <w:rFonts w:ascii="Garamond" w:eastAsia="Times New Roman" w:hAnsi="Garamond" w:cs="Times New Roman"/>
          <w:lang w:eastAsia="en-GB"/>
        </w:rPr>
        <w:t xml:space="preserve">In this piece, we respond to </w:t>
      </w:r>
      <w:proofErr w:type="spellStart"/>
      <w:r w:rsidRPr="00AF5E00">
        <w:rPr>
          <w:rFonts w:ascii="Garamond" w:eastAsia="Times New Roman" w:hAnsi="Garamond" w:cs="Times New Roman"/>
          <w:lang w:eastAsia="en-GB"/>
        </w:rPr>
        <w:t>Ruez</w:t>
      </w:r>
      <w:proofErr w:type="spellEnd"/>
      <w:r w:rsidRPr="00AF5E00">
        <w:rPr>
          <w:rFonts w:ascii="Garamond" w:eastAsia="Times New Roman" w:hAnsi="Garamond" w:cs="Times New Roman"/>
          <w:lang w:eastAsia="en-GB"/>
        </w:rPr>
        <w:t xml:space="preserve"> and Cockayne’s ‘Feeling Otherwise’ and consider what is at stake in debates concerning the moods and modes of critique. There is a tendency in geographical work on affect to privilege affirmation, yet a key question remains as to who benefits from such moods of critique and the kinds of analysis that they afford? We argue that dominant theorisations of affirmation and negativity often elide uncomfortable discussions of power, domination and violence. We offer a reading of the relations between affirmation and negativity through ‘minoritarian affects’ – a reading that arises in the midst of living through racial capitalism, coloniality, patriarchy, and heteronormativity and which builds an indeterminate future from the fragments of our lives and bodies.</w:t>
      </w:r>
    </w:p>
    <w:p w14:paraId="580B006E" w14:textId="391C6A42" w:rsidR="00AF5E00" w:rsidRPr="00AF5E00" w:rsidRDefault="00AF5E00" w:rsidP="00AF5E00">
      <w:pPr>
        <w:jc w:val="both"/>
        <w:rPr>
          <w:rFonts w:ascii="Garamond" w:eastAsia="Times New Roman" w:hAnsi="Garamond" w:cs="Times New Roman"/>
          <w:lang w:eastAsia="en-GB"/>
        </w:rPr>
      </w:pPr>
    </w:p>
    <w:p w14:paraId="0EF4E23C" w14:textId="77777777" w:rsidR="00AF5E00" w:rsidRPr="00AF5E00" w:rsidRDefault="00AF5E00" w:rsidP="00AF5E00">
      <w:pPr>
        <w:jc w:val="both"/>
        <w:rPr>
          <w:rFonts w:ascii="Garamond" w:eastAsia="Times New Roman" w:hAnsi="Garamond" w:cs="Times New Roman"/>
          <w:lang w:eastAsia="en-GB"/>
        </w:rPr>
      </w:pPr>
      <w:r w:rsidRPr="00AF5E00">
        <w:rPr>
          <w:rFonts w:ascii="Garamond" w:eastAsia="Times New Roman" w:hAnsi="Garamond" w:cs="Times New Roman"/>
          <w:b/>
          <w:bCs/>
          <w:lang w:eastAsia="en-GB"/>
        </w:rPr>
        <w:t>Keywords:</w:t>
      </w:r>
      <w:r w:rsidRPr="00AF5E00">
        <w:rPr>
          <w:rFonts w:ascii="Garamond" w:eastAsia="Times New Roman" w:hAnsi="Garamond" w:cs="Times New Roman"/>
          <w:lang w:eastAsia="en-GB"/>
        </w:rPr>
        <w:t xml:space="preserve"> affect theory, affirmation, ambivalence, critique, queer affect</w:t>
      </w:r>
    </w:p>
    <w:p w14:paraId="122527D7" w14:textId="6397C13B" w:rsidR="00AF5E00" w:rsidRPr="00AF5E00" w:rsidRDefault="00AF5E00" w:rsidP="00AF5E00">
      <w:pPr>
        <w:jc w:val="both"/>
        <w:rPr>
          <w:rFonts w:ascii="Garamond" w:eastAsia="Times New Roman" w:hAnsi="Garamond" w:cs="Times New Roman"/>
          <w:lang w:eastAsia="en-GB"/>
        </w:rPr>
      </w:pPr>
    </w:p>
    <w:p w14:paraId="4FDCDF6E" w14:textId="6774677C" w:rsidR="00AF5E00" w:rsidRPr="00AF5E00" w:rsidRDefault="00AF5E00" w:rsidP="00AF5E00">
      <w:pPr>
        <w:jc w:val="both"/>
        <w:rPr>
          <w:rFonts w:ascii="Garamond" w:eastAsia="Times New Roman" w:hAnsi="Garamond" w:cs="Times New Roman"/>
          <w:lang w:eastAsia="en-GB"/>
        </w:rPr>
      </w:pPr>
    </w:p>
    <w:p w14:paraId="40C70464" w14:textId="77777777" w:rsidR="00AF5E00" w:rsidRDefault="00AF5E00" w:rsidP="00AF5E00">
      <w:pPr>
        <w:jc w:val="both"/>
        <w:rPr>
          <w:rFonts w:ascii="Garamond" w:eastAsia="Times New Roman" w:hAnsi="Garamond" w:cs="Times New Roman"/>
          <w:lang w:eastAsia="en-GB"/>
        </w:rPr>
      </w:pPr>
      <w:r w:rsidRPr="00AF5E00">
        <w:rPr>
          <w:rFonts w:ascii="Garamond" w:eastAsia="Times New Roman" w:hAnsi="Garamond" w:cs="Times New Roman"/>
          <w:lang w:eastAsia="en-GB"/>
        </w:rPr>
        <w:t xml:space="preserve">We welcome the chance to respond to </w:t>
      </w:r>
      <w:proofErr w:type="spellStart"/>
      <w:r w:rsidRPr="00AF5E00">
        <w:rPr>
          <w:rFonts w:ascii="Garamond" w:eastAsia="Times New Roman" w:hAnsi="Garamond" w:cs="Times New Roman"/>
          <w:lang w:eastAsia="en-GB"/>
        </w:rPr>
        <w:t>Ruez</w:t>
      </w:r>
      <w:proofErr w:type="spellEnd"/>
      <w:r w:rsidRPr="00AF5E00">
        <w:rPr>
          <w:rFonts w:ascii="Garamond" w:eastAsia="Times New Roman" w:hAnsi="Garamond" w:cs="Times New Roman"/>
          <w:lang w:eastAsia="en-GB"/>
        </w:rPr>
        <w:t xml:space="preserve"> and Cockayne’s thoughtful piece on ‘the moods and modes of geographic critique’ (2020: 3). We were struck by the way their call is framed as a potential opening rather than an assertive direction as to where critical geographers must now turn. All too often academic debates such as these become framed as a masterful revelation, suggesting that scholarship that has come before has committed a grave and serious error, that a new concept must arise in order to help us see the world anew. </w:t>
      </w:r>
      <w:proofErr w:type="spellStart"/>
      <w:r w:rsidRPr="00AF5E00">
        <w:rPr>
          <w:rFonts w:ascii="Garamond" w:eastAsia="Times New Roman" w:hAnsi="Garamond" w:cs="Times New Roman"/>
          <w:lang w:eastAsia="en-GB"/>
        </w:rPr>
        <w:t>Ruez</w:t>
      </w:r>
      <w:proofErr w:type="spellEnd"/>
      <w:r w:rsidRPr="00AF5E00">
        <w:rPr>
          <w:rFonts w:ascii="Garamond" w:eastAsia="Times New Roman" w:hAnsi="Garamond" w:cs="Times New Roman"/>
          <w:lang w:eastAsia="en-GB"/>
        </w:rPr>
        <w:t xml:space="preserve"> and Cockayne’s turn away from turns is welcome; the ambivalence at the heart of their critique feels different. But at times we</w:t>
      </w:r>
      <w:r>
        <w:rPr>
          <w:rFonts w:ascii="Garamond" w:eastAsia="Times New Roman" w:hAnsi="Garamond" w:cs="Times New Roman"/>
          <w:lang w:eastAsia="en-GB"/>
        </w:rPr>
        <w:t xml:space="preserve"> </w:t>
      </w:r>
      <w:r w:rsidRPr="00AF5E00">
        <w:rPr>
          <w:rFonts w:ascii="Garamond" w:eastAsia="Times New Roman" w:hAnsi="Garamond" w:cs="Times New Roman"/>
          <w:lang w:eastAsia="en-GB"/>
        </w:rPr>
        <w:t xml:space="preserve">were left wondering: does it skirt around the edges, perhaps offering too much generosity, too much leniency? There are glimmers, however, where their frustration shines through, such as their mention of ‘how the ways of feeling about a discipline are often crafted by a narrow set of mostly white male scholars’ (2020: 17). Yet, despite the plentiful citations, we sometimes found ourselves longing for </w:t>
      </w:r>
      <w:proofErr w:type="spellStart"/>
      <w:r w:rsidRPr="00AF5E00">
        <w:rPr>
          <w:rFonts w:ascii="Garamond" w:eastAsia="Times New Roman" w:hAnsi="Garamond" w:cs="Times New Roman"/>
          <w:lang w:eastAsia="en-GB"/>
        </w:rPr>
        <w:t>Ruez</w:t>
      </w:r>
      <w:proofErr w:type="spellEnd"/>
      <w:r w:rsidRPr="00AF5E00">
        <w:rPr>
          <w:rFonts w:ascii="Garamond" w:eastAsia="Times New Roman" w:hAnsi="Garamond" w:cs="Times New Roman"/>
          <w:lang w:eastAsia="en-GB"/>
        </w:rPr>
        <w:t xml:space="preserve"> and Cockayne to be more direct: what are the specific problems for critique that emerge out of certain arguments in the geographical literature on affect? Whose writing is too masterful, too bitter, or too generous? And why? We cannot help thinking that we, as critical race, feminist, queer scholars, might need, at times, in certain spaces, to be bolder than this: there is too much at stake. Violent omissions, exclusionary citational practices, whiteness, colonial dominance, masculine logics, business as usual (Johnson, 2019; </w:t>
      </w:r>
      <w:proofErr w:type="spellStart"/>
      <w:r w:rsidRPr="00AF5E00">
        <w:rPr>
          <w:rFonts w:ascii="Garamond" w:eastAsia="Times New Roman" w:hAnsi="Garamond" w:cs="Times New Roman"/>
          <w:lang w:eastAsia="en-GB"/>
        </w:rPr>
        <w:t>Oswin</w:t>
      </w:r>
      <w:proofErr w:type="spellEnd"/>
      <w:r w:rsidRPr="00AF5E00">
        <w:rPr>
          <w:rFonts w:ascii="Garamond" w:eastAsia="Times New Roman" w:hAnsi="Garamond" w:cs="Times New Roman"/>
          <w:lang w:eastAsia="en-GB"/>
        </w:rPr>
        <w:t xml:space="preserve">, 2020). These debates around the moods of critique are not just dry academic games or a case of one upmanship (and it so often a male game); something more is on the line. We know that </w:t>
      </w:r>
      <w:proofErr w:type="spellStart"/>
      <w:r w:rsidRPr="00AF5E00">
        <w:rPr>
          <w:rFonts w:ascii="Garamond" w:eastAsia="Times New Roman" w:hAnsi="Garamond" w:cs="Times New Roman"/>
          <w:lang w:eastAsia="en-GB"/>
        </w:rPr>
        <w:t>Ruez</w:t>
      </w:r>
      <w:proofErr w:type="spellEnd"/>
      <w:r w:rsidRPr="00AF5E00">
        <w:rPr>
          <w:rFonts w:ascii="Garamond" w:eastAsia="Times New Roman" w:hAnsi="Garamond" w:cs="Times New Roman"/>
          <w:lang w:eastAsia="en-GB"/>
        </w:rPr>
        <w:t xml:space="preserve"> and Cockayne know this, but sometimes this urgency feels somewhat lost. </w:t>
      </w:r>
    </w:p>
    <w:p w14:paraId="5BD1094D" w14:textId="77777777" w:rsidR="00AF5E00" w:rsidRDefault="00AF5E00" w:rsidP="00AF5E00">
      <w:pPr>
        <w:jc w:val="both"/>
        <w:rPr>
          <w:rFonts w:ascii="Garamond" w:eastAsia="Times New Roman" w:hAnsi="Garamond" w:cs="Times New Roman"/>
          <w:lang w:eastAsia="en-GB"/>
        </w:rPr>
      </w:pPr>
    </w:p>
    <w:p w14:paraId="35539028" w14:textId="77777777" w:rsidR="00AF5E00" w:rsidRDefault="00AF5E00" w:rsidP="00AF5E00">
      <w:pPr>
        <w:jc w:val="both"/>
        <w:rPr>
          <w:rFonts w:ascii="Garamond" w:eastAsia="Times New Roman" w:hAnsi="Garamond" w:cs="Times New Roman"/>
          <w:lang w:eastAsia="en-GB"/>
        </w:rPr>
      </w:pPr>
      <w:r w:rsidRPr="00AF5E00">
        <w:rPr>
          <w:rFonts w:ascii="Garamond" w:eastAsia="Times New Roman" w:hAnsi="Garamond" w:cs="Times New Roman"/>
          <w:lang w:eastAsia="en-GB"/>
        </w:rPr>
        <w:t xml:space="preserve">At its heart, though, </w:t>
      </w:r>
      <w:proofErr w:type="spellStart"/>
      <w:r w:rsidRPr="00AF5E00">
        <w:rPr>
          <w:rFonts w:ascii="Garamond" w:eastAsia="Times New Roman" w:hAnsi="Garamond" w:cs="Times New Roman"/>
          <w:lang w:eastAsia="en-GB"/>
        </w:rPr>
        <w:t>Ruez</w:t>
      </w:r>
      <w:proofErr w:type="spellEnd"/>
      <w:r w:rsidRPr="00AF5E00">
        <w:rPr>
          <w:rFonts w:ascii="Garamond" w:eastAsia="Times New Roman" w:hAnsi="Garamond" w:cs="Times New Roman"/>
          <w:lang w:eastAsia="en-GB"/>
        </w:rPr>
        <w:t xml:space="preserve"> and Cockayne’s piece is a rejoinder to a tendency in much human geography scholarship to privilege affirmation. They question the combination of an ontological stance that offers positive affirmation of becoming with a generosity towards objects of understanding and apprehension that purports to generate and multiply new affective dispositions towards those objects. Such approaches are often said to cultivate new capacities for action and to open towards hopeful, joyful utopian </w:t>
      </w:r>
      <w:proofErr w:type="spellStart"/>
      <w:r w:rsidRPr="00AF5E00">
        <w:rPr>
          <w:rFonts w:ascii="Garamond" w:eastAsia="Times New Roman" w:hAnsi="Garamond" w:cs="Times New Roman"/>
          <w:lang w:eastAsia="en-GB"/>
        </w:rPr>
        <w:t>becomings</w:t>
      </w:r>
      <w:proofErr w:type="spellEnd"/>
      <w:r w:rsidRPr="00AF5E00">
        <w:rPr>
          <w:rFonts w:ascii="Garamond" w:eastAsia="Times New Roman" w:hAnsi="Garamond" w:cs="Times New Roman"/>
          <w:lang w:eastAsia="en-GB"/>
        </w:rPr>
        <w:t xml:space="preserve"> (a conflation of affirmation and a preference for positive affect that </w:t>
      </w:r>
      <w:proofErr w:type="spellStart"/>
      <w:proofErr w:type="gramStart"/>
      <w:r w:rsidRPr="00AF5E00">
        <w:rPr>
          <w:rFonts w:ascii="Garamond" w:eastAsia="Times New Roman" w:hAnsi="Garamond" w:cs="Times New Roman"/>
          <w:lang w:eastAsia="en-GB"/>
        </w:rPr>
        <w:t>Ruez</w:t>
      </w:r>
      <w:proofErr w:type="spellEnd"/>
      <w:r w:rsidRPr="00AF5E00">
        <w:rPr>
          <w:rFonts w:ascii="Garamond" w:eastAsia="Times New Roman" w:hAnsi="Garamond" w:cs="Times New Roman"/>
          <w:lang w:eastAsia="en-GB"/>
        </w:rPr>
        <w:t xml:space="preserve"> </w:t>
      </w:r>
      <w:r>
        <w:rPr>
          <w:rFonts w:ascii="Garamond" w:eastAsia="Times New Roman" w:hAnsi="Garamond" w:cs="Times New Roman"/>
          <w:lang w:eastAsia="en-GB"/>
        </w:rPr>
        <w:t xml:space="preserve"> </w:t>
      </w:r>
      <w:r w:rsidRPr="00AF5E00">
        <w:rPr>
          <w:rFonts w:ascii="Garamond" w:eastAsia="Times New Roman" w:hAnsi="Garamond" w:cs="Times New Roman"/>
          <w:lang w:eastAsia="en-GB"/>
        </w:rPr>
        <w:t>and</w:t>
      </w:r>
      <w:proofErr w:type="gramEnd"/>
      <w:r w:rsidRPr="00AF5E00">
        <w:rPr>
          <w:rFonts w:ascii="Garamond" w:eastAsia="Times New Roman" w:hAnsi="Garamond" w:cs="Times New Roman"/>
          <w:lang w:eastAsia="en-GB"/>
        </w:rPr>
        <w:t xml:space="preserve"> Cockayne do well to warn against). Yet, who is it who can invest in hope? Who can be joyful? Whose capacities to act might be curtailed, repressed or closed-off from them? These are some of the crucial questions that </w:t>
      </w:r>
      <w:proofErr w:type="spellStart"/>
      <w:r w:rsidRPr="00AF5E00">
        <w:rPr>
          <w:rFonts w:ascii="Garamond" w:eastAsia="Times New Roman" w:hAnsi="Garamond" w:cs="Times New Roman"/>
          <w:lang w:eastAsia="en-GB"/>
        </w:rPr>
        <w:t>Ruez</w:t>
      </w:r>
      <w:proofErr w:type="spellEnd"/>
      <w:r w:rsidRPr="00AF5E00">
        <w:rPr>
          <w:rFonts w:ascii="Garamond" w:eastAsia="Times New Roman" w:hAnsi="Garamond" w:cs="Times New Roman"/>
          <w:lang w:eastAsia="en-GB"/>
        </w:rPr>
        <w:t xml:space="preserve"> and Cockayne raise about the uneven distribution of capacities to act and the how the turn towards positive </w:t>
      </w:r>
      <w:proofErr w:type="spellStart"/>
      <w:r w:rsidRPr="00AF5E00">
        <w:rPr>
          <w:rFonts w:ascii="Garamond" w:eastAsia="Times New Roman" w:hAnsi="Garamond" w:cs="Times New Roman"/>
          <w:lang w:eastAsia="en-GB"/>
        </w:rPr>
        <w:t>affects</w:t>
      </w:r>
      <w:proofErr w:type="spellEnd"/>
      <w:r w:rsidRPr="00AF5E00">
        <w:rPr>
          <w:rFonts w:ascii="Garamond" w:eastAsia="Times New Roman" w:hAnsi="Garamond" w:cs="Times New Roman"/>
          <w:lang w:eastAsia="en-GB"/>
        </w:rPr>
        <w:t xml:space="preserve"> of critique brings with it a risk of turning away from suffering and injustice (Harrison, 2015; Philo 2017). We would </w:t>
      </w:r>
      <w:r w:rsidRPr="00AF5E00">
        <w:rPr>
          <w:rFonts w:ascii="Garamond" w:eastAsia="Times New Roman" w:hAnsi="Garamond" w:cs="Times New Roman"/>
          <w:lang w:eastAsia="en-GB"/>
        </w:rPr>
        <w:lastRenderedPageBreak/>
        <w:t xml:space="preserve">have liked them to have delved further into who benefits from such moods of critique and the kinds of analysis that they afford? Conversely, what kinds of affect, experience, understanding, relationalities and oppressions thus become marginalised and devalued within academic knowledge production, implied to be both paranoid and antediluvian? </w:t>
      </w:r>
    </w:p>
    <w:p w14:paraId="39F2F896" w14:textId="77777777" w:rsidR="00AF5E00" w:rsidRDefault="00AF5E00" w:rsidP="00AF5E00">
      <w:pPr>
        <w:jc w:val="both"/>
        <w:rPr>
          <w:rFonts w:ascii="Garamond" w:eastAsia="Times New Roman" w:hAnsi="Garamond" w:cs="Times New Roman"/>
          <w:lang w:eastAsia="en-GB"/>
        </w:rPr>
      </w:pPr>
    </w:p>
    <w:p w14:paraId="1BBFE786" w14:textId="77777777" w:rsidR="00AF5E00" w:rsidRDefault="00AF5E00" w:rsidP="00AF5E00">
      <w:pPr>
        <w:jc w:val="both"/>
        <w:rPr>
          <w:rFonts w:ascii="Garamond" w:eastAsia="Times New Roman" w:hAnsi="Garamond" w:cs="Times New Roman"/>
          <w:lang w:eastAsia="en-GB"/>
        </w:rPr>
      </w:pPr>
      <w:r w:rsidRPr="00AF5E00">
        <w:rPr>
          <w:rFonts w:ascii="Garamond" w:eastAsia="Times New Roman" w:hAnsi="Garamond" w:cs="Times New Roman"/>
          <w:lang w:eastAsia="en-GB"/>
        </w:rPr>
        <w:t>We are writing this piece towards the end of the northern hemisphere summer of 2020. The Covid-19 pandemic has brought the prospect of mass unemployment for many parts of the world. This looming threat brings into sharp relief how the academic affirmation of increasing capacities for action is too easily aligned with projects of austerity, governmentality and affective self-management. Little room is left for valuing and accepting weariness, little scope for dissenting from the imperative to strive – the imperative to try to throw oneself back into the grinder of all-too-often precarious work (Wilkinson and Ortega-</w:t>
      </w:r>
      <w:proofErr w:type="spellStart"/>
      <w:r w:rsidRPr="00AF5E00">
        <w:rPr>
          <w:rFonts w:ascii="Garamond" w:eastAsia="Times New Roman" w:hAnsi="Garamond" w:cs="Times New Roman"/>
          <w:lang w:eastAsia="en-GB"/>
        </w:rPr>
        <w:t>Alcázar</w:t>
      </w:r>
      <w:proofErr w:type="spellEnd"/>
      <w:r w:rsidRPr="00AF5E00">
        <w:rPr>
          <w:rFonts w:ascii="Garamond" w:eastAsia="Times New Roman" w:hAnsi="Garamond" w:cs="Times New Roman"/>
          <w:lang w:eastAsia="en-GB"/>
        </w:rPr>
        <w:t xml:space="preserve">, 2019). This summer has also witnessed a resurgence of anti-racist protest, rallying around the insistence that Black Lives Matter. Following the police killing of George Floyd in Minneapolis, thousands of protests – not only in the United States, but in over 60 countries worldwide – have been interwoven with: wider political organising; the establishment of autonomous spaces; and calls for defunding the police, </w:t>
      </w:r>
      <w:proofErr w:type="spellStart"/>
      <w:r w:rsidRPr="00AF5E00">
        <w:rPr>
          <w:rFonts w:ascii="Garamond" w:eastAsia="Times New Roman" w:hAnsi="Garamond" w:cs="Times New Roman"/>
          <w:lang w:eastAsia="en-GB"/>
        </w:rPr>
        <w:t>decarceration</w:t>
      </w:r>
      <w:proofErr w:type="spellEnd"/>
      <w:r w:rsidRPr="00AF5E00">
        <w:rPr>
          <w:rFonts w:ascii="Garamond" w:eastAsia="Times New Roman" w:hAnsi="Garamond" w:cs="Times New Roman"/>
          <w:lang w:eastAsia="en-GB"/>
        </w:rPr>
        <w:t xml:space="preserve">, reparation for harms associated with slavery, the extension of LGBTQIA+ rights – all organised within a broader framework for social, economic, political, housing, health, education and environmental justice. What has been opened up are indeterminate potentials for change – to how cities and other polities are run and organised, to how labour and housing markets work, to community safety, to social services, to schooling, to the rearrangement of political alliances and imaginations; indeed, to the very nomos of the city and beyond. The important point here is that it is not yet known how this will turn out; yet, none of this could have happened without the long arduous work – the work of generations – to specify and spread public recognition of systematic and structural racism. It remains important to be able to research, expose and draw attention to structural forms of oppression and subjugation even while considering these claims as parts of broader and indeterminate transformative processes (see </w:t>
      </w:r>
      <w:proofErr w:type="spellStart"/>
      <w:r w:rsidRPr="00AF5E00">
        <w:rPr>
          <w:rFonts w:ascii="Garamond" w:eastAsia="Times New Roman" w:hAnsi="Garamond" w:cs="Times New Roman"/>
          <w:lang w:eastAsia="en-GB"/>
        </w:rPr>
        <w:t>Kouri</w:t>
      </w:r>
      <w:proofErr w:type="spellEnd"/>
      <w:r w:rsidRPr="00AF5E00">
        <w:rPr>
          <w:rFonts w:ascii="Garamond" w:eastAsia="Times New Roman" w:hAnsi="Garamond" w:cs="Times New Roman"/>
          <w:lang w:eastAsia="en-GB"/>
        </w:rPr>
        <w:t xml:space="preserve">-Towe, 2015: 25). </w:t>
      </w:r>
    </w:p>
    <w:p w14:paraId="242D93D8" w14:textId="77777777" w:rsidR="00AF5E00" w:rsidRDefault="00AF5E00" w:rsidP="00AF5E00">
      <w:pPr>
        <w:jc w:val="both"/>
        <w:rPr>
          <w:rFonts w:ascii="Garamond" w:eastAsia="Times New Roman" w:hAnsi="Garamond" w:cs="Times New Roman"/>
          <w:lang w:eastAsia="en-GB"/>
        </w:rPr>
      </w:pPr>
    </w:p>
    <w:p w14:paraId="668520A7" w14:textId="77777777" w:rsidR="00AF5E00" w:rsidRDefault="00AF5E00" w:rsidP="00AF5E00">
      <w:pPr>
        <w:jc w:val="both"/>
        <w:rPr>
          <w:rFonts w:ascii="Garamond" w:eastAsia="Times New Roman" w:hAnsi="Garamond" w:cs="Times New Roman"/>
          <w:lang w:eastAsia="en-GB"/>
        </w:rPr>
      </w:pPr>
      <w:proofErr w:type="spellStart"/>
      <w:r w:rsidRPr="00AF5E00">
        <w:rPr>
          <w:rFonts w:ascii="Garamond" w:eastAsia="Times New Roman" w:hAnsi="Garamond" w:cs="Times New Roman"/>
          <w:lang w:eastAsia="en-GB"/>
        </w:rPr>
        <w:t>Ruez</w:t>
      </w:r>
      <w:proofErr w:type="spellEnd"/>
      <w:r w:rsidRPr="00AF5E00">
        <w:rPr>
          <w:rFonts w:ascii="Garamond" w:eastAsia="Times New Roman" w:hAnsi="Garamond" w:cs="Times New Roman"/>
          <w:lang w:eastAsia="en-GB"/>
        </w:rPr>
        <w:t xml:space="preserve"> and Cockayne open up a space for questioning the tendency for affirmation without forgetting the potential problems of simply passing over into negativity. They identify how the tendency toward affirmation is presented by many geographers as an alternative to ‘negative’ modes of critique that operate by debunking the hidden truths of a text or by revealing hidden structures of power and ideology (2020: 2). Negative critique is often made from what Sedgwick called a ‘paranoid-schizoid’ position of suspicion. It constrains the possibilities for social and political change by generating overdetermining explanations of the world in which alternatives to injustice can only be imagined through negation of – or opposition to – the current set of political interests, identities and relations. If negative critique is overdetermining and the turn to affirmation too often overlooks the uneven organisation of affect and capacities to act, </w:t>
      </w:r>
      <w:proofErr w:type="spellStart"/>
      <w:r w:rsidRPr="00AF5E00">
        <w:rPr>
          <w:rFonts w:ascii="Garamond" w:eastAsia="Times New Roman" w:hAnsi="Garamond" w:cs="Times New Roman"/>
          <w:lang w:eastAsia="en-GB"/>
        </w:rPr>
        <w:t>Ruez</w:t>
      </w:r>
      <w:proofErr w:type="spellEnd"/>
      <w:r w:rsidRPr="00AF5E00">
        <w:rPr>
          <w:rFonts w:ascii="Garamond" w:eastAsia="Times New Roman" w:hAnsi="Garamond" w:cs="Times New Roman"/>
          <w:lang w:eastAsia="en-GB"/>
        </w:rPr>
        <w:t xml:space="preserve"> and Cockayne’s attempt to pluralise the moods and modes of critique offers another alternative that draws upon a heterogeneous understanding of difference. It is telling, then, that in their piece </w:t>
      </w:r>
      <w:proofErr w:type="spellStart"/>
      <w:r w:rsidRPr="00AF5E00">
        <w:rPr>
          <w:rFonts w:ascii="Garamond" w:eastAsia="Times New Roman" w:hAnsi="Garamond" w:cs="Times New Roman"/>
          <w:lang w:eastAsia="en-GB"/>
        </w:rPr>
        <w:t>Ruez</w:t>
      </w:r>
      <w:proofErr w:type="spellEnd"/>
      <w:r w:rsidRPr="00AF5E00">
        <w:rPr>
          <w:rFonts w:ascii="Garamond" w:eastAsia="Times New Roman" w:hAnsi="Garamond" w:cs="Times New Roman"/>
          <w:lang w:eastAsia="en-GB"/>
        </w:rPr>
        <w:t xml:space="preserve"> and Cockayne note how some of the most nuanced and thoughtful work on these debates around reparative and paranoid readings, affirmation and affect come from queer, feminist, and critical race scholars: the difference that difference makes. Yet they highlight how some of the deeply political roots of this work have been overlooked in human geography. </w:t>
      </w:r>
    </w:p>
    <w:p w14:paraId="3FB2FC9B" w14:textId="77777777" w:rsidR="00AF5E00" w:rsidRDefault="00AF5E00" w:rsidP="00AF5E00">
      <w:pPr>
        <w:jc w:val="both"/>
        <w:rPr>
          <w:rFonts w:ascii="Garamond" w:eastAsia="Times New Roman" w:hAnsi="Garamond" w:cs="Times New Roman"/>
          <w:lang w:eastAsia="en-GB"/>
        </w:rPr>
      </w:pPr>
    </w:p>
    <w:p w14:paraId="7A94C7AF" w14:textId="77777777" w:rsidR="00AF5E00" w:rsidRDefault="00AF5E00" w:rsidP="00AF5E00">
      <w:pPr>
        <w:jc w:val="both"/>
        <w:rPr>
          <w:rFonts w:ascii="Garamond" w:eastAsia="Times New Roman" w:hAnsi="Garamond" w:cs="Times New Roman"/>
          <w:lang w:eastAsia="en-GB"/>
        </w:rPr>
      </w:pPr>
      <w:r w:rsidRPr="00AF5E00">
        <w:rPr>
          <w:rFonts w:ascii="Garamond" w:eastAsia="Times New Roman" w:hAnsi="Garamond" w:cs="Times New Roman"/>
          <w:lang w:eastAsia="en-GB"/>
        </w:rPr>
        <w:t xml:space="preserve">At the heart of their piece, then, is a desire to not forget the political conditions in which these conceptual frameworks emerge. Here, we welcome </w:t>
      </w:r>
      <w:proofErr w:type="spellStart"/>
      <w:r w:rsidRPr="00AF5E00">
        <w:rPr>
          <w:rFonts w:ascii="Garamond" w:eastAsia="Times New Roman" w:hAnsi="Garamond" w:cs="Times New Roman"/>
          <w:lang w:eastAsia="en-GB"/>
        </w:rPr>
        <w:t>Ruez</w:t>
      </w:r>
      <w:proofErr w:type="spellEnd"/>
      <w:r w:rsidRPr="00AF5E00">
        <w:rPr>
          <w:rFonts w:ascii="Garamond" w:eastAsia="Times New Roman" w:hAnsi="Garamond" w:cs="Times New Roman"/>
          <w:lang w:eastAsia="en-GB"/>
        </w:rPr>
        <w:t xml:space="preserve"> and Cockayne’s close engagement with Sedgwick’s work on reparative reading. Sedgwick’s first reflections on paranoid and reparative reading came in the aftermath of the AIDS crisis, in the wake of the Butler’s paranoid work on gender trouble (Sedgwick, 1996; Sedgwick and Frank, 1997). As Heather Love (2010) argues, Sedgwick should not be read as calling only for a reparative reading; rather, her work left space for </w:t>
      </w:r>
      <w:r w:rsidRPr="00AF5E00">
        <w:rPr>
          <w:rFonts w:ascii="Garamond" w:eastAsia="Times New Roman" w:hAnsi="Garamond" w:cs="Times New Roman"/>
          <w:lang w:eastAsia="en-GB"/>
        </w:rPr>
        <w:lastRenderedPageBreak/>
        <w:t>the political necessity of paranoid readings. What does it mean to use these concepts twenty-five years later, often reducing reparative reading to a touchy-feely, open, generous approach that positions critique solely as an act of love? What does this sort of critique do, and what does it elide? How often, then, in human geography do concepts get taken up, wrenched from the context in which they were written, and repeated in a way that overlooks complexity and their political underpinnings? How often do concepts</w:t>
      </w:r>
      <w:r>
        <w:rPr>
          <w:rFonts w:ascii="Garamond" w:eastAsia="Times New Roman" w:hAnsi="Garamond" w:cs="Times New Roman"/>
          <w:lang w:eastAsia="en-GB"/>
        </w:rPr>
        <w:t xml:space="preserve"> </w:t>
      </w:r>
      <w:r w:rsidRPr="00AF5E00">
        <w:rPr>
          <w:rFonts w:ascii="Garamond" w:eastAsia="Times New Roman" w:hAnsi="Garamond" w:cs="Times New Roman"/>
          <w:lang w:eastAsia="en-GB"/>
        </w:rPr>
        <w:t xml:space="preserve">become removed from their political context, at times used in a way that is at best politically naïve, at worst as a way to maintain structures of violence and domination? Central to their argument, then, is a critique of how we scholars may pick up particular tools of critique, taking parts of a concept, but avoiding other parts that might unsettle us, make us uncomfortable, or challenge our position of power and dominance. These omissions are often more than just poor scholarship. Certain critical tools can be selectively picked up in a way that allow business as usual – in a way that allows uneven and violent power relations to remain unchallenged. </w:t>
      </w:r>
    </w:p>
    <w:p w14:paraId="59FD53A4" w14:textId="77777777" w:rsidR="00AF5E00" w:rsidRDefault="00AF5E00" w:rsidP="00AF5E00">
      <w:pPr>
        <w:jc w:val="both"/>
        <w:rPr>
          <w:rFonts w:ascii="Garamond" w:eastAsia="Times New Roman" w:hAnsi="Garamond" w:cs="Times New Roman"/>
          <w:lang w:eastAsia="en-GB"/>
        </w:rPr>
      </w:pPr>
    </w:p>
    <w:p w14:paraId="240A5C46" w14:textId="77777777" w:rsidR="00AF5E00" w:rsidRDefault="00AF5E00" w:rsidP="00AF5E00">
      <w:pPr>
        <w:jc w:val="both"/>
        <w:rPr>
          <w:rFonts w:ascii="Garamond" w:eastAsia="Times New Roman" w:hAnsi="Garamond" w:cs="Times New Roman"/>
          <w:lang w:eastAsia="en-GB"/>
        </w:rPr>
      </w:pPr>
      <w:r w:rsidRPr="00AF5E00">
        <w:rPr>
          <w:rFonts w:ascii="Garamond" w:eastAsia="Times New Roman" w:hAnsi="Garamond" w:cs="Times New Roman"/>
          <w:lang w:eastAsia="en-GB"/>
        </w:rPr>
        <w:t xml:space="preserve">In a similar light, as Tim Dean notes, much of the literature on reparative readings appropriates the language of psychoanalysis and uses its terms out of context (Dean and </w:t>
      </w:r>
      <w:proofErr w:type="spellStart"/>
      <w:r w:rsidRPr="00AF5E00">
        <w:rPr>
          <w:rFonts w:ascii="Garamond" w:eastAsia="Times New Roman" w:hAnsi="Garamond" w:cs="Times New Roman"/>
          <w:lang w:eastAsia="en-GB"/>
        </w:rPr>
        <w:t>Wiegman</w:t>
      </w:r>
      <w:proofErr w:type="spellEnd"/>
      <w:r w:rsidRPr="00AF5E00">
        <w:rPr>
          <w:rFonts w:ascii="Garamond" w:eastAsia="Times New Roman" w:hAnsi="Garamond" w:cs="Times New Roman"/>
          <w:lang w:eastAsia="en-GB"/>
        </w:rPr>
        <w:t xml:space="preserve">, 2013). Even Sedgwick herself perhaps portrays reparation in a more positive register than Klein ever did (see Seitz, 2017 for exactly the kind of close careful reading we so desperately need). Reparation can never be about complete repair: the subject remains split, feelings of love and hate are always simultaneously present – the ‘constant interaction of love and hate’ (Klein, 1937: 57). Reparation is an attempt to repair the hateful damage we have caused to our object of love. Ambivalence, then, is certainly not a middle ground; it is the focal point of Kleinian object relations. Ambivalence is at the heart of the reparative position. </w:t>
      </w:r>
    </w:p>
    <w:p w14:paraId="7CC9BF6B" w14:textId="77777777" w:rsidR="00AF5E00" w:rsidRDefault="00AF5E00" w:rsidP="00AF5E00">
      <w:pPr>
        <w:jc w:val="both"/>
        <w:rPr>
          <w:rFonts w:ascii="Garamond" w:eastAsia="Times New Roman" w:hAnsi="Garamond" w:cs="Times New Roman"/>
          <w:lang w:eastAsia="en-GB"/>
        </w:rPr>
      </w:pPr>
    </w:p>
    <w:p w14:paraId="331F3245" w14:textId="77777777" w:rsidR="00AF5E00" w:rsidRDefault="00AF5E00" w:rsidP="00AF5E00">
      <w:pPr>
        <w:jc w:val="both"/>
        <w:rPr>
          <w:rFonts w:ascii="Garamond" w:eastAsia="Times New Roman" w:hAnsi="Garamond" w:cs="Times New Roman"/>
          <w:lang w:eastAsia="en-GB"/>
        </w:rPr>
      </w:pPr>
      <w:r w:rsidRPr="00AF5E00">
        <w:rPr>
          <w:rFonts w:ascii="Garamond" w:eastAsia="Times New Roman" w:hAnsi="Garamond" w:cs="Times New Roman"/>
          <w:lang w:eastAsia="en-GB"/>
        </w:rPr>
        <w:t xml:space="preserve">Yet, we were left wanting a more thorough discussion of the role of ambivalence in critique. In particular, </w:t>
      </w:r>
      <w:proofErr w:type="spellStart"/>
      <w:r w:rsidRPr="00AF5E00">
        <w:rPr>
          <w:rFonts w:ascii="Garamond" w:eastAsia="Times New Roman" w:hAnsi="Garamond" w:cs="Times New Roman"/>
          <w:lang w:eastAsia="en-GB"/>
        </w:rPr>
        <w:t>Ruez</w:t>
      </w:r>
      <w:proofErr w:type="spellEnd"/>
      <w:r w:rsidRPr="00AF5E00">
        <w:rPr>
          <w:rFonts w:ascii="Garamond" w:eastAsia="Times New Roman" w:hAnsi="Garamond" w:cs="Times New Roman"/>
          <w:lang w:eastAsia="en-GB"/>
        </w:rPr>
        <w:t xml:space="preserve"> and Cockayne offer a reading of Sedgwick and Deleuze against the grain of how they are usually read in human geography; yet, the implications of these re-readings for their later discussion of ambivalent critique framed through queer affects and minor pluralisms needs further teasing out. How, for example, does Sedgwick’s understanding of reparation – in which the shattered object is not necessarily returned to some ‘original’ state, but still nonetheless presupposes a subject and an apprehended object – sit alongside the ontological tentativeness towards bodies and objects emerging out of a </w:t>
      </w:r>
      <w:proofErr w:type="spellStart"/>
      <w:r w:rsidRPr="00AF5E00">
        <w:rPr>
          <w:rFonts w:ascii="Garamond" w:eastAsia="Times New Roman" w:hAnsi="Garamond" w:cs="Times New Roman"/>
          <w:lang w:eastAsia="en-GB"/>
        </w:rPr>
        <w:t>Deleuzian</w:t>
      </w:r>
      <w:proofErr w:type="spellEnd"/>
      <w:r w:rsidRPr="00AF5E00">
        <w:rPr>
          <w:rFonts w:ascii="Garamond" w:eastAsia="Times New Roman" w:hAnsi="Garamond" w:cs="Times New Roman"/>
          <w:lang w:eastAsia="en-GB"/>
        </w:rPr>
        <w:t xml:space="preserve"> understanding? How does it sit alongside the ‘improper objects, undomesticated feelings, and repudiated social desire’ (</w:t>
      </w:r>
      <w:proofErr w:type="spellStart"/>
      <w:r w:rsidRPr="00AF5E00">
        <w:rPr>
          <w:rFonts w:ascii="Garamond" w:eastAsia="Times New Roman" w:hAnsi="Garamond" w:cs="Times New Roman"/>
          <w:lang w:eastAsia="en-GB"/>
        </w:rPr>
        <w:t>Ruez</w:t>
      </w:r>
      <w:proofErr w:type="spellEnd"/>
      <w:r w:rsidRPr="00AF5E00">
        <w:rPr>
          <w:rFonts w:ascii="Garamond" w:eastAsia="Times New Roman" w:hAnsi="Garamond" w:cs="Times New Roman"/>
          <w:lang w:eastAsia="en-GB"/>
        </w:rPr>
        <w:t xml:space="preserve"> and Cockayne, 2020: 14) that emerge from </w:t>
      </w:r>
      <w:proofErr w:type="spellStart"/>
      <w:r w:rsidRPr="00AF5E00">
        <w:rPr>
          <w:rFonts w:ascii="Garamond" w:eastAsia="Times New Roman" w:hAnsi="Garamond" w:cs="Times New Roman"/>
          <w:lang w:eastAsia="en-GB"/>
        </w:rPr>
        <w:t>Georgis’s</w:t>
      </w:r>
      <w:proofErr w:type="spellEnd"/>
      <w:r w:rsidRPr="00AF5E00">
        <w:rPr>
          <w:rFonts w:ascii="Garamond" w:eastAsia="Times New Roman" w:hAnsi="Garamond" w:cs="Times New Roman"/>
          <w:lang w:eastAsia="en-GB"/>
        </w:rPr>
        <w:t xml:space="preserve"> (2013) exploration of queer affect? </w:t>
      </w:r>
    </w:p>
    <w:p w14:paraId="5DD95FCE" w14:textId="77777777" w:rsidR="00AF5E00" w:rsidRDefault="00AF5E00" w:rsidP="00AF5E00">
      <w:pPr>
        <w:jc w:val="both"/>
        <w:rPr>
          <w:rFonts w:ascii="Garamond" w:eastAsia="Times New Roman" w:hAnsi="Garamond" w:cs="Times New Roman"/>
          <w:lang w:eastAsia="en-GB"/>
        </w:rPr>
      </w:pPr>
    </w:p>
    <w:p w14:paraId="0DA0A498" w14:textId="773D4424" w:rsidR="00AF5E00" w:rsidRDefault="00AF5E00" w:rsidP="00AF5E00">
      <w:pPr>
        <w:jc w:val="both"/>
        <w:rPr>
          <w:rFonts w:ascii="Garamond" w:eastAsia="Times New Roman" w:hAnsi="Garamond" w:cs="Times New Roman"/>
          <w:lang w:eastAsia="en-GB"/>
        </w:rPr>
      </w:pPr>
      <w:proofErr w:type="spellStart"/>
      <w:r w:rsidRPr="00AF5E00">
        <w:rPr>
          <w:rFonts w:ascii="Garamond" w:eastAsia="Times New Roman" w:hAnsi="Garamond" w:cs="Times New Roman"/>
          <w:lang w:eastAsia="en-GB"/>
        </w:rPr>
        <w:t>Ruez</w:t>
      </w:r>
      <w:proofErr w:type="spellEnd"/>
      <w:r w:rsidRPr="00AF5E00">
        <w:rPr>
          <w:rFonts w:ascii="Garamond" w:eastAsia="Times New Roman" w:hAnsi="Garamond" w:cs="Times New Roman"/>
          <w:lang w:eastAsia="en-GB"/>
        </w:rPr>
        <w:t xml:space="preserve"> and Cockayne’s reading of </w:t>
      </w:r>
      <w:proofErr w:type="spellStart"/>
      <w:r w:rsidRPr="00AF5E00">
        <w:rPr>
          <w:rFonts w:ascii="Garamond" w:eastAsia="Times New Roman" w:hAnsi="Garamond" w:cs="Times New Roman"/>
          <w:lang w:eastAsia="en-GB"/>
        </w:rPr>
        <w:t>Georgis’s</w:t>
      </w:r>
      <w:proofErr w:type="spellEnd"/>
      <w:r w:rsidRPr="00AF5E00">
        <w:rPr>
          <w:rFonts w:ascii="Garamond" w:eastAsia="Times New Roman" w:hAnsi="Garamond" w:cs="Times New Roman"/>
          <w:lang w:eastAsia="en-GB"/>
        </w:rPr>
        <w:t xml:space="preserve"> account of queer affect – and of abject, aberrant desire – situates them neither in the ‘better story’ of resistance, nor in stories of the undifferentiated suffering of fixed-</w:t>
      </w:r>
      <w:proofErr w:type="spellStart"/>
      <w:r w:rsidRPr="00AF5E00">
        <w:rPr>
          <w:rFonts w:ascii="Garamond" w:eastAsia="Times New Roman" w:hAnsi="Garamond" w:cs="Times New Roman"/>
          <w:lang w:eastAsia="en-GB"/>
        </w:rPr>
        <w:t>collectivities</w:t>
      </w:r>
      <w:proofErr w:type="spellEnd"/>
      <w:r w:rsidRPr="00AF5E00">
        <w:rPr>
          <w:rFonts w:ascii="Garamond" w:eastAsia="Times New Roman" w:hAnsi="Garamond" w:cs="Times New Roman"/>
          <w:lang w:eastAsia="en-GB"/>
        </w:rPr>
        <w:t>, nor in the forms of gratification of liberal heteronormative modernity (</w:t>
      </w:r>
      <w:proofErr w:type="spellStart"/>
      <w:r w:rsidRPr="00AF5E00">
        <w:rPr>
          <w:rFonts w:ascii="Garamond" w:eastAsia="Times New Roman" w:hAnsi="Garamond" w:cs="Times New Roman"/>
          <w:lang w:eastAsia="en-GB"/>
        </w:rPr>
        <w:t>Ruez</w:t>
      </w:r>
      <w:proofErr w:type="spellEnd"/>
      <w:r w:rsidRPr="00AF5E00">
        <w:rPr>
          <w:rFonts w:ascii="Garamond" w:eastAsia="Times New Roman" w:hAnsi="Garamond" w:cs="Times New Roman"/>
          <w:lang w:eastAsia="en-GB"/>
        </w:rPr>
        <w:t xml:space="preserve"> and Cockayne, 2020: 14). Rather, they emerge always amidst what is at stake in the world, tied directly to the political. Concomitantly, and drawing upon Arendt and Deleuze and </w:t>
      </w:r>
      <w:proofErr w:type="spellStart"/>
      <w:r w:rsidRPr="00AF5E00">
        <w:rPr>
          <w:rFonts w:ascii="Garamond" w:eastAsia="Times New Roman" w:hAnsi="Garamond" w:cs="Times New Roman"/>
          <w:lang w:eastAsia="en-GB"/>
        </w:rPr>
        <w:t>Guattari</w:t>
      </w:r>
      <w:proofErr w:type="spellEnd"/>
      <w:r w:rsidRPr="00AF5E00">
        <w:rPr>
          <w:rFonts w:ascii="Garamond" w:eastAsia="Times New Roman" w:hAnsi="Garamond" w:cs="Times New Roman"/>
          <w:lang w:eastAsia="en-GB"/>
        </w:rPr>
        <w:t>, they argue that critical and ethical judgement must always arise in-between, always immanent to the relations of plural worlds, and not be a conceptual judgement that evades or attempts to move beyond ‘a reckoning with the catastrophes of racial capitalism, historical and continuing colonialisms, or heteronormativity’ (</w:t>
      </w:r>
      <w:proofErr w:type="spellStart"/>
      <w:r w:rsidRPr="00AF5E00">
        <w:rPr>
          <w:rFonts w:ascii="Garamond" w:eastAsia="Times New Roman" w:hAnsi="Garamond" w:cs="Times New Roman"/>
          <w:lang w:eastAsia="en-GB"/>
        </w:rPr>
        <w:t>Ruez</w:t>
      </w:r>
      <w:proofErr w:type="spellEnd"/>
      <w:r w:rsidRPr="00AF5E00">
        <w:rPr>
          <w:rFonts w:ascii="Garamond" w:eastAsia="Times New Roman" w:hAnsi="Garamond" w:cs="Times New Roman"/>
          <w:lang w:eastAsia="en-GB"/>
        </w:rPr>
        <w:t xml:space="preserve"> and Cockayne, 2020: 16). Here, we think there is something about dominant theorising that needs spelling out more explicitly, for it is the dominant forms of affirmative thinking in human geography that </w:t>
      </w:r>
      <w:proofErr w:type="spellStart"/>
      <w:r w:rsidRPr="00AF5E00">
        <w:rPr>
          <w:rFonts w:ascii="Garamond" w:eastAsia="Times New Roman" w:hAnsi="Garamond" w:cs="Times New Roman"/>
          <w:lang w:eastAsia="en-GB"/>
        </w:rPr>
        <w:t>Ruez</w:t>
      </w:r>
      <w:proofErr w:type="spellEnd"/>
      <w:r w:rsidRPr="00AF5E00">
        <w:rPr>
          <w:rFonts w:ascii="Garamond" w:eastAsia="Times New Roman" w:hAnsi="Garamond" w:cs="Times New Roman"/>
          <w:lang w:eastAsia="en-GB"/>
        </w:rPr>
        <w:t xml:space="preserve"> and Cockayne imply risk evading or moving past exactly this kind of reckoning. </w:t>
      </w:r>
    </w:p>
    <w:p w14:paraId="046BFEE9" w14:textId="77777777" w:rsidR="00AF5E00" w:rsidRPr="00AF5E00" w:rsidRDefault="00AF5E00" w:rsidP="00AF5E00">
      <w:pPr>
        <w:jc w:val="both"/>
        <w:rPr>
          <w:rFonts w:ascii="Garamond" w:eastAsia="Times New Roman" w:hAnsi="Garamond" w:cs="Times New Roman"/>
          <w:lang w:eastAsia="en-GB"/>
        </w:rPr>
      </w:pPr>
    </w:p>
    <w:p w14:paraId="62D8933D" w14:textId="77777777" w:rsidR="00AF5E00" w:rsidRDefault="00AF5E00" w:rsidP="00AF5E00">
      <w:pPr>
        <w:jc w:val="both"/>
        <w:rPr>
          <w:rFonts w:ascii="Garamond" w:eastAsia="Times New Roman" w:hAnsi="Garamond" w:cs="Times New Roman"/>
          <w:lang w:eastAsia="en-GB"/>
        </w:rPr>
      </w:pPr>
    </w:p>
    <w:p w14:paraId="356F7373" w14:textId="29957F3A" w:rsidR="00AF5E00" w:rsidRPr="00AF5E00" w:rsidRDefault="00AF5E00" w:rsidP="00AF5E00">
      <w:pPr>
        <w:jc w:val="both"/>
        <w:rPr>
          <w:rFonts w:ascii="Garamond" w:eastAsia="Times New Roman" w:hAnsi="Garamond" w:cs="Times New Roman"/>
          <w:lang w:eastAsia="en-GB"/>
        </w:rPr>
      </w:pPr>
      <w:r w:rsidRPr="00AF5E00">
        <w:rPr>
          <w:rFonts w:ascii="Garamond" w:eastAsia="Times New Roman" w:hAnsi="Garamond" w:cs="Times New Roman"/>
          <w:lang w:eastAsia="en-GB"/>
        </w:rPr>
        <w:t xml:space="preserve">In considering how dominant theorising of collective positivity can elide uncomfortable discussions of power, domination and violence, we could turn to José Esteban Muñoz’s work on </w:t>
      </w:r>
      <w:r w:rsidRPr="00AF5E00">
        <w:rPr>
          <w:rFonts w:ascii="Garamond" w:eastAsia="Times New Roman" w:hAnsi="Garamond" w:cs="Times New Roman"/>
          <w:lang w:eastAsia="en-GB"/>
        </w:rPr>
        <w:lastRenderedPageBreak/>
        <w:t xml:space="preserve">affect and minoritarian subjects, and what he terms the illegibility of ‘minoritarian affects’ in the moments when we ‘don’t feel quite right within the protocols of normative affect and comportment’ (2006: 676). The minoritarian subject, the minoritarian activist, the minoritarian critic: we often exist in a perpetual state of disorientation, reorientation, shattering, paranoia, reparation. Our affirmations of aberrant affects are rendered illegible or misrecognised as simply negative. Negativity has been rendered impermissible, retrograde, a dead-end. Yet, negativity is not simply negation, nor an opposition that overdetermines, prescribes, or shuts down potential. Rather, it is also the weariness necessary for self-preservation – for still having a future. It is the refusal of structural violence in Black Lives Matter that opens up potentials for an indeterminate future. Even the thinking of negativity gets captured by dominant voices in affirmative theorising. But, this is not our negativity, the queer longing of Muñoz and his feeling ‘that this world is not enough’ (2009: 1), the broken fractured glimmers of hope found in the words of Eli Clare (2017), the utopia that exists on the horizon, the place where we hope our critique will lead us. The very purpose of why we are here, why we do this, why we put our bodies through this again and again. As queer, feminist, decolonial, and critical race scholars have taught us, negativity can open up other worlds; we build </w:t>
      </w:r>
      <w:proofErr w:type="spellStart"/>
      <w:r w:rsidRPr="00AF5E00">
        <w:rPr>
          <w:rFonts w:ascii="Garamond" w:eastAsia="Times New Roman" w:hAnsi="Garamond" w:cs="Times New Roman"/>
          <w:lang w:eastAsia="en-GB"/>
        </w:rPr>
        <w:t>lifeworlds</w:t>
      </w:r>
      <w:proofErr w:type="spellEnd"/>
      <w:r w:rsidRPr="00AF5E00">
        <w:rPr>
          <w:rFonts w:ascii="Garamond" w:eastAsia="Times New Roman" w:hAnsi="Garamond" w:cs="Times New Roman"/>
          <w:lang w:eastAsia="en-GB"/>
        </w:rPr>
        <w:t xml:space="preserve"> from the fragments</w:t>
      </w:r>
      <w:r>
        <w:rPr>
          <w:rFonts w:ascii="Garamond" w:eastAsia="Times New Roman" w:hAnsi="Garamond" w:cs="Times New Roman"/>
          <w:lang w:eastAsia="en-GB"/>
        </w:rPr>
        <w:t>.</w:t>
      </w:r>
    </w:p>
    <w:p w14:paraId="5F8F67D9" w14:textId="0FACD68D" w:rsidR="00F068ED" w:rsidRPr="00AF5E00" w:rsidRDefault="00F068ED" w:rsidP="00AF5E00">
      <w:pPr>
        <w:jc w:val="both"/>
        <w:rPr>
          <w:rFonts w:ascii="Garamond" w:hAnsi="Garamond"/>
          <w:b/>
          <w:bCs/>
        </w:rPr>
      </w:pPr>
    </w:p>
    <w:p w14:paraId="66F69F9B" w14:textId="77777777" w:rsidR="00AF5E00" w:rsidRPr="00AF5E00" w:rsidRDefault="00AF5E00" w:rsidP="00AF5E00">
      <w:pPr>
        <w:jc w:val="both"/>
        <w:rPr>
          <w:rFonts w:ascii="Garamond" w:eastAsia="Times New Roman" w:hAnsi="Garamond" w:cs="Times New Roman"/>
          <w:b/>
          <w:bCs/>
          <w:lang w:eastAsia="en-GB"/>
        </w:rPr>
      </w:pPr>
      <w:r w:rsidRPr="00AF5E00">
        <w:rPr>
          <w:rFonts w:ascii="Garamond" w:eastAsia="Times New Roman" w:hAnsi="Garamond" w:cs="Times New Roman"/>
          <w:b/>
          <w:bCs/>
          <w:lang w:eastAsia="en-GB"/>
        </w:rPr>
        <w:t xml:space="preserve">References </w:t>
      </w:r>
    </w:p>
    <w:p w14:paraId="5ED536D8" w14:textId="77777777" w:rsidR="00AF5E00" w:rsidRDefault="00AF5E00" w:rsidP="00AF5E00">
      <w:pPr>
        <w:ind w:left="720" w:hanging="720"/>
        <w:jc w:val="both"/>
        <w:rPr>
          <w:rFonts w:ascii="Garamond" w:eastAsia="Times New Roman" w:hAnsi="Garamond" w:cs="Times New Roman"/>
          <w:lang w:eastAsia="en-GB"/>
        </w:rPr>
      </w:pPr>
      <w:r w:rsidRPr="00AF5E00">
        <w:rPr>
          <w:rFonts w:ascii="Garamond" w:eastAsia="Times New Roman" w:hAnsi="Garamond" w:cs="Times New Roman"/>
          <w:lang w:eastAsia="en-GB"/>
        </w:rPr>
        <w:t xml:space="preserve">Clare E (2017) Brilliant imperfection: Grappling with cure. Durham, NC and London: Duke University Press. </w:t>
      </w:r>
    </w:p>
    <w:p w14:paraId="5CD89B4E" w14:textId="77777777" w:rsidR="00AF5E00" w:rsidRDefault="00AF5E00" w:rsidP="00AF5E00">
      <w:pPr>
        <w:ind w:left="720" w:hanging="720"/>
        <w:jc w:val="both"/>
        <w:rPr>
          <w:rFonts w:ascii="Garamond" w:eastAsia="Times New Roman" w:hAnsi="Garamond" w:cs="Times New Roman"/>
          <w:lang w:eastAsia="en-GB"/>
        </w:rPr>
      </w:pPr>
      <w:r w:rsidRPr="00AF5E00">
        <w:rPr>
          <w:rFonts w:ascii="Garamond" w:eastAsia="Times New Roman" w:hAnsi="Garamond" w:cs="Times New Roman"/>
          <w:lang w:eastAsia="en-GB"/>
        </w:rPr>
        <w:t xml:space="preserve">Dean T and </w:t>
      </w:r>
      <w:proofErr w:type="spellStart"/>
      <w:r w:rsidRPr="00AF5E00">
        <w:rPr>
          <w:rFonts w:ascii="Garamond" w:eastAsia="Times New Roman" w:hAnsi="Garamond" w:cs="Times New Roman"/>
          <w:lang w:eastAsia="en-GB"/>
        </w:rPr>
        <w:t>Wiegman</w:t>
      </w:r>
      <w:proofErr w:type="spellEnd"/>
      <w:r w:rsidRPr="00AF5E00">
        <w:rPr>
          <w:rFonts w:ascii="Garamond" w:eastAsia="Times New Roman" w:hAnsi="Garamond" w:cs="Times New Roman"/>
          <w:lang w:eastAsia="en-GB"/>
        </w:rPr>
        <w:t xml:space="preserve"> R (2013) What Does Critique Want? A Critical Exchange. English Language Notes 51(2): 107–122. </w:t>
      </w:r>
    </w:p>
    <w:p w14:paraId="0E3976AB" w14:textId="77777777" w:rsidR="00AF5E00" w:rsidRDefault="00AF5E00" w:rsidP="00AF5E00">
      <w:pPr>
        <w:ind w:left="720" w:hanging="720"/>
        <w:jc w:val="both"/>
        <w:rPr>
          <w:rFonts w:ascii="Garamond" w:eastAsia="Times New Roman" w:hAnsi="Garamond" w:cs="Times New Roman"/>
          <w:lang w:eastAsia="en-GB"/>
        </w:rPr>
      </w:pPr>
      <w:proofErr w:type="spellStart"/>
      <w:r w:rsidRPr="00AF5E00">
        <w:rPr>
          <w:rFonts w:ascii="Garamond" w:eastAsia="Times New Roman" w:hAnsi="Garamond" w:cs="Times New Roman"/>
          <w:lang w:eastAsia="en-GB"/>
        </w:rPr>
        <w:t>Georgis</w:t>
      </w:r>
      <w:proofErr w:type="spellEnd"/>
      <w:r w:rsidRPr="00AF5E00">
        <w:rPr>
          <w:rFonts w:ascii="Garamond" w:eastAsia="Times New Roman" w:hAnsi="Garamond" w:cs="Times New Roman"/>
          <w:lang w:eastAsia="en-GB"/>
        </w:rPr>
        <w:t xml:space="preserve"> D (2013) The Better Story: Queer Affects from the Middle East. Albany: State University of New York Press. </w:t>
      </w:r>
    </w:p>
    <w:p w14:paraId="49FF47DB" w14:textId="77777777" w:rsidR="00AF5E00" w:rsidRDefault="00AF5E00" w:rsidP="00AF5E00">
      <w:pPr>
        <w:ind w:left="720" w:hanging="720"/>
        <w:jc w:val="both"/>
        <w:rPr>
          <w:rFonts w:ascii="Garamond" w:eastAsia="Times New Roman" w:hAnsi="Garamond" w:cs="Times New Roman"/>
          <w:lang w:eastAsia="en-GB"/>
        </w:rPr>
      </w:pPr>
      <w:r w:rsidRPr="00AF5E00">
        <w:rPr>
          <w:rFonts w:ascii="Garamond" w:eastAsia="Times New Roman" w:hAnsi="Garamond" w:cs="Times New Roman"/>
          <w:lang w:eastAsia="en-GB"/>
        </w:rPr>
        <w:t xml:space="preserve">Harrison P (2015) After affirmation, or being a loser: on vitalism, sacrifice, and cinders. </w:t>
      </w:r>
      <w:proofErr w:type="spellStart"/>
      <w:r w:rsidRPr="00AF5E00">
        <w:rPr>
          <w:rFonts w:ascii="Garamond" w:eastAsia="Times New Roman" w:hAnsi="Garamond" w:cs="Times New Roman"/>
          <w:lang w:eastAsia="en-GB"/>
        </w:rPr>
        <w:t>GeoHumanities</w:t>
      </w:r>
      <w:proofErr w:type="spellEnd"/>
      <w:r w:rsidRPr="00AF5E00">
        <w:rPr>
          <w:rFonts w:ascii="Garamond" w:eastAsia="Times New Roman" w:hAnsi="Garamond" w:cs="Times New Roman"/>
          <w:lang w:eastAsia="en-GB"/>
        </w:rPr>
        <w:t xml:space="preserve"> 1(2): 285–306. </w:t>
      </w:r>
    </w:p>
    <w:p w14:paraId="4DDD627B" w14:textId="77777777" w:rsidR="00AF5E00" w:rsidRDefault="00AF5E00" w:rsidP="00AF5E00">
      <w:pPr>
        <w:ind w:left="720" w:hanging="720"/>
        <w:jc w:val="both"/>
        <w:rPr>
          <w:rFonts w:ascii="Garamond" w:eastAsia="Times New Roman" w:hAnsi="Garamond" w:cs="Times New Roman"/>
          <w:lang w:eastAsia="en-GB"/>
        </w:rPr>
      </w:pPr>
      <w:r w:rsidRPr="00AF5E00">
        <w:rPr>
          <w:rFonts w:ascii="Garamond" w:eastAsia="Times New Roman" w:hAnsi="Garamond" w:cs="Times New Roman"/>
          <w:lang w:eastAsia="en-GB"/>
        </w:rPr>
        <w:t xml:space="preserve">Johnson A (2019) Throwing our bodies against the white background of academia. Area 52(1): 89–96. </w:t>
      </w:r>
    </w:p>
    <w:p w14:paraId="4F4B1E78" w14:textId="77777777" w:rsidR="00AF5E00" w:rsidRDefault="00AF5E00" w:rsidP="00AF5E00">
      <w:pPr>
        <w:ind w:left="720" w:hanging="720"/>
        <w:jc w:val="both"/>
        <w:rPr>
          <w:rFonts w:ascii="Garamond" w:eastAsia="Times New Roman" w:hAnsi="Garamond" w:cs="Times New Roman"/>
          <w:lang w:eastAsia="en-GB"/>
        </w:rPr>
      </w:pPr>
      <w:r w:rsidRPr="00AF5E00">
        <w:rPr>
          <w:rFonts w:ascii="Garamond" w:eastAsia="Times New Roman" w:hAnsi="Garamond" w:cs="Times New Roman"/>
          <w:lang w:eastAsia="en-GB"/>
        </w:rPr>
        <w:t xml:space="preserve">Klein M (1937) Love, Guilt and Reparation. In: Rickman J (ed.) Love, Hate and Reparation: Two Lectures by Melanie Klein and Joan Riviere. London: Hogarth Press, pp. 57–119 </w:t>
      </w:r>
    </w:p>
    <w:p w14:paraId="21296D58" w14:textId="77777777" w:rsidR="00AF5E00" w:rsidRDefault="00AF5E00" w:rsidP="00AF5E00">
      <w:pPr>
        <w:ind w:left="720" w:hanging="720"/>
        <w:jc w:val="both"/>
        <w:rPr>
          <w:rFonts w:ascii="Garamond" w:eastAsia="Times New Roman" w:hAnsi="Garamond" w:cs="Times New Roman"/>
          <w:lang w:eastAsia="en-GB"/>
        </w:rPr>
      </w:pPr>
      <w:proofErr w:type="spellStart"/>
      <w:r w:rsidRPr="00AF5E00">
        <w:rPr>
          <w:rFonts w:ascii="Garamond" w:eastAsia="Times New Roman" w:hAnsi="Garamond" w:cs="Times New Roman"/>
          <w:lang w:eastAsia="en-GB"/>
        </w:rPr>
        <w:t>Kouri</w:t>
      </w:r>
      <w:proofErr w:type="spellEnd"/>
      <w:r w:rsidRPr="00AF5E00">
        <w:rPr>
          <w:rFonts w:ascii="Garamond" w:eastAsia="Times New Roman" w:hAnsi="Garamond" w:cs="Times New Roman"/>
          <w:lang w:eastAsia="en-GB"/>
        </w:rPr>
        <w:t xml:space="preserve">-Towe N (2015) Textured Activism: Affect Theory and Transformational Politics in Transnational Queer Palestine-Solidarity Activism. Atlantis 37(1): 23–34. </w:t>
      </w:r>
    </w:p>
    <w:p w14:paraId="408F8C8C" w14:textId="77777777" w:rsidR="00AF5E00" w:rsidRDefault="00AF5E00" w:rsidP="00AF5E00">
      <w:pPr>
        <w:ind w:left="720" w:hanging="720"/>
        <w:jc w:val="both"/>
        <w:rPr>
          <w:rFonts w:ascii="Garamond" w:eastAsia="Times New Roman" w:hAnsi="Garamond" w:cs="Times New Roman"/>
          <w:lang w:eastAsia="en-GB"/>
        </w:rPr>
      </w:pPr>
      <w:r w:rsidRPr="00AF5E00">
        <w:rPr>
          <w:rFonts w:ascii="Garamond" w:eastAsia="Times New Roman" w:hAnsi="Garamond" w:cs="Times New Roman"/>
          <w:lang w:eastAsia="en-GB"/>
        </w:rPr>
        <w:t xml:space="preserve">Love H (2010) Truth and consequences: On paranoid reading and reparative reading. Criticism 52(2): 235–241. </w:t>
      </w:r>
    </w:p>
    <w:p w14:paraId="1AD81641" w14:textId="77777777" w:rsidR="00AF5E00" w:rsidRDefault="00AF5E00" w:rsidP="00AF5E00">
      <w:pPr>
        <w:ind w:left="720" w:hanging="720"/>
        <w:jc w:val="both"/>
        <w:rPr>
          <w:rFonts w:ascii="Garamond" w:eastAsia="Times New Roman" w:hAnsi="Garamond" w:cs="Times New Roman"/>
          <w:lang w:eastAsia="en-GB"/>
        </w:rPr>
      </w:pPr>
      <w:proofErr w:type="spellStart"/>
      <w:r w:rsidRPr="00AF5E00">
        <w:rPr>
          <w:rFonts w:ascii="Garamond" w:eastAsia="Times New Roman" w:hAnsi="Garamond" w:cs="Times New Roman"/>
          <w:lang w:eastAsia="en-GB"/>
        </w:rPr>
        <w:t>Oswin</w:t>
      </w:r>
      <w:proofErr w:type="spellEnd"/>
      <w:r w:rsidRPr="00AF5E00">
        <w:rPr>
          <w:rFonts w:ascii="Garamond" w:eastAsia="Times New Roman" w:hAnsi="Garamond" w:cs="Times New Roman"/>
          <w:lang w:eastAsia="en-GB"/>
        </w:rPr>
        <w:t xml:space="preserve"> N (2020) </w:t>
      </w:r>
      <w:proofErr w:type="spellStart"/>
      <w:proofErr w:type="gramStart"/>
      <w:r w:rsidRPr="00AF5E00">
        <w:rPr>
          <w:rFonts w:ascii="Garamond" w:eastAsia="Times New Roman" w:hAnsi="Garamond" w:cs="Times New Roman"/>
          <w:lang w:eastAsia="en-GB"/>
        </w:rPr>
        <w:t>An other</w:t>
      </w:r>
      <w:proofErr w:type="spellEnd"/>
      <w:proofErr w:type="gramEnd"/>
      <w:r w:rsidRPr="00AF5E00">
        <w:rPr>
          <w:rFonts w:ascii="Garamond" w:eastAsia="Times New Roman" w:hAnsi="Garamond" w:cs="Times New Roman"/>
          <w:lang w:eastAsia="en-GB"/>
        </w:rPr>
        <w:t xml:space="preserve"> geography. Dialogues in human geography 10(1): 9–18. Philo C (2017) Less-than-human geographies. Political Geography 60: 256-258. </w:t>
      </w:r>
    </w:p>
    <w:p w14:paraId="4E7CC4AA" w14:textId="77777777" w:rsidR="00AF5E00" w:rsidRDefault="00AF5E00" w:rsidP="00AF5E00">
      <w:pPr>
        <w:ind w:left="720" w:hanging="720"/>
        <w:jc w:val="both"/>
        <w:rPr>
          <w:rFonts w:ascii="Garamond" w:eastAsia="Times New Roman" w:hAnsi="Garamond" w:cs="Times New Roman"/>
          <w:lang w:eastAsia="en-GB"/>
        </w:rPr>
      </w:pPr>
      <w:r w:rsidRPr="00AF5E00">
        <w:rPr>
          <w:rFonts w:ascii="Garamond" w:eastAsia="Times New Roman" w:hAnsi="Garamond" w:cs="Times New Roman"/>
          <w:lang w:eastAsia="en-GB"/>
        </w:rPr>
        <w:t xml:space="preserve">Muñoz JE (2006) Feeling brown, feeling down: Latina affect, the performativity of race, and the depressive position. Signs: Journal of Women in Culture and Society 31(3): 675–688. </w:t>
      </w:r>
    </w:p>
    <w:p w14:paraId="583D5198" w14:textId="6EDA79BA" w:rsidR="00AF5E00" w:rsidRPr="00AF5E00" w:rsidRDefault="00AF5E00" w:rsidP="00AF5E00">
      <w:pPr>
        <w:ind w:left="720" w:hanging="720"/>
        <w:jc w:val="both"/>
        <w:rPr>
          <w:rFonts w:ascii="Garamond" w:eastAsia="Times New Roman" w:hAnsi="Garamond" w:cs="Times New Roman"/>
          <w:lang w:eastAsia="en-GB"/>
        </w:rPr>
      </w:pPr>
      <w:r w:rsidRPr="00AF5E00">
        <w:rPr>
          <w:rFonts w:ascii="Garamond" w:eastAsia="Times New Roman" w:hAnsi="Garamond" w:cs="Times New Roman"/>
          <w:lang w:eastAsia="en-GB"/>
        </w:rPr>
        <w:t>Muñoz JE (2009) Cruising utopia: The then and there of queer futurity. New York: New York University Press.</w:t>
      </w:r>
    </w:p>
    <w:p w14:paraId="1F84DBD8" w14:textId="77777777" w:rsidR="00AF5E00" w:rsidRDefault="00AF5E00" w:rsidP="00AF5E00">
      <w:pPr>
        <w:ind w:left="720" w:hanging="720"/>
        <w:jc w:val="both"/>
        <w:rPr>
          <w:rFonts w:ascii="Garamond" w:eastAsia="Times New Roman" w:hAnsi="Garamond" w:cs="Times New Roman"/>
          <w:lang w:eastAsia="en-GB"/>
        </w:rPr>
      </w:pPr>
      <w:r w:rsidRPr="00AF5E00">
        <w:rPr>
          <w:rFonts w:ascii="Garamond" w:eastAsia="Times New Roman" w:hAnsi="Garamond" w:cs="Times New Roman"/>
          <w:lang w:eastAsia="en-GB"/>
        </w:rPr>
        <w:t xml:space="preserve">Sedgwick EK (1996) Introduction: Queerer than Fiction. Studies in the Novel 28(3): 277–280. Sedgwick EK and Frank A (1995) Shame in the Cybernetic Fold: Reading Silvan Tomkins. Critical Inquiry 21(1): 496–522. </w:t>
      </w:r>
    </w:p>
    <w:p w14:paraId="6884CE03" w14:textId="77777777" w:rsidR="00AF5E00" w:rsidRDefault="00AF5E00" w:rsidP="00AF5E00">
      <w:pPr>
        <w:ind w:left="720" w:hanging="720"/>
        <w:jc w:val="both"/>
        <w:rPr>
          <w:rFonts w:ascii="Garamond" w:eastAsia="Times New Roman" w:hAnsi="Garamond" w:cs="Times New Roman"/>
          <w:lang w:eastAsia="en-GB"/>
        </w:rPr>
      </w:pPr>
      <w:r w:rsidRPr="00AF5E00">
        <w:rPr>
          <w:rFonts w:ascii="Garamond" w:eastAsia="Times New Roman" w:hAnsi="Garamond" w:cs="Times New Roman"/>
          <w:lang w:eastAsia="en-GB"/>
        </w:rPr>
        <w:t xml:space="preserve">Seitz DK (2017) A house of prayer for all people: Contesting citizenship in a queer church. Minneapolis: University of Minnesota Press. </w:t>
      </w:r>
    </w:p>
    <w:p w14:paraId="37554E60" w14:textId="77777777" w:rsidR="00AF5E00" w:rsidRDefault="00AF5E00" w:rsidP="00AF5E00">
      <w:pPr>
        <w:ind w:left="720" w:hanging="720"/>
        <w:jc w:val="both"/>
        <w:rPr>
          <w:rFonts w:ascii="Garamond" w:eastAsia="Times New Roman" w:hAnsi="Garamond" w:cs="Times New Roman"/>
          <w:lang w:eastAsia="en-GB"/>
        </w:rPr>
      </w:pPr>
      <w:r w:rsidRPr="00AF5E00">
        <w:rPr>
          <w:rFonts w:ascii="Garamond" w:eastAsia="Times New Roman" w:hAnsi="Garamond" w:cs="Times New Roman"/>
          <w:lang w:eastAsia="en-GB"/>
        </w:rPr>
        <w:t>Wilkinson E (2017) On love as an (</w:t>
      </w:r>
      <w:proofErr w:type="spellStart"/>
      <w:r w:rsidRPr="00AF5E00">
        <w:rPr>
          <w:rFonts w:ascii="Garamond" w:eastAsia="Times New Roman" w:hAnsi="Garamond" w:cs="Times New Roman"/>
          <w:lang w:eastAsia="en-GB"/>
        </w:rPr>
        <w:t>im</w:t>
      </w:r>
      <w:proofErr w:type="spellEnd"/>
      <w:r w:rsidRPr="00AF5E00">
        <w:rPr>
          <w:rFonts w:ascii="Garamond" w:eastAsia="Times New Roman" w:hAnsi="Garamond" w:cs="Times New Roman"/>
          <w:lang w:eastAsia="en-GB"/>
        </w:rPr>
        <w:t xml:space="preserve">)properly political concept. Environment and Planning D: Society and Space 35(1): 57–71. </w:t>
      </w:r>
    </w:p>
    <w:p w14:paraId="41802DC7" w14:textId="49E0276D" w:rsidR="00AF5E00" w:rsidRPr="00AF5E00" w:rsidRDefault="00AF5E00" w:rsidP="00AF5E00">
      <w:pPr>
        <w:ind w:left="720" w:hanging="720"/>
        <w:jc w:val="both"/>
        <w:rPr>
          <w:rFonts w:ascii="Garamond" w:eastAsia="Times New Roman" w:hAnsi="Garamond" w:cs="Times New Roman"/>
          <w:lang w:eastAsia="en-GB"/>
        </w:rPr>
      </w:pPr>
      <w:r w:rsidRPr="00AF5E00">
        <w:rPr>
          <w:rFonts w:ascii="Garamond" w:eastAsia="Times New Roman" w:hAnsi="Garamond" w:cs="Times New Roman"/>
          <w:lang w:eastAsia="en-GB"/>
        </w:rPr>
        <w:t>Wilkinson E and Ortega-</w:t>
      </w:r>
      <w:proofErr w:type="spellStart"/>
      <w:r w:rsidRPr="00AF5E00">
        <w:rPr>
          <w:rFonts w:ascii="Garamond" w:eastAsia="Times New Roman" w:hAnsi="Garamond" w:cs="Times New Roman"/>
          <w:lang w:eastAsia="en-GB"/>
        </w:rPr>
        <w:t>Alcázar</w:t>
      </w:r>
      <w:proofErr w:type="spellEnd"/>
      <w:r w:rsidRPr="00AF5E00">
        <w:rPr>
          <w:rFonts w:ascii="Garamond" w:eastAsia="Times New Roman" w:hAnsi="Garamond" w:cs="Times New Roman"/>
          <w:lang w:eastAsia="en-GB"/>
        </w:rPr>
        <w:t xml:space="preserve"> I (2019) The right to be weary? Endurance and exhaustion in austere times. Transactions of the Institute of British Geographers 44:155–167</w:t>
      </w:r>
    </w:p>
    <w:p w14:paraId="74AF958B" w14:textId="77777777" w:rsidR="00AF5E00" w:rsidRDefault="00AF5E00"/>
    <w:sectPr w:rsidR="00AF5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00"/>
    <w:rsid w:val="00AF5E00"/>
    <w:rsid w:val="00F06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1E1047"/>
  <w15:chartTrackingRefBased/>
  <w15:docId w15:val="{7BB392B9-1C56-B948-AC8B-A3A68589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94686">
      <w:bodyDiv w:val="1"/>
      <w:marLeft w:val="0"/>
      <w:marRight w:val="0"/>
      <w:marTop w:val="0"/>
      <w:marBottom w:val="0"/>
      <w:divBdr>
        <w:top w:val="none" w:sz="0" w:space="0" w:color="auto"/>
        <w:left w:val="none" w:sz="0" w:space="0" w:color="auto"/>
        <w:bottom w:val="none" w:sz="0" w:space="0" w:color="auto"/>
        <w:right w:val="none" w:sz="0" w:space="0" w:color="auto"/>
      </w:divBdr>
    </w:div>
    <w:div w:id="320043889">
      <w:bodyDiv w:val="1"/>
      <w:marLeft w:val="0"/>
      <w:marRight w:val="0"/>
      <w:marTop w:val="0"/>
      <w:marBottom w:val="0"/>
      <w:divBdr>
        <w:top w:val="none" w:sz="0" w:space="0" w:color="auto"/>
        <w:left w:val="none" w:sz="0" w:space="0" w:color="auto"/>
        <w:bottom w:val="none" w:sz="0" w:space="0" w:color="auto"/>
        <w:right w:val="none" w:sz="0" w:space="0" w:color="auto"/>
      </w:divBdr>
    </w:div>
    <w:div w:id="333531267">
      <w:bodyDiv w:val="1"/>
      <w:marLeft w:val="0"/>
      <w:marRight w:val="0"/>
      <w:marTop w:val="0"/>
      <w:marBottom w:val="0"/>
      <w:divBdr>
        <w:top w:val="none" w:sz="0" w:space="0" w:color="auto"/>
        <w:left w:val="none" w:sz="0" w:space="0" w:color="auto"/>
        <w:bottom w:val="none" w:sz="0" w:space="0" w:color="auto"/>
        <w:right w:val="none" w:sz="0" w:space="0" w:color="auto"/>
      </w:divBdr>
    </w:div>
    <w:div w:id="576674587">
      <w:bodyDiv w:val="1"/>
      <w:marLeft w:val="0"/>
      <w:marRight w:val="0"/>
      <w:marTop w:val="0"/>
      <w:marBottom w:val="0"/>
      <w:divBdr>
        <w:top w:val="none" w:sz="0" w:space="0" w:color="auto"/>
        <w:left w:val="none" w:sz="0" w:space="0" w:color="auto"/>
        <w:bottom w:val="none" w:sz="0" w:space="0" w:color="auto"/>
        <w:right w:val="none" w:sz="0" w:space="0" w:color="auto"/>
      </w:divBdr>
    </w:div>
    <w:div w:id="609507432">
      <w:bodyDiv w:val="1"/>
      <w:marLeft w:val="0"/>
      <w:marRight w:val="0"/>
      <w:marTop w:val="0"/>
      <w:marBottom w:val="0"/>
      <w:divBdr>
        <w:top w:val="none" w:sz="0" w:space="0" w:color="auto"/>
        <w:left w:val="none" w:sz="0" w:space="0" w:color="auto"/>
        <w:bottom w:val="none" w:sz="0" w:space="0" w:color="auto"/>
        <w:right w:val="none" w:sz="0" w:space="0" w:color="auto"/>
      </w:divBdr>
    </w:div>
    <w:div w:id="827480624">
      <w:bodyDiv w:val="1"/>
      <w:marLeft w:val="0"/>
      <w:marRight w:val="0"/>
      <w:marTop w:val="0"/>
      <w:marBottom w:val="0"/>
      <w:divBdr>
        <w:top w:val="none" w:sz="0" w:space="0" w:color="auto"/>
        <w:left w:val="none" w:sz="0" w:space="0" w:color="auto"/>
        <w:bottom w:val="none" w:sz="0" w:space="0" w:color="auto"/>
        <w:right w:val="none" w:sz="0" w:space="0" w:color="auto"/>
      </w:divBdr>
    </w:div>
    <w:div w:id="857237467">
      <w:bodyDiv w:val="1"/>
      <w:marLeft w:val="0"/>
      <w:marRight w:val="0"/>
      <w:marTop w:val="0"/>
      <w:marBottom w:val="0"/>
      <w:divBdr>
        <w:top w:val="none" w:sz="0" w:space="0" w:color="auto"/>
        <w:left w:val="none" w:sz="0" w:space="0" w:color="auto"/>
        <w:bottom w:val="none" w:sz="0" w:space="0" w:color="auto"/>
        <w:right w:val="none" w:sz="0" w:space="0" w:color="auto"/>
      </w:divBdr>
    </w:div>
    <w:div w:id="1091467422">
      <w:bodyDiv w:val="1"/>
      <w:marLeft w:val="0"/>
      <w:marRight w:val="0"/>
      <w:marTop w:val="0"/>
      <w:marBottom w:val="0"/>
      <w:divBdr>
        <w:top w:val="none" w:sz="0" w:space="0" w:color="auto"/>
        <w:left w:val="none" w:sz="0" w:space="0" w:color="auto"/>
        <w:bottom w:val="none" w:sz="0" w:space="0" w:color="auto"/>
        <w:right w:val="none" w:sz="0" w:space="0" w:color="auto"/>
      </w:divBdr>
    </w:div>
    <w:div w:id="1198078331">
      <w:bodyDiv w:val="1"/>
      <w:marLeft w:val="0"/>
      <w:marRight w:val="0"/>
      <w:marTop w:val="0"/>
      <w:marBottom w:val="0"/>
      <w:divBdr>
        <w:top w:val="none" w:sz="0" w:space="0" w:color="auto"/>
        <w:left w:val="none" w:sz="0" w:space="0" w:color="auto"/>
        <w:bottom w:val="none" w:sz="0" w:space="0" w:color="auto"/>
        <w:right w:val="none" w:sz="0" w:space="0" w:color="auto"/>
      </w:divBdr>
    </w:div>
    <w:div w:id="1321037536">
      <w:bodyDiv w:val="1"/>
      <w:marLeft w:val="0"/>
      <w:marRight w:val="0"/>
      <w:marTop w:val="0"/>
      <w:marBottom w:val="0"/>
      <w:divBdr>
        <w:top w:val="none" w:sz="0" w:space="0" w:color="auto"/>
        <w:left w:val="none" w:sz="0" w:space="0" w:color="auto"/>
        <w:bottom w:val="none" w:sz="0" w:space="0" w:color="auto"/>
        <w:right w:val="none" w:sz="0" w:space="0" w:color="auto"/>
      </w:divBdr>
    </w:div>
    <w:div w:id="1634093176">
      <w:bodyDiv w:val="1"/>
      <w:marLeft w:val="0"/>
      <w:marRight w:val="0"/>
      <w:marTop w:val="0"/>
      <w:marBottom w:val="0"/>
      <w:divBdr>
        <w:top w:val="none" w:sz="0" w:space="0" w:color="auto"/>
        <w:left w:val="none" w:sz="0" w:space="0" w:color="auto"/>
        <w:bottom w:val="none" w:sz="0" w:space="0" w:color="auto"/>
        <w:right w:val="none" w:sz="0" w:space="0" w:color="auto"/>
      </w:divBdr>
    </w:div>
    <w:div w:id="1753432526">
      <w:bodyDiv w:val="1"/>
      <w:marLeft w:val="0"/>
      <w:marRight w:val="0"/>
      <w:marTop w:val="0"/>
      <w:marBottom w:val="0"/>
      <w:divBdr>
        <w:top w:val="none" w:sz="0" w:space="0" w:color="auto"/>
        <w:left w:val="none" w:sz="0" w:space="0" w:color="auto"/>
        <w:bottom w:val="none" w:sz="0" w:space="0" w:color="auto"/>
        <w:right w:val="none" w:sz="0" w:space="0" w:color="auto"/>
      </w:divBdr>
    </w:div>
    <w:div w:id="191046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2407</Words>
  <Characters>14013</Characters>
  <Application>Microsoft Office Word</Application>
  <DocSecurity>0</DocSecurity>
  <Lines>254</Lines>
  <Paragraphs>91</Paragraphs>
  <ScaleCrop>false</ScaleCrop>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Wilkinson</dc:creator>
  <cp:keywords/>
  <dc:description/>
  <cp:lastModifiedBy>Eleanor Wilkinson</cp:lastModifiedBy>
  <cp:revision>1</cp:revision>
  <dcterms:created xsi:type="dcterms:W3CDTF">2020-10-21T10:13:00Z</dcterms:created>
  <dcterms:modified xsi:type="dcterms:W3CDTF">2020-10-21T10:21:00Z</dcterms:modified>
</cp:coreProperties>
</file>