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EC8" w:rsidRPr="00A81003" w:rsidRDefault="00A81003" w:rsidP="00263BAF">
      <w:pPr>
        <w:jc w:val="center"/>
        <w:rPr>
          <w:b/>
          <w:bCs/>
          <w:sz w:val="24"/>
          <w:szCs w:val="24"/>
        </w:rPr>
      </w:pPr>
      <w:bookmarkStart w:id="0" w:name="_GoBack"/>
      <w:bookmarkEnd w:id="0"/>
      <w:r w:rsidRPr="00A81003">
        <w:rPr>
          <w:b/>
          <w:bCs/>
          <w:sz w:val="24"/>
          <w:szCs w:val="24"/>
        </w:rPr>
        <w:t xml:space="preserve">Predictability </w:t>
      </w:r>
      <w:r w:rsidR="00462265" w:rsidRPr="00A81003">
        <w:rPr>
          <w:b/>
          <w:bCs/>
          <w:sz w:val="24"/>
          <w:szCs w:val="24"/>
        </w:rPr>
        <w:t>of bitcoin returns</w:t>
      </w:r>
    </w:p>
    <w:p w:rsidR="003B4EC8" w:rsidRPr="00A81003" w:rsidRDefault="003B4EC8">
      <w:pPr>
        <w:rPr>
          <w:sz w:val="24"/>
          <w:szCs w:val="24"/>
        </w:rPr>
      </w:pPr>
    </w:p>
    <w:p w:rsidR="00542BCF" w:rsidRPr="00A81003" w:rsidRDefault="00542BCF" w:rsidP="00542BCF">
      <w:pPr>
        <w:jc w:val="center"/>
        <w:rPr>
          <w:sz w:val="24"/>
          <w:szCs w:val="24"/>
        </w:rPr>
      </w:pPr>
    </w:p>
    <w:p w:rsidR="00542BCF" w:rsidRPr="00A81003" w:rsidRDefault="00AA220B" w:rsidP="00542BCF">
      <w:pPr>
        <w:jc w:val="center"/>
        <w:rPr>
          <w:sz w:val="24"/>
          <w:szCs w:val="24"/>
        </w:rPr>
      </w:pPr>
      <w:r>
        <w:rPr>
          <w:sz w:val="24"/>
          <w:szCs w:val="24"/>
        </w:rPr>
        <w:t>July</w:t>
      </w:r>
      <w:r w:rsidR="00307A6E" w:rsidRPr="00A81003">
        <w:rPr>
          <w:sz w:val="24"/>
          <w:szCs w:val="24"/>
        </w:rPr>
        <w:t xml:space="preserve"> </w:t>
      </w:r>
      <w:r w:rsidR="00542BCF" w:rsidRPr="00A81003">
        <w:rPr>
          <w:sz w:val="24"/>
          <w:szCs w:val="24"/>
        </w:rPr>
        <w:t>20</w:t>
      </w:r>
      <w:r w:rsidR="003B3605" w:rsidRPr="00A81003">
        <w:rPr>
          <w:sz w:val="24"/>
          <w:szCs w:val="24"/>
        </w:rPr>
        <w:t>20</w:t>
      </w:r>
    </w:p>
    <w:p w:rsidR="003B4EC8" w:rsidRPr="00A81003" w:rsidRDefault="003B4EC8" w:rsidP="00A931D4">
      <w:pPr>
        <w:rPr>
          <w:sz w:val="24"/>
          <w:szCs w:val="24"/>
        </w:rPr>
      </w:pPr>
    </w:p>
    <w:p w:rsidR="003B4EC8" w:rsidRPr="00A81003" w:rsidRDefault="003B4EC8" w:rsidP="00542BCF">
      <w:pPr>
        <w:jc w:val="center"/>
        <w:rPr>
          <w:sz w:val="24"/>
          <w:szCs w:val="24"/>
        </w:rPr>
      </w:pPr>
    </w:p>
    <w:p w:rsidR="00FC7A06" w:rsidRPr="00A81003" w:rsidRDefault="00FC7A06" w:rsidP="00542BCF">
      <w:pPr>
        <w:jc w:val="center"/>
        <w:rPr>
          <w:sz w:val="24"/>
          <w:szCs w:val="24"/>
        </w:rPr>
      </w:pPr>
    </w:p>
    <w:p w:rsidR="00542BCF" w:rsidRPr="00A81003" w:rsidRDefault="00542BCF" w:rsidP="00542BCF">
      <w:pPr>
        <w:jc w:val="center"/>
        <w:rPr>
          <w:b/>
          <w:bCs/>
          <w:sz w:val="24"/>
          <w:szCs w:val="24"/>
        </w:rPr>
      </w:pPr>
      <w:r w:rsidRPr="00A81003">
        <w:rPr>
          <w:b/>
          <w:bCs/>
          <w:sz w:val="24"/>
          <w:szCs w:val="24"/>
        </w:rPr>
        <w:t>Abstract</w:t>
      </w:r>
    </w:p>
    <w:p w:rsidR="00EC0F88" w:rsidRPr="00A81003" w:rsidRDefault="00EC0F88" w:rsidP="00F0689C">
      <w:pPr>
        <w:jc w:val="both"/>
        <w:rPr>
          <w:sz w:val="24"/>
          <w:szCs w:val="24"/>
        </w:rPr>
      </w:pPr>
    </w:p>
    <w:p w:rsidR="00F87492" w:rsidRPr="00A81003" w:rsidRDefault="00F87492" w:rsidP="00AB3031">
      <w:pPr>
        <w:jc w:val="both"/>
        <w:rPr>
          <w:sz w:val="24"/>
          <w:szCs w:val="24"/>
        </w:rPr>
      </w:pPr>
    </w:p>
    <w:p w:rsidR="00F87492" w:rsidRPr="00A81003" w:rsidRDefault="00F87492" w:rsidP="00AB3031">
      <w:pPr>
        <w:jc w:val="both"/>
        <w:rPr>
          <w:sz w:val="24"/>
          <w:szCs w:val="24"/>
        </w:rPr>
      </w:pPr>
    </w:p>
    <w:p w:rsidR="000708CE" w:rsidRPr="00735D1B" w:rsidRDefault="000708CE" w:rsidP="00AD4513">
      <w:pPr>
        <w:pStyle w:val="Abstract"/>
        <w:jc w:val="both"/>
        <w:rPr>
          <w:b/>
          <w:bCs/>
          <w:sz w:val="22"/>
          <w:szCs w:val="22"/>
        </w:rPr>
      </w:pPr>
      <w:r w:rsidRPr="00735D1B">
        <w:rPr>
          <w:sz w:val="22"/>
          <w:szCs w:val="22"/>
        </w:rPr>
        <w:t xml:space="preserve">This paper comprehensively examines the performance of a host of popular variables to predict Bitcoin returns. We show that time-series momentum, economic policy uncertainty, and financial uncertainty outperform other predictors in all in-sample, out-of-sample, and asset allocation tests. Bitcoin returns have no exposure to common stock and bond market factors but rather are affected by Bitcoin-specific and external uncertainty factors. </w:t>
      </w:r>
    </w:p>
    <w:p w:rsidR="000708CE" w:rsidRPr="00735D1B" w:rsidRDefault="000708CE" w:rsidP="000708CE">
      <w:pPr>
        <w:pStyle w:val="Abstract"/>
        <w:rPr>
          <w:sz w:val="22"/>
          <w:szCs w:val="22"/>
        </w:rPr>
      </w:pPr>
      <w:r w:rsidRPr="00735D1B">
        <w:rPr>
          <w:sz w:val="22"/>
          <w:szCs w:val="22"/>
        </w:rPr>
        <w:t>JEL Classification: C5; G1</w:t>
      </w:r>
    </w:p>
    <w:p w:rsidR="000708CE" w:rsidRPr="00735D1B" w:rsidRDefault="000708CE" w:rsidP="00AD4513">
      <w:pPr>
        <w:pStyle w:val="Abstract"/>
        <w:jc w:val="both"/>
        <w:rPr>
          <w:sz w:val="22"/>
          <w:szCs w:val="22"/>
        </w:rPr>
      </w:pPr>
      <w:r w:rsidRPr="00735D1B">
        <w:rPr>
          <w:sz w:val="22"/>
          <w:szCs w:val="22"/>
        </w:rPr>
        <w:t>Keywords: Bitcoin; Return predictability; Forecasting; Time-series momentum; Certainty equivalent return</w:t>
      </w:r>
    </w:p>
    <w:p w:rsidR="00FF4825" w:rsidRPr="00A81003" w:rsidRDefault="00FF4825">
      <w:pPr>
        <w:rPr>
          <w:sz w:val="24"/>
          <w:szCs w:val="24"/>
        </w:rPr>
      </w:pPr>
    </w:p>
    <w:p w:rsidR="00FF4825" w:rsidRPr="00A81003" w:rsidRDefault="00FF4825">
      <w:pPr>
        <w:rPr>
          <w:sz w:val="24"/>
          <w:szCs w:val="24"/>
        </w:rPr>
      </w:pPr>
    </w:p>
    <w:p w:rsidR="00FF4825" w:rsidRPr="00A81003" w:rsidRDefault="00FF4825">
      <w:pPr>
        <w:rPr>
          <w:sz w:val="24"/>
          <w:szCs w:val="24"/>
        </w:rPr>
      </w:pPr>
    </w:p>
    <w:p w:rsidR="00FF4825" w:rsidRPr="00A81003" w:rsidRDefault="00FF4825">
      <w:pPr>
        <w:rPr>
          <w:sz w:val="24"/>
          <w:szCs w:val="24"/>
        </w:rPr>
      </w:pPr>
    </w:p>
    <w:p w:rsidR="00FF4825" w:rsidRPr="00A81003" w:rsidRDefault="00FF4825">
      <w:pPr>
        <w:rPr>
          <w:sz w:val="24"/>
          <w:szCs w:val="24"/>
        </w:rPr>
      </w:pPr>
    </w:p>
    <w:p w:rsidR="00A931D4" w:rsidRPr="00A81003" w:rsidRDefault="00A931D4">
      <w:pPr>
        <w:rPr>
          <w:sz w:val="24"/>
          <w:szCs w:val="24"/>
        </w:rPr>
      </w:pPr>
    </w:p>
    <w:p w:rsidR="00FF4825" w:rsidRPr="00A81003" w:rsidRDefault="00A81003" w:rsidP="0029520B">
      <w:pPr>
        <w:pStyle w:val="Heading1"/>
        <w:numPr>
          <w:ilvl w:val="0"/>
          <w:numId w:val="1"/>
        </w:numPr>
        <w:adjustRightInd w:val="0"/>
        <w:snapToGrid w:val="0"/>
        <w:spacing w:line="480" w:lineRule="auto"/>
        <w:ind w:left="0" w:firstLine="0"/>
        <w:contextualSpacing w:val="0"/>
        <w:rPr>
          <w:szCs w:val="24"/>
        </w:rPr>
      </w:pPr>
      <w:r>
        <w:rPr>
          <w:szCs w:val="24"/>
        </w:rPr>
        <w:br w:type="page"/>
      </w:r>
      <w:r w:rsidR="00053F6F" w:rsidRPr="00A81003">
        <w:rPr>
          <w:szCs w:val="24"/>
        </w:rPr>
        <w:lastRenderedPageBreak/>
        <w:t>Introduction</w:t>
      </w:r>
    </w:p>
    <w:p w:rsidR="00D56F1E" w:rsidRPr="00A81003" w:rsidRDefault="00D56F1E" w:rsidP="0029520B">
      <w:pPr>
        <w:spacing w:line="480" w:lineRule="auto"/>
        <w:rPr>
          <w:lang w:eastAsia="en-GB"/>
        </w:rPr>
      </w:pPr>
    </w:p>
    <w:p w:rsidR="00040308" w:rsidRPr="00A81003" w:rsidRDefault="00CE1069" w:rsidP="0029520B">
      <w:pPr>
        <w:pStyle w:val="ListParagraph"/>
        <w:tabs>
          <w:tab w:val="left" w:pos="0"/>
        </w:tabs>
        <w:adjustRightInd w:val="0"/>
        <w:snapToGrid w:val="0"/>
        <w:spacing w:after="0" w:line="480" w:lineRule="auto"/>
        <w:ind w:right="720"/>
        <w:contextualSpacing w:val="0"/>
        <w:jc w:val="both"/>
        <w:rPr>
          <w:sz w:val="24"/>
          <w:szCs w:val="24"/>
        </w:rPr>
      </w:pPr>
      <w:r>
        <w:rPr>
          <w:sz w:val="24"/>
          <w:szCs w:val="24"/>
        </w:rPr>
        <w:t>“</w:t>
      </w:r>
      <w:r w:rsidR="00C05355" w:rsidRPr="00A81003">
        <w:rPr>
          <w:sz w:val="24"/>
          <w:szCs w:val="24"/>
        </w:rPr>
        <w:t>One of the earliest and most enduring questions of financial econometrics is whether financial asset prices are forecastable.</w:t>
      </w:r>
      <w:r w:rsidR="003D7DAB" w:rsidRPr="00A81003">
        <w:rPr>
          <w:sz w:val="24"/>
          <w:szCs w:val="24"/>
        </w:rPr>
        <w:t xml:space="preserve"> </w:t>
      </w:r>
      <w:r w:rsidR="00C05355" w:rsidRPr="00A81003">
        <w:rPr>
          <w:sz w:val="24"/>
          <w:szCs w:val="24"/>
        </w:rPr>
        <w:t>Indeed, modern financial economics is firmly rooted in early attempts to</w:t>
      </w:r>
      <w:r w:rsidR="00040308" w:rsidRPr="00A81003">
        <w:rPr>
          <w:sz w:val="24"/>
          <w:szCs w:val="24"/>
        </w:rPr>
        <w:t xml:space="preserve"> </w:t>
      </w:r>
      <w:r w:rsidR="000D73A3" w:rsidRPr="00A81003">
        <w:rPr>
          <w:sz w:val="24"/>
          <w:szCs w:val="24"/>
        </w:rPr>
        <w:t>‘</w:t>
      </w:r>
      <w:r w:rsidR="00C05355" w:rsidRPr="00A81003">
        <w:rPr>
          <w:sz w:val="24"/>
          <w:szCs w:val="24"/>
        </w:rPr>
        <w:t>beat the market</w:t>
      </w:r>
      <w:r w:rsidR="000D73A3" w:rsidRPr="00A81003">
        <w:rPr>
          <w:sz w:val="24"/>
          <w:szCs w:val="24"/>
        </w:rPr>
        <w:t>’</w:t>
      </w:r>
      <w:r w:rsidR="00C05355" w:rsidRPr="00A81003">
        <w:rPr>
          <w:sz w:val="24"/>
          <w:szCs w:val="24"/>
        </w:rPr>
        <w:t>, an endeavo</w:t>
      </w:r>
      <w:r w:rsidR="00E673A4" w:rsidRPr="00A81003">
        <w:rPr>
          <w:sz w:val="24"/>
          <w:szCs w:val="24"/>
        </w:rPr>
        <w:t>u</w:t>
      </w:r>
      <w:r w:rsidR="00C05355" w:rsidRPr="00A81003">
        <w:rPr>
          <w:sz w:val="24"/>
          <w:szCs w:val="24"/>
        </w:rPr>
        <w:t>r that is still of current interest, discussed and debated in journal articles, conf</w:t>
      </w:r>
      <w:r w:rsidR="003D7DAB" w:rsidRPr="00A81003">
        <w:rPr>
          <w:sz w:val="24"/>
          <w:szCs w:val="24"/>
        </w:rPr>
        <w:t>erences, and cocktail parties</w:t>
      </w:r>
      <w:r>
        <w:rPr>
          <w:sz w:val="24"/>
          <w:szCs w:val="24"/>
        </w:rPr>
        <w:t>”</w:t>
      </w:r>
      <w:r w:rsidR="00C05355" w:rsidRPr="00A81003">
        <w:rPr>
          <w:sz w:val="24"/>
          <w:szCs w:val="24"/>
        </w:rPr>
        <w:t xml:space="preserve"> (</w:t>
      </w:r>
      <w:r w:rsidR="00807396" w:rsidRPr="00A81003">
        <w:rPr>
          <w:sz w:val="24"/>
          <w:szCs w:val="24"/>
        </w:rPr>
        <w:t>Campbell</w:t>
      </w:r>
      <w:r w:rsidR="002A71BD" w:rsidRPr="00A81003">
        <w:rPr>
          <w:sz w:val="24"/>
          <w:szCs w:val="24"/>
        </w:rPr>
        <w:t xml:space="preserve"> et al</w:t>
      </w:r>
      <w:r w:rsidR="00A54616">
        <w:rPr>
          <w:sz w:val="24"/>
          <w:szCs w:val="24"/>
        </w:rPr>
        <w:t>.</w:t>
      </w:r>
      <w:r w:rsidR="000D73A3" w:rsidRPr="00A81003">
        <w:rPr>
          <w:sz w:val="24"/>
          <w:szCs w:val="24"/>
        </w:rPr>
        <w:t>,</w:t>
      </w:r>
      <w:r w:rsidR="00807396" w:rsidRPr="00A81003">
        <w:rPr>
          <w:sz w:val="24"/>
          <w:szCs w:val="24"/>
        </w:rPr>
        <w:t xml:space="preserve"> 1997</w:t>
      </w:r>
      <w:r w:rsidR="00C05355" w:rsidRPr="00A81003">
        <w:rPr>
          <w:sz w:val="24"/>
          <w:szCs w:val="24"/>
        </w:rPr>
        <w:t xml:space="preserve">, </w:t>
      </w:r>
      <w:r w:rsidR="00E26DCD" w:rsidRPr="00A81003">
        <w:rPr>
          <w:sz w:val="24"/>
          <w:szCs w:val="24"/>
        </w:rPr>
        <w:t>p</w:t>
      </w:r>
      <w:r w:rsidR="000D73A3" w:rsidRPr="00A81003">
        <w:rPr>
          <w:sz w:val="24"/>
          <w:szCs w:val="24"/>
        </w:rPr>
        <w:t>.</w:t>
      </w:r>
      <w:r w:rsidR="00E26DCD" w:rsidRPr="00A81003">
        <w:rPr>
          <w:sz w:val="24"/>
          <w:szCs w:val="24"/>
        </w:rPr>
        <w:t>27</w:t>
      </w:r>
      <w:r w:rsidR="00C05355" w:rsidRPr="00A81003">
        <w:rPr>
          <w:sz w:val="24"/>
          <w:szCs w:val="24"/>
        </w:rPr>
        <w:t>).</w:t>
      </w:r>
      <w:r w:rsidR="001133BB" w:rsidRPr="00A81003">
        <w:rPr>
          <w:sz w:val="24"/>
          <w:szCs w:val="24"/>
        </w:rPr>
        <w:t xml:space="preserve"> </w:t>
      </w:r>
    </w:p>
    <w:p w:rsidR="00040308" w:rsidRPr="00A81003" w:rsidRDefault="00040308" w:rsidP="0029520B">
      <w:pPr>
        <w:pStyle w:val="ListParagraph"/>
        <w:tabs>
          <w:tab w:val="left" w:pos="0"/>
        </w:tabs>
        <w:adjustRightInd w:val="0"/>
        <w:snapToGrid w:val="0"/>
        <w:spacing w:after="0" w:line="480" w:lineRule="auto"/>
        <w:ind w:right="720"/>
        <w:contextualSpacing w:val="0"/>
        <w:jc w:val="both"/>
        <w:rPr>
          <w:sz w:val="24"/>
          <w:szCs w:val="24"/>
        </w:rPr>
      </w:pPr>
    </w:p>
    <w:p w:rsidR="008527CF" w:rsidRPr="00A81003" w:rsidRDefault="008527CF" w:rsidP="0029520B">
      <w:pPr>
        <w:pStyle w:val="ListParagraph"/>
        <w:tabs>
          <w:tab w:val="left" w:pos="0"/>
        </w:tabs>
        <w:adjustRightInd w:val="0"/>
        <w:snapToGrid w:val="0"/>
        <w:spacing w:after="0" w:line="480" w:lineRule="auto"/>
        <w:ind w:left="0" w:firstLine="720"/>
        <w:contextualSpacing w:val="0"/>
        <w:jc w:val="both"/>
        <w:rPr>
          <w:sz w:val="24"/>
          <w:szCs w:val="24"/>
        </w:rPr>
      </w:pPr>
      <w:r w:rsidRPr="00A81003">
        <w:rPr>
          <w:sz w:val="24"/>
          <w:szCs w:val="24"/>
        </w:rPr>
        <w:t>In line with such efforts</w:t>
      </w:r>
      <w:r w:rsidR="00D4436E" w:rsidRPr="00A81003">
        <w:rPr>
          <w:sz w:val="24"/>
          <w:szCs w:val="24"/>
        </w:rPr>
        <w:t>,</w:t>
      </w:r>
      <w:r w:rsidR="00B01BA8" w:rsidRPr="00A81003">
        <w:rPr>
          <w:sz w:val="24"/>
          <w:szCs w:val="24"/>
        </w:rPr>
        <w:t xml:space="preserve"> </w:t>
      </w:r>
      <w:r w:rsidRPr="00A81003">
        <w:rPr>
          <w:sz w:val="24"/>
          <w:szCs w:val="24"/>
        </w:rPr>
        <w:t>this paper</w:t>
      </w:r>
      <w:r w:rsidR="00102EEA" w:rsidRPr="00A81003">
        <w:rPr>
          <w:sz w:val="24"/>
          <w:szCs w:val="24"/>
        </w:rPr>
        <w:t xml:space="preserve"> </w:t>
      </w:r>
      <w:r w:rsidRPr="00A81003">
        <w:rPr>
          <w:sz w:val="24"/>
          <w:szCs w:val="24"/>
        </w:rPr>
        <w:t xml:space="preserve">aims </w:t>
      </w:r>
      <w:r w:rsidR="00102EEA" w:rsidRPr="00A81003">
        <w:rPr>
          <w:sz w:val="24"/>
          <w:szCs w:val="24"/>
        </w:rPr>
        <w:t xml:space="preserve">to </w:t>
      </w:r>
      <w:r w:rsidR="00D32284" w:rsidRPr="00A81003">
        <w:rPr>
          <w:sz w:val="24"/>
          <w:szCs w:val="24"/>
        </w:rPr>
        <w:t>identify</w:t>
      </w:r>
      <w:r w:rsidR="00A0792C" w:rsidRPr="00A81003">
        <w:rPr>
          <w:sz w:val="24"/>
          <w:szCs w:val="24"/>
        </w:rPr>
        <w:t xml:space="preserve"> </w:t>
      </w:r>
      <w:r w:rsidR="002877A2" w:rsidRPr="00A81003">
        <w:rPr>
          <w:sz w:val="24"/>
          <w:szCs w:val="24"/>
        </w:rPr>
        <w:t xml:space="preserve">Bitcoin return </w:t>
      </w:r>
      <w:r w:rsidR="00594B59" w:rsidRPr="00A81003">
        <w:rPr>
          <w:sz w:val="24"/>
          <w:szCs w:val="24"/>
        </w:rPr>
        <w:t>predictor</w:t>
      </w:r>
      <w:r w:rsidR="00D32284" w:rsidRPr="00A81003">
        <w:rPr>
          <w:sz w:val="24"/>
          <w:szCs w:val="24"/>
        </w:rPr>
        <w:t xml:space="preserve">s </w:t>
      </w:r>
      <w:r w:rsidR="00102EEA" w:rsidRPr="00A81003">
        <w:rPr>
          <w:sz w:val="24"/>
          <w:szCs w:val="24"/>
        </w:rPr>
        <w:t>using</w:t>
      </w:r>
      <w:r w:rsidR="00A0792C" w:rsidRPr="00A81003">
        <w:rPr>
          <w:sz w:val="24"/>
          <w:szCs w:val="24"/>
        </w:rPr>
        <w:t xml:space="preserve"> approach</w:t>
      </w:r>
      <w:r w:rsidR="00D4436E" w:rsidRPr="00A81003">
        <w:rPr>
          <w:sz w:val="24"/>
          <w:szCs w:val="24"/>
        </w:rPr>
        <w:t>es</w:t>
      </w:r>
      <w:r w:rsidR="00A0792C" w:rsidRPr="00A81003">
        <w:rPr>
          <w:sz w:val="24"/>
          <w:szCs w:val="24"/>
        </w:rPr>
        <w:t xml:space="preserve"> </w:t>
      </w:r>
      <w:r w:rsidR="00E673A4" w:rsidRPr="00A81003">
        <w:rPr>
          <w:sz w:val="24"/>
          <w:szCs w:val="24"/>
        </w:rPr>
        <w:t xml:space="preserve">by </w:t>
      </w:r>
      <w:r w:rsidR="00A0792C" w:rsidRPr="00A81003">
        <w:rPr>
          <w:sz w:val="24"/>
          <w:szCs w:val="24"/>
        </w:rPr>
        <w:t xml:space="preserve">Welch and Goyal </w:t>
      </w:r>
      <w:r w:rsidR="001B0F39" w:rsidRPr="00A81003">
        <w:rPr>
          <w:sz w:val="24"/>
          <w:szCs w:val="24"/>
        </w:rPr>
        <w:t>(2008</w:t>
      </w:r>
      <w:r w:rsidR="00E673A4" w:rsidRPr="00A81003">
        <w:rPr>
          <w:sz w:val="24"/>
          <w:szCs w:val="24"/>
        </w:rPr>
        <w:t>)</w:t>
      </w:r>
      <w:r w:rsidR="00AD4513">
        <w:rPr>
          <w:sz w:val="24"/>
          <w:szCs w:val="24"/>
        </w:rPr>
        <w:t>,</w:t>
      </w:r>
      <w:r w:rsidR="00E673A4" w:rsidRPr="00A81003">
        <w:rPr>
          <w:sz w:val="24"/>
          <w:szCs w:val="24"/>
        </w:rPr>
        <w:t xml:space="preserve"> </w:t>
      </w:r>
      <w:proofErr w:type="spellStart"/>
      <w:r w:rsidR="00A0792C" w:rsidRPr="00A81003">
        <w:rPr>
          <w:sz w:val="24"/>
          <w:szCs w:val="24"/>
        </w:rPr>
        <w:t>Rapach</w:t>
      </w:r>
      <w:proofErr w:type="spellEnd"/>
      <w:r w:rsidR="003268C0" w:rsidRPr="00A81003">
        <w:rPr>
          <w:sz w:val="24"/>
          <w:szCs w:val="24"/>
        </w:rPr>
        <w:t xml:space="preserve"> </w:t>
      </w:r>
      <w:r w:rsidR="00AD4513">
        <w:rPr>
          <w:sz w:val="24"/>
          <w:szCs w:val="24"/>
        </w:rPr>
        <w:t>and Zhou</w:t>
      </w:r>
      <w:r w:rsidRPr="00A81003">
        <w:rPr>
          <w:sz w:val="24"/>
          <w:szCs w:val="24"/>
        </w:rPr>
        <w:t xml:space="preserve"> </w:t>
      </w:r>
      <w:r w:rsidR="004C02EB" w:rsidRPr="004C02EB">
        <w:rPr>
          <w:noProof/>
          <w:sz w:val="24"/>
          <w:szCs w:val="24"/>
        </w:rPr>
        <w:t>(2013)</w:t>
      </w:r>
      <w:r w:rsidR="00AD4513">
        <w:rPr>
          <w:sz w:val="24"/>
          <w:szCs w:val="24"/>
        </w:rPr>
        <w:t>,</w:t>
      </w:r>
      <w:r w:rsidR="0073399C" w:rsidRPr="00A81003">
        <w:rPr>
          <w:sz w:val="24"/>
          <w:szCs w:val="24"/>
        </w:rPr>
        <w:t xml:space="preserve"> </w:t>
      </w:r>
      <w:r w:rsidR="00A0792C" w:rsidRPr="00A81003">
        <w:rPr>
          <w:sz w:val="24"/>
          <w:szCs w:val="24"/>
        </w:rPr>
        <w:t xml:space="preserve">and </w:t>
      </w:r>
      <w:proofErr w:type="spellStart"/>
      <w:r w:rsidR="00A0792C" w:rsidRPr="00A81003">
        <w:rPr>
          <w:sz w:val="24"/>
          <w:szCs w:val="24"/>
        </w:rPr>
        <w:t>Rapach</w:t>
      </w:r>
      <w:proofErr w:type="spellEnd"/>
      <w:r w:rsidR="003268C0" w:rsidRPr="00A81003">
        <w:rPr>
          <w:sz w:val="24"/>
          <w:szCs w:val="24"/>
        </w:rPr>
        <w:t xml:space="preserve"> et al.</w:t>
      </w:r>
      <w:r w:rsidR="00A0792C" w:rsidRPr="00A81003">
        <w:rPr>
          <w:sz w:val="24"/>
          <w:szCs w:val="24"/>
        </w:rPr>
        <w:t xml:space="preserve"> </w:t>
      </w:r>
      <w:r w:rsidR="004953E6" w:rsidRPr="00A81003">
        <w:rPr>
          <w:sz w:val="24"/>
          <w:szCs w:val="24"/>
        </w:rPr>
        <w:t>(2016)</w:t>
      </w:r>
      <w:r w:rsidR="001B4DE2" w:rsidRPr="00A81003">
        <w:rPr>
          <w:sz w:val="24"/>
          <w:szCs w:val="24"/>
        </w:rPr>
        <w:t xml:space="preserve">. </w:t>
      </w:r>
      <w:r w:rsidR="00040308" w:rsidRPr="00A81003">
        <w:rPr>
          <w:sz w:val="24"/>
          <w:szCs w:val="24"/>
        </w:rPr>
        <w:t>A</w:t>
      </w:r>
      <w:r w:rsidR="002877A2" w:rsidRPr="00A81003">
        <w:rPr>
          <w:sz w:val="24"/>
          <w:szCs w:val="24"/>
        </w:rPr>
        <w:t>mong the financial asset</w:t>
      </w:r>
      <w:r w:rsidRPr="00A81003">
        <w:rPr>
          <w:sz w:val="24"/>
          <w:szCs w:val="24"/>
        </w:rPr>
        <w:t xml:space="preserve"> classes</w:t>
      </w:r>
      <w:r w:rsidR="002877A2" w:rsidRPr="00A81003">
        <w:rPr>
          <w:sz w:val="24"/>
          <w:szCs w:val="24"/>
        </w:rPr>
        <w:t xml:space="preserve">, </w:t>
      </w:r>
      <w:r w:rsidR="00040308" w:rsidRPr="00A81003">
        <w:rPr>
          <w:sz w:val="24"/>
          <w:szCs w:val="24"/>
        </w:rPr>
        <w:t xml:space="preserve">Bitcoin has emerged </w:t>
      </w:r>
      <w:r w:rsidR="002877A2" w:rsidRPr="00A81003">
        <w:rPr>
          <w:sz w:val="24"/>
          <w:szCs w:val="24"/>
        </w:rPr>
        <w:t>as the most popular digital financial asset</w:t>
      </w:r>
      <w:r w:rsidR="00F337B5" w:rsidRPr="00A81003">
        <w:rPr>
          <w:sz w:val="24"/>
          <w:szCs w:val="24"/>
        </w:rPr>
        <w:t xml:space="preserve"> and </w:t>
      </w:r>
      <w:r w:rsidR="005A3416" w:rsidRPr="00A81003">
        <w:rPr>
          <w:sz w:val="24"/>
          <w:szCs w:val="24"/>
        </w:rPr>
        <w:t xml:space="preserve">has </w:t>
      </w:r>
      <w:r w:rsidR="00F337B5" w:rsidRPr="00A81003">
        <w:rPr>
          <w:sz w:val="24"/>
          <w:szCs w:val="24"/>
        </w:rPr>
        <w:t xml:space="preserve">attracted wide interest from market participants and researchers </w:t>
      </w:r>
      <w:r w:rsidR="0036294D" w:rsidRPr="00A81003">
        <w:rPr>
          <w:sz w:val="24"/>
          <w:szCs w:val="24"/>
        </w:rPr>
        <w:t>(An and Rau</w:t>
      </w:r>
      <w:r w:rsidR="00D34BD8">
        <w:rPr>
          <w:sz w:val="24"/>
          <w:szCs w:val="24"/>
        </w:rPr>
        <w:t>,</w:t>
      </w:r>
      <w:r w:rsidR="0036294D" w:rsidRPr="00A81003">
        <w:rPr>
          <w:sz w:val="24"/>
          <w:szCs w:val="24"/>
        </w:rPr>
        <w:t xml:space="preserve"> 2019; </w:t>
      </w:r>
      <w:proofErr w:type="spellStart"/>
      <w:r w:rsidR="00862EDA" w:rsidRPr="00A81003">
        <w:rPr>
          <w:sz w:val="24"/>
          <w:szCs w:val="24"/>
        </w:rPr>
        <w:t>Momtaz</w:t>
      </w:r>
      <w:proofErr w:type="spellEnd"/>
      <w:r w:rsidR="00D34BD8">
        <w:rPr>
          <w:sz w:val="24"/>
          <w:szCs w:val="24"/>
        </w:rPr>
        <w:t>,</w:t>
      </w:r>
      <w:r w:rsidR="00862EDA" w:rsidRPr="00A81003">
        <w:rPr>
          <w:sz w:val="24"/>
          <w:szCs w:val="24"/>
        </w:rPr>
        <w:t xml:space="preserve"> 2019; </w:t>
      </w:r>
      <w:r w:rsidR="0036294D" w:rsidRPr="00A81003">
        <w:rPr>
          <w:sz w:val="24"/>
          <w:szCs w:val="24"/>
        </w:rPr>
        <w:t>Shi and Shi</w:t>
      </w:r>
      <w:r w:rsidR="00D34BD8">
        <w:rPr>
          <w:sz w:val="24"/>
          <w:szCs w:val="24"/>
        </w:rPr>
        <w:t>,</w:t>
      </w:r>
      <w:r w:rsidR="0036294D" w:rsidRPr="00A81003">
        <w:rPr>
          <w:sz w:val="24"/>
          <w:szCs w:val="24"/>
        </w:rPr>
        <w:t xml:space="preserve"> 2019)</w:t>
      </w:r>
      <w:r w:rsidR="002877A2" w:rsidRPr="00A81003">
        <w:rPr>
          <w:sz w:val="24"/>
          <w:szCs w:val="24"/>
        </w:rPr>
        <w:t xml:space="preserve">. </w:t>
      </w:r>
      <w:r w:rsidRPr="00A81003">
        <w:rPr>
          <w:sz w:val="24"/>
          <w:szCs w:val="24"/>
        </w:rPr>
        <w:t xml:space="preserve">It has </w:t>
      </w:r>
      <w:r w:rsidR="005A3416" w:rsidRPr="00A81003">
        <w:rPr>
          <w:sz w:val="24"/>
          <w:szCs w:val="24"/>
        </w:rPr>
        <w:t xml:space="preserve">also </w:t>
      </w:r>
      <w:r w:rsidRPr="00A81003">
        <w:rPr>
          <w:sz w:val="24"/>
          <w:szCs w:val="24"/>
        </w:rPr>
        <w:t xml:space="preserve">been </w:t>
      </w:r>
      <w:r w:rsidR="005A3416" w:rsidRPr="00A81003">
        <w:rPr>
          <w:sz w:val="24"/>
          <w:szCs w:val="24"/>
        </w:rPr>
        <w:t xml:space="preserve">broadly </w:t>
      </w:r>
      <w:r w:rsidR="002877A2" w:rsidRPr="00A81003">
        <w:rPr>
          <w:sz w:val="24"/>
          <w:szCs w:val="24"/>
        </w:rPr>
        <w:t>used as an alternative to traditional currencies to facilitate trade among criminals, fraudsters</w:t>
      </w:r>
      <w:r w:rsidR="008134B8" w:rsidRPr="00A81003">
        <w:rPr>
          <w:sz w:val="24"/>
          <w:szCs w:val="24"/>
        </w:rPr>
        <w:t>,</w:t>
      </w:r>
      <w:r w:rsidR="002877A2" w:rsidRPr="00A81003">
        <w:rPr>
          <w:sz w:val="24"/>
          <w:szCs w:val="24"/>
        </w:rPr>
        <w:t xml:space="preserve"> and money launderers (Ju</w:t>
      </w:r>
      <w:r w:rsidR="003268C0" w:rsidRPr="00A81003">
        <w:rPr>
          <w:sz w:val="24"/>
          <w:szCs w:val="24"/>
        </w:rPr>
        <w:t xml:space="preserve"> et al</w:t>
      </w:r>
      <w:r w:rsidR="00B67D27">
        <w:rPr>
          <w:sz w:val="24"/>
          <w:szCs w:val="24"/>
        </w:rPr>
        <w:t>.</w:t>
      </w:r>
      <w:r w:rsidR="002877A2" w:rsidRPr="00A81003">
        <w:rPr>
          <w:sz w:val="24"/>
          <w:szCs w:val="24"/>
        </w:rPr>
        <w:t xml:space="preserve">, 2016). </w:t>
      </w:r>
      <w:r w:rsidR="005A3416" w:rsidRPr="00A81003">
        <w:rPr>
          <w:sz w:val="24"/>
          <w:szCs w:val="24"/>
        </w:rPr>
        <w:t>However</w:t>
      </w:r>
      <w:r w:rsidR="00040308" w:rsidRPr="00A81003">
        <w:rPr>
          <w:sz w:val="24"/>
          <w:szCs w:val="24"/>
        </w:rPr>
        <w:t xml:space="preserve">, </w:t>
      </w:r>
      <w:r w:rsidR="002877A2" w:rsidRPr="00A81003">
        <w:rPr>
          <w:sz w:val="24"/>
          <w:szCs w:val="24"/>
        </w:rPr>
        <w:t xml:space="preserve">Bitcoin </w:t>
      </w:r>
      <w:r w:rsidR="005A3416" w:rsidRPr="00A81003">
        <w:rPr>
          <w:sz w:val="24"/>
          <w:szCs w:val="24"/>
        </w:rPr>
        <w:t xml:space="preserve">has been increasingly </w:t>
      </w:r>
      <w:r w:rsidR="002877A2" w:rsidRPr="00A81003">
        <w:rPr>
          <w:sz w:val="24"/>
          <w:szCs w:val="24"/>
        </w:rPr>
        <w:t>used to speculate rather than transact</w:t>
      </w:r>
      <w:r w:rsidR="005A3416" w:rsidRPr="00A81003">
        <w:rPr>
          <w:sz w:val="24"/>
          <w:szCs w:val="24"/>
        </w:rPr>
        <w:t>; t</w:t>
      </w:r>
      <w:r w:rsidR="002877A2" w:rsidRPr="00A81003">
        <w:rPr>
          <w:sz w:val="24"/>
          <w:szCs w:val="24"/>
        </w:rPr>
        <w:t xml:space="preserve">he </w:t>
      </w:r>
      <w:r w:rsidR="005A3416" w:rsidRPr="00A81003">
        <w:rPr>
          <w:sz w:val="24"/>
          <w:szCs w:val="24"/>
        </w:rPr>
        <w:t xml:space="preserve">recent </w:t>
      </w:r>
      <w:r w:rsidR="002877A2" w:rsidRPr="00A81003">
        <w:rPr>
          <w:sz w:val="24"/>
          <w:szCs w:val="24"/>
        </w:rPr>
        <w:t>fact that</w:t>
      </w:r>
      <w:r w:rsidRPr="00A81003">
        <w:rPr>
          <w:sz w:val="24"/>
          <w:szCs w:val="24"/>
        </w:rPr>
        <w:t xml:space="preserve"> </w:t>
      </w:r>
      <w:r w:rsidR="002877A2" w:rsidRPr="00A81003">
        <w:rPr>
          <w:sz w:val="24"/>
          <w:szCs w:val="24"/>
        </w:rPr>
        <w:t xml:space="preserve">73% of Bitcoin </w:t>
      </w:r>
      <w:r w:rsidR="00862EDA" w:rsidRPr="00A81003">
        <w:rPr>
          <w:sz w:val="24"/>
          <w:szCs w:val="24"/>
        </w:rPr>
        <w:t xml:space="preserve">is </w:t>
      </w:r>
      <w:r w:rsidR="002877A2" w:rsidRPr="00A81003">
        <w:rPr>
          <w:sz w:val="24"/>
          <w:szCs w:val="24"/>
        </w:rPr>
        <w:t>held in dormant accounts supports this view (</w:t>
      </w:r>
      <w:proofErr w:type="spellStart"/>
      <w:r w:rsidR="002877A2" w:rsidRPr="00A81003">
        <w:rPr>
          <w:sz w:val="24"/>
          <w:szCs w:val="24"/>
        </w:rPr>
        <w:t>Böhme</w:t>
      </w:r>
      <w:proofErr w:type="spellEnd"/>
      <w:r w:rsidR="002877A2" w:rsidRPr="00A81003">
        <w:rPr>
          <w:sz w:val="24"/>
          <w:szCs w:val="24"/>
        </w:rPr>
        <w:t xml:space="preserve"> </w:t>
      </w:r>
      <w:r w:rsidR="003268C0" w:rsidRPr="00A81003">
        <w:rPr>
          <w:sz w:val="24"/>
          <w:szCs w:val="24"/>
        </w:rPr>
        <w:t>et al</w:t>
      </w:r>
      <w:r w:rsidR="00B67D27">
        <w:rPr>
          <w:sz w:val="24"/>
          <w:szCs w:val="24"/>
        </w:rPr>
        <w:t>.</w:t>
      </w:r>
      <w:r w:rsidR="002877A2" w:rsidRPr="00A81003">
        <w:rPr>
          <w:sz w:val="24"/>
          <w:szCs w:val="24"/>
        </w:rPr>
        <w:t>, 2015; Weber</w:t>
      </w:r>
      <w:r w:rsidR="005E491C">
        <w:rPr>
          <w:sz w:val="24"/>
          <w:szCs w:val="24"/>
        </w:rPr>
        <w:t>,</w:t>
      </w:r>
      <w:r w:rsidR="002877A2" w:rsidRPr="00A81003">
        <w:rPr>
          <w:sz w:val="24"/>
          <w:szCs w:val="24"/>
        </w:rPr>
        <w:t xml:space="preserve"> 2016). </w:t>
      </w:r>
    </w:p>
    <w:p w:rsidR="00AD4513" w:rsidRPr="00A81003" w:rsidRDefault="005A3416" w:rsidP="00AD4513">
      <w:pPr>
        <w:pStyle w:val="ListParagraph"/>
        <w:tabs>
          <w:tab w:val="left" w:pos="0"/>
        </w:tabs>
        <w:adjustRightInd w:val="0"/>
        <w:snapToGrid w:val="0"/>
        <w:spacing w:after="0" w:line="480" w:lineRule="auto"/>
        <w:ind w:left="0" w:firstLine="720"/>
        <w:contextualSpacing w:val="0"/>
        <w:jc w:val="both"/>
        <w:rPr>
          <w:sz w:val="24"/>
          <w:szCs w:val="24"/>
        </w:rPr>
      </w:pPr>
      <w:r w:rsidRPr="00A81003">
        <w:rPr>
          <w:sz w:val="24"/>
          <w:szCs w:val="24"/>
        </w:rPr>
        <w:t xml:space="preserve">As with </w:t>
      </w:r>
      <w:r w:rsidR="008527CF" w:rsidRPr="00A81003">
        <w:rPr>
          <w:sz w:val="24"/>
          <w:szCs w:val="24"/>
        </w:rPr>
        <w:t>any other</w:t>
      </w:r>
      <w:r w:rsidRPr="00A81003">
        <w:rPr>
          <w:sz w:val="24"/>
          <w:szCs w:val="24"/>
        </w:rPr>
        <w:t xml:space="preserve"> currency</w:t>
      </w:r>
      <w:r w:rsidR="008527CF" w:rsidRPr="00A81003">
        <w:rPr>
          <w:sz w:val="24"/>
          <w:szCs w:val="24"/>
        </w:rPr>
        <w:t>, s</w:t>
      </w:r>
      <w:r w:rsidR="002877A2" w:rsidRPr="00A81003">
        <w:rPr>
          <w:sz w:val="24"/>
          <w:szCs w:val="24"/>
        </w:rPr>
        <w:t>peculative investors in Bitcoin require reliable predictors to identify arbitrage opportunities</w:t>
      </w:r>
      <w:r w:rsidR="005847C0" w:rsidRPr="00A81003">
        <w:rPr>
          <w:sz w:val="24"/>
          <w:szCs w:val="24"/>
        </w:rPr>
        <w:t>, and few studies t</w:t>
      </w:r>
      <w:r w:rsidR="00915A8C" w:rsidRPr="00A81003">
        <w:rPr>
          <w:sz w:val="24"/>
          <w:szCs w:val="24"/>
        </w:rPr>
        <w:t xml:space="preserve">o </w:t>
      </w:r>
      <w:r w:rsidR="008527CF" w:rsidRPr="00A81003">
        <w:rPr>
          <w:sz w:val="24"/>
          <w:szCs w:val="24"/>
        </w:rPr>
        <w:t xml:space="preserve">the </w:t>
      </w:r>
      <w:r w:rsidR="00915A8C" w:rsidRPr="00A81003">
        <w:rPr>
          <w:sz w:val="24"/>
          <w:szCs w:val="24"/>
        </w:rPr>
        <w:t xml:space="preserve">best </w:t>
      </w:r>
      <w:r w:rsidR="008527CF" w:rsidRPr="00A81003">
        <w:rPr>
          <w:sz w:val="24"/>
          <w:szCs w:val="24"/>
        </w:rPr>
        <w:t xml:space="preserve">of our </w:t>
      </w:r>
      <w:r w:rsidR="00915A8C" w:rsidRPr="00A81003">
        <w:rPr>
          <w:sz w:val="24"/>
          <w:szCs w:val="24"/>
        </w:rPr>
        <w:t xml:space="preserve">knowledge have attempted to identify </w:t>
      </w:r>
      <w:r w:rsidR="008527CF" w:rsidRPr="00A81003">
        <w:rPr>
          <w:sz w:val="24"/>
          <w:szCs w:val="24"/>
        </w:rPr>
        <w:t xml:space="preserve">such </w:t>
      </w:r>
      <w:r w:rsidR="00915A8C" w:rsidRPr="00A81003">
        <w:rPr>
          <w:sz w:val="24"/>
          <w:szCs w:val="24"/>
        </w:rPr>
        <w:t xml:space="preserve">factors. </w:t>
      </w:r>
      <w:r w:rsidR="00C72FAF" w:rsidRPr="00A81003">
        <w:rPr>
          <w:sz w:val="24"/>
          <w:szCs w:val="24"/>
        </w:rPr>
        <w:t>This could be link</w:t>
      </w:r>
      <w:r w:rsidR="008527CF" w:rsidRPr="00A81003">
        <w:rPr>
          <w:sz w:val="24"/>
          <w:szCs w:val="24"/>
        </w:rPr>
        <w:t>ed</w:t>
      </w:r>
      <w:r w:rsidR="00C72FAF" w:rsidRPr="00A81003">
        <w:rPr>
          <w:sz w:val="24"/>
          <w:szCs w:val="24"/>
        </w:rPr>
        <w:t xml:space="preserve"> to the </w:t>
      </w:r>
      <w:r w:rsidR="008527CF" w:rsidRPr="00A81003">
        <w:rPr>
          <w:sz w:val="24"/>
          <w:szCs w:val="24"/>
        </w:rPr>
        <w:t xml:space="preserve">supposition </w:t>
      </w:r>
      <w:r w:rsidR="00C72FAF" w:rsidRPr="00A81003">
        <w:rPr>
          <w:sz w:val="24"/>
          <w:szCs w:val="24"/>
        </w:rPr>
        <w:t xml:space="preserve">that Bitcoin returns </w:t>
      </w:r>
      <w:r w:rsidR="008527CF" w:rsidRPr="00A81003">
        <w:rPr>
          <w:sz w:val="24"/>
          <w:szCs w:val="24"/>
        </w:rPr>
        <w:t xml:space="preserve">may be </w:t>
      </w:r>
      <w:r w:rsidR="00C72FAF" w:rsidRPr="00A81003">
        <w:rPr>
          <w:sz w:val="24"/>
          <w:szCs w:val="24"/>
        </w:rPr>
        <w:t xml:space="preserve">highly volatile </w:t>
      </w:r>
      <w:r w:rsidR="00063669" w:rsidRPr="00A81003">
        <w:rPr>
          <w:sz w:val="24"/>
          <w:szCs w:val="24"/>
        </w:rPr>
        <w:t>(</w:t>
      </w:r>
      <w:proofErr w:type="spellStart"/>
      <w:r w:rsidR="00063669" w:rsidRPr="00A81003">
        <w:rPr>
          <w:sz w:val="24"/>
          <w:szCs w:val="24"/>
        </w:rPr>
        <w:t>Baek</w:t>
      </w:r>
      <w:proofErr w:type="spellEnd"/>
      <w:r w:rsidR="00063669" w:rsidRPr="00A81003">
        <w:rPr>
          <w:sz w:val="24"/>
          <w:szCs w:val="24"/>
        </w:rPr>
        <w:t xml:space="preserve"> and </w:t>
      </w:r>
      <w:proofErr w:type="spellStart"/>
      <w:r w:rsidR="00063669" w:rsidRPr="00A81003">
        <w:rPr>
          <w:sz w:val="24"/>
          <w:szCs w:val="24"/>
        </w:rPr>
        <w:t>Elbeck</w:t>
      </w:r>
      <w:proofErr w:type="spellEnd"/>
      <w:r w:rsidR="005E491C">
        <w:rPr>
          <w:sz w:val="24"/>
          <w:szCs w:val="24"/>
        </w:rPr>
        <w:t>,</w:t>
      </w:r>
      <w:r w:rsidR="00063669" w:rsidRPr="00A81003">
        <w:rPr>
          <w:sz w:val="24"/>
          <w:szCs w:val="24"/>
        </w:rPr>
        <w:t xml:space="preserve"> 2015)</w:t>
      </w:r>
      <w:r w:rsidR="005847C0" w:rsidRPr="00A81003">
        <w:rPr>
          <w:sz w:val="24"/>
          <w:szCs w:val="24"/>
        </w:rPr>
        <w:t>,</w:t>
      </w:r>
      <w:r w:rsidR="00C72FAF" w:rsidRPr="00A81003">
        <w:rPr>
          <w:sz w:val="24"/>
          <w:szCs w:val="24"/>
        </w:rPr>
        <w:t xml:space="preserve"> </w:t>
      </w:r>
      <w:r w:rsidR="008527CF" w:rsidRPr="00A81003">
        <w:rPr>
          <w:sz w:val="24"/>
          <w:szCs w:val="24"/>
        </w:rPr>
        <w:t>with</w:t>
      </w:r>
      <w:r w:rsidR="000F5E21" w:rsidRPr="00A81003">
        <w:rPr>
          <w:sz w:val="24"/>
          <w:szCs w:val="24"/>
        </w:rPr>
        <w:t xml:space="preserve"> </w:t>
      </w:r>
      <w:r w:rsidR="00C72FAF" w:rsidRPr="00A81003">
        <w:rPr>
          <w:sz w:val="24"/>
          <w:szCs w:val="24"/>
        </w:rPr>
        <w:t>such price behavio</w:t>
      </w:r>
      <w:r w:rsidR="00040308" w:rsidRPr="00A81003">
        <w:rPr>
          <w:sz w:val="24"/>
          <w:szCs w:val="24"/>
        </w:rPr>
        <w:t>u</w:t>
      </w:r>
      <w:r w:rsidR="00C72FAF" w:rsidRPr="00A81003">
        <w:rPr>
          <w:sz w:val="24"/>
          <w:szCs w:val="24"/>
        </w:rPr>
        <w:t>rs detached from economic fundamentals (</w:t>
      </w:r>
      <w:proofErr w:type="spellStart"/>
      <w:r w:rsidR="00D050FC" w:rsidRPr="00A81003">
        <w:rPr>
          <w:sz w:val="24"/>
          <w:szCs w:val="24"/>
        </w:rPr>
        <w:t>Koutmos</w:t>
      </w:r>
      <w:proofErr w:type="spellEnd"/>
      <w:r w:rsidR="005E491C">
        <w:rPr>
          <w:sz w:val="24"/>
          <w:szCs w:val="24"/>
        </w:rPr>
        <w:t>,</w:t>
      </w:r>
      <w:r w:rsidR="00D050FC" w:rsidRPr="00A81003">
        <w:rPr>
          <w:sz w:val="24"/>
          <w:szCs w:val="24"/>
        </w:rPr>
        <w:t xml:space="preserve"> 2018b</w:t>
      </w:r>
      <w:r w:rsidR="00C72FAF" w:rsidRPr="00A81003">
        <w:rPr>
          <w:sz w:val="24"/>
          <w:szCs w:val="24"/>
        </w:rPr>
        <w:t xml:space="preserve">). In contrast to </w:t>
      </w:r>
      <w:r w:rsidR="005847C0" w:rsidRPr="00A81003">
        <w:rPr>
          <w:sz w:val="24"/>
          <w:szCs w:val="24"/>
        </w:rPr>
        <w:t xml:space="preserve">stocks and bonds as </w:t>
      </w:r>
      <w:r w:rsidR="008527CF" w:rsidRPr="00A81003">
        <w:rPr>
          <w:sz w:val="24"/>
          <w:szCs w:val="24"/>
        </w:rPr>
        <w:t>the most speculated</w:t>
      </w:r>
      <w:r w:rsidR="00C72FAF" w:rsidRPr="00A81003">
        <w:rPr>
          <w:sz w:val="24"/>
          <w:szCs w:val="24"/>
        </w:rPr>
        <w:t xml:space="preserve"> financial assets, Bitcoin </w:t>
      </w:r>
      <w:r w:rsidR="008527CF" w:rsidRPr="00A81003">
        <w:rPr>
          <w:sz w:val="24"/>
          <w:szCs w:val="24"/>
        </w:rPr>
        <w:t xml:space="preserve">yields </w:t>
      </w:r>
      <w:r w:rsidR="00C72FAF" w:rsidRPr="00A81003">
        <w:rPr>
          <w:sz w:val="24"/>
          <w:szCs w:val="24"/>
        </w:rPr>
        <w:t xml:space="preserve">no dividends or interest to investors. The absence of observable fundamental value leaves </w:t>
      </w:r>
      <w:r w:rsidR="000F5E21" w:rsidRPr="00A81003">
        <w:rPr>
          <w:sz w:val="24"/>
          <w:szCs w:val="24"/>
        </w:rPr>
        <w:t xml:space="preserve">the </w:t>
      </w:r>
      <w:r w:rsidR="00C72FAF" w:rsidRPr="00A81003">
        <w:rPr>
          <w:sz w:val="24"/>
          <w:szCs w:val="24"/>
        </w:rPr>
        <w:t xml:space="preserve">investor with </w:t>
      </w:r>
      <w:r w:rsidR="008527CF" w:rsidRPr="00A81003">
        <w:rPr>
          <w:sz w:val="24"/>
          <w:szCs w:val="24"/>
        </w:rPr>
        <w:t xml:space="preserve">little </w:t>
      </w:r>
      <w:r w:rsidR="00C72FAF" w:rsidRPr="00A81003">
        <w:rPr>
          <w:sz w:val="24"/>
          <w:szCs w:val="24"/>
        </w:rPr>
        <w:t xml:space="preserve">choice but </w:t>
      </w:r>
      <w:r w:rsidR="000F5E21" w:rsidRPr="00A81003">
        <w:rPr>
          <w:sz w:val="24"/>
          <w:szCs w:val="24"/>
        </w:rPr>
        <w:t xml:space="preserve">to </w:t>
      </w:r>
      <w:r w:rsidR="005847C0" w:rsidRPr="00A81003">
        <w:rPr>
          <w:sz w:val="24"/>
          <w:szCs w:val="24"/>
        </w:rPr>
        <w:t xml:space="preserve">disproportionately </w:t>
      </w:r>
      <w:r w:rsidR="00C72FAF" w:rsidRPr="00A81003">
        <w:rPr>
          <w:sz w:val="24"/>
          <w:szCs w:val="24"/>
        </w:rPr>
        <w:t xml:space="preserve">rely on alternative market information. </w:t>
      </w:r>
      <w:proofErr w:type="spellStart"/>
      <w:r w:rsidR="00915A8C" w:rsidRPr="00750942">
        <w:rPr>
          <w:sz w:val="24"/>
          <w:szCs w:val="24"/>
        </w:rPr>
        <w:t>Detzel</w:t>
      </w:r>
      <w:proofErr w:type="spellEnd"/>
      <w:r w:rsidR="00915A8C" w:rsidRPr="00750942">
        <w:rPr>
          <w:sz w:val="24"/>
          <w:szCs w:val="24"/>
        </w:rPr>
        <w:t xml:space="preserve"> et al</w:t>
      </w:r>
      <w:r w:rsidR="00750942" w:rsidRPr="00750942">
        <w:rPr>
          <w:sz w:val="24"/>
          <w:szCs w:val="24"/>
        </w:rPr>
        <w:t>.</w:t>
      </w:r>
      <w:r w:rsidR="00915A8C" w:rsidRPr="00750942">
        <w:rPr>
          <w:sz w:val="24"/>
          <w:szCs w:val="24"/>
        </w:rPr>
        <w:t xml:space="preserve"> </w:t>
      </w:r>
      <w:r w:rsidR="00467162" w:rsidRPr="00467162">
        <w:rPr>
          <w:noProof/>
          <w:sz w:val="24"/>
          <w:szCs w:val="24"/>
        </w:rPr>
        <w:t>(2020)</w:t>
      </w:r>
      <w:r w:rsidR="0040633B" w:rsidRPr="00A81003">
        <w:rPr>
          <w:sz w:val="24"/>
          <w:szCs w:val="24"/>
        </w:rPr>
        <w:t xml:space="preserve"> </w:t>
      </w:r>
      <w:r w:rsidR="008527CF" w:rsidRPr="00A81003">
        <w:rPr>
          <w:sz w:val="24"/>
          <w:szCs w:val="24"/>
        </w:rPr>
        <w:t xml:space="preserve">demonstrate </w:t>
      </w:r>
      <w:r w:rsidR="00915A8C" w:rsidRPr="00A81003">
        <w:rPr>
          <w:sz w:val="24"/>
          <w:szCs w:val="24"/>
        </w:rPr>
        <w:t xml:space="preserve">that Bitcoin returns are </w:t>
      </w:r>
      <w:r w:rsidR="00915A8C" w:rsidRPr="00A81003">
        <w:rPr>
          <w:sz w:val="24"/>
          <w:szCs w:val="24"/>
        </w:rPr>
        <w:lastRenderedPageBreak/>
        <w:t xml:space="preserve">predictable by 1- to 20-week moving averages of daily prices. </w:t>
      </w:r>
      <w:proofErr w:type="spellStart"/>
      <w:r w:rsidR="00D050FC" w:rsidRPr="00A81003">
        <w:rPr>
          <w:sz w:val="24"/>
          <w:szCs w:val="24"/>
        </w:rPr>
        <w:t>Atsalakis</w:t>
      </w:r>
      <w:proofErr w:type="spellEnd"/>
      <w:r w:rsidR="00D050FC" w:rsidRPr="00A81003">
        <w:rPr>
          <w:sz w:val="24"/>
          <w:szCs w:val="24"/>
        </w:rPr>
        <w:t xml:space="preserve"> et al</w:t>
      </w:r>
      <w:r w:rsidR="005E491C">
        <w:rPr>
          <w:sz w:val="24"/>
          <w:szCs w:val="24"/>
        </w:rPr>
        <w:t>.</w:t>
      </w:r>
      <w:r w:rsidR="00D050FC" w:rsidRPr="00A81003">
        <w:rPr>
          <w:sz w:val="24"/>
          <w:szCs w:val="24"/>
        </w:rPr>
        <w:t xml:space="preserve"> </w:t>
      </w:r>
      <w:r w:rsidR="007136D3" w:rsidRPr="00A81003">
        <w:rPr>
          <w:sz w:val="24"/>
          <w:szCs w:val="24"/>
        </w:rPr>
        <w:t>(2019)</w:t>
      </w:r>
      <w:r w:rsidR="00915A8C" w:rsidRPr="00A81003">
        <w:rPr>
          <w:sz w:val="24"/>
          <w:szCs w:val="24"/>
        </w:rPr>
        <w:t xml:space="preserve"> propose a hybrid </w:t>
      </w:r>
      <w:r w:rsidR="00F505CC" w:rsidRPr="00A81003">
        <w:rPr>
          <w:sz w:val="24"/>
          <w:szCs w:val="24"/>
        </w:rPr>
        <w:t>n</w:t>
      </w:r>
      <w:r w:rsidR="00915A8C" w:rsidRPr="00A81003">
        <w:rPr>
          <w:sz w:val="24"/>
          <w:szCs w:val="24"/>
        </w:rPr>
        <w:t>euro-</w:t>
      </w:r>
      <w:r w:rsidR="00F505CC" w:rsidRPr="00A81003">
        <w:rPr>
          <w:sz w:val="24"/>
          <w:szCs w:val="24"/>
        </w:rPr>
        <w:t>f</w:t>
      </w:r>
      <w:r w:rsidR="00915A8C" w:rsidRPr="00A81003">
        <w:rPr>
          <w:sz w:val="24"/>
          <w:szCs w:val="24"/>
        </w:rPr>
        <w:t xml:space="preserve">uzzy model to forecast the daily price of Bitcoin. </w:t>
      </w:r>
      <w:r w:rsidR="00AD4513" w:rsidRPr="00A81003">
        <w:rPr>
          <w:sz w:val="24"/>
          <w:szCs w:val="24"/>
        </w:rPr>
        <w:t xml:space="preserve">However, no comprehensive study has explored Bitcoin </w:t>
      </w:r>
      <w:r w:rsidR="0031361A" w:rsidRPr="00A81003">
        <w:rPr>
          <w:sz w:val="24"/>
          <w:szCs w:val="24"/>
        </w:rPr>
        <w:t>returns</w:t>
      </w:r>
      <w:r w:rsidR="00C63F85">
        <w:rPr>
          <w:sz w:val="24"/>
          <w:szCs w:val="24"/>
        </w:rPr>
        <w:t>’</w:t>
      </w:r>
      <w:r w:rsidR="0031361A">
        <w:rPr>
          <w:rFonts w:hint="eastAsia"/>
          <w:sz w:val="24"/>
          <w:szCs w:val="24"/>
        </w:rPr>
        <w:t xml:space="preserve"> </w:t>
      </w:r>
      <w:r w:rsidR="0031361A">
        <w:rPr>
          <w:sz w:val="24"/>
          <w:szCs w:val="24"/>
        </w:rPr>
        <w:t>predictability</w:t>
      </w:r>
      <w:r w:rsidR="00AD4513" w:rsidRPr="00A81003">
        <w:rPr>
          <w:sz w:val="24"/>
          <w:szCs w:val="24"/>
        </w:rPr>
        <w:t xml:space="preserve"> using a group of popular predictors. </w:t>
      </w:r>
    </w:p>
    <w:p w:rsidR="00AE2BB6" w:rsidRPr="00A81003" w:rsidRDefault="00811759" w:rsidP="0029520B">
      <w:pPr>
        <w:pStyle w:val="ListParagraph"/>
        <w:tabs>
          <w:tab w:val="left" w:pos="0"/>
        </w:tabs>
        <w:adjustRightInd w:val="0"/>
        <w:snapToGrid w:val="0"/>
        <w:spacing w:after="0" w:line="480" w:lineRule="auto"/>
        <w:ind w:left="0" w:firstLine="720"/>
        <w:contextualSpacing w:val="0"/>
        <w:jc w:val="both"/>
        <w:rPr>
          <w:sz w:val="24"/>
          <w:szCs w:val="24"/>
        </w:rPr>
      </w:pPr>
      <w:r w:rsidRPr="00A81003">
        <w:rPr>
          <w:sz w:val="24"/>
          <w:szCs w:val="24"/>
        </w:rPr>
        <w:t xml:space="preserve">Our findings are particularly </w:t>
      </w:r>
      <w:r w:rsidR="00B76CA4" w:rsidRPr="00A81003">
        <w:rPr>
          <w:sz w:val="24"/>
          <w:szCs w:val="24"/>
        </w:rPr>
        <w:t xml:space="preserve">notable </w:t>
      </w:r>
      <w:r w:rsidRPr="00A81003">
        <w:rPr>
          <w:sz w:val="24"/>
          <w:szCs w:val="24"/>
        </w:rPr>
        <w:t xml:space="preserve">given that traders and </w:t>
      </w:r>
      <w:r w:rsidR="00995A99" w:rsidRPr="00A81003">
        <w:rPr>
          <w:sz w:val="24"/>
          <w:szCs w:val="24"/>
        </w:rPr>
        <w:t>investors</w:t>
      </w:r>
      <w:r w:rsidRPr="00A81003">
        <w:rPr>
          <w:sz w:val="24"/>
          <w:szCs w:val="24"/>
        </w:rPr>
        <w:t xml:space="preserve"> have relied on alternative </w:t>
      </w:r>
      <w:r w:rsidR="00995A99" w:rsidRPr="00A81003">
        <w:rPr>
          <w:sz w:val="24"/>
          <w:szCs w:val="24"/>
        </w:rPr>
        <w:t>approach</w:t>
      </w:r>
      <w:r w:rsidR="00B76CA4" w:rsidRPr="00A81003">
        <w:rPr>
          <w:sz w:val="24"/>
          <w:szCs w:val="24"/>
        </w:rPr>
        <w:t>e</w:t>
      </w:r>
      <w:r w:rsidR="00995A99" w:rsidRPr="00A81003">
        <w:rPr>
          <w:sz w:val="24"/>
          <w:szCs w:val="24"/>
        </w:rPr>
        <w:t>s</w:t>
      </w:r>
      <w:r w:rsidR="00F505CC" w:rsidRPr="00A81003">
        <w:rPr>
          <w:sz w:val="24"/>
          <w:szCs w:val="24"/>
        </w:rPr>
        <w:t>,</w:t>
      </w:r>
      <w:r w:rsidRPr="00A81003">
        <w:rPr>
          <w:sz w:val="24"/>
          <w:szCs w:val="24"/>
        </w:rPr>
        <w:t xml:space="preserve"> such as technical analys</w:t>
      </w:r>
      <w:r w:rsidR="00F505CC" w:rsidRPr="00A81003">
        <w:rPr>
          <w:sz w:val="24"/>
          <w:szCs w:val="24"/>
        </w:rPr>
        <w:t>e</w:t>
      </w:r>
      <w:r w:rsidRPr="00A81003">
        <w:rPr>
          <w:sz w:val="24"/>
          <w:szCs w:val="24"/>
        </w:rPr>
        <w:t>s</w:t>
      </w:r>
      <w:r w:rsidR="00F505CC" w:rsidRPr="00A81003">
        <w:rPr>
          <w:sz w:val="24"/>
          <w:szCs w:val="24"/>
        </w:rPr>
        <w:t>,</w:t>
      </w:r>
      <w:r w:rsidRPr="00A81003">
        <w:rPr>
          <w:sz w:val="24"/>
          <w:szCs w:val="24"/>
        </w:rPr>
        <w:t xml:space="preserve"> </w:t>
      </w:r>
      <w:r w:rsidR="00F505CC" w:rsidRPr="00A81003">
        <w:rPr>
          <w:sz w:val="24"/>
          <w:szCs w:val="24"/>
        </w:rPr>
        <w:t xml:space="preserve">as </w:t>
      </w:r>
      <w:r w:rsidRPr="00A81003">
        <w:rPr>
          <w:sz w:val="24"/>
          <w:szCs w:val="24"/>
        </w:rPr>
        <w:t xml:space="preserve">no fundamental valuation technique is </w:t>
      </w:r>
      <w:r w:rsidR="00B76CA4" w:rsidRPr="00A81003">
        <w:rPr>
          <w:sz w:val="24"/>
          <w:szCs w:val="24"/>
        </w:rPr>
        <w:t xml:space="preserve">yet </w:t>
      </w:r>
      <w:r w:rsidRPr="00A81003">
        <w:rPr>
          <w:sz w:val="24"/>
          <w:szCs w:val="24"/>
        </w:rPr>
        <w:t xml:space="preserve">available to </w:t>
      </w:r>
      <w:r w:rsidR="00B76CA4" w:rsidRPr="00A81003">
        <w:rPr>
          <w:sz w:val="24"/>
          <w:szCs w:val="24"/>
        </w:rPr>
        <w:t xml:space="preserve">the </w:t>
      </w:r>
      <w:r w:rsidR="008C4F03" w:rsidRPr="00A81003">
        <w:rPr>
          <w:sz w:val="24"/>
          <w:szCs w:val="24"/>
        </w:rPr>
        <w:t>Bitcoin</w:t>
      </w:r>
      <w:r w:rsidRPr="00A81003">
        <w:rPr>
          <w:sz w:val="24"/>
          <w:szCs w:val="24"/>
        </w:rPr>
        <w:t xml:space="preserve"> market </w:t>
      </w:r>
      <w:r w:rsidR="00472D9E" w:rsidRPr="00A81003">
        <w:rPr>
          <w:sz w:val="24"/>
          <w:szCs w:val="24"/>
        </w:rPr>
        <w:t>(</w:t>
      </w:r>
      <w:proofErr w:type="spellStart"/>
      <w:r w:rsidR="00472D9E" w:rsidRPr="00A81003">
        <w:rPr>
          <w:sz w:val="24"/>
          <w:szCs w:val="24"/>
        </w:rPr>
        <w:t>Balcilar</w:t>
      </w:r>
      <w:proofErr w:type="spellEnd"/>
      <w:r w:rsidR="00472D9E" w:rsidRPr="00A81003">
        <w:rPr>
          <w:sz w:val="24"/>
          <w:szCs w:val="24"/>
        </w:rPr>
        <w:t xml:space="preserve"> et al</w:t>
      </w:r>
      <w:r w:rsidR="00CB7296">
        <w:rPr>
          <w:sz w:val="24"/>
          <w:szCs w:val="24"/>
        </w:rPr>
        <w:t>.</w:t>
      </w:r>
      <w:r w:rsidR="00862EDA" w:rsidRPr="00A81003">
        <w:rPr>
          <w:sz w:val="24"/>
          <w:szCs w:val="24"/>
        </w:rPr>
        <w:t>,</w:t>
      </w:r>
      <w:r w:rsidR="00472D9E" w:rsidRPr="00A81003">
        <w:rPr>
          <w:sz w:val="24"/>
          <w:szCs w:val="24"/>
        </w:rPr>
        <w:t xml:space="preserve"> 2017)</w:t>
      </w:r>
      <w:r w:rsidRPr="00A81003">
        <w:rPr>
          <w:sz w:val="24"/>
          <w:szCs w:val="24"/>
        </w:rPr>
        <w:t xml:space="preserve">. </w:t>
      </w:r>
      <w:r w:rsidR="00F505CC" w:rsidRPr="00A81003">
        <w:rPr>
          <w:sz w:val="24"/>
          <w:szCs w:val="24"/>
        </w:rPr>
        <w:t xml:space="preserve">We </w:t>
      </w:r>
      <w:r w:rsidR="00E84CAC" w:rsidRPr="00A81003">
        <w:rPr>
          <w:sz w:val="24"/>
          <w:szCs w:val="24"/>
        </w:rPr>
        <w:t xml:space="preserve">fill this gap and </w:t>
      </w:r>
      <w:r w:rsidR="00B76CA4" w:rsidRPr="00A81003">
        <w:rPr>
          <w:sz w:val="24"/>
          <w:szCs w:val="24"/>
        </w:rPr>
        <w:t xml:space="preserve">fully </w:t>
      </w:r>
      <w:r w:rsidR="002D6AFA" w:rsidRPr="00A81003">
        <w:rPr>
          <w:sz w:val="24"/>
          <w:szCs w:val="24"/>
        </w:rPr>
        <w:t>investigate what forces drive Bitcoin prices and help investors’ asset allocations</w:t>
      </w:r>
      <w:r w:rsidR="00F505CC" w:rsidRPr="00A81003">
        <w:rPr>
          <w:sz w:val="24"/>
          <w:szCs w:val="24"/>
        </w:rPr>
        <w:t xml:space="preserve"> by </w:t>
      </w:r>
      <w:r w:rsidR="002D6AFA" w:rsidRPr="00A81003">
        <w:rPr>
          <w:sz w:val="24"/>
          <w:szCs w:val="24"/>
        </w:rPr>
        <w:t>employ</w:t>
      </w:r>
      <w:r w:rsidR="00F505CC" w:rsidRPr="00A81003">
        <w:rPr>
          <w:sz w:val="24"/>
          <w:szCs w:val="24"/>
        </w:rPr>
        <w:t>ing</w:t>
      </w:r>
      <w:r w:rsidR="002D6AFA" w:rsidRPr="00A81003">
        <w:rPr>
          <w:sz w:val="24"/>
          <w:szCs w:val="24"/>
        </w:rPr>
        <w:t xml:space="preserve"> a standard framework (Welch and Goyal</w:t>
      </w:r>
      <w:r w:rsidR="004E714B" w:rsidRPr="00A81003">
        <w:rPr>
          <w:sz w:val="24"/>
          <w:szCs w:val="24"/>
        </w:rPr>
        <w:t>,</w:t>
      </w:r>
      <w:r w:rsidR="002D6AFA" w:rsidRPr="00A81003">
        <w:rPr>
          <w:sz w:val="24"/>
          <w:szCs w:val="24"/>
        </w:rPr>
        <w:t xml:space="preserve"> </w:t>
      </w:r>
      <w:r w:rsidR="007C7697" w:rsidRPr="00A81003">
        <w:rPr>
          <w:sz w:val="24"/>
          <w:szCs w:val="24"/>
        </w:rPr>
        <w:t>200</w:t>
      </w:r>
      <w:r w:rsidR="007C7697">
        <w:rPr>
          <w:sz w:val="24"/>
          <w:szCs w:val="24"/>
        </w:rPr>
        <w:t>8</w:t>
      </w:r>
      <w:r w:rsidR="004E714B" w:rsidRPr="00A81003">
        <w:rPr>
          <w:sz w:val="24"/>
          <w:szCs w:val="24"/>
        </w:rPr>
        <w:t>;</w:t>
      </w:r>
      <w:r w:rsidR="002D6AFA" w:rsidRPr="00A81003">
        <w:rPr>
          <w:sz w:val="24"/>
          <w:szCs w:val="24"/>
        </w:rPr>
        <w:t xml:space="preserve"> </w:t>
      </w:r>
      <w:proofErr w:type="spellStart"/>
      <w:r w:rsidR="002D6AFA" w:rsidRPr="00A81003">
        <w:rPr>
          <w:sz w:val="24"/>
          <w:szCs w:val="24"/>
        </w:rPr>
        <w:t>Rapach</w:t>
      </w:r>
      <w:proofErr w:type="spellEnd"/>
      <w:r w:rsidR="002D6AFA" w:rsidRPr="00A81003">
        <w:rPr>
          <w:sz w:val="24"/>
          <w:szCs w:val="24"/>
        </w:rPr>
        <w:t xml:space="preserve"> and Zhou</w:t>
      </w:r>
      <w:r w:rsidR="004E714B" w:rsidRPr="00A81003">
        <w:rPr>
          <w:sz w:val="24"/>
          <w:szCs w:val="24"/>
        </w:rPr>
        <w:t>,</w:t>
      </w:r>
      <w:r w:rsidR="002D6AFA" w:rsidRPr="00A81003">
        <w:rPr>
          <w:sz w:val="24"/>
          <w:szCs w:val="24"/>
        </w:rPr>
        <w:t xml:space="preserve"> 2013</w:t>
      </w:r>
      <w:r w:rsidR="004E714B" w:rsidRPr="00A81003">
        <w:rPr>
          <w:sz w:val="24"/>
          <w:szCs w:val="24"/>
        </w:rPr>
        <w:t>;</w:t>
      </w:r>
      <w:r w:rsidR="002D6AFA" w:rsidRPr="00A81003">
        <w:rPr>
          <w:sz w:val="24"/>
          <w:szCs w:val="24"/>
        </w:rPr>
        <w:t xml:space="preserve"> </w:t>
      </w:r>
      <w:proofErr w:type="spellStart"/>
      <w:r w:rsidR="002D6AFA" w:rsidRPr="00A81003">
        <w:rPr>
          <w:sz w:val="24"/>
          <w:szCs w:val="24"/>
        </w:rPr>
        <w:t>Rapach</w:t>
      </w:r>
      <w:proofErr w:type="spellEnd"/>
      <w:r w:rsidR="000F5E21" w:rsidRPr="00A81003">
        <w:rPr>
          <w:sz w:val="24"/>
          <w:szCs w:val="24"/>
        </w:rPr>
        <w:t xml:space="preserve"> et al</w:t>
      </w:r>
      <w:r w:rsidR="00CB7296">
        <w:rPr>
          <w:sz w:val="24"/>
          <w:szCs w:val="24"/>
        </w:rPr>
        <w:t>.</w:t>
      </w:r>
      <w:r w:rsidR="0036271C" w:rsidRPr="00A81003">
        <w:rPr>
          <w:sz w:val="24"/>
          <w:szCs w:val="24"/>
        </w:rPr>
        <w:t>,</w:t>
      </w:r>
      <w:r w:rsidR="002D6AFA" w:rsidRPr="00A81003">
        <w:rPr>
          <w:sz w:val="24"/>
          <w:szCs w:val="24"/>
        </w:rPr>
        <w:t xml:space="preserve"> 2016) and model excess </w:t>
      </w:r>
      <w:r w:rsidR="00F505CC" w:rsidRPr="00A81003">
        <w:rPr>
          <w:sz w:val="24"/>
          <w:szCs w:val="24"/>
        </w:rPr>
        <w:t xml:space="preserve">Bitcoin </w:t>
      </w:r>
      <w:r w:rsidR="002D6AFA" w:rsidRPr="00A81003">
        <w:rPr>
          <w:sz w:val="24"/>
          <w:szCs w:val="24"/>
        </w:rPr>
        <w:t xml:space="preserve">returns to </w:t>
      </w:r>
      <w:r w:rsidR="00B76CA4" w:rsidRPr="00A81003">
        <w:rPr>
          <w:sz w:val="24"/>
          <w:szCs w:val="24"/>
        </w:rPr>
        <w:t xml:space="preserve">the </w:t>
      </w:r>
      <w:r w:rsidR="002D6AFA" w:rsidRPr="00A81003">
        <w:rPr>
          <w:sz w:val="24"/>
          <w:szCs w:val="24"/>
        </w:rPr>
        <w:t>Bitcoin market and external market factors.</w:t>
      </w:r>
      <w:r w:rsidR="00915A8C" w:rsidRPr="00A81003">
        <w:rPr>
          <w:sz w:val="24"/>
          <w:szCs w:val="24"/>
        </w:rPr>
        <w:t xml:space="preserve"> </w:t>
      </w:r>
      <w:r w:rsidR="00B4766A" w:rsidRPr="00A81003">
        <w:rPr>
          <w:sz w:val="24"/>
          <w:szCs w:val="24"/>
        </w:rPr>
        <w:t xml:space="preserve">Specifically, </w:t>
      </w:r>
      <w:r w:rsidR="00F505CC" w:rsidRPr="00A81003">
        <w:rPr>
          <w:sz w:val="24"/>
          <w:szCs w:val="24"/>
        </w:rPr>
        <w:t xml:space="preserve">we </w:t>
      </w:r>
      <w:r w:rsidR="00B4766A" w:rsidRPr="00A81003">
        <w:rPr>
          <w:sz w:val="24"/>
          <w:szCs w:val="24"/>
        </w:rPr>
        <w:t>e</w:t>
      </w:r>
      <w:r w:rsidR="00870F15" w:rsidRPr="00A81003">
        <w:rPr>
          <w:sz w:val="24"/>
          <w:szCs w:val="24"/>
        </w:rPr>
        <w:t>xamin</w:t>
      </w:r>
      <w:r w:rsidR="00F505CC" w:rsidRPr="00A81003">
        <w:rPr>
          <w:sz w:val="24"/>
          <w:szCs w:val="24"/>
        </w:rPr>
        <w:t>e</w:t>
      </w:r>
      <w:r w:rsidR="00870F15" w:rsidRPr="00A81003">
        <w:rPr>
          <w:sz w:val="24"/>
          <w:szCs w:val="24"/>
        </w:rPr>
        <w:t xml:space="preserve"> a </w:t>
      </w:r>
      <w:r w:rsidR="00F505CC" w:rsidRPr="00A81003">
        <w:rPr>
          <w:sz w:val="24"/>
          <w:szCs w:val="24"/>
        </w:rPr>
        <w:t>‘</w:t>
      </w:r>
      <w:r w:rsidR="00870F15" w:rsidRPr="00A81003">
        <w:rPr>
          <w:sz w:val="24"/>
          <w:szCs w:val="24"/>
        </w:rPr>
        <w:t>zoo</w:t>
      </w:r>
      <w:r w:rsidR="00F505CC" w:rsidRPr="00A81003">
        <w:rPr>
          <w:sz w:val="24"/>
          <w:szCs w:val="24"/>
        </w:rPr>
        <w:t>’</w:t>
      </w:r>
      <w:r w:rsidR="00870F15" w:rsidRPr="00A81003">
        <w:rPr>
          <w:sz w:val="24"/>
          <w:szCs w:val="24"/>
        </w:rPr>
        <w:t xml:space="preserve"> of </w:t>
      </w:r>
      <w:r w:rsidR="00C66C7B" w:rsidRPr="00A81003">
        <w:rPr>
          <w:sz w:val="24"/>
          <w:szCs w:val="24"/>
        </w:rPr>
        <w:t xml:space="preserve">33 </w:t>
      </w:r>
      <w:r w:rsidR="00B4766A" w:rsidRPr="00A81003">
        <w:rPr>
          <w:sz w:val="24"/>
          <w:szCs w:val="24"/>
        </w:rPr>
        <w:t>predictors</w:t>
      </w:r>
      <w:r w:rsidR="00F505CC" w:rsidRPr="00A81003">
        <w:rPr>
          <w:sz w:val="24"/>
          <w:szCs w:val="24"/>
        </w:rPr>
        <w:t xml:space="preserve"> to demonstrate </w:t>
      </w:r>
      <w:r w:rsidR="00461E2E" w:rsidRPr="00A81003">
        <w:rPr>
          <w:sz w:val="24"/>
          <w:szCs w:val="24"/>
        </w:rPr>
        <w:t xml:space="preserve">that </w:t>
      </w:r>
      <w:r w:rsidR="00F505CC" w:rsidRPr="00A81003">
        <w:rPr>
          <w:sz w:val="24"/>
          <w:szCs w:val="24"/>
        </w:rPr>
        <w:t xml:space="preserve">the </w:t>
      </w:r>
      <w:r w:rsidR="00461E2E" w:rsidRPr="00A81003">
        <w:rPr>
          <w:sz w:val="24"/>
          <w:szCs w:val="24"/>
        </w:rPr>
        <w:t>time-series momentum scaled by volatility (</w:t>
      </w:r>
      <w:r w:rsidR="00232636" w:rsidRPr="00A81003">
        <w:rPr>
          <w:i/>
          <w:sz w:val="24"/>
          <w:szCs w:val="24"/>
        </w:rPr>
        <w:t>TSMSV</w:t>
      </w:r>
      <w:r w:rsidR="00461E2E" w:rsidRPr="00A81003">
        <w:rPr>
          <w:sz w:val="24"/>
          <w:szCs w:val="24"/>
        </w:rPr>
        <w:t>)</w:t>
      </w:r>
      <w:r w:rsidR="00B76CA4" w:rsidRPr="00A81003">
        <w:rPr>
          <w:sz w:val="24"/>
          <w:szCs w:val="24"/>
        </w:rPr>
        <w:t>,</w:t>
      </w:r>
      <w:r w:rsidR="00461E2E" w:rsidRPr="00A81003">
        <w:rPr>
          <w:sz w:val="24"/>
          <w:szCs w:val="24"/>
        </w:rPr>
        <w:t xml:space="preserve"> </w:t>
      </w:r>
      <w:r w:rsidR="00C66C7B" w:rsidRPr="00A81003">
        <w:rPr>
          <w:sz w:val="24"/>
          <w:szCs w:val="24"/>
        </w:rPr>
        <w:t xml:space="preserve">economic policy </w:t>
      </w:r>
      <w:r w:rsidR="00461E2E" w:rsidRPr="00A81003">
        <w:rPr>
          <w:sz w:val="24"/>
          <w:szCs w:val="24"/>
        </w:rPr>
        <w:t>uncertainty (</w:t>
      </w:r>
      <w:r w:rsidR="00461E2E" w:rsidRPr="00A81003">
        <w:rPr>
          <w:i/>
          <w:sz w:val="24"/>
          <w:szCs w:val="24"/>
        </w:rPr>
        <w:t>PU</w:t>
      </w:r>
      <w:r w:rsidR="00461E2E" w:rsidRPr="00A81003">
        <w:rPr>
          <w:sz w:val="24"/>
          <w:szCs w:val="24"/>
        </w:rPr>
        <w:t>)</w:t>
      </w:r>
      <w:r w:rsidR="00663FCB">
        <w:rPr>
          <w:sz w:val="24"/>
          <w:szCs w:val="24"/>
        </w:rPr>
        <w:t>,</w:t>
      </w:r>
      <w:r w:rsidR="00461E2E" w:rsidRPr="00A81003">
        <w:rPr>
          <w:sz w:val="24"/>
          <w:szCs w:val="24"/>
        </w:rPr>
        <w:t xml:space="preserve"> </w:t>
      </w:r>
      <w:r w:rsidR="00C66C7B" w:rsidRPr="00A81003">
        <w:rPr>
          <w:sz w:val="24"/>
          <w:szCs w:val="24"/>
        </w:rPr>
        <w:t>and financial uncertainty (</w:t>
      </w:r>
      <w:r w:rsidR="00C66C7B" w:rsidRPr="00A81003">
        <w:rPr>
          <w:i/>
          <w:sz w:val="24"/>
          <w:szCs w:val="24"/>
        </w:rPr>
        <w:t>FU</w:t>
      </w:r>
      <w:r w:rsidR="00C66C7B" w:rsidRPr="00A81003">
        <w:rPr>
          <w:sz w:val="24"/>
          <w:szCs w:val="24"/>
        </w:rPr>
        <w:t xml:space="preserve">) </w:t>
      </w:r>
      <w:r w:rsidR="00461E2E" w:rsidRPr="00A81003">
        <w:rPr>
          <w:sz w:val="24"/>
          <w:szCs w:val="24"/>
        </w:rPr>
        <w:t>are the strongest</w:t>
      </w:r>
      <w:r w:rsidR="00870F15" w:rsidRPr="00A81003">
        <w:rPr>
          <w:sz w:val="24"/>
          <w:szCs w:val="24"/>
        </w:rPr>
        <w:t xml:space="preserve"> predictor</w:t>
      </w:r>
      <w:r w:rsidR="00B76CA4" w:rsidRPr="00A81003">
        <w:rPr>
          <w:sz w:val="24"/>
          <w:szCs w:val="24"/>
        </w:rPr>
        <w:t>s</w:t>
      </w:r>
      <w:r w:rsidR="00870F15" w:rsidRPr="00A81003">
        <w:rPr>
          <w:sz w:val="24"/>
          <w:szCs w:val="24"/>
        </w:rPr>
        <w:t xml:space="preserve"> of Bitcoin returns in in-</w:t>
      </w:r>
      <w:r w:rsidR="00B76CA4" w:rsidRPr="00A81003">
        <w:rPr>
          <w:sz w:val="24"/>
          <w:szCs w:val="24"/>
        </w:rPr>
        <w:t>sample</w:t>
      </w:r>
      <w:r w:rsidR="00870F15" w:rsidRPr="00A81003">
        <w:rPr>
          <w:sz w:val="24"/>
          <w:szCs w:val="24"/>
        </w:rPr>
        <w:t>, out-of-sample</w:t>
      </w:r>
      <w:r w:rsidR="00663FCB">
        <w:rPr>
          <w:sz w:val="24"/>
          <w:szCs w:val="24"/>
        </w:rPr>
        <w:t>,</w:t>
      </w:r>
      <w:r w:rsidR="00870F15" w:rsidRPr="00A81003">
        <w:rPr>
          <w:sz w:val="24"/>
          <w:szCs w:val="24"/>
        </w:rPr>
        <w:t xml:space="preserve"> and asset allocation tests. </w:t>
      </w:r>
    </w:p>
    <w:p w:rsidR="00206827" w:rsidRPr="00A81003" w:rsidRDefault="00F505CC" w:rsidP="0029520B">
      <w:pPr>
        <w:adjustRightInd w:val="0"/>
        <w:snapToGrid w:val="0"/>
        <w:spacing w:after="0" w:line="480" w:lineRule="auto"/>
        <w:ind w:firstLine="720"/>
        <w:jc w:val="both"/>
        <w:rPr>
          <w:sz w:val="24"/>
          <w:szCs w:val="24"/>
        </w:rPr>
      </w:pPr>
      <w:r w:rsidRPr="00A81003">
        <w:rPr>
          <w:sz w:val="24"/>
          <w:szCs w:val="24"/>
        </w:rPr>
        <w:t xml:space="preserve">We </w:t>
      </w:r>
      <w:r w:rsidR="00102EEA" w:rsidRPr="00A81003">
        <w:rPr>
          <w:sz w:val="24"/>
          <w:szCs w:val="24"/>
        </w:rPr>
        <w:t>achieve our objective</w:t>
      </w:r>
      <w:r w:rsidRPr="00A81003">
        <w:rPr>
          <w:sz w:val="24"/>
          <w:szCs w:val="24"/>
        </w:rPr>
        <w:t xml:space="preserve"> by </w:t>
      </w:r>
      <w:r w:rsidR="00E91726" w:rsidRPr="00A81003">
        <w:rPr>
          <w:sz w:val="24"/>
          <w:szCs w:val="24"/>
        </w:rPr>
        <w:t>classify</w:t>
      </w:r>
      <w:r w:rsidRPr="00A81003">
        <w:rPr>
          <w:sz w:val="24"/>
          <w:szCs w:val="24"/>
        </w:rPr>
        <w:t>ing</w:t>
      </w:r>
      <w:r w:rsidR="00E91726" w:rsidRPr="00A81003">
        <w:rPr>
          <w:sz w:val="24"/>
          <w:szCs w:val="24"/>
        </w:rPr>
        <w:t xml:space="preserve"> p</w:t>
      </w:r>
      <w:r w:rsidR="00D32284" w:rsidRPr="00A81003">
        <w:rPr>
          <w:sz w:val="24"/>
          <w:szCs w:val="24"/>
        </w:rPr>
        <w:t>otential predictors</w:t>
      </w:r>
      <w:r w:rsidRPr="00A81003">
        <w:rPr>
          <w:sz w:val="24"/>
          <w:szCs w:val="24"/>
        </w:rPr>
        <w:t xml:space="preserve">—as </w:t>
      </w:r>
      <w:r w:rsidR="00102EEA" w:rsidRPr="00A81003">
        <w:rPr>
          <w:sz w:val="24"/>
          <w:szCs w:val="24"/>
        </w:rPr>
        <w:t xml:space="preserve">suggested by previous literature as factors </w:t>
      </w:r>
      <w:r w:rsidR="00B76CA4" w:rsidRPr="00A81003">
        <w:rPr>
          <w:sz w:val="24"/>
          <w:szCs w:val="24"/>
        </w:rPr>
        <w:t xml:space="preserve">that </w:t>
      </w:r>
      <w:r w:rsidRPr="00A81003">
        <w:rPr>
          <w:sz w:val="24"/>
          <w:szCs w:val="24"/>
        </w:rPr>
        <w:t xml:space="preserve">can </w:t>
      </w:r>
      <w:r w:rsidR="00102EEA" w:rsidRPr="00A81003">
        <w:rPr>
          <w:sz w:val="24"/>
          <w:szCs w:val="24"/>
        </w:rPr>
        <w:t>predict Bitcoin returns</w:t>
      </w:r>
      <w:r w:rsidRPr="00A81003">
        <w:rPr>
          <w:sz w:val="24"/>
          <w:szCs w:val="24"/>
        </w:rPr>
        <w:t>—</w:t>
      </w:r>
      <w:r w:rsidR="001768DF" w:rsidRPr="00A81003">
        <w:rPr>
          <w:sz w:val="24"/>
          <w:szCs w:val="24"/>
        </w:rPr>
        <w:t xml:space="preserve">into </w:t>
      </w:r>
      <w:r w:rsidR="00C66C7B" w:rsidRPr="00A81003">
        <w:rPr>
          <w:sz w:val="24"/>
          <w:szCs w:val="24"/>
        </w:rPr>
        <w:t xml:space="preserve">five </w:t>
      </w:r>
      <w:r w:rsidR="00E91726" w:rsidRPr="00A81003">
        <w:rPr>
          <w:sz w:val="24"/>
          <w:szCs w:val="24"/>
        </w:rPr>
        <w:t>broad categories</w:t>
      </w:r>
      <w:r w:rsidR="00102EEA" w:rsidRPr="00A81003">
        <w:rPr>
          <w:sz w:val="24"/>
          <w:szCs w:val="24"/>
        </w:rPr>
        <w:t xml:space="preserve">: </w:t>
      </w:r>
      <w:r w:rsidR="00C97506" w:rsidRPr="00A81003">
        <w:rPr>
          <w:sz w:val="24"/>
          <w:szCs w:val="24"/>
        </w:rPr>
        <w:t xml:space="preserve">Bitcoin </w:t>
      </w:r>
      <w:r w:rsidR="00384CD6" w:rsidRPr="00A81003">
        <w:rPr>
          <w:sz w:val="24"/>
          <w:szCs w:val="24"/>
        </w:rPr>
        <w:t>marke</w:t>
      </w:r>
      <w:r w:rsidR="00BD1873" w:rsidRPr="00A81003">
        <w:rPr>
          <w:sz w:val="24"/>
          <w:szCs w:val="24"/>
        </w:rPr>
        <w:t xml:space="preserve">t </w:t>
      </w:r>
      <w:r w:rsidR="00845CB6" w:rsidRPr="00A81003">
        <w:rPr>
          <w:sz w:val="24"/>
          <w:szCs w:val="24"/>
        </w:rPr>
        <w:t>(</w:t>
      </w:r>
      <w:proofErr w:type="spellStart"/>
      <w:r w:rsidR="00845CB6" w:rsidRPr="00A81003">
        <w:rPr>
          <w:sz w:val="24"/>
          <w:szCs w:val="24"/>
        </w:rPr>
        <w:t>Koutmos</w:t>
      </w:r>
      <w:proofErr w:type="spellEnd"/>
      <w:r w:rsidR="00990635">
        <w:rPr>
          <w:sz w:val="24"/>
          <w:szCs w:val="24"/>
        </w:rPr>
        <w:t>,</w:t>
      </w:r>
      <w:r w:rsidR="00845CB6" w:rsidRPr="00A81003">
        <w:rPr>
          <w:sz w:val="24"/>
          <w:szCs w:val="24"/>
        </w:rPr>
        <w:t xml:space="preserve"> 2018b)</w:t>
      </w:r>
      <w:r w:rsidR="00C97506" w:rsidRPr="00A81003">
        <w:rPr>
          <w:sz w:val="24"/>
          <w:szCs w:val="24"/>
        </w:rPr>
        <w:t>, stock market, bond market</w:t>
      </w:r>
      <w:r w:rsidR="00C66C7B" w:rsidRPr="00A81003">
        <w:rPr>
          <w:sz w:val="24"/>
          <w:szCs w:val="24"/>
        </w:rPr>
        <w:t xml:space="preserve">, </w:t>
      </w:r>
      <w:r w:rsidR="007F60F2" w:rsidRPr="00A81003">
        <w:rPr>
          <w:sz w:val="24"/>
          <w:szCs w:val="24"/>
        </w:rPr>
        <w:t>sentiment</w:t>
      </w:r>
      <w:r w:rsidR="00862EDA" w:rsidRPr="00A81003">
        <w:rPr>
          <w:sz w:val="24"/>
          <w:szCs w:val="24"/>
        </w:rPr>
        <w:t>,</w:t>
      </w:r>
      <w:r w:rsidR="00C66C7B" w:rsidRPr="00A81003">
        <w:rPr>
          <w:sz w:val="24"/>
          <w:szCs w:val="24"/>
        </w:rPr>
        <w:t xml:space="preserve"> and external uncertainty predictors</w:t>
      </w:r>
      <w:r w:rsidR="000960DF" w:rsidRPr="00A81003">
        <w:rPr>
          <w:sz w:val="24"/>
          <w:szCs w:val="24"/>
        </w:rPr>
        <w:t xml:space="preserve"> </w:t>
      </w:r>
      <w:r w:rsidR="00447CDD" w:rsidRPr="00A81003">
        <w:rPr>
          <w:sz w:val="24"/>
          <w:szCs w:val="24"/>
        </w:rPr>
        <w:t>(Demir</w:t>
      </w:r>
      <w:r w:rsidR="003268C0" w:rsidRPr="00A81003">
        <w:rPr>
          <w:sz w:val="24"/>
          <w:szCs w:val="24"/>
        </w:rPr>
        <w:t xml:space="preserve"> et al</w:t>
      </w:r>
      <w:r w:rsidR="00CB7296">
        <w:rPr>
          <w:sz w:val="24"/>
          <w:szCs w:val="24"/>
        </w:rPr>
        <w:t>.</w:t>
      </w:r>
      <w:r w:rsidR="00B76CA4" w:rsidRPr="00A81003">
        <w:rPr>
          <w:sz w:val="24"/>
          <w:szCs w:val="24"/>
        </w:rPr>
        <w:t>,</w:t>
      </w:r>
      <w:r w:rsidR="003268C0" w:rsidRPr="00A81003">
        <w:rPr>
          <w:sz w:val="24"/>
          <w:szCs w:val="24"/>
        </w:rPr>
        <w:t xml:space="preserve"> </w:t>
      </w:r>
      <w:r w:rsidR="00447CDD" w:rsidRPr="00A81003">
        <w:rPr>
          <w:sz w:val="24"/>
          <w:szCs w:val="24"/>
        </w:rPr>
        <w:t xml:space="preserve">2018; </w:t>
      </w:r>
      <w:proofErr w:type="spellStart"/>
      <w:r w:rsidR="00447CDD" w:rsidRPr="00A81003">
        <w:rPr>
          <w:sz w:val="24"/>
          <w:szCs w:val="24"/>
        </w:rPr>
        <w:t>Karalevicius</w:t>
      </w:r>
      <w:proofErr w:type="spellEnd"/>
      <w:r w:rsidR="003268C0" w:rsidRPr="00A81003">
        <w:rPr>
          <w:sz w:val="24"/>
          <w:szCs w:val="24"/>
        </w:rPr>
        <w:t xml:space="preserve"> et al</w:t>
      </w:r>
      <w:r w:rsidR="00CB7296">
        <w:rPr>
          <w:sz w:val="24"/>
          <w:szCs w:val="24"/>
        </w:rPr>
        <w:t>.</w:t>
      </w:r>
      <w:r w:rsidR="00B76CA4" w:rsidRPr="00A81003">
        <w:rPr>
          <w:sz w:val="24"/>
          <w:szCs w:val="24"/>
        </w:rPr>
        <w:t>,</w:t>
      </w:r>
      <w:r w:rsidR="00447CDD" w:rsidRPr="00A81003">
        <w:rPr>
          <w:sz w:val="24"/>
          <w:szCs w:val="24"/>
        </w:rPr>
        <w:t xml:space="preserve"> 2018)</w:t>
      </w:r>
      <w:r w:rsidR="009D75E9" w:rsidRPr="00A81003">
        <w:rPr>
          <w:sz w:val="24"/>
          <w:szCs w:val="24"/>
        </w:rPr>
        <w:t xml:space="preserve">. </w:t>
      </w:r>
      <w:r w:rsidR="000960DF" w:rsidRPr="00A81003">
        <w:rPr>
          <w:sz w:val="24"/>
          <w:szCs w:val="24"/>
        </w:rPr>
        <w:t xml:space="preserve">Our findings suggest that </w:t>
      </w:r>
      <w:r w:rsidR="00F0689C" w:rsidRPr="00A81003">
        <w:rPr>
          <w:sz w:val="24"/>
          <w:szCs w:val="24"/>
        </w:rPr>
        <w:t xml:space="preserve">time-series </w:t>
      </w:r>
      <w:r w:rsidR="00C66C7B" w:rsidRPr="00A81003">
        <w:rPr>
          <w:sz w:val="24"/>
          <w:szCs w:val="24"/>
        </w:rPr>
        <w:t>momentum,</w:t>
      </w:r>
      <w:r w:rsidR="00102EEA" w:rsidRPr="00A81003">
        <w:rPr>
          <w:sz w:val="24"/>
          <w:szCs w:val="24"/>
        </w:rPr>
        <w:t xml:space="preserve"> </w:t>
      </w:r>
      <w:r w:rsidR="00F0689C" w:rsidRPr="00A81003">
        <w:rPr>
          <w:sz w:val="24"/>
          <w:szCs w:val="24"/>
        </w:rPr>
        <w:t>e</w:t>
      </w:r>
      <w:r w:rsidR="000960DF" w:rsidRPr="00A81003">
        <w:rPr>
          <w:sz w:val="24"/>
          <w:szCs w:val="24"/>
        </w:rPr>
        <w:t>conomic policy uncertainty</w:t>
      </w:r>
      <w:r w:rsidR="008134B8" w:rsidRPr="00A81003">
        <w:rPr>
          <w:sz w:val="24"/>
          <w:szCs w:val="24"/>
        </w:rPr>
        <w:t>,</w:t>
      </w:r>
      <w:r w:rsidR="00C66C7B" w:rsidRPr="00A81003">
        <w:rPr>
          <w:sz w:val="24"/>
          <w:szCs w:val="24"/>
        </w:rPr>
        <w:t xml:space="preserve"> and financial uncertainty</w:t>
      </w:r>
      <w:r w:rsidR="000960DF" w:rsidRPr="00A81003">
        <w:rPr>
          <w:sz w:val="24"/>
          <w:szCs w:val="24"/>
        </w:rPr>
        <w:t xml:space="preserve"> variables are</w:t>
      </w:r>
      <w:r w:rsidR="00F0689C" w:rsidRPr="00A81003">
        <w:rPr>
          <w:sz w:val="24"/>
          <w:szCs w:val="24"/>
        </w:rPr>
        <w:t xml:space="preserve"> useful</w:t>
      </w:r>
      <w:r w:rsidR="00E91726" w:rsidRPr="00A81003">
        <w:rPr>
          <w:sz w:val="24"/>
          <w:szCs w:val="24"/>
        </w:rPr>
        <w:t xml:space="preserve"> predictors of Bitcoin returns. Further, we demonstrate the economic benefits from </w:t>
      </w:r>
      <w:r w:rsidR="00DE6C98" w:rsidRPr="00A81003">
        <w:rPr>
          <w:sz w:val="24"/>
          <w:szCs w:val="24"/>
        </w:rPr>
        <w:t>applying</w:t>
      </w:r>
      <w:r w:rsidR="000960DF" w:rsidRPr="00A81003">
        <w:rPr>
          <w:sz w:val="24"/>
          <w:szCs w:val="24"/>
        </w:rPr>
        <w:t xml:space="preserve"> specific predictors</w:t>
      </w:r>
      <w:r w:rsidR="00E91726" w:rsidRPr="00A81003">
        <w:rPr>
          <w:sz w:val="24"/>
          <w:szCs w:val="24"/>
        </w:rPr>
        <w:t xml:space="preserve"> in</w:t>
      </w:r>
      <w:r w:rsidR="00F0689C" w:rsidRPr="00A81003">
        <w:rPr>
          <w:sz w:val="24"/>
          <w:szCs w:val="24"/>
        </w:rPr>
        <w:t xml:space="preserve"> delivering significant portfolio </w:t>
      </w:r>
      <w:r w:rsidR="00102EEA" w:rsidRPr="00A81003">
        <w:rPr>
          <w:sz w:val="24"/>
          <w:szCs w:val="24"/>
        </w:rPr>
        <w:t>advantages</w:t>
      </w:r>
      <w:r w:rsidR="009D51C6" w:rsidRPr="00A81003">
        <w:rPr>
          <w:sz w:val="24"/>
          <w:szCs w:val="24"/>
        </w:rPr>
        <w:t xml:space="preserve"> </w:t>
      </w:r>
      <w:r w:rsidRPr="00A81003">
        <w:rPr>
          <w:sz w:val="24"/>
          <w:szCs w:val="24"/>
        </w:rPr>
        <w:t xml:space="preserve">to Bitcoin investors, </w:t>
      </w:r>
      <w:r w:rsidR="00F82627" w:rsidRPr="00A81003">
        <w:rPr>
          <w:sz w:val="24"/>
          <w:szCs w:val="24"/>
        </w:rPr>
        <w:t>based on</w:t>
      </w:r>
      <w:r w:rsidR="00C66C7B" w:rsidRPr="00A81003">
        <w:rPr>
          <w:sz w:val="24"/>
          <w:szCs w:val="24"/>
        </w:rPr>
        <w:t xml:space="preserve"> </w:t>
      </w:r>
      <w:r w:rsidR="009D51C6" w:rsidRPr="00A81003">
        <w:rPr>
          <w:sz w:val="24"/>
          <w:szCs w:val="24"/>
        </w:rPr>
        <w:t>the certainty equivalent return</w:t>
      </w:r>
      <w:r w:rsidR="00F0689C" w:rsidRPr="00A81003">
        <w:rPr>
          <w:sz w:val="24"/>
          <w:szCs w:val="24"/>
        </w:rPr>
        <w:t>.</w:t>
      </w:r>
    </w:p>
    <w:p w:rsidR="00444E09" w:rsidRPr="00A81003" w:rsidRDefault="00FE0C19" w:rsidP="0029520B">
      <w:pPr>
        <w:pStyle w:val="ListParagraph"/>
        <w:tabs>
          <w:tab w:val="left" w:pos="0"/>
        </w:tabs>
        <w:adjustRightInd w:val="0"/>
        <w:snapToGrid w:val="0"/>
        <w:spacing w:after="0" w:line="480" w:lineRule="auto"/>
        <w:ind w:left="0" w:firstLine="720"/>
        <w:contextualSpacing w:val="0"/>
        <w:jc w:val="both"/>
      </w:pPr>
      <w:r w:rsidRPr="00A81003">
        <w:rPr>
          <w:sz w:val="24"/>
          <w:szCs w:val="24"/>
        </w:rPr>
        <w:t>The pape</w:t>
      </w:r>
      <w:r w:rsidR="00C52C82" w:rsidRPr="00A81003">
        <w:rPr>
          <w:sz w:val="24"/>
          <w:szCs w:val="24"/>
        </w:rPr>
        <w:t xml:space="preserve">r </w:t>
      </w:r>
      <w:r w:rsidR="0031361A">
        <w:rPr>
          <w:sz w:val="24"/>
          <w:szCs w:val="24"/>
        </w:rPr>
        <w:t>provides</w:t>
      </w:r>
      <w:r w:rsidR="0031361A" w:rsidRPr="00A81003">
        <w:rPr>
          <w:sz w:val="24"/>
          <w:szCs w:val="24"/>
        </w:rPr>
        <w:t xml:space="preserve"> </w:t>
      </w:r>
      <w:r w:rsidR="002543FB" w:rsidRPr="00A81003">
        <w:rPr>
          <w:sz w:val="24"/>
          <w:szCs w:val="24"/>
        </w:rPr>
        <w:t>four</w:t>
      </w:r>
      <w:r w:rsidR="00407BEB" w:rsidRPr="00A81003">
        <w:rPr>
          <w:sz w:val="24"/>
          <w:szCs w:val="24"/>
        </w:rPr>
        <w:t xml:space="preserve"> </w:t>
      </w:r>
      <w:r w:rsidR="00102EEA" w:rsidRPr="00A81003">
        <w:rPr>
          <w:sz w:val="24"/>
          <w:szCs w:val="24"/>
        </w:rPr>
        <w:t xml:space="preserve">important </w:t>
      </w:r>
      <w:r w:rsidRPr="00A81003">
        <w:rPr>
          <w:sz w:val="24"/>
          <w:szCs w:val="24"/>
        </w:rPr>
        <w:t>contribut</w:t>
      </w:r>
      <w:r w:rsidR="00DA74A5" w:rsidRPr="00A81003">
        <w:rPr>
          <w:sz w:val="24"/>
          <w:szCs w:val="24"/>
        </w:rPr>
        <w:t xml:space="preserve">ions. First, </w:t>
      </w:r>
      <w:r w:rsidR="000960DF" w:rsidRPr="00A81003">
        <w:rPr>
          <w:sz w:val="24"/>
          <w:szCs w:val="24"/>
        </w:rPr>
        <w:t xml:space="preserve">we </w:t>
      </w:r>
      <w:r w:rsidR="00102EEA" w:rsidRPr="00A81003">
        <w:rPr>
          <w:sz w:val="24"/>
          <w:szCs w:val="24"/>
        </w:rPr>
        <w:t xml:space="preserve">offer </w:t>
      </w:r>
      <w:r w:rsidR="00CB0668" w:rsidRPr="00A81003">
        <w:rPr>
          <w:sz w:val="24"/>
          <w:szCs w:val="24"/>
        </w:rPr>
        <w:t xml:space="preserve">unprecedented breadth </w:t>
      </w:r>
      <w:r w:rsidR="00441B37" w:rsidRPr="00A81003">
        <w:rPr>
          <w:sz w:val="24"/>
          <w:szCs w:val="24"/>
        </w:rPr>
        <w:t xml:space="preserve">in our efforts to </w:t>
      </w:r>
      <w:r w:rsidR="000960DF" w:rsidRPr="00A81003">
        <w:rPr>
          <w:sz w:val="24"/>
          <w:szCs w:val="24"/>
        </w:rPr>
        <w:t>identify the</w:t>
      </w:r>
      <w:r w:rsidR="0091271A" w:rsidRPr="00A81003">
        <w:rPr>
          <w:sz w:val="24"/>
          <w:szCs w:val="24"/>
        </w:rPr>
        <w:t xml:space="preserve"> potential</w:t>
      </w:r>
      <w:r w:rsidR="000960DF" w:rsidRPr="00A81003">
        <w:rPr>
          <w:sz w:val="24"/>
          <w:szCs w:val="24"/>
        </w:rPr>
        <w:t xml:space="preserve"> predictors</w:t>
      </w:r>
      <w:r w:rsidR="0091271A" w:rsidRPr="00A81003">
        <w:rPr>
          <w:sz w:val="24"/>
          <w:szCs w:val="24"/>
        </w:rPr>
        <w:t xml:space="preserve"> of Bitcoin returns</w:t>
      </w:r>
      <w:r w:rsidR="00CB0668" w:rsidRPr="00A81003">
        <w:rPr>
          <w:sz w:val="24"/>
          <w:szCs w:val="24"/>
        </w:rPr>
        <w:t>,</w:t>
      </w:r>
      <w:r w:rsidR="0091271A" w:rsidRPr="00A81003">
        <w:rPr>
          <w:sz w:val="24"/>
          <w:szCs w:val="24"/>
        </w:rPr>
        <w:t xml:space="preserve"> </w:t>
      </w:r>
      <w:r w:rsidR="00F505CC" w:rsidRPr="00A81003">
        <w:rPr>
          <w:sz w:val="24"/>
          <w:szCs w:val="24"/>
        </w:rPr>
        <w:t xml:space="preserve">which are </w:t>
      </w:r>
      <w:r w:rsidR="0091271A" w:rsidRPr="00A81003">
        <w:rPr>
          <w:sz w:val="24"/>
          <w:szCs w:val="24"/>
        </w:rPr>
        <w:t xml:space="preserve">crucial </w:t>
      </w:r>
      <w:r w:rsidR="00C52C82" w:rsidRPr="00A81003">
        <w:rPr>
          <w:sz w:val="24"/>
          <w:szCs w:val="24"/>
        </w:rPr>
        <w:t>for portfolio management purposes.</w:t>
      </w:r>
      <w:r w:rsidR="006B499C" w:rsidRPr="00A81003">
        <w:rPr>
          <w:sz w:val="24"/>
          <w:szCs w:val="24"/>
        </w:rPr>
        <w:t xml:space="preserve"> </w:t>
      </w:r>
      <w:r w:rsidR="005C2F1D" w:rsidRPr="00A81003">
        <w:rPr>
          <w:sz w:val="24"/>
          <w:szCs w:val="24"/>
        </w:rPr>
        <w:t xml:space="preserve">This is </w:t>
      </w:r>
      <w:r w:rsidR="00CB0668" w:rsidRPr="00A81003">
        <w:rPr>
          <w:sz w:val="24"/>
          <w:szCs w:val="24"/>
        </w:rPr>
        <w:t>timely</w:t>
      </w:r>
      <w:r w:rsidR="00EF796B" w:rsidRPr="00A81003">
        <w:rPr>
          <w:sz w:val="24"/>
          <w:szCs w:val="24"/>
        </w:rPr>
        <w:t>,</w:t>
      </w:r>
      <w:r w:rsidR="005C2F1D" w:rsidRPr="00A81003">
        <w:rPr>
          <w:sz w:val="24"/>
          <w:szCs w:val="24"/>
        </w:rPr>
        <w:t xml:space="preserve"> </w:t>
      </w:r>
      <w:r w:rsidR="00EF796B" w:rsidRPr="00A81003">
        <w:rPr>
          <w:sz w:val="24"/>
          <w:szCs w:val="24"/>
        </w:rPr>
        <w:t xml:space="preserve">as </w:t>
      </w:r>
      <w:r w:rsidR="005C2F1D" w:rsidRPr="00A81003">
        <w:rPr>
          <w:sz w:val="24"/>
          <w:szCs w:val="24"/>
        </w:rPr>
        <w:t>the</w:t>
      </w:r>
      <w:r w:rsidR="00E10074" w:rsidRPr="00A81003">
        <w:rPr>
          <w:sz w:val="24"/>
          <w:szCs w:val="24"/>
        </w:rPr>
        <w:t xml:space="preserve"> </w:t>
      </w:r>
      <w:r w:rsidR="00CB0668" w:rsidRPr="00A81003">
        <w:rPr>
          <w:sz w:val="24"/>
          <w:szCs w:val="24"/>
        </w:rPr>
        <w:t xml:space="preserve">specific </w:t>
      </w:r>
      <w:r w:rsidR="005C2F1D" w:rsidRPr="00A81003">
        <w:rPr>
          <w:sz w:val="24"/>
          <w:szCs w:val="24"/>
        </w:rPr>
        <w:t xml:space="preserve">use </w:t>
      </w:r>
      <w:r w:rsidR="00E10074" w:rsidRPr="00A81003">
        <w:rPr>
          <w:sz w:val="24"/>
          <w:szCs w:val="24"/>
        </w:rPr>
        <w:t xml:space="preserve">of Bitcoin </w:t>
      </w:r>
      <w:r w:rsidR="005C2F1D" w:rsidRPr="00A81003">
        <w:rPr>
          <w:sz w:val="24"/>
          <w:szCs w:val="24"/>
        </w:rPr>
        <w:t>in</w:t>
      </w:r>
      <w:r w:rsidR="00E10074" w:rsidRPr="00A81003">
        <w:rPr>
          <w:sz w:val="24"/>
          <w:szCs w:val="24"/>
        </w:rPr>
        <w:t xml:space="preserve"> wider portfolio management strateg</w:t>
      </w:r>
      <w:r w:rsidR="00CB0668" w:rsidRPr="00A81003">
        <w:rPr>
          <w:sz w:val="24"/>
          <w:szCs w:val="24"/>
        </w:rPr>
        <w:t>ies</w:t>
      </w:r>
      <w:r w:rsidR="00E10074" w:rsidRPr="00A81003">
        <w:rPr>
          <w:sz w:val="24"/>
          <w:szCs w:val="24"/>
        </w:rPr>
        <w:t xml:space="preserve"> has been shown to provide hedging benefits </w:t>
      </w:r>
      <w:r w:rsidR="00A6272A" w:rsidRPr="00A81003">
        <w:rPr>
          <w:sz w:val="24"/>
          <w:szCs w:val="24"/>
        </w:rPr>
        <w:t>(</w:t>
      </w:r>
      <w:proofErr w:type="spellStart"/>
      <w:r w:rsidR="00A6272A" w:rsidRPr="00A81003">
        <w:rPr>
          <w:sz w:val="24"/>
          <w:szCs w:val="24"/>
        </w:rPr>
        <w:t>Atsalakis</w:t>
      </w:r>
      <w:proofErr w:type="spellEnd"/>
      <w:r w:rsidR="003268C0" w:rsidRPr="00A81003">
        <w:rPr>
          <w:sz w:val="24"/>
          <w:szCs w:val="24"/>
        </w:rPr>
        <w:t xml:space="preserve"> et al</w:t>
      </w:r>
      <w:r w:rsidR="00CF063A">
        <w:rPr>
          <w:sz w:val="24"/>
          <w:szCs w:val="24"/>
        </w:rPr>
        <w:t>.</w:t>
      </w:r>
      <w:r w:rsidR="00B76CA4" w:rsidRPr="00A81003">
        <w:rPr>
          <w:sz w:val="24"/>
          <w:szCs w:val="24"/>
        </w:rPr>
        <w:t>,</w:t>
      </w:r>
      <w:r w:rsidR="007136D3" w:rsidRPr="00A81003">
        <w:rPr>
          <w:sz w:val="24"/>
          <w:szCs w:val="24"/>
        </w:rPr>
        <w:t xml:space="preserve"> 2019; </w:t>
      </w:r>
      <w:proofErr w:type="spellStart"/>
      <w:r w:rsidR="007136D3" w:rsidRPr="00A81003">
        <w:rPr>
          <w:sz w:val="24"/>
          <w:szCs w:val="24"/>
        </w:rPr>
        <w:t>Kajtazi</w:t>
      </w:r>
      <w:proofErr w:type="spellEnd"/>
      <w:r w:rsidR="007136D3" w:rsidRPr="00A81003">
        <w:rPr>
          <w:sz w:val="24"/>
          <w:szCs w:val="24"/>
        </w:rPr>
        <w:t xml:space="preserve"> and Moro</w:t>
      </w:r>
      <w:r w:rsidR="007E309E">
        <w:rPr>
          <w:sz w:val="24"/>
          <w:szCs w:val="24"/>
        </w:rPr>
        <w:t>,</w:t>
      </w:r>
      <w:r w:rsidR="007136D3" w:rsidRPr="00A81003">
        <w:rPr>
          <w:sz w:val="24"/>
          <w:szCs w:val="24"/>
        </w:rPr>
        <w:t xml:space="preserve"> 2018)</w:t>
      </w:r>
      <w:r w:rsidR="0036271C" w:rsidRPr="00A81003">
        <w:rPr>
          <w:sz w:val="24"/>
          <w:szCs w:val="24"/>
        </w:rPr>
        <w:t>;</w:t>
      </w:r>
      <w:r w:rsidR="005C2F1D" w:rsidRPr="00A81003">
        <w:rPr>
          <w:sz w:val="24"/>
          <w:szCs w:val="24"/>
        </w:rPr>
        <w:t xml:space="preserve"> </w:t>
      </w:r>
      <w:r w:rsidR="00EF796B" w:rsidRPr="00A81003">
        <w:rPr>
          <w:sz w:val="24"/>
          <w:szCs w:val="24"/>
        </w:rPr>
        <w:t xml:space="preserve">however, </w:t>
      </w:r>
      <w:r w:rsidR="005C2F1D" w:rsidRPr="00A81003">
        <w:rPr>
          <w:sz w:val="24"/>
          <w:szCs w:val="24"/>
        </w:rPr>
        <w:t>Bitcoin markets are typically characteri</w:t>
      </w:r>
      <w:r w:rsidR="00862EDA" w:rsidRPr="00A81003">
        <w:rPr>
          <w:sz w:val="24"/>
          <w:szCs w:val="24"/>
        </w:rPr>
        <w:t>s</w:t>
      </w:r>
      <w:r w:rsidR="005C2F1D" w:rsidRPr="00A81003">
        <w:rPr>
          <w:sz w:val="24"/>
          <w:szCs w:val="24"/>
        </w:rPr>
        <w:t>ed</w:t>
      </w:r>
      <w:r w:rsidR="00615063" w:rsidRPr="00A81003">
        <w:rPr>
          <w:sz w:val="24"/>
          <w:szCs w:val="24"/>
        </w:rPr>
        <w:t xml:space="preserve"> by</w:t>
      </w:r>
      <w:r w:rsidR="005C2F1D" w:rsidRPr="00A81003">
        <w:rPr>
          <w:sz w:val="24"/>
          <w:szCs w:val="24"/>
        </w:rPr>
        <w:t xml:space="preserve"> crashes (Fry </w:t>
      </w:r>
      <w:r w:rsidR="005C2F1D" w:rsidRPr="00A81003">
        <w:rPr>
          <w:sz w:val="24"/>
          <w:szCs w:val="24"/>
        </w:rPr>
        <w:lastRenderedPageBreak/>
        <w:t>and Cheah</w:t>
      </w:r>
      <w:r w:rsidR="00683FB8">
        <w:rPr>
          <w:sz w:val="24"/>
          <w:szCs w:val="24"/>
        </w:rPr>
        <w:t>,</w:t>
      </w:r>
      <w:r w:rsidR="005C2F1D" w:rsidRPr="00A81003">
        <w:rPr>
          <w:sz w:val="24"/>
          <w:szCs w:val="24"/>
        </w:rPr>
        <w:t xml:space="preserve"> 2016)</w:t>
      </w:r>
      <w:r w:rsidR="00615063" w:rsidRPr="00A81003">
        <w:rPr>
          <w:sz w:val="24"/>
          <w:szCs w:val="24"/>
        </w:rPr>
        <w:t>,</w:t>
      </w:r>
      <w:r w:rsidR="005C2F1D" w:rsidRPr="00A81003">
        <w:rPr>
          <w:sz w:val="24"/>
          <w:szCs w:val="24"/>
        </w:rPr>
        <w:t xml:space="preserve"> excessive volatility </w:t>
      </w:r>
      <w:r w:rsidR="00845CB6" w:rsidRPr="00A81003">
        <w:rPr>
          <w:sz w:val="24"/>
          <w:szCs w:val="24"/>
        </w:rPr>
        <w:t>(</w:t>
      </w:r>
      <w:proofErr w:type="spellStart"/>
      <w:r w:rsidR="00845CB6" w:rsidRPr="00A81003">
        <w:rPr>
          <w:sz w:val="24"/>
          <w:szCs w:val="24"/>
        </w:rPr>
        <w:t>Katsiampa</w:t>
      </w:r>
      <w:proofErr w:type="spellEnd"/>
      <w:r w:rsidR="00683FB8">
        <w:rPr>
          <w:sz w:val="24"/>
          <w:szCs w:val="24"/>
        </w:rPr>
        <w:t>,</w:t>
      </w:r>
      <w:r w:rsidR="00845CB6" w:rsidRPr="00A81003">
        <w:rPr>
          <w:sz w:val="24"/>
          <w:szCs w:val="24"/>
        </w:rPr>
        <w:t xml:space="preserve"> 2017)</w:t>
      </w:r>
      <w:r w:rsidR="009E12CC">
        <w:rPr>
          <w:sz w:val="24"/>
          <w:szCs w:val="24"/>
        </w:rPr>
        <w:t>,</w:t>
      </w:r>
      <w:r w:rsidR="00615063" w:rsidRPr="00A81003">
        <w:rPr>
          <w:sz w:val="24"/>
          <w:szCs w:val="24"/>
        </w:rPr>
        <w:t xml:space="preserve"> and positive </w:t>
      </w:r>
      <w:r w:rsidR="005C2F1D" w:rsidRPr="00A81003">
        <w:rPr>
          <w:sz w:val="24"/>
          <w:szCs w:val="24"/>
        </w:rPr>
        <w:t>ret</w:t>
      </w:r>
      <w:r w:rsidR="007F60F2" w:rsidRPr="00A81003">
        <w:rPr>
          <w:sz w:val="24"/>
          <w:szCs w:val="24"/>
        </w:rPr>
        <w:t>urns when the</w:t>
      </w:r>
      <w:r w:rsidR="005C2F1D" w:rsidRPr="00A81003">
        <w:rPr>
          <w:sz w:val="24"/>
          <w:szCs w:val="24"/>
        </w:rPr>
        <w:t xml:space="preserve"> fundamental value</w:t>
      </w:r>
      <w:r w:rsidR="007F60F2" w:rsidRPr="00A81003">
        <w:rPr>
          <w:sz w:val="24"/>
          <w:szCs w:val="24"/>
        </w:rPr>
        <w:t xml:space="preserve"> is shown to be zero</w:t>
      </w:r>
      <w:r w:rsidR="005C2F1D" w:rsidRPr="00A81003">
        <w:rPr>
          <w:sz w:val="24"/>
          <w:szCs w:val="24"/>
        </w:rPr>
        <w:t xml:space="preserve"> (Cheah and Fry</w:t>
      </w:r>
      <w:r w:rsidR="00683FB8">
        <w:rPr>
          <w:sz w:val="24"/>
          <w:szCs w:val="24"/>
        </w:rPr>
        <w:t>,</w:t>
      </w:r>
      <w:r w:rsidR="005C2F1D" w:rsidRPr="00A81003">
        <w:rPr>
          <w:sz w:val="24"/>
          <w:szCs w:val="24"/>
        </w:rPr>
        <w:t xml:space="preserve"> 2015)</w:t>
      </w:r>
      <w:r w:rsidR="00E10074" w:rsidRPr="00A81003">
        <w:rPr>
          <w:sz w:val="24"/>
          <w:szCs w:val="24"/>
        </w:rPr>
        <w:t xml:space="preserve">. </w:t>
      </w:r>
      <w:r w:rsidR="00C52C82" w:rsidRPr="00A81003">
        <w:rPr>
          <w:sz w:val="24"/>
          <w:szCs w:val="24"/>
        </w:rPr>
        <w:t>Second, we propose several</w:t>
      </w:r>
      <w:r w:rsidR="00BD1873" w:rsidRPr="00A81003">
        <w:rPr>
          <w:sz w:val="24"/>
          <w:szCs w:val="24"/>
        </w:rPr>
        <w:t xml:space="preserve"> market </w:t>
      </w:r>
      <w:r w:rsidR="0091271A" w:rsidRPr="00A81003">
        <w:rPr>
          <w:sz w:val="24"/>
          <w:szCs w:val="24"/>
        </w:rPr>
        <w:t>predictors</w:t>
      </w:r>
      <w:r w:rsidR="00C52C82" w:rsidRPr="00A81003">
        <w:rPr>
          <w:sz w:val="24"/>
          <w:szCs w:val="24"/>
        </w:rPr>
        <w:t xml:space="preserve"> not widely explored in Bitcoin literature</w:t>
      </w:r>
      <w:r w:rsidR="00EF796B" w:rsidRPr="00A81003">
        <w:rPr>
          <w:sz w:val="24"/>
          <w:szCs w:val="24"/>
        </w:rPr>
        <w:t xml:space="preserve"> that </w:t>
      </w:r>
      <w:r w:rsidR="0091271A" w:rsidRPr="00A81003">
        <w:rPr>
          <w:sz w:val="24"/>
          <w:szCs w:val="24"/>
        </w:rPr>
        <w:t xml:space="preserve">may help </w:t>
      </w:r>
      <w:r w:rsidR="005C2F1D" w:rsidRPr="00A81003">
        <w:rPr>
          <w:sz w:val="24"/>
          <w:szCs w:val="24"/>
        </w:rPr>
        <w:t xml:space="preserve">to </w:t>
      </w:r>
      <w:r w:rsidR="0091271A" w:rsidRPr="00A81003">
        <w:rPr>
          <w:sz w:val="24"/>
          <w:szCs w:val="24"/>
        </w:rPr>
        <w:t>predict</w:t>
      </w:r>
      <w:r w:rsidR="005C2F1D" w:rsidRPr="00A81003">
        <w:rPr>
          <w:sz w:val="24"/>
          <w:szCs w:val="24"/>
        </w:rPr>
        <w:t xml:space="preserve"> </w:t>
      </w:r>
      <w:r w:rsidR="0091271A" w:rsidRPr="00A81003">
        <w:rPr>
          <w:sz w:val="24"/>
          <w:szCs w:val="24"/>
        </w:rPr>
        <w:t>Bitcoin returns.</w:t>
      </w:r>
      <w:r w:rsidR="00E10074" w:rsidRPr="00A81003">
        <w:rPr>
          <w:sz w:val="24"/>
          <w:szCs w:val="24"/>
        </w:rPr>
        <w:t xml:space="preserve"> </w:t>
      </w:r>
      <w:r w:rsidR="00EF796B" w:rsidRPr="00A81003">
        <w:rPr>
          <w:sz w:val="24"/>
          <w:szCs w:val="24"/>
        </w:rPr>
        <w:t>Additionally</w:t>
      </w:r>
      <w:r w:rsidR="00615063" w:rsidRPr="00A81003">
        <w:rPr>
          <w:sz w:val="24"/>
          <w:szCs w:val="24"/>
        </w:rPr>
        <w:t>, w</w:t>
      </w:r>
      <w:r w:rsidR="005C2F1D" w:rsidRPr="00A81003">
        <w:rPr>
          <w:sz w:val="24"/>
          <w:szCs w:val="24"/>
        </w:rPr>
        <w:t xml:space="preserve">e explore the relative strength of other </w:t>
      </w:r>
      <w:r w:rsidR="00BD1873" w:rsidRPr="00A81003">
        <w:rPr>
          <w:sz w:val="24"/>
          <w:szCs w:val="24"/>
        </w:rPr>
        <w:t xml:space="preserve">market </w:t>
      </w:r>
      <w:r w:rsidR="005C2F1D" w:rsidRPr="00A81003">
        <w:rPr>
          <w:sz w:val="24"/>
          <w:szCs w:val="24"/>
        </w:rPr>
        <w:t>predictors that have been suggested as potential predi</w:t>
      </w:r>
      <w:r w:rsidR="00615063" w:rsidRPr="00A81003">
        <w:rPr>
          <w:sz w:val="24"/>
          <w:szCs w:val="24"/>
        </w:rPr>
        <w:t>ctors of Bitcoin returns</w:t>
      </w:r>
      <w:r w:rsidR="007F60F2" w:rsidRPr="00A81003">
        <w:rPr>
          <w:sz w:val="24"/>
          <w:szCs w:val="24"/>
        </w:rPr>
        <w:t>.</w:t>
      </w:r>
      <w:r w:rsidR="00615063" w:rsidRPr="00A81003">
        <w:rPr>
          <w:sz w:val="24"/>
          <w:szCs w:val="24"/>
        </w:rPr>
        <w:t xml:space="preserve"> These include</w:t>
      </w:r>
      <w:r w:rsidR="005C2F1D" w:rsidRPr="00A81003">
        <w:rPr>
          <w:sz w:val="24"/>
          <w:szCs w:val="24"/>
        </w:rPr>
        <w:t xml:space="preserve"> </w:t>
      </w:r>
      <w:r w:rsidR="0031361A">
        <w:rPr>
          <w:sz w:val="24"/>
          <w:szCs w:val="24"/>
        </w:rPr>
        <w:t xml:space="preserve">the </w:t>
      </w:r>
      <w:r w:rsidR="00E10074" w:rsidRPr="00A81003">
        <w:rPr>
          <w:sz w:val="24"/>
          <w:szCs w:val="24"/>
        </w:rPr>
        <w:t>trading volume</w:t>
      </w:r>
      <w:r w:rsidR="00D20193" w:rsidRPr="00A81003">
        <w:rPr>
          <w:sz w:val="24"/>
          <w:szCs w:val="24"/>
        </w:rPr>
        <w:t xml:space="preserve"> </w:t>
      </w:r>
      <w:r w:rsidR="00845CB6" w:rsidRPr="00A81003">
        <w:rPr>
          <w:sz w:val="24"/>
          <w:szCs w:val="24"/>
        </w:rPr>
        <w:t>(</w:t>
      </w:r>
      <w:proofErr w:type="spellStart"/>
      <w:r w:rsidR="00845CB6" w:rsidRPr="00A81003">
        <w:rPr>
          <w:sz w:val="24"/>
          <w:szCs w:val="24"/>
        </w:rPr>
        <w:t>Koutmos</w:t>
      </w:r>
      <w:proofErr w:type="spellEnd"/>
      <w:r w:rsidR="00CB7296">
        <w:rPr>
          <w:sz w:val="24"/>
          <w:szCs w:val="24"/>
        </w:rPr>
        <w:t>,</w:t>
      </w:r>
      <w:r w:rsidR="00845CB6" w:rsidRPr="00A81003">
        <w:rPr>
          <w:sz w:val="24"/>
          <w:szCs w:val="24"/>
        </w:rPr>
        <w:t xml:space="preserve"> 2018a)</w:t>
      </w:r>
      <w:r w:rsidR="00E10074" w:rsidRPr="00A81003">
        <w:rPr>
          <w:sz w:val="24"/>
          <w:szCs w:val="24"/>
        </w:rPr>
        <w:t xml:space="preserve">, </w:t>
      </w:r>
      <w:r w:rsidR="00187BD9" w:rsidRPr="00A81003">
        <w:rPr>
          <w:sz w:val="24"/>
          <w:szCs w:val="24"/>
        </w:rPr>
        <w:t>return</w:t>
      </w:r>
      <w:r w:rsidR="00893B63" w:rsidRPr="00A81003">
        <w:rPr>
          <w:sz w:val="24"/>
          <w:szCs w:val="24"/>
        </w:rPr>
        <w:t>s</w:t>
      </w:r>
      <w:r w:rsidR="00EF796B" w:rsidRPr="00A81003">
        <w:rPr>
          <w:sz w:val="24"/>
          <w:szCs w:val="24"/>
        </w:rPr>
        <w:t>’</w:t>
      </w:r>
      <w:r w:rsidR="00187BD9" w:rsidRPr="00A81003">
        <w:rPr>
          <w:sz w:val="24"/>
          <w:szCs w:val="24"/>
        </w:rPr>
        <w:t xml:space="preserve"> volatility (</w:t>
      </w:r>
      <w:proofErr w:type="spellStart"/>
      <w:r w:rsidR="00187BD9" w:rsidRPr="00A81003">
        <w:rPr>
          <w:sz w:val="24"/>
          <w:szCs w:val="24"/>
        </w:rPr>
        <w:t>Bouri</w:t>
      </w:r>
      <w:proofErr w:type="spellEnd"/>
      <w:r w:rsidR="003268C0" w:rsidRPr="00A81003">
        <w:rPr>
          <w:sz w:val="24"/>
          <w:szCs w:val="24"/>
        </w:rPr>
        <w:t xml:space="preserve"> et al</w:t>
      </w:r>
      <w:r w:rsidR="00C2209B">
        <w:rPr>
          <w:sz w:val="24"/>
          <w:szCs w:val="24"/>
        </w:rPr>
        <w:t>.</w:t>
      </w:r>
      <w:r w:rsidR="00893B63" w:rsidRPr="00A81003">
        <w:rPr>
          <w:sz w:val="24"/>
          <w:szCs w:val="24"/>
        </w:rPr>
        <w:t>,</w:t>
      </w:r>
      <w:r w:rsidR="00187BD9" w:rsidRPr="00A81003">
        <w:rPr>
          <w:sz w:val="24"/>
          <w:szCs w:val="24"/>
        </w:rPr>
        <w:t xml:space="preserve"> 2016)</w:t>
      </w:r>
      <w:r w:rsidR="00231553" w:rsidRPr="00A81003">
        <w:rPr>
          <w:sz w:val="24"/>
          <w:szCs w:val="24"/>
        </w:rPr>
        <w:t>,</w:t>
      </w:r>
      <w:r w:rsidR="00187BD9" w:rsidRPr="00A81003">
        <w:rPr>
          <w:sz w:val="24"/>
          <w:szCs w:val="24"/>
        </w:rPr>
        <w:t xml:space="preserve"> </w:t>
      </w:r>
      <w:r w:rsidR="00A24A3A" w:rsidRPr="00A81003">
        <w:rPr>
          <w:sz w:val="24"/>
          <w:szCs w:val="24"/>
        </w:rPr>
        <w:t xml:space="preserve">risk </w:t>
      </w:r>
      <w:r w:rsidR="00B94445" w:rsidRPr="00A81003">
        <w:rPr>
          <w:sz w:val="24"/>
          <w:szCs w:val="24"/>
        </w:rPr>
        <w:t xml:space="preserve">exposure </w:t>
      </w:r>
      <w:r w:rsidR="00845CB6" w:rsidRPr="00A81003">
        <w:rPr>
          <w:sz w:val="24"/>
          <w:szCs w:val="24"/>
        </w:rPr>
        <w:t>(</w:t>
      </w:r>
      <w:proofErr w:type="spellStart"/>
      <w:r w:rsidR="00845CB6" w:rsidRPr="00A81003">
        <w:rPr>
          <w:sz w:val="24"/>
          <w:szCs w:val="24"/>
        </w:rPr>
        <w:t>Borri</w:t>
      </w:r>
      <w:proofErr w:type="spellEnd"/>
      <w:r w:rsidR="00683FB8">
        <w:rPr>
          <w:sz w:val="24"/>
          <w:szCs w:val="24"/>
        </w:rPr>
        <w:t>,</w:t>
      </w:r>
      <w:r w:rsidR="00845CB6" w:rsidRPr="00A81003">
        <w:rPr>
          <w:sz w:val="24"/>
          <w:szCs w:val="24"/>
        </w:rPr>
        <w:t xml:space="preserve"> 2019)</w:t>
      </w:r>
      <w:r w:rsidR="007F60F2" w:rsidRPr="00A81003">
        <w:rPr>
          <w:sz w:val="24"/>
          <w:szCs w:val="24"/>
        </w:rPr>
        <w:t>, serial dependence</w:t>
      </w:r>
      <w:r w:rsidR="00A24A3A" w:rsidRPr="00A81003">
        <w:rPr>
          <w:sz w:val="24"/>
          <w:szCs w:val="24"/>
        </w:rPr>
        <w:t xml:space="preserve"> </w:t>
      </w:r>
      <w:r w:rsidR="002B375C" w:rsidRPr="00A81003">
        <w:rPr>
          <w:sz w:val="24"/>
          <w:szCs w:val="24"/>
        </w:rPr>
        <w:t>(Cheah</w:t>
      </w:r>
      <w:r w:rsidR="007136D3" w:rsidRPr="00A81003">
        <w:rPr>
          <w:sz w:val="24"/>
          <w:szCs w:val="24"/>
        </w:rPr>
        <w:t xml:space="preserve"> et al</w:t>
      </w:r>
      <w:r w:rsidR="00CB7296">
        <w:rPr>
          <w:sz w:val="24"/>
          <w:szCs w:val="24"/>
        </w:rPr>
        <w:t>.</w:t>
      </w:r>
      <w:r w:rsidR="00893B63" w:rsidRPr="00A81003">
        <w:rPr>
          <w:sz w:val="24"/>
          <w:szCs w:val="24"/>
        </w:rPr>
        <w:t>,</w:t>
      </w:r>
      <w:r w:rsidR="002B375C" w:rsidRPr="00A81003">
        <w:rPr>
          <w:sz w:val="24"/>
          <w:szCs w:val="24"/>
        </w:rPr>
        <w:t xml:space="preserve"> 2018)</w:t>
      </w:r>
      <w:r w:rsidR="007F60F2" w:rsidRPr="00A81003">
        <w:rPr>
          <w:sz w:val="24"/>
          <w:szCs w:val="24"/>
        </w:rPr>
        <w:t>,</w:t>
      </w:r>
      <w:r w:rsidR="000742C9" w:rsidRPr="00A81003">
        <w:rPr>
          <w:sz w:val="24"/>
          <w:szCs w:val="24"/>
        </w:rPr>
        <w:t xml:space="preserve"> li</w:t>
      </w:r>
      <w:r w:rsidR="007F60F2" w:rsidRPr="00A81003">
        <w:rPr>
          <w:sz w:val="24"/>
          <w:szCs w:val="24"/>
        </w:rPr>
        <w:t>quidity</w:t>
      </w:r>
      <w:r w:rsidR="00862EDA" w:rsidRPr="00A81003">
        <w:rPr>
          <w:sz w:val="24"/>
          <w:szCs w:val="24"/>
        </w:rPr>
        <w:t>,</w:t>
      </w:r>
      <w:r w:rsidR="007F60F2" w:rsidRPr="00A81003">
        <w:rPr>
          <w:sz w:val="24"/>
          <w:szCs w:val="24"/>
        </w:rPr>
        <w:t xml:space="preserve"> and crash</w:t>
      </w:r>
      <w:r w:rsidR="00893B63" w:rsidRPr="00A81003">
        <w:rPr>
          <w:sz w:val="24"/>
          <w:szCs w:val="24"/>
        </w:rPr>
        <w:t>es</w:t>
      </w:r>
      <w:r w:rsidR="000742C9" w:rsidRPr="00A81003">
        <w:rPr>
          <w:sz w:val="24"/>
          <w:szCs w:val="24"/>
        </w:rPr>
        <w:t xml:space="preserve"> (</w:t>
      </w:r>
      <w:proofErr w:type="spellStart"/>
      <w:r w:rsidR="000742C9" w:rsidRPr="00A81003">
        <w:rPr>
          <w:sz w:val="24"/>
          <w:szCs w:val="24"/>
        </w:rPr>
        <w:t>Donier</w:t>
      </w:r>
      <w:proofErr w:type="spellEnd"/>
      <w:r w:rsidR="000742C9" w:rsidRPr="00A81003">
        <w:rPr>
          <w:sz w:val="24"/>
          <w:szCs w:val="24"/>
        </w:rPr>
        <w:t xml:space="preserve"> and </w:t>
      </w:r>
      <w:proofErr w:type="spellStart"/>
      <w:r w:rsidR="000742C9" w:rsidRPr="00A81003">
        <w:rPr>
          <w:sz w:val="24"/>
          <w:szCs w:val="24"/>
        </w:rPr>
        <w:t>Bouchand</w:t>
      </w:r>
      <w:proofErr w:type="spellEnd"/>
      <w:r w:rsidR="00683FB8">
        <w:rPr>
          <w:sz w:val="24"/>
          <w:szCs w:val="24"/>
        </w:rPr>
        <w:t>,</w:t>
      </w:r>
      <w:r w:rsidR="000742C9" w:rsidRPr="00A81003">
        <w:rPr>
          <w:sz w:val="24"/>
          <w:szCs w:val="24"/>
        </w:rPr>
        <w:t xml:space="preserve"> 2015)</w:t>
      </w:r>
      <w:r w:rsidR="00E10074" w:rsidRPr="00A81003">
        <w:rPr>
          <w:sz w:val="24"/>
          <w:szCs w:val="24"/>
        </w:rPr>
        <w:t xml:space="preserve">. </w:t>
      </w:r>
      <w:r w:rsidR="002543FB" w:rsidRPr="00A81003">
        <w:rPr>
          <w:sz w:val="24"/>
          <w:szCs w:val="24"/>
        </w:rPr>
        <w:t>Third,</w:t>
      </w:r>
      <w:r w:rsidR="000742C9" w:rsidRPr="00A81003">
        <w:rPr>
          <w:sz w:val="24"/>
          <w:szCs w:val="24"/>
        </w:rPr>
        <w:t xml:space="preserve"> we explore the relative strength of sentiment</w:t>
      </w:r>
      <w:r w:rsidR="00C66C7B" w:rsidRPr="00A81003">
        <w:rPr>
          <w:sz w:val="24"/>
          <w:szCs w:val="24"/>
        </w:rPr>
        <w:t xml:space="preserve"> and uncertainty</w:t>
      </w:r>
      <w:r w:rsidR="000742C9" w:rsidRPr="00A81003">
        <w:rPr>
          <w:sz w:val="24"/>
          <w:szCs w:val="24"/>
        </w:rPr>
        <w:t xml:space="preserve"> as predictors of Bitcoin returns</w:t>
      </w:r>
      <w:r w:rsidR="00EF796B" w:rsidRPr="00A81003">
        <w:rPr>
          <w:sz w:val="24"/>
          <w:szCs w:val="24"/>
        </w:rPr>
        <w:t>,</w:t>
      </w:r>
      <w:r w:rsidR="000742C9" w:rsidRPr="00A81003">
        <w:rPr>
          <w:sz w:val="24"/>
          <w:szCs w:val="24"/>
        </w:rPr>
        <w:t xml:space="preserve"> </w:t>
      </w:r>
      <w:r w:rsidR="00EF796B" w:rsidRPr="00A81003">
        <w:rPr>
          <w:sz w:val="24"/>
          <w:szCs w:val="24"/>
        </w:rPr>
        <w:t xml:space="preserve">as suggested by </w:t>
      </w:r>
      <w:r w:rsidR="000742C9" w:rsidRPr="00A81003">
        <w:rPr>
          <w:sz w:val="24"/>
          <w:szCs w:val="24"/>
        </w:rPr>
        <w:t xml:space="preserve">previous studies </w:t>
      </w:r>
      <w:r w:rsidR="00615063" w:rsidRPr="00A81003">
        <w:rPr>
          <w:sz w:val="24"/>
          <w:szCs w:val="24"/>
        </w:rPr>
        <w:t>(</w:t>
      </w:r>
      <w:r w:rsidR="000742C9" w:rsidRPr="00A81003">
        <w:rPr>
          <w:sz w:val="24"/>
          <w:szCs w:val="24"/>
        </w:rPr>
        <w:t>Demir</w:t>
      </w:r>
      <w:r w:rsidR="004E714B" w:rsidRPr="00A81003">
        <w:rPr>
          <w:sz w:val="24"/>
          <w:szCs w:val="24"/>
        </w:rPr>
        <w:t xml:space="preserve"> et al</w:t>
      </w:r>
      <w:r w:rsidR="00CB7296">
        <w:rPr>
          <w:sz w:val="24"/>
          <w:szCs w:val="24"/>
        </w:rPr>
        <w:t>.</w:t>
      </w:r>
      <w:r w:rsidR="004E714B" w:rsidRPr="00A81003">
        <w:rPr>
          <w:sz w:val="24"/>
          <w:szCs w:val="24"/>
        </w:rPr>
        <w:t>,</w:t>
      </w:r>
      <w:r w:rsidR="000742C9" w:rsidRPr="00A81003">
        <w:rPr>
          <w:sz w:val="24"/>
          <w:szCs w:val="24"/>
        </w:rPr>
        <w:t xml:space="preserve"> </w:t>
      </w:r>
      <w:r w:rsidR="00615063" w:rsidRPr="00A81003">
        <w:rPr>
          <w:sz w:val="24"/>
          <w:szCs w:val="24"/>
        </w:rPr>
        <w:t>2018</w:t>
      </w:r>
      <w:r w:rsidR="004E714B" w:rsidRPr="00A81003">
        <w:rPr>
          <w:sz w:val="24"/>
          <w:szCs w:val="24"/>
        </w:rPr>
        <w:t>;</w:t>
      </w:r>
      <w:r w:rsidR="000742C9" w:rsidRPr="00A81003">
        <w:rPr>
          <w:sz w:val="24"/>
          <w:szCs w:val="24"/>
        </w:rPr>
        <w:t xml:space="preserve"> </w:t>
      </w:r>
      <w:proofErr w:type="spellStart"/>
      <w:r w:rsidR="000742C9" w:rsidRPr="00A81003">
        <w:rPr>
          <w:sz w:val="24"/>
          <w:szCs w:val="24"/>
        </w:rPr>
        <w:t>Karalevicius</w:t>
      </w:r>
      <w:proofErr w:type="spellEnd"/>
      <w:r w:rsidR="000742C9" w:rsidRPr="00A81003">
        <w:rPr>
          <w:sz w:val="24"/>
          <w:szCs w:val="24"/>
        </w:rPr>
        <w:t xml:space="preserve"> </w:t>
      </w:r>
      <w:r w:rsidR="004E714B" w:rsidRPr="00A81003">
        <w:rPr>
          <w:sz w:val="24"/>
          <w:szCs w:val="24"/>
        </w:rPr>
        <w:t>et al</w:t>
      </w:r>
      <w:r w:rsidR="00CB7296">
        <w:rPr>
          <w:sz w:val="24"/>
          <w:szCs w:val="24"/>
        </w:rPr>
        <w:t>.</w:t>
      </w:r>
      <w:r w:rsidR="004E714B" w:rsidRPr="00A81003">
        <w:rPr>
          <w:sz w:val="24"/>
          <w:szCs w:val="24"/>
        </w:rPr>
        <w:t>,</w:t>
      </w:r>
      <w:r w:rsidR="00615063" w:rsidRPr="00A81003">
        <w:rPr>
          <w:sz w:val="24"/>
          <w:szCs w:val="24"/>
        </w:rPr>
        <w:t xml:space="preserve"> 2018)</w:t>
      </w:r>
      <w:r w:rsidR="000742C9" w:rsidRPr="00A81003">
        <w:rPr>
          <w:sz w:val="24"/>
          <w:szCs w:val="24"/>
        </w:rPr>
        <w:t>.</w:t>
      </w:r>
      <w:r w:rsidR="0091271A" w:rsidRPr="00A81003">
        <w:rPr>
          <w:sz w:val="24"/>
          <w:szCs w:val="24"/>
        </w:rPr>
        <w:t xml:space="preserve"> </w:t>
      </w:r>
      <w:r w:rsidR="000E46BB" w:rsidRPr="00A81003">
        <w:rPr>
          <w:sz w:val="24"/>
          <w:szCs w:val="24"/>
        </w:rPr>
        <w:t>Finally</w:t>
      </w:r>
      <w:r w:rsidR="000742C9" w:rsidRPr="00A81003">
        <w:rPr>
          <w:sz w:val="24"/>
          <w:szCs w:val="24"/>
        </w:rPr>
        <w:t xml:space="preserve">, we </w:t>
      </w:r>
      <w:r w:rsidR="001B30F4" w:rsidRPr="00A81003">
        <w:rPr>
          <w:sz w:val="24"/>
          <w:szCs w:val="24"/>
        </w:rPr>
        <w:t xml:space="preserve">demonstrate </w:t>
      </w:r>
      <w:r w:rsidR="00E949FE" w:rsidRPr="00A81003">
        <w:rPr>
          <w:sz w:val="24"/>
          <w:szCs w:val="24"/>
        </w:rPr>
        <w:t xml:space="preserve">the economic value of return predictability </w:t>
      </w:r>
      <w:r w:rsidR="001B30F4" w:rsidRPr="00A81003">
        <w:rPr>
          <w:sz w:val="24"/>
          <w:szCs w:val="24"/>
        </w:rPr>
        <w:t xml:space="preserve">using </w:t>
      </w:r>
      <w:r w:rsidR="00C52C82" w:rsidRPr="00A81003">
        <w:rPr>
          <w:sz w:val="24"/>
          <w:szCs w:val="24"/>
        </w:rPr>
        <w:t xml:space="preserve">our </w:t>
      </w:r>
      <w:r w:rsidR="00E949FE" w:rsidRPr="00A81003">
        <w:rPr>
          <w:sz w:val="24"/>
          <w:szCs w:val="24"/>
        </w:rPr>
        <w:t>identified factors to predict Bitcoin return</w:t>
      </w:r>
      <w:r w:rsidR="00893B63" w:rsidRPr="00A81003">
        <w:rPr>
          <w:sz w:val="24"/>
          <w:szCs w:val="24"/>
        </w:rPr>
        <w:t>s</w:t>
      </w:r>
      <w:r w:rsidR="00B81821" w:rsidRPr="00A81003">
        <w:rPr>
          <w:sz w:val="24"/>
          <w:szCs w:val="24"/>
        </w:rPr>
        <w:t xml:space="preserve"> within</w:t>
      </w:r>
      <w:r w:rsidR="00E91726" w:rsidRPr="00A81003">
        <w:rPr>
          <w:sz w:val="24"/>
          <w:szCs w:val="24"/>
        </w:rPr>
        <w:t xml:space="preserve"> an asset allocation context.</w:t>
      </w:r>
    </w:p>
    <w:p w:rsidR="0031361A" w:rsidRDefault="00EF796B" w:rsidP="0029520B">
      <w:pPr>
        <w:pStyle w:val="ListParagraph"/>
        <w:tabs>
          <w:tab w:val="left" w:pos="0"/>
        </w:tabs>
        <w:adjustRightInd w:val="0"/>
        <w:snapToGrid w:val="0"/>
        <w:spacing w:after="0" w:line="480" w:lineRule="auto"/>
        <w:ind w:left="0" w:firstLine="720"/>
        <w:contextualSpacing w:val="0"/>
        <w:jc w:val="both"/>
        <w:rPr>
          <w:sz w:val="24"/>
          <w:szCs w:val="24"/>
        </w:rPr>
      </w:pPr>
      <w:r w:rsidRPr="00A81003">
        <w:rPr>
          <w:sz w:val="24"/>
          <w:szCs w:val="24"/>
        </w:rPr>
        <w:t>O</w:t>
      </w:r>
      <w:r w:rsidR="00444E09" w:rsidRPr="00A81003">
        <w:rPr>
          <w:sz w:val="24"/>
          <w:szCs w:val="24"/>
        </w:rPr>
        <w:t xml:space="preserve">ur study </w:t>
      </w:r>
      <w:r w:rsidRPr="00A81003">
        <w:rPr>
          <w:sz w:val="24"/>
          <w:szCs w:val="24"/>
        </w:rPr>
        <w:t xml:space="preserve">is </w:t>
      </w:r>
      <w:r w:rsidR="007F244D" w:rsidRPr="00A81003">
        <w:rPr>
          <w:sz w:val="24"/>
          <w:szCs w:val="24"/>
        </w:rPr>
        <w:t>relevant</w:t>
      </w:r>
      <w:r w:rsidR="00444E09" w:rsidRPr="00A81003">
        <w:rPr>
          <w:sz w:val="24"/>
          <w:szCs w:val="24"/>
        </w:rPr>
        <w:t xml:space="preserve"> </w:t>
      </w:r>
      <w:r w:rsidRPr="00A81003">
        <w:rPr>
          <w:sz w:val="24"/>
          <w:szCs w:val="24"/>
        </w:rPr>
        <w:t xml:space="preserve">in </w:t>
      </w:r>
      <w:r w:rsidR="00444E09" w:rsidRPr="00A81003">
        <w:rPr>
          <w:sz w:val="24"/>
          <w:szCs w:val="24"/>
        </w:rPr>
        <w:t>both academi</w:t>
      </w:r>
      <w:r w:rsidR="0036271C" w:rsidRPr="00A81003">
        <w:rPr>
          <w:sz w:val="24"/>
          <w:szCs w:val="24"/>
        </w:rPr>
        <w:t>a</w:t>
      </w:r>
      <w:r w:rsidR="00444E09" w:rsidRPr="00A81003">
        <w:rPr>
          <w:sz w:val="24"/>
          <w:szCs w:val="24"/>
        </w:rPr>
        <w:t xml:space="preserve"> and practice</w:t>
      </w:r>
      <w:r w:rsidRPr="00A81003">
        <w:rPr>
          <w:sz w:val="24"/>
          <w:szCs w:val="24"/>
        </w:rPr>
        <w:t>. First, r</w:t>
      </w:r>
      <w:r w:rsidR="00444E09" w:rsidRPr="00A81003">
        <w:rPr>
          <w:sz w:val="24"/>
          <w:szCs w:val="24"/>
        </w:rPr>
        <w:t xml:space="preserve">esearchers can use our findings as benchmarks for Bitcoin return predictability. For example, the performance </w:t>
      </w:r>
      <w:r w:rsidR="00461E2E" w:rsidRPr="00A81003">
        <w:rPr>
          <w:sz w:val="24"/>
          <w:szCs w:val="24"/>
        </w:rPr>
        <w:t xml:space="preserve">of new </w:t>
      </w:r>
      <w:r w:rsidR="00F82627" w:rsidRPr="00A81003">
        <w:rPr>
          <w:sz w:val="24"/>
          <w:szCs w:val="24"/>
        </w:rPr>
        <w:t xml:space="preserve">proposed </w:t>
      </w:r>
      <w:r w:rsidR="00461E2E" w:rsidRPr="00A81003">
        <w:rPr>
          <w:sz w:val="24"/>
          <w:szCs w:val="24"/>
        </w:rPr>
        <w:t xml:space="preserve">factors </w:t>
      </w:r>
      <w:r w:rsidR="00F82627" w:rsidRPr="00A81003">
        <w:rPr>
          <w:sz w:val="24"/>
          <w:szCs w:val="24"/>
        </w:rPr>
        <w:t xml:space="preserve">in future studies </w:t>
      </w:r>
      <w:r w:rsidR="00444E09" w:rsidRPr="00A81003">
        <w:rPr>
          <w:sz w:val="24"/>
          <w:szCs w:val="24"/>
        </w:rPr>
        <w:t>can be compared with that of time-series momentum</w:t>
      </w:r>
      <w:r w:rsidR="007F244D" w:rsidRPr="00A81003">
        <w:rPr>
          <w:sz w:val="24"/>
          <w:szCs w:val="24"/>
        </w:rPr>
        <w:t>,</w:t>
      </w:r>
      <w:r w:rsidR="00444E09" w:rsidRPr="00A81003">
        <w:rPr>
          <w:sz w:val="24"/>
          <w:szCs w:val="24"/>
        </w:rPr>
        <w:t xml:space="preserve"> </w:t>
      </w:r>
      <w:r w:rsidR="00CE7BBB" w:rsidRPr="00A81003">
        <w:rPr>
          <w:sz w:val="24"/>
          <w:szCs w:val="24"/>
        </w:rPr>
        <w:t>economic policy</w:t>
      </w:r>
      <w:r w:rsidR="00444E09" w:rsidRPr="00A81003">
        <w:rPr>
          <w:sz w:val="24"/>
          <w:szCs w:val="24"/>
        </w:rPr>
        <w:t xml:space="preserve"> uncertainty</w:t>
      </w:r>
      <w:r w:rsidR="008134B8" w:rsidRPr="00A81003">
        <w:rPr>
          <w:sz w:val="24"/>
          <w:szCs w:val="24"/>
        </w:rPr>
        <w:t>,</w:t>
      </w:r>
      <w:r w:rsidR="00CE7BBB" w:rsidRPr="00A81003">
        <w:rPr>
          <w:sz w:val="24"/>
          <w:szCs w:val="24"/>
        </w:rPr>
        <w:t xml:space="preserve"> and financial uncertainty factors</w:t>
      </w:r>
      <w:r w:rsidR="00444E09" w:rsidRPr="00A81003">
        <w:rPr>
          <w:sz w:val="24"/>
          <w:szCs w:val="24"/>
        </w:rPr>
        <w:t xml:space="preserve">. Many factors here can also be used to study other Bitcoin </w:t>
      </w:r>
      <w:r w:rsidR="007F244D" w:rsidRPr="00A81003">
        <w:rPr>
          <w:sz w:val="24"/>
          <w:szCs w:val="24"/>
        </w:rPr>
        <w:t xml:space="preserve">price </w:t>
      </w:r>
      <w:r w:rsidR="00444E09" w:rsidRPr="00A81003">
        <w:rPr>
          <w:sz w:val="24"/>
          <w:szCs w:val="24"/>
        </w:rPr>
        <w:t>features</w:t>
      </w:r>
      <w:r w:rsidR="00862EDA" w:rsidRPr="00A81003">
        <w:rPr>
          <w:sz w:val="24"/>
          <w:szCs w:val="24"/>
        </w:rPr>
        <w:t xml:space="preserve"> </w:t>
      </w:r>
      <w:r w:rsidR="008414E7" w:rsidRPr="00A81003">
        <w:rPr>
          <w:sz w:val="24"/>
          <w:szCs w:val="24"/>
        </w:rPr>
        <w:t xml:space="preserve">(e.g. </w:t>
      </w:r>
      <w:r w:rsidR="00444E09" w:rsidRPr="00A81003">
        <w:rPr>
          <w:sz w:val="24"/>
          <w:szCs w:val="24"/>
        </w:rPr>
        <w:t>volatility</w:t>
      </w:r>
      <w:r w:rsidR="0074227B" w:rsidRPr="00A81003">
        <w:rPr>
          <w:sz w:val="24"/>
          <w:szCs w:val="24"/>
        </w:rPr>
        <w:t>)</w:t>
      </w:r>
      <w:r w:rsidR="00444E09" w:rsidRPr="00A81003">
        <w:rPr>
          <w:sz w:val="24"/>
          <w:szCs w:val="24"/>
        </w:rPr>
        <w:t xml:space="preserve">. </w:t>
      </w:r>
      <w:r w:rsidRPr="00A81003">
        <w:rPr>
          <w:sz w:val="24"/>
          <w:szCs w:val="24"/>
        </w:rPr>
        <w:t xml:space="preserve">This is because various </w:t>
      </w:r>
      <w:r w:rsidR="001B68CE" w:rsidRPr="00A81003">
        <w:rPr>
          <w:sz w:val="24"/>
          <w:szCs w:val="24"/>
        </w:rPr>
        <w:t>funds</w:t>
      </w:r>
      <w:r w:rsidRPr="00A81003">
        <w:rPr>
          <w:sz w:val="24"/>
          <w:szCs w:val="24"/>
        </w:rPr>
        <w:t>—such as</w:t>
      </w:r>
      <w:r w:rsidR="001B68CE" w:rsidRPr="00A81003">
        <w:rPr>
          <w:sz w:val="24"/>
          <w:szCs w:val="24"/>
        </w:rPr>
        <w:t xml:space="preserve"> Crypto Fund AG</w:t>
      </w:r>
      <w:r w:rsidRPr="00A81003">
        <w:rPr>
          <w:sz w:val="24"/>
          <w:szCs w:val="24"/>
        </w:rPr>
        <w:t>—are often established</w:t>
      </w:r>
      <w:r w:rsidR="001B68CE" w:rsidRPr="00A81003">
        <w:rPr>
          <w:sz w:val="24"/>
          <w:szCs w:val="24"/>
        </w:rPr>
        <w:t xml:space="preserve"> to </w:t>
      </w:r>
      <w:r w:rsidRPr="00A81003">
        <w:rPr>
          <w:sz w:val="24"/>
          <w:szCs w:val="24"/>
        </w:rPr>
        <w:t xml:space="preserve">expose </w:t>
      </w:r>
      <w:r w:rsidR="001B68CE" w:rsidRPr="00A81003">
        <w:rPr>
          <w:sz w:val="24"/>
          <w:szCs w:val="24"/>
        </w:rPr>
        <w:t xml:space="preserve">investors to cryptocurrencies. </w:t>
      </w:r>
      <w:r w:rsidR="00444E09" w:rsidRPr="00A81003">
        <w:rPr>
          <w:sz w:val="24"/>
          <w:szCs w:val="24"/>
        </w:rPr>
        <w:t xml:space="preserve">Investors can use </w:t>
      </w:r>
      <w:r w:rsidRPr="00A81003">
        <w:rPr>
          <w:sz w:val="24"/>
          <w:szCs w:val="24"/>
        </w:rPr>
        <w:t xml:space="preserve">the </w:t>
      </w:r>
      <w:r w:rsidR="00444E09" w:rsidRPr="00A81003">
        <w:rPr>
          <w:sz w:val="24"/>
          <w:szCs w:val="24"/>
        </w:rPr>
        <w:t>time-series momentum</w:t>
      </w:r>
      <w:r w:rsidR="00F82627" w:rsidRPr="00A81003">
        <w:rPr>
          <w:sz w:val="24"/>
          <w:szCs w:val="24"/>
        </w:rPr>
        <w:t>,</w:t>
      </w:r>
      <w:r w:rsidR="00444E09" w:rsidRPr="00A81003">
        <w:rPr>
          <w:sz w:val="24"/>
          <w:szCs w:val="24"/>
        </w:rPr>
        <w:t xml:space="preserve"> </w:t>
      </w:r>
      <w:r w:rsidR="00F82627" w:rsidRPr="00A81003">
        <w:rPr>
          <w:sz w:val="24"/>
          <w:szCs w:val="24"/>
        </w:rPr>
        <w:t>economic policy</w:t>
      </w:r>
      <w:r w:rsidR="00444E09" w:rsidRPr="00A81003">
        <w:rPr>
          <w:sz w:val="24"/>
          <w:szCs w:val="24"/>
        </w:rPr>
        <w:t xml:space="preserve"> uncertainty</w:t>
      </w:r>
      <w:r w:rsidR="009E12CC">
        <w:rPr>
          <w:sz w:val="24"/>
          <w:szCs w:val="24"/>
        </w:rPr>
        <w:t>,</w:t>
      </w:r>
      <w:r w:rsidR="00F82627" w:rsidRPr="00A81003">
        <w:rPr>
          <w:sz w:val="24"/>
          <w:szCs w:val="24"/>
        </w:rPr>
        <w:t xml:space="preserve"> and financial uncertainty</w:t>
      </w:r>
      <w:r w:rsidRPr="00A81003">
        <w:rPr>
          <w:sz w:val="24"/>
          <w:szCs w:val="24"/>
        </w:rPr>
        <w:t xml:space="preserve"> to form trading strategies</w:t>
      </w:r>
      <w:r w:rsidR="001B68CE" w:rsidRPr="00A81003">
        <w:rPr>
          <w:sz w:val="24"/>
          <w:szCs w:val="24"/>
        </w:rPr>
        <w:t xml:space="preserve">, </w:t>
      </w:r>
      <w:r w:rsidRPr="00A81003">
        <w:rPr>
          <w:sz w:val="24"/>
          <w:szCs w:val="24"/>
        </w:rPr>
        <w:t xml:space="preserve">as these </w:t>
      </w:r>
      <w:r w:rsidR="001B68CE" w:rsidRPr="00A81003">
        <w:rPr>
          <w:sz w:val="24"/>
          <w:szCs w:val="24"/>
        </w:rPr>
        <w:t xml:space="preserve">are identified as strong predictors of Bitcoin </w:t>
      </w:r>
      <w:r w:rsidR="007F244D" w:rsidRPr="00A81003">
        <w:rPr>
          <w:sz w:val="24"/>
          <w:szCs w:val="24"/>
        </w:rPr>
        <w:t xml:space="preserve">movements </w:t>
      </w:r>
      <w:r w:rsidR="001B68CE" w:rsidRPr="00A81003">
        <w:rPr>
          <w:sz w:val="24"/>
          <w:szCs w:val="24"/>
        </w:rPr>
        <w:t>under various tests</w:t>
      </w:r>
      <w:r w:rsidR="002117CB" w:rsidRPr="00A81003">
        <w:rPr>
          <w:sz w:val="24"/>
          <w:szCs w:val="24"/>
        </w:rPr>
        <w:t>.</w:t>
      </w:r>
      <w:r w:rsidR="00C974B8" w:rsidRPr="00A81003">
        <w:rPr>
          <w:sz w:val="24"/>
          <w:szCs w:val="24"/>
        </w:rPr>
        <w:t xml:space="preserve"> </w:t>
      </w:r>
      <w:r w:rsidRPr="00A81003">
        <w:rPr>
          <w:sz w:val="24"/>
          <w:szCs w:val="24"/>
        </w:rPr>
        <w:t>However, c</w:t>
      </w:r>
      <w:r w:rsidR="002117CB" w:rsidRPr="00A81003">
        <w:rPr>
          <w:sz w:val="24"/>
          <w:szCs w:val="24"/>
        </w:rPr>
        <w:t xml:space="preserve">aution should </w:t>
      </w:r>
      <w:r w:rsidR="0036271C" w:rsidRPr="00A81003">
        <w:rPr>
          <w:sz w:val="24"/>
          <w:szCs w:val="24"/>
        </w:rPr>
        <w:t>be exercised</w:t>
      </w:r>
      <w:r w:rsidR="002117CB" w:rsidRPr="00A81003">
        <w:rPr>
          <w:sz w:val="24"/>
          <w:szCs w:val="24"/>
        </w:rPr>
        <w:t xml:space="preserve"> by investors in </w:t>
      </w:r>
      <w:r w:rsidRPr="00A81003">
        <w:rPr>
          <w:sz w:val="24"/>
          <w:szCs w:val="24"/>
        </w:rPr>
        <w:t>‘</w:t>
      </w:r>
      <w:r w:rsidR="002117CB" w:rsidRPr="00A81003">
        <w:rPr>
          <w:sz w:val="24"/>
          <w:szCs w:val="24"/>
        </w:rPr>
        <w:t>real-time</w:t>
      </w:r>
      <w:r w:rsidRPr="00A81003">
        <w:rPr>
          <w:sz w:val="24"/>
          <w:szCs w:val="24"/>
        </w:rPr>
        <w:t>’</w:t>
      </w:r>
      <w:r w:rsidR="002117CB" w:rsidRPr="00A81003">
        <w:rPr>
          <w:sz w:val="24"/>
          <w:szCs w:val="24"/>
        </w:rPr>
        <w:t xml:space="preserve"> </w:t>
      </w:r>
      <w:r w:rsidR="00C974B8" w:rsidRPr="00A81003">
        <w:rPr>
          <w:sz w:val="24"/>
          <w:szCs w:val="24"/>
        </w:rPr>
        <w:t>trading</w:t>
      </w:r>
      <w:r w:rsidRPr="00A81003">
        <w:rPr>
          <w:sz w:val="24"/>
          <w:szCs w:val="24"/>
        </w:rPr>
        <w:t>,</w:t>
      </w:r>
      <w:r w:rsidR="00A675A5" w:rsidRPr="00A81003">
        <w:rPr>
          <w:sz w:val="24"/>
          <w:szCs w:val="24"/>
        </w:rPr>
        <w:t xml:space="preserve"> </w:t>
      </w:r>
      <w:r w:rsidRPr="00A81003">
        <w:rPr>
          <w:sz w:val="24"/>
          <w:szCs w:val="24"/>
        </w:rPr>
        <w:t xml:space="preserve">as </w:t>
      </w:r>
      <w:r w:rsidR="002117CB" w:rsidRPr="00A81003">
        <w:rPr>
          <w:sz w:val="24"/>
          <w:szCs w:val="24"/>
        </w:rPr>
        <w:t xml:space="preserve">many predictors exhibit </w:t>
      </w:r>
      <w:r w:rsidR="00F92C63" w:rsidRPr="00A81003">
        <w:rPr>
          <w:sz w:val="24"/>
          <w:szCs w:val="24"/>
        </w:rPr>
        <w:t>promising</w:t>
      </w:r>
      <w:r w:rsidR="002117CB" w:rsidRPr="00A81003">
        <w:rPr>
          <w:sz w:val="24"/>
          <w:szCs w:val="24"/>
        </w:rPr>
        <w:t xml:space="preserve"> in-sample perform</w:t>
      </w:r>
      <w:r w:rsidR="00461E2E" w:rsidRPr="00A81003">
        <w:rPr>
          <w:sz w:val="24"/>
          <w:szCs w:val="24"/>
        </w:rPr>
        <w:t>ance</w:t>
      </w:r>
      <w:r w:rsidR="002117CB" w:rsidRPr="00A81003">
        <w:rPr>
          <w:sz w:val="24"/>
          <w:szCs w:val="24"/>
        </w:rPr>
        <w:t xml:space="preserve"> but do not survive out-</w:t>
      </w:r>
      <w:r w:rsidR="00461E2E" w:rsidRPr="00A81003">
        <w:rPr>
          <w:sz w:val="24"/>
          <w:szCs w:val="24"/>
        </w:rPr>
        <w:t>of-</w:t>
      </w:r>
      <w:r w:rsidR="002117CB" w:rsidRPr="00A81003">
        <w:rPr>
          <w:sz w:val="24"/>
          <w:szCs w:val="24"/>
        </w:rPr>
        <w:t>sample tests</w:t>
      </w:r>
      <w:r w:rsidR="007F244D" w:rsidRPr="00A81003">
        <w:rPr>
          <w:sz w:val="24"/>
          <w:szCs w:val="24"/>
        </w:rPr>
        <w:t>, as we demonstrate</w:t>
      </w:r>
      <w:r w:rsidR="002117CB" w:rsidRPr="00A81003">
        <w:rPr>
          <w:sz w:val="24"/>
          <w:szCs w:val="24"/>
        </w:rPr>
        <w:t>.</w:t>
      </w:r>
      <w:r w:rsidR="00960963" w:rsidRPr="00A81003">
        <w:rPr>
          <w:sz w:val="24"/>
          <w:szCs w:val="24"/>
        </w:rPr>
        <w:t xml:space="preserve"> </w:t>
      </w:r>
      <w:r w:rsidR="00960963" w:rsidRPr="00635382">
        <w:rPr>
          <w:sz w:val="24"/>
          <w:szCs w:val="24"/>
        </w:rPr>
        <w:t>The</w:t>
      </w:r>
      <w:r w:rsidR="00960963" w:rsidRPr="00A81003">
        <w:t xml:space="preserve"> </w:t>
      </w:r>
      <w:r w:rsidR="00960963" w:rsidRPr="00A81003">
        <w:rPr>
          <w:sz w:val="24"/>
          <w:szCs w:val="24"/>
        </w:rPr>
        <w:t xml:space="preserve">certainty equivalent return (CER) </w:t>
      </w:r>
      <w:r w:rsidR="00960963" w:rsidRPr="00635382">
        <w:rPr>
          <w:sz w:val="24"/>
          <w:szCs w:val="24"/>
        </w:rPr>
        <w:t>gain</w:t>
      </w:r>
      <w:r w:rsidR="00960963" w:rsidRPr="00A81003">
        <w:t xml:space="preserve"> </w:t>
      </w:r>
      <w:r w:rsidR="00960963" w:rsidRPr="00A81003">
        <w:rPr>
          <w:sz w:val="24"/>
          <w:szCs w:val="24"/>
        </w:rPr>
        <w:t xml:space="preserve">can be interpreted as </w:t>
      </w:r>
      <w:r w:rsidR="00C812F9" w:rsidRPr="00A81003">
        <w:rPr>
          <w:sz w:val="24"/>
          <w:szCs w:val="24"/>
        </w:rPr>
        <w:t xml:space="preserve">a </w:t>
      </w:r>
      <w:r w:rsidR="00960963" w:rsidRPr="00A81003">
        <w:rPr>
          <w:sz w:val="24"/>
          <w:szCs w:val="24"/>
        </w:rPr>
        <w:t xml:space="preserve">portfolio management fee </w:t>
      </w:r>
      <w:r w:rsidR="0036271C" w:rsidRPr="00A81003">
        <w:rPr>
          <w:sz w:val="24"/>
          <w:szCs w:val="24"/>
        </w:rPr>
        <w:t xml:space="preserve">that </w:t>
      </w:r>
      <w:r w:rsidR="00960963" w:rsidRPr="00A81003">
        <w:rPr>
          <w:sz w:val="24"/>
          <w:szCs w:val="24"/>
        </w:rPr>
        <w:t xml:space="preserve">investors would be willing to pay to </w:t>
      </w:r>
      <w:r w:rsidR="00960963" w:rsidRPr="00635382">
        <w:rPr>
          <w:sz w:val="24"/>
          <w:szCs w:val="24"/>
        </w:rPr>
        <w:t>obtain th</w:t>
      </w:r>
      <w:r w:rsidR="00960963" w:rsidRPr="00A81003">
        <w:rPr>
          <w:sz w:val="24"/>
          <w:szCs w:val="24"/>
        </w:rPr>
        <w:t xml:space="preserve">e regression forecast instead of using the historical average </w:t>
      </w:r>
      <w:r w:rsidR="00D050FC" w:rsidRPr="00A81003">
        <w:rPr>
          <w:sz w:val="24"/>
          <w:szCs w:val="24"/>
        </w:rPr>
        <w:t>(</w:t>
      </w:r>
      <w:proofErr w:type="spellStart"/>
      <w:r w:rsidR="00D050FC" w:rsidRPr="00A81003">
        <w:rPr>
          <w:sz w:val="24"/>
          <w:szCs w:val="24"/>
        </w:rPr>
        <w:t>Rapach</w:t>
      </w:r>
      <w:proofErr w:type="spellEnd"/>
      <w:r w:rsidR="002A71BD" w:rsidRPr="00A81003">
        <w:rPr>
          <w:sz w:val="24"/>
          <w:szCs w:val="24"/>
        </w:rPr>
        <w:t xml:space="preserve"> </w:t>
      </w:r>
      <w:r w:rsidR="00750942">
        <w:rPr>
          <w:sz w:val="24"/>
          <w:szCs w:val="24"/>
        </w:rPr>
        <w:t>and Zhou</w:t>
      </w:r>
      <w:r w:rsidR="00CB7296">
        <w:rPr>
          <w:sz w:val="24"/>
          <w:szCs w:val="24"/>
        </w:rPr>
        <w:t>,</w:t>
      </w:r>
      <w:r w:rsidR="00D050FC" w:rsidRPr="00A81003">
        <w:rPr>
          <w:sz w:val="24"/>
          <w:szCs w:val="24"/>
        </w:rPr>
        <w:t xml:space="preserve"> 2013)</w:t>
      </w:r>
      <w:r w:rsidR="00960963" w:rsidRPr="00A81003">
        <w:rPr>
          <w:sz w:val="24"/>
          <w:szCs w:val="24"/>
        </w:rPr>
        <w:t xml:space="preserve">. </w:t>
      </w:r>
      <w:r w:rsidR="0031361A" w:rsidRPr="00A81003">
        <w:rPr>
          <w:sz w:val="24"/>
          <w:szCs w:val="24"/>
        </w:rPr>
        <w:t xml:space="preserve">Thus, </w:t>
      </w:r>
      <w:r w:rsidR="0031361A">
        <w:rPr>
          <w:sz w:val="24"/>
          <w:szCs w:val="24"/>
        </w:rPr>
        <w:t xml:space="preserve">fund managers can consider the </w:t>
      </w:r>
      <w:r w:rsidR="0031361A" w:rsidRPr="00A81003">
        <w:rPr>
          <w:sz w:val="24"/>
          <w:szCs w:val="24"/>
        </w:rPr>
        <w:t xml:space="preserve">high CER gains </w:t>
      </w:r>
      <w:r w:rsidR="0031361A">
        <w:rPr>
          <w:sz w:val="24"/>
          <w:szCs w:val="24"/>
        </w:rPr>
        <w:t>from the</w:t>
      </w:r>
      <w:r w:rsidR="0031361A" w:rsidRPr="00A81003">
        <w:rPr>
          <w:sz w:val="24"/>
          <w:szCs w:val="24"/>
        </w:rPr>
        <w:t xml:space="preserve"> time-series momentum to decide what fees to charge investors.</w:t>
      </w:r>
    </w:p>
    <w:p w:rsidR="0029370C" w:rsidRPr="00A81003" w:rsidRDefault="0029370C" w:rsidP="0029520B">
      <w:pPr>
        <w:pStyle w:val="ListParagraph"/>
        <w:tabs>
          <w:tab w:val="left" w:pos="0"/>
        </w:tabs>
        <w:adjustRightInd w:val="0"/>
        <w:snapToGrid w:val="0"/>
        <w:spacing w:after="0" w:line="480" w:lineRule="auto"/>
        <w:ind w:left="0" w:firstLine="720"/>
        <w:contextualSpacing w:val="0"/>
        <w:jc w:val="both"/>
        <w:rPr>
          <w:sz w:val="24"/>
          <w:szCs w:val="24"/>
        </w:rPr>
      </w:pPr>
      <w:r w:rsidRPr="00A81003">
        <w:rPr>
          <w:sz w:val="24"/>
          <w:szCs w:val="24"/>
        </w:rPr>
        <w:lastRenderedPageBreak/>
        <w:t xml:space="preserve">The </w:t>
      </w:r>
      <w:r w:rsidR="00231553" w:rsidRPr="00A81003">
        <w:rPr>
          <w:sz w:val="24"/>
          <w:szCs w:val="24"/>
        </w:rPr>
        <w:t>rest</w:t>
      </w:r>
      <w:r w:rsidRPr="00A81003">
        <w:rPr>
          <w:sz w:val="24"/>
          <w:szCs w:val="24"/>
        </w:rPr>
        <w:t xml:space="preserve"> of </w:t>
      </w:r>
      <w:r w:rsidR="0031361A">
        <w:rPr>
          <w:sz w:val="24"/>
          <w:szCs w:val="24"/>
        </w:rPr>
        <w:t>this</w:t>
      </w:r>
      <w:r w:rsidR="0031361A" w:rsidRPr="00A81003">
        <w:rPr>
          <w:sz w:val="24"/>
          <w:szCs w:val="24"/>
        </w:rPr>
        <w:t xml:space="preserve"> </w:t>
      </w:r>
      <w:r w:rsidRPr="00A81003">
        <w:rPr>
          <w:sz w:val="24"/>
          <w:szCs w:val="24"/>
        </w:rPr>
        <w:t xml:space="preserve">paper </w:t>
      </w:r>
      <w:r w:rsidR="00231553" w:rsidRPr="00A81003">
        <w:rPr>
          <w:sz w:val="24"/>
          <w:szCs w:val="24"/>
        </w:rPr>
        <w:t>is organi</w:t>
      </w:r>
      <w:r w:rsidR="001F3AF6" w:rsidRPr="00A81003">
        <w:rPr>
          <w:sz w:val="24"/>
          <w:szCs w:val="24"/>
        </w:rPr>
        <w:t>s</w:t>
      </w:r>
      <w:r w:rsidR="00231553" w:rsidRPr="00A81003">
        <w:rPr>
          <w:sz w:val="24"/>
          <w:szCs w:val="24"/>
        </w:rPr>
        <w:t>ed as follows</w:t>
      </w:r>
      <w:r w:rsidR="00EF796B" w:rsidRPr="00A81003">
        <w:rPr>
          <w:sz w:val="24"/>
          <w:szCs w:val="24"/>
        </w:rPr>
        <w:t xml:space="preserve">: </w:t>
      </w:r>
      <w:r w:rsidR="00461E2E" w:rsidRPr="00A81003">
        <w:rPr>
          <w:sz w:val="24"/>
          <w:szCs w:val="24"/>
        </w:rPr>
        <w:t xml:space="preserve">Section 2 </w:t>
      </w:r>
      <w:r w:rsidR="00C812F9" w:rsidRPr="00A81003">
        <w:rPr>
          <w:sz w:val="24"/>
          <w:szCs w:val="24"/>
        </w:rPr>
        <w:t xml:space="preserve">maps the </w:t>
      </w:r>
      <w:r w:rsidR="00461E2E" w:rsidRPr="00A81003">
        <w:rPr>
          <w:sz w:val="24"/>
          <w:szCs w:val="24"/>
        </w:rPr>
        <w:t xml:space="preserve">literature related to our study. </w:t>
      </w:r>
      <w:r w:rsidR="00EF796B" w:rsidRPr="00A81003">
        <w:rPr>
          <w:sz w:val="24"/>
          <w:szCs w:val="24"/>
        </w:rPr>
        <w:t xml:space="preserve">Section 3 </w:t>
      </w:r>
      <w:r w:rsidR="000742C9" w:rsidRPr="00A81003">
        <w:rPr>
          <w:sz w:val="24"/>
          <w:szCs w:val="24"/>
        </w:rPr>
        <w:t>discuss</w:t>
      </w:r>
      <w:r w:rsidR="00EF796B" w:rsidRPr="00A81003">
        <w:rPr>
          <w:sz w:val="24"/>
          <w:szCs w:val="24"/>
        </w:rPr>
        <w:t>es</w:t>
      </w:r>
      <w:r w:rsidR="000742C9" w:rsidRPr="00A81003">
        <w:rPr>
          <w:sz w:val="24"/>
          <w:szCs w:val="24"/>
        </w:rPr>
        <w:t xml:space="preserve"> the data and methodology</w:t>
      </w:r>
      <w:r w:rsidRPr="00A81003">
        <w:rPr>
          <w:sz w:val="24"/>
          <w:szCs w:val="24"/>
        </w:rPr>
        <w:t xml:space="preserve">. Section </w:t>
      </w:r>
      <w:r w:rsidR="00461E2E" w:rsidRPr="00A81003">
        <w:rPr>
          <w:sz w:val="24"/>
          <w:szCs w:val="24"/>
        </w:rPr>
        <w:t>4</w:t>
      </w:r>
      <w:r w:rsidRPr="00A81003">
        <w:rPr>
          <w:sz w:val="24"/>
          <w:szCs w:val="24"/>
        </w:rPr>
        <w:t xml:space="preserve"> </w:t>
      </w:r>
      <w:r w:rsidR="00CE7BBB" w:rsidRPr="00A81003">
        <w:rPr>
          <w:sz w:val="24"/>
          <w:szCs w:val="24"/>
        </w:rPr>
        <w:t>present</w:t>
      </w:r>
      <w:r w:rsidR="00EF796B" w:rsidRPr="00A81003">
        <w:rPr>
          <w:sz w:val="24"/>
          <w:szCs w:val="24"/>
        </w:rPr>
        <w:t>s</w:t>
      </w:r>
      <w:r w:rsidR="00CE7BBB" w:rsidRPr="00A81003">
        <w:rPr>
          <w:sz w:val="24"/>
          <w:szCs w:val="24"/>
        </w:rPr>
        <w:t xml:space="preserve"> </w:t>
      </w:r>
      <w:r w:rsidR="00843872" w:rsidRPr="00A81003">
        <w:rPr>
          <w:sz w:val="24"/>
          <w:szCs w:val="24"/>
        </w:rPr>
        <w:t>the empirical results</w:t>
      </w:r>
      <w:r w:rsidR="00CE7BBB" w:rsidRPr="00A81003">
        <w:rPr>
          <w:sz w:val="24"/>
          <w:szCs w:val="24"/>
        </w:rPr>
        <w:t xml:space="preserve"> of in-sample and out-of-sample</w:t>
      </w:r>
      <w:r w:rsidR="001F3AF6" w:rsidRPr="00A81003">
        <w:rPr>
          <w:sz w:val="24"/>
          <w:szCs w:val="24"/>
        </w:rPr>
        <w:t xml:space="preserve"> testing</w:t>
      </w:r>
      <w:r w:rsidR="00CE7BBB" w:rsidRPr="00A81003">
        <w:rPr>
          <w:sz w:val="24"/>
          <w:szCs w:val="24"/>
        </w:rPr>
        <w:t xml:space="preserve">, while </w:t>
      </w:r>
      <w:r w:rsidR="00EF796B" w:rsidRPr="00A81003">
        <w:rPr>
          <w:sz w:val="24"/>
          <w:szCs w:val="24"/>
        </w:rPr>
        <w:t xml:space="preserve">Section 5 </w:t>
      </w:r>
      <w:r w:rsidR="004C02EB">
        <w:rPr>
          <w:sz w:val="24"/>
          <w:szCs w:val="24"/>
        </w:rPr>
        <w:t>analyses the asset allocations</w:t>
      </w:r>
      <w:r w:rsidR="00CE7BBB" w:rsidRPr="00A81003">
        <w:rPr>
          <w:sz w:val="24"/>
          <w:szCs w:val="24"/>
        </w:rPr>
        <w:t>.</w:t>
      </w:r>
      <w:r w:rsidR="00843872" w:rsidRPr="00A81003">
        <w:rPr>
          <w:sz w:val="24"/>
          <w:szCs w:val="24"/>
        </w:rPr>
        <w:t xml:space="preserve"> </w:t>
      </w:r>
      <w:r w:rsidR="00CE7BBB" w:rsidRPr="00A81003">
        <w:rPr>
          <w:sz w:val="24"/>
          <w:szCs w:val="24"/>
        </w:rPr>
        <w:t>S</w:t>
      </w:r>
      <w:r w:rsidRPr="00A81003">
        <w:rPr>
          <w:sz w:val="24"/>
          <w:szCs w:val="24"/>
        </w:rPr>
        <w:t xml:space="preserve">ection </w:t>
      </w:r>
      <w:r w:rsidR="00CE7BBB" w:rsidRPr="00A81003">
        <w:rPr>
          <w:sz w:val="24"/>
          <w:szCs w:val="24"/>
        </w:rPr>
        <w:t>6 reports our robustness tests</w:t>
      </w:r>
      <w:r w:rsidR="00EF796B" w:rsidRPr="00A81003">
        <w:rPr>
          <w:sz w:val="24"/>
          <w:szCs w:val="24"/>
        </w:rPr>
        <w:t>,</w:t>
      </w:r>
      <w:r w:rsidR="00CE7BBB" w:rsidRPr="00A81003">
        <w:rPr>
          <w:sz w:val="24"/>
          <w:szCs w:val="24"/>
        </w:rPr>
        <w:t xml:space="preserve"> and </w:t>
      </w:r>
      <w:r w:rsidR="00EF796B" w:rsidRPr="00A81003">
        <w:rPr>
          <w:sz w:val="24"/>
          <w:szCs w:val="24"/>
        </w:rPr>
        <w:t xml:space="preserve">Section 7 </w:t>
      </w:r>
      <w:r w:rsidRPr="00A81003">
        <w:rPr>
          <w:sz w:val="24"/>
          <w:szCs w:val="24"/>
        </w:rPr>
        <w:t>conclude</w:t>
      </w:r>
      <w:r w:rsidR="00EF796B" w:rsidRPr="00A81003">
        <w:rPr>
          <w:sz w:val="24"/>
          <w:szCs w:val="24"/>
        </w:rPr>
        <w:t>s</w:t>
      </w:r>
      <w:r w:rsidRPr="00A81003">
        <w:rPr>
          <w:sz w:val="24"/>
          <w:szCs w:val="24"/>
        </w:rPr>
        <w:t xml:space="preserve"> by outlining </w:t>
      </w:r>
      <w:r w:rsidR="00EF796B" w:rsidRPr="00A81003">
        <w:rPr>
          <w:sz w:val="24"/>
          <w:szCs w:val="24"/>
        </w:rPr>
        <w:t xml:space="preserve">the </w:t>
      </w:r>
      <w:r w:rsidRPr="00A81003">
        <w:rPr>
          <w:sz w:val="24"/>
          <w:szCs w:val="24"/>
        </w:rPr>
        <w:t xml:space="preserve">implications </w:t>
      </w:r>
      <w:r w:rsidR="00EF796B" w:rsidRPr="00A81003">
        <w:rPr>
          <w:sz w:val="24"/>
          <w:szCs w:val="24"/>
        </w:rPr>
        <w:t xml:space="preserve">of the current work </w:t>
      </w:r>
      <w:r w:rsidRPr="00A81003">
        <w:rPr>
          <w:sz w:val="24"/>
          <w:szCs w:val="24"/>
        </w:rPr>
        <w:t xml:space="preserve">and future </w:t>
      </w:r>
      <w:r w:rsidR="00EF796B" w:rsidRPr="00A81003">
        <w:rPr>
          <w:sz w:val="24"/>
          <w:szCs w:val="24"/>
        </w:rPr>
        <w:t xml:space="preserve">research </w:t>
      </w:r>
      <w:r w:rsidRPr="00A81003">
        <w:rPr>
          <w:sz w:val="24"/>
          <w:szCs w:val="24"/>
        </w:rPr>
        <w:t>directions.</w:t>
      </w:r>
    </w:p>
    <w:p w:rsidR="00CF4957" w:rsidRPr="00A81003" w:rsidRDefault="00CF4957" w:rsidP="0029520B">
      <w:pPr>
        <w:pStyle w:val="Heading1"/>
        <w:numPr>
          <w:ilvl w:val="0"/>
          <w:numId w:val="1"/>
        </w:numPr>
        <w:adjustRightInd w:val="0"/>
        <w:snapToGrid w:val="0"/>
        <w:spacing w:line="480" w:lineRule="auto"/>
        <w:ind w:left="0" w:firstLine="720"/>
        <w:contextualSpacing w:val="0"/>
        <w:rPr>
          <w:szCs w:val="24"/>
        </w:rPr>
      </w:pPr>
      <w:r w:rsidRPr="00A81003">
        <w:rPr>
          <w:szCs w:val="24"/>
        </w:rPr>
        <w:t>Related literature</w:t>
      </w:r>
    </w:p>
    <w:p w:rsidR="00C65C1D" w:rsidRPr="00A81003" w:rsidRDefault="00C65C1D" w:rsidP="0029520B">
      <w:pPr>
        <w:pStyle w:val="ListParagraph"/>
        <w:tabs>
          <w:tab w:val="left" w:pos="0"/>
        </w:tabs>
        <w:adjustRightInd w:val="0"/>
        <w:snapToGrid w:val="0"/>
        <w:spacing w:line="480" w:lineRule="auto"/>
        <w:ind w:left="0" w:firstLine="720"/>
        <w:contextualSpacing w:val="0"/>
        <w:jc w:val="both"/>
        <w:rPr>
          <w:sz w:val="24"/>
          <w:szCs w:val="24"/>
        </w:rPr>
      </w:pPr>
    </w:p>
    <w:p w:rsidR="0031361A" w:rsidRPr="00A81003" w:rsidRDefault="00CF4957" w:rsidP="0031361A">
      <w:pPr>
        <w:pStyle w:val="ListParagraph"/>
        <w:tabs>
          <w:tab w:val="left" w:pos="0"/>
        </w:tabs>
        <w:adjustRightInd w:val="0"/>
        <w:snapToGrid w:val="0"/>
        <w:spacing w:line="480" w:lineRule="auto"/>
        <w:ind w:left="0" w:firstLine="720"/>
        <w:contextualSpacing w:val="0"/>
        <w:jc w:val="both"/>
        <w:rPr>
          <w:sz w:val="24"/>
          <w:szCs w:val="24"/>
        </w:rPr>
      </w:pPr>
      <w:r w:rsidRPr="00A81003">
        <w:rPr>
          <w:sz w:val="24"/>
          <w:szCs w:val="24"/>
        </w:rPr>
        <w:t xml:space="preserve">Our study </w:t>
      </w:r>
      <w:r w:rsidR="006A3496" w:rsidRPr="00A81003">
        <w:rPr>
          <w:sz w:val="24"/>
          <w:szCs w:val="24"/>
        </w:rPr>
        <w:t>closely relat</w:t>
      </w:r>
      <w:r w:rsidR="00C65C1D" w:rsidRPr="00A81003">
        <w:rPr>
          <w:sz w:val="24"/>
          <w:szCs w:val="24"/>
        </w:rPr>
        <w:t>es</w:t>
      </w:r>
      <w:r w:rsidR="00AA0C60" w:rsidRPr="00A81003">
        <w:rPr>
          <w:sz w:val="24"/>
          <w:szCs w:val="24"/>
        </w:rPr>
        <w:t xml:space="preserve"> </w:t>
      </w:r>
      <w:r w:rsidR="00934712" w:rsidRPr="00A81003">
        <w:rPr>
          <w:sz w:val="24"/>
          <w:szCs w:val="24"/>
        </w:rPr>
        <w:t>to</w:t>
      </w:r>
      <w:r w:rsidR="00AA0C60" w:rsidRPr="00A81003">
        <w:rPr>
          <w:sz w:val="24"/>
          <w:szCs w:val="24"/>
        </w:rPr>
        <w:t xml:space="preserve"> the growing </w:t>
      </w:r>
      <w:r w:rsidR="00C65C1D" w:rsidRPr="00A81003">
        <w:rPr>
          <w:sz w:val="24"/>
          <w:szCs w:val="24"/>
        </w:rPr>
        <w:t xml:space="preserve">body of </w:t>
      </w:r>
      <w:r w:rsidR="00AA0C60" w:rsidRPr="00A81003">
        <w:rPr>
          <w:sz w:val="24"/>
          <w:szCs w:val="24"/>
        </w:rPr>
        <w:t>research</w:t>
      </w:r>
      <w:r w:rsidRPr="00A81003">
        <w:rPr>
          <w:sz w:val="24"/>
          <w:szCs w:val="24"/>
        </w:rPr>
        <w:t xml:space="preserve"> on </w:t>
      </w:r>
      <w:r w:rsidR="004F6185" w:rsidRPr="00A81003">
        <w:rPr>
          <w:sz w:val="24"/>
          <w:szCs w:val="24"/>
        </w:rPr>
        <w:t>identif</w:t>
      </w:r>
      <w:r w:rsidR="00C65C1D" w:rsidRPr="00A81003">
        <w:rPr>
          <w:sz w:val="24"/>
          <w:szCs w:val="24"/>
        </w:rPr>
        <w:t xml:space="preserve">ying </w:t>
      </w:r>
      <w:r w:rsidRPr="00A81003">
        <w:rPr>
          <w:sz w:val="24"/>
          <w:szCs w:val="24"/>
        </w:rPr>
        <w:t xml:space="preserve">the determinants of Bitcoin </w:t>
      </w:r>
      <w:r w:rsidR="006A3496" w:rsidRPr="00A81003">
        <w:rPr>
          <w:sz w:val="24"/>
          <w:szCs w:val="24"/>
        </w:rPr>
        <w:t>price formation</w:t>
      </w:r>
      <w:r w:rsidRPr="00A81003">
        <w:rPr>
          <w:sz w:val="24"/>
          <w:szCs w:val="24"/>
        </w:rPr>
        <w:t xml:space="preserve">. </w:t>
      </w:r>
      <w:r w:rsidR="001F3AF6" w:rsidRPr="00A81003">
        <w:rPr>
          <w:sz w:val="24"/>
          <w:szCs w:val="24"/>
        </w:rPr>
        <w:t xml:space="preserve">Only very limited </w:t>
      </w:r>
      <w:r w:rsidR="006A3496" w:rsidRPr="00A81003">
        <w:rPr>
          <w:sz w:val="24"/>
          <w:szCs w:val="24"/>
        </w:rPr>
        <w:t xml:space="preserve">research </w:t>
      </w:r>
      <w:r w:rsidR="00EF796B" w:rsidRPr="00A81003">
        <w:rPr>
          <w:sz w:val="24"/>
          <w:szCs w:val="24"/>
        </w:rPr>
        <w:t xml:space="preserve">has </w:t>
      </w:r>
      <w:r w:rsidR="006A3496" w:rsidRPr="00A81003">
        <w:rPr>
          <w:sz w:val="24"/>
          <w:szCs w:val="24"/>
        </w:rPr>
        <w:t>directly explore</w:t>
      </w:r>
      <w:r w:rsidR="00EF796B" w:rsidRPr="00A81003">
        <w:rPr>
          <w:sz w:val="24"/>
          <w:szCs w:val="24"/>
        </w:rPr>
        <w:t>d</w:t>
      </w:r>
      <w:r w:rsidR="006A3496" w:rsidRPr="00A81003">
        <w:rPr>
          <w:sz w:val="24"/>
          <w:szCs w:val="24"/>
        </w:rPr>
        <w:t xml:space="preserve"> the predictors of Bitcoin returns</w:t>
      </w:r>
      <w:r w:rsidR="00232636" w:rsidRPr="00A81003">
        <w:rPr>
          <w:sz w:val="24"/>
          <w:szCs w:val="24"/>
        </w:rPr>
        <w:t xml:space="preserve"> and investigate</w:t>
      </w:r>
      <w:r w:rsidR="00EF796B" w:rsidRPr="00A81003">
        <w:rPr>
          <w:sz w:val="24"/>
          <w:szCs w:val="24"/>
        </w:rPr>
        <w:t>d</w:t>
      </w:r>
      <w:r w:rsidR="00232636" w:rsidRPr="00A81003">
        <w:rPr>
          <w:sz w:val="24"/>
          <w:szCs w:val="24"/>
        </w:rPr>
        <w:t xml:space="preserve"> </w:t>
      </w:r>
      <w:r w:rsidR="00EF796B" w:rsidRPr="00A81003">
        <w:rPr>
          <w:sz w:val="24"/>
          <w:szCs w:val="24"/>
        </w:rPr>
        <w:t xml:space="preserve">the </w:t>
      </w:r>
      <w:r w:rsidR="00F82627" w:rsidRPr="00A81003">
        <w:rPr>
          <w:sz w:val="24"/>
          <w:szCs w:val="24"/>
        </w:rPr>
        <w:t>predictors</w:t>
      </w:r>
      <w:r w:rsidR="00232636" w:rsidRPr="00A81003">
        <w:rPr>
          <w:sz w:val="24"/>
          <w:szCs w:val="24"/>
        </w:rPr>
        <w:t xml:space="preserve"> </w:t>
      </w:r>
      <w:r w:rsidR="00EF796B" w:rsidRPr="00A81003">
        <w:rPr>
          <w:sz w:val="24"/>
          <w:szCs w:val="24"/>
        </w:rPr>
        <w:t xml:space="preserve">that </w:t>
      </w:r>
      <w:r w:rsidR="00232636" w:rsidRPr="00A81003">
        <w:rPr>
          <w:sz w:val="24"/>
          <w:szCs w:val="24"/>
        </w:rPr>
        <w:t xml:space="preserve">can </w:t>
      </w:r>
      <w:r w:rsidR="006A3496" w:rsidRPr="00A81003">
        <w:rPr>
          <w:sz w:val="24"/>
          <w:szCs w:val="24"/>
        </w:rPr>
        <w:t xml:space="preserve">offer profitable trading strategies. </w:t>
      </w:r>
      <w:r w:rsidR="0031361A" w:rsidRPr="00A81003">
        <w:rPr>
          <w:sz w:val="24"/>
          <w:szCs w:val="24"/>
        </w:rPr>
        <w:t xml:space="preserve">For example, </w:t>
      </w:r>
      <w:proofErr w:type="spellStart"/>
      <w:r w:rsidR="0031361A" w:rsidRPr="00A81003">
        <w:rPr>
          <w:sz w:val="24"/>
          <w:szCs w:val="24"/>
        </w:rPr>
        <w:t>Balcilar</w:t>
      </w:r>
      <w:proofErr w:type="spellEnd"/>
      <w:r w:rsidR="0031361A" w:rsidRPr="00A81003">
        <w:rPr>
          <w:sz w:val="24"/>
          <w:szCs w:val="24"/>
        </w:rPr>
        <w:t xml:space="preserve"> et al. (2017) </w:t>
      </w:r>
      <w:r w:rsidR="0031361A">
        <w:rPr>
          <w:sz w:val="24"/>
          <w:szCs w:val="24"/>
        </w:rPr>
        <w:t>discover</w:t>
      </w:r>
      <w:r w:rsidR="0031361A" w:rsidRPr="00A81003">
        <w:rPr>
          <w:sz w:val="24"/>
          <w:szCs w:val="24"/>
        </w:rPr>
        <w:t xml:space="preserve"> that Bitcoin’s volume serves as a </w:t>
      </w:r>
      <w:r w:rsidR="0031361A">
        <w:rPr>
          <w:sz w:val="24"/>
          <w:szCs w:val="24"/>
        </w:rPr>
        <w:t>suitable</w:t>
      </w:r>
      <w:r w:rsidR="0031361A" w:rsidRPr="00A81003">
        <w:rPr>
          <w:sz w:val="24"/>
          <w:szCs w:val="24"/>
        </w:rPr>
        <w:t xml:space="preserve"> predictor.</w:t>
      </w:r>
      <w:r w:rsidR="0031361A">
        <w:rPr>
          <w:sz w:val="24"/>
          <w:szCs w:val="24"/>
        </w:rPr>
        <w:t xml:space="preserve"> </w:t>
      </w:r>
      <w:r w:rsidR="006A3496" w:rsidRPr="004C02EB">
        <w:rPr>
          <w:sz w:val="24"/>
          <w:szCs w:val="24"/>
        </w:rPr>
        <w:t xml:space="preserve">Garcia and Schweitzer </w:t>
      </w:r>
      <w:r w:rsidR="001A4FEF" w:rsidRPr="004C02EB">
        <w:rPr>
          <w:noProof/>
          <w:sz w:val="24"/>
          <w:szCs w:val="24"/>
        </w:rPr>
        <w:t>(2015)</w:t>
      </w:r>
      <w:r w:rsidR="006A3496" w:rsidRPr="00A81003">
        <w:rPr>
          <w:sz w:val="24"/>
          <w:szCs w:val="24"/>
        </w:rPr>
        <w:t xml:space="preserve"> </w:t>
      </w:r>
      <w:r w:rsidR="00C65C1D" w:rsidRPr="00A81003">
        <w:rPr>
          <w:sz w:val="24"/>
          <w:szCs w:val="24"/>
        </w:rPr>
        <w:t xml:space="preserve">reveal </w:t>
      </w:r>
      <w:r w:rsidR="006A3496" w:rsidRPr="00A81003">
        <w:rPr>
          <w:sz w:val="24"/>
          <w:szCs w:val="24"/>
        </w:rPr>
        <w:t xml:space="preserve">that social media </w:t>
      </w:r>
      <w:r w:rsidR="00C65C1D" w:rsidRPr="00A81003">
        <w:rPr>
          <w:sz w:val="24"/>
          <w:szCs w:val="24"/>
        </w:rPr>
        <w:t>data</w:t>
      </w:r>
      <w:r w:rsidR="00EF796B" w:rsidRPr="00A81003">
        <w:rPr>
          <w:sz w:val="24"/>
          <w:szCs w:val="24"/>
        </w:rPr>
        <w:t>,</w:t>
      </w:r>
      <w:r w:rsidR="00C65C1D" w:rsidRPr="00A81003">
        <w:rPr>
          <w:sz w:val="24"/>
          <w:szCs w:val="24"/>
        </w:rPr>
        <w:t xml:space="preserve"> </w:t>
      </w:r>
      <w:r w:rsidR="006A3496" w:rsidRPr="00A81003">
        <w:rPr>
          <w:sz w:val="24"/>
          <w:szCs w:val="24"/>
        </w:rPr>
        <w:t>such as Twitter activity</w:t>
      </w:r>
      <w:r w:rsidR="002D2E8C" w:rsidRPr="00A81003">
        <w:rPr>
          <w:sz w:val="24"/>
          <w:szCs w:val="24"/>
        </w:rPr>
        <w:t xml:space="preserve"> and search engine volume</w:t>
      </w:r>
      <w:r w:rsidR="00EF796B" w:rsidRPr="00A81003">
        <w:rPr>
          <w:sz w:val="24"/>
          <w:szCs w:val="24"/>
        </w:rPr>
        <w:t>,</w:t>
      </w:r>
      <w:r w:rsidR="002D2E8C" w:rsidRPr="00A81003">
        <w:rPr>
          <w:sz w:val="24"/>
          <w:szCs w:val="24"/>
        </w:rPr>
        <w:t xml:space="preserve"> provide additional predictive power. </w:t>
      </w:r>
      <w:r w:rsidR="002D2E8C" w:rsidRPr="004C02EB">
        <w:rPr>
          <w:sz w:val="24"/>
          <w:szCs w:val="24"/>
        </w:rPr>
        <w:t xml:space="preserve">Jang and Lee </w:t>
      </w:r>
      <w:r w:rsidR="001A4FEF" w:rsidRPr="004C02EB">
        <w:rPr>
          <w:noProof/>
          <w:sz w:val="24"/>
          <w:szCs w:val="24"/>
        </w:rPr>
        <w:t>(2017)</w:t>
      </w:r>
      <w:r w:rsidR="00EF796B" w:rsidRPr="00A81003">
        <w:rPr>
          <w:sz w:val="24"/>
          <w:szCs w:val="24"/>
        </w:rPr>
        <w:t xml:space="preserve"> </w:t>
      </w:r>
      <w:r w:rsidR="00021FF7" w:rsidRPr="00A81003">
        <w:rPr>
          <w:sz w:val="24"/>
          <w:szCs w:val="24"/>
        </w:rPr>
        <w:t xml:space="preserve">argue that Bitcoin block size and mining rate </w:t>
      </w:r>
      <w:r w:rsidR="004F6185" w:rsidRPr="00A81003">
        <w:rPr>
          <w:sz w:val="24"/>
          <w:szCs w:val="24"/>
        </w:rPr>
        <w:t xml:space="preserve">may create profitable trading strategies. Given </w:t>
      </w:r>
      <w:r w:rsidR="00C65C1D" w:rsidRPr="00A81003">
        <w:rPr>
          <w:sz w:val="24"/>
          <w:szCs w:val="24"/>
        </w:rPr>
        <w:t xml:space="preserve">the </w:t>
      </w:r>
      <w:r w:rsidR="004F6185" w:rsidRPr="00A81003">
        <w:rPr>
          <w:sz w:val="24"/>
          <w:szCs w:val="24"/>
        </w:rPr>
        <w:t>lack of fundamental valuation technique</w:t>
      </w:r>
      <w:r w:rsidR="00C65C1D" w:rsidRPr="00A81003">
        <w:rPr>
          <w:sz w:val="24"/>
          <w:szCs w:val="24"/>
        </w:rPr>
        <w:t>s</w:t>
      </w:r>
      <w:r w:rsidR="004F6185" w:rsidRPr="00A81003">
        <w:rPr>
          <w:sz w:val="24"/>
          <w:szCs w:val="24"/>
        </w:rPr>
        <w:t xml:space="preserve"> to quantify </w:t>
      </w:r>
      <w:r w:rsidR="00EF796B" w:rsidRPr="00A81003">
        <w:rPr>
          <w:sz w:val="24"/>
          <w:szCs w:val="24"/>
        </w:rPr>
        <w:t xml:space="preserve">Bitcoin’s </w:t>
      </w:r>
      <w:r w:rsidR="004F6185" w:rsidRPr="00A81003">
        <w:rPr>
          <w:sz w:val="24"/>
          <w:szCs w:val="24"/>
        </w:rPr>
        <w:t xml:space="preserve">intrinsic value, market participants have </w:t>
      </w:r>
      <w:r w:rsidR="00C65C1D" w:rsidRPr="00A81003">
        <w:rPr>
          <w:sz w:val="24"/>
          <w:szCs w:val="24"/>
        </w:rPr>
        <w:t xml:space="preserve">to </w:t>
      </w:r>
      <w:r w:rsidR="004F6185" w:rsidRPr="00A81003">
        <w:rPr>
          <w:sz w:val="24"/>
          <w:szCs w:val="24"/>
        </w:rPr>
        <w:t xml:space="preserve">heavily </w:t>
      </w:r>
      <w:r w:rsidR="00EF796B" w:rsidRPr="00A81003">
        <w:rPr>
          <w:sz w:val="24"/>
          <w:szCs w:val="24"/>
        </w:rPr>
        <w:t xml:space="preserve">rely </w:t>
      </w:r>
      <w:r w:rsidR="004F6185" w:rsidRPr="00A81003">
        <w:rPr>
          <w:sz w:val="24"/>
          <w:szCs w:val="24"/>
        </w:rPr>
        <w:t>on alternative tools</w:t>
      </w:r>
      <w:r w:rsidR="00EF796B" w:rsidRPr="00A81003">
        <w:rPr>
          <w:sz w:val="24"/>
          <w:szCs w:val="24"/>
        </w:rPr>
        <w:t xml:space="preserve"> to predict Bitcoin prices,</w:t>
      </w:r>
      <w:r w:rsidR="000C0241" w:rsidRPr="00A81003">
        <w:rPr>
          <w:sz w:val="24"/>
          <w:szCs w:val="24"/>
        </w:rPr>
        <w:t xml:space="preserve"> </w:t>
      </w:r>
      <w:r w:rsidR="00C65C1D" w:rsidRPr="00A81003">
        <w:rPr>
          <w:sz w:val="24"/>
          <w:szCs w:val="24"/>
        </w:rPr>
        <w:t xml:space="preserve">such as </w:t>
      </w:r>
      <w:r w:rsidR="000C0241" w:rsidRPr="00A81003">
        <w:rPr>
          <w:sz w:val="24"/>
          <w:szCs w:val="24"/>
        </w:rPr>
        <w:t>technical analys</w:t>
      </w:r>
      <w:r w:rsidR="00EF796B" w:rsidRPr="00A81003">
        <w:rPr>
          <w:sz w:val="24"/>
          <w:szCs w:val="24"/>
        </w:rPr>
        <w:t>e</w:t>
      </w:r>
      <w:r w:rsidR="000C0241" w:rsidRPr="00A81003">
        <w:rPr>
          <w:sz w:val="24"/>
          <w:szCs w:val="24"/>
        </w:rPr>
        <w:t>s</w:t>
      </w:r>
      <w:r w:rsidR="004F6185" w:rsidRPr="00A81003">
        <w:rPr>
          <w:sz w:val="24"/>
          <w:szCs w:val="24"/>
        </w:rPr>
        <w:t xml:space="preserve">. </w:t>
      </w:r>
      <w:r w:rsidR="00EF796B" w:rsidRPr="00A81003">
        <w:rPr>
          <w:sz w:val="24"/>
          <w:szCs w:val="24"/>
        </w:rPr>
        <w:t>Specifically</w:t>
      </w:r>
      <w:r w:rsidR="000C0241" w:rsidRPr="00A81003">
        <w:rPr>
          <w:sz w:val="24"/>
          <w:szCs w:val="24"/>
        </w:rPr>
        <w:t xml:space="preserve">, </w:t>
      </w:r>
      <w:proofErr w:type="spellStart"/>
      <w:r w:rsidR="000C0241" w:rsidRPr="00A81003">
        <w:rPr>
          <w:sz w:val="24"/>
          <w:szCs w:val="24"/>
        </w:rPr>
        <w:t>Detzel</w:t>
      </w:r>
      <w:proofErr w:type="spellEnd"/>
      <w:r w:rsidR="000C0241" w:rsidRPr="00A81003">
        <w:rPr>
          <w:sz w:val="24"/>
          <w:szCs w:val="24"/>
        </w:rPr>
        <w:t xml:space="preserve"> et al</w:t>
      </w:r>
      <w:r w:rsidR="00750942">
        <w:rPr>
          <w:sz w:val="24"/>
          <w:szCs w:val="24"/>
        </w:rPr>
        <w:t>.</w:t>
      </w:r>
      <w:r w:rsidR="000C0241" w:rsidRPr="00A81003">
        <w:rPr>
          <w:sz w:val="24"/>
          <w:szCs w:val="24"/>
        </w:rPr>
        <w:t xml:space="preserve"> (20</w:t>
      </w:r>
      <w:r w:rsidR="00750942">
        <w:rPr>
          <w:sz w:val="24"/>
          <w:szCs w:val="24"/>
        </w:rPr>
        <w:t>20</w:t>
      </w:r>
      <w:r w:rsidR="000C0241" w:rsidRPr="00A81003">
        <w:rPr>
          <w:sz w:val="24"/>
          <w:szCs w:val="24"/>
        </w:rPr>
        <w:t xml:space="preserve">) </w:t>
      </w:r>
      <w:r w:rsidR="00EF796B" w:rsidRPr="00A81003">
        <w:rPr>
          <w:sz w:val="24"/>
          <w:szCs w:val="24"/>
        </w:rPr>
        <w:t xml:space="preserve">demonstrate </w:t>
      </w:r>
      <w:r w:rsidR="00232636" w:rsidRPr="00A81003">
        <w:rPr>
          <w:sz w:val="24"/>
          <w:szCs w:val="24"/>
        </w:rPr>
        <w:t>that</w:t>
      </w:r>
      <w:r w:rsidR="00C65C1D" w:rsidRPr="00A81003">
        <w:rPr>
          <w:sz w:val="24"/>
          <w:szCs w:val="24"/>
        </w:rPr>
        <w:t xml:space="preserve"> </w:t>
      </w:r>
      <w:r w:rsidR="000C0241" w:rsidRPr="00A81003">
        <w:rPr>
          <w:sz w:val="24"/>
          <w:szCs w:val="24"/>
        </w:rPr>
        <w:t>trading strategies based on moving averages generate substantial</w:t>
      </w:r>
      <w:r w:rsidR="00F96BA6" w:rsidRPr="00A81003">
        <w:rPr>
          <w:sz w:val="24"/>
          <w:szCs w:val="24"/>
        </w:rPr>
        <w:t xml:space="preserve"> excess return</w:t>
      </w:r>
      <w:r w:rsidR="00046498" w:rsidRPr="00A81003">
        <w:rPr>
          <w:sz w:val="24"/>
          <w:szCs w:val="24"/>
        </w:rPr>
        <w:t>s</w:t>
      </w:r>
      <w:r w:rsidR="00F96BA6" w:rsidRPr="00A81003">
        <w:rPr>
          <w:sz w:val="24"/>
          <w:szCs w:val="24"/>
        </w:rPr>
        <w:t xml:space="preserve">. Adcock and </w:t>
      </w:r>
      <w:proofErr w:type="spellStart"/>
      <w:r w:rsidR="00F96BA6" w:rsidRPr="00A81003">
        <w:rPr>
          <w:sz w:val="24"/>
          <w:szCs w:val="24"/>
        </w:rPr>
        <w:t>Gradojevic</w:t>
      </w:r>
      <w:proofErr w:type="spellEnd"/>
      <w:r w:rsidR="00F96BA6" w:rsidRPr="00A81003">
        <w:rPr>
          <w:sz w:val="24"/>
          <w:szCs w:val="24"/>
        </w:rPr>
        <w:t xml:space="preserve"> </w:t>
      </w:r>
      <w:r w:rsidR="00472D9E" w:rsidRPr="00A81003">
        <w:rPr>
          <w:sz w:val="24"/>
          <w:szCs w:val="24"/>
        </w:rPr>
        <w:t>(2019)</w:t>
      </w:r>
      <w:r w:rsidR="00F96BA6" w:rsidRPr="00A81003">
        <w:rPr>
          <w:sz w:val="24"/>
          <w:szCs w:val="24"/>
        </w:rPr>
        <w:t xml:space="preserve"> </w:t>
      </w:r>
      <w:r w:rsidR="00EF796B" w:rsidRPr="00A81003">
        <w:rPr>
          <w:sz w:val="24"/>
          <w:szCs w:val="24"/>
        </w:rPr>
        <w:t xml:space="preserve">observe </w:t>
      </w:r>
      <w:r w:rsidR="00F96BA6" w:rsidRPr="00A81003">
        <w:rPr>
          <w:sz w:val="24"/>
          <w:szCs w:val="24"/>
        </w:rPr>
        <w:t xml:space="preserve">that Bitcoin returns </w:t>
      </w:r>
      <w:r w:rsidR="00046498" w:rsidRPr="00A81003">
        <w:rPr>
          <w:sz w:val="24"/>
          <w:szCs w:val="24"/>
        </w:rPr>
        <w:t xml:space="preserve">are </w:t>
      </w:r>
      <w:r w:rsidR="00F96BA6" w:rsidRPr="00A81003">
        <w:rPr>
          <w:sz w:val="24"/>
          <w:szCs w:val="24"/>
        </w:rPr>
        <w:t>characteri</w:t>
      </w:r>
      <w:r w:rsidR="001F3AF6" w:rsidRPr="00A81003">
        <w:rPr>
          <w:sz w:val="24"/>
          <w:szCs w:val="24"/>
        </w:rPr>
        <w:t>s</w:t>
      </w:r>
      <w:r w:rsidR="00F96BA6" w:rsidRPr="00A81003">
        <w:rPr>
          <w:sz w:val="24"/>
          <w:szCs w:val="24"/>
        </w:rPr>
        <w:t xml:space="preserve">ed by predictive local non-linear trends </w:t>
      </w:r>
      <w:r w:rsidR="00232636" w:rsidRPr="00A81003">
        <w:rPr>
          <w:sz w:val="24"/>
          <w:szCs w:val="24"/>
        </w:rPr>
        <w:t>based on</w:t>
      </w:r>
      <w:r w:rsidR="00F96BA6" w:rsidRPr="00A81003">
        <w:rPr>
          <w:sz w:val="24"/>
          <w:szCs w:val="24"/>
        </w:rPr>
        <w:t xml:space="preserve"> artificial neural networks</w:t>
      </w:r>
      <w:r w:rsidR="001F3AF6" w:rsidRPr="00A81003">
        <w:rPr>
          <w:sz w:val="24"/>
          <w:szCs w:val="24"/>
        </w:rPr>
        <w:t>, while</w:t>
      </w:r>
      <w:r w:rsidR="00F96BA6" w:rsidRPr="00A81003">
        <w:rPr>
          <w:sz w:val="24"/>
          <w:szCs w:val="24"/>
        </w:rPr>
        <w:t xml:space="preserve"> </w:t>
      </w:r>
      <w:proofErr w:type="spellStart"/>
      <w:r w:rsidR="0031361A" w:rsidRPr="00A81003">
        <w:rPr>
          <w:sz w:val="24"/>
          <w:szCs w:val="24"/>
        </w:rPr>
        <w:t>Atsalakis</w:t>
      </w:r>
      <w:proofErr w:type="spellEnd"/>
      <w:r w:rsidR="0031361A" w:rsidRPr="00A81003">
        <w:rPr>
          <w:sz w:val="24"/>
          <w:szCs w:val="24"/>
        </w:rPr>
        <w:t xml:space="preserve"> et al. (2019) propose a hybrid </w:t>
      </w:r>
      <w:r w:rsidR="0031361A">
        <w:rPr>
          <w:sz w:val="24"/>
          <w:szCs w:val="24"/>
        </w:rPr>
        <w:t>n</w:t>
      </w:r>
      <w:r w:rsidR="0031361A" w:rsidRPr="00A81003">
        <w:rPr>
          <w:sz w:val="24"/>
          <w:szCs w:val="24"/>
        </w:rPr>
        <w:t>euro-</w:t>
      </w:r>
      <w:r w:rsidR="0031361A">
        <w:rPr>
          <w:sz w:val="24"/>
          <w:szCs w:val="24"/>
        </w:rPr>
        <w:t>f</w:t>
      </w:r>
      <w:r w:rsidR="0031361A" w:rsidRPr="00A81003">
        <w:rPr>
          <w:sz w:val="24"/>
          <w:szCs w:val="24"/>
        </w:rPr>
        <w:t xml:space="preserve">uzzy model to forecast </w:t>
      </w:r>
      <w:r w:rsidR="0031361A">
        <w:rPr>
          <w:sz w:val="24"/>
          <w:szCs w:val="24"/>
        </w:rPr>
        <w:t xml:space="preserve">Bitcoin’s </w:t>
      </w:r>
      <w:r w:rsidR="0031361A" w:rsidRPr="00A81003">
        <w:rPr>
          <w:sz w:val="24"/>
          <w:szCs w:val="24"/>
        </w:rPr>
        <w:t>daily price</w:t>
      </w:r>
      <w:r w:rsidR="0031361A">
        <w:rPr>
          <w:sz w:val="24"/>
          <w:szCs w:val="24"/>
        </w:rPr>
        <w:t>s:</w:t>
      </w:r>
      <w:r w:rsidR="0031361A" w:rsidRPr="00A81003">
        <w:rPr>
          <w:sz w:val="24"/>
          <w:szCs w:val="24"/>
        </w:rPr>
        <w:t xml:space="preserve"> </w:t>
      </w:r>
      <w:r w:rsidR="0031361A">
        <w:rPr>
          <w:sz w:val="24"/>
          <w:szCs w:val="24"/>
        </w:rPr>
        <w:t>this model</w:t>
      </w:r>
      <w:r w:rsidR="0031361A" w:rsidRPr="00A81003">
        <w:rPr>
          <w:sz w:val="24"/>
          <w:szCs w:val="24"/>
        </w:rPr>
        <w:t xml:space="preserve"> substantially outperforms a naive buy-and-hold strategy. </w:t>
      </w:r>
    </w:p>
    <w:p w:rsidR="00930785" w:rsidRPr="00A81003" w:rsidRDefault="001F739B" w:rsidP="0031361A">
      <w:pPr>
        <w:pStyle w:val="ListParagraph"/>
        <w:tabs>
          <w:tab w:val="left" w:pos="0"/>
        </w:tabs>
        <w:adjustRightInd w:val="0"/>
        <w:snapToGrid w:val="0"/>
        <w:spacing w:line="480" w:lineRule="auto"/>
        <w:ind w:left="0" w:firstLine="720"/>
        <w:contextualSpacing w:val="0"/>
        <w:jc w:val="both"/>
        <w:rPr>
          <w:sz w:val="24"/>
          <w:szCs w:val="24"/>
        </w:rPr>
      </w:pPr>
      <w:r w:rsidRPr="00A81003">
        <w:rPr>
          <w:sz w:val="24"/>
          <w:szCs w:val="24"/>
        </w:rPr>
        <w:t xml:space="preserve">More </w:t>
      </w:r>
      <w:r w:rsidR="0031361A">
        <w:rPr>
          <w:sz w:val="24"/>
          <w:szCs w:val="24"/>
        </w:rPr>
        <w:t>generally</w:t>
      </w:r>
      <w:r w:rsidRPr="00A81003">
        <w:rPr>
          <w:sz w:val="24"/>
          <w:szCs w:val="24"/>
        </w:rPr>
        <w:t xml:space="preserve">, </w:t>
      </w:r>
      <w:r w:rsidR="00046498" w:rsidRPr="00A81003">
        <w:rPr>
          <w:sz w:val="24"/>
          <w:szCs w:val="24"/>
        </w:rPr>
        <w:t xml:space="preserve">this </w:t>
      </w:r>
      <w:r w:rsidRPr="00A81003">
        <w:rPr>
          <w:sz w:val="24"/>
          <w:szCs w:val="24"/>
        </w:rPr>
        <w:t xml:space="preserve">paper also relates to prior studies </w:t>
      </w:r>
      <w:r w:rsidR="00232636" w:rsidRPr="00A81003">
        <w:rPr>
          <w:sz w:val="24"/>
          <w:szCs w:val="24"/>
        </w:rPr>
        <w:t>on</w:t>
      </w:r>
      <w:r w:rsidR="0054486F" w:rsidRPr="00A81003">
        <w:rPr>
          <w:sz w:val="24"/>
          <w:szCs w:val="24"/>
        </w:rPr>
        <w:t xml:space="preserve"> </w:t>
      </w:r>
      <w:r w:rsidR="00CF4957" w:rsidRPr="00A81003">
        <w:rPr>
          <w:sz w:val="24"/>
          <w:szCs w:val="24"/>
        </w:rPr>
        <w:t>time variations in Bitcoin risk premi</w:t>
      </w:r>
      <w:r w:rsidR="00232636" w:rsidRPr="00A81003">
        <w:rPr>
          <w:sz w:val="24"/>
          <w:szCs w:val="24"/>
        </w:rPr>
        <w:t>ums</w:t>
      </w:r>
      <w:r w:rsidR="00371D2E" w:rsidRPr="00A81003">
        <w:rPr>
          <w:sz w:val="24"/>
          <w:szCs w:val="24"/>
        </w:rPr>
        <w:t xml:space="preserve"> that </w:t>
      </w:r>
      <w:r w:rsidR="0054486F" w:rsidRPr="00A81003">
        <w:rPr>
          <w:sz w:val="24"/>
          <w:szCs w:val="24"/>
        </w:rPr>
        <w:t xml:space="preserve">can </w:t>
      </w:r>
      <w:r w:rsidR="00CF4957" w:rsidRPr="00A81003">
        <w:rPr>
          <w:sz w:val="24"/>
          <w:szCs w:val="24"/>
        </w:rPr>
        <w:t>be classified into two broad categori</w:t>
      </w:r>
      <w:r w:rsidR="0036271C" w:rsidRPr="00A81003">
        <w:rPr>
          <w:sz w:val="24"/>
          <w:szCs w:val="24"/>
        </w:rPr>
        <w:t>es</w:t>
      </w:r>
      <w:r w:rsidR="00CF4957" w:rsidRPr="00A81003">
        <w:rPr>
          <w:sz w:val="24"/>
          <w:szCs w:val="24"/>
        </w:rPr>
        <w:t>. One stream of literature uses</w:t>
      </w:r>
      <w:r w:rsidR="0036271C" w:rsidRPr="00A81003">
        <w:rPr>
          <w:sz w:val="24"/>
          <w:szCs w:val="24"/>
        </w:rPr>
        <w:t xml:space="preserve"> </w:t>
      </w:r>
      <w:r w:rsidR="00CF4957" w:rsidRPr="00A81003">
        <w:rPr>
          <w:sz w:val="24"/>
          <w:szCs w:val="24"/>
        </w:rPr>
        <w:t>Bitcoin</w:t>
      </w:r>
      <w:r w:rsidR="00AA0C60" w:rsidRPr="00A81003">
        <w:rPr>
          <w:sz w:val="24"/>
          <w:szCs w:val="24"/>
        </w:rPr>
        <w:t>’s</w:t>
      </w:r>
      <w:r w:rsidR="00CF4957" w:rsidRPr="00A81003">
        <w:rPr>
          <w:sz w:val="24"/>
          <w:szCs w:val="24"/>
        </w:rPr>
        <w:t xml:space="preserve"> own market information to examine </w:t>
      </w:r>
      <w:r w:rsidR="00046498" w:rsidRPr="00A81003">
        <w:rPr>
          <w:sz w:val="24"/>
          <w:szCs w:val="24"/>
        </w:rPr>
        <w:t xml:space="preserve">its </w:t>
      </w:r>
      <w:r w:rsidR="00CF4957" w:rsidRPr="00A81003">
        <w:rPr>
          <w:sz w:val="24"/>
          <w:szCs w:val="24"/>
        </w:rPr>
        <w:t>market fluctuations.</w:t>
      </w:r>
      <w:r w:rsidR="0036271C" w:rsidRPr="00A81003">
        <w:rPr>
          <w:sz w:val="24"/>
          <w:szCs w:val="24"/>
        </w:rPr>
        <w:t xml:space="preserve"> </w:t>
      </w:r>
      <w:r w:rsidR="00CF4957" w:rsidRPr="00A81003">
        <w:rPr>
          <w:sz w:val="24"/>
          <w:szCs w:val="24"/>
        </w:rPr>
        <w:t xml:space="preserve">For example, </w:t>
      </w:r>
      <w:proofErr w:type="spellStart"/>
      <w:r w:rsidR="00CF4957" w:rsidRPr="00A81003">
        <w:rPr>
          <w:sz w:val="24"/>
          <w:szCs w:val="24"/>
        </w:rPr>
        <w:t>Donier</w:t>
      </w:r>
      <w:proofErr w:type="spellEnd"/>
      <w:r w:rsidR="00CF4957" w:rsidRPr="00A81003">
        <w:rPr>
          <w:sz w:val="24"/>
          <w:szCs w:val="24"/>
        </w:rPr>
        <w:t xml:space="preserve"> and </w:t>
      </w:r>
      <w:proofErr w:type="spellStart"/>
      <w:r w:rsidR="00CF4957" w:rsidRPr="00A81003">
        <w:rPr>
          <w:sz w:val="24"/>
          <w:szCs w:val="24"/>
        </w:rPr>
        <w:lastRenderedPageBreak/>
        <w:t>Bouchaud</w:t>
      </w:r>
      <w:proofErr w:type="spellEnd"/>
      <w:r w:rsidR="00CF4957" w:rsidRPr="00A81003">
        <w:rPr>
          <w:sz w:val="24"/>
          <w:szCs w:val="24"/>
        </w:rPr>
        <w:t xml:space="preserve"> (2015) </w:t>
      </w:r>
      <w:r w:rsidR="00046498" w:rsidRPr="00A81003">
        <w:rPr>
          <w:sz w:val="24"/>
          <w:szCs w:val="24"/>
        </w:rPr>
        <w:t xml:space="preserve">verify </w:t>
      </w:r>
      <w:r w:rsidR="00CF4957" w:rsidRPr="00A81003">
        <w:rPr>
          <w:sz w:val="24"/>
          <w:szCs w:val="24"/>
        </w:rPr>
        <w:t>that liquidity well</w:t>
      </w:r>
      <w:r w:rsidR="00371D2E" w:rsidRPr="00A81003">
        <w:rPr>
          <w:sz w:val="24"/>
          <w:szCs w:val="24"/>
        </w:rPr>
        <w:t>-</w:t>
      </w:r>
      <w:r w:rsidR="00CF4957" w:rsidRPr="00A81003">
        <w:rPr>
          <w:sz w:val="24"/>
          <w:szCs w:val="24"/>
        </w:rPr>
        <w:t>indicat</w:t>
      </w:r>
      <w:r w:rsidR="00371D2E" w:rsidRPr="00A81003">
        <w:rPr>
          <w:sz w:val="24"/>
          <w:szCs w:val="24"/>
        </w:rPr>
        <w:t>es</w:t>
      </w:r>
      <w:r w:rsidR="00CF4957" w:rsidRPr="00A81003">
        <w:rPr>
          <w:sz w:val="24"/>
          <w:szCs w:val="24"/>
        </w:rPr>
        <w:t xml:space="preserve"> future Bitcoin market crash</w:t>
      </w:r>
      <w:r w:rsidR="00046498" w:rsidRPr="00A81003">
        <w:rPr>
          <w:sz w:val="24"/>
          <w:szCs w:val="24"/>
        </w:rPr>
        <w:t>es</w:t>
      </w:r>
      <w:r w:rsidR="00CF4957" w:rsidRPr="00A81003">
        <w:rPr>
          <w:sz w:val="24"/>
          <w:szCs w:val="24"/>
        </w:rPr>
        <w:t xml:space="preserve">. </w:t>
      </w:r>
      <w:proofErr w:type="spellStart"/>
      <w:r w:rsidR="00CF4957" w:rsidRPr="00A81003">
        <w:rPr>
          <w:sz w:val="24"/>
          <w:szCs w:val="24"/>
        </w:rPr>
        <w:t>Bouri</w:t>
      </w:r>
      <w:proofErr w:type="spellEnd"/>
      <w:r w:rsidR="0036271C" w:rsidRPr="00A81003">
        <w:rPr>
          <w:sz w:val="24"/>
          <w:szCs w:val="24"/>
        </w:rPr>
        <w:t xml:space="preserve"> et al</w:t>
      </w:r>
      <w:r w:rsidR="00750942">
        <w:rPr>
          <w:sz w:val="24"/>
          <w:szCs w:val="24"/>
        </w:rPr>
        <w:t>.</w:t>
      </w:r>
      <w:r w:rsidR="00CF4957" w:rsidRPr="00A81003">
        <w:rPr>
          <w:sz w:val="24"/>
          <w:szCs w:val="24"/>
        </w:rPr>
        <w:t xml:space="preserve"> (2016) investigate </w:t>
      </w:r>
      <w:r w:rsidR="002B365B" w:rsidRPr="00A81003">
        <w:rPr>
          <w:sz w:val="24"/>
          <w:szCs w:val="24"/>
        </w:rPr>
        <w:t>B</w:t>
      </w:r>
      <w:r w:rsidR="00CF4957" w:rsidRPr="00A81003">
        <w:rPr>
          <w:sz w:val="24"/>
          <w:szCs w:val="24"/>
        </w:rPr>
        <w:t>itcoin return</w:t>
      </w:r>
      <w:r w:rsidR="00046498" w:rsidRPr="00A81003">
        <w:rPr>
          <w:sz w:val="24"/>
          <w:szCs w:val="24"/>
        </w:rPr>
        <w:t xml:space="preserve">s </w:t>
      </w:r>
      <w:r w:rsidR="00C91AE7" w:rsidRPr="00A81003">
        <w:rPr>
          <w:sz w:val="24"/>
          <w:szCs w:val="24"/>
        </w:rPr>
        <w:t xml:space="preserve">and </w:t>
      </w:r>
      <w:r w:rsidR="00CF4957" w:rsidRPr="00A81003">
        <w:rPr>
          <w:sz w:val="24"/>
          <w:szCs w:val="24"/>
        </w:rPr>
        <w:t xml:space="preserve">volatility </w:t>
      </w:r>
      <w:r w:rsidR="00046498" w:rsidRPr="00A81003">
        <w:rPr>
          <w:sz w:val="24"/>
          <w:szCs w:val="24"/>
        </w:rPr>
        <w:t>behaviours</w:t>
      </w:r>
      <w:r w:rsidR="00CF4957" w:rsidRPr="00A81003">
        <w:rPr>
          <w:sz w:val="24"/>
          <w:szCs w:val="24"/>
        </w:rPr>
        <w:t xml:space="preserve"> before and after the severe crash of 2013 and document </w:t>
      </w:r>
      <w:r w:rsidR="00C91AE7" w:rsidRPr="00A81003">
        <w:rPr>
          <w:sz w:val="24"/>
          <w:szCs w:val="24"/>
        </w:rPr>
        <w:t xml:space="preserve">a </w:t>
      </w:r>
      <w:r w:rsidR="00CF4957" w:rsidRPr="00A81003">
        <w:rPr>
          <w:sz w:val="24"/>
          <w:szCs w:val="24"/>
        </w:rPr>
        <w:t xml:space="preserve">serial correlation in </w:t>
      </w:r>
      <w:r w:rsidR="0054486F" w:rsidRPr="00A81003">
        <w:rPr>
          <w:sz w:val="24"/>
          <w:szCs w:val="24"/>
        </w:rPr>
        <w:t>B</w:t>
      </w:r>
      <w:r w:rsidR="00CF4957" w:rsidRPr="00A81003">
        <w:rPr>
          <w:sz w:val="24"/>
          <w:szCs w:val="24"/>
        </w:rPr>
        <w:t>itcoin return</w:t>
      </w:r>
      <w:r w:rsidR="00C91AE7" w:rsidRPr="00A81003">
        <w:rPr>
          <w:sz w:val="24"/>
          <w:szCs w:val="24"/>
        </w:rPr>
        <w:t>s</w:t>
      </w:r>
      <w:r w:rsidR="00CF4957" w:rsidRPr="00A81003">
        <w:rPr>
          <w:sz w:val="24"/>
          <w:szCs w:val="24"/>
        </w:rPr>
        <w:t xml:space="preserve">. </w:t>
      </w:r>
      <w:proofErr w:type="spellStart"/>
      <w:r w:rsidR="00CF4957" w:rsidRPr="00A81003">
        <w:rPr>
          <w:sz w:val="24"/>
          <w:szCs w:val="24"/>
        </w:rPr>
        <w:t>Koutmos</w:t>
      </w:r>
      <w:proofErr w:type="spellEnd"/>
      <w:r w:rsidR="00CF4957" w:rsidRPr="00A81003">
        <w:rPr>
          <w:sz w:val="24"/>
          <w:szCs w:val="24"/>
        </w:rPr>
        <w:t xml:space="preserve"> (2018a</w:t>
      </w:r>
      <w:r w:rsidR="001F3AF6" w:rsidRPr="00A81003">
        <w:rPr>
          <w:sz w:val="24"/>
          <w:szCs w:val="24"/>
        </w:rPr>
        <w:t>; 2018b</w:t>
      </w:r>
      <w:r w:rsidR="00CF4957" w:rsidRPr="00A81003">
        <w:rPr>
          <w:sz w:val="24"/>
          <w:szCs w:val="24"/>
        </w:rPr>
        <w:t xml:space="preserve">) extend our understanding of Bitcoin price </w:t>
      </w:r>
      <w:r w:rsidR="00046498" w:rsidRPr="00A81003">
        <w:rPr>
          <w:sz w:val="24"/>
          <w:szCs w:val="24"/>
        </w:rPr>
        <w:t>behaviours</w:t>
      </w:r>
      <w:r w:rsidR="00CF4957" w:rsidRPr="00A81003">
        <w:rPr>
          <w:sz w:val="24"/>
          <w:szCs w:val="24"/>
        </w:rPr>
        <w:t xml:space="preserve"> by examining the impact</w:t>
      </w:r>
      <w:r w:rsidR="00C91AE7" w:rsidRPr="00A81003">
        <w:rPr>
          <w:sz w:val="24"/>
          <w:szCs w:val="24"/>
        </w:rPr>
        <w:t>s</w:t>
      </w:r>
      <w:r w:rsidR="00CF4957" w:rsidRPr="00A81003">
        <w:rPr>
          <w:sz w:val="24"/>
          <w:szCs w:val="24"/>
        </w:rPr>
        <w:t xml:space="preserve"> of </w:t>
      </w:r>
      <w:r w:rsidR="00371D2E" w:rsidRPr="00A81003">
        <w:rPr>
          <w:sz w:val="24"/>
          <w:szCs w:val="24"/>
        </w:rPr>
        <w:t xml:space="preserve">the </w:t>
      </w:r>
      <w:r w:rsidR="00CF4957" w:rsidRPr="00A81003">
        <w:rPr>
          <w:sz w:val="24"/>
          <w:szCs w:val="24"/>
        </w:rPr>
        <w:t>Bitcoin market microstructure</w:t>
      </w:r>
      <w:r w:rsidR="00371D2E" w:rsidRPr="00A81003">
        <w:rPr>
          <w:sz w:val="24"/>
          <w:szCs w:val="24"/>
        </w:rPr>
        <w:t xml:space="preserve">—including </w:t>
      </w:r>
      <w:r w:rsidR="00CF4957" w:rsidRPr="00A81003">
        <w:rPr>
          <w:sz w:val="24"/>
          <w:szCs w:val="24"/>
        </w:rPr>
        <w:t>trading volume</w:t>
      </w:r>
      <w:r w:rsidR="00C91AE7" w:rsidRPr="00A81003">
        <w:rPr>
          <w:sz w:val="24"/>
          <w:szCs w:val="24"/>
        </w:rPr>
        <w:t>s</w:t>
      </w:r>
      <w:r w:rsidR="00CF4957" w:rsidRPr="00A81003">
        <w:rPr>
          <w:sz w:val="24"/>
          <w:szCs w:val="24"/>
        </w:rPr>
        <w:t>, transaction fee</w:t>
      </w:r>
      <w:r w:rsidR="00C91AE7" w:rsidRPr="00A81003">
        <w:rPr>
          <w:sz w:val="24"/>
          <w:szCs w:val="24"/>
        </w:rPr>
        <w:t>s</w:t>
      </w:r>
      <w:r w:rsidR="009E12CC">
        <w:rPr>
          <w:sz w:val="24"/>
          <w:szCs w:val="24"/>
        </w:rPr>
        <w:t>,</w:t>
      </w:r>
      <w:r w:rsidR="00CF4957" w:rsidRPr="00A81003">
        <w:rPr>
          <w:sz w:val="24"/>
          <w:szCs w:val="24"/>
        </w:rPr>
        <w:t xml:space="preserve"> and market capitali</w:t>
      </w:r>
      <w:r w:rsidR="001F3AF6" w:rsidRPr="00A81003">
        <w:rPr>
          <w:sz w:val="24"/>
          <w:szCs w:val="24"/>
        </w:rPr>
        <w:t>s</w:t>
      </w:r>
      <w:r w:rsidR="00CF4957" w:rsidRPr="00A81003">
        <w:rPr>
          <w:sz w:val="24"/>
          <w:szCs w:val="24"/>
        </w:rPr>
        <w:t>ation</w:t>
      </w:r>
      <w:r w:rsidR="00371D2E" w:rsidRPr="00A81003">
        <w:rPr>
          <w:sz w:val="24"/>
          <w:szCs w:val="24"/>
        </w:rPr>
        <w:t>—</w:t>
      </w:r>
      <w:r w:rsidR="00232636" w:rsidRPr="00A81003">
        <w:rPr>
          <w:sz w:val="24"/>
          <w:szCs w:val="24"/>
        </w:rPr>
        <w:t>on Bitcoin returns</w:t>
      </w:r>
      <w:r w:rsidR="00CF4957" w:rsidRPr="00A81003">
        <w:rPr>
          <w:sz w:val="24"/>
          <w:szCs w:val="24"/>
        </w:rPr>
        <w:t xml:space="preserve">. </w:t>
      </w:r>
      <w:r w:rsidR="00930785" w:rsidRPr="00A81003">
        <w:rPr>
          <w:sz w:val="24"/>
          <w:szCs w:val="24"/>
        </w:rPr>
        <w:t xml:space="preserve">Urquhart </w:t>
      </w:r>
      <w:r w:rsidR="00D050FC" w:rsidRPr="00A81003">
        <w:rPr>
          <w:sz w:val="24"/>
          <w:szCs w:val="24"/>
        </w:rPr>
        <w:t>(2018)</w:t>
      </w:r>
      <w:r w:rsidR="00930785" w:rsidRPr="00A81003">
        <w:rPr>
          <w:sz w:val="24"/>
          <w:szCs w:val="24"/>
        </w:rPr>
        <w:t>, Corbet et al</w:t>
      </w:r>
      <w:r w:rsidR="00CB7296">
        <w:rPr>
          <w:sz w:val="24"/>
          <w:szCs w:val="24"/>
        </w:rPr>
        <w:t>.</w:t>
      </w:r>
      <w:r w:rsidR="00930785" w:rsidRPr="00A81003">
        <w:rPr>
          <w:sz w:val="24"/>
          <w:szCs w:val="24"/>
        </w:rPr>
        <w:t xml:space="preserve"> </w:t>
      </w:r>
      <w:r w:rsidR="00D050FC" w:rsidRPr="00A81003">
        <w:rPr>
          <w:sz w:val="24"/>
          <w:szCs w:val="24"/>
        </w:rPr>
        <w:t>(2019)</w:t>
      </w:r>
      <w:r w:rsidR="0074227B" w:rsidRPr="00A81003">
        <w:rPr>
          <w:sz w:val="24"/>
          <w:szCs w:val="24"/>
        </w:rPr>
        <w:t>,</w:t>
      </w:r>
      <w:r w:rsidR="00930785" w:rsidRPr="00A81003">
        <w:rPr>
          <w:sz w:val="24"/>
          <w:szCs w:val="24"/>
        </w:rPr>
        <w:t xml:space="preserve"> and Shen et al</w:t>
      </w:r>
      <w:r w:rsidR="00750942">
        <w:rPr>
          <w:sz w:val="24"/>
          <w:szCs w:val="24"/>
        </w:rPr>
        <w:t>.</w:t>
      </w:r>
      <w:r w:rsidR="00930785" w:rsidRPr="00A81003">
        <w:rPr>
          <w:sz w:val="24"/>
          <w:szCs w:val="24"/>
        </w:rPr>
        <w:t xml:space="preserve"> </w:t>
      </w:r>
      <w:r w:rsidR="00D050FC" w:rsidRPr="00A81003">
        <w:rPr>
          <w:sz w:val="24"/>
          <w:szCs w:val="24"/>
        </w:rPr>
        <w:t xml:space="preserve">(2019) </w:t>
      </w:r>
      <w:r w:rsidR="00930785" w:rsidRPr="00A81003">
        <w:rPr>
          <w:sz w:val="24"/>
          <w:szCs w:val="24"/>
        </w:rPr>
        <w:t>highlight investor attention</w:t>
      </w:r>
      <w:r w:rsidR="00371D2E" w:rsidRPr="00A81003">
        <w:rPr>
          <w:sz w:val="24"/>
          <w:szCs w:val="24"/>
        </w:rPr>
        <w:t>’s role</w:t>
      </w:r>
      <w:r w:rsidR="00930785" w:rsidRPr="00A81003">
        <w:rPr>
          <w:sz w:val="24"/>
          <w:szCs w:val="24"/>
        </w:rPr>
        <w:t xml:space="preserve"> in Bitcoin returns and volatility. </w:t>
      </w:r>
      <w:r w:rsidR="000D542A" w:rsidRPr="00A81003">
        <w:rPr>
          <w:sz w:val="24"/>
          <w:szCs w:val="24"/>
        </w:rPr>
        <w:t xml:space="preserve">However, </w:t>
      </w:r>
      <w:r w:rsidR="00C91AE7" w:rsidRPr="00A81003">
        <w:rPr>
          <w:sz w:val="24"/>
          <w:szCs w:val="24"/>
        </w:rPr>
        <w:t xml:space="preserve">these </w:t>
      </w:r>
      <w:r w:rsidR="000D542A" w:rsidRPr="00A81003">
        <w:rPr>
          <w:sz w:val="24"/>
          <w:szCs w:val="24"/>
        </w:rPr>
        <w:t xml:space="preserve">studies are </w:t>
      </w:r>
      <w:r w:rsidR="00371D2E" w:rsidRPr="00A81003">
        <w:rPr>
          <w:sz w:val="24"/>
          <w:szCs w:val="24"/>
        </w:rPr>
        <w:t xml:space="preserve">all </w:t>
      </w:r>
      <w:r w:rsidR="000D542A" w:rsidRPr="00A81003">
        <w:rPr>
          <w:sz w:val="24"/>
          <w:szCs w:val="24"/>
        </w:rPr>
        <w:t xml:space="preserve">explanatory </w:t>
      </w:r>
      <w:r w:rsidR="00C91AE7" w:rsidRPr="00A81003">
        <w:rPr>
          <w:sz w:val="24"/>
          <w:szCs w:val="24"/>
        </w:rPr>
        <w:t xml:space="preserve">in </w:t>
      </w:r>
      <w:r w:rsidR="000D542A" w:rsidRPr="00A81003">
        <w:rPr>
          <w:sz w:val="24"/>
          <w:szCs w:val="24"/>
        </w:rPr>
        <w:t>nature</w:t>
      </w:r>
      <w:r w:rsidR="00C91AE7" w:rsidRPr="00A81003">
        <w:rPr>
          <w:sz w:val="24"/>
          <w:szCs w:val="24"/>
        </w:rPr>
        <w:t>,</w:t>
      </w:r>
      <w:r w:rsidR="00371D2E" w:rsidRPr="00A81003">
        <w:rPr>
          <w:sz w:val="24"/>
          <w:szCs w:val="24"/>
        </w:rPr>
        <w:t xml:space="preserve"> and</w:t>
      </w:r>
      <w:r w:rsidR="00C91AE7" w:rsidRPr="00A81003">
        <w:rPr>
          <w:sz w:val="24"/>
          <w:szCs w:val="24"/>
        </w:rPr>
        <w:t xml:space="preserve"> </w:t>
      </w:r>
      <w:r w:rsidR="000D542A" w:rsidRPr="00A81003">
        <w:rPr>
          <w:sz w:val="24"/>
          <w:szCs w:val="24"/>
        </w:rPr>
        <w:t xml:space="preserve">focus on </w:t>
      </w:r>
      <w:r w:rsidR="00371D2E" w:rsidRPr="00A81003">
        <w:rPr>
          <w:sz w:val="24"/>
          <w:szCs w:val="24"/>
        </w:rPr>
        <w:t xml:space="preserve">specific factors’ </w:t>
      </w:r>
      <w:r w:rsidR="000D542A" w:rsidRPr="00A81003">
        <w:rPr>
          <w:sz w:val="24"/>
          <w:szCs w:val="24"/>
        </w:rPr>
        <w:t xml:space="preserve">influence. </w:t>
      </w:r>
      <w:r w:rsidR="00371D2E" w:rsidRPr="00A81003">
        <w:rPr>
          <w:sz w:val="24"/>
          <w:szCs w:val="24"/>
        </w:rPr>
        <w:t>In contrast, o</w:t>
      </w:r>
      <w:r w:rsidR="000D542A" w:rsidRPr="00A81003">
        <w:rPr>
          <w:sz w:val="24"/>
          <w:szCs w:val="24"/>
        </w:rPr>
        <w:t>ur paper</w:t>
      </w:r>
      <w:r w:rsidR="00371D2E" w:rsidRPr="00A81003">
        <w:rPr>
          <w:sz w:val="24"/>
          <w:szCs w:val="24"/>
        </w:rPr>
        <w:t xml:space="preserve"> </w:t>
      </w:r>
      <w:r w:rsidR="000D542A" w:rsidRPr="00A81003">
        <w:rPr>
          <w:sz w:val="24"/>
          <w:szCs w:val="24"/>
        </w:rPr>
        <w:t xml:space="preserve">attempts to </w:t>
      </w:r>
      <w:r w:rsidR="00930785" w:rsidRPr="00A81003">
        <w:rPr>
          <w:sz w:val="24"/>
          <w:szCs w:val="24"/>
        </w:rPr>
        <w:t xml:space="preserve">identify the potential predictors of Bitcoin returns. </w:t>
      </w:r>
    </w:p>
    <w:p w:rsidR="00AA0C60" w:rsidRPr="00A81003" w:rsidRDefault="00CF4957" w:rsidP="0029520B">
      <w:pPr>
        <w:pStyle w:val="ListParagraph"/>
        <w:tabs>
          <w:tab w:val="left" w:pos="0"/>
        </w:tabs>
        <w:adjustRightInd w:val="0"/>
        <w:snapToGrid w:val="0"/>
        <w:spacing w:after="0" w:line="480" w:lineRule="auto"/>
        <w:ind w:left="0" w:firstLine="720"/>
        <w:contextualSpacing w:val="0"/>
        <w:jc w:val="both"/>
        <w:rPr>
          <w:sz w:val="24"/>
          <w:szCs w:val="24"/>
        </w:rPr>
      </w:pPr>
      <w:r w:rsidRPr="00A81003">
        <w:rPr>
          <w:sz w:val="24"/>
          <w:szCs w:val="24"/>
        </w:rPr>
        <w:t xml:space="preserve">Another stream of literature </w:t>
      </w:r>
      <w:r w:rsidR="00C91AE7" w:rsidRPr="00A81003">
        <w:rPr>
          <w:sz w:val="24"/>
          <w:szCs w:val="24"/>
        </w:rPr>
        <w:t xml:space="preserve">reasons </w:t>
      </w:r>
      <w:r w:rsidRPr="00A81003">
        <w:rPr>
          <w:sz w:val="24"/>
          <w:szCs w:val="24"/>
        </w:rPr>
        <w:t>that Bitcoin serves as a</w:t>
      </w:r>
      <w:r w:rsidR="00C91AE7" w:rsidRPr="00A81003">
        <w:rPr>
          <w:sz w:val="24"/>
          <w:szCs w:val="24"/>
        </w:rPr>
        <w:t xml:space="preserve">n ideal </w:t>
      </w:r>
      <w:r w:rsidRPr="00A81003">
        <w:rPr>
          <w:sz w:val="24"/>
          <w:szCs w:val="24"/>
        </w:rPr>
        <w:t xml:space="preserve">hedge asset </w:t>
      </w:r>
      <w:r w:rsidR="00371D2E" w:rsidRPr="00A81003">
        <w:rPr>
          <w:sz w:val="24"/>
          <w:szCs w:val="24"/>
        </w:rPr>
        <w:t xml:space="preserve">to </w:t>
      </w:r>
      <w:r w:rsidR="003D743E" w:rsidRPr="00A81003">
        <w:rPr>
          <w:sz w:val="24"/>
          <w:szCs w:val="24"/>
        </w:rPr>
        <w:t>provid</w:t>
      </w:r>
      <w:r w:rsidR="00371D2E" w:rsidRPr="00A81003">
        <w:rPr>
          <w:sz w:val="24"/>
          <w:szCs w:val="24"/>
        </w:rPr>
        <w:t>e</w:t>
      </w:r>
      <w:r w:rsidR="003D743E" w:rsidRPr="00A81003">
        <w:rPr>
          <w:sz w:val="24"/>
          <w:szCs w:val="24"/>
        </w:rPr>
        <w:t xml:space="preserve"> diversification benefits to investors</w:t>
      </w:r>
      <w:r w:rsidR="00371D2E" w:rsidRPr="00A81003">
        <w:rPr>
          <w:sz w:val="24"/>
          <w:szCs w:val="24"/>
        </w:rPr>
        <w:t>,</w:t>
      </w:r>
      <w:r w:rsidR="00811759" w:rsidRPr="00A81003">
        <w:rPr>
          <w:sz w:val="24"/>
          <w:szCs w:val="24"/>
        </w:rPr>
        <w:t xml:space="preserve"> </w:t>
      </w:r>
      <w:r w:rsidR="00371D2E" w:rsidRPr="00A81003">
        <w:rPr>
          <w:sz w:val="24"/>
          <w:szCs w:val="24"/>
        </w:rPr>
        <w:t xml:space="preserve">as </w:t>
      </w:r>
      <w:r w:rsidR="00C91AE7" w:rsidRPr="00A81003">
        <w:rPr>
          <w:sz w:val="24"/>
          <w:szCs w:val="24"/>
        </w:rPr>
        <w:t xml:space="preserve">the </w:t>
      </w:r>
      <w:r w:rsidR="00811759" w:rsidRPr="00A81003">
        <w:rPr>
          <w:sz w:val="24"/>
          <w:szCs w:val="24"/>
        </w:rPr>
        <w:t xml:space="preserve">Bitcoin market </w:t>
      </w:r>
      <w:r w:rsidR="00C91AE7" w:rsidRPr="00A81003">
        <w:rPr>
          <w:sz w:val="24"/>
          <w:szCs w:val="24"/>
        </w:rPr>
        <w:t xml:space="preserve">is </w:t>
      </w:r>
      <w:r w:rsidR="00232636" w:rsidRPr="00A81003">
        <w:rPr>
          <w:sz w:val="24"/>
          <w:szCs w:val="24"/>
        </w:rPr>
        <w:t xml:space="preserve">not directly </w:t>
      </w:r>
      <w:r w:rsidR="00811759" w:rsidRPr="00A81003">
        <w:rPr>
          <w:sz w:val="24"/>
          <w:szCs w:val="24"/>
        </w:rPr>
        <w:t xml:space="preserve">exposed to </w:t>
      </w:r>
      <w:r w:rsidR="00232636" w:rsidRPr="00A81003">
        <w:rPr>
          <w:sz w:val="24"/>
          <w:szCs w:val="24"/>
        </w:rPr>
        <w:t xml:space="preserve">shocks from other </w:t>
      </w:r>
      <w:r w:rsidR="00545183" w:rsidRPr="00A81003">
        <w:rPr>
          <w:sz w:val="24"/>
          <w:szCs w:val="24"/>
        </w:rPr>
        <w:t>financial</w:t>
      </w:r>
      <w:r w:rsidR="00811759" w:rsidRPr="00A81003">
        <w:rPr>
          <w:sz w:val="24"/>
          <w:szCs w:val="24"/>
        </w:rPr>
        <w:t xml:space="preserve"> market</w:t>
      </w:r>
      <w:r w:rsidR="00C91AE7" w:rsidRPr="00A81003">
        <w:rPr>
          <w:sz w:val="24"/>
          <w:szCs w:val="24"/>
        </w:rPr>
        <w:t>s</w:t>
      </w:r>
      <w:r w:rsidR="003D743E" w:rsidRPr="00A81003">
        <w:rPr>
          <w:sz w:val="24"/>
          <w:szCs w:val="24"/>
        </w:rPr>
        <w:t>.</w:t>
      </w:r>
      <w:r w:rsidR="00D050FC" w:rsidRPr="00A81003">
        <w:t xml:space="preserve"> </w:t>
      </w:r>
      <w:proofErr w:type="spellStart"/>
      <w:r w:rsidR="00D050FC" w:rsidRPr="00A81003">
        <w:rPr>
          <w:sz w:val="24"/>
          <w:szCs w:val="24"/>
        </w:rPr>
        <w:t>Dyhrberg</w:t>
      </w:r>
      <w:proofErr w:type="spellEnd"/>
      <w:r w:rsidR="003D743E" w:rsidRPr="00A81003">
        <w:rPr>
          <w:sz w:val="24"/>
          <w:szCs w:val="24"/>
        </w:rPr>
        <w:t xml:space="preserve"> </w:t>
      </w:r>
      <w:r w:rsidR="00D050FC" w:rsidRPr="00A81003">
        <w:rPr>
          <w:sz w:val="24"/>
          <w:szCs w:val="24"/>
        </w:rPr>
        <w:t>(2016)</w:t>
      </w:r>
      <w:r w:rsidR="00D14F5F" w:rsidRPr="00A81003">
        <w:rPr>
          <w:sz w:val="24"/>
          <w:szCs w:val="24"/>
        </w:rPr>
        <w:t xml:space="preserve"> </w:t>
      </w:r>
      <w:r w:rsidR="00232636" w:rsidRPr="00A81003">
        <w:rPr>
          <w:sz w:val="24"/>
          <w:szCs w:val="24"/>
        </w:rPr>
        <w:t>explores the relation</w:t>
      </w:r>
      <w:r w:rsidR="00371D2E" w:rsidRPr="00A81003">
        <w:rPr>
          <w:sz w:val="24"/>
          <w:szCs w:val="24"/>
        </w:rPr>
        <w:t>ship</w:t>
      </w:r>
      <w:r w:rsidR="00232636" w:rsidRPr="00A81003">
        <w:rPr>
          <w:sz w:val="24"/>
          <w:szCs w:val="24"/>
        </w:rPr>
        <w:t xml:space="preserve"> between </w:t>
      </w:r>
      <w:r w:rsidR="00D14F5F" w:rsidRPr="00A81003">
        <w:rPr>
          <w:sz w:val="24"/>
          <w:szCs w:val="24"/>
        </w:rPr>
        <w:t xml:space="preserve">Bitcoin </w:t>
      </w:r>
      <w:r w:rsidR="00232636" w:rsidRPr="00A81003">
        <w:rPr>
          <w:sz w:val="24"/>
          <w:szCs w:val="24"/>
        </w:rPr>
        <w:t>and the</w:t>
      </w:r>
      <w:r w:rsidR="00C91AE7" w:rsidRPr="00A81003">
        <w:rPr>
          <w:sz w:val="24"/>
          <w:szCs w:val="24"/>
        </w:rPr>
        <w:t xml:space="preserve"> </w:t>
      </w:r>
      <w:r w:rsidR="00D14F5F" w:rsidRPr="00A81003">
        <w:rPr>
          <w:sz w:val="24"/>
          <w:szCs w:val="24"/>
        </w:rPr>
        <w:t>federal funds</w:t>
      </w:r>
      <w:r w:rsidR="00371D2E" w:rsidRPr="00A81003">
        <w:rPr>
          <w:sz w:val="24"/>
          <w:szCs w:val="24"/>
        </w:rPr>
        <w:t>’</w:t>
      </w:r>
      <w:r w:rsidR="00D14F5F" w:rsidRPr="00A81003">
        <w:rPr>
          <w:sz w:val="24"/>
          <w:szCs w:val="24"/>
        </w:rPr>
        <w:t xml:space="preserve"> rate, </w:t>
      </w:r>
      <w:r w:rsidR="00C91AE7" w:rsidRPr="00A81003">
        <w:rPr>
          <w:sz w:val="24"/>
          <w:szCs w:val="24"/>
        </w:rPr>
        <w:t xml:space="preserve">the </w:t>
      </w:r>
      <w:r w:rsidR="00D14F5F" w:rsidRPr="00A81003">
        <w:rPr>
          <w:sz w:val="24"/>
          <w:szCs w:val="24"/>
        </w:rPr>
        <w:t>dollar</w:t>
      </w:r>
      <w:r w:rsidR="00C91AE7" w:rsidRPr="00A81003">
        <w:rPr>
          <w:sz w:val="24"/>
          <w:szCs w:val="24"/>
        </w:rPr>
        <w:t>-</w:t>
      </w:r>
      <w:r w:rsidR="00D14F5F" w:rsidRPr="00A81003">
        <w:rPr>
          <w:sz w:val="24"/>
          <w:szCs w:val="24"/>
        </w:rPr>
        <w:t>to</w:t>
      </w:r>
      <w:r w:rsidR="00C91AE7" w:rsidRPr="00A81003">
        <w:rPr>
          <w:sz w:val="24"/>
          <w:szCs w:val="24"/>
        </w:rPr>
        <w:t>-</w:t>
      </w:r>
      <w:r w:rsidR="00D14F5F" w:rsidRPr="00A81003">
        <w:rPr>
          <w:sz w:val="24"/>
          <w:szCs w:val="24"/>
        </w:rPr>
        <w:t>pound exchange rate</w:t>
      </w:r>
      <w:r w:rsidR="008134B8" w:rsidRPr="00A81003">
        <w:rPr>
          <w:sz w:val="24"/>
          <w:szCs w:val="24"/>
        </w:rPr>
        <w:t>,</w:t>
      </w:r>
      <w:r w:rsidR="00D14F5F" w:rsidRPr="00A81003">
        <w:rPr>
          <w:sz w:val="24"/>
          <w:szCs w:val="24"/>
        </w:rPr>
        <w:t xml:space="preserve"> and </w:t>
      </w:r>
      <w:r w:rsidR="00C91AE7" w:rsidRPr="00A81003">
        <w:rPr>
          <w:sz w:val="24"/>
          <w:szCs w:val="24"/>
        </w:rPr>
        <w:t xml:space="preserve">the </w:t>
      </w:r>
      <w:r w:rsidR="00D14F5F" w:rsidRPr="00A81003">
        <w:rPr>
          <w:sz w:val="24"/>
          <w:szCs w:val="24"/>
        </w:rPr>
        <w:t>F</w:t>
      </w:r>
      <w:r w:rsidR="00371D2E" w:rsidRPr="00A81003">
        <w:rPr>
          <w:sz w:val="24"/>
          <w:szCs w:val="24"/>
        </w:rPr>
        <w:t xml:space="preserve">inancial </w:t>
      </w:r>
      <w:r w:rsidR="00D14F5F" w:rsidRPr="00A81003">
        <w:rPr>
          <w:sz w:val="24"/>
          <w:szCs w:val="24"/>
        </w:rPr>
        <w:t>T</w:t>
      </w:r>
      <w:r w:rsidR="00371D2E" w:rsidRPr="00A81003">
        <w:rPr>
          <w:sz w:val="24"/>
          <w:szCs w:val="24"/>
        </w:rPr>
        <w:t xml:space="preserve">imes </w:t>
      </w:r>
      <w:r w:rsidR="00D14F5F" w:rsidRPr="00A81003">
        <w:rPr>
          <w:sz w:val="24"/>
          <w:szCs w:val="24"/>
        </w:rPr>
        <w:t>S</w:t>
      </w:r>
      <w:r w:rsidR="00371D2E" w:rsidRPr="00A81003">
        <w:rPr>
          <w:sz w:val="24"/>
          <w:szCs w:val="24"/>
        </w:rPr>
        <w:t xml:space="preserve">tock </w:t>
      </w:r>
      <w:r w:rsidR="00D14F5F" w:rsidRPr="00A81003">
        <w:rPr>
          <w:sz w:val="24"/>
          <w:szCs w:val="24"/>
        </w:rPr>
        <w:t>E</w:t>
      </w:r>
      <w:r w:rsidR="00371D2E" w:rsidRPr="00A81003">
        <w:rPr>
          <w:sz w:val="24"/>
          <w:szCs w:val="24"/>
        </w:rPr>
        <w:t>xchange</w:t>
      </w:r>
      <w:r w:rsidR="00D14F5F" w:rsidRPr="00A81003">
        <w:rPr>
          <w:sz w:val="24"/>
          <w:szCs w:val="24"/>
        </w:rPr>
        <w:t xml:space="preserve"> index</w:t>
      </w:r>
      <w:r w:rsidR="00371D2E" w:rsidRPr="00A81003">
        <w:rPr>
          <w:sz w:val="24"/>
          <w:szCs w:val="24"/>
        </w:rPr>
        <w:t xml:space="preserve"> to </w:t>
      </w:r>
      <w:r w:rsidR="00D14F5F" w:rsidRPr="00A81003">
        <w:rPr>
          <w:sz w:val="24"/>
          <w:szCs w:val="24"/>
        </w:rPr>
        <w:t>indicat</w:t>
      </w:r>
      <w:r w:rsidR="00371D2E" w:rsidRPr="00A81003">
        <w:rPr>
          <w:sz w:val="24"/>
          <w:szCs w:val="24"/>
        </w:rPr>
        <w:t>e</w:t>
      </w:r>
      <w:r w:rsidR="00C91AE7" w:rsidRPr="00A81003">
        <w:rPr>
          <w:sz w:val="24"/>
          <w:szCs w:val="24"/>
        </w:rPr>
        <w:t xml:space="preserve"> that</w:t>
      </w:r>
      <w:r w:rsidR="001F3AF6" w:rsidRPr="00A81003">
        <w:rPr>
          <w:sz w:val="24"/>
          <w:szCs w:val="24"/>
        </w:rPr>
        <w:t xml:space="preserve"> </w:t>
      </w:r>
      <w:r w:rsidR="00D14F5F" w:rsidRPr="00A81003">
        <w:rPr>
          <w:sz w:val="24"/>
          <w:szCs w:val="24"/>
        </w:rPr>
        <w:t xml:space="preserve">Bitcoin can be used </w:t>
      </w:r>
      <w:r w:rsidR="00371D2E" w:rsidRPr="00A81003">
        <w:rPr>
          <w:sz w:val="24"/>
          <w:szCs w:val="24"/>
        </w:rPr>
        <w:t xml:space="preserve">in the short-term </w:t>
      </w:r>
      <w:r w:rsidR="00D14F5F" w:rsidRPr="00A81003">
        <w:rPr>
          <w:sz w:val="24"/>
          <w:szCs w:val="24"/>
        </w:rPr>
        <w:t xml:space="preserve">as a hedge against </w:t>
      </w:r>
      <w:r w:rsidR="00A675A5" w:rsidRPr="00A81003">
        <w:rPr>
          <w:sz w:val="24"/>
          <w:szCs w:val="24"/>
        </w:rPr>
        <w:t>equity ind</w:t>
      </w:r>
      <w:r w:rsidR="00C91AE7" w:rsidRPr="00A81003">
        <w:rPr>
          <w:sz w:val="24"/>
          <w:szCs w:val="24"/>
        </w:rPr>
        <w:t>ices</w:t>
      </w:r>
      <w:r w:rsidR="00A675A5" w:rsidRPr="00A81003">
        <w:rPr>
          <w:sz w:val="24"/>
          <w:szCs w:val="24"/>
        </w:rPr>
        <w:t xml:space="preserve"> and </w:t>
      </w:r>
      <w:r w:rsidR="00C91AE7" w:rsidRPr="00A81003">
        <w:rPr>
          <w:sz w:val="24"/>
          <w:szCs w:val="24"/>
        </w:rPr>
        <w:t xml:space="preserve">the </w:t>
      </w:r>
      <w:r w:rsidR="00A675A5" w:rsidRPr="00A81003">
        <w:rPr>
          <w:sz w:val="24"/>
          <w:szCs w:val="24"/>
        </w:rPr>
        <w:t>US dollar</w:t>
      </w:r>
      <w:r w:rsidR="00D14F5F" w:rsidRPr="00A81003">
        <w:rPr>
          <w:sz w:val="24"/>
          <w:szCs w:val="24"/>
        </w:rPr>
        <w:t xml:space="preserve">. </w:t>
      </w:r>
      <w:proofErr w:type="spellStart"/>
      <w:r w:rsidR="00D14F5F" w:rsidRPr="00A81003">
        <w:rPr>
          <w:sz w:val="24"/>
          <w:szCs w:val="24"/>
        </w:rPr>
        <w:t>Bouri</w:t>
      </w:r>
      <w:proofErr w:type="spellEnd"/>
      <w:r w:rsidR="00D14F5F" w:rsidRPr="00A81003">
        <w:rPr>
          <w:sz w:val="24"/>
          <w:szCs w:val="24"/>
        </w:rPr>
        <w:t xml:space="preserve"> et al</w:t>
      </w:r>
      <w:r w:rsidR="00750942">
        <w:rPr>
          <w:sz w:val="24"/>
          <w:szCs w:val="24"/>
        </w:rPr>
        <w:t>.</w:t>
      </w:r>
      <w:r w:rsidR="00D14F5F" w:rsidRPr="00A81003">
        <w:rPr>
          <w:sz w:val="24"/>
          <w:szCs w:val="24"/>
        </w:rPr>
        <w:t xml:space="preserve"> </w:t>
      </w:r>
      <w:r w:rsidR="00D050FC" w:rsidRPr="00A81003">
        <w:rPr>
          <w:sz w:val="24"/>
          <w:szCs w:val="24"/>
        </w:rPr>
        <w:t>(2017a)</w:t>
      </w:r>
      <w:r w:rsidR="00D14F5F" w:rsidRPr="00A81003">
        <w:rPr>
          <w:sz w:val="24"/>
          <w:szCs w:val="24"/>
        </w:rPr>
        <w:t xml:space="preserve"> </w:t>
      </w:r>
      <w:r w:rsidR="00371D2E" w:rsidRPr="00A81003">
        <w:rPr>
          <w:sz w:val="24"/>
          <w:szCs w:val="24"/>
        </w:rPr>
        <w:t xml:space="preserve">use a dynamic conditional correlation model to </w:t>
      </w:r>
      <w:r w:rsidR="00D14F5F" w:rsidRPr="00A81003">
        <w:rPr>
          <w:sz w:val="24"/>
          <w:szCs w:val="24"/>
        </w:rPr>
        <w:t>examine whether Bitcoin can act as a hedge for</w:t>
      </w:r>
      <w:r w:rsidR="00D70859" w:rsidRPr="00A81003">
        <w:rPr>
          <w:sz w:val="24"/>
          <w:szCs w:val="24"/>
        </w:rPr>
        <w:t xml:space="preserve"> traditional assets</w:t>
      </w:r>
      <w:r w:rsidR="00C91AE7" w:rsidRPr="00A81003">
        <w:rPr>
          <w:sz w:val="24"/>
          <w:szCs w:val="24"/>
        </w:rPr>
        <w:t>,</w:t>
      </w:r>
      <w:r w:rsidR="00D70859" w:rsidRPr="00A81003">
        <w:rPr>
          <w:sz w:val="24"/>
          <w:szCs w:val="24"/>
        </w:rPr>
        <w:t xml:space="preserve"> including</w:t>
      </w:r>
      <w:r w:rsidR="00D14F5F" w:rsidRPr="00A81003">
        <w:rPr>
          <w:sz w:val="24"/>
          <w:szCs w:val="24"/>
        </w:rPr>
        <w:t xml:space="preserve"> stock indices, bond</w:t>
      </w:r>
      <w:r w:rsidR="00C91AE7" w:rsidRPr="00A81003">
        <w:rPr>
          <w:sz w:val="24"/>
          <w:szCs w:val="24"/>
        </w:rPr>
        <w:t>s</w:t>
      </w:r>
      <w:r w:rsidR="00D14F5F" w:rsidRPr="00A81003">
        <w:rPr>
          <w:sz w:val="24"/>
          <w:szCs w:val="24"/>
        </w:rPr>
        <w:t xml:space="preserve">, </w:t>
      </w:r>
      <w:r w:rsidR="00A81003" w:rsidRPr="00A81003">
        <w:rPr>
          <w:sz w:val="24"/>
          <w:szCs w:val="24"/>
        </w:rPr>
        <w:t>oil,</w:t>
      </w:r>
      <w:r w:rsidR="00C91AE7" w:rsidRPr="00A81003">
        <w:rPr>
          <w:sz w:val="24"/>
          <w:szCs w:val="24"/>
        </w:rPr>
        <w:t xml:space="preserve"> or</w:t>
      </w:r>
      <w:r w:rsidR="00D14F5F" w:rsidRPr="00A81003">
        <w:rPr>
          <w:sz w:val="24"/>
          <w:szCs w:val="24"/>
        </w:rPr>
        <w:t xml:space="preserve"> gold.</w:t>
      </w:r>
      <w:r w:rsidR="00D70859" w:rsidRPr="00A81003">
        <w:rPr>
          <w:sz w:val="24"/>
          <w:szCs w:val="24"/>
        </w:rPr>
        <w:t xml:space="preserve"> Their results indicate that </w:t>
      </w:r>
      <w:r w:rsidR="00C91AE7" w:rsidRPr="00A81003">
        <w:rPr>
          <w:sz w:val="24"/>
          <w:szCs w:val="24"/>
        </w:rPr>
        <w:t xml:space="preserve">it </w:t>
      </w:r>
      <w:r w:rsidR="00D70859" w:rsidRPr="00A81003">
        <w:rPr>
          <w:sz w:val="24"/>
          <w:szCs w:val="24"/>
        </w:rPr>
        <w:t>can be used for diversification</w:t>
      </w:r>
      <w:r w:rsidR="00371D2E" w:rsidRPr="00A81003">
        <w:rPr>
          <w:sz w:val="24"/>
          <w:szCs w:val="24"/>
        </w:rPr>
        <w:t>,</w:t>
      </w:r>
      <w:r w:rsidR="00D70859" w:rsidRPr="00A81003">
        <w:rPr>
          <w:sz w:val="24"/>
          <w:szCs w:val="24"/>
        </w:rPr>
        <w:t xml:space="preserve"> but not </w:t>
      </w:r>
      <w:r w:rsidR="00C91AE7" w:rsidRPr="00A81003">
        <w:rPr>
          <w:sz w:val="24"/>
          <w:szCs w:val="24"/>
        </w:rPr>
        <w:t xml:space="preserve">as </w:t>
      </w:r>
      <w:r w:rsidR="00D70859" w:rsidRPr="00A81003">
        <w:rPr>
          <w:sz w:val="24"/>
          <w:szCs w:val="24"/>
        </w:rPr>
        <w:t xml:space="preserve">a perfect hedge tool. </w:t>
      </w:r>
      <w:proofErr w:type="spellStart"/>
      <w:r w:rsidR="00A675A5" w:rsidRPr="00A81003">
        <w:rPr>
          <w:sz w:val="24"/>
          <w:szCs w:val="24"/>
        </w:rPr>
        <w:t>Bouri</w:t>
      </w:r>
      <w:proofErr w:type="spellEnd"/>
      <w:r w:rsidR="00A675A5" w:rsidRPr="00A81003">
        <w:rPr>
          <w:sz w:val="24"/>
          <w:szCs w:val="24"/>
        </w:rPr>
        <w:t xml:space="preserve"> et al</w:t>
      </w:r>
      <w:r w:rsidR="00750942">
        <w:rPr>
          <w:sz w:val="24"/>
          <w:szCs w:val="24"/>
        </w:rPr>
        <w:t>.</w:t>
      </w:r>
      <w:r w:rsidR="00A675A5" w:rsidRPr="00A81003">
        <w:rPr>
          <w:sz w:val="24"/>
          <w:szCs w:val="24"/>
        </w:rPr>
        <w:t xml:space="preserve"> </w:t>
      </w:r>
      <w:r w:rsidR="00D050FC" w:rsidRPr="00A81003">
        <w:rPr>
          <w:sz w:val="24"/>
          <w:szCs w:val="24"/>
        </w:rPr>
        <w:t>(2017b)</w:t>
      </w:r>
      <w:r w:rsidR="00A675A5" w:rsidRPr="00A81003">
        <w:rPr>
          <w:sz w:val="24"/>
          <w:szCs w:val="24"/>
        </w:rPr>
        <w:t xml:space="preserve"> </w:t>
      </w:r>
      <w:r w:rsidR="00C91AE7" w:rsidRPr="00A81003">
        <w:rPr>
          <w:sz w:val="24"/>
          <w:szCs w:val="24"/>
        </w:rPr>
        <w:t xml:space="preserve">further </w:t>
      </w:r>
      <w:r w:rsidR="00A675A5" w:rsidRPr="00A81003">
        <w:rPr>
          <w:sz w:val="24"/>
          <w:szCs w:val="24"/>
        </w:rPr>
        <w:t xml:space="preserve">argue that Bitcoin can be used as a hedge </w:t>
      </w:r>
      <w:r w:rsidR="006573D1" w:rsidRPr="00A81003">
        <w:rPr>
          <w:sz w:val="24"/>
          <w:szCs w:val="24"/>
        </w:rPr>
        <w:t xml:space="preserve">asset </w:t>
      </w:r>
      <w:r w:rsidRPr="00A81003">
        <w:rPr>
          <w:sz w:val="24"/>
          <w:szCs w:val="24"/>
        </w:rPr>
        <w:t xml:space="preserve">against </w:t>
      </w:r>
      <w:r w:rsidR="00A675A5" w:rsidRPr="00A81003">
        <w:rPr>
          <w:sz w:val="24"/>
          <w:szCs w:val="24"/>
        </w:rPr>
        <w:t xml:space="preserve">global uncertainty. </w:t>
      </w:r>
      <w:r w:rsidRPr="00A81003">
        <w:rPr>
          <w:sz w:val="24"/>
          <w:szCs w:val="24"/>
        </w:rPr>
        <w:t>Demir</w:t>
      </w:r>
      <w:r w:rsidR="004E714B" w:rsidRPr="00A81003">
        <w:rPr>
          <w:sz w:val="24"/>
          <w:szCs w:val="24"/>
        </w:rPr>
        <w:t xml:space="preserve"> et al</w:t>
      </w:r>
      <w:r w:rsidR="00CB7296">
        <w:rPr>
          <w:sz w:val="24"/>
          <w:szCs w:val="24"/>
        </w:rPr>
        <w:t>.</w:t>
      </w:r>
      <w:r w:rsidR="00C077D6" w:rsidRPr="00A81003">
        <w:rPr>
          <w:sz w:val="24"/>
          <w:szCs w:val="24"/>
        </w:rPr>
        <w:t xml:space="preserve"> (2018) </w:t>
      </w:r>
      <w:r w:rsidRPr="00A81003">
        <w:rPr>
          <w:sz w:val="24"/>
          <w:szCs w:val="24"/>
        </w:rPr>
        <w:t xml:space="preserve">find that Bitcoin </w:t>
      </w:r>
      <w:r w:rsidR="006573D1" w:rsidRPr="00A81003">
        <w:rPr>
          <w:sz w:val="24"/>
          <w:szCs w:val="24"/>
        </w:rPr>
        <w:t>could serve as a hedging tool against political uncertainty</w:t>
      </w:r>
      <w:r w:rsidR="00AA0C60" w:rsidRPr="00A81003">
        <w:rPr>
          <w:sz w:val="24"/>
          <w:szCs w:val="24"/>
        </w:rPr>
        <w:t xml:space="preserve">. </w:t>
      </w:r>
      <w:r w:rsidR="00AA0C60" w:rsidRPr="00A612AA">
        <w:rPr>
          <w:sz w:val="22"/>
          <w:szCs w:val="22"/>
        </w:rPr>
        <w:t>While</w:t>
      </w:r>
      <w:r w:rsidR="00AA0C60" w:rsidRPr="00A81003">
        <w:t xml:space="preserve"> </w:t>
      </w:r>
      <w:r w:rsidR="00C077D6" w:rsidRPr="00A81003">
        <w:rPr>
          <w:sz w:val="24"/>
          <w:szCs w:val="24"/>
        </w:rPr>
        <w:t>they</w:t>
      </w:r>
      <w:r w:rsidR="00D050FC" w:rsidRPr="00A81003">
        <w:rPr>
          <w:sz w:val="24"/>
          <w:szCs w:val="24"/>
        </w:rPr>
        <w:t xml:space="preserve"> </w:t>
      </w:r>
      <w:r w:rsidR="00AA0C60" w:rsidRPr="00A81003">
        <w:rPr>
          <w:sz w:val="24"/>
          <w:szCs w:val="24"/>
        </w:rPr>
        <w:t xml:space="preserve">use the Bayesian </w:t>
      </w:r>
      <w:r w:rsidR="00371D2E" w:rsidRPr="00A81003">
        <w:rPr>
          <w:sz w:val="24"/>
          <w:szCs w:val="24"/>
        </w:rPr>
        <w:t>g</w:t>
      </w:r>
      <w:r w:rsidR="00AA0C60" w:rsidRPr="00A81003">
        <w:rPr>
          <w:sz w:val="24"/>
          <w:szCs w:val="24"/>
        </w:rPr>
        <w:t xml:space="preserve">raphical </w:t>
      </w:r>
      <w:r w:rsidR="00371D2E" w:rsidRPr="00A81003">
        <w:rPr>
          <w:sz w:val="24"/>
          <w:szCs w:val="24"/>
        </w:rPr>
        <w:t>s</w:t>
      </w:r>
      <w:r w:rsidR="00AA0C60" w:rsidRPr="00A81003">
        <w:rPr>
          <w:sz w:val="24"/>
          <w:szCs w:val="24"/>
        </w:rPr>
        <w:t xml:space="preserve">tructural </w:t>
      </w:r>
      <w:r w:rsidR="00371D2E" w:rsidRPr="00A81003">
        <w:rPr>
          <w:sz w:val="24"/>
          <w:szCs w:val="24"/>
        </w:rPr>
        <w:t>v</w:t>
      </w:r>
      <w:r w:rsidR="00AA0C60" w:rsidRPr="00A81003">
        <w:rPr>
          <w:sz w:val="24"/>
          <w:szCs w:val="24"/>
        </w:rPr>
        <w:t xml:space="preserve">ector </w:t>
      </w:r>
      <w:r w:rsidR="00371D2E" w:rsidRPr="00A81003">
        <w:rPr>
          <w:sz w:val="24"/>
          <w:szCs w:val="24"/>
        </w:rPr>
        <w:t>a</w:t>
      </w:r>
      <w:r w:rsidR="00AA0C60" w:rsidRPr="00A81003">
        <w:rPr>
          <w:sz w:val="24"/>
          <w:szCs w:val="24"/>
        </w:rPr>
        <w:t>utoregressive model to examine the relation</w:t>
      </w:r>
      <w:r w:rsidR="0031361A">
        <w:rPr>
          <w:sz w:val="24"/>
          <w:szCs w:val="24"/>
        </w:rPr>
        <w:t>ship</w:t>
      </w:r>
      <w:r w:rsidR="00AA0C60" w:rsidRPr="00A81003">
        <w:rPr>
          <w:sz w:val="24"/>
          <w:szCs w:val="24"/>
        </w:rPr>
        <w:t xml:space="preserve"> between Bitcoin returns and political uncertainty</w:t>
      </w:r>
      <w:r w:rsidR="00C077D6" w:rsidRPr="00A81003">
        <w:rPr>
          <w:sz w:val="24"/>
          <w:szCs w:val="24"/>
        </w:rPr>
        <w:t xml:space="preserve"> (Demir et al</w:t>
      </w:r>
      <w:r w:rsidR="00CB7296">
        <w:rPr>
          <w:sz w:val="24"/>
          <w:szCs w:val="24"/>
        </w:rPr>
        <w:t>.</w:t>
      </w:r>
      <w:r w:rsidR="00C077D6" w:rsidRPr="00A81003">
        <w:rPr>
          <w:sz w:val="24"/>
          <w:szCs w:val="24"/>
        </w:rPr>
        <w:t>, 2018)</w:t>
      </w:r>
      <w:r w:rsidR="00AA0C60" w:rsidRPr="00A81003">
        <w:rPr>
          <w:sz w:val="24"/>
          <w:szCs w:val="24"/>
        </w:rPr>
        <w:t>, we focus on the predictive power of Bitcoin returns using both in</w:t>
      </w:r>
      <w:r w:rsidR="0040633B" w:rsidRPr="00A81003">
        <w:rPr>
          <w:sz w:val="24"/>
          <w:szCs w:val="24"/>
        </w:rPr>
        <w:t>-sample</w:t>
      </w:r>
      <w:r w:rsidR="00AA0C60" w:rsidRPr="00A81003">
        <w:rPr>
          <w:sz w:val="24"/>
          <w:szCs w:val="24"/>
        </w:rPr>
        <w:t xml:space="preserve"> and out-of</w:t>
      </w:r>
      <w:r w:rsidR="0040633B" w:rsidRPr="00A81003">
        <w:rPr>
          <w:sz w:val="24"/>
          <w:szCs w:val="24"/>
        </w:rPr>
        <w:t>-</w:t>
      </w:r>
      <w:r w:rsidR="00AA0C60" w:rsidRPr="00A81003">
        <w:rPr>
          <w:sz w:val="24"/>
          <w:szCs w:val="24"/>
        </w:rPr>
        <w:t xml:space="preserve">sample tests. </w:t>
      </w:r>
    </w:p>
    <w:p w:rsidR="00B65738" w:rsidRPr="00A81003" w:rsidRDefault="00053F6F" w:rsidP="0029520B">
      <w:pPr>
        <w:pStyle w:val="Heading1"/>
        <w:numPr>
          <w:ilvl w:val="0"/>
          <w:numId w:val="1"/>
        </w:numPr>
        <w:adjustRightInd w:val="0"/>
        <w:snapToGrid w:val="0"/>
        <w:spacing w:line="480" w:lineRule="auto"/>
        <w:ind w:left="0" w:firstLine="720"/>
        <w:contextualSpacing w:val="0"/>
        <w:rPr>
          <w:szCs w:val="24"/>
        </w:rPr>
      </w:pPr>
      <w:r w:rsidRPr="00A81003">
        <w:rPr>
          <w:szCs w:val="24"/>
        </w:rPr>
        <w:lastRenderedPageBreak/>
        <w:t xml:space="preserve">Data and </w:t>
      </w:r>
      <w:r w:rsidR="0031361A">
        <w:rPr>
          <w:szCs w:val="24"/>
        </w:rPr>
        <w:t>m</w:t>
      </w:r>
      <w:r w:rsidR="0031361A" w:rsidRPr="00A81003">
        <w:rPr>
          <w:szCs w:val="24"/>
        </w:rPr>
        <w:t>ethodology</w:t>
      </w:r>
    </w:p>
    <w:p w:rsidR="00053F6F" w:rsidRPr="00AD4513" w:rsidRDefault="00053F6F" w:rsidP="0029520B">
      <w:pPr>
        <w:pStyle w:val="Heading3"/>
        <w:numPr>
          <w:ilvl w:val="1"/>
          <w:numId w:val="1"/>
        </w:numPr>
        <w:adjustRightInd w:val="0"/>
        <w:snapToGrid w:val="0"/>
        <w:spacing w:line="480" w:lineRule="auto"/>
        <w:ind w:left="0" w:firstLine="720"/>
        <w:contextualSpacing w:val="0"/>
        <w:rPr>
          <w:b/>
        </w:rPr>
      </w:pPr>
      <w:r w:rsidRPr="00AD4513">
        <w:rPr>
          <w:b/>
        </w:rPr>
        <w:t>Data characteristics</w:t>
      </w:r>
      <w:r w:rsidR="00643A64" w:rsidRPr="00AD4513">
        <w:rPr>
          <w:b/>
        </w:rPr>
        <w:t xml:space="preserve"> and econometrics framework</w:t>
      </w:r>
    </w:p>
    <w:p w:rsidR="001C1467" w:rsidRPr="00A81003" w:rsidRDefault="00951D80" w:rsidP="0029520B">
      <w:pPr>
        <w:pStyle w:val="ListParagraph"/>
        <w:adjustRightInd w:val="0"/>
        <w:snapToGrid w:val="0"/>
        <w:spacing w:line="480" w:lineRule="auto"/>
        <w:ind w:left="0" w:firstLine="720"/>
        <w:contextualSpacing w:val="0"/>
        <w:jc w:val="both"/>
        <w:rPr>
          <w:sz w:val="24"/>
          <w:szCs w:val="24"/>
        </w:rPr>
      </w:pPr>
      <w:r w:rsidRPr="00A81003">
        <w:rPr>
          <w:sz w:val="24"/>
          <w:szCs w:val="24"/>
        </w:rPr>
        <w:t>We collect daily high</w:t>
      </w:r>
      <w:r w:rsidR="00806BC2" w:rsidRPr="00A81003">
        <w:rPr>
          <w:sz w:val="24"/>
          <w:szCs w:val="24"/>
        </w:rPr>
        <w:t xml:space="preserve">, </w:t>
      </w:r>
      <w:r w:rsidRPr="00A81003">
        <w:rPr>
          <w:sz w:val="24"/>
          <w:szCs w:val="24"/>
        </w:rPr>
        <w:t>low</w:t>
      </w:r>
      <w:r w:rsidR="00806BC2" w:rsidRPr="00A81003">
        <w:rPr>
          <w:sz w:val="24"/>
          <w:szCs w:val="24"/>
        </w:rPr>
        <w:t xml:space="preserve"> and</w:t>
      </w:r>
      <w:r w:rsidRPr="00A81003">
        <w:rPr>
          <w:sz w:val="24"/>
          <w:szCs w:val="24"/>
        </w:rPr>
        <w:t xml:space="preserve"> </w:t>
      </w:r>
      <w:r w:rsidR="00806BC2" w:rsidRPr="00A81003">
        <w:rPr>
          <w:sz w:val="24"/>
          <w:szCs w:val="24"/>
        </w:rPr>
        <w:t xml:space="preserve">closing </w:t>
      </w:r>
      <w:r w:rsidRPr="00A81003">
        <w:rPr>
          <w:sz w:val="24"/>
          <w:szCs w:val="24"/>
        </w:rPr>
        <w:t>Bitcoin prices</w:t>
      </w:r>
      <w:r w:rsidR="00B77ECD" w:rsidRPr="00A81003">
        <w:rPr>
          <w:sz w:val="24"/>
          <w:szCs w:val="24"/>
        </w:rPr>
        <w:t>,</w:t>
      </w:r>
      <w:r w:rsidRPr="00A81003">
        <w:rPr>
          <w:sz w:val="24"/>
          <w:szCs w:val="24"/>
        </w:rPr>
        <w:t xml:space="preserve"> </w:t>
      </w:r>
      <w:r w:rsidR="00806BC2" w:rsidRPr="00A81003">
        <w:rPr>
          <w:sz w:val="24"/>
          <w:szCs w:val="24"/>
        </w:rPr>
        <w:t xml:space="preserve">as well as </w:t>
      </w:r>
      <w:r w:rsidRPr="00A81003">
        <w:rPr>
          <w:sz w:val="24"/>
          <w:szCs w:val="24"/>
        </w:rPr>
        <w:t xml:space="preserve">volume from </w:t>
      </w:r>
      <w:r w:rsidR="00E0519A" w:rsidRPr="00A81003">
        <w:rPr>
          <w:sz w:val="24"/>
          <w:szCs w:val="24"/>
        </w:rPr>
        <w:t xml:space="preserve">13 October </w:t>
      </w:r>
      <w:r w:rsidRPr="00A81003">
        <w:rPr>
          <w:sz w:val="24"/>
          <w:szCs w:val="24"/>
        </w:rPr>
        <w:t xml:space="preserve">2011 to </w:t>
      </w:r>
      <w:r w:rsidR="000E46BB" w:rsidRPr="00A81003">
        <w:rPr>
          <w:sz w:val="24"/>
          <w:szCs w:val="24"/>
        </w:rPr>
        <w:t>1 January 2019</w:t>
      </w:r>
      <w:r w:rsidRPr="00A81003">
        <w:rPr>
          <w:sz w:val="24"/>
          <w:szCs w:val="24"/>
        </w:rPr>
        <w:t xml:space="preserve"> from bitcoincharts.com.</w:t>
      </w:r>
      <w:r w:rsidRPr="00A81003">
        <w:rPr>
          <w:i/>
          <w:iCs/>
          <w:sz w:val="24"/>
          <w:szCs w:val="24"/>
        </w:rPr>
        <w:t xml:space="preserve"> </w:t>
      </w:r>
      <w:r w:rsidR="002C22A3" w:rsidRPr="00A81003">
        <w:rPr>
          <w:iCs/>
          <w:sz w:val="24"/>
          <w:szCs w:val="24"/>
        </w:rPr>
        <w:t>We also employ five</w:t>
      </w:r>
      <w:r w:rsidR="002C22A3" w:rsidRPr="00AD4513">
        <w:rPr>
          <w:iCs/>
          <w:sz w:val="24"/>
          <w:szCs w:val="24"/>
        </w:rPr>
        <w:t xml:space="preserve"> groups of predictors</w:t>
      </w:r>
      <w:r w:rsidR="002C22A3" w:rsidRPr="00A81003">
        <w:rPr>
          <w:i/>
          <w:iCs/>
          <w:sz w:val="24"/>
          <w:szCs w:val="24"/>
        </w:rPr>
        <w:t xml:space="preserve"> </w:t>
      </w:r>
      <w:r w:rsidR="00B65612" w:rsidRPr="00A81003">
        <w:rPr>
          <w:sz w:val="24"/>
          <w:szCs w:val="24"/>
        </w:rPr>
        <w:t>t</w:t>
      </w:r>
      <w:r w:rsidR="00D502F3" w:rsidRPr="00A81003">
        <w:rPr>
          <w:sz w:val="24"/>
          <w:szCs w:val="24"/>
        </w:rPr>
        <w:t xml:space="preserve">o examine the underlying </w:t>
      </w:r>
      <w:r w:rsidR="00B65612" w:rsidRPr="00A81003">
        <w:rPr>
          <w:sz w:val="24"/>
          <w:szCs w:val="24"/>
        </w:rPr>
        <w:t>driv</w:t>
      </w:r>
      <w:r w:rsidR="002C22A3" w:rsidRPr="00A81003">
        <w:rPr>
          <w:sz w:val="24"/>
          <w:szCs w:val="24"/>
        </w:rPr>
        <w:t>ers of</w:t>
      </w:r>
      <w:r w:rsidR="00B65612" w:rsidRPr="00A81003">
        <w:rPr>
          <w:sz w:val="24"/>
          <w:szCs w:val="24"/>
        </w:rPr>
        <w:t xml:space="preserve"> Bitcoin </w:t>
      </w:r>
      <w:r w:rsidR="00D502F3" w:rsidRPr="00A81003">
        <w:rPr>
          <w:sz w:val="24"/>
          <w:szCs w:val="24"/>
        </w:rPr>
        <w:t>return</w:t>
      </w:r>
      <w:r w:rsidR="000742C9" w:rsidRPr="00A81003">
        <w:rPr>
          <w:sz w:val="24"/>
          <w:szCs w:val="24"/>
        </w:rPr>
        <w:t xml:space="preserve">s: </w:t>
      </w:r>
      <w:r w:rsidR="009971D3" w:rsidRPr="00A81003">
        <w:rPr>
          <w:sz w:val="24"/>
          <w:szCs w:val="24"/>
        </w:rPr>
        <w:t xml:space="preserve">Bitcoin </w:t>
      </w:r>
      <w:r w:rsidR="00B65612" w:rsidRPr="00A81003">
        <w:rPr>
          <w:sz w:val="24"/>
          <w:szCs w:val="24"/>
        </w:rPr>
        <w:t>marke</w:t>
      </w:r>
      <w:r w:rsidR="00BD1873" w:rsidRPr="00A81003">
        <w:rPr>
          <w:sz w:val="24"/>
          <w:szCs w:val="24"/>
        </w:rPr>
        <w:t>t</w:t>
      </w:r>
      <w:r w:rsidR="009971D3" w:rsidRPr="00A81003">
        <w:rPr>
          <w:sz w:val="24"/>
          <w:szCs w:val="24"/>
        </w:rPr>
        <w:t>, stock market, bond market</w:t>
      </w:r>
      <w:r w:rsidR="0054486F" w:rsidRPr="00A81003">
        <w:rPr>
          <w:sz w:val="24"/>
          <w:szCs w:val="24"/>
        </w:rPr>
        <w:t>,</w:t>
      </w:r>
      <w:r w:rsidR="009971D3" w:rsidRPr="00A81003">
        <w:rPr>
          <w:sz w:val="24"/>
          <w:szCs w:val="24"/>
        </w:rPr>
        <w:t xml:space="preserve"> </w:t>
      </w:r>
      <w:r w:rsidR="00784E4D" w:rsidRPr="00A81003">
        <w:rPr>
          <w:sz w:val="24"/>
          <w:szCs w:val="24"/>
        </w:rPr>
        <w:t>sentiment</w:t>
      </w:r>
      <w:r w:rsidR="005C1DEA">
        <w:rPr>
          <w:sz w:val="24"/>
          <w:szCs w:val="24"/>
        </w:rPr>
        <w:t>,</w:t>
      </w:r>
      <w:r w:rsidR="0040549A" w:rsidRPr="00A81003">
        <w:rPr>
          <w:sz w:val="24"/>
          <w:szCs w:val="24"/>
        </w:rPr>
        <w:t xml:space="preserve"> and </w:t>
      </w:r>
      <w:r w:rsidR="00784E4D" w:rsidRPr="00A81003">
        <w:rPr>
          <w:sz w:val="24"/>
          <w:szCs w:val="24"/>
        </w:rPr>
        <w:t xml:space="preserve">uncertainty </w:t>
      </w:r>
      <w:r w:rsidR="0040549A" w:rsidRPr="00A81003">
        <w:rPr>
          <w:sz w:val="24"/>
          <w:szCs w:val="24"/>
        </w:rPr>
        <w:t>predictors</w:t>
      </w:r>
      <w:r w:rsidR="00BF49F6" w:rsidRPr="00A81003">
        <w:rPr>
          <w:sz w:val="24"/>
          <w:szCs w:val="24"/>
        </w:rPr>
        <w:t xml:space="preserve">. </w:t>
      </w:r>
      <w:r w:rsidR="00923C08" w:rsidRPr="00A81003">
        <w:rPr>
          <w:sz w:val="24"/>
          <w:szCs w:val="24"/>
        </w:rPr>
        <w:t xml:space="preserve">The Bitcoin market variables include </w:t>
      </w:r>
      <w:r w:rsidR="002C22A3" w:rsidRPr="00A81003">
        <w:rPr>
          <w:sz w:val="24"/>
          <w:szCs w:val="24"/>
        </w:rPr>
        <w:t xml:space="preserve">the </w:t>
      </w:r>
      <w:r w:rsidR="00923C08" w:rsidRPr="00A81003">
        <w:rPr>
          <w:sz w:val="24"/>
          <w:szCs w:val="24"/>
        </w:rPr>
        <w:t>bid-ask spread, systematic risk</w:t>
      </w:r>
      <w:r w:rsidR="005C1DEA">
        <w:rPr>
          <w:sz w:val="24"/>
          <w:szCs w:val="24"/>
        </w:rPr>
        <w:t>,</w:t>
      </w:r>
      <w:r w:rsidR="00923C08" w:rsidRPr="00A81003">
        <w:rPr>
          <w:sz w:val="24"/>
          <w:szCs w:val="24"/>
        </w:rPr>
        <w:t xml:space="preserve"> </w:t>
      </w:r>
      <w:r w:rsidR="0054486F" w:rsidRPr="00A81003">
        <w:rPr>
          <w:sz w:val="24"/>
          <w:szCs w:val="24"/>
        </w:rPr>
        <w:t xml:space="preserve">and </w:t>
      </w:r>
      <w:r w:rsidR="00923C08" w:rsidRPr="00A81003">
        <w:rPr>
          <w:sz w:val="24"/>
          <w:szCs w:val="24"/>
        </w:rPr>
        <w:t>idiosyncratic volatility</w:t>
      </w:r>
      <w:r w:rsidR="0054486F" w:rsidRPr="00A81003">
        <w:rPr>
          <w:sz w:val="24"/>
          <w:szCs w:val="24"/>
        </w:rPr>
        <w:t>, among others,</w:t>
      </w:r>
      <w:r w:rsidR="00923C08" w:rsidRPr="00A81003">
        <w:rPr>
          <w:sz w:val="24"/>
          <w:szCs w:val="24"/>
        </w:rPr>
        <w:t xml:space="preserve"> which capture the </w:t>
      </w:r>
      <w:r w:rsidR="002C22A3" w:rsidRPr="00A81003">
        <w:rPr>
          <w:sz w:val="24"/>
          <w:szCs w:val="24"/>
        </w:rPr>
        <w:t xml:space="preserve">market’s </w:t>
      </w:r>
      <w:r w:rsidR="00923C08" w:rsidRPr="00A81003">
        <w:rPr>
          <w:sz w:val="24"/>
          <w:szCs w:val="24"/>
        </w:rPr>
        <w:t xml:space="preserve">unique characteristics. The stock and bond market variables include </w:t>
      </w:r>
      <w:r w:rsidR="000E46BB" w:rsidRPr="00A81003">
        <w:rPr>
          <w:sz w:val="24"/>
          <w:szCs w:val="24"/>
        </w:rPr>
        <w:t xml:space="preserve">common equity and bond </w:t>
      </w:r>
      <w:r w:rsidR="00923C08" w:rsidRPr="00A81003">
        <w:rPr>
          <w:sz w:val="24"/>
          <w:szCs w:val="24"/>
        </w:rPr>
        <w:t>predictors</w:t>
      </w:r>
      <w:r w:rsidR="002C22A3" w:rsidRPr="00A81003">
        <w:rPr>
          <w:sz w:val="24"/>
          <w:szCs w:val="24"/>
        </w:rPr>
        <w:t>,</w:t>
      </w:r>
      <w:r w:rsidR="00923C08" w:rsidRPr="00A81003">
        <w:rPr>
          <w:sz w:val="24"/>
          <w:szCs w:val="24"/>
        </w:rPr>
        <w:t xml:space="preserve"> </w:t>
      </w:r>
      <w:r w:rsidR="000E46BB" w:rsidRPr="00A81003">
        <w:rPr>
          <w:sz w:val="24"/>
          <w:szCs w:val="24"/>
        </w:rPr>
        <w:t xml:space="preserve">as </w:t>
      </w:r>
      <w:r w:rsidR="00923C08" w:rsidRPr="00A81003">
        <w:rPr>
          <w:sz w:val="24"/>
          <w:szCs w:val="24"/>
        </w:rPr>
        <w:t xml:space="preserve">in </w:t>
      </w:r>
      <w:r w:rsidR="000E46BB" w:rsidRPr="00A81003">
        <w:rPr>
          <w:sz w:val="24"/>
          <w:szCs w:val="24"/>
        </w:rPr>
        <w:t>prior</w:t>
      </w:r>
      <w:r w:rsidR="0054486F" w:rsidRPr="00A81003">
        <w:rPr>
          <w:sz w:val="24"/>
          <w:szCs w:val="24"/>
        </w:rPr>
        <w:t xml:space="preserve"> </w:t>
      </w:r>
      <w:r w:rsidR="00923C08" w:rsidRPr="00A81003">
        <w:rPr>
          <w:sz w:val="24"/>
          <w:szCs w:val="24"/>
        </w:rPr>
        <w:t xml:space="preserve">studies. </w:t>
      </w:r>
      <w:r w:rsidR="002C22A3" w:rsidRPr="00A81003">
        <w:rPr>
          <w:sz w:val="24"/>
          <w:szCs w:val="24"/>
        </w:rPr>
        <w:t>Finally</w:t>
      </w:r>
      <w:r w:rsidR="00923C08" w:rsidRPr="00A81003">
        <w:rPr>
          <w:sz w:val="24"/>
          <w:szCs w:val="24"/>
        </w:rPr>
        <w:t xml:space="preserve">, </w:t>
      </w:r>
      <w:r w:rsidR="002C22A3" w:rsidRPr="00A81003">
        <w:rPr>
          <w:sz w:val="24"/>
          <w:szCs w:val="24"/>
        </w:rPr>
        <w:t xml:space="preserve">as </w:t>
      </w:r>
      <w:r w:rsidR="0054486F" w:rsidRPr="00A81003">
        <w:rPr>
          <w:sz w:val="24"/>
          <w:szCs w:val="24"/>
        </w:rPr>
        <w:t>the B</w:t>
      </w:r>
      <w:r w:rsidR="00923C08" w:rsidRPr="00A81003">
        <w:rPr>
          <w:sz w:val="24"/>
          <w:szCs w:val="24"/>
        </w:rPr>
        <w:t xml:space="preserve">itcoin market </w:t>
      </w:r>
      <w:r w:rsidR="00E3648B" w:rsidRPr="00A81003">
        <w:rPr>
          <w:sz w:val="24"/>
          <w:szCs w:val="24"/>
        </w:rPr>
        <w:t>exhibit</w:t>
      </w:r>
      <w:r w:rsidR="000E46BB" w:rsidRPr="00A81003">
        <w:rPr>
          <w:sz w:val="24"/>
          <w:szCs w:val="24"/>
        </w:rPr>
        <w:t>s</w:t>
      </w:r>
      <w:r w:rsidR="00E3648B" w:rsidRPr="00A81003">
        <w:rPr>
          <w:sz w:val="24"/>
          <w:szCs w:val="24"/>
        </w:rPr>
        <w:t xml:space="preserve"> highly volatile price movement</w:t>
      </w:r>
      <w:r w:rsidR="000E46BB" w:rsidRPr="00A81003">
        <w:rPr>
          <w:sz w:val="24"/>
          <w:szCs w:val="24"/>
        </w:rPr>
        <w:t>s</w:t>
      </w:r>
      <w:r w:rsidR="00E3648B" w:rsidRPr="00A81003">
        <w:rPr>
          <w:sz w:val="24"/>
          <w:szCs w:val="24"/>
        </w:rPr>
        <w:t xml:space="preserve"> and </w:t>
      </w:r>
      <w:r w:rsidR="000F1BA1" w:rsidRPr="00A81003">
        <w:rPr>
          <w:sz w:val="24"/>
          <w:szCs w:val="24"/>
        </w:rPr>
        <w:t>is</w:t>
      </w:r>
      <w:r w:rsidR="000E46BB" w:rsidRPr="00A81003">
        <w:rPr>
          <w:sz w:val="24"/>
          <w:szCs w:val="24"/>
        </w:rPr>
        <w:t xml:space="preserve"> </w:t>
      </w:r>
      <w:r w:rsidR="00E3648B" w:rsidRPr="00A81003">
        <w:rPr>
          <w:sz w:val="24"/>
          <w:szCs w:val="24"/>
        </w:rPr>
        <w:t xml:space="preserve">subject to external market uncertainty, we include variables capturing </w:t>
      </w:r>
      <w:r w:rsidR="00F63AE3" w:rsidRPr="00A81003">
        <w:rPr>
          <w:sz w:val="24"/>
          <w:szCs w:val="24"/>
        </w:rPr>
        <w:t xml:space="preserve">investor sentiment and </w:t>
      </w:r>
      <w:r w:rsidR="00E3648B" w:rsidRPr="00A81003">
        <w:rPr>
          <w:sz w:val="24"/>
          <w:szCs w:val="24"/>
        </w:rPr>
        <w:t>market uncertainty towards Bitcoin return</w:t>
      </w:r>
      <w:r w:rsidR="003931BA" w:rsidRPr="00A81003">
        <w:rPr>
          <w:sz w:val="24"/>
          <w:szCs w:val="24"/>
        </w:rPr>
        <w:t>s</w:t>
      </w:r>
      <w:r w:rsidR="00E3648B" w:rsidRPr="00A81003">
        <w:rPr>
          <w:sz w:val="24"/>
          <w:szCs w:val="24"/>
        </w:rPr>
        <w:t xml:space="preserve">. </w:t>
      </w:r>
      <w:r w:rsidR="002C22A3" w:rsidRPr="00A81003">
        <w:rPr>
          <w:sz w:val="24"/>
          <w:szCs w:val="24"/>
        </w:rPr>
        <w:t xml:space="preserve">The </w:t>
      </w:r>
      <w:r w:rsidR="00E3648B" w:rsidRPr="00A81003">
        <w:rPr>
          <w:sz w:val="24"/>
          <w:szCs w:val="24"/>
        </w:rPr>
        <w:t>different market variables in our estimation allow us to explore the role of each in Bitcoin return</w:t>
      </w:r>
      <w:r w:rsidR="003931BA" w:rsidRPr="00A81003">
        <w:rPr>
          <w:sz w:val="24"/>
          <w:szCs w:val="24"/>
        </w:rPr>
        <w:t>s</w:t>
      </w:r>
      <w:r w:rsidR="002C22A3" w:rsidRPr="00A81003">
        <w:rPr>
          <w:sz w:val="24"/>
          <w:szCs w:val="24"/>
        </w:rPr>
        <w:t>’ predictability</w:t>
      </w:r>
      <w:r w:rsidR="00E3648B" w:rsidRPr="00A81003">
        <w:rPr>
          <w:sz w:val="24"/>
          <w:szCs w:val="24"/>
        </w:rPr>
        <w:t xml:space="preserve"> and better understand </w:t>
      </w:r>
      <w:r w:rsidR="00D336E7" w:rsidRPr="00A81003">
        <w:rPr>
          <w:sz w:val="24"/>
          <w:szCs w:val="24"/>
        </w:rPr>
        <w:t xml:space="preserve">its </w:t>
      </w:r>
      <w:r w:rsidR="00E3648B" w:rsidRPr="00A81003">
        <w:rPr>
          <w:sz w:val="24"/>
          <w:szCs w:val="24"/>
        </w:rPr>
        <w:t>exposure to different market</w:t>
      </w:r>
      <w:r w:rsidR="003931BA" w:rsidRPr="00A81003">
        <w:rPr>
          <w:sz w:val="24"/>
          <w:szCs w:val="24"/>
        </w:rPr>
        <w:t>s</w:t>
      </w:r>
      <w:r w:rsidR="00E3648B" w:rsidRPr="00A81003">
        <w:rPr>
          <w:sz w:val="24"/>
          <w:szCs w:val="24"/>
        </w:rPr>
        <w:t xml:space="preserve">. </w:t>
      </w:r>
      <w:r w:rsidR="00BF49F6" w:rsidRPr="00A81003">
        <w:rPr>
          <w:sz w:val="24"/>
          <w:szCs w:val="24"/>
        </w:rPr>
        <w:t xml:space="preserve">The predictors we </w:t>
      </w:r>
      <w:r w:rsidR="00E3648B" w:rsidRPr="00A81003">
        <w:rPr>
          <w:sz w:val="24"/>
          <w:szCs w:val="24"/>
        </w:rPr>
        <w:t>use</w:t>
      </w:r>
      <w:r w:rsidR="00BF49F6" w:rsidRPr="00A81003">
        <w:rPr>
          <w:sz w:val="24"/>
          <w:szCs w:val="24"/>
        </w:rPr>
        <w:t xml:space="preserve"> in each of these categorie</w:t>
      </w:r>
      <w:r w:rsidR="00352C54" w:rsidRPr="00A81003">
        <w:rPr>
          <w:sz w:val="24"/>
          <w:szCs w:val="24"/>
        </w:rPr>
        <w:t>s are listed</w:t>
      </w:r>
      <w:r w:rsidR="0054486F" w:rsidRPr="00A81003">
        <w:rPr>
          <w:sz w:val="24"/>
          <w:szCs w:val="24"/>
        </w:rPr>
        <w:t xml:space="preserve"> </w:t>
      </w:r>
      <w:r w:rsidR="00352C54" w:rsidRPr="00A81003">
        <w:rPr>
          <w:sz w:val="24"/>
          <w:szCs w:val="24"/>
        </w:rPr>
        <w:t>in P</w:t>
      </w:r>
      <w:r w:rsidR="00BF49F6" w:rsidRPr="00A81003">
        <w:rPr>
          <w:sz w:val="24"/>
          <w:szCs w:val="24"/>
        </w:rPr>
        <w:t>anel</w:t>
      </w:r>
      <w:r w:rsidR="00AF36B9" w:rsidRPr="00A81003">
        <w:rPr>
          <w:sz w:val="24"/>
          <w:szCs w:val="24"/>
        </w:rPr>
        <w:t xml:space="preserve">s </w:t>
      </w:r>
      <w:r w:rsidR="009971D3" w:rsidRPr="00A81003">
        <w:rPr>
          <w:sz w:val="24"/>
          <w:szCs w:val="24"/>
        </w:rPr>
        <w:t>A, B, C</w:t>
      </w:r>
      <w:r w:rsidR="00B77ECD" w:rsidRPr="00A81003">
        <w:rPr>
          <w:sz w:val="24"/>
          <w:szCs w:val="24"/>
        </w:rPr>
        <w:t>,</w:t>
      </w:r>
      <w:r w:rsidR="009971D3" w:rsidRPr="00A81003">
        <w:rPr>
          <w:sz w:val="24"/>
          <w:szCs w:val="24"/>
        </w:rPr>
        <w:t xml:space="preserve"> D</w:t>
      </w:r>
      <w:r w:rsidR="00F7268B" w:rsidRPr="00A81003">
        <w:rPr>
          <w:sz w:val="24"/>
          <w:szCs w:val="24"/>
        </w:rPr>
        <w:t>,</w:t>
      </w:r>
      <w:r w:rsidR="00CC147C" w:rsidRPr="00A81003">
        <w:rPr>
          <w:sz w:val="24"/>
          <w:szCs w:val="24"/>
        </w:rPr>
        <w:t xml:space="preserve"> and E</w:t>
      </w:r>
      <w:r w:rsidR="00BF49F6" w:rsidRPr="00A81003">
        <w:rPr>
          <w:sz w:val="24"/>
          <w:szCs w:val="24"/>
        </w:rPr>
        <w:t xml:space="preserve"> of Table 1</w:t>
      </w:r>
      <w:r w:rsidR="00044186">
        <w:rPr>
          <w:sz w:val="24"/>
          <w:szCs w:val="24"/>
        </w:rPr>
        <w:t>,</w:t>
      </w:r>
      <w:r w:rsidR="003931BA" w:rsidRPr="00A81003">
        <w:rPr>
          <w:sz w:val="24"/>
          <w:szCs w:val="24"/>
        </w:rPr>
        <w:t xml:space="preserve"> respectively</w:t>
      </w:r>
      <w:r w:rsidR="00BF49F6" w:rsidRPr="00A81003">
        <w:rPr>
          <w:sz w:val="24"/>
          <w:szCs w:val="24"/>
        </w:rPr>
        <w:t>.</w:t>
      </w:r>
      <w:r w:rsidR="009971D3" w:rsidRPr="00A81003">
        <w:rPr>
          <w:sz w:val="24"/>
          <w:szCs w:val="24"/>
        </w:rPr>
        <w:t xml:space="preserve"> </w:t>
      </w:r>
    </w:p>
    <w:p w:rsidR="00643A64" w:rsidRPr="00A81003" w:rsidRDefault="001C1467" w:rsidP="0029520B">
      <w:pPr>
        <w:pStyle w:val="ListParagraph"/>
        <w:adjustRightInd w:val="0"/>
        <w:snapToGrid w:val="0"/>
        <w:spacing w:line="480" w:lineRule="auto"/>
        <w:ind w:left="0" w:firstLine="720"/>
        <w:contextualSpacing w:val="0"/>
        <w:jc w:val="center"/>
        <w:rPr>
          <w:sz w:val="24"/>
          <w:szCs w:val="24"/>
        </w:rPr>
      </w:pPr>
      <w:r w:rsidRPr="00A81003">
        <w:rPr>
          <w:sz w:val="24"/>
          <w:szCs w:val="24"/>
        </w:rPr>
        <w:t>[Insert Table 1 here]</w:t>
      </w:r>
    </w:p>
    <w:p w:rsidR="00042A4D" w:rsidRDefault="00042A4D" w:rsidP="00042A4D">
      <w:pPr>
        <w:adjustRightInd w:val="0"/>
        <w:snapToGrid w:val="0"/>
        <w:spacing w:line="480" w:lineRule="auto"/>
        <w:ind w:firstLine="720"/>
        <w:jc w:val="both"/>
        <w:rPr>
          <w:sz w:val="24"/>
          <w:szCs w:val="24"/>
        </w:rPr>
      </w:pPr>
      <w:r w:rsidRPr="00A81003">
        <w:rPr>
          <w:sz w:val="24"/>
          <w:szCs w:val="24"/>
        </w:rPr>
        <w:t xml:space="preserve">We use the following predictive regression model proposed by Welch and Goyal (2008), </w:t>
      </w:r>
      <w:proofErr w:type="spellStart"/>
      <w:r w:rsidRPr="00A81003">
        <w:rPr>
          <w:sz w:val="24"/>
          <w:szCs w:val="24"/>
        </w:rPr>
        <w:t>Rapach</w:t>
      </w:r>
      <w:proofErr w:type="spellEnd"/>
      <w:r w:rsidRPr="00A81003">
        <w:rPr>
          <w:sz w:val="24"/>
          <w:szCs w:val="24"/>
        </w:rPr>
        <w:t xml:space="preserve"> </w:t>
      </w:r>
      <w:r>
        <w:rPr>
          <w:sz w:val="24"/>
          <w:szCs w:val="24"/>
        </w:rPr>
        <w:t>and Zhou</w:t>
      </w:r>
      <w:r w:rsidRPr="00A81003">
        <w:rPr>
          <w:sz w:val="24"/>
          <w:szCs w:val="24"/>
        </w:rPr>
        <w:t xml:space="preserve"> (2013)</w:t>
      </w:r>
      <w:r>
        <w:rPr>
          <w:sz w:val="24"/>
          <w:szCs w:val="24"/>
        </w:rPr>
        <w:t>,</w:t>
      </w:r>
      <w:r w:rsidRPr="00A81003">
        <w:rPr>
          <w:sz w:val="24"/>
          <w:szCs w:val="24"/>
        </w:rPr>
        <w:t xml:space="preserve"> and </w:t>
      </w:r>
      <w:proofErr w:type="spellStart"/>
      <w:r w:rsidRPr="00A81003">
        <w:rPr>
          <w:sz w:val="24"/>
          <w:szCs w:val="24"/>
        </w:rPr>
        <w:t>Rapach</w:t>
      </w:r>
      <w:proofErr w:type="spellEnd"/>
      <w:r w:rsidRPr="00A81003">
        <w:rPr>
          <w:sz w:val="24"/>
          <w:szCs w:val="24"/>
        </w:rPr>
        <w:t xml:space="preserve"> et al. (2016)</w:t>
      </w:r>
      <w:r>
        <w:rPr>
          <w:sz w:val="24"/>
          <w:szCs w:val="24"/>
        </w:rPr>
        <w:t>:</w:t>
      </w:r>
    </w:p>
    <w:p w:rsidR="00207943" w:rsidRPr="00A81003" w:rsidRDefault="00573234" w:rsidP="0029520B">
      <w:pPr>
        <w:adjustRightInd w:val="0"/>
        <w:snapToGrid w:val="0"/>
        <w:spacing w:line="480" w:lineRule="auto"/>
        <w:ind w:firstLine="720"/>
        <w:jc w:val="right"/>
        <w:rPr>
          <w:sz w:val="24"/>
          <w:szCs w:val="24"/>
        </w:rPr>
      </w:pPr>
      <m:oMath>
        <m:sSub>
          <m:sSubPr>
            <m:ctrlPr>
              <w:rPr>
                <w:rFonts w:ascii="Cambria Math" w:hAnsi="Cambria Math"/>
                <w:i/>
                <w:sz w:val="24"/>
                <w:szCs w:val="24"/>
              </w:rPr>
            </m:ctrlPr>
          </m:sSubPr>
          <m:e>
            <m:r>
              <w:rPr>
                <w:rFonts w:ascii="Cambria Math" w:hAnsi="Cambria Math"/>
                <w:sz w:val="24"/>
                <w:szCs w:val="24"/>
              </w:rPr>
              <m:t>RET</m:t>
            </m:r>
          </m:e>
          <m:sub>
            <m:r>
              <w:rPr>
                <w:rFonts w:ascii="Cambria Math" w:hAnsi="Cambria Math"/>
                <w:sz w:val="24"/>
                <w:szCs w:val="24"/>
              </w:rPr>
              <m:t>t,t+h</m:t>
            </m:r>
          </m:sub>
        </m:sSub>
        <m:r>
          <w:rPr>
            <w:rFonts w:ascii="Cambria Math" w:hAnsi="Cambria Math"/>
            <w:sz w:val="24"/>
            <w:szCs w:val="24"/>
          </w:rPr>
          <m:t>=α+β</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t,t+h</m:t>
            </m:r>
          </m:sub>
        </m:sSub>
      </m:oMath>
      <w:r w:rsidR="00963964">
        <w:rPr>
          <w:sz w:val="24"/>
          <w:szCs w:val="24"/>
        </w:rPr>
        <w:t>,</w:t>
      </w:r>
      <w:r w:rsidR="00207943" w:rsidRPr="00A81003">
        <w:rPr>
          <w:sz w:val="24"/>
          <w:szCs w:val="24"/>
        </w:rPr>
        <w:t xml:space="preserve">                                          </w:t>
      </w:r>
      <w:r w:rsidR="00643A64" w:rsidRPr="00A81003">
        <w:rPr>
          <w:sz w:val="24"/>
          <w:szCs w:val="24"/>
        </w:rPr>
        <w:t>(1)</w:t>
      </w:r>
    </w:p>
    <w:p w:rsidR="009D7BF9" w:rsidRPr="00A81003" w:rsidRDefault="00643A64" w:rsidP="0029520B">
      <w:pPr>
        <w:pStyle w:val="FootnoteText"/>
        <w:adjustRightInd w:val="0"/>
        <w:snapToGrid w:val="0"/>
        <w:spacing w:line="480" w:lineRule="auto"/>
        <w:jc w:val="both"/>
        <w:rPr>
          <w:sz w:val="24"/>
          <w:szCs w:val="24"/>
        </w:rPr>
      </w:pPr>
      <w:r w:rsidRPr="00A81003">
        <w:rPr>
          <w:sz w:val="24"/>
          <w:szCs w:val="24"/>
        </w:rPr>
        <w:t xml:space="preserve">where </w:t>
      </w:r>
      <m:oMath>
        <m:sSub>
          <m:sSubPr>
            <m:ctrlPr>
              <w:rPr>
                <w:rFonts w:ascii="Cambria Math" w:hAnsi="Cambria Math"/>
                <w:i/>
                <w:sz w:val="24"/>
                <w:szCs w:val="24"/>
              </w:rPr>
            </m:ctrlPr>
          </m:sSubPr>
          <m:e>
            <m:r>
              <w:rPr>
                <w:rFonts w:ascii="Cambria Math" w:hAnsi="Cambria Math"/>
                <w:sz w:val="24"/>
                <w:szCs w:val="24"/>
              </w:rPr>
              <m:t>RET</m:t>
            </m:r>
          </m:e>
          <m:sub>
            <m:r>
              <w:rPr>
                <w:rFonts w:ascii="Cambria Math" w:hAnsi="Cambria Math"/>
                <w:sz w:val="24"/>
                <w:szCs w:val="24"/>
              </w:rPr>
              <m:t>t,t+h</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h</m:t>
            </m:r>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RET</m:t>
            </m:r>
          </m:e>
          <m:sub>
            <m:r>
              <w:rPr>
                <w:rFonts w:ascii="Cambria Math" w:hAnsi="Cambria Math"/>
                <w:sz w:val="24"/>
                <w:szCs w:val="24"/>
              </w:rPr>
              <m:t>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RET</m:t>
            </m:r>
          </m:e>
          <m:sub>
            <m:r>
              <w:rPr>
                <w:rFonts w:ascii="Cambria Math" w:hAnsi="Cambria Math"/>
                <w:sz w:val="24"/>
                <w:szCs w:val="24"/>
              </w:rPr>
              <m:t>t+h</m:t>
            </m:r>
          </m:sub>
        </m:sSub>
        <m:r>
          <w:rPr>
            <w:rFonts w:ascii="Cambria Math" w:hAnsi="Cambria Math"/>
            <w:sz w:val="24"/>
            <w:szCs w:val="24"/>
          </w:rPr>
          <m:t>)</m:t>
        </m:r>
      </m:oMath>
      <w:r w:rsidR="002C22A3" w:rsidRPr="00A81003">
        <w:rPr>
          <w:sz w:val="24"/>
          <w:szCs w:val="24"/>
        </w:rPr>
        <w:t xml:space="preserve">: </w:t>
      </w:r>
      <m:oMath>
        <m:sSub>
          <m:sSubPr>
            <m:ctrlPr>
              <w:rPr>
                <w:rFonts w:ascii="Cambria Math" w:hAnsi="Cambria Math"/>
                <w:i/>
                <w:sz w:val="24"/>
                <w:szCs w:val="24"/>
              </w:rPr>
            </m:ctrlPr>
          </m:sSubPr>
          <m:e>
            <m:r>
              <w:rPr>
                <w:rFonts w:ascii="Cambria Math" w:hAnsi="Cambria Math"/>
                <w:sz w:val="24"/>
                <w:szCs w:val="24"/>
              </w:rPr>
              <m:t>RET</m:t>
            </m:r>
          </m:e>
          <m:sub>
            <m:r>
              <w:rPr>
                <w:rFonts w:ascii="Cambria Math" w:hAnsi="Cambria Math"/>
                <w:sz w:val="24"/>
                <w:szCs w:val="24"/>
              </w:rPr>
              <m:t>t</m:t>
            </m:r>
          </m:sub>
        </m:sSub>
      </m:oMath>
      <w:r w:rsidRPr="00A81003">
        <w:rPr>
          <w:sz w:val="24"/>
          <w:szCs w:val="24"/>
        </w:rPr>
        <w:t xml:space="preserve"> is the </w:t>
      </w:r>
      <w:r w:rsidR="005C28E0" w:rsidRPr="00A81003">
        <w:rPr>
          <w:sz w:val="24"/>
          <w:szCs w:val="24"/>
        </w:rPr>
        <w:t>Bitcoin log excess return</w:t>
      </w:r>
      <w:r w:rsidR="00A9431A" w:rsidRPr="00A81003">
        <w:rPr>
          <w:sz w:val="24"/>
          <w:szCs w:val="24"/>
        </w:rPr>
        <w:t xml:space="preserve"> </w:t>
      </w:r>
      <w:r w:rsidRPr="00A81003">
        <w:rPr>
          <w:sz w:val="24"/>
          <w:szCs w:val="24"/>
        </w:rPr>
        <w:t xml:space="preserve">for day </w:t>
      </w:r>
      <w:r w:rsidRPr="00A81003">
        <w:rPr>
          <w:i/>
          <w:iCs/>
          <w:sz w:val="24"/>
          <w:szCs w:val="24"/>
        </w:rPr>
        <w:t>t</w:t>
      </w:r>
      <w:r w:rsidRPr="00A81003">
        <w:rPr>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oMath>
      <w:r w:rsidRPr="00A81003">
        <w:rPr>
          <w:sz w:val="24"/>
          <w:szCs w:val="24"/>
        </w:rPr>
        <w:t xml:space="preserve"> is the predictor variable</w:t>
      </w:r>
      <w:r w:rsidR="00BF49F6" w:rsidRPr="00A81003">
        <w:rPr>
          <w:sz w:val="24"/>
          <w:szCs w:val="24"/>
        </w:rPr>
        <w:t>,</w:t>
      </w:r>
      <w:r w:rsidRPr="00A81003">
        <w:rPr>
          <w:sz w:val="24"/>
          <w:szCs w:val="24"/>
        </w:rPr>
        <w:t xml:space="preserve"> </w:t>
      </w:r>
      <w:r w:rsidR="008911BC" w:rsidRPr="00A81003">
        <w:rPr>
          <w:noProof/>
          <w:position w:val="-6"/>
          <w:sz w:val="24"/>
          <w:szCs w:val="24"/>
        </w:rPr>
        <w:drawing>
          <wp:inline distT="0" distB="0" distL="0" distR="0">
            <wp:extent cx="114300" cy="161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rsidR="008F22D6" w:rsidRPr="00A81003">
        <w:rPr>
          <w:sz w:val="24"/>
          <w:szCs w:val="24"/>
        </w:rPr>
        <w:t xml:space="preserve"> is the forecast horizon</w:t>
      </w:r>
      <w:r w:rsidR="0054486F" w:rsidRPr="00A81003">
        <w:rPr>
          <w:sz w:val="24"/>
          <w:szCs w:val="24"/>
        </w:rPr>
        <w:t>,</w:t>
      </w:r>
      <w:r w:rsidR="00BF49F6" w:rsidRPr="00A81003">
        <w:rPr>
          <w:sz w:val="24"/>
          <w:szCs w:val="24"/>
        </w:rPr>
        <w:t xml:space="preserve"> </w:t>
      </w:r>
      <w:r w:rsidR="000F1BA1" w:rsidRPr="00A81003">
        <w:rPr>
          <w:sz w:val="24"/>
          <w:szCs w:val="24"/>
        </w:rPr>
        <w:t>and</w:t>
      </w:r>
      <w:r w:rsidR="00D92DD5" w:rsidRPr="00A81003">
        <w:rPr>
          <w:sz w:val="24"/>
          <w:szCs w:val="24"/>
        </w:rPr>
        <w:t xml:space="preserve"> </w:t>
      </w:r>
      <m:oMath>
        <m:r>
          <w:rPr>
            <w:rFonts w:ascii="Cambria Math" w:hAnsi="Cambria Math"/>
            <w:sz w:val="24"/>
            <w:szCs w:val="24"/>
          </w:rPr>
          <m:t>β</m:t>
        </m:r>
      </m:oMath>
      <w:r w:rsidR="000A43B3" w:rsidRPr="00A81003">
        <w:rPr>
          <w:noProof/>
          <w:position w:val="-10"/>
          <w:sz w:val="24"/>
          <w:szCs w:val="24"/>
        </w:rPr>
        <w:t xml:space="preserve"> </w:t>
      </w:r>
      <w:r w:rsidR="00D92DD5" w:rsidRPr="00A81003">
        <w:rPr>
          <w:sz w:val="24"/>
          <w:szCs w:val="24"/>
        </w:rPr>
        <w:t xml:space="preserve">is interpreted as a measure of how significant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oMath>
      <w:r w:rsidR="00D92DD5" w:rsidRPr="00A81003">
        <w:rPr>
          <w:sz w:val="24"/>
          <w:szCs w:val="24"/>
        </w:rPr>
        <w:t xml:space="preserve"> is in predicting the Bitcoin return.</w:t>
      </w:r>
      <w:r w:rsidR="0040549A" w:rsidRPr="00A81003">
        <w:rPr>
          <w:sz w:val="24"/>
          <w:szCs w:val="24"/>
        </w:rPr>
        <w:t xml:space="preserve"> If </w:t>
      </w:r>
      <m:oMath>
        <m:r>
          <w:rPr>
            <w:rFonts w:ascii="Cambria Math" w:hAnsi="Cambria Math"/>
            <w:sz w:val="24"/>
            <w:szCs w:val="24"/>
          </w:rPr>
          <m:t>β</m:t>
        </m:r>
      </m:oMath>
      <w:r w:rsidR="0040549A" w:rsidRPr="00A81003">
        <w:rPr>
          <w:sz w:val="24"/>
          <w:szCs w:val="24"/>
        </w:rPr>
        <w:t xml:space="preserve"> takes </w:t>
      </w:r>
      <w:r w:rsidR="00042A4D">
        <w:rPr>
          <w:sz w:val="24"/>
          <w:szCs w:val="24"/>
        </w:rPr>
        <w:t>a</w:t>
      </w:r>
      <w:r w:rsidR="00042A4D" w:rsidRPr="00A81003">
        <w:rPr>
          <w:sz w:val="24"/>
          <w:szCs w:val="24"/>
        </w:rPr>
        <w:t xml:space="preserve"> </w:t>
      </w:r>
      <w:r w:rsidR="0040549A" w:rsidRPr="00A81003">
        <w:rPr>
          <w:sz w:val="24"/>
          <w:szCs w:val="24"/>
        </w:rPr>
        <w:t>value of</w:t>
      </w:r>
      <w:r w:rsidR="00AA10FB" w:rsidRPr="00A81003">
        <w:rPr>
          <w:sz w:val="24"/>
          <w:szCs w:val="24"/>
        </w:rPr>
        <w:t xml:space="preserve"> 0.5, a one-standard</w:t>
      </w:r>
      <w:r w:rsidR="001F3AF6" w:rsidRPr="00A81003">
        <w:rPr>
          <w:sz w:val="24"/>
          <w:szCs w:val="24"/>
        </w:rPr>
        <w:t>-</w:t>
      </w:r>
      <w:r w:rsidR="00AA10FB" w:rsidRPr="00A81003">
        <w:rPr>
          <w:sz w:val="24"/>
          <w:szCs w:val="24"/>
        </w:rPr>
        <w:t xml:space="preserve">deviation </w:t>
      </w:r>
      <w:r w:rsidR="000F1BA1" w:rsidRPr="00A81003">
        <w:rPr>
          <w:sz w:val="24"/>
          <w:szCs w:val="24"/>
        </w:rPr>
        <w:t xml:space="preserve">move </w:t>
      </w:r>
      <w:r w:rsidR="00AA10FB" w:rsidRPr="00A81003">
        <w:rPr>
          <w:sz w:val="24"/>
          <w:szCs w:val="24"/>
        </w:rPr>
        <w:t>in the predictor associate</w:t>
      </w:r>
      <w:r w:rsidR="0054486F" w:rsidRPr="00A81003">
        <w:rPr>
          <w:sz w:val="24"/>
          <w:szCs w:val="24"/>
        </w:rPr>
        <w:t>d</w:t>
      </w:r>
      <w:r w:rsidR="00AA10FB" w:rsidRPr="00A81003">
        <w:rPr>
          <w:sz w:val="24"/>
          <w:szCs w:val="24"/>
        </w:rPr>
        <w:t xml:space="preserve"> with the</w:t>
      </w:r>
      <m:oMath>
        <m:r>
          <w:rPr>
            <w:rFonts w:ascii="Cambria Math" w:hAnsi="Cambria Math"/>
            <w:sz w:val="24"/>
            <w:szCs w:val="24"/>
          </w:rPr>
          <m:t xml:space="preserve"> β</m:t>
        </m:r>
      </m:oMath>
      <w:r w:rsidR="000A43B3" w:rsidRPr="00A81003">
        <w:rPr>
          <w:noProof/>
          <w:position w:val="-10"/>
          <w:sz w:val="24"/>
          <w:szCs w:val="24"/>
        </w:rPr>
        <w:t xml:space="preserve"> </w:t>
      </w:r>
      <w:r w:rsidR="0040549A" w:rsidRPr="00A81003">
        <w:rPr>
          <w:sz w:val="24"/>
          <w:szCs w:val="24"/>
        </w:rPr>
        <w:t xml:space="preserve">would result in a </w:t>
      </w:r>
      <w:r w:rsidR="005C28E0" w:rsidRPr="00A81003">
        <w:rPr>
          <w:sz w:val="24"/>
          <w:szCs w:val="24"/>
        </w:rPr>
        <w:t>50</w:t>
      </w:r>
      <w:r w:rsidR="002C22A3" w:rsidRPr="00A81003">
        <w:rPr>
          <w:sz w:val="24"/>
          <w:szCs w:val="24"/>
        </w:rPr>
        <w:t>-</w:t>
      </w:r>
      <w:r w:rsidR="005C28E0" w:rsidRPr="00A81003">
        <w:rPr>
          <w:sz w:val="24"/>
          <w:szCs w:val="24"/>
        </w:rPr>
        <w:t xml:space="preserve">basis point </w:t>
      </w:r>
      <w:r w:rsidR="00AA10FB" w:rsidRPr="00A81003">
        <w:rPr>
          <w:sz w:val="24"/>
          <w:szCs w:val="24"/>
        </w:rPr>
        <w:t>change in Bitcoin’s return</w:t>
      </w:r>
      <w:r w:rsidR="002C0D05" w:rsidRPr="00A81003">
        <w:rPr>
          <w:sz w:val="24"/>
          <w:szCs w:val="24"/>
        </w:rPr>
        <w:t>s</w:t>
      </w:r>
      <w:r w:rsidR="00AA10FB" w:rsidRPr="00A81003">
        <w:rPr>
          <w:sz w:val="24"/>
          <w:szCs w:val="24"/>
        </w:rPr>
        <w:t xml:space="preserve"> for the following day. </w:t>
      </w:r>
      <w:proofErr w:type="spellStart"/>
      <w:r w:rsidR="00FF2320" w:rsidRPr="00A81003">
        <w:rPr>
          <w:sz w:val="24"/>
          <w:szCs w:val="24"/>
        </w:rPr>
        <w:t>Rapach</w:t>
      </w:r>
      <w:proofErr w:type="spellEnd"/>
      <w:r w:rsidR="000F5E21" w:rsidRPr="00A81003">
        <w:rPr>
          <w:sz w:val="24"/>
          <w:szCs w:val="24"/>
        </w:rPr>
        <w:t xml:space="preserve"> et al</w:t>
      </w:r>
      <w:r w:rsidR="00750942">
        <w:rPr>
          <w:sz w:val="24"/>
          <w:szCs w:val="24"/>
        </w:rPr>
        <w:t>.</w:t>
      </w:r>
      <w:r w:rsidR="000F5E21" w:rsidRPr="00A81003">
        <w:rPr>
          <w:sz w:val="24"/>
          <w:szCs w:val="24"/>
        </w:rPr>
        <w:t xml:space="preserve"> </w:t>
      </w:r>
      <w:r w:rsidR="004953E6" w:rsidRPr="00A81003">
        <w:rPr>
          <w:sz w:val="24"/>
          <w:szCs w:val="24"/>
        </w:rPr>
        <w:t>(2016)</w:t>
      </w:r>
      <w:r w:rsidR="009D7BF9" w:rsidRPr="00A81003">
        <w:rPr>
          <w:sz w:val="24"/>
          <w:szCs w:val="24"/>
        </w:rPr>
        <w:t xml:space="preserve"> argue that a monthly in-sample</w:t>
      </w:r>
      <w:r w:rsidR="005D1BCB" w:rsidRPr="00A81003">
        <w:rPr>
          <w:sz w:val="24"/>
          <w:szCs w:val="24"/>
        </w:rPr>
        <w:t xml:space="preserve">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 xml:space="preserve"> </m:t>
        </m:r>
      </m:oMath>
      <w:r w:rsidR="009D7BF9" w:rsidRPr="00A81003">
        <w:rPr>
          <w:sz w:val="24"/>
          <w:szCs w:val="24"/>
        </w:rPr>
        <w:t>statistic of approximately 0.5% represents an economically meaningful degree of return predictability.</w:t>
      </w:r>
      <w:r w:rsidR="00922A58" w:rsidRPr="00A81003">
        <w:rPr>
          <w:sz w:val="24"/>
          <w:szCs w:val="24"/>
        </w:rPr>
        <w:t xml:space="preserve"> </w:t>
      </w:r>
      <w:r w:rsidR="00042A4D">
        <w:rPr>
          <w:sz w:val="24"/>
          <w:szCs w:val="24"/>
        </w:rPr>
        <w:t>Thus, we</w:t>
      </w:r>
      <w:r w:rsidR="00042A4D" w:rsidRPr="00A81003">
        <w:rPr>
          <w:sz w:val="24"/>
          <w:szCs w:val="24"/>
        </w:rPr>
        <w:t xml:space="preserve"> </w:t>
      </w:r>
      <w:r w:rsidR="00BF49F6" w:rsidRPr="00A81003">
        <w:rPr>
          <w:sz w:val="24"/>
          <w:szCs w:val="24"/>
        </w:rPr>
        <w:t>adopt this benchmark</w:t>
      </w:r>
      <w:r w:rsidR="00922A58" w:rsidRPr="00A81003">
        <w:rPr>
          <w:sz w:val="24"/>
          <w:szCs w:val="24"/>
        </w:rPr>
        <w:t xml:space="preserve"> for ou</w:t>
      </w:r>
      <w:r w:rsidR="006C3E1A" w:rsidRPr="00A81003">
        <w:rPr>
          <w:sz w:val="24"/>
          <w:szCs w:val="24"/>
        </w:rPr>
        <w:t xml:space="preserve">r </w:t>
      </w:r>
      <w:r w:rsidR="006C3E1A" w:rsidRPr="00A81003">
        <w:rPr>
          <w:i/>
          <w:sz w:val="24"/>
          <w:szCs w:val="24"/>
        </w:rPr>
        <w:t>h</w:t>
      </w:r>
      <w:r w:rsidR="006C3E1A" w:rsidRPr="00A81003">
        <w:rPr>
          <w:sz w:val="24"/>
          <w:szCs w:val="24"/>
        </w:rPr>
        <w:t>-day</w:t>
      </w:r>
      <w:r w:rsidR="00922A58" w:rsidRPr="00A81003">
        <w:rPr>
          <w:sz w:val="24"/>
          <w:szCs w:val="24"/>
        </w:rPr>
        <w:t xml:space="preserve"> horizons.</w:t>
      </w:r>
    </w:p>
    <w:p w:rsidR="00893666" w:rsidRPr="00A81003" w:rsidRDefault="00BF49F6" w:rsidP="0029520B">
      <w:pPr>
        <w:adjustRightInd w:val="0"/>
        <w:snapToGrid w:val="0"/>
        <w:spacing w:after="0" w:line="480" w:lineRule="auto"/>
        <w:ind w:firstLine="720"/>
        <w:jc w:val="both"/>
        <w:rPr>
          <w:sz w:val="24"/>
          <w:szCs w:val="24"/>
        </w:rPr>
      </w:pPr>
      <w:r w:rsidRPr="00A81003">
        <w:rPr>
          <w:sz w:val="24"/>
          <w:szCs w:val="24"/>
        </w:rPr>
        <w:t>W</w:t>
      </w:r>
      <w:r w:rsidR="00EE080F" w:rsidRPr="00A81003">
        <w:rPr>
          <w:sz w:val="24"/>
          <w:szCs w:val="24"/>
        </w:rPr>
        <w:t xml:space="preserve">e are interested </w:t>
      </w:r>
      <w:r w:rsidR="00A80573" w:rsidRPr="00A81003">
        <w:rPr>
          <w:sz w:val="24"/>
          <w:szCs w:val="24"/>
        </w:rPr>
        <w:t xml:space="preserve">in </w:t>
      </w:r>
      <w:r w:rsidR="00EE080F" w:rsidRPr="00A81003">
        <w:rPr>
          <w:sz w:val="24"/>
          <w:szCs w:val="24"/>
        </w:rPr>
        <w:t>test</w:t>
      </w:r>
      <w:r w:rsidR="00A80573" w:rsidRPr="00A81003">
        <w:rPr>
          <w:sz w:val="24"/>
          <w:szCs w:val="24"/>
        </w:rPr>
        <w:t>ing</w:t>
      </w:r>
      <w:r w:rsidR="00EE080F" w:rsidRPr="00A81003">
        <w:rPr>
          <w:sz w:val="24"/>
          <w:szCs w:val="24"/>
        </w:rPr>
        <w:t xml:space="preserve"> the significance of </w:t>
      </w:r>
      <m:oMath>
        <m:r>
          <w:rPr>
            <w:rFonts w:ascii="Cambria Math" w:hAnsi="Cambria Math"/>
            <w:sz w:val="24"/>
            <w:szCs w:val="24"/>
          </w:rPr>
          <m:t>β</m:t>
        </m:r>
      </m:oMath>
      <w:r w:rsidR="00231553" w:rsidRPr="00A81003">
        <w:rPr>
          <w:sz w:val="24"/>
          <w:szCs w:val="24"/>
        </w:rPr>
        <w:t xml:space="preserve"> </w:t>
      </w:r>
      <w:r w:rsidR="00EE080F" w:rsidRPr="00A81003">
        <w:rPr>
          <w:sz w:val="24"/>
          <w:szCs w:val="24"/>
        </w:rPr>
        <w:t>in Eq</w:t>
      </w:r>
      <w:r w:rsidR="00976ED9" w:rsidRPr="00A81003">
        <w:rPr>
          <w:sz w:val="24"/>
          <w:szCs w:val="24"/>
        </w:rPr>
        <w:t>uation</w:t>
      </w:r>
      <w:r w:rsidR="00EE080F" w:rsidRPr="00A81003">
        <w:rPr>
          <w:sz w:val="24"/>
          <w:szCs w:val="24"/>
        </w:rPr>
        <w:t xml:space="preserve"> (1)</w:t>
      </w:r>
      <w:r w:rsidRPr="00A81003">
        <w:rPr>
          <w:sz w:val="24"/>
          <w:szCs w:val="24"/>
        </w:rPr>
        <w:t xml:space="preserve">. </w:t>
      </w:r>
      <w:r w:rsidR="00976ED9" w:rsidRPr="00A81003">
        <w:rPr>
          <w:sz w:val="24"/>
          <w:szCs w:val="24"/>
        </w:rPr>
        <w:t xml:space="preserve">As </w:t>
      </w:r>
      <w:r w:rsidR="00C4302C" w:rsidRPr="00A81003">
        <w:rPr>
          <w:sz w:val="24"/>
          <w:szCs w:val="24"/>
        </w:rPr>
        <w:t xml:space="preserve">the statistical inferences in </w:t>
      </w:r>
      <w:r w:rsidR="00976ED9" w:rsidRPr="00A81003">
        <w:rPr>
          <w:sz w:val="24"/>
          <w:szCs w:val="24"/>
        </w:rPr>
        <w:t>this equation</w:t>
      </w:r>
      <w:r w:rsidR="00C4302C" w:rsidRPr="00A81003">
        <w:rPr>
          <w:sz w:val="24"/>
          <w:szCs w:val="24"/>
        </w:rPr>
        <w:t xml:space="preserve"> are subject to the Stambaugh (1999) bias</w:t>
      </w:r>
      <w:r w:rsidR="00784E4D">
        <w:rPr>
          <w:sz w:val="24"/>
          <w:szCs w:val="24"/>
        </w:rPr>
        <w:t>,</w:t>
      </w:r>
      <w:r w:rsidR="00C36E32">
        <w:rPr>
          <w:rStyle w:val="EndnoteReference"/>
          <w:sz w:val="24"/>
          <w:szCs w:val="24"/>
        </w:rPr>
        <w:endnoteReference w:id="1"/>
      </w:r>
      <w:r w:rsidR="00C36E32">
        <w:rPr>
          <w:sz w:val="24"/>
          <w:szCs w:val="24"/>
        </w:rPr>
        <w:t xml:space="preserve"> </w:t>
      </w:r>
      <w:r w:rsidR="00104E46" w:rsidRPr="00A81003">
        <w:rPr>
          <w:sz w:val="24"/>
          <w:szCs w:val="24"/>
        </w:rPr>
        <w:t xml:space="preserve">we compute a wild bootstrapped </w:t>
      </w:r>
      <w:r w:rsidR="00104E46" w:rsidRPr="00A81003">
        <w:rPr>
          <w:i/>
          <w:sz w:val="24"/>
          <w:szCs w:val="24"/>
        </w:rPr>
        <w:t>p</w:t>
      </w:r>
      <w:r w:rsidR="00104E46" w:rsidRPr="00A81003">
        <w:rPr>
          <w:sz w:val="24"/>
          <w:szCs w:val="24"/>
        </w:rPr>
        <w:t xml:space="preserve">-value to test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:β=0</m:t>
        </m:r>
      </m:oMath>
      <w:r w:rsidR="000A43B3" w:rsidRPr="00A81003">
        <w:rPr>
          <w:noProof/>
          <w:position w:val="-12"/>
          <w:sz w:val="24"/>
          <w:szCs w:val="24"/>
        </w:rPr>
        <w:t xml:space="preserve"> </w:t>
      </w:r>
      <w:r w:rsidR="00104E46" w:rsidRPr="00A81003">
        <w:rPr>
          <w:sz w:val="24"/>
          <w:szCs w:val="24"/>
        </w:rPr>
        <w:t xml:space="preserve">against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A</m:t>
            </m:r>
          </m:sub>
        </m:sSub>
        <m:r>
          <w:rPr>
            <w:rFonts w:ascii="Cambria Math" w:hAnsi="Cambria Math"/>
            <w:sz w:val="24"/>
            <w:szCs w:val="24"/>
          </w:rPr>
          <m:t>:β&gt;0</m:t>
        </m:r>
      </m:oMath>
      <w:r w:rsidR="00104E46" w:rsidRPr="00A81003">
        <w:rPr>
          <w:sz w:val="24"/>
          <w:szCs w:val="24"/>
        </w:rPr>
        <w:t xml:space="preserve"> in Eq</w:t>
      </w:r>
      <w:r w:rsidR="00976ED9" w:rsidRPr="00A81003">
        <w:rPr>
          <w:sz w:val="24"/>
          <w:szCs w:val="24"/>
        </w:rPr>
        <w:t>uation</w:t>
      </w:r>
      <w:r w:rsidR="00104E46" w:rsidRPr="00A81003">
        <w:rPr>
          <w:sz w:val="24"/>
          <w:szCs w:val="24"/>
        </w:rPr>
        <w:t xml:space="preserve"> (1)</w:t>
      </w:r>
      <w:r w:rsidR="00F82627" w:rsidRPr="00A81003">
        <w:rPr>
          <w:sz w:val="24"/>
          <w:szCs w:val="24"/>
        </w:rPr>
        <w:t xml:space="preserve"> following </w:t>
      </w:r>
      <w:proofErr w:type="spellStart"/>
      <w:r w:rsidR="00F82627" w:rsidRPr="00A81003">
        <w:rPr>
          <w:sz w:val="24"/>
          <w:szCs w:val="24"/>
        </w:rPr>
        <w:t>Rapach</w:t>
      </w:r>
      <w:proofErr w:type="spellEnd"/>
      <w:r w:rsidR="00F82627" w:rsidRPr="00A81003">
        <w:rPr>
          <w:sz w:val="24"/>
          <w:szCs w:val="24"/>
        </w:rPr>
        <w:t xml:space="preserve"> et al</w:t>
      </w:r>
      <w:r w:rsidR="00CB7296">
        <w:rPr>
          <w:sz w:val="24"/>
          <w:szCs w:val="24"/>
        </w:rPr>
        <w:t>.</w:t>
      </w:r>
      <w:r w:rsidR="00F82627" w:rsidRPr="00A81003">
        <w:rPr>
          <w:sz w:val="24"/>
          <w:szCs w:val="24"/>
        </w:rPr>
        <w:t xml:space="preserve"> (2016)</w:t>
      </w:r>
      <w:r w:rsidR="00104E46" w:rsidRPr="00A81003">
        <w:rPr>
          <w:sz w:val="24"/>
          <w:szCs w:val="24"/>
        </w:rPr>
        <w:t xml:space="preserve">. </w:t>
      </w:r>
      <w:r w:rsidR="00F82627" w:rsidRPr="00A81003">
        <w:rPr>
          <w:sz w:val="24"/>
          <w:szCs w:val="24"/>
        </w:rPr>
        <w:t>Further,</w:t>
      </w:r>
      <w:r w:rsidRPr="00A81003">
        <w:rPr>
          <w:sz w:val="24"/>
          <w:szCs w:val="24"/>
        </w:rPr>
        <w:t xml:space="preserve"> </w:t>
      </w:r>
      <w:r w:rsidR="00EE080F" w:rsidRPr="00A81003">
        <w:rPr>
          <w:sz w:val="24"/>
          <w:szCs w:val="24"/>
        </w:rPr>
        <w:t xml:space="preserve">the in-sample prediction may overstate the </w:t>
      </w:r>
      <m:oMath>
        <m:r>
          <w:rPr>
            <w:rFonts w:ascii="Cambria Math" w:hAnsi="Cambria Math"/>
            <w:sz w:val="24"/>
            <w:szCs w:val="24"/>
          </w:rPr>
          <m:t>β</m:t>
        </m:r>
      </m:oMath>
      <w:r w:rsidRPr="00A81003">
        <w:rPr>
          <w:sz w:val="24"/>
          <w:szCs w:val="24"/>
        </w:rPr>
        <w:t xml:space="preserve"> related to a particular predictor </w:t>
      </w:r>
      <w:r w:rsidR="00EE080F" w:rsidRPr="00A81003">
        <w:rPr>
          <w:sz w:val="24"/>
          <w:szCs w:val="24"/>
        </w:rPr>
        <w:t>in real</w:t>
      </w:r>
      <w:r w:rsidR="00976ED9" w:rsidRPr="00A81003">
        <w:rPr>
          <w:sz w:val="24"/>
          <w:szCs w:val="24"/>
        </w:rPr>
        <w:t>-</w:t>
      </w:r>
      <w:r w:rsidR="00EE080F" w:rsidRPr="00A81003">
        <w:rPr>
          <w:sz w:val="24"/>
          <w:szCs w:val="24"/>
        </w:rPr>
        <w:t xml:space="preserve">time </w:t>
      </w:r>
      <w:r w:rsidR="00845CB6" w:rsidRPr="00A81003">
        <w:rPr>
          <w:sz w:val="24"/>
          <w:szCs w:val="24"/>
        </w:rPr>
        <w:t>(Welch and Goyal</w:t>
      </w:r>
      <w:r w:rsidR="00CB7296">
        <w:rPr>
          <w:sz w:val="24"/>
          <w:szCs w:val="24"/>
        </w:rPr>
        <w:t>,</w:t>
      </w:r>
      <w:r w:rsidR="00845CB6" w:rsidRPr="00A81003">
        <w:rPr>
          <w:sz w:val="24"/>
          <w:szCs w:val="24"/>
        </w:rPr>
        <w:t xml:space="preserve"> 2008)</w:t>
      </w:r>
      <w:r w:rsidR="00EE080F" w:rsidRPr="00A81003">
        <w:rPr>
          <w:sz w:val="24"/>
          <w:szCs w:val="24"/>
        </w:rPr>
        <w:t xml:space="preserve">. </w:t>
      </w:r>
      <w:r w:rsidRPr="00A81003">
        <w:rPr>
          <w:sz w:val="24"/>
          <w:szCs w:val="24"/>
        </w:rPr>
        <w:t xml:space="preserve">Consequently, </w:t>
      </w:r>
      <w:r w:rsidR="003931BA" w:rsidRPr="00A81003">
        <w:rPr>
          <w:sz w:val="24"/>
          <w:szCs w:val="24"/>
        </w:rPr>
        <w:t>after</w:t>
      </w:r>
      <w:r w:rsidR="0054486F" w:rsidRPr="00A81003">
        <w:rPr>
          <w:sz w:val="24"/>
          <w:szCs w:val="24"/>
        </w:rPr>
        <w:t xml:space="preserve"> </w:t>
      </w:r>
      <w:r w:rsidRPr="00A81003">
        <w:rPr>
          <w:sz w:val="24"/>
          <w:szCs w:val="24"/>
        </w:rPr>
        <w:t xml:space="preserve">we detect </w:t>
      </w:r>
      <w:r w:rsidR="00EE080F" w:rsidRPr="00A81003">
        <w:rPr>
          <w:sz w:val="24"/>
          <w:szCs w:val="24"/>
        </w:rPr>
        <w:t xml:space="preserve">strong in-sample evidence </w:t>
      </w:r>
      <w:r w:rsidRPr="00A81003">
        <w:rPr>
          <w:sz w:val="24"/>
          <w:szCs w:val="24"/>
        </w:rPr>
        <w:t xml:space="preserve">that </w:t>
      </w:r>
      <w:r w:rsidR="00EE080F" w:rsidRPr="00A81003">
        <w:rPr>
          <w:sz w:val="24"/>
          <w:szCs w:val="24"/>
        </w:rPr>
        <w:t xml:space="preserve">a predictor is statistically significant, we </w:t>
      </w:r>
      <w:r w:rsidR="004625D1" w:rsidRPr="00A81003">
        <w:rPr>
          <w:sz w:val="24"/>
          <w:szCs w:val="24"/>
        </w:rPr>
        <w:t xml:space="preserve">further </w:t>
      </w:r>
      <w:r w:rsidR="00EE080F" w:rsidRPr="00A81003">
        <w:rPr>
          <w:sz w:val="24"/>
          <w:szCs w:val="24"/>
        </w:rPr>
        <w:t xml:space="preserve">assess </w:t>
      </w:r>
      <w:r w:rsidR="004625D1" w:rsidRPr="00A81003">
        <w:rPr>
          <w:sz w:val="24"/>
          <w:szCs w:val="24"/>
        </w:rPr>
        <w:t>Bitcoin return</w:t>
      </w:r>
      <w:r w:rsidR="00EE080F" w:rsidRPr="00A81003">
        <w:rPr>
          <w:sz w:val="24"/>
          <w:szCs w:val="24"/>
        </w:rPr>
        <w:t xml:space="preserve"> predictability </w:t>
      </w:r>
      <w:r w:rsidR="00C01611" w:rsidRPr="00A81003">
        <w:rPr>
          <w:sz w:val="24"/>
          <w:szCs w:val="24"/>
        </w:rPr>
        <w:t xml:space="preserve">in </w:t>
      </w:r>
      <w:r w:rsidR="00EE080F" w:rsidRPr="00A81003">
        <w:rPr>
          <w:sz w:val="24"/>
          <w:szCs w:val="24"/>
        </w:rPr>
        <w:t xml:space="preserve">an out-of-sample forecast environment </w:t>
      </w:r>
      <w:r w:rsidR="00C01611" w:rsidRPr="00A81003">
        <w:rPr>
          <w:sz w:val="24"/>
          <w:szCs w:val="24"/>
        </w:rPr>
        <w:t>(</w:t>
      </w:r>
      <w:r w:rsidR="00EE080F" w:rsidRPr="00A81003">
        <w:rPr>
          <w:sz w:val="24"/>
          <w:szCs w:val="24"/>
        </w:rPr>
        <w:t>Campbell and Thompson</w:t>
      </w:r>
      <w:r w:rsidR="00CB7296">
        <w:rPr>
          <w:sz w:val="24"/>
          <w:szCs w:val="24"/>
        </w:rPr>
        <w:t>,</w:t>
      </w:r>
      <w:r w:rsidR="00C01611" w:rsidRPr="00A81003">
        <w:rPr>
          <w:sz w:val="24"/>
          <w:szCs w:val="24"/>
        </w:rPr>
        <w:t xml:space="preserve"> </w:t>
      </w:r>
      <w:r w:rsidR="00BE23C8" w:rsidRPr="00A81003">
        <w:rPr>
          <w:sz w:val="24"/>
          <w:szCs w:val="24"/>
        </w:rPr>
        <w:t>2008)</w:t>
      </w:r>
      <w:r w:rsidR="00EE080F" w:rsidRPr="00A81003">
        <w:rPr>
          <w:sz w:val="24"/>
          <w:szCs w:val="24"/>
        </w:rPr>
        <w:t xml:space="preserve">. </w:t>
      </w:r>
    </w:p>
    <w:p w:rsidR="002A4E9F" w:rsidRPr="00A81003" w:rsidRDefault="002C0D05" w:rsidP="0029520B">
      <w:pPr>
        <w:adjustRightInd w:val="0"/>
        <w:snapToGrid w:val="0"/>
        <w:spacing w:after="0" w:line="480" w:lineRule="auto"/>
        <w:ind w:firstLine="720"/>
        <w:jc w:val="both"/>
        <w:rPr>
          <w:sz w:val="24"/>
          <w:szCs w:val="24"/>
        </w:rPr>
      </w:pPr>
      <w:r w:rsidRPr="00A81003">
        <w:rPr>
          <w:sz w:val="24"/>
          <w:szCs w:val="24"/>
        </w:rPr>
        <w:t>A significant out-of</w:t>
      </w:r>
      <w:r w:rsidR="0054486F" w:rsidRPr="00A81003">
        <w:rPr>
          <w:sz w:val="24"/>
          <w:szCs w:val="24"/>
        </w:rPr>
        <w:t>-</w:t>
      </w:r>
      <w:r w:rsidRPr="00A81003">
        <w:rPr>
          <w:sz w:val="24"/>
          <w:szCs w:val="24"/>
        </w:rPr>
        <w:t>sample performance strong</w:t>
      </w:r>
      <w:r w:rsidR="00976ED9" w:rsidRPr="00A81003">
        <w:rPr>
          <w:sz w:val="24"/>
          <w:szCs w:val="24"/>
        </w:rPr>
        <w:t>ly</w:t>
      </w:r>
      <w:r w:rsidRPr="00A81003">
        <w:rPr>
          <w:sz w:val="24"/>
          <w:szCs w:val="24"/>
        </w:rPr>
        <w:t xml:space="preserve"> support</w:t>
      </w:r>
      <w:r w:rsidR="00976ED9" w:rsidRPr="00A81003">
        <w:rPr>
          <w:sz w:val="24"/>
          <w:szCs w:val="24"/>
        </w:rPr>
        <w:t>s</w:t>
      </w:r>
      <w:r w:rsidRPr="00A81003">
        <w:rPr>
          <w:sz w:val="24"/>
          <w:szCs w:val="24"/>
        </w:rPr>
        <w:t xml:space="preserve"> predictability</w:t>
      </w:r>
      <w:r w:rsidR="00976ED9" w:rsidRPr="00A81003">
        <w:rPr>
          <w:sz w:val="24"/>
          <w:szCs w:val="24"/>
        </w:rPr>
        <w:t>,</w:t>
      </w:r>
      <w:r w:rsidRPr="00A81003">
        <w:rPr>
          <w:sz w:val="24"/>
          <w:szCs w:val="24"/>
        </w:rPr>
        <w:t xml:space="preserve"> </w:t>
      </w:r>
      <w:r w:rsidR="00976ED9" w:rsidRPr="00A81003">
        <w:rPr>
          <w:sz w:val="24"/>
          <w:szCs w:val="24"/>
        </w:rPr>
        <w:t xml:space="preserve">as </w:t>
      </w:r>
      <w:r w:rsidRPr="00A81003">
        <w:rPr>
          <w:sz w:val="24"/>
          <w:szCs w:val="24"/>
        </w:rPr>
        <w:t xml:space="preserve">it is less likely to be subject to in-sample data mining or biased standard errors. </w:t>
      </w:r>
      <w:r w:rsidR="00C01611" w:rsidRPr="00A81003">
        <w:rPr>
          <w:sz w:val="24"/>
          <w:szCs w:val="24"/>
        </w:rPr>
        <w:t xml:space="preserve">If </w:t>
      </w:r>
      <w:r w:rsidR="0004082F" w:rsidRPr="00A81003">
        <w:rPr>
          <w:sz w:val="24"/>
          <w:szCs w:val="24"/>
        </w:rPr>
        <w:t xml:space="preserve">the out-of-sample forecast </w:t>
      </w:r>
      <w:r w:rsidR="0002067B" w:rsidRPr="00A81003">
        <w:rPr>
          <w:sz w:val="24"/>
          <w:szCs w:val="24"/>
        </w:rPr>
        <w:t xml:space="preserve">evaluation </w:t>
      </w:r>
      <w:r w:rsidR="0004082F" w:rsidRPr="00A81003">
        <w:rPr>
          <w:sz w:val="24"/>
          <w:szCs w:val="24"/>
        </w:rPr>
        <w:t xml:space="preserve">begins from time </w:t>
      </w:r>
      <w:r w:rsidR="00F17B68" w:rsidRPr="00A81003">
        <w:rPr>
          <w:i/>
          <w:sz w:val="24"/>
          <w:szCs w:val="24"/>
        </w:rPr>
        <w:t>m</w:t>
      </w:r>
      <w:r w:rsidR="00F17B68" w:rsidRPr="00A81003">
        <w:rPr>
          <w:sz w:val="24"/>
          <w:szCs w:val="24"/>
        </w:rPr>
        <w:t>, w</w:t>
      </w:r>
      <w:r w:rsidR="00EB5B70" w:rsidRPr="00A81003">
        <w:rPr>
          <w:sz w:val="24"/>
          <w:szCs w:val="24"/>
        </w:rPr>
        <w:t xml:space="preserve">e use all available data up to </w:t>
      </w:r>
      <w:r w:rsidR="005B6F86" w:rsidRPr="00A81003">
        <w:rPr>
          <w:sz w:val="24"/>
          <w:szCs w:val="24"/>
        </w:rPr>
        <w:t xml:space="preserve">time </w:t>
      </w:r>
      <w:r w:rsidR="005B6F86" w:rsidRPr="00A81003">
        <w:rPr>
          <w:i/>
          <w:sz w:val="24"/>
          <w:szCs w:val="24"/>
        </w:rPr>
        <w:t>t</w:t>
      </w:r>
      <w:r w:rsidR="00976ED9" w:rsidRPr="00A81003">
        <w:rPr>
          <w:i/>
          <w:sz w:val="24"/>
          <w:szCs w:val="24"/>
        </w:rPr>
        <w:t xml:space="preserve"> </w:t>
      </w:r>
      <w:r w:rsidR="00A32082" w:rsidRPr="00AD4513">
        <w:rPr>
          <w:sz w:val="24"/>
          <w:szCs w:val="24"/>
        </w:rPr>
        <w:t>=</w:t>
      </w:r>
      <w:r w:rsidR="00976ED9" w:rsidRPr="00AD4513">
        <w:rPr>
          <w:sz w:val="24"/>
          <w:szCs w:val="24"/>
        </w:rPr>
        <w:t xml:space="preserve"> (</w:t>
      </w:r>
      <w:r w:rsidR="00A32082" w:rsidRPr="00A81003">
        <w:rPr>
          <w:i/>
          <w:sz w:val="24"/>
          <w:szCs w:val="24"/>
        </w:rPr>
        <w:t>m</w:t>
      </w:r>
      <w:r w:rsidR="00976ED9" w:rsidRPr="00A81003">
        <w:rPr>
          <w:i/>
          <w:sz w:val="24"/>
          <w:szCs w:val="24"/>
        </w:rPr>
        <w:t xml:space="preserve"> – </w:t>
      </w:r>
      <w:r w:rsidR="00A32082" w:rsidRPr="00A81003">
        <w:rPr>
          <w:i/>
          <w:sz w:val="24"/>
          <w:szCs w:val="24"/>
        </w:rPr>
        <w:t>h</w:t>
      </w:r>
      <w:r w:rsidR="00976ED9" w:rsidRPr="00AD4513">
        <w:rPr>
          <w:sz w:val="24"/>
          <w:szCs w:val="24"/>
        </w:rPr>
        <w:t>)</w:t>
      </w:r>
      <w:r w:rsidR="005B6F86" w:rsidRPr="00A81003">
        <w:rPr>
          <w:sz w:val="24"/>
          <w:szCs w:val="24"/>
        </w:rPr>
        <w:t xml:space="preserve"> </w:t>
      </w:r>
      <w:r w:rsidR="00EB5B70" w:rsidRPr="00A81003">
        <w:rPr>
          <w:sz w:val="24"/>
          <w:szCs w:val="24"/>
        </w:rPr>
        <w:t xml:space="preserve">to </w:t>
      </w:r>
      <w:r w:rsidR="00F17B68" w:rsidRPr="00A81003">
        <w:rPr>
          <w:sz w:val="24"/>
          <w:szCs w:val="24"/>
        </w:rPr>
        <w:t xml:space="preserve">estimate the predictive </w:t>
      </w:r>
      <w:r w:rsidR="0002067B" w:rsidRPr="00A81003">
        <w:rPr>
          <w:sz w:val="24"/>
          <w:szCs w:val="24"/>
        </w:rPr>
        <w:t>regression</w:t>
      </w:r>
      <w:r w:rsidR="00F17B68" w:rsidRPr="00A81003">
        <w:rPr>
          <w:sz w:val="24"/>
          <w:szCs w:val="24"/>
        </w:rPr>
        <w:t xml:space="preserve"> </w:t>
      </w:r>
      <w:r w:rsidR="00976ED9" w:rsidRPr="00A81003">
        <w:rPr>
          <w:sz w:val="24"/>
          <w:szCs w:val="24"/>
        </w:rPr>
        <w:t xml:space="preserve">parameters </w:t>
      </w:r>
      <w:r w:rsidR="00F17B68" w:rsidRPr="00A81003">
        <w:rPr>
          <w:sz w:val="24"/>
          <w:szCs w:val="24"/>
        </w:rPr>
        <w:t xml:space="preserve">to produce the first out-of-sample forecast at time </w:t>
      </w:r>
      <w:r w:rsidR="00F17B68" w:rsidRPr="00A81003">
        <w:rPr>
          <w:i/>
          <w:sz w:val="24"/>
          <w:szCs w:val="24"/>
        </w:rPr>
        <w:t>m</w:t>
      </w:r>
      <w:r w:rsidR="00A32082" w:rsidRPr="00A81003">
        <w:rPr>
          <w:sz w:val="24"/>
          <w:szCs w:val="24"/>
        </w:rPr>
        <w:t xml:space="preserve">. </w:t>
      </w:r>
      <w:r w:rsidR="00AC2BA7" w:rsidRPr="00A81003">
        <w:rPr>
          <w:sz w:val="24"/>
          <w:szCs w:val="24"/>
        </w:rPr>
        <w:t xml:space="preserve">Subsequently, </w:t>
      </w:r>
      <w:r w:rsidR="00C01611" w:rsidRPr="00A81003">
        <w:rPr>
          <w:sz w:val="24"/>
          <w:szCs w:val="24"/>
        </w:rPr>
        <w:t xml:space="preserve">a </w:t>
      </w:r>
      <w:r w:rsidR="00F17B68" w:rsidRPr="00A81003">
        <w:rPr>
          <w:sz w:val="24"/>
          <w:szCs w:val="24"/>
        </w:rPr>
        <w:t>recursive forecast procedure</w:t>
      </w:r>
      <w:r w:rsidR="00AC2BA7" w:rsidRPr="00A81003">
        <w:rPr>
          <w:sz w:val="24"/>
          <w:szCs w:val="24"/>
        </w:rPr>
        <w:t xml:space="preserve"> is</w:t>
      </w:r>
      <w:r w:rsidR="00F17B68" w:rsidRPr="00A81003">
        <w:rPr>
          <w:sz w:val="24"/>
          <w:szCs w:val="24"/>
        </w:rPr>
        <w:t xml:space="preserve"> applie</w:t>
      </w:r>
      <w:r w:rsidR="00AC2BA7" w:rsidRPr="00A81003">
        <w:rPr>
          <w:sz w:val="24"/>
          <w:szCs w:val="24"/>
        </w:rPr>
        <w:t>d</w:t>
      </w:r>
      <w:r w:rsidR="00F17B68" w:rsidRPr="00A81003">
        <w:rPr>
          <w:sz w:val="24"/>
          <w:szCs w:val="24"/>
        </w:rPr>
        <w:t xml:space="preserve"> to any future time until </w:t>
      </w:r>
      <w:r w:rsidR="00976ED9" w:rsidRPr="00A81003">
        <w:rPr>
          <w:sz w:val="24"/>
          <w:szCs w:val="24"/>
        </w:rPr>
        <w:t>(</w:t>
      </w:r>
      <w:r w:rsidR="00F17B68" w:rsidRPr="00A81003">
        <w:rPr>
          <w:i/>
          <w:sz w:val="24"/>
          <w:szCs w:val="24"/>
        </w:rPr>
        <w:t>T</w:t>
      </w:r>
      <w:r w:rsidR="00976ED9" w:rsidRPr="00A81003">
        <w:rPr>
          <w:i/>
          <w:sz w:val="24"/>
          <w:szCs w:val="24"/>
        </w:rPr>
        <w:t xml:space="preserve"> – </w:t>
      </w:r>
      <w:r w:rsidR="00F17B68" w:rsidRPr="00A81003">
        <w:rPr>
          <w:i/>
          <w:sz w:val="24"/>
          <w:szCs w:val="24"/>
        </w:rPr>
        <w:t>h</w:t>
      </w:r>
      <w:r w:rsidR="00976ED9" w:rsidRPr="00AD4513">
        <w:rPr>
          <w:sz w:val="24"/>
          <w:szCs w:val="24"/>
        </w:rPr>
        <w:t>)</w:t>
      </w:r>
      <w:r w:rsidR="00F17B68" w:rsidRPr="00A81003">
        <w:rPr>
          <w:sz w:val="24"/>
          <w:szCs w:val="24"/>
        </w:rPr>
        <w:t xml:space="preserve">, where </w:t>
      </w:r>
      <w:r w:rsidR="00F17B68" w:rsidRPr="00A81003">
        <w:rPr>
          <w:i/>
          <w:sz w:val="24"/>
          <w:szCs w:val="24"/>
        </w:rPr>
        <w:t>T</w:t>
      </w:r>
      <w:r w:rsidR="00F17B68" w:rsidRPr="00A81003">
        <w:rPr>
          <w:sz w:val="24"/>
          <w:szCs w:val="24"/>
        </w:rPr>
        <w:t xml:space="preserve"> </w:t>
      </w:r>
      <w:r w:rsidR="00C01611" w:rsidRPr="00A81003">
        <w:rPr>
          <w:sz w:val="24"/>
          <w:szCs w:val="24"/>
        </w:rPr>
        <w:t xml:space="preserve">represents </w:t>
      </w:r>
      <w:r w:rsidR="00F17B68" w:rsidRPr="00A81003">
        <w:rPr>
          <w:sz w:val="24"/>
          <w:szCs w:val="24"/>
        </w:rPr>
        <w:t xml:space="preserve">the sample size. </w:t>
      </w:r>
    </w:p>
    <w:p w:rsidR="002A4E9F" w:rsidRPr="00A81003" w:rsidRDefault="0034449C" w:rsidP="0029520B">
      <w:pPr>
        <w:adjustRightInd w:val="0"/>
        <w:snapToGrid w:val="0"/>
        <w:spacing w:line="480" w:lineRule="auto"/>
        <w:ind w:firstLine="720"/>
        <w:jc w:val="both"/>
        <w:rPr>
          <w:sz w:val="24"/>
          <w:szCs w:val="24"/>
        </w:rPr>
      </w:pPr>
      <w:r w:rsidRPr="00A81003">
        <w:rPr>
          <w:sz w:val="24"/>
          <w:szCs w:val="24"/>
        </w:rPr>
        <w:t>Specifically, the day (</w:t>
      </w:r>
      <w:r w:rsidRPr="00AD4513">
        <w:rPr>
          <w:i/>
          <w:sz w:val="24"/>
          <w:szCs w:val="24"/>
        </w:rPr>
        <w:t>t</w:t>
      </w:r>
      <w:r w:rsidR="00976ED9" w:rsidRPr="00A81003">
        <w:rPr>
          <w:sz w:val="24"/>
          <w:szCs w:val="24"/>
        </w:rPr>
        <w:t xml:space="preserve"> </w:t>
      </w:r>
      <w:r w:rsidRPr="00A81003">
        <w:rPr>
          <w:sz w:val="24"/>
          <w:szCs w:val="24"/>
        </w:rPr>
        <w:t>+</w:t>
      </w:r>
      <w:r w:rsidR="00976ED9" w:rsidRPr="00A81003">
        <w:rPr>
          <w:sz w:val="24"/>
          <w:szCs w:val="24"/>
        </w:rPr>
        <w:t xml:space="preserve"> </w:t>
      </w:r>
      <w:r w:rsidR="00B83407">
        <w:rPr>
          <w:sz w:val="24"/>
          <w:szCs w:val="24"/>
        </w:rPr>
        <w:t>1) out-of-sample Bitcoin</w:t>
      </w:r>
      <w:r w:rsidRPr="00A81003">
        <w:rPr>
          <w:sz w:val="24"/>
          <w:szCs w:val="24"/>
        </w:rPr>
        <w:t xml:space="preserve"> risk</w:t>
      </w:r>
      <w:r w:rsidR="00976ED9" w:rsidRPr="00A81003">
        <w:rPr>
          <w:sz w:val="24"/>
          <w:szCs w:val="24"/>
        </w:rPr>
        <w:t>-</w:t>
      </w:r>
      <w:r w:rsidRPr="00A81003">
        <w:rPr>
          <w:sz w:val="24"/>
          <w:szCs w:val="24"/>
        </w:rPr>
        <w:t>premium forecast</w:t>
      </w:r>
      <w:r w:rsidR="00976ED9" w:rsidRPr="00A81003">
        <w:rPr>
          <w:sz w:val="24"/>
          <w:szCs w:val="24"/>
        </w:rPr>
        <w:t xml:space="preserve"> is </w:t>
      </w:r>
      <w:r w:rsidRPr="00A81003">
        <w:rPr>
          <w:sz w:val="24"/>
          <w:szCs w:val="24"/>
        </w:rPr>
        <w:t>based on an individual predictor variable in Eq</w:t>
      </w:r>
      <w:r w:rsidR="00976ED9" w:rsidRPr="00A81003">
        <w:rPr>
          <w:sz w:val="24"/>
          <w:szCs w:val="24"/>
        </w:rPr>
        <w:t>uation</w:t>
      </w:r>
      <w:r w:rsidRPr="00A81003">
        <w:rPr>
          <w:sz w:val="24"/>
          <w:szCs w:val="24"/>
        </w:rPr>
        <w:t xml:space="preserve"> (1) and data through day </w:t>
      </w:r>
      <w:r w:rsidRPr="00AD4513">
        <w:rPr>
          <w:i/>
          <w:sz w:val="24"/>
          <w:szCs w:val="24"/>
        </w:rPr>
        <w:t>t</w:t>
      </w:r>
      <w:r w:rsidR="001D0205" w:rsidRPr="00A81003">
        <w:rPr>
          <w:sz w:val="24"/>
          <w:szCs w:val="24"/>
        </w:rPr>
        <w:t>,</w:t>
      </w:r>
      <w:r w:rsidRPr="00A81003">
        <w:rPr>
          <w:sz w:val="24"/>
          <w:szCs w:val="24"/>
        </w:rPr>
        <w:t xml:space="preserve"> </w:t>
      </w:r>
      <w:r w:rsidR="00976ED9" w:rsidRPr="00A81003">
        <w:rPr>
          <w:sz w:val="24"/>
          <w:szCs w:val="24"/>
        </w:rPr>
        <w:t xml:space="preserve">and </w:t>
      </w:r>
      <w:r w:rsidRPr="00A81003">
        <w:rPr>
          <w:sz w:val="24"/>
          <w:szCs w:val="24"/>
        </w:rPr>
        <w:t>is given by</w:t>
      </w:r>
    </w:p>
    <w:p w:rsidR="0034449C" w:rsidRPr="00A81003" w:rsidRDefault="0034449C" w:rsidP="0029520B">
      <w:pPr>
        <w:adjustRightInd w:val="0"/>
        <w:snapToGrid w:val="0"/>
        <w:spacing w:line="480" w:lineRule="auto"/>
        <w:ind w:firstLine="720"/>
        <w:jc w:val="right"/>
        <w:rPr>
          <w:sz w:val="24"/>
          <w:szCs w:val="24"/>
        </w:rPr>
      </w:pPr>
      <w:r w:rsidRPr="00A81003">
        <w:rPr>
          <w:sz w:val="24"/>
          <w:szCs w:val="24"/>
        </w:rPr>
        <w:t xml:space="preserve"> </w:t>
      </w:r>
      <m:oMath>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RET</m:t>
                </m:r>
              </m:e>
            </m:acc>
          </m:e>
          <m:sub>
            <m:r>
              <w:rPr>
                <w:rFonts w:ascii="Cambria Math" w:hAnsi="Cambria Math"/>
                <w:sz w:val="24"/>
                <w:szCs w:val="24"/>
              </w:rPr>
              <m:t>t,t+h</m:t>
            </m:r>
          </m:sub>
        </m:sSub>
        <m:r>
          <w:rPr>
            <w:rFonts w:ascii="Cambria Math" w:hAnsi="Cambria Math"/>
            <w:sz w:val="24"/>
            <w:szCs w:val="24"/>
          </w:rPr>
          <m:t>=</m:t>
        </m:r>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α</m:t>
                </m:r>
              </m:e>
            </m:acc>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β</m:t>
                </m:r>
              </m:e>
            </m:acc>
          </m:e>
          <m:sub>
            <m:r>
              <w:rPr>
                <w:rFonts w:ascii="Cambria Math" w:hAnsi="Cambria Math"/>
                <w:sz w:val="24"/>
                <w:szCs w:val="24"/>
              </w:rPr>
              <m:t>t</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oMath>
      <w:r w:rsidR="00C44061" w:rsidRPr="00A81003">
        <w:rPr>
          <w:sz w:val="24"/>
          <w:szCs w:val="24"/>
        </w:rPr>
        <w:t xml:space="preserve"> </w:t>
      </w:r>
      <w:r w:rsidR="00963964">
        <w:rPr>
          <w:sz w:val="24"/>
          <w:szCs w:val="24"/>
        </w:rPr>
        <w:t>,</w:t>
      </w:r>
      <w:r w:rsidR="00C44061" w:rsidRPr="00A81003">
        <w:rPr>
          <w:sz w:val="24"/>
          <w:szCs w:val="24"/>
        </w:rPr>
        <w:t xml:space="preserve">                                                       (2)</w:t>
      </w:r>
    </w:p>
    <w:p w:rsidR="0034449C" w:rsidRPr="00A81003" w:rsidRDefault="0017799A" w:rsidP="0029520B">
      <w:pPr>
        <w:adjustRightInd w:val="0"/>
        <w:snapToGrid w:val="0"/>
        <w:spacing w:after="0" w:line="480" w:lineRule="auto"/>
        <w:jc w:val="both"/>
        <w:rPr>
          <w:sz w:val="24"/>
          <w:szCs w:val="24"/>
        </w:rPr>
      </w:pPr>
      <w:r w:rsidRPr="00A81003">
        <w:rPr>
          <w:sz w:val="24"/>
          <w:szCs w:val="24"/>
        </w:rPr>
        <w:t>w</w:t>
      </w:r>
      <w:r w:rsidR="0034449C" w:rsidRPr="00A81003">
        <w:rPr>
          <w:sz w:val="24"/>
          <w:szCs w:val="24"/>
        </w:rPr>
        <w:t xml:space="preserve">here </w:t>
      </w:r>
      <m:oMath>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α</m:t>
                </m:r>
              </m:e>
            </m:acc>
          </m:e>
          <m:sub>
            <m:r>
              <w:rPr>
                <w:rFonts w:ascii="Cambria Math" w:hAnsi="Cambria Math"/>
                <w:sz w:val="24"/>
                <w:szCs w:val="24"/>
              </w:rPr>
              <m:t>t</m:t>
            </m:r>
          </m:sub>
        </m:sSub>
      </m:oMath>
      <w:r w:rsidR="0034449C" w:rsidRPr="00A81003">
        <w:rPr>
          <w:sz w:val="24"/>
          <w:szCs w:val="24"/>
        </w:rPr>
        <w:t>and</w:t>
      </w:r>
      <m:oMath>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β</m:t>
                </m:r>
              </m:e>
            </m:acc>
          </m:e>
          <m:sub>
            <m:r>
              <w:rPr>
                <w:rFonts w:ascii="Cambria Math" w:hAnsi="Cambria Math"/>
                <w:sz w:val="24"/>
                <w:szCs w:val="24"/>
              </w:rPr>
              <m:t>t</m:t>
            </m:r>
          </m:sub>
        </m:sSub>
      </m:oMath>
      <w:r w:rsidR="0034449C" w:rsidRPr="00A81003">
        <w:rPr>
          <w:sz w:val="24"/>
          <w:szCs w:val="24"/>
        </w:rPr>
        <w:t xml:space="preserve"> are the </w:t>
      </w:r>
      <w:r w:rsidR="00042A4D">
        <w:rPr>
          <w:sz w:val="24"/>
          <w:szCs w:val="24"/>
        </w:rPr>
        <w:t xml:space="preserve">ordinary least-squares </w:t>
      </w:r>
      <w:r w:rsidR="00976ED9" w:rsidRPr="00A81003">
        <w:rPr>
          <w:sz w:val="24"/>
          <w:szCs w:val="24"/>
        </w:rPr>
        <w:t>(</w:t>
      </w:r>
      <w:r w:rsidR="0034449C" w:rsidRPr="00A81003">
        <w:rPr>
          <w:sz w:val="24"/>
          <w:szCs w:val="24"/>
        </w:rPr>
        <w:t>OLS</w:t>
      </w:r>
      <w:r w:rsidR="00976ED9" w:rsidRPr="00A81003">
        <w:rPr>
          <w:sz w:val="24"/>
          <w:szCs w:val="24"/>
        </w:rPr>
        <w:t>)</w:t>
      </w:r>
      <w:r w:rsidR="0034449C" w:rsidRPr="00A81003">
        <w:rPr>
          <w:sz w:val="24"/>
          <w:szCs w:val="24"/>
        </w:rPr>
        <w:t xml:space="preserve"> estimates of </w:t>
      </w:r>
      <m:oMath>
        <m:r>
          <w:rPr>
            <w:rFonts w:ascii="Cambria Math" w:hAnsi="Cambria Math"/>
            <w:sz w:val="24"/>
            <w:szCs w:val="24"/>
          </w:rPr>
          <m:t>α</m:t>
        </m:r>
      </m:oMath>
      <w:r w:rsidR="0034449C" w:rsidRPr="00A81003">
        <w:rPr>
          <w:sz w:val="24"/>
          <w:szCs w:val="24"/>
        </w:rPr>
        <w:t xml:space="preserve"> and </w:t>
      </w:r>
      <m:oMath>
        <m:r>
          <w:rPr>
            <w:rFonts w:ascii="Cambria Math" w:hAnsi="Cambria Math"/>
            <w:sz w:val="24"/>
            <w:szCs w:val="24"/>
          </w:rPr>
          <m:t>β</m:t>
        </m:r>
      </m:oMath>
      <w:r w:rsidR="0034449C" w:rsidRPr="00A81003">
        <w:rPr>
          <w:sz w:val="24"/>
          <w:szCs w:val="24"/>
        </w:rPr>
        <w:t xml:space="preserve"> in Eq. (1)</w:t>
      </w:r>
      <w:r w:rsidR="001D0205" w:rsidRPr="00A81003">
        <w:rPr>
          <w:sz w:val="24"/>
          <w:szCs w:val="24"/>
        </w:rPr>
        <w:t>,</w:t>
      </w:r>
      <w:r w:rsidR="0034449C" w:rsidRPr="00A81003">
        <w:rPr>
          <w:sz w:val="24"/>
          <w:szCs w:val="24"/>
        </w:rPr>
        <w:t xml:space="preserve"> </w:t>
      </w:r>
      <w:r w:rsidR="00042A4D">
        <w:rPr>
          <w:sz w:val="24"/>
          <w:szCs w:val="24"/>
        </w:rPr>
        <w:t>respectively</w:t>
      </w:r>
      <w:r w:rsidR="00976ED9" w:rsidRPr="00A81003">
        <w:rPr>
          <w:sz w:val="24"/>
          <w:szCs w:val="24"/>
        </w:rPr>
        <w:t xml:space="preserve">, </w:t>
      </w:r>
      <w:r w:rsidR="0034449C" w:rsidRPr="00A81003">
        <w:rPr>
          <w:sz w:val="24"/>
          <w:szCs w:val="24"/>
        </w:rPr>
        <w:t xml:space="preserve">based on data from the beginning of the sample through day </w:t>
      </w:r>
      <w:r w:rsidR="0034449C" w:rsidRPr="00AD4513">
        <w:rPr>
          <w:i/>
          <w:sz w:val="24"/>
          <w:szCs w:val="24"/>
        </w:rPr>
        <w:t>t</w:t>
      </w:r>
      <w:r w:rsidR="0034449C" w:rsidRPr="00A81003">
        <w:rPr>
          <w:sz w:val="24"/>
          <w:szCs w:val="24"/>
        </w:rPr>
        <w:t>.</w:t>
      </w:r>
      <w:r w:rsidR="00C44061" w:rsidRPr="00A81003">
        <w:rPr>
          <w:sz w:val="24"/>
          <w:szCs w:val="24"/>
        </w:rPr>
        <w:t xml:space="preserve"> We compare the forecasts given </w:t>
      </w:r>
      <w:r w:rsidR="00976ED9" w:rsidRPr="00A81003">
        <w:rPr>
          <w:sz w:val="24"/>
          <w:szCs w:val="24"/>
        </w:rPr>
        <w:t xml:space="preserve">in </w:t>
      </w:r>
      <w:r w:rsidR="00C44061" w:rsidRPr="00A81003">
        <w:rPr>
          <w:sz w:val="24"/>
          <w:szCs w:val="24"/>
        </w:rPr>
        <w:t>Eq</w:t>
      </w:r>
      <w:r w:rsidR="00976ED9" w:rsidRPr="00A81003">
        <w:rPr>
          <w:sz w:val="24"/>
          <w:szCs w:val="24"/>
        </w:rPr>
        <w:t>uation</w:t>
      </w:r>
      <w:r w:rsidR="00C44061" w:rsidRPr="00A81003">
        <w:rPr>
          <w:sz w:val="24"/>
          <w:szCs w:val="24"/>
        </w:rPr>
        <w:t xml:space="preserve"> (2) to the historical average forecast, which is the average excess return from the beginning of the sample through day </w:t>
      </w:r>
      <w:r w:rsidR="00C44061" w:rsidRPr="00AD4513">
        <w:rPr>
          <w:i/>
          <w:sz w:val="24"/>
          <w:szCs w:val="24"/>
        </w:rPr>
        <w:t>t</w:t>
      </w:r>
      <w:r w:rsidR="00C44061" w:rsidRPr="00A81003">
        <w:rPr>
          <w:sz w:val="24"/>
          <w:szCs w:val="24"/>
        </w:rPr>
        <w:t xml:space="preserve">. Following </w:t>
      </w:r>
      <w:r w:rsidR="00B05BFF" w:rsidRPr="00A81003">
        <w:rPr>
          <w:sz w:val="24"/>
          <w:szCs w:val="24"/>
        </w:rPr>
        <w:t xml:space="preserve">Welch and </w:t>
      </w:r>
      <w:r w:rsidR="00C44061" w:rsidRPr="00A81003">
        <w:rPr>
          <w:sz w:val="24"/>
          <w:szCs w:val="24"/>
        </w:rPr>
        <w:t>Goyal (2008), we assume the constant expected excess return model</w:t>
      </w:r>
      <w:r w:rsidR="008F75F6" w:rsidRPr="00A81003">
        <w:rPr>
          <w:sz w:val="24"/>
          <w:szCs w:val="24"/>
        </w:rPr>
        <w:t xml:space="preserve"> </w:t>
      </w:r>
      <m:oMath>
        <m:r>
          <w:rPr>
            <w:rFonts w:ascii="Cambria Math" w:hAnsi="Cambria Math"/>
            <w:sz w:val="24"/>
            <w:szCs w:val="24"/>
          </w:rPr>
          <m:t>β</m:t>
        </m:r>
      </m:oMath>
      <w:r w:rsidR="00C44061" w:rsidRPr="00A81003">
        <w:rPr>
          <w:sz w:val="24"/>
          <w:szCs w:val="24"/>
        </w:rPr>
        <w:t xml:space="preserve"> is zero in Eq</w:t>
      </w:r>
      <w:r w:rsidR="00DF0EB5" w:rsidRPr="00A81003">
        <w:rPr>
          <w:sz w:val="24"/>
          <w:szCs w:val="24"/>
        </w:rPr>
        <w:t>uation</w:t>
      </w:r>
      <w:r w:rsidR="001D0205" w:rsidRPr="00A81003">
        <w:rPr>
          <w:sz w:val="24"/>
          <w:szCs w:val="24"/>
        </w:rPr>
        <w:t xml:space="preserve"> </w:t>
      </w:r>
      <w:r w:rsidR="00C44061" w:rsidRPr="00A81003">
        <w:rPr>
          <w:sz w:val="24"/>
          <w:szCs w:val="24"/>
        </w:rPr>
        <w:t>(1)</w:t>
      </w:r>
      <w:r w:rsidR="00B05BFF" w:rsidRPr="00A81003">
        <w:rPr>
          <w:sz w:val="24"/>
          <w:szCs w:val="24"/>
        </w:rPr>
        <w:t>,</w:t>
      </w:r>
      <w:r w:rsidR="00C44061" w:rsidRPr="00A81003">
        <w:rPr>
          <w:sz w:val="24"/>
          <w:szCs w:val="24"/>
        </w:rPr>
        <w:t xml:space="preserve"> which implies that returns are unpredictable. As suggested by </w:t>
      </w:r>
      <w:r w:rsidR="00B05BFF" w:rsidRPr="00A81003">
        <w:rPr>
          <w:sz w:val="24"/>
          <w:szCs w:val="24"/>
        </w:rPr>
        <w:t xml:space="preserve">Welch and </w:t>
      </w:r>
      <w:r w:rsidR="00C44061" w:rsidRPr="00A81003">
        <w:rPr>
          <w:sz w:val="24"/>
          <w:szCs w:val="24"/>
        </w:rPr>
        <w:t xml:space="preserve">Goyal (2008), </w:t>
      </w:r>
      <w:r w:rsidR="00570C8E" w:rsidRPr="00A81003">
        <w:rPr>
          <w:sz w:val="24"/>
          <w:szCs w:val="24"/>
        </w:rPr>
        <w:t xml:space="preserve">the historical average </w:t>
      </w:r>
      <w:r w:rsidR="00570C8E" w:rsidRPr="00A81003">
        <w:rPr>
          <w:sz w:val="24"/>
          <w:szCs w:val="24"/>
        </w:rPr>
        <w:lastRenderedPageBreak/>
        <w:t>forecast serves as a stringent out-of-sample benchmark</w:t>
      </w:r>
      <w:r w:rsidR="00042A4D">
        <w:rPr>
          <w:sz w:val="24"/>
          <w:szCs w:val="24"/>
        </w:rPr>
        <w:t xml:space="preserve">, as the </w:t>
      </w:r>
      <w:r w:rsidR="00570C8E" w:rsidRPr="00A81003">
        <w:rPr>
          <w:sz w:val="24"/>
          <w:szCs w:val="24"/>
        </w:rPr>
        <w:t>individual variables</w:t>
      </w:r>
      <w:r w:rsidR="008F75F6" w:rsidRPr="00A81003">
        <w:rPr>
          <w:sz w:val="24"/>
          <w:szCs w:val="24"/>
        </w:rPr>
        <w:t>’</w:t>
      </w:r>
      <w:r w:rsidR="00570C8E" w:rsidRPr="00A81003">
        <w:rPr>
          <w:sz w:val="24"/>
          <w:szCs w:val="24"/>
        </w:rPr>
        <w:t xml:space="preserve"> predictive regression forecasts generally fail to outperform historical average forecast</w:t>
      </w:r>
      <w:r w:rsidR="00B05BFF" w:rsidRPr="00A81003">
        <w:rPr>
          <w:sz w:val="24"/>
          <w:szCs w:val="24"/>
        </w:rPr>
        <w:t>s</w:t>
      </w:r>
      <w:r w:rsidR="00570C8E" w:rsidRPr="00A81003">
        <w:rPr>
          <w:sz w:val="24"/>
          <w:szCs w:val="24"/>
        </w:rPr>
        <w:t xml:space="preserve">. </w:t>
      </w:r>
    </w:p>
    <w:p w:rsidR="00207943" w:rsidRPr="00A81003" w:rsidRDefault="00DF0EB5" w:rsidP="0029520B">
      <w:pPr>
        <w:adjustRightInd w:val="0"/>
        <w:snapToGrid w:val="0"/>
        <w:spacing w:after="0" w:line="480" w:lineRule="auto"/>
        <w:ind w:firstLine="720"/>
        <w:jc w:val="both"/>
        <w:rPr>
          <w:sz w:val="24"/>
          <w:szCs w:val="24"/>
        </w:rPr>
      </w:pPr>
      <w:r w:rsidRPr="00A81003">
        <w:rPr>
          <w:sz w:val="24"/>
          <w:szCs w:val="24"/>
        </w:rPr>
        <w:t>We f</w:t>
      </w:r>
      <w:r w:rsidR="00F17B68" w:rsidRPr="00A81003">
        <w:rPr>
          <w:sz w:val="24"/>
          <w:szCs w:val="24"/>
        </w:rPr>
        <w:t xml:space="preserve">ollow </w:t>
      </w:r>
      <w:r w:rsidR="002F2DEA" w:rsidRPr="00A81003">
        <w:rPr>
          <w:sz w:val="24"/>
          <w:szCs w:val="24"/>
        </w:rPr>
        <w:t>Campbell and Thompson (2008)</w:t>
      </w:r>
      <w:r w:rsidRPr="00A81003">
        <w:rPr>
          <w:sz w:val="24"/>
          <w:szCs w:val="24"/>
        </w:rPr>
        <w:t xml:space="preserve"> in </w:t>
      </w:r>
      <w:r w:rsidR="00F17B68" w:rsidRPr="00A81003">
        <w:rPr>
          <w:sz w:val="24"/>
          <w:szCs w:val="24"/>
        </w:rPr>
        <w:t>evaluat</w:t>
      </w:r>
      <w:r w:rsidRPr="00A81003">
        <w:rPr>
          <w:sz w:val="24"/>
          <w:szCs w:val="24"/>
        </w:rPr>
        <w:t>ing</w:t>
      </w:r>
      <w:r w:rsidR="00F17B68" w:rsidRPr="00A81003">
        <w:rPr>
          <w:sz w:val="24"/>
          <w:szCs w:val="24"/>
        </w:rPr>
        <w:t xml:space="preserve"> </w:t>
      </w:r>
      <w:r w:rsidRPr="00A81003">
        <w:rPr>
          <w:sz w:val="24"/>
          <w:szCs w:val="24"/>
        </w:rPr>
        <w:t xml:space="preserve">our predictors’ </w:t>
      </w:r>
      <w:r w:rsidR="00F17B68" w:rsidRPr="00A81003">
        <w:rPr>
          <w:sz w:val="24"/>
          <w:szCs w:val="24"/>
        </w:rPr>
        <w:t xml:space="preserve">out-of-sample </w:t>
      </w:r>
      <w:r w:rsidR="002A5E17" w:rsidRPr="00A81003">
        <w:rPr>
          <w:sz w:val="24"/>
          <w:szCs w:val="24"/>
        </w:rPr>
        <w:t xml:space="preserve">performance relative to the updated historical average using </w:t>
      </w:r>
      <w:r w:rsidR="00C01611" w:rsidRPr="00A81003">
        <w:rPr>
          <w:sz w:val="24"/>
          <w:szCs w:val="24"/>
        </w:rPr>
        <w:t xml:space="preserve">the following </w:t>
      </w:r>
      <w:r w:rsidR="004625D1" w:rsidRPr="00A81003">
        <w:rPr>
          <w:sz w:val="24"/>
          <w:szCs w:val="24"/>
        </w:rPr>
        <w:t>out-of-</w:t>
      </w:r>
      <w:r w:rsidR="002F2DEA" w:rsidRPr="00A81003">
        <w:rPr>
          <w:sz w:val="24"/>
          <w:szCs w:val="24"/>
        </w:rPr>
        <w:t xml:space="preserve">sample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sidR="002F2DEA" w:rsidRPr="00A81003">
        <w:rPr>
          <w:sz w:val="24"/>
          <w:szCs w:val="24"/>
        </w:rPr>
        <w:t xml:space="preserve"> statistic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oMath>
      <w:r w:rsidR="00207943" w:rsidRPr="00A81003">
        <w:rPr>
          <w:sz w:val="24"/>
          <w:szCs w:val="24"/>
        </w:rPr>
        <w:t>)</w:t>
      </w:r>
    </w:p>
    <w:p w:rsidR="00207943" w:rsidRPr="00A81003" w:rsidRDefault="00207943" w:rsidP="0029520B">
      <w:pPr>
        <w:pStyle w:val="FootnoteText"/>
        <w:adjustRightInd w:val="0"/>
        <w:snapToGrid w:val="0"/>
        <w:spacing w:line="480" w:lineRule="auto"/>
        <w:ind w:firstLine="720"/>
        <w:jc w:val="right"/>
        <w:rPr>
          <w:sz w:val="24"/>
          <w:szCs w:val="24"/>
        </w:rPr>
      </w:pPr>
      <w:r w:rsidRPr="00A81003">
        <w:rPr>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r>
          <w:rPr>
            <w:rFonts w:ascii="Cambria Math" w:hAnsi="Cambria Math"/>
            <w:sz w:val="24"/>
            <w:szCs w:val="24"/>
          </w:rPr>
          <m:t>=1-</m:t>
        </m:r>
        <m:f>
          <m:fPr>
            <m:ctrlPr>
              <w:rPr>
                <w:rFonts w:ascii="Cambria Math" w:hAnsi="Cambria Math"/>
                <w:i/>
                <w:sz w:val="24"/>
                <w:szCs w:val="24"/>
              </w:rPr>
            </m:ctrlPr>
          </m:fPr>
          <m:num>
            <m:nary>
              <m:naryPr>
                <m:chr m:val="∑"/>
                <m:limLoc m:val="subSup"/>
                <m:ctrlPr>
                  <w:rPr>
                    <w:rFonts w:ascii="Cambria Math" w:hAnsi="Cambria Math"/>
                    <w:i/>
                    <w:sz w:val="24"/>
                    <w:szCs w:val="24"/>
                  </w:rPr>
                </m:ctrlPr>
              </m:naryPr>
              <m:sub>
                <m:r>
                  <w:rPr>
                    <w:rFonts w:ascii="Cambria Math" w:hAnsi="Cambria Math"/>
                    <w:sz w:val="24"/>
                    <w:szCs w:val="24"/>
                  </w:rPr>
                  <m:t>t=m</m:t>
                </m:r>
              </m:sub>
              <m:sup>
                <m:r>
                  <w:rPr>
                    <w:rFonts w:ascii="Cambria Math" w:hAnsi="Cambria Math"/>
                    <w:sz w:val="24"/>
                    <w:szCs w:val="24"/>
                  </w:rPr>
                  <m:t>T-h</m:t>
                </m:r>
              </m:sup>
              <m:e>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RET</m:t>
                            </m:r>
                          </m:e>
                          <m:sub>
                            <m:r>
                              <w:rPr>
                                <w:rFonts w:ascii="Cambria Math" w:hAnsi="Cambria Math"/>
                                <w:sz w:val="24"/>
                                <w:szCs w:val="24"/>
                              </w:rPr>
                              <m:t>t+h</m:t>
                            </m:r>
                          </m:sub>
                        </m:sSub>
                        <m:r>
                          <w:rPr>
                            <w:rFonts w:ascii="Cambria Math" w:hAnsi="Cambria Math"/>
                            <w:sz w:val="24"/>
                            <w:szCs w:val="24"/>
                          </w:rPr>
                          <m:t>-</m:t>
                        </m:r>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RET</m:t>
                                </m:r>
                              </m:e>
                            </m:acc>
                          </m:e>
                          <m:sub>
                            <m:r>
                              <w:rPr>
                                <w:rFonts w:ascii="Cambria Math" w:hAnsi="Cambria Math"/>
                                <w:sz w:val="24"/>
                                <w:szCs w:val="24"/>
                              </w:rPr>
                              <m:t>t+h</m:t>
                            </m:r>
                          </m:sub>
                        </m:sSub>
                      </m:e>
                    </m:d>
                  </m:e>
                  <m:sup>
                    <m:r>
                      <w:rPr>
                        <w:rFonts w:ascii="Cambria Math" w:hAnsi="Cambria Math"/>
                        <w:sz w:val="24"/>
                        <w:szCs w:val="24"/>
                      </w:rPr>
                      <m:t>2</m:t>
                    </m:r>
                  </m:sup>
                </m:sSup>
              </m:e>
            </m:nary>
          </m:num>
          <m:den>
            <m:nary>
              <m:naryPr>
                <m:chr m:val="∑"/>
                <m:limLoc m:val="subSup"/>
                <m:ctrlPr>
                  <w:rPr>
                    <w:rFonts w:ascii="Cambria Math" w:hAnsi="Cambria Math"/>
                    <w:i/>
                    <w:sz w:val="24"/>
                    <w:szCs w:val="24"/>
                  </w:rPr>
                </m:ctrlPr>
              </m:naryPr>
              <m:sub>
                <m:r>
                  <w:rPr>
                    <w:rFonts w:ascii="Cambria Math" w:hAnsi="Cambria Math"/>
                    <w:sz w:val="24"/>
                    <w:szCs w:val="24"/>
                  </w:rPr>
                  <m:t>t=m</m:t>
                </m:r>
              </m:sub>
              <m:sup>
                <m:r>
                  <w:rPr>
                    <w:rFonts w:ascii="Cambria Math" w:hAnsi="Cambria Math"/>
                    <w:sz w:val="24"/>
                    <w:szCs w:val="24"/>
                  </w:rPr>
                  <m:t>T-h</m:t>
                </m:r>
              </m:sup>
              <m:e>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RET</m:t>
                            </m:r>
                          </m:e>
                          <m:sub>
                            <m:r>
                              <w:rPr>
                                <w:rFonts w:ascii="Cambria Math" w:hAnsi="Cambria Math"/>
                                <w:sz w:val="24"/>
                                <w:szCs w:val="24"/>
                              </w:rPr>
                              <m:t>t+h</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RET</m:t>
                                </m:r>
                              </m:e>
                            </m:acc>
                          </m:e>
                          <m:sub>
                            <m:r>
                              <w:rPr>
                                <w:rFonts w:ascii="Cambria Math" w:hAnsi="Cambria Math"/>
                                <w:sz w:val="24"/>
                                <w:szCs w:val="24"/>
                              </w:rPr>
                              <m:t>t+h</m:t>
                            </m:r>
                          </m:sub>
                        </m:sSub>
                      </m:e>
                    </m:d>
                  </m:e>
                  <m:sup>
                    <m:r>
                      <w:rPr>
                        <w:rFonts w:ascii="Cambria Math" w:hAnsi="Cambria Math"/>
                        <w:sz w:val="24"/>
                        <w:szCs w:val="24"/>
                      </w:rPr>
                      <m:t>2</m:t>
                    </m:r>
                  </m:sup>
                </m:sSup>
              </m:e>
            </m:nary>
          </m:den>
        </m:f>
      </m:oMath>
      <w:r w:rsidRPr="00A81003">
        <w:rPr>
          <w:sz w:val="24"/>
          <w:szCs w:val="24"/>
        </w:rPr>
        <w:t xml:space="preserve"> </w:t>
      </w:r>
      <w:r w:rsidR="00963964">
        <w:rPr>
          <w:sz w:val="24"/>
          <w:szCs w:val="24"/>
        </w:rPr>
        <w:t>,</w:t>
      </w:r>
      <w:r w:rsidRPr="00A81003">
        <w:rPr>
          <w:sz w:val="24"/>
          <w:szCs w:val="24"/>
        </w:rPr>
        <w:t xml:space="preserve">                                     </w:t>
      </w:r>
      <w:r w:rsidR="002F2DEA" w:rsidRPr="00A81003">
        <w:rPr>
          <w:sz w:val="24"/>
          <w:szCs w:val="24"/>
        </w:rPr>
        <w:t xml:space="preserve"> (</w:t>
      </w:r>
      <w:r w:rsidR="00DE1026" w:rsidRPr="00A81003">
        <w:rPr>
          <w:sz w:val="24"/>
          <w:szCs w:val="24"/>
        </w:rPr>
        <w:t>3</w:t>
      </w:r>
      <w:r w:rsidR="002F2DEA" w:rsidRPr="00A81003">
        <w:rPr>
          <w:sz w:val="24"/>
          <w:szCs w:val="24"/>
        </w:rPr>
        <w:t>)</w:t>
      </w:r>
    </w:p>
    <w:p w:rsidR="00AF36B9" w:rsidRPr="00A81003" w:rsidRDefault="002F2DEA" w:rsidP="0029520B">
      <w:pPr>
        <w:autoSpaceDE w:val="0"/>
        <w:autoSpaceDN w:val="0"/>
        <w:adjustRightInd w:val="0"/>
        <w:spacing w:after="0" w:line="480" w:lineRule="auto"/>
        <w:jc w:val="both"/>
      </w:pPr>
      <w:r w:rsidRPr="00A81003">
        <w:rPr>
          <w:sz w:val="24"/>
          <w:szCs w:val="24"/>
        </w:rPr>
        <w:t xml:space="preserve">where </w:t>
      </w:r>
      <m:oMath>
        <m:sSub>
          <m:sSubPr>
            <m:ctrlPr>
              <w:rPr>
                <w:rFonts w:ascii="Cambria Math" w:hAnsi="Cambria Math"/>
                <w:i/>
                <w:sz w:val="24"/>
                <w:szCs w:val="24"/>
              </w:rPr>
            </m:ctrlPr>
          </m:sSubPr>
          <m:e>
            <m:r>
              <w:rPr>
                <w:rFonts w:ascii="Cambria Math" w:hAnsi="Cambria Math"/>
                <w:sz w:val="24"/>
                <w:szCs w:val="24"/>
              </w:rPr>
              <m:t>RET</m:t>
            </m:r>
          </m:e>
          <m:sub>
            <m:r>
              <w:rPr>
                <w:rFonts w:ascii="Cambria Math" w:hAnsi="Cambria Math"/>
                <w:sz w:val="24"/>
                <w:szCs w:val="24"/>
              </w:rPr>
              <m:t>t+h</m:t>
            </m:r>
          </m:sub>
        </m:sSub>
      </m:oMath>
      <w:r w:rsidRPr="00A81003">
        <w:rPr>
          <w:sz w:val="24"/>
          <w:szCs w:val="24"/>
        </w:rPr>
        <w:t xml:space="preserve"> is the actual daily Bitcoin </w:t>
      </w:r>
      <w:r w:rsidR="00B83407">
        <w:rPr>
          <w:sz w:val="24"/>
          <w:szCs w:val="24"/>
        </w:rPr>
        <w:t xml:space="preserve">excess </w:t>
      </w:r>
      <w:r w:rsidRPr="00A81003">
        <w:rPr>
          <w:sz w:val="24"/>
          <w:szCs w:val="24"/>
        </w:rPr>
        <w:t xml:space="preserve">return, </w:t>
      </w:r>
      <m:oMath>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RET</m:t>
                </m:r>
              </m:e>
            </m:acc>
          </m:e>
          <m:sub>
            <m:r>
              <w:rPr>
                <w:rFonts w:ascii="Cambria Math" w:hAnsi="Cambria Math"/>
                <w:sz w:val="24"/>
                <w:szCs w:val="24"/>
              </w:rPr>
              <m:t>t+h</m:t>
            </m:r>
          </m:sub>
        </m:sSub>
      </m:oMath>
      <w:r w:rsidR="004625D1" w:rsidRPr="00A81003">
        <w:rPr>
          <w:sz w:val="24"/>
          <w:szCs w:val="24"/>
        </w:rPr>
        <w:t xml:space="preserve"> </w:t>
      </w:r>
      <w:r w:rsidRPr="00A81003">
        <w:rPr>
          <w:sz w:val="24"/>
          <w:szCs w:val="24"/>
        </w:rPr>
        <w:t xml:space="preserve">is the forecast Bitcoin return from </w:t>
      </w:r>
      <w:r w:rsidR="00DF0EB5" w:rsidRPr="00A81003">
        <w:rPr>
          <w:sz w:val="24"/>
          <w:szCs w:val="24"/>
        </w:rPr>
        <w:t xml:space="preserve">the </w:t>
      </w:r>
      <w:r w:rsidR="0002067B" w:rsidRPr="00A81003">
        <w:rPr>
          <w:sz w:val="24"/>
          <w:szCs w:val="24"/>
        </w:rPr>
        <w:t>predictive regression</w:t>
      </w:r>
      <w:r w:rsidR="00DE1026" w:rsidRPr="00A81003">
        <w:rPr>
          <w:sz w:val="24"/>
          <w:szCs w:val="24"/>
        </w:rPr>
        <w:t xml:space="preserve"> </w:t>
      </w:r>
      <w:r w:rsidR="00DF0EB5" w:rsidRPr="00A81003">
        <w:rPr>
          <w:sz w:val="24"/>
          <w:szCs w:val="24"/>
        </w:rPr>
        <w:t xml:space="preserve">in </w:t>
      </w:r>
      <w:r w:rsidR="00DE1026" w:rsidRPr="00A81003">
        <w:rPr>
          <w:sz w:val="24"/>
          <w:szCs w:val="24"/>
        </w:rPr>
        <w:t>Eq</w:t>
      </w:r>
      <w:r w:rsidR="00DF0EB5" w:rsidRPr="00A81003">
        <w:rPr>
          <w:sz w:val="24"/>
          <w:szCs w:val="24"/>
        </w:rPr>
        <w:t xml:space="preserve">uation </w:t>
      </w:r>
      <w:r w:rsidR="00DE1026" w:rsidRPr="00A81003">
        <w:rPr>
          <w:sz w:val="24"/>
          <w:szCs w:val="24"/>
        </w:rPr>
        <w:t>(1)</w:t>
      </w:r>
      <w:r w:rsidRPr="00A81003">
        <w:rPr>
          <w:sz w:val="24"/>
          <w:szCs w:val="24"/>
        </w:rPr>
        <w:t xml:space="preserve">, and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RET</m:t>
                </m:r>
              </m:e>
            </m:acc>
          </m:e>
          <m:sub>
            <m:r>
              <w:rPr>
                <w:rFonts w:ascii="Cambria Math" w:hAnsi="Cambria Math"/>
                <w:sz w:val="24"/>
                <w:szCs w:val="24"/>
              </w:rPr>
              <m:t>t+h</m:t>
            </m:r>
          </m:sub>
        </m:sSub>
      </m:oMath>
      <w:r w:rsidRPr="00A81003">
        <w:rPr>
          <w:sz w:val="24"/>
          <w:szCs w:val="24"/>
        </w:rPr>
        <w:t xml:space="preserve"> is the </w:t>
      </w:r>
      <w:r w:rsidR="0002067B" w:rsidRPr="00A81003">
        <w:rPr>
          <w:sz w:val="24"/>
          <w:szCs w:val="24"/>
        </w:rPr>
        <w:t xml:space="preserve">historical average </w:t>
      </w:r>
      <w:r w:rsidR="00232463" w:rsidRPr="00A81003">
        <w:rPr>
          <w:sz w:val="24"/>
          <w:szCs w:val="24"/>
        </w:rPr>
        <w:t>benchmark</w:t>
      </w:r>
      <w:r w:rsidRPr="00A81003">
        <w:rPr>
          <w:sz w:val="24"/>
          <w:szCs w:val="24"/>
        </w:rPr>
        <w:t xml:space="preserve">. </w:t>
      </w:r>
      <w:r w:rsidR="002A5E17" w:rsidRPr="00A81003">
        <w:rPr>
          <w:sz w:val="24"/>
          <w:szCs w:val="24"/>
        </w:rPr>
        <w:t xml:space="preserve">The out-of-sample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sidRPr="00A81003">
        <w:rPr>
          <w:sz w:val="24"/>
          <w:szCs w:val="24"/>
        </w:rPr>
        <w:t xml:space="preserve"> </w:t>
      </w:r>
      <w:r w:rsidR="002A5E17" w:rsidRPr="00A81003">
        <w:rPr>
          <w:sz w:val="24"/>
          <w:szCs w:val="24"/>
        </w:rPr>
        <w:t xml:space="preserve">gauges the </w:t>
      </w:r>
      <w:r w:rsidR="00DF0EB5" w:rsidRPr="00A81003">
        <w:rPr>
          <w:sz w:val="24"/>
          <w:szCs w:val="24"/>
        </w:rPr>
        <w:t xml:space="preserve">predictive forecast’s </w:t>
      </w:r>
      <w:r w:rsidR="002A5E17" w:rsidRPr="00A81003">
        <w:rPr>
          <w:sz w:val="24"/>
          <w:szCs w:val="24"/>
        </w:rPr>
        <w:t xml:space="preserve">improvement over the historical average forecast in terms of </w:t>
      </w:r>
      <w:r w:rsidR="00DF0EB5" w:rsidRPr="00A81003">
        <w:rPr>
          <w:sz w:val="24"/>
          <w:szCs w:val="24"/>
        </w:rPr>
        <w:t xml:space="preserve">the </w:t>
      </w:r>
      <w:r w:rsidR="002A5E17" w:rsidRPr="00A81003">
        <w:rPr>
          <w:sz w:val="24"/>
          <w:szCs w:val="24"/>
        </w:rPr>
        <w:t xml:space="preserve">mean squared forecast error (MSFE). </w:t>
      </w:r>
      <w:r w:rsidRPr="00A81003">
        <w:rPr>
          <w:sz w:val="24"/>
          <w:szCs w:val="24"/>
        </w:rPr>
        <w:t>When</w:t>
      </w:r>
      <w:r w:rsidR="0059360A" w:rsidRPr="00A81003">
        <w:rPr>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r>
          <w:rPr>
            <w:rFonts w:ascii="Cambria Math" w:hAnsi="Cambria Math"/>
            <w:sz w:val="24"/>
            <w:szCs w:val="24"/>
          </w:rPr>
          <m:t>&gt;0</m:t>
        </m:r>
      </m:oMath>
      <w:r w:rsidRPr="00A81003">
        <w:rPr>
          <w:sz w:val="24"/>
          <w:szCs w:val="24"/>
        </w:rPr>
        <w:t xml:space="preserve">, our predictive forecast outperforms the </w:t>
      </w:r>
      <w:r w:rsidR="002A5E17" w:rsidRPr="00A81003">
        <w:rPr>
          <w:sz w:val="24"/>
          <w:szCs w:val="24"/>
        </w:rPr>
        <w:t>historical average</w:t>
      </w:r>
      <w:r w:rsidRPr="00A81003">
        <w:rPr>
          <w:sz w:val="24"/>
          <w:szCs w:val="24"/>
        </w:rPr>
        <w:t xml:space="preserve"> forecast. We </w:t>
      </w:r>
      <w:r w:rsidR="002A5E17" w:rsidRPr="00A81003">
        <w:rPr>
          <w:sz w:val="24"/>
          <w:szCs w:val="24"/>
        </w:rPr>
        <w:t>test the statistical significan</w:t>
      </w:r>
      <w:r w:rsidR="00232463" w:rsidRPr="00A81003">
        <w:rPr>
          <w:sz w:val="24"/>
          <w:szCs w:val="24"/>
        </w:rPr>
        <w:t>ce</w:t>
      </w:r>
      <w:r w:rsidR="002A5E17" w:rsidRPr="00A81003">
        <w:rPr>
          <w:sz w:val="24"/>
          <w:szCs w:val="24"/>
        </w:rPr>
        <w:t xml:space="preserve"> of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oMath>
      <w:r w:rsidR="00E27CF1">
        <w:rPr>
          <w:sz w:val="24"/>
          <w:szCs w:val="24"/>
        </w:rPr>
        <w:t xml:space="preserve"> </w:t>
      </w:r>
      <w:r w:rsidR="002A5E17" w:rsidRPr="00A81003">
        <w:rPr>
          <w:sz w:val="24"/>
          <w:szCs w:val="24"/>
        </w:rPr>
        <w:t>b</w:t>
      </w:r>
      <w:r w:rsidR="00AC2BA7" w:rsidRPr="00A81003">
        <w:rPr>
          <w:sz w:val="24"/>
          <w:szCs w:val="24"/>
        </w:rPr>
        <w:t>y the MSFE-adjusted</w:t>
      </w:r>
      <w:r w:rsidR="002A5E17" w:rsidRPr="00A81003">
        <w:rPr>
          <w:sz w:val="24"/>
          <w:szCs w:val="24"/>
        </w:rPr>
        <w:t xml:space="preserve"> </w:t>
      </w:r>
      <w:r w:rsidR="00C01611" w:rsidRPr="00A81003">
        <w:rPr>
          <w:sz w:val="24"/>
          <w:szCs w:val="24"/>
        </w:rPr>
        <w:t>statistic (</w:t>
      </w:r>
      <w:r w:rsidRPr="00A81003">
        <w:rPr>
          <w:sz w:val="24"/>
          <w:szCs w:val="24"/>
        </w:rPr>
        <w:t>Clark and West</w:t>
      </w:r>
      <w:r w:rsidR="00CB7296">
        <w:rPr>
          <w:sz w:val="24"/>
          <w:szCs w:val="24"/>
        </w:rPr>
        <w:t>,</w:t>
      </w:r>
      <w:r w:rsidR="00AC2BA7" w:rsidRPr="00A81003">
        <w:rPr>
          <w:sz w:val="24"/>
          <w:szCs w:val="24"/>
        </w:rPr>
        <w:t xml:space="preserve"> </w:t>
      </w:r>
      <w:r w:rsidRPr="00A81003">
        <w:rPr>
          <w:sz w:val="24"/>
          <w:szCs w:val="24"/>
        </w:rPr>
        <w:t>2007)</w:t>
      </w:r>
      <w:r w:rsidR="002A5E17" w:rsidRPr="00A81003">
        <w:rPr>
          <w:sz w:val="24"/>
          <w:szCs w:val="24"/>
        </w:rPr>
        <w:t xml:space="preserve">. </w:t>
      </w:r>
      <w:r w:rsidR="00C01611" w:rsidRPr="00A81003">
        <w:rPr>
          <w:sz w:val="24"/>
          <w:szCs w:val="24"/>
        </w:rPr>
        <w:t xml:space="preserve">This </w:t>
      </w:r>
      <w:r w:rsidRPr="00A81003">
        <w:rPr>
          <w:sz w:val="24"/>
          <w:szCs w:val="24"/>
        </w:rPr>
        <w:t>test</w:t>
      </w:r>
      <w:r w:rsidR="00311750" w:rsidRPr="00A81003">
        <w:rPr>
          <w:sz w:val="24"/>
          <w:szCs w:val="24"/>
        </w:rPr>
        <w:t>s</w:t>
      </w:r>
      <w:r w:rsidRPr="00A81003">
        <w:rPr>
          <w:sz w:val="24"/>
          <w:szCs w:val="24"/>
        </w:rPr>
        <w:t xml:space="preserve"> the null hypothesis that the </w:t>
      </w:r>
      <w:r w:rsidR="00311750" w:rsidRPr="00A81003">
        <w:rPr>
          <w:sz w:val="24"/>
          <w:szCs w:val="24"/>
        </w:rPr>
        <w:t xml:space="preserve">historical average </w:t>
      </w:r>
      <w:r w:rsidRPr="00A81003">
        <w:rPr>
          <w:sz w:val="24"/>
          <w:szCs w:val="24"/>
        </w:rPr>
        <w:t xml:space="preserve">MSFE is less than or equal to the </w:t>
      </w:r>
      <w:r w:rsidR="00311750" w:rsidRPr="00A81003">
        <w:rPr>
          <w:sz w:val="24"/>
          <w:szCs w:val="24"/>
        </w:rPr>
        <w:t xml:space="preserve">predictive regression </w:t>
      </w:r>
      <w:r w:rsidRPr="00A81003">
        <w:rPr>
          <w:sz w:val="24"/>
          <w:szCs w:val="24"/>
        </w:rPr>
        <w:t>MSFE</w:t>
      </w:r>
      <w:r w:rsidR="00C01611" w:rsidRPr="00A81003">
        <w:rPr>
          <w:sz w:val="24"/>
          <w:szCs w:val="24"/>
        </w:rPr>
        <w:t>,</w:t>
      </w:r>
      <w:r w:rsidRPr="00A81003">
        <w:rPr>
          <w:sz w:val="24"/>
          <w:szCs w:val="24"/>
        </w:rPr>
        <w:t xml:space="preserve"> against the alternative hypothesis that the </w:t>
      </w:r>
      <w:r w:rsidR="00311750" w:rsidRPr="00A81003">
        <w:rPr>
          <w:sz w:val="24"/>
          <w:szCs w:val="24"/>
        </w:rPr>
        <w:t xml:space="preserve">historical average </w:t>
      </w:r>
      <w:r w:rsidRPr="00A81003">
        <w:rPr>
          <w:sz w:val="24"/>
          <w:szCs w:val="24"/>
        </w:rPr>
        <w:t xml:space="preserve">MSFE is greater than the </w:t>
      </w:r>
      <w:r w:rsidR="00311750" w:rsidRPr="00A81003">
        <w:rPr>
          <w:sz w:val="24"/>
          <w:szCs w:val="24"/>
        </w:rPr>
        <w:t xml:space="preserve">predictive regression </w:t>
      </w:r>
      <w:r w:rsidRPr="00A81003">
        <w:rPr>
          <w:sz w:val="24"/>
          <w:szCs w:val="24"/>
        </w:rPr>
        <w:t>MSFE</w:t>
      </w:r>
      <w:r w:rsidR="005D1BCB" w:rsidRPr="00A81003">
        <w:rPr>
          <w:sz w:val="24"/>
          <w:szCs w:val="24"/>
        </w:rPr>
        <w:t xml:space="preserve"> or</w:t>
      </w:r>
      <w:r w:rsidR="00311750" w:rsidRPr="00A81003">
        <w:rPr>
          <w:sz w:val="24"/>
          <w:szCs w:val="24"/>
        </w:rPr>
        <w:t xml:space="preserve">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r>
          <w:rPr>
            <w:rFonts w:ascii="Cambria Math" w:hAnsi="Cambria Math"/>
            <w:sz w:val="24"/>
            <w:szCs w:val="24"/>
          </w:rPr>
          <m:t>≤0</m:t>
        </m:r>
      </m:oMath>
      <w:r w:rsidR="0059360A" w:rsidRPr="00A81003">
        <w:rPr>
          <w:sz w:val="24"/>
          <w:szCs w:val="24"/>
        </w:rPr>
        <w:t xml:space="preserve"> </w:t>
      </w:r>
      <w:r w:rsidR="00311750" w:rsidRPr="00A81003">
        <w:rPr>
          <w:sz w:val="24"/>
          <w:szCs w:val="24"/>
        </w:rPr>
        <w:t>against</w:t>
      </w:r>
      <w:r w:rsidR="0059360A" w:rsidRPr="00A81003">
        <w:rPr>
          <w:sz w:val="24"/>
          <w:szCs w:val="24"/>
        </w:rPr>
        <w:t xml:space="preserve">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A</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r>
          <w:rPr>
            <w:rFonts w:ascii="Cambria Math" w:hAnsi="Cambria Math"/>
            <w:sz w:val="24"/>
            <w:szCs w:val="24"/>
          </w:rPr>
          <m:t>&gt;0</m:t>
        </m:r>
      </m:oMath>
      <w:r w:rsidR="00F072E4" w:rsidRPr="00A81003">
        <w:rPr>
          <w:sz w:val="24"/>
          <w:szCs w:val="24"/>
        </w:rPr>
        <w:t>.</w:t>
      </w:r>
      <w:r w:rsidR="00C36E32">
        <w:rPr>
          <w:rStyle w:val="EndnoteReference"/>
          <w:sz w:val="24"/>
          <w:szCs w:val="24"/>
        </w:rPr>
        <w:endnoteReference w:id="2"/>
      </w:r>
      <w:r w:rsidR="002C0D05" w:rsidRPr="00A81003">
        <w:rPr>
          <w:sz w:val="24"/>
          <w:szCs w:val="24"/>
        </w:rPr>
        <w:t xml:space="preserve"> The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oMath>
      <w:r w:rsidR="0059360A" w:rsidRPr="00A81003">
        <w:rPr>
          <w:sz w:val="24"/>
          <w:szCs w:val="24"/>
        </w:rPr>
        <w:t xml:space="preserve"> </w:t>
      </w:r>
      <w:r w:rsidR="009105DD" w:rsidRPr="00A81003">
        <w:rPr>
          <w:rFonts w:ascii="AdvTimes" w:hAnsi="AdvTimes" w:cs="AdvTimes"/>
          <w:sz w:val="24"/>
          <w:szCs w:val="24"/>
        </w:rPr>
        <w:t>indicates</w:t>
      </w:r>
      <w:r w:rsidR="008A490A" w:rsidRPr="00A81003">
        <w:rPr>
          <w:rFonts w:ascii="AdvTimes" w:hAnsi="AdvTimes" w:cs="AdvTimes"/>
          <w:sz w:val="24"/>
          <w:szCs w:val="24"/>
        </w:rPr>
        <w:t xml:space="preserve"> </w:t>
      </w:r>
      <w:r w:rsidR="00042A4D">
        <w:rPr>
          <w:rFonts w:ascii="AdvTimes" w:hAnsi="AdvTimes" w:cs="AdvTimes"/>
          <w:sz w:val="24"/>
          <w:szCs w:val="24"/>
        </w:rPr>
        <w:t xml:space="preserve">the extent to which </w:t>
      </w:r>
      <w:r w:rsidR="008A490A" w:rsidRPr="00A81003">
        <w:rPr>
          <w:rFonts w:ascii="AdvTimes" w:hAnsi="AdvTimes" w:cs="AdvTimes"/>
          <w:sz w:val="24"/>
          <w:szCs w:val="24"/>
        </w:rPr>
        <w:t>a predictor would have been</w:t>
      </w:r>
      <w:r w:rsidR="009105DD" w:rsidRPr="00A81003">
        <w:rPr>
          <w:rFonts w:ascii="AdvTimes" w:hAnsi="AdvTimes" w:cs="AdvTimes"/>
          <w:sz w:val="24"/>
          <w:szCs w:val="24"/>
        </w:rPr>
        <w:t xml:space="preserve"> useful for</w:t>
      </w:r>
      <w:r w:rsidR="002C0D05" w:rsidRPr="00A81003">
        <w:rPr>
          <w:rFonts w:ascii="AdvTimes" w:hAnsi="AdvTimes" w:cs="AdvTimes"/>
          <w:sz w:val="24"/>
          <w:szCs w:val="24"/>
        </w:rPr>
        <w:t xml:space="preserve"> investors if used in </w:t>
      </w:r>
      <w:r w:rsidR="00042A4D">
        <w:rPr>
          <w:rFonts w:ascii="AdvTimes" w:hAnsi="AdvTimes" w:cs="AdvTimes"/>
          <w:sz w:val="24"/>
          <w:szCs w:val="24"/>
        </w:rPr>
        <w:t>‘</w:t>
      </w:r>
      <w:r w:rsidR="00042A4D" w:rsidRPr="00A81003">
        <w:rPr>
          <w:rFonts w:ascii="AdvTimes" w:hAnsi="AdvTimes" w:cs="AdvTimes"/>
          <w:sz w:val="24"/>
          <w:szCs w:val="24"/>
        </w:rPr>
        <w:t>real-time</w:t>
      </w:r>
      <w:r w:rsidR="00042A4D">
        <w:rPr>
          <w:rFonts w:ascii="AdvTimes" w:hAnsi="AdvTimes" w:cs="AdvTimes"/>
          <w:sz w:val="24"/>
          <w:szCs w:val="24"/>
        </w:rPr>
        <w:t>’</w:t>
      </w:r>
      <w:r w:rsidR="00B83407">
        <w:rPr>
          <w:rFonts w:ascii="AdvTimes" w:hAnsi="AdvTimes" w:cs="AdvTimes"/>
          <w:sz w:val="24"/>
          <w:szCs w:val="24"/>
        </w:rPr>
        <w:t xml:space="preserve"> </w:t>
      </w:r>
      <w:r w:rsidR="002C0D05" w:rsidRPr="00A81003">
        <w:rPr>
          <w:rFonts w:ascii="AdvTimes" w:hAnsi="AdvTimes" w:cs="AdvTimes"/>
          <w:sz w:val="24"/>
          <w:szCs w:val="24"/>
        </w:rPr>
        <w:t xml:space="preserve">over </w:t>
      </w:r>
      <w:r w:rsidR="009105DD" w:rsidRPr="00A81003">
        <w:rPr>
          <w:rFonts w:ascii="AdvTimes" w:hAnsi="AdvTimes" w:cs="AdvTimes"/>
          <w:sz w:val="24"/>
          <w:szCs w:val="24"/>
        </w:rPr>
        <w:t xml:space="preserve">certain </w:t>
      </w:r>
      <w:r w:rsidR="006446DB" w:rsidRPr="00A81003">
        <w:rPr>
          <w:rFonts w:ascii="AdvTimes" w:hAnsi="AdvTimes" w:cs="AdvTimes"/>
          <w:sz w:val="24"/>
          <w:szCs w:val="24"/>
        </w:rPr>
        <w:t xml:space="preserve">historical </w:t>
      </w:r>
      <w:r w:rsidR="009105DD" w:rsidRPr="00A81003">
        <w:rPr>
          <w:rFonts w:ascii="AdvTimes" w:hAnsi="AdvTimes" w:cs="AdvTimes"/>
          <w:sz w:val="24"/>
          <w:szCs w:val="24"/>
        </w:rPr>
        <w:t>periods</w:t>
      </w:r>
      <w:r w:rsidR="008F75F6" w:rsidRPr="00A81003">
        <w:rPr>
          <w:rFonts w:ascii="AdvTimes" w:hAnsi="AdvTimes" w:cs="AdvTimes"/>
          <w:sz w:val="24"/>
          <w:szCs w:val="24"/>
        </w:rPr>
        <w:t>.</w:t>
      </w:r>
    </w:p>
    <w:p w:rsidR="00B65738" w:rsidRPr="00AD4513" w:rsidRDefault="00A25043" w:rsidP="0029520B">
      <w:pPr>
        <w:pStyle w:val="Heading3"/>
        <w:numPr>
          <w:ilvl w:val="1"/>
          <w:numId w:val="1"/>
        </w:numPr>
        <w:adjustRightInd w:val="0"/>
        <w:snapToGrid w:val="0"/>
        <w:spacing w:line="480" w:lineRule="auto"/>
        <w:ind w:left="0" w:firstLine="720"/>
        <w:contextualSpacing w:val="0"/>
        <w:rPr>
          <w:b/>
        </w:rPr>
      </w:pPr>
      <w:r w:rsidRPr="00AD4513">
        <w:rPr>
          <w:b/>
        </w:rPr>
        <w:t xml:space="preserve">Asset </w:t>
      </w:r>
      <w:r w:rsidR="004C24A6" w:rsidRPr="00AD4513">
        <w:rPr>
          <w:b/>
        </w:rPr>
        <w:t>a</w:t>
      </w:r>
      <w:r w:rsidRPr="00AD4513">
        <w:rPr>
          <w:b/>
        </w:rPr>
        <w:t>llocation</w:t>
      </w:r>
    </w:p>
    <w:p w:rsidR="00207943" w:rsidRPr="00A81003" w:rsidRDefault="00C01611" w:rsidP="0029520B">
      <w:pPr>
        <w:adjustRightInd w:val="0"/>
        <w:snapToGrid w:val="0"/>
        <w:spacing w:line="480" w:lineRule="auto"/>
        <w:ind w:firstLine="720"/>
        <w:jc w:val="both"/>
        <w:rPr>
          <w:sz w:val="24"/>
          <w:szCs w:val="24"/>
        </w:rPr>
      </w:pPr>
      <w:r w:rsidRPr="00A81003">
        <w:rPr>
          <w:sz w:val="24"/>
          <w:szCs w:val="24"/>
        </w:rPr>
        <w:t>W</w:t>
      </w:r>
      <w:r w:rsidR="00D04D72" w:rsidRPr="00A81003">
        <w:rPr>
          <w:sz w:val="24"/>
          <w:szCs w:val="24"/>
        </w:rPr>
        <w:t xml:space="preserve">e </w:t>
      </w:r>
      <w:r w:rsidRPr="00A81003">
        <w:rPr>
          <w:sz w:val="24"/>
          <w:szCs w:val="24"/>
        </w:rPr>
        <w:t xml:space="preserve">then </w:t>
      </w:r>
      <w:r w:rsidR="00D04D72" w:rsidRPr="00A81003">
        <w:rPr>
          <w:sz w:val="24"/>
          <w:szCs w:val="24"/>
        </w:rPr>
        <w:t>use the</w:t>
      </w:r>
      <w:r w:rsidR="00EE76A9" w:rsidRPr="00A81003">
        <w:rPr>
          <w:sz w:val="24"/>
          <w:szCs w:val="24"/>
        </w:rPr>
        <w:t xml:space="preserve"> out-of-sample Bitcoin returns from the</w:t>
      </w:r>
      <w:r w:rsidR="00D04D72" w:rsidRPr="00A81003">
        <w:rPr>
          <w:sz w:val="24"/>
          <w:szCs w:val="24"/>
        </w:rPr>
        <w:t xml:space="preserve"> predictive regression</w:t>
      </w:r>
      <w:r w:rsidR="00EE76A9" w:rsidRPr="00A81003">
        <w:rPr>
          <w:sz w:val="24"/>
          <w:szCs w:val="24"/>
        </w:rPr>
        <w:t xml:space="preserve"> in Eq</w:t>
      </w:r>
      <w:r w:rsidR="00CB1A3A" w:rsidRPr="00A81003">
        <w:rPr>
          <w:sz w:val="24"/>
          <w:szCs w:val="24"/>
        </w:rPr>
        <w:t>uation</w:t>
      </w:r>
      <w:r w:rsidR="00EE76A9" w:rsidRPr="00A81003">
        <w:rPr>
          <w:sz w:val="24"/>
          <w:szCs w:val="24"/>
        </w:rPr>
        <w:t xml:space="preserve"> (1)</w:t>
      </w:r>
      <w:r w:rsidR="00D04D72" w:rsidRPr="00A81003">
        <w:rPr>
          <w:sz w:val="24"/>
          <w:szCs w:val="24"/>
        </w:rPr>
        <w:t xml:space="preserve"> with</w:t>
      </w:r>
      <w:r w:rsidR="00EE76A9" w:rsidRPr="00A81003">
        <w:rPr>
          <w:sz w:val="24"/>
          <w:szCs w:val="24"/>
        </w:rPr>
        <w:t xml:space="preserve">in the mean-variance framework </w:t>
      </w:r>
      <w:r w:rsidR="004953E6" w:rsidRPr="00A81003">
        <w:rPr>
          <w:sz w:val="24"/>
          <w:szCs w:val="24"/>
        </w:rPr>
        <w:t xml:space="preserve">(Campbell </w:t>
      </w:r>
      <w:r w:rsidR="00BE23C8" w:rsidRPr="00A81003">
        <w:rPr>
          <w:sz w:val="24"/>
          <w:szCs w:val="24"/>
        </w:rPr>
        <w:t>and</w:t>
      </w:r>
      <w:r w:rsidR="004953E6" w:rsidRPr="00A81003">
        <w:rPr>
          <w:sz w:val="24"/>
          <w:szCs w:val="24"/>
        </w:rPr>
        <w:t xml:space="preserve"> Thompson</w:t>
      </w:r>
      <w:r w:rsidR="00CB7296">
        <w:rPr>
          <w:sz w:val="24"/>
          <w:szCs w:val="24"/>
        </w:rPr>
        <w:t>,</w:t>
      </w:r>
      <w:r w:rsidR="004953E6" w:rsidRPr="00A81003">
        <w:rPr>
          <w:sz w:val="24"/>
          <w:szCs w:val="24"/>
        </w:rPr>
        <w:t xml:space="preserve"> 2008; Ferreira </w:t>
      </w:r>
      <w:r w:rsidR="00BE23C8" w:rsidRPr="00A81003">
        <w:rPr>
          <w:sz w:val="24"/>
          <w:szCs w:val="24"/>
        </w:rPr>
        <w:t>and</w:t>
      </w:r>
      <w:r w:rsidR="004953E6" w:rsidRPr="00A81003">
        <w:rPr>
          <w:sz w:val="24"/>
          <w:szCs w:val="24"/>
        </w:rPr>
        <w:t xml:space="preserve"> Santa-Clara</w:t>
      </w:r>
      <w:r w:rsidR="00CB7296">
        <w:rPr>
          <w:sz w:val="24"/>
          <w:szCs w:val="24"/>
        </w:rPr>
        <w:t>,</w:t>
      </w:r>
      <w:r w:rsidR="004953E6" w:rsidRPr="00A81003">
        <w:rPr>
          <w:sz w:val="24"/>
          <w:szCs w:val="24"/>
        </w:rPr>
        <w:t xml:space="preserve"> 2011; </w:t>
      </w:r>
      <w:proofErr w:type="spellStart"/>
      <w:r w:rsidR="00BE23C8" w:rsidRPr="00A81003">
        <w:rPr>
          <w:sz w:val="24"/>
          <w:szCs w:val="24"/>
        </w:rPr>
        <w:t>Rapach</w:t>
      </w:r>
      <w:proofErr w:type="spellEnd"/>
      <w:r w:rsidR="00D050FC" w:rsidRPr="00A81003">
        <w:rPr>
          <w:sz w:val="24"/>
          <w:szCs w:val="24"/>
        </w:rPr>
        <w:t xml:space="preserve"> </w:t>
      </w:r>
      <w:r w:rsidR="00750942">
        <w:rPr>
          <w:sz w:val="24"/>
          <w:szCs w:val="24"/>
        </w:rPr>
        <w:t>and Zhou</w:t>
      </w:r>
      <w:r w:rsidR="00782438" w:rsidRPr="00A81003">
        <w:rPr>
          <w:sz w:val="24"/>
          <w:szCs w:val="24"/>
        </w:rPr>
        <w:t>,</w:t>
      </w:r>
      <w:r w:rsidR="004953E6" w:rsidRPr="00A81003">
        <w:rPr>
          <w:sz w:val="24"/>
          <w:szCs w:val="24"/>
        </w:rPr>
        <w:t xml:space="preserve"> 2013)</w:t>
      </w:r>
      <w:r w:rsidR="00EE76A9" w:rsidRPr="00A81003">
        <w:rPr>
          <w:sz w:val="24"/>
          <w:szCs w:val="24"/>
        </w:rPr>
        <w:t xml:space="preserve"> to evaluate the economic value gained from employing each of th</w:t>
      </w:r>
      <w:r w:rsidR="00CB1A3A" w:rsidRPr="00A81003">
        <w:rPr>
          <w:sz w:val="24"/>
          <w:szCs w:val="24"/>
        </w:rPr>
        <w:t>e</w:t>
      </w:r>
      <w:r w:rsidR="00EE76A9" w:rsidRPr="00A81003">
        <w:rPr>
          <w:sz w:val="24"/>
          <w:szCs w:val="24"/>
        </w:rPr>
        <w:t xml:space="preserve"> predictor</w:t>
      </w:r>
      <w:r w:rsidR="00B073B3" w:rsidRPr="00A81003">
        <w:rPr>
          <w:sz w:val="24"/>
          <w:szCs w:val="24"/>
        </w:rPr>
        <w:t>s</w:t>
      </w:r>
      <w:r w:rsidR="007442F4" w:rsidRPr="00A81003">
        <w:rPr>
          <w:sz w:val="24"/>
          <w:szCs w:val="24"/>
        </w:rPr>
        <w:t xml:space="preserve">. </w:t>
      </w:r>
      <w:r w:rsidR="00FF7BDD" w:rsidRPr="00A81003">
        <w:rPr>
          <w:sz w:val="24"/>
          <w:szCs w:val="24"/>
        </w:rPr>
        <w:t xml:space="preserve">Profit- or utility-based metrics directly measure the value of forecasts to economic agents. </w:t>
      </w:r>
      <w:r w:rsidR="00CB1A3A" w:rsidRPr="00A81003">
        <w:rPr>
          <w:sz w:val="24"/>
          <w:szCs w:val="24"/>
        </w:rPr>
        <w:t>R</w:t>
      </w:r>
      <w:r w:rsidR="00FF7BDD" w:rsidRPr="00A81003">
        <w:rPr>
          <w:sz w:val="24"/>
          <w:szCs w:val="24"/>
        </w:rPr>
        <w:t xml:space="preserve">eturn forecasts </w:t>
      </w:r>
      <w:r w:rsidR="00CB1A3A" w:rsidRPr="00A81003">
        <w:rPr>
          <w:sz w:val="24"/>
          <w:szCs w:val="24"/>
        </w:rPr>
        <w:t xml:space="preserve">in this framework </w:t>
      </w:r>
      <w:r w:rsidR="00FF7BDD" w:rsidRPr="00A81003">
        <w:rPr>
          <w:sz w:val="24"/>
          <w:szCs w:val="24"/>
        </w:rPr>
        <w:t xml:space="preserve">are used as ad hoc </w:t>
      </w:r>
      <w:r w:rsidR="00FE4FB6" w:rsidRPr="00A81003">
        <w:rPr>
          <w:sz w:val="24"/>
          <w:szCs w:val="24"/>
        </w:rPr>
        <w:t>trading</w:t>
      </w:r>
      <w:r w:rsidR="00FF7BDD" w:rsidRPr="00A81003">
        <w:rPr>
          <w:sz w:val="24"/>
          <w:szCs w:val="24"/>
        </w:rPr>
        <w:t xml:space="preserve"> rules based on investors’ optimal utility decisions </w:t>
      </w:r>
      <w:r w:rsidR="00D050FC" w:rsidRPr="00A81003">
        <w:rPr>
          <w:sz w:val="24"/>
          <w:szCs w:val="24"/>
        </w:rPr>
        <w:t>(Leitch and Tanner</w:t>
      </w:r>
      <w:r w:rsidR="00CB7296">
        <w:rPr>
          <w:sz w:val="24"/>
          <w:szCs w:val="24"/>
        </w:rPr>
        <w:t>,</w:t>
      </w:r>
      <w:r w:rsidR="00D050FC" w:rsidRPr="00A81003">
        <w:rPr>
          <w:sz w:val="24"/>
          <w:szCs w:val="24"/>
        </w:rPr>
        <w:t xml:space="preserve"> </w:t>
      </w:r>
      <w:r w:rsidR="002C35B6">
        <w:rPr>
          <w:sz w:val="24"/>
          <w:szCs w:val="24"/>
        </w:rPr>
        <w:t>1991</w:t>
      </w:r>
      <w:r w:rsidR="00D050FC" w:rsidRPr="00A81003">
        <w:rPr>
          <w:sz w:val="24"/>
          <w:szCs w:val="24"/>
        </w:rPr>
        <w:t xml:space="preserve">; </w:t>
      </w:r>
      <w:proofErr w:type="spellStart"/>
      <w:r w:rsidR="00D050FC" w:rsidRPr="00A81003">
        <w:rPr>
          <w:sz w:val="24"/>
          <w:szCs w:val="24"/>
        </w:rPr>
        <w:t>Rapach</w:t>
      </w:r>
      <w:proofErr w:type="spellEnd"/>
      <w:r w:rsidR="00D050FC" w:rsidRPr="00A81003">
        <w:rPr>
          <w:sz w:val="24"/>
          <w:szCs w:val="24"/>
        </w:rPr>
        <w:t xml:space="preserve"> </w:t>
      </w:r>
      <w:r w:rsidR="00750942">
        <w:rPr>
          <w:sz w:val="24"/>
          <w:szCs w:val="24"/>
        </w:rPr>
        <w:t>and Zhou</w:t>
      </w:r>
      <w:r w:rsidR="00C75989">
        <w:rPr>
          <w:sz w:val="24"/>
          <w:szCs w:val="24"/>
        </w:rPr>
        <w:t>,</w:t>
      </w:r>
      <w:r w:rsidR="00D050FC" w:rsidRPr="00A81003">
        <w:rPr>
          <w:sz w:val="24"/>
          <w:szCs w:val="24"/>
        </w:rPr>
        <w:t xml:space="preserve"> </w:t>
      </w:r>
      <w:r w:rsidR="00D050FC" w:rsidRPr="00A81003">
        <w:rPr>
          <w:sz w:val="24"/>
          <w:szCs w:val="24"/>
        </w:rPr>
        <w:lastRenderedPageBreak/>
        <w:t>2013)</w:t>
      </w:r>
      <w:r w:rsidR="00FF7BDD" w:rsidRPr="00A81003">
        <w:rPr>
          <w:sz w:val="24"/>
          <w:szCs w:val="24"/>
        </w:rPr>
        <w:t xml:space="preserve">. </w:t>
      </w:r>
      <w:r w:rsidR="00670930" w:rsidRPr="00A81003">
        <w:rPr>
          <w:sz w:val="24"/>
          <w:szCs w:val="24"/>
        </w:rPr>
        <w:t>Specifically</w:t>
      </w:r>
      <w:r w:rsidRPr="00A81003">
        <w:rPr>
          <w:sz w:val="24"/>
          <w:szCs w:val="24"/>
        </w:rPr>
        <w:t>, we a</w:t>
      </w:r>
      <w:r w:rsidR="007442F4" w:rsidRPr="00A81003">
        <w:rPr>
          <w:sz w:val="24"/>
          <w:szCs w:val="24"/>
        </w:rPr>
        <w:t>ssume that</w:t>
      </w:r>
      <w:r w:rsidR="00E91726" w:rsidRPr="00A81003">
        <w:rPr>
          <w:sz w:val="24"/>
          <w:szCs w:val="24"/>
        </w:rPr>
        <w:t xml:space="preserve"> an investor is </w:t>
      </w:r>
      <w:r w:rsidR="007442F4" w:rsidRPr="00A81003">
        <w:rPr>
          <w:sz w:val="24"/>
          <w:szCs w:val="24"/>
        </w:rPr>
        <w:t>willing to allocate</w:t>
      </w:r>
      <w:r w:rsidR="00E91726" w:rsidRPr="00A81003">
        <w:rPr>
          <w:sz w:val="24"/>
          <w:szCs w:val="24"/>
        </w:rPr>
        <w:t xml:space="preserve"> all</w:t>
      </w:r>
      <w:r w:rsidR="00D04D72" w:rsidRPr="00A81003">
        <w:rPr>
          <w:sz w:val="24"/>
          <w:szCs w:val="24"/>
        </w:rPr>
        <w:t xml:space="preserve"> </w:t>
      </w:r>
      <w:r w:rsidR="000145BD" w:rsidRPr="00A81003">
        <w:rPr>
          <w:sz w:val="24"/>
          <w:szCs w:val="24"/>
        </w:rPr>
        <w:t xml:space="preserve">their </w:t>
      </w:r>
      <w:r w:rsidR="00D04D72" w:rsidRPr="00A81003">
        <w:rPr>
          <w:sz w:val="24"/>
          <w:szCs w:val="24"/>
        </w:rPr>
        <w:t>wealth between Bitcoin</w:t>
      </w:r>
      <w:r w:rsidR="007442F4" w:rsidRPr="00A81003">
        <w:rPr>
          <w:sz w:val="24"/>
          <w:szCs w:val="24"/>
        </w:rPr>
        <w:t xml:space="preserve"> and risk-free asset</w:t>
      </w:r>
      <w:r w:rsidR="0059360A" w:rsidRPr="00A81003">
        <w:rPr>
          <w:sz w:val="24"/>
          <w:szCs w:val="24"/>
        </w:rPr>
        <w:t>s</w:t>
      </w:r>
      <w:r w:rsidR="007442F4" w:rsidRPr="00A81003">
        <w:rPr>
          <w:sz w:val="24"/>
          <w:szCs w:val="24"/>
        </w:rPr>
        <w:t xml:space="preserve"> in the following manner</w:t>
      </w:r>
      <w:r w:rsidR="00670930" w:rsidRPr="00A81003">
        <w:rPr>
          <w:sz w:val="24"/>
          <w:szCs w:val="24"/>
        </w:rPr>
        <w:t>:</w:t>
      </w:r>
    </w:p>
    <w:p w:rsidR="00D04D72" w:rsidRPr="00A81003" w:rsidRDefault="00573234" w:rsidP="0029520B">
      <w:pPr>
        <w:adjustRightInd w:val="0"/>
        <w:snapToGrid w:val="0"/>
        <w:spacing w:line="480" w:lineRule="auto"/>
        <w:ind w:firstLine="720"/>
        <w:jc w:val="right"/>
        <w:rPr>
          <w:sz w:val="24"/>
          <w:szCs w:val="24"/>
        </w:rPr>
      </w:pP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t</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γ</m:t>
            </m:r>
          </m:den>
        </m:f>
        <m:f>
          <m:fPr>
            <m:ctrlPr>
              <w:rPr>
                <w:rFonts w:ascii="Cambria Math" w:hAnsi="Cambria Math"/>
                <w:i/>
                <w:sz w:val="24"/>
                <w:szCs w:val="24"/>
              </w:rPr>
            </m:ctrlPr>
          </m:fPr>
          <m:num>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RET</m:t>
                    </m:r>
                  </m:e>
                </m:acc>
              </m:e>
              <m:sub>
                <m:r>
                  <w:rPr>
                    <w:rFonts w:ascii="Cambria Math" w:hAnsi="Cambria Math"/>
                    <w:sz w:val="24"/>
                    <w:szCs w:val="24"/>
                  </w:rPr>
                  <m:t>t+1</m:t>
                </m:r>
              </m:sub>
            </m:sSub>
          </m:num>
          <m:den>
            <m:sSubSup>
              <m:sSubSupPr>
                <m:ctrlPr>
                  <w:rPr>
                    <w:rFonts w:ascii="Cambria Math" w:hAnsi="Cambria Math"/>
                    <w:i/>
                    <w:sz w:val="24"/>
                    <w:szCs w:val="24"/>
                  </w:rPr>
                </m:ctrlPr>
              </m:sSubSupPr>
              <m:e>
                <m:acc>
                  <m:accPr>
                    <m:ctrlPr>
                      <w:rPr>
                        <w:rFonts w:ascii="Cambria Math" w:hAnsi="Cambria Math"/>
                        <w:i/>
                        <w:sz w:val="24"/>
                        <w:szCs w:val="24"/>
                      </w:rPr>
                    </m:ctrlPr>
                  </m:accPr>
                  <m:e>
                    <m:r>
                      <w:rPr>
                        <w:rFonts w:ascii="Cambria Math" w:hAnsi="Cambria Math"/>
                        <w:sz w:val="24"/>
                        <w:szCs w:val="24"/>
                      </w:rPr>
                      <m:t>σ</m:t>
                    </m:r>
                  </m:e>
                </m:acc>
              </m:e>
              <m:sub>
                <m:r>
                  <w:rPr>
                    <w:rFonts w:ascii="Cambria Math" w:hAnsi="Cambria Math"/>
                    <w:sz w:val="24"/>
                    <w:szCs w:val="24"/>
                  </w:rPr>
                  <m:t>t+1</m:t>
                </m:r>
              </m:sub>
              <m:sup>
                <m:r>
                  <w:rPr>
                    <w:rFonts w:ascii="Cambria Math" w:hAnsi="Cambria Math"/>
                    <w:sz w:val="24"/>
                    <w:szCs w:val="24"/>
                  </w:rPr>
                  <m:t>2</m:t>
                </m:r>
              </m:sup>
            </m:sSubSup>
          </m:den>
        </m:f>
      </m:oMath>
      <w:r w:rsidR="00207943" w:rsidRPr="00A81003">
        <w:rPr>
          <w:sz w:val="24"/>
          <w:szCs w:val="24"/>
        </w:rPr>
        <w:t xml:space="preserve"> </w:t>
      </w:r>
      <w:r w:rsidR="00E56F32">
        <w:rPr>
          <w:sz w:val="24"/>
          <w:szCs w:val="24"/>
        </w:rPr>
        <w:t>,</w:t>
      </w:r>
      <w:r w:rsidR="00207943" w:rsidRPr="00A81003">
        <w:rPr>
          <w:sz w:val="24"/>
          <w:szCs w:val="24"/>
        </w:rPr>
        <w:t xml:space="preserve">                                                           </w:t>
      </w:r>
      <w:r w:rsidR="003A5B9B" w:rsidRPr="00A81003">
        <w:rPr>
          <w:sz w:val="24"/>
          <w:szCs w:val="24"/>
        </w:rPr>
        <w:t>(</w:t>
      </w:r>
      <w:r w:rsidR="00DE1026" w:rsidRPr="00A81003">
        <w:rPr>
          <w:sz w:val="24"/>
          <w:szCs w:val="24"/>
        </w:rPr>
        <w:t>4</w:t>
      </w:r>
      <w:r w:rsidR="003A5B9B" w:rsidRPr="00A81003">
        <w:rPr>
          <w:sz w:val="24"/>
          <w:szCs w:val="24"/>
        </w:rPr>
        <w:t>)</w:t>
      </w:r>
    </w:p>
    <w:p w:rsidR="00D56F1E" w:rsidRPr="00A81003" w:rsidRDefault="00AE5532" w:rsidP="0029520B">
      <w:pPr>
        <w:adjustRightInd w:val="0"/>
        <w:snapToGrid w:val="0"/>
        <w:spacing w:after="0" w:line="480" w:lineRule="auto"/>
        <w:jc w:val="both"/>
        <w:rPr>
          <w:sz w:val="24"/>
          <w:szCs w:val="24"/>
        </w:rPr>
      </w:pPr>
      <w:r w:rsidRPr="00A81003">
        <w:rPr>
          <w:sz w:val="24"/>
          <w:szCs w:val="24"/>
        </w:rPr>
        <w:t>w</w:t>
      </w:r>
      <w:r w:rsidR="00643A64" w:rsidRPr="00A81003">
        <w:rPr>
          <w:sz w:val="24"/>
          <w:szCs w:val="24"/>
        </w:rPr>
        <w:t>here</w:t>
      </w:r>
      <w:r w:rsidRPr="00A81003">
        <w:rPr>
          <w:sz w:val="24"/>
          <w:szCs w:val="24"/>
        </w:rPr>
        <w:t xml:space="preserve">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t</m:t>
            </m:r>
          </m:sub>
        </m:sSub>
      </m:oMath>
      <w:r w:rsidRPr="00A81003">
        <w:rPr>
          <w:sz w:val="24"/>
          <w:szCs w:val="24"/>
        </w:rPr>
        <w:t xml:space="preserve"> is</w:t>
      </w:r>
      <w:r w:rsidR="00B34A62" w:rsidRPr="00A81003">
        <w:rPr>
          <w:sz w:val="24"/>
          <w:szCs w:val="24"/>
        </w:rPr>
        <w:t xml:space="preserve"> </w:t>
      </w:r>
      <w:r w:rsidR="000B6A98" w:rsidRPr="00A81003">
        <w:rPr>
          <w:sz w:val="24"/>
          <w:szCs w:val="24"/>
        </w:rPr>
        <w:t xml:space="preserve">the share </w:t>
      </w:r>
      <w:r w:rsidR="00C01611" w:rsidRPr="00A81003">
        <w:rPr>
          <w:sz w:val="24"/>
          <w:szCs w:val="24"/>
        </w:rPr>
        <w:t xml:space="preserve">of Bitcoin </w:t>
      </w:r>
      <w:r w:rsidR="000145BD" w:rsidRPr="00A81003">
        <w:rPr>
          <w:sz w:val="24"/>
          <w:szCs w:val="24"/>
        </w:rPr>
        <w:t xml:space="preserve">that </w:t>
      </w:r>
      <w:r w:rsidR="000B6A98" w:rsidRPr="00A81003">
        <w:rPr>
          <w:sz w:val="24"/>
          <w:szCs w:val="24"/>
        </w:rPr>
        <w:t>a mean-variance investor</w:t>
      </w:r>
      <w:r w:rsidR="001C26E6" w:rsidRPr="00A81003">
        <w:rPr>
          <w:sz w:val="24"/>
          <w:szCs w:val="24"/>
        </w:rPr>
        <w:t xml:space="preserve"> would</w:t>
      </w:r>
      <w:r w:rsidR="000B6A98" w:rsidRPr="00A81003">
        <w:rPr>
          <w:sz w:val="24"/>
          <w:szCs w:val="24"/>
        </w:rPr>
        <w:t xml:space="preserve"> allocate</w:t>
      </w:r>
      <w:r w:rsidR="00C01611" w:rsidRPr="00A81003">
        <w:rPr>
          <w:sz w:val="24"/>
          <w:szCs w:val="24"/>
        </w:rPr>
        <w:t xml:space="preserve"> </w:t>
      </w:r>
      <w:r w:rsidR="005C0501" w:rsidRPr="00A81003">
        <w:rPr>
          <w:sz w:val="24"/>
          <w:szCs w:val="24"/>
        </w:rPr>
        <w:t xml:space="preserve">to </w:t>
      </w:r>
      <w:r w:rsidR="000145BD" w:rsidRPr="00A81003">
        <w:rPr>
          <w:sz w:val="24"/>
          <w:szCs w:val="24"/>
        </w:rPr>
        <w:t>their</w:t>
      </w:r>
      <w:r w:rsidR="000B6A98" w:rsidRPr="00A81003">
        <w:rPr>
          <w:sz w:val="24"/>
          <w:szCs w:val="24"/>
        </w:rPr>
        <w:t xml:space="preserve"> portfolio</w:t>
      </w:r>
      <w:r w:rsidR="00EE76A9" w:rsidRPr="00A81003">
        <w:rPr>
          <w:sz w:val="24"/>
          <w:szCs w:val="24"/>
        </w:rPr>
        <w:t xml:space="preserve"> during the subsequent </w:t>
      </w:r>
      <w:r w:rsidR="00F072E4" w:rsidRPr="00A81003">
        <w:rPr>
          <w:sz w:val="24"/>
          <w:szCs w:val="24"/>
        </w:rPr>
        <w:t>day</w:t>
      </w:r>
      <w:r w:rsidR="00EE76A9" w:rsidRPr="00A81003">
        <w:rPr>
          <w:sz w:val="24"/>
          <w:szCs w:val="24"/>
        </w:rPr>
        <w:t>,</w:t>
      </w:r>
      <m:oMath>
        <m:r>
          <w:rPr>
            <w:rFonts w:ascii="Cambria Math" w:hAnsi="Cambria Math"/>
            <w:sz w:val="24"/>
            <w:szCs w:val="24"/>
          </w:rPr>
          <m:t xml:space="preserve"> γ</m:t>
        </m:r>
      </m:oMath>
      <w:r w:rsidR="00E56F32" w:rsidRPr="00A81003">
        <w:rPr>
          <w:noProof/>
          <w:position w:val="-10"/>
          <w:sz w:val="24"/>
          <w:szCs w:val="24"/>
        </w:rPr>
        <w:t xml:space="preserve"> </w:t>
      </w:r>
      <w:r w:rsidR="003A5B9B" w:rsidRPr="00A81003">
        <w:rPr>
          <w:sz w:val="24"/>
          <w:szCs w:val="24"/>
        </w:rPr>
        <w:t>is the rela</w:t>
      </w:r>
      <w:r w:rsidR="00B073B3" w:rsidRPr="00A81003">
        <w:rPr>
          <w:sz w:val="24"/>
          <w:szCs w:val="24"/>
        </w:rPr>
        <w:t>tive risk</w:t>
      </w:r>
      <w:r w:rsidR="00670930" w:rsidRPr="00A81003">
        <w:rPr>
          <w:sz w:val="24"/>
          <w:szCs w:val="24"/>
        </w:rPr>
        <w:t>-</w:t>
      </w:r>
      <w:r w:rsidR="00B073B3" w:rsidRPr="00A81003">
        <w:rPr>
          <w:sz w:val="24"/>
          <w:szCs w:val="24"/>
        </w:rPr>
        <w:t>aversion coefficient,</w:t>
      </w:r>
      <m:oMath>
        <m:r>
          <w:rPr>
            <w:rFonts w:ascii="Cambria Math" w:hAnsi="Cambria Math"/>
            <w:sz w:val="24"/>
            <w:szCs w:val="24"/>
          </w:rPr>
          <m:t xml:space="preserve"> </m:t>
        </m:r>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RET</m:t>
                </m:r>
              </m:e>
            </m:acc>
          </m:e>
          <m:sub>
            <m:r>
              <w:rPr>
                <w:rFonts w:ascii="Cambria Math" w:hAnsi="Cambria Math"/>
                <w:sz w:val="24"/>
                <w:szCs w:val="24"/>
              </w:rPr>
              <m:t>t+1</m:t>
            </m:r>
          </m:sub>
        </m:sSub>
      </m:oMath>
      <w:r w:rsidR="00BC2672" w:rsidRPr="00A81003">
        <w:rPr>
          <w:sz w:val="24"/>
          <w:szCs w:val="24"/>
        </w:rPr>
        <w:t xml:space="preserve"> </w:t>
      </w:r>
      <w:r w:rsidR="001C26E6" w:rsidRPr="00A81003">
        <w:rPr>
          <w:sz w:val="24"/>
          <w:szCs w:val="24"/>
        </w:rPr>
        <w:t>is the out-of-sample</w:t>
      </w:r>
      <w:r w:rsidR="003A5B9B" w:rsidRPr="00A81003">
        <w:rPr>
          <w:sz w:val="24"/>
          <w:szCs w:val="24"/>
        </w:rPr>
        <w:t xml:space="preserve"> return from the predictive regression estimated in Eq</w:t>
      </w:r>
      <w:r w:rsidR="00670930" w:rsidRPr="00A81003">
        <w:rPr>
          <w:sz w:val="24"/>
          <w:szCs w:val="24"/>
        </w:rPr>
        <w:t xml:space="preserve">uation </w:t>
      </w:r>
      <w:r w:rsidR="003A5B9B" w:rsidRPr="00A81003">
        <w:rPr>
          <w:sz w:val="24"/>
          <w:szCs w:val="24"/>
        </w:rPr>
        <w:t>(</w:t>
      </w:r>
      <w:r w:rsidR="0059360A" w:rsidRPr="00A81003">
        <w:rPr>
          <w:sz w:val="24"/>
          <w:szCs w:val="24"/>
        </w:rPr>
        <w:t>2</w:t>
      </w:r>
      <w:r w:rsidR="003A5B9B" w:rsidRPr="00A81003">
        <w:rPr>
          <w:sz w:val="24"/>
          <w:szCs w:val="24"/>
        </w:rPr>
        <w:t>)</w:t>
      </w:r>
      <w:r w:rsidR="000145BD" w:rsidRPr="00A81003">
        <w:rPr>
          <w:sz w:val="24"/>
          <w:szCs w:val="24"/>
        </w:rPr>
        <w:t>,</w:t>
      </w:r>
      <w:r w:rsidR="003A5B9B" w:rsidRPr="00A81003">
        <w:rPr>
          <w:sz w:val="24"/>
          <w:szCs w:val="24"/>
        </w:rPr>
        <w:t xml:space="preserve"> and </w:t>
      </w:r>
      <m:oMath>
        <m:sSubSup>
          <m:sSubSupPr>
            <m:ctrlPr>
              <w:rPr>
                <w:rFonts w:ascii="Cambria Math" w:hAnsi="Cambria Math"/>
                <w:i/>
                <w:sz w:val="24"/>
                <w:szCs w:val="24"/>
              </w:rPr>
            </m:ctrlPr>
          </m:sSubSupPr>
          <m:e>
            <m:acc>
              <m:accPr>
                <m:ctrlPr>
                  <w:rPr>
                    <w:rFonts w:ascii="Cambria Math" w:hAnsi="Cambria Math"/>
                    <w:i/>
                    <w:sz w:val="24"/>
                    <w:szCs w:val="24"/>
                  </w:rPr>
                </m:ctrlPr>
              </m:accPr>
              <m:e>
                <m:r>
                  <w:rPr>
                    <w:rFonts w:ascii="Cambria Math" w:hAnsi="Cambria Math"/>
                    <w:sz w:val="24"/>
                    <w:szCs w:val="24"/>
                  </w:rPr>
                  <m:t>σ</m:t>
                </m:r>
              </m:e>
            </m:acc>
          </m:e>
          <m:sub>
            <m:r>
              <w:rPr>
                <w:rFonts w:ascii="Cambria Math" w:hAnsi="Cambria Math"/>
                <w:sz w:val="24"/>
                <w:szCs w:val="24"/>
              </w:rPr>
              <m:t>t+1</m:t>
            </m:r>
          </m:sub>
          <m:sup>
            <m:r>
              <w:rPr>
                <w:rFonts w:ascii="Cambria Math" w:hAnsi="Cambria Math"/>
                <w:sz w:val="24"/>
                <w:szCs w:val="24"/>
              </w:rPr>
              <m:t>2</m:t>
            </m:r>
          </m:sup>
        </m:sSubSup>
      </m:oMath>
      <w:r w:rsidR="001C26E6" w:rsidRPr="00A81003">
        <w:rPr>
          <w:sz w:val="24"/>
          <w:szCs w:val="24"/>
        </w:rPr>
        <w:t xml:space="preserve"> is the out-of-sample</w:t>
      </w:r>
      <w:r w:rsidR="003A5B9B" w:rsidRPr="00A81003">
        <w:rPr>
          <w:sz w:val="24"/>
          <w:szCs w:val="24"/>
        </w:rPr>
        <w:t xml:space="preserve"> return variance. Campbell and Thompson </w:t>
      </w:r>
      <w:r w:rsidR="00447CDD" w:rsidRPr="00A81003">
        <w:rPr>
          <w:sz w:val="24"/>
          <w:szCs w:val="24"/>
        </w:rPr>
        <w:t>(2008)</w:t>
      </w:r>
      <w:r w:rsidR="001C26E6" w:rsidRPr="00A81003">
        <w:rPr>
          <w:sz w:val="24"/>
          <w:szCs w:val="24"/>
        </w:rPr>
        <w:t xml:space="preserve"> </w:t>
      </w:r>
      <w:r w:rsidR="003A5B9B" w:rsidRPr="00A81003">
        <w:rPr>
          <w:sz w:val="24"/>
          <w:szCs w:val="24"/>
        </w:rPr>
        <w:t xml:space="preserve">suggest that a 120-day moving window </w:t>
      </w:r>
      <w:r w:rsidR="00C01611" w:rsidRPr="00A81003">
        <w:rPr>
          <w:sz w:val="24"/>
          <w:szCs w:val="24"/>
        </w:rPr>
        <w:t>is appropriate for</w:t>
      </w:r>
      <w:r w:rsidR="003A5B9B" w:rsidRPr="00A81003">
        <w:rPr>
          <w:sz w:val="24"/>
          <w:szCs w:val="24"/>
        </w:rPr>
        <w:t xml:space="preserve"> generating </w:t>
      </w:r>
      <w:r w:rsidR="00670930" w:rsidRPr="00A81003">
        <w:rPr>
          <w:sz w:val="24"/>
          <w:szCs w:val="24"/>
        </w:rPr>
        <w:t xml:space="preserve">a </w:t>
      </w:r>
      <w:r w:rsidR="003A5B9B" w:rsidRPr="00A81003">
        <w:rPr>
          <w:sz w:val="24"/>
          <w:szCs w:val="24"/>
        </w:rPr>
        <w:t xml:space="preserve">volatility forecast </w:t>
      </w:r>
      <w:r w:rsidR="00670930" w:rsidRPr="00A81003">
        <w:rPr>
          <w:sz w:val="24"/>
          <w:szCs w:val="24"/>
        </w:rPr>
        <w:t xml:space="preserve">for </w:t>
      </w:r>
      <w:r w:rsidR="003A5B9B" w:rsidRPr="00A81003">
        <w:rPr>
          <w:sz w:val="24"/>
          <w:szCs w:val="24"/>
        </w:rPr>
        <w:t xml:space="preserve">past returns. </w:t>
      </w:r>
      <w:r w:rsidR="00A4380D" w:rsidRPr="00A81003">
        <w:rPr>
          <w:sz w:val="24"/>
          <w:szCs w:val="24"/>
        </w:rPr>
        <w:t>T</w:t>
      </w:r>
      <w:r w:rsidR="003A5B9B" w:rsidRPr="00A81003">
        <w:rPr>
          <w:sz w:val="24"/>
          <w:szCs w:val="24"/>
        </w:rPr>
        <w:t>he</w:t>
      </w:r>
      <w:r w:rsidR="005C0501" w:rsidRPr="00A81003">
        <w:rPr>
          <w:sz w:val="24"/>
          <w:szCs w:val="24"/>
        </w:rPr>
        <w:t xml:space="preserve">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t</m:t>
            </m:r>
          </m:sub>
        </m:sSub>
      </m:oMath>
      <w:r w:rsidR="005C0501" w:rsidRPr="00A81003">
        <w:rPr>
          <w:sz w:val="24"/>
          <w:szCs w:val="24"/>
        </w:rPr>
        <w:t xml:space="preserve"> </w:t>
      </w:r>
      <w:r w:rsidR="002F4EA3" w:rsidRPr="00A81003">
        <w:rPr>
          <w:sz w:val="24"/>
          <w:szCs w:val="24"/>
        </w:rPr>
        <w:t>value is restricted</w:t>
      </w:r>
      <w:r w:rsidR="003A5B9B" w:rsidRPr="00A81003">
        <w:rPr>
          <w:sz w:val="24"/>
          <w:szCs w:val="24"/>
        </w:rPr>
        <w:t xml:space="preserve"> </w:t>
      </w:r>
      <w:r w:rsidR="002F4EA3" w:rsidRPr="00A81003">
        <w:rPr>
          <w:sz w:val="24"/>
          <w:szCs w:val="24"/>
        </w:rPr>
        <w:t xml:space="preserve">to </w:t>
      </w:r>
      <w:r w:rsidR="00670930" w:rsidRPr="00A81003">
        <w:rPr>
          <w:sz w:val="24"/>
          <w:szCs w:val="24"/>
        </w:rPr>
        <w:t xml:space="preserve">a </w:t>
      </w:r>
      <w:r w:rsidR="00C01611" w:rsidRPr="00A81003">
        <w:rPr>
          <w:sz w:val="24"/>
          <w:szCs w:val="24"/>
        </w:rPr>
        <w:t>range</w:t>
      </w:r>
      <w:r w:rsidR="003A5B9B" w:rsidRPr="00A81003">
        <w:rPr>
          <w:sz w:val="24"/>
          <w:szCs w:val="24"/>
        </w:rPr>
        <w:t xml:space="preserve"> </w:t>
      </w:r>
      <w:r w:rsidR="00670930" w:rsidRPr="00A81003">
        <w:rPr>
          <w:sz w:val="24"/>
          <w:szCs w:val="24"/>
        </w:rPr>
        <w:t xml:space="preserve">from </w:t>
      </w:r>
      <w:r w:rsidR="00A4380D" w:rsidRPr="00A81003">
        <w:rPr>
          <w:sz w:val="24"/>
          <w:szCs w:val="24"/>
        </w:rPr>
        <w:t>0.0</w:t>
      </w:r>
      <w:r w:rsidR="00670930" w:rsidRPr="00A81003">
        <w:rPr>
          <w:sz w:val="24"/>
          <w:szCs w:val="24"/>
        </w:rPr>
        <w:t xml:space="preserve"> to </w:t>
      </w:r>
      <w:r w:rsidR="003A5B9B" w:rsidRPr="00A81003">
        <w:rPr>
          <w:sz w:val="24"/>
          <w:szCs w:val="24"/>
        </w:rPr>
        <w:t>1.</w:t>
      </w:r>
      <w:r w:rsidR="00A4380D" w:rsidRPr="00A81003">
        <w:rPr>
          <w:sz w:val="24"/>
          <w:szCs w:val="24"/>
        </w:rPr>
        <w:t>0</w:t>
      </w:r>
      <w:r w:rsidR="005770B0" w:rsidRPr="00A81003">
        <w:rPr>
          <w:sz w:val="24"/>
          <w:szCs w:val="24"/>
        </w:rPr>
        <w:t>.</w:t>
      </w:r>
      <w:r w:rsidR="00762927">
        <w:rPr>
          <w:rStyle w:val="EndnoteReference"/>
          <w:sz w:val="24"/>
          <w:szCs w:val="24"/>
        </w:rPr>
        <w:endnoteReference w:id="3"/>
      </w:r>
      <w:r w:rsidR="003A5B9B" w:rsidRPr="00A81003">
        <w:rPr>
          <w:sz w:val="24"/>
          <w:szCs w:val="24"/>
        </w:rPr>
        <w:t xml:space="preserve"> </w:t>
      </w:r>
    </w:p>
    <w:p w:rsidR="00205885" w:rsidRPr="00A81003" w:rsidRDefault="00670930" w:rsidP="0029520B">
      <w:pPr>
        <w:adjustRightInd w:val="0"/>
        <w:snapToGrid w:val="0"/>
        <w:spacing w:after="0" w:line="480" w:lineRule="auto"/>
        <w:ind w:firstLine="720"/>
        <w:jc w:val="both"/>
        <w:rPr>
          <w:sz w:val="24"/>
          <w:szCs w:val="24"/>
        </w:rPr>
      </w:pPr>
      <w:r w:rsidRPr="00A81003">
        <w:rPr>
          <w:sz w:val="24"/>
          <w:szCs w:val="24"/>
        </w:rPr>
        <w:t xml:space="preserve">We </w:t>
      </w:r>
      <w:r w:rsidR="003E173F" w:rsidRPr="00A81003">
        <w:rPr>
          <w:sz w:val="24"/>
          <w:szCs w:val="24"/>
        </w:rPr>
        <w:t xml:space="preserve">assess the benefits </w:t>
      </w:r>
      <w:r w:rsidR="00C01611" w:rsidRPr="00A81003">
        <w:rPr>
          <w:sz w:val="24"/>
          <w:szCs w:val="24"/>
        </w:rPr>
        <w:t xml:space="preserve">of </w:t>
      </w:r>
      <w:r w:rsidR="003E173F" w:rsidRPr="00A81003">
        <w:rPr>
          <w:sz w:val="24"/>
          <w:szCs w:val="24"/>
        </w:rPr>
        <w:t xml:space="preserve">using </w:t>
      </w:r>
      <w:r w:rsidR="00C01611" w:rsidRPr="00A81003">
        <w:rPr>
          <w:sz w:val="24"/>
          <w:szCs w:val="24"/>
        </w:rPr>
        <w:t xml:space="preserve">predictive regression </w:t>
      </w:r>
      <w:r w:rsidR="003E173F" w:rsidRPr="00A81003">
        <w:rPr>
          <w:sz w:val="24"/>
          <w:szCs w:val="24"/>
        </w:rPr>
        <w:t>forecasts</w:t>
      </w:r>
      <w:r w:rsidR="00C01611" w:rsidRPr="00A81003">
        <w:rPr>
          <w:sz w:val="24"/>
          <w:szCs w:val="24"/>
        </w:rPr>
        <w:t xml:space="preserve"> </w:t>
      </w:r>
      <w:r w:rsidR="00F9311F" w:rsidRPr="00A81003">
        <w:rPr>
          <w:sz w:val="24"/>
          <w:szCs w:val="24"/>
        </w:rPr>
        <w:t>instead of</w:t>
      </w:r>
      <w:r w:rsidR="00981AAF" w:rsidRPr="00A81003">
        <w:rPr>
          <w:sz w:val="24"/>
          <w:szCs w:val="24"/>
        </w:rPr>
        <w:t xml:space="preserve"> </w:t>
      </w:r>
      <w:r w:rsidRPr="00A81003">
        <w:rPr>
          <w:sz w:val="24"/>
          <w:szCs w:val="24"/>
        </w:rPr>
        <w:t xml:space="preserve">the </w:t>
      </w:r>
      <w:r w:rsidR="00981AAF" w:rsidRPr="00A81003">
        <w:rPr>
          <w:sz w:val="24"/>
          <w:szCs w:val="24"/>
        </w:rPr>
        <w:t>respective</w:t>
      </w:r>
      <w:r w:rsidR="003E173F" w:rsidRPr="00A81003">
        <w:rPr>
          <w:sz w:val="24"/>
          <w:szCs w:val="24"/>
        </w:rPr>
        <w:t xml:space="preserve"> </w:t>
      </w:r>
      <w:r w:rsidR="00981AAF" w:rsidRPr="00A81003">
        <w:rPr>
          <w:sz w:val="24"/>
          <w:szCs w:val="24"/>
        </w:rPr>
        <w:t>benchmark mean</w:t>
      </w:r>
      <w:r w:rsidRPr="00A81003">
        <w:rPr>
          <w:sz w:val="24"/>
          <w:szCs w:val="24"/>
        </w:rPr>
        <w:t>-</w:t>
      </w:r>
      <w:r w:rsidR="00F9311F" w:rsidRPr="00A81003">
        <w:rPr>
          <w:sz w:val="24"/>
          <w:szCs w:val="24"/>
        </w:rPr>
        <w:t xml:space="preserve">excess return </w:t>
      </w:r>
      <w:r w:rsidR="003E173F" w:rsidRPr="00A81003">
        <w:rPr>
          <w:sz w:val="24"/>
          <w:szCs w:val="24"/>
        </w:rPr>
        <w:t>forecast</w:t>
      </w:r>
      <w:r w:rsidR="005C0501" w:rsidRPr="00A81003">
        <w:rPr>
          <w:sz w:val="24"/>
          <w:szCs w:val="24"/>
        </w:rPr>
        <w:t>s</w:t>
      </w:r>
      <w:r w:rsidRPr="00A81003">
        <w:rPr>
          <w:sz w:val="24"/>
          <w:szCs w:val="24"/>
        </w:rPr>
        <w:t xml:space="preserve"> by </w:t>
      </w:r>
      <w:r w:rsidR="003E173F" w:rsidRPr="00A81003">
        <w:rPr>
          <w:sz w:val="24"/>
          <w:szCs w:val="24"/>
        </w:rPr>
        <w:t>us</w:t>
      </w:r>
      <w:r w:rsidRPr="00A81003">
        <w:rPr>
          <w:sz w:val="24"/>
          <w:szCs w:val="24"/>
        </w:rPr>
        <w:t>ing</w:t>
      </w:r>
      <w:r w:rsidR="003E173F" w:rsidRPr="00A81003">
        <w:rPr>
          <w:sz w:val="24"/>
          <w:szCs w:val="24"/>
        </w:rPr>
        <w:t xml:space="preserve"> the certainty equivalent return (CER</w:t>
      </w:r>
      <w:r w:rsidR="00C01611" w:rsidRPr="00A81003">
        <w:rPr>
          <w:sz w:val="24"/>
          <w:szCs w:val="24"/>
        </w:rPr>
        <w:t>), defined</w:t>
      </w:r>
      <w:r w:rsidR="003A5B9B" w:rsidRPr="00A81003">
        <w:rPr>
          <w:sz w:val="24"/>
          <w:szCs w:val="24"/>
        </w:rPr>
        <w:t xml:space="preserve"> as the difference between the CER value obtained from using the predictive regression forecast for asset allocation and </w:t>
      </w:r>
      <w:r w:rsidR="00C01611" w:rsidRPr="00A81003">
        <w:rPr>
          <w:sz w:val="24"/>
          <w:szCs w:val="24"/>
        </w:rPr>
        <w:t>that</w:t>
      </w:r>
      <w:r w:rsidR="00981AAF" w:rsidRPr="00A81003">
        <w:rPr>
          <w:sz w:val="24"/>
          <w:szCs w:val="24"/>
        </w:rPr>
        <w:t xml:space="preserve"> obtained from the</w:t>
      </w:r>
      <w:r w:rsidR="003A5B9B" w:rsidRPr="00A81003">
        <w:rPr>
          <w:sz w:val="24"/>
          <w:szCs w:val="24"/>
        </w:rPr>
        <w:t xml:space="preserve"> benchmark mean forecast. The CER measure is </w:t>
      </w:r>
    </w:p>
    <w:p w:rsidR="00205885" w:rsidRPr="00A81003" w:rsidRDefault="00E56F32" w:rsidP="0029520B">
      <w:pPr>
        <w:adjustRightInd w:val="0"/>
        <w:snapToGrid w:val="0"/>
        <w:spacing w:line="480" w:lineRule="auto"/>
        <w:ind w:firstLine="720"/>
        <w:jc w:val="right"/>
        <w:rPr>
          <w:sz w:val="24"/>
          <w:szCs w:val="24"/>
        </w:rPr>
      </w:pPr>
      <m:oMath>
        <m:r>
          <w:rPr>
            <w:rFonts w:ascii="Cambria Math" w:hAnsi="Cambria Math"/>
            <w:sz w:val="24"/>
            <w:szCs w:val="24"/>
          </w:rPr>
          <m:t>CER=</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R</m:t>
                </m:r>
              </m:e>
            </m:acc>
          </m:e>
          <m:sub>
            <m:r>
              <w:rPr>
                <w:rFonts w:ascii="Cambria Math" w:hAnsi="Cambria Math"/>
                <w:sz w:val="24"/>
                <w:szCs w:val="24"/>
              </w:rPr>
              <m:t>P</m:t>
            </m:r>
          </m:sub>
        </m:sSub>
        <m:r>
          <w:rPr>
            <w:rFonts w:ascii="Cambria Math" w:hAnsi="Cambria Math"/>
            <w:sz w:val="24"/>
            <w:szCs w:val="24"/>
          </w:rPr>
          <m:t>-0.5γ</m:t>
        </m:r>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P</m:t>
            </m:r>
          </m:sub>
          <m:sup>
            <m:r>
              <w:rPr>
                <w:rFonts w:ascii="Cambria Math" w:hAnsi="Cambria Math"/>
                <w:sz w:val="24"/>
                <w:szCs w:val="24"/>
              </w:rPr>
              <m:t>2</m:t>
            </m:r>
          </m:sup>
        </m:sSubSup>
      </m:oMath>
      <w:r w:rsidR="00205885" w:rsidRPr="00A81003">
        <w:rPr>
          <w:sz w:val="24"/>
          <w:szCs w:val="24"/>
        </w:rPr>
        <w:t xml:space="preserve"> </w:t>
      </w:r>
      <w:r w:rsidR="000145BD" w:rsidRPr="00A81003">
        <w:rPr>
          <w:sz w:val="24"/>
          <w:szCs w:val="24"/>
        </w:rPr>
        <w:t>,</w:t>
      </w:r>
      <w:r w:rsidR="00205885" w:rsidRPr="00A81003">
        <w:rPr>
          <w:sz w:val="24"/>
          <w:szCs w:val="24"/>
        </w:rPr>
        <w:tab/>
      </w:r>
      <w:r w:rsidR="00207943" w:rsidRPr="00A81003">
        <w:rPr>
          <w:sz w:val="24"/>
          <w:szCs w:val="24"/>
        </w:rPr>
        <w:t xml:space="preserve">                                                        </w:t>
      </w:r>
      <w:r w:rsidR="00205885" w:rsidRPr="00A81003">
        <w:rPr>
          <w:sz w:val="24"/>
          <w:szCs w:val="24"/>
        </w:rPr>
        <w:t>(</w:t>
      </w:r>
      <w:r w:rsidR="00DE1026" w:rsidRPr="00A81003">
        <w:rPr>
          <w:sz w:val="24"/>
          <w:szCs w:val="24"/>
        </w:rPr>
        <w:t>5</w:t>
      </w:r>
      <w:r w:rsidR="00205885" w:rsidRPr="00A81003">
        <w:rPr>
          <w:sz w:val="24"/>
          <w:szCs w:val="24"/>
        </w:rPr>
        <w:t>)</w:t>
      </w:r>
    </w:p>
    <w:p w:rsidR="00DE1026" w:rsidRPr="00A81003" w:rsidRDefault="00205885" w:rsidP="0029520B">
      <w:pPr>
        <w:adjustRightInd w:val="0"/>
        <w:snapToGrid w:val="0"/>
        <w:spacing w:line="480" w:lineRule="auto"/>
        <w:jc w:val="both"/>
        <w:rPr>
          <w:sz w:val="24"/>
          <w:szCs w:val="24"/>
        </w:rPr>
      </w:pPr>
      <w:r w:rsidRPr="00A81003">
        <w:rPr>
          <w:sz w:val="24"/>
          <w:szCs w:val="24"/>
        </w:rPr>
        <w:t xml:space="preserve">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R</m:t>
                </m:r>
              </m:e>
            </m:acc>
          </m:e>
          <m:sub>
            <m:r>
              <w:rPr>
                <w:rFonts w:ascii="Cambria Math" w:hAnsi="Cambria Math"/>
                <w:sz w:val="24"/>
                <w:szCs w:val="24"/>
              </w:rPr>
              <m:t>P</m:t>
            </m:r>
          </m:sub>
        </m:sSub>
      </m:oMath>
      <w:r w:rsidRPr="00A81003">
        <w:rPr>
          <w:sz w:val="24"/>
          <w:szCs w:val="24"/>
        </w:rPr>
        <w:t xml:space="preserve"> and </w:t>
      </w:r>
      <m:oMath>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P</m:t>
            </m:r>
          </m:sub>
          <m:sup>
            <m:r>
              <w:rPr>
                <w:rFonts w:ascii="Cambria Math" w:hAnsi="Cambria Math"/>
                <w:sz w:val="24"/>
                <w:szCs w:val="24"/>
              </w:rPr>
              <m:t>2</m:t>
            </m:r>
          </m:sup>
        </m:sSubSup>
      </m:oMath>
      <w:r w:rsidRPr="00A81003">
        <w:rPr>
          <w:sz w:val="24"/>
          <w:szCs w:val="24"/>
        </w:rPr>
        <w:t xml:space="preserve"> are the mean and variance of the portfolio return over the forecast evaluation period</w:t>
      </w:r>
      <w:r w:rsidR="00843AC4" w:rsidRPr="00A81003">
        <w:rPr>
          <w:sz w:val="24"/>
          <w:szCs w:val="24"/>
        </w:rPr>
        <w:t>,</w:t>
      </w:r>
      <w:r w:rsidRPr="00A81003">
        <w:rPr>
          <w:sz w:val="24"/>
          <w:szCs w:val="24"/>
        </w:rPr>
        <w:t xml:space="preserve"> respectively.</w:t>
      </w:r>
      <w:r w:rsidR="00BA6211" w:rsidRPr="00A81003">
        <w:rPr>
          <w:sz w:val="24"/>
          <w:szCs w:val="24"/>
        </w:rPr>
        <w:t xml:space="preserve"> </w:t>
      </w:r>
      <w:r w:rsidR="006F6ED6" w:rsidRPr="00A81003">
        <w:rPr>
          <w:sz w:val="24"/>
          <w:szCs w:val="24"/>
        </w:rPr>
        <w:t xml:space="preserve">We </w:t>
      </w:r>
      <w:r w:rsidR="00670930" w:rsidRPr="00A81003">
        <w:rPr>
          <w:sz w:val="24"/>
          <w:szCs w:val="24"/>
        </w:rPr>
        <w:t xml:space="preserve">then </w:t>
      </w:r>
      <w:r w:rsidR="006F6ED6" w:rsidRPr="00A81003">
        <w:rPr>
          <w:sz w:val="24"/>
          <w:szCs w:val="24"/>
        </w:rPr>
        <w:t>annuali</w:t>
      </w:r>
      <w:r w:rsidR="008F75F6" w:rsidRPr="00A81003">
        <w:rPr>
          <w:sz w:val="24"/>
          <w:szCs w:val="24"/>
        </w:rPr>
        <w:t>s</w:t>
      </w:r>
      <w:r w:rsidR="006F6ED6" w:rsidRPr="00A81003">
        <w:rPr>
          <w:sz w:val="24"/>
          <w:szCs w:val="24"/>
        </w:rPr>
        <w:t>e the CER gain</w:t>
      </w:r>
      <w:r w:rsidR="00670930" w:rsidRPr="00A81003">
        <w:rPr>
          <w:sz w:val="24"/>
          <w:szCs w:val="24"/>
        </w:rPr>
        <w:t>,</w:t>
      </w:r>
      <w:r w:rsidR="006F6ED6" w:rsidRPr="00A81003">
        <w:rPr>
          <w:sz w:val="24"/>
          <w:szCs w:val="24"/>
        </w:rPr>
        <w:t xml:space="preserve"> </w:t>
      </w:r>
      <w:r w:rsidR="005C0501" w:rsidRPr="00A81003">
        <w:rPr>
          <w:sz w:val="24"/>
          <w:szCs w:val="24"/>
        </w:rPr>
        <w:t xml:space="preserve">which </w:t>
      </w:r>
      <w:r w:rsidR="00BA6211" w:rsidRPr="00A81003">
        <w:rPr>
          <w:sz w:val="24"/>
          <w:szCs w:val="24"/>
        </w:rPr>
        <w:t>can be interpreted as the fee</w:t>
      </w:r>
      <w:r w:rsidR="00DC09FE" w:rsidRPr="00A81003">
        <w:rPr>
          <w:sz w:val="24"/>
          <w:szCs w:val="24"/>
        </w:rPr>
        <w:t xml:space="preserve"> </w:t>
      </w:r>
      <w:r w:rsidR="00F97A74" w:rsidRPr="00A81003">
        <w:rPr>
          <w:sz w:val="24"/>
          <w:szCs w:val="24"/>
        </w:rPr>
        <w:t xml:space="preserve">that </w:t>
      </w:r>
      <w:r w:rsidR="00BA6211" w:rsidRPr="00A81003">
        <w:rPr>
          <w:sz w:val="24"/>
          <w:szCs w:val="24"/>
        </w:rPr>
        <w:t>investors would be willing to pay to obtain the forecast</w:t>
      </w:r>
      <w:r w:rsidR="00DC09FE" w:rsidRPr="00A81003">
        <w:rPr>
          <w:sz w:val="24"/>
          <w:szCs w:val="24"/>
        </w:rPr>
        <w:t xml:space="preserve"> </w:t>
      </w:r>
      <w:r w:rsidR="00BA6211" w:rsidRPr="00A81003">
        <w:rPr>
          <w:sz w:val="24"/>
          <w:szCs w:val="24"/>
        </w:rPr>
        <w:t>instead of using the historical average.</w:t>
      </w:r>
      <w:r w:rsidR="00C36E32">
        <w:rPr>
          <w:rStyle w:val="EndnoteReference"/>
          <w:sz w:val="24"/>
          <w:szCs w:val="24"/>
        </w:rPr>
        <w:endnoteReference w:id="4"/>
      </w:r>
      <w:r w:rsidR="006F6ED6" w:rsidRPr="00A81003">
        <w:rPr>
          <w:sz w:val="24"/>
          <w:szCs w:val="24"/>
        </w:rPr>
        <w:t xml:space="preserve"> This approach allow</w:t>
      </w:r>
      <w:r w:rsidR="000145BD" w:rsidRPr="00A81003">
        <w:rPr>
          <w:sz w:val="24"/>
          <w:szCs w:val="24"/>
        </w:rPr>
        <w:t>s</w:t>
      </w:r>
      <w:r w:rsidR="006F6ED6" w:rsidRPr="00A81003">
        <w:rPr>
          <w:sz w:val="24"/>
          <w:szCs w:val="24"/>
        </w:rPr>
        <w:t xml:space="preserve"> us to </w:t>
      </w:r>
      <w:r w:rsidR="00670930" w:rsidRPr="00A81003">
        <w:rPr>
          <w:sz w:val="24"/>
          <w:szCs w:val="24"/>
        </w:rPr>
        <w:t xml:space="preserve">directly </w:t>
      </w:r>
      <w:r w:rsidR="006F6ED6" w:rsidRPr="00A81003">
        <w:rPr>
          <w:sz w:val="24"/>
          <w:szCs w:val="24"/>
        </w:rPr>
        <w:t xml:space="preserve">measure the economic value of return predictability. </w:t>
      </w:r>
      <w:r w:rsidR="00042A4D">
        <w:rPr>
          <w:sz w:val="24"/>
          <w:szCs w:val="24"/>
        </w:rPr>
        <w:t>Additionally,</w:t>
      </w:r>
      <w:r w:rsidR="006F6ED6" w:rsidRPr="00A81003">
        <w:rPr>
          <w:sz w:val="24"/>
          <w:szCs w:val="24"/>
        </w:rPr>
        <w:t xml:space="preserve"> </w:t>
      </w:r>
      <w:r w:rsidR="00670930" w:rsidRPr="00A81003">
        <w:rPr>
          <w:sz w:val="24"/>
          <w:szCs w:val="24"/>
        </w:rPr>
        <w:t xml:space="preserve">we </w:t>
      </w:r>
      <w:r w:rsidR="006F6ED6" w:rsidRPr="00A81003">
        <w:rPr>
          <w:sz w:val="24"/>
          <w:szCs w:val="24"/>
        </w:rPr>
        <w:t>analy</w:t>
      </w:r>
      <w:r w:rsidR="00A84BDB" w:rsidRPr="00A81003">
        <w:rPr>
          <w:sz w:val="24"/>
          <w:szCs w:val="24"/>
        </w:rPr>
        <w:t>s</w:t>
      </w:r>
      <w:r w:rsidR="006F6ED6" w:rsidRPr="00A81003">
        <w:rPr>
          <w:sz w:val="24"/>
          <w:szCs w:val="24"/>
        </w:rPr>
        <w:t>e the economic value of return predictability at longer horizons</w:t>
      </w:r>
      <w:r w:rsidR="00670930" w:rsidRPr="00A81003">
        <w:rPr>
          <w:sz w:val="24"/>
          <w:szCs w:val="24"/>
        </w:rPr>
        <w:t xml:space="preserve"> by </w:t>
      </w:r>
      <w:r w:rsidR="006F6ED6" w:rsidRPr="00A81003">
        <w:rPr>
          <w:sz w:val="24"/>
          <w:szCs w:val="24"/>
        </w:rPr>
        <w:t>assum</w:t>
      </w:r>
      <w:r w:rsidR="00670930" w:rsidRPr="00A81003">
        <w:rPr>
          <w:sz w:val="24"/>
          <w:szCs w:val="24"/>
        </w:rPr>
        <w:t>ing</w:t>
      </w:r>
      <w:r w:rsidR="006F6ED6" w:rsidRPr="00A81003">
        <w:rPr>
          <w:sz w:val="24"/>
          <w:szCs w:val="24"/>
        </w:rPr>
        <w:t xml:space="preserve"> that the investor rebalances at the same frequency as the forecast horizon. For </w:t>
      </w:r>
      <w:r w:rsidR="006D76AF" w:rsidRPr="00A81003">
        <w:rPr>
          <w:sz w:val="24"/>
          <w:szCs w:val="24"/>
        </w:rPr>
        <w:t>the 28</w:t>
      </w:r>
      <w:r w:rsidR="00F97A74" w:rsidRPr="00A81003">
        <w:rPr>
          <w:sz w:val="24"/>
          <w:szCs w:val="24"/>
        </w:rPr>
        <w:t>-</w:t>
      </w:r>
      <w:r w:rsidR="006D76AF" w:rsidRPr="00A81003">
        <w:rPr>
          <w:sz w:val="24"/>
          <w:szCs w:val="24"/>
        </w:rPr>
        <w:t>day horizon</w:t>
      </w:r>
      <w:r w:rsidR="00670930" w:rsidRPr="00A81003">
        <w:rPr>
          <w:sz w:val="24"/>
          <w:szCs w:val="24"/>
        </w:rPr>
        <w:t xml:space="preserve">—or </w:t>
      </w:r>
      <w:r w:rsidR="006D76AF" w:rsidRPr="00A81003">
        <w:rPr>
          <w:sz w:val="24"/>
          <w:szCs w:val="24"/>
        </w:rPr>
        <w:t>at the end of the 28</w:t>
      </w:r>
      <w:r w:rsidR="00F97A74" w:rsidRPr="00A81003">
        <w:rPr>
          <w:sz w:val="24"/>
          <w:szCs w:val="24"/>
        </w:rPr>
        <w:t>-</w:t>
      </w:r>
      <w:r w:rsidR="006D76AF" w:rsidRPr="00A81003">
        <w:rPr>
          <w:sz w:val="24"/>
          <w:szCs w:val="24"/>
        </w:rPr>
        <w:t>day holding period</w:t>
      </w:r>
      <w:r w:rsidR="00670930" w:rsidRPr="00A81003">
        <w:rPr>
          <w:sz w:val="24"/>
          <w:szCs w:val="24"/>
        </w:rPr>
        <w:t>—</w:t>
      </w:r>
      <w:r w:rsidR="006D76AF" w:rsidRPr="00A81003">
        <w:rPr>
          <w:sz w:val="24"/>
          <w:szCs w:val="24"/>
        </w:rPr>
        <w:t xml:space="preserve">the investor </w:t>
      </w:r>
      <w:r w:rsidR="00F9311F" w:rsidRPr="00A81003">
        <w:rPr>
          <w:sz w:val="24"/>
          <w:szCs w:val="24"/>
        </w:rPr>
        <w:t>employ</w:t>
      </w:r>
      <w:r w:rsidR="00A84BDB" w:rsidRPr="00A81003">
        <w:rPr>
          <w:sz w:val="24"/>
          <w:szCs w:val="24"/>
        </w:rPr>
        <w:t>s</w:t>
      </w:r>
      <w:r w:rsidR="00F9311F" w:rsidRPr="00A81003">
        <w:rPr>
          <w:sz w:val="24"/>
          <w:szCs w:val="24"/>
        </w:rPr>
        <w:t xml:space="preserve"> </w:t>
      </w:r>
      <w:r w:rsidR="00DC7FB6" w:rsidRPr="00A81003">
        <w:rPr>
          <w:sz w:val="24"/>
          <w:szCs w:val="24"/>
        </w:rPr>
        <w:t>a</w:t>
      </w:r>
      <w:r w:rsidR="008F75F6" w:rsidRPr="00A81003">
        <w:rPr>
          <w:sz w:val="24"/>
          <w:szCs w:val="24"/>
        </w:rPr>
        <w:t xml:space="preserve"> </w:t>
      </w:r>
      <w:r w:rsidR="006D76AF" w:rsidRPr="00A81003">
        <w:rPr>
          <w:sz w:val="24"/>
          <w:szCs w:val="24"/>
        </w:rPr>
        <w:t>predictive regression or prevailing mean forecast of the excess return over the next 28</w:t>
      </w:r>
      <w:r w:rsidR="00F97A74" w:rsidRPr="00A81003">
        <w:rPr>
          <w:sz w:val="24"/>
          <w:szCs w:val="24"/>
        </w:rPr>
        <w:t>-</w:t>
      </w:r>
      <w:r w:rsidR="006D76AF" w:rsidRPr="00A81003">
        <w:rPr>
          <w:sz w:val="24"/>
          <w:szCs w:val="24"/>
        </w:rPr>
        <w:t>day holding period and allocation rule</w:t>
      </w:r>
      <w:r w:rsidR="00670930" w:rsidRPr="00A81003">
        <w:rPr>
          <w:sz w:val="24"/>
          <w:szCs w:val="24"/>
        </w:rPr>
        <w:t>,</w:t>
      </w:r>
      <w:r w:rsidR="006D76AF" w:rsidRPr="00A81003">
        <w:rPr>
          <w:sz w:val="24"/>
          <w:szCs w:val="24"/>
        </w:rPr>
        <w:t xml:space="preserve"> given by Eq</w:t>
      </w:r>
      <w:r w:rsidR="00670930" w:rsidRPr="00A81003">
        <w:rPr>
          <w:sz w:val="24"/>
          <w:szCs w:val="24"/>
        </w:rPr>
        <w:t>uation</w:t>
      </w:r>
      <w:r w:rsidR="006D76AF" w:rsidRPr="00A81003">
        <w:rPr>
          <w:sz w:val="24"/>
          <w:szCs w:val="24"/>
        </w:rPr>
        <w:t xml:space="preserve"> (</w:t>
      </w:r>
      <w:r w:rsidR="00A46A03" w:rsidRPr="00A81003">
        <w:rPr>
          <w:sz w:val="24"/>
          <w:szCs w:val="24"/>
        </w:rPr>
        <w:t>4</w:t>
      </w:r>
      <w:r w:rsidR="006D76AF" w:rsidRPr="00A81003">
        <w:rPr>
          <w:sz w:val="24"/>
          <w:szCs w:val="24"/>
        </w:rPr>
        <w:t>)</w:t>
      </w:r>
      <w:r w:rsidR="00670930" w:rsidRPr="00A81003">
        <w:rPr>
          <w:sz w:val="24"/>
          <w:szCs w:val="24"/>
        </w:rPr>
        <w:t>,</w:t>
      </w:r>
      <w:r w:rsidR="006D76AF" w:rsidRPr="00A81003">
        <w:rPr>
          <w:sz w:val="24"/>
          <w:szCs w:val="24"/>
        </w:rPr>
        <w:t xml:space="preserve"> to determine the Bitcoin weight for the next holding </w:t>
      </w:r>
      <w:r w:rsidR="006D76AF" w:rsidRPr="00A81003">
        <w:rPr>
          <w:sz w:val="24"/>
          <w:szCs w:val="24"/>
        </w:rPr>
        <w:lastRenderedPageBreak/>
        <w:t xml:space="preserve">period. </w:t>
      </w:r>
      <w:r w:rsidR="00DE1026" w:rsidRPr="00A81003">
        <w:rPr>
          <w:sz w:val="24"/>
          <w:szCs w:val="24"/>
        </w:rPr>
        <w:t xml:space="preserve">The forecast returns that serve as the input </w:t>
      </w:r>
      <w:r w:rsidR="00670930" w:rsidRPr="00A81003">
        <w:rPr>
          <w:sz w:val="24"/>
          <w:szCs w:val="24"/>
        </w:rPr>
        <w:t xml:space="preserve">for </w:t>
      </w:r>
      <w:r w:rsidR="00DE1026" w:rsidRPr="00A81003">
        <w:rPr>
          <w:sz w:val="24"/>
          <w:szCs w:val="24"/>
        </w:rPr>
        <w:t>Eq</w:t>
      </w:r>
      <w:r w:rsidR="00670930" w:rsidRPr="00A81003">
        <w:rPr>
          <w:sz w:val="24"/>
          <w:szCs w:val="24"/>
        </w:rPr>
        <w:t>uation</w:t>
      </w:r>
      <w:r w:rsidR="00D336E7" w:rsidRPr="00A81003">
        <w:rPr>
          <w:sz w:val="24"/>
          <w:szCs w:val="24"/>
        </w:rPr>
        <w:t xml:space="preserve"> </w:t>
      </w:r>
      <w:r w:rsidR="00DE1026" w:rsidRPr="00A81003">
        <w:rPr>
          <w:sz w:val="24"/>
          <w:szCs w:val="24"/>
        </w:rPr>
        <w:t xml:space="preserve">(3) are obtained from the predictive </w:t>
      </w:r>
      <w:r w:rsidR="00A46A03" w:rsidRPr="00A81003">
        <w:rPr>
          <w:sz w:val="24"/>
          <w:szCs w:val="24"/>
        </w:rPr>
        <w:t>regression</w:t>
      </w:r>
      <w:r w:rsidR="00DE1026" w:rsidRPr="00A81003">
        <w:rPr>
          <w:sz w:val="24"/>
          <w:szCs w:val="24"/>
        </w:rPr>
        <w:t xml:space="preserve"> as in Eq</w:t>
      </w:r>
      <w:r w:rsidR="00670930" w:rsidRPr="00A81003">
        <w:rPr>
          <w:sz w:val="24"/>
          <w:szCs w:val="24"/>
        </w:rPr>
        <w:t>uation</w:t>
      </w:r>
      <w:r w:rsidR="00A84BDB" w:rsidRPr="00A81003">
        <w:rPr>
          <w:sz w:val="24"/>
          <w:szCs w:val="24"/>
        </w:rPr>
        <w:t xml:space="preserve"> </w:t>
      </w:r>
      <w:r w:rsidR="00DE1026" w:rsidRPr="00A81003">
        <w:rPr>
          <w:sz w:val="24"/>
          <w:szCs w:val="24"/>
        </w:rPr>
        <w:t>(2). The prevailing mean forecast is the average excess return</w:t>
      </w:r>
      <w:r w:rsidR="00670930" w:rsidRPr="00A81003">
        <w:rPr>
          <w:sz w:val="24"/>
          <w:szCs w:val="24"/>
        </w:rPr>
        <w:t>s</w:t>
      </w:r>
      <w:r w:rsidR="00DE1026" w:rsidRPr="00A81003">
        <w:rPr>
          <w:sz w:val="24"/>
          <w:szCs w:val="24"/>
        </w:rPr>
        <w:t xml:space="preserve"> from the beginning of the sample through day </w:t>
      </w:r>
      <w:r w:rsidR="00DE1026" w:rsidRPr="00AD4513">
        <w:rPr>
          <w:i/>
          <w:sz w:val="24"/>
          <w:szCs w:val="24"/>
        </w:rPr>
        <w:t>t</w:t>
      </w:r>
      <w:r w:rsidR="00DE1026" w:rsidRPr="00A81003">
        <w:rPr>
          <w:sz w:val="24"/>
          <w:szCs w:val="24"/>
        </w:rPr>
        <w:t xml:space="preserve">. </w:t>
      </w:r>
      <w:r w:rsidR="006D76AF" w:rsidRPr="00A81003">
        <w:rPr>
          <w:sz w:val="24"/>
          <w:szCs w:val="24"/>
        </w:rPr>
        <w:t>The investor repeat</w:t>
      </w:r>
      <w:r w:rsidR="00F97A74" w:rsidRPr="00A81003">
        <w:rPr>
          <w:sz w:val="24"/>
          <w:szCs w:val="24"/>
        </w:rPr>
        <w:t>s</w:t>
      </w:r>
      <w:r w:rsidR="006D76AF" w:rsidRPr="00A81003">
        <w:rPr>
          <w:sz w:val="24"/>
          <w:szCs w:val="24"/>
        </w:rPr>
        <w:t xml:space="preserve"> this process at the end of each holding period and determines the new weight.</w:t>
      </w:r>
      <w:r w:rsidR="00DE1026" w:rsidRPr="00A81003">
        <w:rPr>
          <w:sz w:val="24"/>
          <w:szCs w:val="24"/>
        </w:rPr>
        <w:t xml:space="preserve"> The codes to implement in</w:t>
      </w:r>
      <w:r w:rsidR="00A84BDB" w:rsidRPr="00A81003">
        <w:rPr>
          <w:sz w:val="24"/>
          <w:szCs w:val="24"/>
        </w:rPr>
        <w:t>-</w:t>
      </w:r>
      <w:r w:rsidR="00DE1026" w:rsidRPr="00A81003">
        <w:rPr>
          <w:sz w:val="24"/>
          <w:szCs w:val="24"/>
        </w:rPr>
        <w:t xml:space="preserve">sample, </w:t>
      </w:r>
      <w:r w:rsidR="00D336E7" w:rsidRPr="00A81003">
        <w:rPr>
          <w:sz w:val="24"/>
          <w:szCs w:val="24"/>
        </w:rPr>
        <w:t>out-of-sample</w:t>
      </w:r>
      <w:r w:rsidR="00206076">
        <w:rPr>
          <w:sz w:val="24"/>
          <w:szCs w:val="24"/>
        </w:rPr>
        <w:t>,</w:t>
      </w:r>
      <w:r w:rsidR="00DE1026" w:rsidRPr="00A81003">
        <w:rPr>
          <w:sz w:val="24"/>
          <w:szCs w:val="24"/>
        </w:rPr>
        <w:t xml:space="preserve"> and asset allocation tests </w:t>
      </w:r>
      <w:r w:rsidR="00BB0CCF">
        <w:rPr>
          <w:sz w:val="24"/>
          <w:szCs w:val="24"/>
        </w:rPr>
        <w:t xml:space="preserve">are similar to those </w:t>
      </w:r>
      <w:r w:rsidR="00A84BDB" w:rsidRPr="00A81003">
        <w:rPr>
          <w:sz w:val="24"/>
          <w:szCs w:val="24"/>
        </w:rPr>
        <w:t xml:space="preserve">used </w:t>
      </w:r>
      <w:r w:rsidR="001A3E1C" w:rsidRPr="00A81003">
        <w:rPr>
          <w:sz w:val="24"/>
          <w:szCs w:val="24"/>
        </w:rPr>
        <w:t>in prior studies.</w:t>
      </w:r>
      <w:r w:rsidR="00C36E32">
        <w:rPr>
          <w:rStyle w:val="EndnoteReference"/>
          <w:sz w:val="24"/>
          <w:szCs w:val="24"/>
        </w:rPr>
        <w:endnoteReference w:id="5"/>
      </w:r>
    </w:p>
    <w:p w:rsidR="00AC2BA7" w:rsidRPr="00A81003" w:rsidRDefault="00AC2BA7" w:rsidP="0029520B">
      <w:pPr>
        <w:adjustRightInd w:val="0"/>
        <w:snapToGrid w:val="0"/>
        <w:spacing w:line="480" w:lineRule="auto"/>
        <w:jc w:val="both"/>
        <w:rPr>
          <w:sz w:val="24"/>
          <w:szCs w:val="24"/>
        </w:rPr>
      </w:pPr>
    </w:p>
    <w:p w:rsidR="003E173F" w:rsidRPr="00A81003" w:rsidRDefault="00AF5D0A" w:rsidP="0029520B">
      <w:pPr>
        <w:pStyle w:val="Heading1"/>
        <w:numPr>
          <w:ilvl w:val="0"/>
          <w:numId w:val="1"/>
        </w:numPr>
        <w:adjustRightInd w:val="0"/>
        <w:snapToGrid w:val="0"/>
        <w:spacing w:line="480" w:lineRule="auto"/>
        <w:ind w:left="0" w:firstLine="720"/>
        <w:contextualSpacing w:val="0"/>
        <w:rPr>
          <w:szCs w:val="24"/>
        </w:rPr>
      </w:pPr>
      <w:r w:rsidRPr="00A81003">
        <w:rPr>
          <w:szCs w:val="24"/>
        </w:rPr>
        <w:t xml:space="preserve">Empirical </w:t>
      </w:r>
      <w:r w:rsidR="004C24A6" w:rsidRPr="00A81003">
        <w:rPr>
          <w:szCs w:val="24"/>
        </w:rPr>
        <w:t>r</w:t>
      </w:r>
      <w:r w:rsidR="00415150" w:rsidRPr="00A81003">
        <w:rPr>
          <w:szCs w:val="24"/>
        </w:rPr>
        <w:t xml:space="preserve">esults </w:t>
      </w:r>
    </w:p>
    <w:p w:rsidR="00C65C1D" w:rsidRPr="00A81003" w:rsidRDefault="00C65C1D" w:rsidP="0029520B">
      <w:pPr>
        <w:adjustRightInd w:val="0"/>
        <w:snapToGrid w:val="0"/>
        <w:spacing w:line="480" w:lineRule="auto"/>
        <w:ind w:firstLine="720"/>
        <w:jc w:val="both"/>
        <w:rPr>
          <w:sz w:val="24"/>
          <w:szCs w:val="24"/>
        </w:rPr>
      </w:pPr>
    </w:p>
    <w:p w:rsidR="005E3CD1" w:rsidRPr="00A81003" w:rsidRDefault="005E3CD1" w:rsidP="005E3CD1">
      <w:pPr>
        <w:adjustRightInd w:val="0"/>
        <w:snapToGrid w:val="0"/>
        <w:spacing w:line="480" w:lineRule="auto"/>
        <w:ind w:firstLine="720"/>
        <w:jc w:val="both"/>
        <w:rPr>
          <w:sz w:val="24"/>
          <w:szCs w:val="24"/>
        </w:rPr>
      </w:pPr>
      <w:r>
        <w:rPr>
          <w:sz w:val="24"/>
          <w:szCs w:val="24"/>
        </w:rPr>
        <w:t>Table 2 provides t</w:t>
      </w:r>
      <w:r w:rsidRPr="00A81003">
        <w:rPr>
          <w:sz w:val="24"/>
          <w:szCs w:val="24"/>
        </w:rPr>
        <w:t>he summary statistics of the Bitcoin returns (</w:t>
      </w:r>
      <w:r w:rsidR="00573234">
        <w:rPr>
          <w:position w:val="-1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6.5pt">
            <v:imagedata r:id="rId9" o:title=""/>
          </v:shape>
        </w:pict>
      </w:r>
      <w:r w:rsidRPr="00A81003">
        <w:rPr>
          <w:sz w:val="24"/>
          <w:szCs w:val="24"/>
        </w:rPr>
        <w:t>) and predictors of interest. The daily returns for Bitcoin have a mean of 0.38%, a median of 0.22%</w:t>
      </w:r>
      <w:r w:rsidR="00206076">
        <w:rPr>
          <w:sz w:val="24"/>
          <w:szCs w:val="24"/>
        </w:rPr>
        <w:t>,</w:t>
      </w:r>
      <w:r w:rsidRPr="00A81003">
        <w:rPr>
          <w:sz w:val="24"/>
          <w:szCs w:val="24"/>
        </w:rPr>
        <w:t xml:space="preserve"> and a standard deviation of 4.69%. The high standard deviation</w:t>
      </w:r>
      <w:r w:rsidR="00EB6392" w:rsidRPr="00EB6392">
        <w:rPr>
          <w:sz w:val="24"/>
          <w:szCs w:val="24"/>
        </w:rPr>
        <w:t xml:space="preserve"> </w:t>
      </w:r>
      <w:r w:rsidR="00EB6392" w:rsidRPr="00A81003">
        <w:rPr>
          <w:sz w:val="24"/>
          <w:szCs w:val="24"/>
        </w:rPr>
        <w:t>associated with Bitcoin returns</w:t>
      </w:r>
      <w:r w:rsidRPr="00A81003">
        <w:rPr>
          <w:sz w:val="24"/>
          <w:szCs w:val="24"/>
        </w:rPr>
        <w:t xml:space="preserve">, </w:t>
      </w:r>
      <w:r>
        <w:rPr>
          <w:sz w:val="24"/>
          <w:szCs w:val="24"/>
        </w:rPr>
        <w:t xml:space="preserve">which implies substantial </w:t>
      </w:r>
      <w:r w:rsidRPr="00A81003">
        <w:rPr>
          <w:sz w:val="24"/>
          <w:szCs w:val="24"/>
        </w:rPr>
        <w:t>fluctuations in Bitcoin prices, is consistent with prior studies (Cheah and Fry, 201</w:t>
      </w:r>
      <w:r>
        <w:rPr>
          <w:sz w:val="24"/>
          <w:szCs w:val="24"/>
        </w:rPr>
        <w:t>5</w:t>
      </w:r>
      <w:r w:rsidRPr="00A81003">
        <w:rPr>
          <w:sz w:val="24"/>
          <w:szCs w:val="24"/>
        </w:rPr>
        <w:t xml:space="preserve">; Fry and Cheah, 2016; </w:t>
      </w:r>
      <w:proofErr w:type="spellStart"/>
      <w:r w:rsidRPr="00A81003">
        <w:rPr>
          <w:sz w:val="24"/>
          <w:szCs w:val="24"/>
        </w:rPr>
        <w:t>Katsiampa</w:t>
      </w:r>
      <w:proofErr w:type="spellEnd"/>
      <w:r w:rsidRPr="00A81003">
        <w:rPr>
          <w:sz w:val="24"/>
          <w:szCs w:val="24"/>
        </w:rPr>
        <w:t>, 2017).</w:t>
      </w:r>
    </w:p>
    <w:p w:rsidR="00207943" w:rsidRPr="00A81003" w:rsidRDefault="005E3CD1" w:rsidP="005E3CD1">
      <w:pPr>
        <w:adjustRightInd w:val="0"/>
        <w:snapToGrid w:val="0"/>
        <w:spacing w:line="480" w:lineRule="auto"/>
        <w:ind w:firstLine="720"/>
        <w:jc w:val="center"/>
        <w:rPr>
          <w:sz w:val="24"/>
          <w:szCs w:val="24"/>
        </w:rPr>
      </w:pPr>
      <w:r w:rsidRPr="00A81003">
        <w:rPr>
          <w:sz w:val="24"/>
          <w:szCs w:val="24"/>
        </w:rPr>
        <w:t xml:space="preserve"> </w:t>
      </w:r>
      <w:r w:rsidR="00922A58" w:rsidRPr="00A81003">
        <w:rPr>
          <w:sz w:val="24"/>
          <w:szCs w:val="24"/>
        </w:rPr>
        <w:t>[Insert Table 2</w:t>
      </w:r>
      <w:r w:rsidR="0040205D" w:rsidRPr="00A81003">
        <w:rPr>
          <w:sz w:val="24"/>
          <w:szCs w:val="24"/>
        </w:rPr>
        <w:t xml:space="preserve"> here</w:t>
      </w:r>
      <w:r w:rsidR="00922A58" w:rsidRPr="00A81003">
        <w:rPr>
          <w:sz w:val="24"/>
          <w:szCs w:val="24"/>
        </w:rPr>
        <w:t>]</w:t>
      </w:r>
    </w:p>
    <w:p w:rsidR="000E1FB9" w:rsidRPr="00AD4513" w:rsidRDefault="00415150" w:rsidP="0029520B">
      <w:pPr>
        <w:pStyle w:val="Heading3"/>
        <w:numPr>
          <w:ilvl w:val="1"/>
          <w:numId w:val="1"/>
        </w:numPr>
        <w:adjustRightInd w:val="0"/>
        <w:snapToGrid w:val="0"/>
        <w:spacing w:line="480" w:lineRule="auto"/>
        <w:ind w:left="0" w:firstLine="720"/>
        <w:contextualSpacing w:val="0"/>
        <w:rPr>
          <w:b/>
        </w:rPr>
      </w:pPr>
      <w:r w:rsidRPr="00AD4513">
        <w:rPr>
          <w:b/>
        </w:rPr>
        <w:t xml:space="preserve">In-sample </w:t>
      </w:r>
      <w:r w:rsidR="00AF5D0A" w:rsidRPr="00AD4513">
        <w:rPr>
          <w:b/>
        </w:rPr>
        <w:t>predictability</w:t>
      </w:r>
    </w:p>
    <w:p w:rsidR="00B00AF7" w:rsidRPr="00A81003" w:rsidRDefault="005E3CD1" w:rsidP="00E56F32">
      <w:pPr>
        <w:adjustRightInd w:val="0"/>
        <w:snapToGrid w:val="0"/>
        <w:spacing w:line="480" w:lineRule="auto"/>
        <w:ind w:firstLine="720"/>
        <w:jc w:val="both"/>
        <w:rPr>
          <w:sz w:val="24"/>
          <w:szCs w:val="24"/>
        </w:rPr>
      </w:pPr>
      <w:r>
        <w:rPr>
          <w:sz w:val="24"/>
          <w:szCs w:val="24"/>
        </w:rPr>
        <w:t>Table 3 presents t</w:t>
      </w:r>
      <w:r w:rsidRPr="00A81003">
        <w:rPr>
          <w:sz w:val="24"/>
          <w:szCs w:val="24"/>
        </w:rPr>
        <w:t xml:space="preserve">he results from the in-sample test using the predictive </w:t>
      </w:r>
      <w:r>
        <w:rPr>
          <w:sz w:val="24"/>
          <w:szCs w:val="24"/>
        </w:rPr>
        <w:t>OLS</w:t>
      </w:r>
      <w:r w:rsidRPr="00A81003">
        <w:rPr>
          <w:sz w:val="24"/>
          <w:szCs w:val="24"/>
        </w:rPr>
        <w:t xml:space="preserve"> regression in Eq</w:t>
      </w:r>
      <w:r>
        <w:rPr>
          <w:sz w:val="24"/>
          <w:szCs w:val="24"/>
        </w:rPr>
        <w:t xml:space="preserve">uation </w:t>
      </w:r>
      <w:r w:rsidRPr="00A81003">
        <w:rPr>
          <w:sz w:val="24"/>
          <w:szCs w:val="24"/>
        </w:rPr>
        <w:t xml:space="preserve">(1) across various time horizons. </w:t>
      </w:r>
      <w:r>
        <w:rPr>
          <w:sz w:val="24"/>
          <w:szCs w:val="24"/>
        </w:rPr>
        <w:t>We</w:t>
      </w:r>
      <w:r w:rsidRPr="00A81003">
        <w:rPr>
          <w:sz w:val="24"/>
          <w:szCs w:val="24"/>
        </w:rPr>
        <w:t xml:space="preserve"> ensure that we only select those predictors with strong in-sample evidence </w:t>
      </w:r>
      <w:r>
        <w:rPr>
          <w:sz w:val="24"/>
          <w:szCs w:val="24"/>
        </w:rPr>
        <w:t>by</w:t>
      </w:r>
      <w:r w:rsidRPr="00A81003">
        <w:rPr>
          <w:sz w:val="24"/>
          <w:szCs w:val="24"/>
        </w:rPr>
        <w:t xml:space="preserve"> set</w:t>
      </w:r>
      <w:r>
        <w:rPr>
          <w:sz w:val="24"/>
          <w:szCs w:val="24"/>
        </w:rPr>
        <w:t>ting</w:t>
      </w:r>
      <w:r w:rsidRPr="00A81003">
        <w:rPr>
          <w:sz w:val="24"/>
          <w:szCs w:val="24"/>
        </w:rPr>
        <w:t xml:space="preserve"> a benchmark </w:t>
      </w:r>
      <w:r w:rsidR="00CD7441">
        <w:rPr>
          <w:sz w:val="24"/>
          <w:szCs w:val="24"/>
        </w:rPr>
        <w:t xml:space="preserve">with two </w:t>
      </w:r>
      <w:r w:rsidR="00AD7DCA" w:rsidRPr="00AD7DCA">
        <w:rPr>
          <w:sz w:val="24"/>
          <w:szCs w:val="24"/>
        </w:rPr>
        <w:t>criteria</w:t>
      </w:r>
      <w:r w:rsidR="00CD7441">
        <w:rPr>
          <w:sz w:val="24"/>
          <w:szCs w:val="24"/>
        </w:rPr>
        <w:t>. First</w:t>
      </w:r>
      <w:r w:rsidR="00856519">
        <w:rPr>
          <w:sz w:val="24"/>
          <w:szCs w:val="24"/>
        </w:rPr>
        <w:t>,</w:t>
      </w:r>
      <w:r w:rsidR="00CD7441">
        <w:rPr>
          <w:sz w:val="24"/>
          <w:szCs w:val="24"/>
        </w:rPr>
        <w:t xml:space="preserve"> the estimated coefficient of the predictor</w:t>
      </w:r>
      <w:r w:rsidR="00AD7DCA">
        <w:rPr>
          <w:sz w:val="24"/>
          <w:szCs w:val="24"/>
        </w:rPr>
        <w:t>(</w:t>
      </w:r>
      <w:r w:rsidR="00CD7441">
        <w:rPr>
          <w:sz w:val="24"/>
          <w:szCs w:val="24"/>
        </w:rPr>
        <w:t>s</w:t>
      </w:r>
      <w:r w:rsidR="00AD7DCA">
        <w:rPr>
          <w:sz w:val="24"/>
          <w:szCs w:val="24"/>
        </w:rPr>
        <w:t>)</w:t>
      </w:r>
      <w:r w:rsidR="00CD7441" w:rsidRPr="00A81003">
        <w:rPr>
          <w:sz w:val="24"/>
          <w:szCs w:val="24"/>
        </w:rPr>
        <w:t xml:space="preserve"> </w:t>
      </w:r>
      <w:r w:rsidRPr="00A81003">
        <w:rPr>
          <w:sz w:val="24"/>
          <w:szCs w:val="24"/>
        </w:rPr>
        <w:t>must be statistically significant</w:t>
      </w:r>
      <w:r w:rsidR="00AD7DCA">
        <w:rPr>
          <w:sz w:val="24"/>
          <w:szCs w:val="24"/>
        </w:rPr>
        <w:t>.</w:t>
      </w:r>
      <w:r w:rsidR="000E54DE" w:rsidRPr="00A81003">
        <w:rPr>
          <w:sz w:val="24"/>
          <w:szCs w:val="24"/>
        </w:rPr>
        <w:t xml:space="preserve"> </w:t>
      </w:r>
      <w:r w:rsidR="000E54DE">
        <w:rPr>
          <w:sz w:val="24"/>
          <w:szCs w:val="24"/>
        </w:rPr>
        <w:t>Second</w:t>
      </w:r>
      <w:r w:rsidR="00856519">
        <w:rPr>
          <w:sz w:val="24"/>
          <w:szCs w:val="24"/>
        </w:rPr>
        <w:t>,</w:t>
      </w:r>
      <w:r w:rsidR="000E54DE">
        <w:rPr>
          <w:sz w:val="24"/>
          <w:szCs w:val="24"/>
        </w:rPr>
        <w:t xml:space="preserve"> the</w:t>
      </w:r>
      <w:r w:rsidR="000E54DE" w:rsidRPr="00A81003">
        <w:rPr>
          <w:sz w:val="24"/>
          <w:szCs w:val="24"/>
        </w:rPr>
        <w:t xml:space="preserve"> </w:t>
      </w:r>
      <w:r w:rsidRPr="00A81003">
        <w:rPr>
          <w:sz w:val="24"/>
          <w:szCs w:val="24"/>
        </w:rPr>
        <w:t>in-sample,</w:t>
      </w:r>
      <w:r w:rsidR="000E54DE" w:rsidRPr="000E54DE">
        <w:rPr>
          <w:sz w:val="24"/>
          <w:szCs w:val="24"/>
        </w:rPr>
        <w:t xml:space="preserve"> </w:t>
      </w:r>
      <w:r w:rsidR="008911BC" w:rsidRPr="00A81003">
        <w:rPr>
          <w:noProof/>
          <w:position w:val="-4"/>
          <w:sz w:val="24"/>
          <w:szCs w:val="24"/>
        </w:rPr>
        <w:drawing>
          <wp:inline distT="0" distB="0" distL="0" distR="0">
            <wp:extent cx="180975" cy="200025"/>
            <wp:effectExtent l="0" t="0" r="0" b="0"/>
            <wp:docPr id="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rsidR="000E54DE" w:rsidRPr="000E54DE">
        <w:rPr>
          <w:sz w:val="24"/>
          <w:szCs w:val="24"/>
        </w:rPr>
        <w:t xml:space="preserve"> statistic </w:t>
      </w:r>
      <w:r w:rsidR="000E54DE">
        <w:rPr>
          <w:sz w:val="24"/>
          <w:szCs w:val="24"/>
        </w:rPr>
        <w:t>must be greater than</w:t>
      </w:r>
      <w:r w:rsidR="000E54DE" w:rsidRPr="000E54DE">
        <w:rPr>
          <w:sz w:val="24"/>
          <w:szCs w:val="24"/>
        </w:rPr>
        <w:t xml:space="preserve"> 0.5%</w:t>
      </w:r>
      <w:r w:rsidRPr="00A81003">
        <w:rPr>
          <w:sz w:val="24"/>
          <w:szCs w:val="24"/>
        </w:rPr>
        <w:t xml:space="preserve"> </w:t>
      </w:r>
      <w:r w:rsidR="000E54DE">
        <w:rPr>
          <w:sz w:val="24"/>
          <w:szCs w:val="24"/>
        </w:rPr>
        <w:t xml:space="preserve">since </w:t>
      </w:r>
      <w:r w:rsidR="000E54DE" w:rsidRPr="000E54DE">
        <w:rPr>
          <w:sz w:val="24"/>
          <w:szCs w:val="24"/>
        </w:rPr>
        <w:t>a monthly statistic of 0.5% indicates an economically meaningful degree of return predictability</w:t>
      </w:r>
      <w:r w:rsidR="000E54DE">
        <w:rPr>
          <w:sz w:val="24"/>
          <w:szCs w:val="24"/>
        </w:rPr>
        <w:t xml:space="preserve"> (</w:t>
      </w:r>
      <w:r w:rsidR="000E54DE" w:rsidRPr="000E54DE">
        <w:rPr>
          <w:sz w:val="24"/>
          <w:szCs w:val="24"/>
        </w:rPr>
        <w:t>Campbell and Thompson</w:t>
      </w:r>
      <w:r w:rsidR="000E54DE">
        <w:rPr>
          <w:sz w:val="24"/>
          <w:szCs w:val="24"/>
        </w:rPr>
        <w:t>,</w:t>
      </w:r>
      <w:r w:rsidR="000E54DE" w:rsidRPr="000E54DE">
        <w:rPr>
          <w:sz w:val="24"/>
          <w:szCs w:val="24"/>
        </w:rPr>
        <w:t xml:space="preserve"> 2008</w:t>
      </w:r>
      <w:r w:rsidR="000E54DE">
        <w:rPr>
          <w:sz w:val="24"/>
          <w:szCs w:val="24"/>
        </w:rPr>
        <w:t xml:space="preserve"> and </w:t>
      </w:r>
      <w:proofErr w:type="spellStart"/>
      <w:r w:rsidR="000E54DE">
        <w:rPr>
          <w:sz w:val="24"/>
          <w:szCs w:val="24"/>
        </w:rPr>
        <w:t>Rapach</w:t>
      </w:r>
      <w:proofErr w:type="spellEnd"/>
      <w:r w:rsidR="000E54DE">
        <w:rPr>
          <w:sz w:val="24"/>
          <w:szCs w:val="24"/>
        </w:rPr>
        <w:t xml:space="preserve"> et al., </w:t>
      </w:r>
      <w:r w:rsidR="000E54DE" w:rsidRPr="000E54DE">
        <w:rPr>
          <w:sz w:val="24"/>
          <w:szCs w:val="24"/>
        </w:rPr>
        <w:t>2016</w:t>
      </w:r>
      <w:r w:rsidR="000E54DE">
        <w:rPr>
          <w:sz w:val="24"/>
          <w:szCs w:val="24"/>
        </w:rPr>
        <w:t>)</w:t>
      </w:r>
      <w:r w:rsidR="000E54DE" w:rsidRPr="000E54DE">
        <w:rPr>
          <w:sz w:val="24"/>
          <w:szCs w:val="24"/>
        </w:rPr>
        <w:t>.</w:t>
      </w:r>
      <w:r w:rsidR="000E54DE">
        <w:rPr>
          <w:sz w:val="24"/>
          <w:szCs w:val="24"/>
        </w:rPr>
        <w:t xml:space="preserve"> </w:t>
      </w:r>
      <w:r>
        <w:rPr>
          <w:sz w:val="24"/>
          <w:szCs w:val="24"/>
        </w:rPr>
        <w:t>Four predictors b</w:t>
      </w:r>
      <w:r w:rsidRPr="00A81003">
        <w:rPr>
          <w:sz w:val="24"/>
          <w:szCs w:val="24"/>
        </w:rPr>
        <w:t xml:space="preserve">ased on </w:t>
      </w:r>
      <w:r w:rsidR="00856519" w:rsidRPr="00A81003">
        <w:rPr>
          <w:sz w:val="24"/>
          <w:szCs w:val="24"/>
        </w:rPr>
        <w:t>th</w:t>
      </w:r>
      <w:r w:rsidR="00856519">
        <w:rPr>
          <w:sz w:val="24"/>
          <w:szCs w:val="24"/>
        </w:rPr>
        <w:t>ese</w:t>
      </w:r>
      <w:r w:rsidR="00856519" w:rsidRPr="00A81003">
        <w:rPr>
          <w:sz w:val="24"/>
          <w:szCs w:val="24"/>
        </w:rPr>
        <w:t xml:space="preserve"> </w:t>
      </w:r>
      <w:r w:rsidR="00A2661B" w:rsidRPr="00AD7DCA">
        <w:rPr>
          <w:sz w:val="24"/>
          <w:szCs w:val="24"/>
        </w:rPr>
        <w:t>criteria</w:t>
      </w:r>
      <w:r w:rsidRPr="00A81003">
        <w:rPr>
          <w:sz w:val="24"/>
          <w:szCs w:val="24"/>
        </w:rPr>
        <w:t xml:space="preserve"> exceed the benchmark across all </w:t>
      </w:r>
      <w:r w:rsidRPr="00A81003">
        <w:rPr>
          <w:i/>
          <w:iCs/>
          <w:sz w:val="24"/>
          <w:szCs w:val="24"/>
        </w:rPr>
        <w:t>h-</w:t>
      </w:r>
      <w:r w:rsidRPr="00A81003">
        <w:rPr>
          <w:sz w:val="24"/>
          <w:szCs w:val="24"/>
        </w:rPr>
        <w:t xml:space="preserve">day horizons. These </w:t>
      </w:r>
      <w:r>
        <w:rPr>
          <w:sz w:val="24"/>
          <w:szCs w:val="24"/>
        </w:rPr>
        <w:t>include</w:t>
      </w:r>
      <w:r w:rsidRPr="00A81003">
        <w:rPr>
          <w:sz w:val="24"/>
          <w:szCs w:val="24"/>
        </w:rPr>
        <w:t xml:space="preserve"> two</w:t>
      </w:r>
      <w:r>
        <w:rPr>
          <w:sz w:val="24"/>
          <w:szCs w:val="24"/>
        </w:rPr>
        <w:t xml:space="preserve"> predictors of</w:t>
      </w:r>
      <w:r w:rsidRPr="00A81003">
        <w:rPr>
          <w:sz w:val="24"/>
          <w:szCs w:val="24"/>
        </w:rPr>
        <w:t xml:space="preserve"> market characteristics</w:t>
      </w:r>
      <w:r>
        <w:rPr>
          <w:sz w:val="24"/>
          <w:szCs w:val="24"/>
        </w:rPr>
        <w:t xml:space="preserve">, </w:t>
      </w:r>
      <w:r w:rsidR="00E557EF">
        <w:rPr>
          <w:sz w:val="24"/>
          <w:szCs w:val="24"/>
        </w:rPr>
        <w:t>the</w:t>
      </w:r>
      <w:r w:rsidRPr="00A81003">
        <w:rPr>
          <w:sz w:val="24"/>
          <w:szCs w:val="24"/>
        </w:rPr>
        <w:t xml:space="preserve"> Bitcoin </w:t>
      </w:r>
      <w:r>
        <w:rPr>
          <w:sz w:val="24"/>
          <w:szCs w:val="24"/>
        </w:rPr>
        <w:t>c</w:t>
      </w:r>
      <w:r w:rsidRPr="00A81003">
        <w:rPr>
          <w:sz w:val="24"/>
          <w:szCs w:val="24"/>
        </w:rPr>
        <w:t xml:space="preserve">rash </w:t>
      </w:r>
      <w:r>
        <w:rPr>
          <w:sz w:val="24"/>
          <w:szCs w:val="24"/>
        </w:rPr>
        <w:t>d</w:t>
      </w:r>
      <w:r w:rsidRPr="00A81003">
        <w:rPr>
          <w:sz w:val="24"/>
          <w:szCs w:val="24"/>
        </w:rPr>
        <w:t>ummy (</w:t>
      </w:r>
      <w:r w:rsidRPr="00A81003">
        <w:rPr>
          <w:i/>
          <w:iCs/>
          <w:sz w:val="24"/>
          <w:szCs w:val="24"/>
        </w:rPr>
        <w:t>BD</w:t>
      </w:r>
      <w:r w:rsidRPr="00A81003">
        <w:rPr>
          <w:sz w:val="24"/>
          <w:szCs w:val="24"/>
        </w:rPr>
        <w:t>) and</w:t>
      </w:r>
      <w:r w:rsidR="00E557EF">
        <w:rPr>
          <w:sz w:val="24"/>
          <w:szCs w:val="24"/>
        </w:rPr>
        <w:t xml:space="preserve"> the</w:t>
      </w:r>
      <w:r w:rsidRPr="00A81003">
        <w:rPr>
          <w:sz w:val="24"/>
          <w:szCs w:val="24"/>
        </w:rPr>
        <w:t xml:space="preserve"> </w:t>
      </w:r>
      <w:r>
        <w:rPr>
          <w:sz w:val="24"/>
          <w:szCs w:val="24"/>
        </w:rPr>
        <w:lastRenderedPageBreak/>
        <w:t>t</w:t>
      </w:r>
      <w:r w:rsidRPr="00A81003">
        <w:rPr>
          <w:sz w:val="24"/>
          <w:szCs w:val="24"/>
        </w:rPr>
        <w:t xml:space="preserve">ime-series </w:t>
      </w:r>
      <w:r>
        <w:rPr>
          <w:sz w:val="24"/>
          <w:szCs w:val="24"/>
        </w:rPr>
        <w:t>m</w:t>
      </w:r>
      <w:r w:rsidRPr="00A81003">
        <w:rPr>
          <w:sz w:val="24"/>
          <w:szCs w:val="24"/>
        </w:rPr>
        <w:t>omentum scaled by volatility (</w:t>
      </w:r>
      <w:r w:rsidRPr="00A81003">
        <w:rPr>
          <w:i/>
          <w:iCs/>
          <w:sz w:val="24"/>
          <w:szCs w:val="24"/>
        </w:rPr>
        <w:t>TSMSV</w:t>
      </w:r>
      <w:r>
        <w:rPr>
          <w:sz w:val="24"/>
          <w:szCs w:val="24"/>
        </w:rPr>
        <w:t xml:space="preserve">; </w:t>
      </w:r>
      <w:r w:rsidRPr="00A81003">
        <w:rPr>
          <w:sz w:val="24"/>
          <w:szCs w:val="24"/>
        </w:rPr>
        <w:t>see Panel A in Table 3)</w:t>
      </w:r>
      <w:r w:rsidR="00D71E93">
        <w:rPr>
          <w:sz w:val="24"/>
          <w:szCs w:val="24"/>
        </w:rPr>
        <w:t>;</w:t>
      </w:r>
      <w:r w:rsidRPr="00A81003">
        <w:rPr>
          <w:sz w:val="24"/>
          <w:szCs w:val="24"/>
        </w:rPr>
        <w:t xml:space="preserve"> and two uncertainty predictors</w:t>
      </w:r>
      <w:r w:rsidR="00D71E93">
        <w:rPr>
          <w:sz w:val="24"/>
          <w:szCs w:val="24"/>
        </w:rPr>
        <w:t xml:space="preserve">, the </w:t>
      </w:r>
      <w:r w:rsidRPr="00A81003">
        <w:rPr>
          <w:sz w:val="24"/>
          <w:szCs w:val="24"/>
        </w:rPr>
        <w:t>Economic Policy Uncertainty Index (</w:t>
      </w:r>
      <w:r w:rsidRPr="00A81003">
        <w:rPr>
          <w:i/>
          <w:iCs/>
          <w:sz w:val="24"/>
          <w:szCs w:val="24"/>
        </w:rPr>
        <w:t>PU</w:t>
      </w:r>
      <w:r w:rsidRPr="00A81003">
        <w:rPr>
          <w:sz w:val="24"/>
          <w:szCs w:val="24"/>
        </w:rPr>
        <w:t xml:space="preserve">) and </w:t>
      </w:r>
      <w:r w:rsidR="00AE3445">
        <w:rPr>
          <w:sz w:val="24"/>
          <w:szCs w:val="24"/>
        </w:rPr>
        <w:t xml:space="preserve">the </w:t>
      </w:r>
      <w:r w:rsidRPr="00A81003">
        <w:rPr>
          <w:sz w:val="24"/>
          <w:szCs w:val="24"/>
        </w:rPr>
        <w:t>Financial Uncertainty (FU</w:t>
      </w:r>
      <w:r w:rsidR="00D71E93">
        <w:rPr>
          <w:sz w:val="24"/>
          <w:szCs w:val="24"/>
        </w:rPr>
        <w:t xml:space="preserve">; </w:t>
      </w:r>
      <w:r w:rsidRPr="00A81003">
        <w:rPr>
          <w:sz w:val="24"/>
          <w:szCs w:val="24"/>
        </w:rPr>
        <w:t xml:space="preserve">see Panel </w:t>
      </w:r>
      <w:r w:rsidR="00CB7296">
        <w:rPr>
          <w:sz w:val="24"/>
          <w:szCs w:val="24"/>
        </w:rPr>
        <w:t>E</w:t>
      </w:r>
      <w:r w:rsidR="00A15997">
        <w:rPr>
          <w:sz w:val="24"/>
          <w:szCs w:val="24"/>
        </w:rPr>
        <w:t xml:space="preserve"> </w:t>
      </w:r>
      <w:r w:rsidRPr="00A81003">
        <w:rPr>
          <w:sz w:val="24"/>
          <w:szCs w:val="24"/>
        </w:rPr>
        <w:t>in Table 3).</w:t>
      </w:r>
    </w:p>
    <w:p w:rsidR="00207943" w:rsidRPr="00A81003" w:rsidRDefault="00AE7F96" w:rsidP="0029520B">
      <w:pPr>
        <w:adjustRightInd w:val="0"/>
        <w:snapToGrid w:val="0"/>
        <w:spacing w:line="480" w:lineRule="auto"/>
        <w:ind w:firstLine="720"/>
        <w:jc w:val="center"/>
        <w:rPr>
          <w:sz w:val="24"/>
          <w:szCs w:val="24"/>
        </w:rPr>
      </w:pPr>
      <w:r w:rsidRPr="00A81003">
        <w:rPr>
          <w:sz w:val="24"/>
          <w:szCs w:val="24"/>
        </w:rPr>
        <w:t xml:space="preserve"> </w:t>
      </w:r>
      <w:r w:rsidR="005D1E91" w:rsidRPr="00A81003">
        <w:rPr>
          <w:sz w:val="24"/>
          <w:szCs w:val="24"/>
        </w:rPr>
        <w:t>[Insert Table 3 here]</w:t>
      </w:r>
    </w:p>
    <w:p w:rsidR="00D56F1E" w:rsidRPr="00A81003" w:rsidRDefault="0019256F" w:rsidP="0029520B">
      <w:pPr>
        <w:adjustRightInd w:val="0"/>
        <w:snapToGrid w:val="0"/>
        <w:spacing w:after="0" w:line="480" w:lineRule="auto"/>
        <w:ind w:firstLine="720"/>
        <w:jc w:val="both"/>
        <w:rPr>
          <w:sz w:val="24"/>
          <w:szCs w:val="24"/>
        </w:rPr>
      </w:pPr>
      <w:r w:rsidRPr="00A81003">
        <w:rPr>
          <w:sz w:val="24"/>
          <w:szCs w:val="24"/>
        </w:rPr>
        <w:t xml:space="preserve">At the </w:t>
      </w:r>
      <w:r w:rsidR="000406B6">
        <w:rPr>
          <w:sz w:val="24"/>
          <w:szCs w:val="24"/>
        </w:rPr>
        <w:t>one-</w:t>
      </w:r>
      <w:r w:rsidRPr="00A81003">
        <w:rPr>
          <w:sz w:val="24"/>
          <w:szCs w:val="24"/>
        </w:rPr>
        <w:t>week horizon, o</w:t>
      </w:r>
      <w:r w:rsidR="00B846B4" w:rsidRPr="00A81003">
        <w:rPr>
          <w:sz w:val="24"/>
          <w:szCs w:val="24"/>
        </w:rPr>
        <w:t xml:space="preserve">ur momentum predictor </w:t>
      </w:r>
      <w:r w:rsidR="00EB6392" w:rsidRPr="00A81003">
        <w:rPr>
          <w:sz w:val="24"/>
          <w:szCs w:val="24"/>
        </w:rPr>
        <w:t>(</w:t>
      </w:r>
      <w:r w:rsidR="00EB6392" w:rsidRPr="00A81003">
        <w:rPr>
          <w:i/>
          <w:sz w:val="24"/>
          <w:szCs w:val="24"/>
        </w:rPr>
        <w:t>TSMSV</w:t>
      </w:r>
      <w:r w:rsidR="00EB6392" w:rsidRPr="00A81003">
        <w:rPr>
          <w:sz w:val="24"/>
          <w:szCs w:val="24"/>
        </w:rPr>
        <w:t>)</w:t>
      </w:r>
      <w:r w:rsidR="00C40437" w:rsidRPr="00A81003">
        <w:rPr>
          <w:sz w:val="24"/>
          <w:szCs w:val="24"/>
        </w:rPr>
        <w:t xml:space="preserve"> </w:t>
      </w:r>
      <w:r w:rsidR="00B846B4" w:rsidRPr="00A81003">
        <w:rPr>
          <w:sz w:val="24"/>
          <w:szCs w:val="24"/>
        </w:rPr>
        <w:t xml:space="preserve">has the largest </w:t>
      </w:r>
      <w:r w:rsidR="00573234">
        <w:rPr>
          <w:position w:val="-10"/>
          <w:sz w:val="24"/>
          <w:szCs w:val="24"/>
        </w:rPr>
        <w:pict>
          <v:shape id="_x0000_i1026" type="#_x0000_t75" style="width:12.75pt;height:18.75pt">
            <v:imagedata r:id="rId11" o:title=""/>
          </v:shape>
        </w:pict>
      </w:r>
      <w:r w:rsidR="004B6822">
        <w:rPr>
          <w:sz w:val="24"/>
          <w:szCs w:val="24"/>
        </w:rPr>
        <w:t xml:space="preserve"> </w:t>
      </w:r>
      <w:r w:rsidR="00B846B4" w:rsidRPr="00A81003">
        <w:rPr>
          <w:sz w:val="24"/>
          <w:szCs w:val="24"/>
        </w:rPr>
        <w:t xml:space="preserve"> estimate (0.3</w:t>
      </w:r>
      <w:r w:rsidRPr="00A81003">
        <w:rPr>
          <w:sz w:val="24"/>
          <w:szCs w:val="24"/>
        </w:rPr>
        <w:t>2</w:t>
      </w:r>
      <w:r w:rsidR="00B846B4" w:rsidRPr="00A81003">
        <w:rPr>
          <w:sz w:val="24"/>
          <w:szCs w:val="24"/>
        </w:rPr>
        <w:t>)</w:t>
      </w:r>
      <w:r w:rsidR="009909B2" w:rsidRPr="00A81003">
        <w:rPr>
          <w:sz w:val="24"/>
          <w:szCs w:val="24"/>
        </w:rPr>
        <w:t>;</w:t>
      </w:r>
      <w:r w:rsidR="00B846B4" w:rsidRPr="00A81003">
        <w:rPr>
          <w:sz w:val="24"/>
          <w:szCs w:val="24"/>
        </w:rPr>
        <w:t xml:space="preserve"> in other words, </w:t>
      </w:r>
      <w:r w:rsidR="009909B2" w:rsidRPr="00A81003">
        <w:rPr>
          <w:sz w:val="24"/>
          <w:szCs w:val="24"/>
        </w:rPr>
        <w:t xml:space="preserve">a </w:t>
      </w:r>
      <w:r w:rsidR="00B846B4" w:rsidRPr="00A81003">
        <w:rPr>
          <w:sz w:val="24"/>
          <w:szCs w:val="24"/>
        </w:rPr>
        <w:t>one</w:t>
      </w:r>
      <w:r w:rsidR="008A025D" w:rsidRPr="00A81003">
        <w:rPr>
          <w:sz w:val="24"/>
          <w:szCs w:val="24"/>
        </w:rPr>
        <w:t>-</w:t>
      </w:r>
      <w:r w:rsidR="00B846B4" w:rsidRPr="00A81003">
        <w:rPr>
          <w:sz w:val="24"/>
          <w:szCs w:val="24"/>
        </w:rPr>
        <w:t>standard</w:t>
      </w:r>
      <w:r w:rsidR="00C40437" w:rsidRPr="00A81003">
        <w:rPr>
          <w:sz w:val="24"/>
          <w:szCs w:val="24"/>
        </w:rPr>
        <w:t xml:space="preserve"> </w:t>
      </w:r>
      <w:r w:rsidR="00B846B4" w:rsidRPr="00A81003">
        <w:rPr>
          <w:sz w:val="24"/>
          <w:szCs w:val="24"/>
        </w:rPr>
        <w:t>deviation</w:t>
      </w:r>
      <w:r w:rsidR="00363B42" w:rsidRPr="00A81003">
        <w:rPr>
          <w:sz w:val="24"/>
          <w:szCs w:val="24"/>
        </w:rPr>
        <w:t xml:space="preserve"> </w:t>
      </w:r>
      <w:r w:rsidR="00B846B4" w:rsidRPr="00A81003">
        <w:rPr>
          <w:sz w:val="24"/>
          <w:szCs w:val="24"/>
        </w:rPr>
        <w:t xml:space="preserve">increase in </w:t>
      </w:r>
      <w:r w:rsidR="00B846B4" w:rsidRPr="00A81003">
        <w:rPr>
          <w:i/>
          <w:iCs/>
          <w:sz w:val="24"/>
          <w:szCs w:val="24"/>
        </w:rPr>
        <w:t>TSMSV</w:t>
      </w:r>
      <w:r w:rsidR="00B846B4" w:rsidRPr="00A81003">
        <w:rPr>
          <w:sz w:val="24"/>
          <w:szCs w:val="24"/>
        </w:rPr>
        <w:t xml:space="preserve"> leads to </w:t>
      </w:r>
      <w:r w:rsidR="009909B2" w:rsidRPr="00A81003">
        <w:rPr>
          <w:sz w:val="24"/>
          <w:szCs w:val="24"/>
        </w:rPr>
        <w:t xml:space="preserve">a </w:t>
      </w:r>
      <w:r w:rsidR="00077E86" w:rsidRPr="00A81003">
        <w:rPr>
          <w:sz w:val="24"/>
          <w:szCs w:val="24"/>
        </w:rPr>
        <w:t>32-basi</w:t>
      </w:r>
      <w:r w:rsidR="00A6141D">
        <w:rPr>
          <w:sz w:val="24"/>
          <w:szCs w:val="24"/>
        </w:rPr>
        <w:t>s</w:t>
      </w:r>
      <w:r w:rsidR="00363B42" w:rsidRPr="00A81003">
        <w:rPr>
          <w:sz w:val="24"/>
          <w:szCs w:val="24"/>
        </w:rPr>
        <w:t xml:space="preserve"> </w:t>
      </w:r>
      <w:r w:rsidR="00B846B4" w:rsidRPr="00A81003">
        <w:rPr>
          <w:sz w:val="24"/>
          <w:szCs w:val="24"/>
        </w:rPr>
        <w:t xml:space="preserve">point increase in </w:t>
      </w:r>
      <w:r w:rsidR="00363B42" w:rsidRPr="00A81003">
        <w:rPr>
          <w:sz w:val="24"/>
          <w:szCs w:val="24"/>
        </w:rPr>
        <w:t xml:space="preserve">the </w:t>
      </w:r>
      <w:r w:rsidR="00B846B4" w:rsidRPr="00A81003">
        <w:rPr>
          <w:sz w:val="24"/>
          <w:szCs w:val="24"/>
        </w:rPr>
        <w:t>next day</w:t>
      </w:r>
      <w:r w:rsidR="009909B2" w:rsidRPr="00A81003">
        <w:rPr>
          <w:sz w:val="24"/>
          <w:szCs w:val="24"/>
        </w:rPr>
        <w:t>’</w:t>
      </w:r>
      <w:r w:rsidR="00B846B4" w:rsidRPr="00A81003">
        <w:rPr>
          <w:sz w:val="24"/>
          <w:szCs w:val="24"/>
        </w:rPr>
        <w:t>s Bitcoin excess return</w:t>
      </w:r>
      <w:r w:rsidR="00D71E93">
        <w:rPr>
          <w:sz w:val="24"/>
          <w:szCs w:val="24"/>
        </w:rPr>
        <w:t>s</w:t>
      </w:r>
      <w:r w:rsidR="00B846B4" w:rsidRPr="00A81003">
        <w:rPr>
          <w:sz w:val="24"/>
          <w:szCs w:val="24"/>
        </w:rPr>
        <w:t>.</w:t>
      </w:r>
      <w:r w:rsidR="00C36E32">
        <w:rPr>
          <w:rStyle w:val="EndnoteReference"/>
          <w:sz w:val="24"/>
          <w:szCs w:val="24"/>
        </w:rPr>
        <w:endnoteReference w:id="6"/>
      </w:r>
      <w:r w:rsidR="00B846B4" w:rsidRPr="00A81003">
        <w:rPr>
          <w:sz w:val="24"/>
          <w:szCs w:val="24"/>
        </w:rPr>
        <w:t xml:space="preserve"> </w:t>
      </w:r>
      <w:r w:rsidR="00363B42" w:rsidRPr="00A81003">
        <w:rPr>
          <w:sz w:val="24"/>
          <w:szCs w:val="24"/>
        </w:rPr>
        <w:t xml:space="preserve">It is </w:t>
      </w:r>
      <w:r w:rsidR="00D71E93">
        <w:rPr>
          <w:sz w:val="24"/>
          <w:szCs w:val="24"/>
        </w:rPr>
        <w:t>noteworthy</w:t>
      </w:r>
      <w:r w:rsidR="008A025D" w:rsidRPr="00A81003">
        <w:rPr>
          <w:sz w:val="24"/>
          <w:szCs w:val="24"/>
        </w:rPr>
        <w:t xml:space="preserve"> </w:t>
      </w:r>
      <w:r w:rsidR="00363B42" w:rsidRPr="00A81003">
        <w:rPr>
          <w:sz w:val="24"/>
          <w:szCs w:val="24"/>
        </w:rPr>
        <w:t>that</w:t>
      </w:r>
      <w:r w:rsidR="00D71E93">
        <w:rPr>
          <w:sz w:val="24"/>
          <w:szCs w:val="24"/>
        </w:rPr>
        <w:t>,</w:t>
      </w:r>
      <w:r w:rsidR="00363B42" w:rsidRPr="00A81003">
        <w:rPr>
          <w:sz w:val="24"/>
          <w:szCs w:val="24"/>
        </w:rPr>
        <w:t xml:space="preserve"> by scaling the volatility, the adjusted time-series momentum predictor </w:t>
      </w:r>
      <w:r w:rsidR="00363B42" w:rsidRPr="00A81003">
        <w:rPr>
          <w:i/>
          <w:sz w:val="24"/>
          <w:szCs w:val="24"/>
        </w:rPr>
        <w:t>TSMSV</w:t>
      </w:r>
      <w:r w:rsidR="00363B42" w:rsidRPr="00A81003">
        <w:rPr>
          <w:sz w:val="24"/>
          <w:szCs w:val="24"/>
        </w:rPr>
        <w:t xml:space="preserve"> </w:t>
      </w:r>
      <w:r w:rsidR="008F75F6" w:rsidRPr="00A81003">
        <w:rPr>
          <w:sz w:val="24"/>
          <w:szCs w:val="24"/>
        </w:rPr>
        <w:t xml:space="preserve">substantially </w:t>
      </w:r>
      <w:r w:rsidR="00363B42" w:rsidRPr="00A81003">
        <w:rPr>
          <w:sz w:val="24"/>
          <w:szCs w:val="24"/>
        </w:rPr>
        <w:t xml:space="preserve">outperforms </w:t>
      </w:r>
      <w:r w:rsidR="00363B42" w:rsidRPr="00A81003">
        <w:rPr>
          <w:i/>
          <w:sz w:val="24"/>
          <w:szCs w:val="24"/>
        </w:rPr>
        <w:t>TSM</w:t>
      </w:r>
      <w:r w:rsidR="00363B42" w:rsidRPr="00A81003">
        <w:rPr>
          <w:sz w:val="24"/>
          <w:szCs w:val="24"/>
        </w:rPr>
        <w:t>. This may result from dramatic Bitcoin market fluctuation</w:t>
      </w:r>
      <w:r w:rsidR="008A025D" w:rsidRPr="00A81003">
        <w:rPr>
          <w:sz w:val="24"/>
          <w:szCs w:val="24"/>
        </w:rPr>
        <w:t>s</w:t>
      </w:r>
      <w:r w:rsidR="00363B42" w:rsidRPr="00A81003">
        <w:rPr>
          <w:sz w:val="24"/>
          <w:szCs w:val="24"/>
        </w:rPr>
        <w:t xml:space="preserve">. </w:t>
      </w:r>
      <w:r w:rsidR="008A025D" w:rsidRPr="00A81003">
        <w:rPr>
          <w:sz w:val="24"/>
          <w:szCs w:val="24"/>
        </w:rPr>
        <w:t xml:space="preserve">We remove </w:t>
      </w:r>
      <w:r w:rsidR="00363B42" w:rsidRPr="00A81003">
        <w:rPr>
          <w:sz w:val="24"/>
          <w:szCs w:val="24"/>
        </w:rPr>
        <w:t>the impact of volatility</w:t>
      </w:r>
      <w:r w:rsidR="008A025D" w:rsidRPr="00A81003">
        <w:rPr>
          <w:sz w:val="24"/>
          <w:szCs w:val="24"/>
        </w:rPr>
        <w:t xml:space="preserve"> to discover </w:t>
      </w:r>
      <w:r w:rsidR="00363B42" w:rsidRPr="00A81003">
        <w:rPr>
          <w:sz w:val="24"/>
          <w:szCs w:val="24"/>
        </w:rPr>
        <w:t xml:space="preserve">that </w:t>
      </w:r>
      <w:r w:rsidR="008913C1" w:rsidRPr="00A81003">
        <w:rPr>
          <w:sz w:val="24"/>
          <w:szCs w:val="24"/>
        </w:rPr>
        <w:t xml:space="preserve">the </w:t>
      </w:r>
      <w:r w:rsidR="00363B42" w:rsidRPr="00A81003">
        <w:rPr>
          <w:sz w:val="24"/>
          <w:szCs w:val="24"/>
        </w:rPr>
        <w:t xml:space="preserve">time-series momentum predictor could be employed by </w:t>
      </w:r>
      <w:r w:rsidR="008913C1" w:rsidRPr="00A81003">
        <w:rPr>
          <w:sz w:val="24"/>
          <w:szCs w:val="24"/>
        </w:rPr>
        <w:t xml:space="preserve">the </w:t>
      </w:r>
      <w:r w:rsidR="00363B42" w:rsidRPr="00A81003">
        <w:rPr>
          <w:sz w:val="24"/>
          <w:szCs w:val="24"/>
        </w:rPr>
        <w:t xml:space="preserve">investor to formulate </w:t>
      </w:r>
      <w:r w:rsidR="008913C1" w:rsidRPr="00A81003">
        <w:rPr>
          <w:sz w:val="24"/>
          <w:szCs w:val="24"/>
        </w:rPr>
        <w:t xml:space="preserve">a </w:t>
      </w:r>
      <w:r w:rsidR="00363B42" w:rsidRPr="00A81003">
        <w:rPr>
          <w:sz w:val="24"/>
          <w:szCs w:val="24"/>
        </w:rPr>
        <w:t>profitable portfolio strategy</w:t>
      </w:r>
      <w:r w:rsidR="008913C1" w:rsidRPr="00A81003">
        <w:rPr>
          <w:sz w:val="24"/>
          <w:szCs w:val="24"/>
        </w:rPr>
        <w:t>.</w:t>
      </w:r>
      <w:r w:rsidR="00C36E32">
        <w:rPr>
          <w:rStyle w:val="EndnoteReference"/>
          <w:sz w:val="24"/>
          <w:szCs w:val="24"/>
        </w:rPr>
        <w:endnoteReference w:id="7"/>
      </w:r>
      <w:r w:rsidR="008913C1" w:rsidRPr="00A81003">
        <w:rPr>
          <w:sz w:val="24"/>
          <w:szCs w:val="24"/>
        </w:rPr>
        <w:t xml:space="preserve"> </w:t>
      </w:r>
      <w:r w:rsidR="00D71E93">
        <w:rPr>
          <w:sz w:val="24"/>
          <w:szCs w:val="24"/>
        </w:rPr>
        <w:t>Further</w:t>
      </w:r>
      <w:r w:rsidR="008913C1" w:rsidRPr="00A81003">
        <w:rPr>
          <w:sz w:val="24"/>
          <w:szCs w:val="24"/>
        </w:rPr>
        <w:t>,</w:t>
      </w:r>
      <w:r w:rsidR="00B846B4" w:rsidRPr="00A81003">
        <w:rPr>
          <w:sz w:val="24"/>
          <w:szCs w:val="24"/>
        </w:rPr>
        <w:t xml:space="preserve"> excess </w:t>
      </w:r>
      <w:r w:rsidR="008A025D" w:rsidRPr="00A81003">
        <w:rPr>
          <w:sz w:val="24"/>
          <w:szCs w:val="24"/>
        </w:rPr>
        <w:t xml:space="preserve">Bitcoin </w:t>
      </w:r>
      <w:r w:rsidR="00B846B4" w:rsidRPr="00A81003">
        <w:rPr>
          <w:sz w:val="24"/>
          <w:szCs w:val="24"/>
        </w:rPr>
        <w:t xml:space="preserve">returns are associated with changes in the </w:t>
      </w:r>
      <w:r w:rsidR="008913C1" w:rsidRPr="00A81003">
        <w:rPr>
          <w:i/>
          <w:iCs/>
          <w:sz w:val="24"/>
          <w:szCs w:val="24"/>
        </w:rPr>
        <w:t>PU</w:t>
      </w:r>
      <w:r w:rsidR="008913C1" w:rsidRPr="00A81003">
        <w:rPr>
          <w:sz w:val="24"/>
          <w:szCs w:val="24"/>
        </w:rPr>
        <w:t xml:space="preserve"> and </w:t>
      </w:r>
      <w:r w:rsidR="00F63AE3" w:rsidRPr="00A81003">
        <w:rPr>
          <w:i/>
          <w:sz w:val="24"/>
          <w:szCs w:val="24"/>
        </w:rPr>
        <w:t>FU</w:t>
      </w:r>
      <w:r w:rsidR="00F63AE3" w:rsidRPr="00A81003">
        <w:rPr>
          <w:sz w:val="24"/>
          <w:szCs w:val="24"/>
        </w:rPr>
        <w:t xml:space="preserve"> </w:t>
      </w:r>
      <w:r w:rsidR="00B846B4" w:rsidRPr="00A81003">
        <w:rPr>
          <w:sz w:val="24"/>
          <w:szCs w:val="24"/>
        </w:rPr>
        <w:t>(</w:t>
      </w:r>
      <m:oMath>
        <m:acc>
          <m:accPr>
            <m:ctrlPr>
              <w:rPr>
                <w:rFonts w:ascii="Cambria Math" w:hAnsi="Cambria Math"/>
                <w:i/>
                <w:sz w:val="24"/>
                <w:szCs w:val="24"/>
              </w:rPr>
            </m:ctrlPr>
          </m:accPr>
          <m:e>
            <m:r>
              <w:rPr>
                <w:rFonts w:ascii="Cambria Math" w:hAnsi="Cambria Math"/>
                <w:sz w:val="24"/>
                <w:szCs w:val="24"/>
              </w:rPr>
              <m:t>β</m:t>
            </m:r>
          </m:e>
        </m:acc>
        <m:r>
          <w:rPr>
            <w:rFonts w:ascii="Cambria Math" w:hAnsi="Cambria Math"/>
            <w:sz w:val="24"/>
            <w:szCs w:val="24"/>
          </w:rPr>
          <m:t xml:space="preserve"> </m:t>
        </m:r>
      </m:oMath>
      <w:r w:rsidR="00B846B4" w:rsidRPr="00A81003">
        <w:rPr>
          <w:sz w:val="24"/>
          <w:szCs w:val="24"/>
        </w:rPr>
        <w:t>=</w:t>
      </w:r>
      <w:r w:rsidR="008A025D" w:rsidRPr="00A81003">
        <w:rPr>
          <w:sz w:val="24"/>
          <w:szCs w:val="24"/>
        </w:rPr>
        <w:t xml:space="preserve"> </w:t>
      </w:r>
      <w:r w:rsidR="008913C1" w:rsidRPr="00A81003">
        <w:rPr>
          <w:sz w:val="24"/>
          <w:szCs w:val="24"/>
        </w:rPr>
        <w:t xml:space="preserve">0.17 and </w:t>
      </w:r>
      <m:oMath>
        <m:acc>
          <m:accPr>
            <m:ctrlPr>
              <w:rPr>
                <w:rFonts w:ascii="Cambria Math" w:hAnsi="Cambria Math"/>
                <w:i/>
                <w:sz w:val="24"/>
                <w:szCs w:val="24"/>
              </w:rPr>
            </m:ctrlPr>
          </m:accPr>
          <m:e>
            <m:r>
              <w:rPr>
                <w:rFonts w:ascii="Cambria Math" w:hAnsi="Cambria Math"/>
                <w:sz w:val="24"/>
                <w:szCs w:val="24"/>
              </w:rPr>
              <m:t>β</m:t>
            </m:r>
          </m:e>
        </m:acc>
        <m:r>
          <w:rPr>
            <w:rFonts w:ascii="Cambria Math" w:hAnsi="Cambria Math"/>
            <w:sz w:val="24"/>
            <w:szCs w:val="24"/>
          </w:rPr>
          <m:t xml:space="preserve"> </m:t>
        </m:r>
      </m:oMath>
      <w:r w:rsidR="008913C1" w:rsidRPr="00A81003">
        <w:rPr>
          <w:sz w:val="24"/>
          <w:szCs w:val="24"/>
        </w:rPr>
        <w:t>=</w:t>
      </w:r>
      <w:r w:rsidR="008A025D" w:rsidRPr="00A81003">
        <w:rPr>
          <w:sz w:val="24"/>
          <w:szCs w:val="24"/>
        </w:rPr>
        <w:t xml:space="preserve"> </w:t>
      </w:r>
      <w:r w:rsidR="008913C1" w:rsidRPr="00A81003">
        <w:rPr>
          <w:sz w:val="24"/>
          <w:szCs w:val="24"/>
        </w:rPr>
        <w:t>0.26</w:t>
      </w:r>
      <w:r w:rsidR="00866866" w:rsidRPr="00A81003">
        <w:rPr>
          <w:sz w:val="24"/>
          <w:szCs w:val="24"/>
        </w:rPr>
        <w:t>,</w:t>
      </w:r>
      <w:r w:rsidR="008913C1" w:rsidRPr="00A81003">
        <w:rPr>
          <w:sz w:val="24"/>
          <w:szCs w:val="24"/>
        </w:rPr>
        <w:t xml:space="preserve"> respectively). </w:t>
      </w:r>
      <w:r w:rsidR="00B846B4" w:rsidRPr="00A81003">
        <w:rPr>
          <w:sz w:val="24"/>
          <w:szCs w:val="24"/>
        </w:rPr>
        <w:t>The results are consistent with Demir</w:t>
      </w:r>
      <w:r w:rsidR="004E714B" w:rsidRPr="00A81003">
        <w:rPr>
          <w:sz w:val="24"/>
          <w:szCs w:val="24"/>
        </w:rPr>
        <w:t xml:space="preserve"> et al</w:t>
      </w:r>
      <w:r w:rsidR="00750942">
        <w:rPr>
          <w:sz w:val="24"/>
          <w:szCs w:val="24"/>
        </w:rPr>
        <w:t>.</w:t>
      </w:r>
      <w:r w:rsidR="00B846B4" w:rsidRPr="00A81003">
        <w:rPr>
          <w:sz w:val="24"/>
          <w:szCs w:val="24"/>
        </w:rPr>
        <w:t xml:space="preserve"> (2018), indicating that </w:t>
      </w:r>
      <w:r w:rsidR="008913C1" w:rsidRPr="00A81003">
        <w:rPr>
          <w:sz w:val="24"/>
          <w:szCs w:val="24"/>
        </w:rPr>
        <w:t xml:space="preserve">external uncertainty factors </w:t>
      </w:r>
      <w:r w:rsidR="004A6D0D" w:rsidRPr="004C02EB">
        <w:rPr>
          <w:sz w:val="24"/>
          <w:szCs w:val="24"/>
        </w:rPr>
        <w:t>display</w:t>
      </w:r>
      <w:r w:rsidR="008913C1" w:rsidRPr="004C02EB">
        <w:rPr>
          <w:sz w:val="24"/>
          <w:szCs w:val="24"/>
        </w:rPr>
        <w:t xml:space="preserve"> </w:t>
      </w:r>
      <w:r w:rsidR="00D71E93" w:rsidRPr="004C02EB">
        <w:rPr>
          <w:sz w:val="24"/>
          <w:szCs w:val="24"/>
        </w:rPr>
        <w:t xml:space="preserve">a </w:t>
      </w:r>
      <w:r w:rsidR="00D912FB" w:rsidRPr="004C02EB">
        <w:rPr>
          <w:sz w:val="24"/>
          <w:szCs w:val="24"/>
        </w:rPr>
        <w:t>strong</w:t>
      </w:r>
      <w:r w:rsidR="008913C1" w:rsidRPr="004C02EB">
        <w:rPr>
          <w:sz w:val="24"/>
          <w:szCs w:val="24"/>
        </w:rPr>
        <w:t xml:space="preserve"> predictive </w:t>
      </w:r>
      <w:r w:rsidR="004A6D0D" w:rsidRPr="004C02EB">
        <w:rPr>
          <w:sz w:val="24"/>
          <w:szCs w:val="24"/>
        </w:rPr>
        <w:t>ability</w:t>
      </w:r>
      <w:r w:rsidR="008913C1" w:rsidRPr="00A81003">
        <w:rPr>
          <w:sz w:val="24"/>
          <w:szCs w:val="24"/>
        </w:rPr>
        <w:t>.</w:t>
      </w:r>
      <w:r w:rsidR="00B846B4" w:rsidRPr="00A81003">
        <w:rPr>
          <w:sz w:val="24"/>
          <w:szCs w:val="24"/>
        </w:rPr>
        <w:t xml:space="preserve"> </w:t>
      </w:r>
      <w:r w:rsidR="00AD2512" w:rsidRPr="00A81003">
        <w:rPr>
          <w:sz w:val="24"/>
          <w:szCs w:val="24"/>
        </w:rPr>
        <w:t>Additionally</w:t>
      </w:r>
      <w:r w:rsidR="00B846B4" w:rsidRPr="00A81003">
        <w:rPr>
          <w:sz w:val="24"/>
          <w:szCs w:val="24"/>
        </w:rPr>
        <w:t xml:space="preserve">, </w:t>
      </w:r>
      <w:r w:rsidR="008913C1" w:rsidRPr="00A81003">
        <w:rPr>
          <w:sz w:val="24"/>
          <w:szCs w:val="24"/>
        </w:rPr>
        <w:t xml:space="preserve">the other </w:t>
      </w:r>
      <w:r w:rsidR="004B395C" w:rsidRPr="00A81003">
        <w:rPr>
          <w:sz w:val="24"/>
          <w:szCs w:val="24"/>
        </w:rPr>
        <w:t xml:space="preserve">four </w:t>
      </w:r>
      <w:r w:rsidR="00B846B4" w:rsidRPr="00A81003">
        <w:rPr>
          <w:sz w:val="24"/>
          <w:szCs w:val="24"/>
        </w:rPr>
        <w:t>measurements of market uncertainty</w:t>
      </w:r>
      <w:r w:rsidR="00AD2512" w:rsidRPr="00A81003">
        <w:rPr>
          <w:sz w:val="24"/>
          <w:szCs w:val="24"/>
        </w:rPr>
        <w:t>—</w:t>
      </w:r>
      <w:r w:rsidR="00B846B4" w:rsidRPr="00A81003">
        <w:rPr>
          <w:i/>
          <w:sz w:val="24"/>
          <w:szCs w:val="24"/>
        </w:rPr>
        <w:t>VIX</w:t>
      </w:r>
      <w:r w:rsidR="00B846B4" w:rsidRPr="00A81003">
        <w:rPr>
          <w:sz w:val="24"/>
          <w:szCs w:val="24"/>
        </w:rPr>
        <w:t xml:space="preserve">, </w:t>
      </w:r>
      <w:r w:rsidR="00B846B4" w:rsidRPr="00A81003">
        <w:rPr>
          <w:i/>
          <w:sz w:val="24"/>
          <w:szCs w:val="24"/>
        </w:rPr>
        <w:t>VXD</w:t>
      </w:r>
      <w:r w:rsidR="00B846B4" w:rsidRPr="00A81003">
        <w:rPr>
          <w:sz w:val="24"/>
          <w:szCs w:val="24"/>
        </w:rPr>
        <w:t xml:space="preserve">, </w:t>
      </w:r>
      <w:r w:rsidR="00B846B4" w:rsidRPr="00A81003">
        <w:rPr>
          <w:i/>
          <w:sz w:val="24"/>
          <w:szCs w:val="24"/>
        </w:rPr>
        <w:t>VXN</w:t>
      </w:r>
      <w:r w:rsidR="00A81003" w:rsidRPr="00A81003">
        <w:rPr>
          <w:iCs/>
          <w:sz w:val="24"/>
          <w:szCs w:val="24"/>
        </w:rPr>
        <w:t>,</w:t>
      </w:r>
      <w:r w:rsidR="00B846B4" w:rsidRPr="00A81003">
        <w:rPr>
          <w:sz w:val="24"/>
          <w:szCs w:val="24"/>
        </w:rPr>
        <w:t xml:space="preserve"> and </w:t>
      </w:r>
      <w:r w:rsidR="00B846B4" w:rsidRPr="00A81003">
        <w:rPr>
          <w:i/>
          <w:sz w:val="24"/>
          <w:szCs w:val="24"/>
        </w:rPr>
        <w:t>VXO</w:t>
      </w:r>
      <w:r w:rsidR="00AD2512" w:rsidRPr="00A81003">
        <w:rPr>
          <w:sz w:val="24"/>
          <w:szCs w:val="24"/>
        </w:rPr>
        <w:t>—</w:t>
      </w:r>
      <w:r w:rsidR="00B846B4" w:rsidRPr="00A81003">
        <w:rPr>
          <w:sz w:val="24"/>
          <w:szCs w:val="24"/>
        </w:rPr>
        <w:t xml:space="preserve">are all significant. This result </w:t>
      </w:r>
      <w:r w:rsidR="008913C1" w:rsidRPr="00A81003">
        <w:rPr>
          <w:sz w:val="24"/>
          <w:szCs w:val="24"/>
        </w:rPr>
        <w:t xml:space="preserve">further supports the argument that </w:t>
      </w:r>
      <w:r w:rsidR="002A1F15" w:rsidRPr="00A81003">
        <w:rPr>
          <w:sz w:val="24"/>
          <w:szCs w:val="24"/>
        </w:rPr>
        <w:t xml:space="preserve">external uncertainty factors </w:t>
      </w:r>
      <w:r w:rsidR="004A6D0D" w:rsidRPr="00A81003">
        <w:rPr>
          <w:sz w:val="24"/>
          <w:szCs w:val="24"/>
        </w:rPr>
        <w:t>have</w:t>
      </w:r>
      <w:r w:rsidR="004B395C" w:rsidRPr="00A81003">
        <w:rPr>
          <w:sz w:val="24"/>
          <w:szCs w:val="24"/>
        </w:rPr>
        <w:t xml:space="preserve"> </w:t>
      </w:r>
      <w:r w:rsidR="002A1F15" w:rsidRPr="00A81003">
        <w:rPr>
          <w:sz w:val="24"/>
          <w:szCs w:val="24"/>
        </w:rPr>
        <w:t xml:space="preserve">significant </w:t>
      </w:r>
      <w:r w:rsidR="004A6D0D" w:rsidRPr="00A81003">
        <w:rPr>
          <w:sz w:val="24"/>
          <w:szCs w:val="24"/>
        </w:rPr>
        <w:t>forecasting</w:t>
      </w:r>
      <w:r w:rsidR="002A1F15" w:rsidRPr="00A81003">
        <w:rPr>
          <w:sz w:val="24"/>
          <w:szCs w:val="24"/>
        </w:rPr>
        <w:t xml:space="preserve"> ability</w:t>
      </w:r>
      <w:r w:rsidR="00B846B4" w:rsidRPr="00A81003">
        <w:rPr>
          <w:sz w:val="24"/>
          <w:szCs w:val="24"/>
        </w:rPr>
        <w:t xml:space="preserve">. </w:t>
      </w:r>
      <w:r w:rsidR="00AD2512" w:rsidRPr="00A81003">
        <w:rPr>
          <w:sz w:val="24"/>
          <w:szCs w:val="24"/>
        </w:rPr>
        <w:t>Finally</w:t>
      </w:r>
      <w:r w:rsidR="00B846B4" w:rsidRPr="00A81003">
        <w:rPr>
          <w:sz w:val="24"/>
          <w:szCs w:val="24"/>
        </w:rPr>
        <w:t xml:space="preserve">, the Bitcoin </w:t>
      </w:r>
      <w:r w:rsidR="00D611A8" w:rsidRPr="00A81003">
        <w:rPr>
          <w:sz w:val="24"/>
          <w:szCs w:val="24"/>
        </w:rPr>
        <w:t xml:space="preserve">crash </w:t>
      </w:r>
      <w:r w:rsidR="00B846B4" w:rsidRPr="00A81003">
        <w:rPr>
          <w:sz w:val="24"/>
          <w:szCs w:val="24"/>
        </w:rPr>
        <w:t xml:space="preserve">dummy also exhibits significant predictive power </w:t>
      </w:r>
      <w:r w:rsidR="004B395C" w:rsidRPr="00A81003">
        <w:rPr>
          <w:sz w:val="24"/>
          <w:szCs w:val="24"/>
        </w:rPr>
        <w:t xml:space="preserve">on returns </w:t>
      </w:r>
      <w:r w:rsidR="00B846B4" w:rsidRPr="00A81003">
        <w:rPr>
          <w:sz w:val="24"/>
          <w:szCs w:val="24"/>
        </w:rPr>
        <w:t xml:space="preserve">with </w:t>
      </w:r>
      <w:r w:rsidR="00AD2512" w:rsidRPr="00A81003">
        <w:rPr>
          <w:sz w:val="24"/>
          <w:szCs w:val="24"/>
        </w:rPr>
        <w:t xml:space="preserve">a </w:t>
      </w:r>
      <m:oMath>
        <m:acc>
          <m:accPr>
            <m:ctrlPr>
              <w:rPr>
                <w:rFonts w:ascii="Cambria Math" w:hAnsi="Cambria Math"/>
                <w:i/>
                <w:sz w:val="24"/>
                <w:szCs w:val="24"/>
              </w:rPr>
            </m:ctrlPr>
          </m:accPr>
          <m:e>
            <m:r>
              <w:rPr>
                <w:rFonts w:ascii="Cambria Math" w:hAnsi="Cambria Math"/>
                <w:sz w:val="24"/>
                <w:szCs w:val="24"/>
              </w:rPr>
              <m:t>β</m:t>
            </m:r>
          </m:e>
        </m:acc>
        <m:r>
          <w:rPr>
            <w:rFonts w:ascii="Cambria Math" w:hAnsi="Cambria Math"/>
            <w:sz w:val="24"/>
            <w:szCs w:val="24"/>
          </w:rPr>
          <m:t xml:space="preserve"> </m:t>
        </m:r>
      </m:oMath>
      <w:r w:rsidR="00B846B4" w:rsidRPr="00A81003">
        <w:rPr>
          <w:sz w:val="24"/>
          <w:szCs w:val="24"/>
        </w:rPr>
        <w:t xml:space="preserve">estimate </w:t>
      </w:r>
      <w:r w:rsidR="00077E86" w:rsidRPr="00A81003">
        <w:rPr>
          <w:sz w:val="24"/>
          <w:szCs w:val="24"/>
        </w:rPr>
        <w:t xml:space="preserve">of </w:t>
      </w:r>
      <w:r w:rsidR="00B846B4" w:rsidRPr="00A81003">
        <w:rPr>
          <w:sz w:val="24"/>
          <w:szCs w:val="24"/>
        </w:rPr>
        <w:t>(0.</w:t>
      </w:r>
      <w:r w:rsidRPr="00A81003">
        <w:rPr>
          <w:sz w:val="24"/>
          <w:szCs w:val="24"/>
        </w:rPr>
        <w:t>27</w:t>
      </w:r>
      <w:r w:rsidR="00B846B4" w:rsidRPr="00A81003">
        <w:rPr>
          <w:sz w:val="24"/>
          <w:szCs w:val="24"/>
        </w:rPr>
        <w:t>).</w:t>
      </w:r>
    </w:p>
    <w:p w:rsidR="00D56F1E" w:rsidRPr="00A81003" w:rsidRDefault="00264A1E" w:rsidP="0029520B">
      <w:pPr>
        <w:adjustRightInd w:val="0"/>
        <w:snapToGrid w:val="0"/>
        <w:spacing w:after="0" w:line="480" w:lineRule="auto"/>
        <w:ind w:firstLine="720"/>
        <w:jc w:val="both"/>
        <w:rPr>
          <w:sz w:val="24"/>
          <w:szCs w:val="24"/>
        </w:rPr>
      </w:pPr>
      <w:r w:rsidRPr="00A81003">
        <w:rPr>
          <w:sz w:val="24"/>
          <w:szCs w:val="24"/>
        </w:rPr>
        <w:t xml:space="preserve">At the </w:t>
      </w:r>
      <w:r w:rsidR="002E4CA3" w:rsidRPr="00A81003">
        <w:rPr>
          <w:sz w:val="24"/>
          <w:szCs w:val="24"/>
        </w:rPr>
        <w:t>two-</w:t>
      </w:r>
      <w:r w:rsidRPr="00A81003">
        <w:rPr>
          <w:sz w:val="24"/>
          <w:szCs w:val="24"/>
        </w:rPr>
        <w:t xml:space="preserve">, </w:t>
      </w:r>
      <w:r w:rsidR="002E4CA3" w:rsidRPr="00A81003">
        <w:rPr>
          <w:sz w:val="24"/>
          <w:szCs w:val="24"/>
        </w:rPr>
        <w:t>three-</w:t>
      </w:r>
      <w:r w:rsidR="0053712F">
        <w:rPr>
          <w:sz w:val="24"/>
          <w:szCs w:val="24"/>
        </w:rPr>
        <w:t>,</w:t>
      </w:r>
      <w:r w:rsidRPr="00A81003">
        <w:rPr>
          <w:sz w:val="24"/>
          <w:szCs w:val="24"/>
        </w:rPr>
        <w:t xml:space="preserve"> and </w:t>
      </w:r>
      <w:r w:rsidR="002E4CA3" w:rsidRPr="00A81003">
        <w:rPr>
          <w:sz w:val="24"/>
          <w:szCs w:val="24"/>
        </w:rPr>
        <w:t>four-week</w:t>
      </w:r>
      <w:r w:rsidRPr="00A81003">
        <w:rPr>
          <w:sz w:val="24"/>
          <w:szCs w:val="24"/>
        </w:rPr>
        <w:t xml:space="preserve"> horizons, </w:t>
      </w:r>
      <w:r w:rsidRPr="00A81003">
        <w:rPr>
          <w:i/>
          <w:sz w:val="24"/>
          <w:szCs w:val="24"/>
        </w:rPr>
        <w:t>BD</w:t>
      </w:r>
      <w:r w:rsidRPr="00A81003">
        <w:rPr>
          <w:sz w:val="24"/>
          <w:szCs w:val="24"/>
        </w:rPr>
        <w:t xml:space="preserve">, </w:t>
      </w:r>
      <w:r w:rsidRPr="00A81003">
        <w:rPr>
          <w:i/>
          <w:sz w:val="24"/>
          <w:szCs w:val="24"/>
        </w:rPr>
        <w:t>TSMSV</w:t>
      </w:r>
      <w:r w:rsidR="00FC7918" w:rsidRPr="00A81003">
        <w:rPr>
          <w:sz w:val="24"/>
          <w:szCs w:val="24"/>
        </w:rPr>
        <w:t>,</w:t>
      </w:r>
      <w:r w:rsidRPr="00A81003">
        <w:rPr>
          <w:sz w:val="24"/>
          <w:szCs w:val="24"/>
        </w:rPr>
        <w:t xml:space="preserve"> </w:t>
      </w:r>
      <w:r w:rsidRPr="00A81003">
        <w:rPr>
          <w:i/>
          <w:sz w:val="24"/>
          <w:szCs w:val="24"/>
        </w:rPr>
        <w:t>PU</w:t>
      </w:r>
      <w:r w:rsidR="00EB6392">
        <w:rPr>
          <w:i/>
          <w:sz w:val="24"/>
          <w:szCs w:val="24"/>
        </w:rPr>
        <w:t>,</w:t>
      </w:r>
      <w:r w:rsidR="002A1F15" w:rsidRPr="00AD4513">
        <w:rPr>
          <w:sz w:val="24"/>
          <w:szCs w:val="24"/>
        </w:rPr>
        <w:t xml:space="preserve"> and</w:t>
      </w:r>
      <w:r w:rsidR="002A1F15" w:rsidRPr="00A81003">
        <w:rPr>
          <w:i/>
          <w:sz w:val="24"/>
          <w:szCs w:val="24"/>
        </w:rPr>
        <w:t xml:space="preserve"> FU</w:t>
      </w:r>
      <w:r w:rsidRPr="00A81003">
        <w:rPr>
          <w:sz w:val="24"/>
          <w:szCs w:val="24"/>
        </w:rPr>
        <w:t xml:space="preserve"> all display substantially stronger predictive</w:t>
      </w:r>
      <w:r w:rsidR="00AE3445">
        <w:rPr>
          <w:sz w:val="24"/>
          <w:szCs w:val="24"/>
        </w:rPr>
        <w:t xml:space="preserve"> power</w:t>
      </w:r>
      <w:r w:rsidRPr="00A81003">
        <w:rPr>
          <w:sz w:val="24"/>
          <w:szCs w:val="24"/>
        </w:rPr>
        <w:t xml:space="preserve"> </w:t>
      </w:r>
      <w:r w:rsidR="00D71E93">
        <w:rPr>
          <w:sz w:val="24"/>
          <w:szCs w:val="24"/>
        </w:rPr>
        <w:t xml:space="preserve">than </w:t>
      </w:r>
      <w:r w:rsidRPr="00A81003">
        <w:rPr>
          <w:sz w:val="24"/>
          <w:szCs w:val="24"/>
        </w:rPr>
        <w:t>other popular predictors</w:t>
      </w:r>
      <w:r w:rsidR="00AD2512" w:rsidRPr="00A81003">
        <w:rPr>
          <w:sz w:val="24"/>
          <w:szCs w:val="24"/>
        </w:rPr>
        <w:t>; s</w:t>
      </w:r>
      <w:r w:rsidRPr="00A81003">
        <w:rPr>
          <w:sz w:val="24"/>
          <w:szCs w:val="24"/>
        </w:rPr>
        <w:t xml:space="preserve">pecifically, </w:t>
      </w:r>
      <w:r w:rsidR="009909B2" w:rsidRPr="00A81003">
        <w:rPr>
          <w:sz w:val="24"/>
          <w:szCs w:val="24"/>
        </w:rPr>
        <w:t>the</w:t>
      </w:r>
      <w:r w:rsidR="00AD2512" w:rsidRPr="00A81003">
        <w:rPr>
          <w:sz w:val="24"/>
          <w:szCs w:val="24"/>
        </w:rPr>
        <w:t>ir</w:t>
      </w:r>
      <w:r w:rsidR="009909B2" w:rsidRPr="00A81003">
        <w:rPr>
          <w:sz w:val="24"/>
          <w:szCs w:val="24"/>
        </w:rPr>
        <w:t xml:space="preserve"> </w:t>
      </w:r>
      <w:r w:rsidRPr="00A81003">
        <w:rPr>
          <w:sz w:val="24"/>
          <w:szCs w:val="24"/>
        </w:rPr>
        <w:t>estimator</w:t>
      </w:r>
      <w:r w:rsidR="009909B2" w:rsidRPr="00A81003">
        <w:rPr>
          <w:sz w:val="24"/>
          <w:szCs w:val="24"/>
        </w:rPr>
        <w:t>s</w:t>
      </w:r>
      <w:r w:rsidRPr="00A81003">
        <w:rPr>
          <w:sz w:val="24"/>
          <w:szCs w:val="24"/>
        </w:rPr>
        <w:t xml:space="preserve"> </w:t>
      </w:r>
      <w:r w:rsidR="00AD2512" w:rsidRPr="00A81003">
        <w:rPr>
          <w:sz w:val="24"/>
          <w:szCs w:val="24"/>
        </w:rPr>
        <w:t xml:space="preserve">at the four-week horizon </w:t>
      </w:r>
      <w:r w:rsidRPr="00A81003">
        <w:rPr>
          <w:sz w:val="24"/>
          <w:szCs w:val="24"/>
        </w:rPr>
        <w:t>are 0.19, 0.</w:t>
      </w:r>
      <w:r w:rsidR="002A1F15" w:rsidRPr="00A81003">
        <w:rPr>
          <w:sz w:val="24"/>
          <w:szCs w:val="24"/>
        </w:rPr>
        <w:t>26</w:t>
      </w:r>
      <w:r w:rsidRPr="00A81003">
        <w:rPr>
          <w:sz w:val="24"/>
          <w:szCs w:val="24"/>
        </w:rPr>
        <w:t>, 0.</w:t>
      </w:r>
      <w:r w:rsidR="002A1F15" w:rsidRPr="00A81003">
        <w:rPr>
          <w:sz w:val="24"/>
          <w:szCs w:val="24"/>
        </w:rPr>
        <w:t>21</w:t>
      </w:r>
      <w:r w:rsidR="00EB6392">
        <w:rPr>
          <w:sz w:val="24"/>
          <w:szCs w:val="24"/>
        </w:rPr>
        <w:t>,</w:t>
      </w:r>
      <w:r w:rsidRPr="00A81003">
        <w:rPr>
          <w:sz w:val="24"/>
          <w:szCs w:val="24"/>
        </w:rPr>
        <w:t xml:space="preserve"> and 0.</w:t>
      </w:r>
      <w:r w:rsidR="002A1F15" w:rsidRPr="00A81003">
        <w:rPr>
          <w:sz w:val="24"/>
          <w:szCs w:val="24"/>
        </w:rPr>
        <w:t>25</w:t>
      </w:r>
      <w:r w:rsidR="006F6B43" w:rsidRPr="00A81003">
        <w:rPr>
          <w:sz w:val="24"/>
          <w:szCs w:val="24"/>
        </w:rPr>
        <w:t>,</w:t>
      </w:r>
      <w:r w:rsidRPr="00A81003">
        <w:rPr>
          <w:sz w:val="24"/>
          <w:szCs w:val="24"/>
        </w:rPr>
        <w:t xml:space="preserve"> respectively. The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sidRPr="00A81003">
        <w:rPr>
          <w:sz w:val="24"/>
          <w:szCs w:val="24"/>
        </w:rPr>
        <w:t xml:space="preserve"> statistics further support</w:t>
      </w:r>
      <w:r w:rsidR="00D71E93">
        <w:rPr>
          <w:sz w:val="24"/>
          <w:szCs w:val="24"/>
        </w:rPr>
        <w:t xml:space="preserve"> </w:t>
      </w:r>
      <w:r w:rsidRPr="00A81003">
        <w:rPr>
          <w:sz w:val="24"/>
          <w:szCs w:val="24"/>
        </w:rPr>
        <w:t xml:space="preserve">our estimation results. </w:t>
      </w:r>
      <w:r w:rsidR="008913C1" w:rsidRPr="00A81003">
        <w:rPr>
          <w:sz w:val="24"/>
          <w:szCs w:val="24"/>
        </w:rPr>
        <w:t xml:space="preserve">The four </w:t>
      </w:r>
      <w:r w:rsidRPr="00A81003">
        <w:rPr>
          <w:sz w:val="24"/>
          <w:szCs w:val="24"/>
        </w:rPr>
        <w:t>significant predictors are well above th</w:t>
      </w:r>
      <w:r w:rsidR="00F92CE9">
        <w:rPr>
          <w:sz w:val="24"/>
          <w:szCs w:val="24"/>
        </w:rPr>
        <w:t>e</w:t>
      </w:r>
      <w:r w:rsidRPr="00A81003">
        <w:rPr>
          <w:sz w:val="24"/>
          <w:szCs w:val="24"/>
        </w:rPr>
        <w:t xml:space="preserve"> </w:t>
      </w:r>
      <w:r w:rsidR="004B218A">
        <w:rPr>
          <w:sz w:val="24"/>
          <w:szCs w:val="24"/>
        </w:rPr>
        <w:t>0.</w:t>
      </w:r>
      <w:r w:rsidR="00F92CE9">
        <w:rPr>
          <w:sz w:val="24"/>
          <w:szCs w:val="24"/>
        </w:rPr>
        <w:t xml:space="preserve">5% </w:t>
      </w:r>
      <w:r w:rsidRPr="00A81003">
        <w:rPr>
          <w:sz w:val="24"/>
          <w:szCs w:val="24"/>
        </w:rPr>
        <w:t xml:space="preserve">threshold. Regarding </w:t>
      </w:r>
      <w:r w:rsidR="001D2CB9" w:rsidRPr="00A81003">
        <w:rPr>
          <w:sz w:val="24"/>
          <w:szCs w:val="24"/>
        </w:rPr>
        <w:t xml:space="preserve">the </w:t>
      </w:r>
      <w:r w:rsidRPr="00A81003">
        <w:rPr>
          <w:sz w:val="24"/>
          <w:szCs w:val="24"/>
        </w:rPr>
        <w:t>Bitcoin hedging ability</w:t>
      </w:r>
      <w:r w:rsidR="007E65FB" w:rsidRPr="00A81003">
        <w:rPr>
          <w:sz w:val="24"/>
          <w:szCs w:val="24"/>
        </w:rPr>
        <w:t xml:space="preserve"> over a longer time frame</w:t>
      </w:r>
      <w:r w:rsidRPr="00A81003">
        <w:rPr>
          <w:sz w:val="24"/>
          <w:szCs w:val="24"/>
        </w:rPr>
        <w:t xml:space="preserve">, we </w:t>
      </w:r>
      <w:r w:rsidR="004870C6" w:rsidRPr="00A81003">
        <w:rPr>
          <w:sz w:val="24"/>
          <w:szCs w:val="24"/>
        </w:rPr>
        <w:t>find</w:t>
      </w:r>
      <w:r w:rsidRPr="00A81003">
        <w:rPr>
          <w:sz w:val="24"/>
          <w:szCs w:val="24"/>
        </w:rPr>
        <w:t xml:space="preserve"> that the predict</w:t>
      </w:r>
      <w:r w:rsidR="001D2CB9" w:rsidRPr="00A81003">
        <w:rPr>
          <w:sz w:val="24"/>
          <w:szCs w:val="24"/>
        </w:rPr>
        <w:t>ability</w:t>
      </w:r>
      <w:r w:rsidRPr="00A81003">
        <w:rPr>
          <w:sz w:val="24"/>
          <w:szCs w:val="24"/>
        </w:rPr>
        <w:t xml:space="preserve"> of </w:t>
      </w:r>
      <w:r w:rsidRPr="00A81003">
        <w:rPr>
          <w:i/>
          <w:sz w:val="24"/>
          <w:szCs w:val="24"/>
        </w:rPr>
        <w:t>VIX</w:t>
      </w:r>
      <w:r w:rsidRPr="00A81003">
        <w:rPr>
          <w:sz w:val="24"/>
          <w:szCs w:val="24"/>
        </w:rPr>
        <w:t xml:space="preserve">, </w:t>
      </w:r>
      <w:r w:rsidRPr="00A81003">
        <w:rPr>
          <w:i/>
          <w:sz w:val="24"/>
          <w:szCs w:val="24"/>
        </w:rPr>
        <w:t>VXD</w:t>
      </w:r>
      <w:r w:rsidRPr="00A81003">
        <w:rPr>
          <w:sz w:val="24"/>
          <w:szCs w:val="24"/>
        </w:rPr>
        <w:t xml:space="preserve">, </w:t>
      </w:r>
      <w:r w:rsidRPr="00A81003">
        <w:rPr>
          <w:i/>
          <w:sz w:val="24"/>
          <w:szCs w:val="24"/>
        </w:rPr>
        <w:t>VXN</w:t>
      </w:r>
      <w:r w:rsidR="00D71E93">
        <w:rPr>
          <w:i/>
          <w:sz w:val="24"/>
          <w:szCs w:val="24"/>
        </w:rPr>
        <w:t>,</w:t>
      </w:r>
      <w:r w:rsidRPr="00A81003">
        <w:rPr>
          <w:sz w:val="24"/>
          <w:szCs w:val="24"/>
        </w:rPr>
        <w:t xml:space="preserve"> and </w:t>
      </w:r>
      <w:r w:rsidRPr="00A81003">
        <w:rPr>
          <w:i/>
          <w:sz w:val="24"/>
          <w:szCs w:val="24"/>
        </w:rPr>
        <w:t>VXO</w:t>
      </w:r>
      <w:r w:rsidRPr="00A81003">
        <w:rPr>
          <w:sz w:val="24"/>
          <w:szCs w:val="24"/>
        </w:rPr>
        <w:t xml:space="preserve"> significantly decrease</w:t>
      </w:r>
      <w:r w:rsidR="001D2CB9" w:rsidRPr="00A81003">
        <w:rPr>
          <w:sz w:val="24"/>
          <w:szCs w:val="24"/>
        </w:rPr>
        <w:t>s</w:t>
      </w:r>
      <w:r w:rsidRPr="00A81003">
        <w:rPr>
          <w:sz w:val="24"/>
          <w:szCs w:val="24"/>
        </w:rPr>
        <w:t xml:space="preserve">, while that of </w:t>
      </w:r>
      <w:r w:rsidR="008A3134" w:rsidRPr="00A81003">
        <w:rPr>
          <w:i/>
          <w:iCs/>
          <w:sz w:val="24"/>
          <w:szCs w:val="24"/>
        </w:rPr>
        <w:t>PU</w:t>
      </w:r>
      <w:r w:rsidR="008913C1" w:rsidRPr="00A81003">
        <w:rPr>
          <w:sz w:val="24"/>
          <w:szCs w:val="24"/>
        </w:rPr>
        <w:t xml:space="preserve"> </w:t>
      </w:r>
      <w:r w:rsidR="008913C1" w:rsidRPr="00A81003">
        <w:rPr>
          <w:sz w:val="24"/>
          <w:szCs w:val="24"/>
        </w:rPr>
        <w:lastRenderedPageBreak/>
        <w:t xml:space="preserve">and </w:t>
      </w:r>
      <w:r w:rsidR="008913C1" w:rsidRPr="00A81003">
        <w:rPr>
          <w:i/>
          <w:iCs/>
          <w:sz w:val="24"/>
          <w:szCs w:val="24"/>
        </w:rPr>
        <w:t>FU</w:t>
      </w:r>
      <w:r w:rsidR="006F6B43" w:rsidRPr="00A81003">
        <w:rPr>
          <w:sz w:val="24"/>
          <w:szCs w:val="24"/>
        </w:rPr>
        <w:t xml:space="preserve"> </w:t>
      </w:r>
      <w:r w:rsidR="001D2CB9" w:rsidRPr="00A81003">
        <w:rPr>
          <w:sz w:val="24"/>
          <w:szCs w:val="24"/>
        </w:rPr>
        <w:t>remain</w:t>
      </w:r>
      <w:r w:rsidR="006F6B43" w:rsidRPr="00A81003">
        <w:rPr>
          <w:sz w:val="24"/>
          <w:szCs w:val="24"/>
        </w:rPr>
        <w:t>s</w:t>
      </w:r>
      <w:r w:rsidR="001D2CB9" w:rsidRPr="00A81003">
        <w:rPr>
          <w:sz w:val="24"/>
          <w:szCs w:val="24"/>
        </w:rPr>
        <w:t xml:space="preserve"> significant</w:t>
      </w:r>
      <w:r w:rsidRPr="00A81003">
        <w:rPr>
          <w:sz w:val="24"/>
          <w:szCs w:val="24"/>
        </w:rPr>
        <w:t>. The</w:t>
      </w:r>
      <w:r w:rsidR="00D71E93">
        <w:rPr>
          <w:sz w:val="24"/>
          <w:szCs w:val="24"/>
        </w:rPr>
        <w:t>se</w:t>
      </w:r>
      <w:r w:rsidRPr="00A81003">
        <w:rPr>
          <w:sz w:val="24"/>
          <w:szCs w:val="24"/>
        </w:rPr>
        <w:t xml:space="preserve"> findings imply that Bitcoin can be </w:t>
      </w:r>
      <w:r w:rsidR="00CB0DF8" w:rsidRPr="00A81003">
        <w:rPr>
          <w:sz w:val="24"/>
          <w:szCs w:val="24"/>
        </w:rPr>
        <w:t>predicted by</w:t>
      </w:r>
      <w:r w:rsidRPr="00A81003">
        <w:rPr>
          <w:sz w:val="24"/>
          <w:szCs w:val="24"/>
        </w:rPr>
        <w:t xml:space="preserve"> </w:t>
      </w:r>
      <w:r w:rsidR="00090DDD" w:rsidRPr="00A81003">
        <w:rPr>
          <w:sz w:val="24"/>
          <w:szCs w:val="24"/>
        </w:rPr>
        <w:t xml:space="preserve">the </w:t>
      </w:r>
      <w:r w:rsidR="002C35B6" w:rsidRPr="00A81003">
        <w:rPr>
          <w:sz w:val="24"/>
          <w:szCs w:val="24"/>
        </w:rPr>
        <w:t xml:space="preserve">policy-related economic uncertainty </w:t>
      </w:r>
      <w:r w:rsidR="002C35B6">
        <w:rPr>
          <w:sz w:val="24"/>
          <w:szCs w:val="24"/>
        </w:rPr>
        <w:t xml:space="preserve">and </w:t>
      </w:r>
      <w:r w:rsidRPr="00A81003">
        <w:rPr>
          <w:sz w:val="24"/>
          <w:szCs w:val="24"/>
        </w:rPr>
        <w:t>financial market</w:t>
      </w:r>
      <w:r w:rsidR="00090DDD" w:rsidRPr="00A81003">
        <w:rPr>
          <w:sz w:val="24"/>
          <w:szCs w:val="24"/>
        </w:rPr>
        <w:t>’s</w:t>
      </w:r>
      <w:r w:rsidRPr="00A81003">
        <w:rPr>
          <w:sz w:val="24"/>
          <w:szCs w:val="24"/>
        </w:rPr>
        <w:t xml:space="preserve"> </w:t>
      </w:r>
      <w:r w:rsidR="00F52D8E" w:rsidRPr="00A81003">
        <w:rPr>
          <w:sz w:val="24"/>
          <w:szCs w:val="24"/>
        </w:rPr>
        <w:t>uncertainty</w:t>
      </w:r>
      <w:r w:rsidRPr="00A81003">
        <w:rPr>
          <w:sz w:val="24"/>
          <w:szCs w:val="24"/>
        </w:rPr>
        <w:t>.</w:t>
      </w:r>
    </w:p>
    <w:p w:rsidR="003E4F64" w:rsidRPr="00A81003" w:rsidRDefault="003E4F64" w:rsidP="003E4F64">
      <w:pPr>
        <w:adjustRightInd w:val="0"/>
        <w:snapToGrid w:val="0"/>
        <w:spacing w:after="0" w:line="480" w:lineRule="auto"/>
        <w:ind w:firstLine="720"/>
        <w:jc w:val="both"/>
        <w:rPr>
          <w:sz w:val="24"/>
          <w:szCs w:val="24"/>
        </w:rPr>
      </w:pPr>
      <w:r w:rsidRPr="00A81003">
        <w:rPr>
          <w:sz w:val="24"/>
          <w:szCs w:val="24"/>
        </w:rPr>
        <w:t xml:space="preserve">Clearly, many predictors </w:t>
      </w:r>
      <w:r w:rsidR="0053712F">
        <w:rPr>
          <w:sz w:val="24"/>
          <w:szCs w:val="24"/>
        </w:rPr>
        <w:t>are</w:t>
      </w:r>
      <w:r w:rsidR="004B6822">
        <w:rPr>
          <w:sz w:val="24"/>
          <w:szCs w:val="24"/>
        </w:rPr>
        <w:t xml:space="preserve"> </w:t>
      </w:r>
      <w:r>
        <w:rPr>
          <w:sz w:val="24"/>
          <w:szCs w:val="24"/>
        </w:rPr>
        <w:t>omitted</w:t>
      </w:r>
      <w:r w:rsidRPr="00A81003">
        <w:rPr>
          <w:sz w:val="24"/>
          <w:szCs w:val="24"/>
        </w:rPr>
        <w:t xml:space="preserve"> as a result of either the lack of statistical significance in </w:t>
      </w:r>
      <m:oMath>
        <m:acc>
          <m:accPr>
            <m:ctrlPr>
              <w:rPr>
                <w:rFonts w:ascii="Cambria Math" w:hAnsi="Cambria Math"/>
                <w:i/>
                <w:sz w:val="24"/>
                <w:szCs w:val="24"/>
              </w:rPr>
            </m:ctrlPr>
          </m:accPr>
          <m:e>
            <m:r>
              <w:rPr>
                <w:rFonts w:ascii="Cambria Math" w:hAnsi="Cambria Math"/>
                <w:sz w:val="24"/>
                <w:szCs w:val="24"/>
              </w:rPr>
              <m:t>β</m:t>
            </m:r>
          </m:e>
        </m:acc>
        <m:r>
          <w:rPr>
            <w:rFonts w:ascii="Cambria Math" w:hAnsi="Cambria Math"/>
            <w:sz w:val="24"/>
            <w:szCs w:val="24"/>
          </w:rPr>
          <m:t xml:space="preserve"> </m:t>
        </m:r>
      </m:oMath>
      <w:r w:rsidRPr="00A81003">
        <w:rPr>
          <w:sz w:val="24"/>
          <w:szCs w:val="24"/>
        </w:rPr>
        <w:t xml:space="preserve">or having </w:t>
      </w:r>
      <w:r>
        <w:rPr>
          <w:sz w:val="24"/>
          <w:szCs w:val="24"/>
        </w:rPr>
        <w:t xml:space="preserve">an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sidRPr="00A81003">
        <w:rPr>
          <w:sz w:val="24"/>
          <w:szCs w:val="24"/>
        </w:rPr>
        <w:t xml:space="preserve"> </w:t>
      </w:r>
      <w:r w:rsidRPr="004C02EB">
        <w:rPr>
          <w:sz w:val="24"/>
          <w:szCs w:val="24"/>
        </w:rPr>
        <w:t>≤</w:t>
      </w:r>
      <w:r w:rsidRPr="00A81003">
        <w:rPr>
          <w:sz w:val="24"/>
          <w:szCs w:val="24"/>
        </w:rPr>
        <w:t xml:space="preserve"> 0.5%. However, this finding is </w:t>
      </w:r>
      <w:r>
        <w:rPr>
          <w:sz w:val="24"/>
          <w:szCs w:val="24"/>
        </w:rPr>
        <w:t>as anticipated,</w:t>
      </w:r>
      <w:r w:rsidRPr="00A81003">
        <w:rPr>
          <w:sz w:val="24"/>
          <w:szCs w:val="24"/>
        </w:rPr>
        <w:t xml:space="preserve"> </w:t>
      </w:r>
      <w:r>
        <w:rPr>
          <w:sz w:val="24"/>
          <w:szCs w:val="24"/>
        </w:rPr>
        <w:t xml:space="preserve">as </w:t>
      </w:r>
      <w:proofErr w:type="spellStart"/>
      <w:r w:rsidRPr="00A81003">
        <w:rPr>
          <w:sz w:val="24"/>
          <w:szCs w:val="24"/>
        </w:rPr>
        <w:t>Rapach</w:t>
      </w:r>
      <w:proofErr w:type="spellEnd"/>
      <w:r w:rsidRPr="00A81003">
        <w:rPr>
          <w:sz w:val="24"/>
          <w:szCs w:val="24"/>
        </w:rPr>
        <w:t xml:space="preserve"> et al. (2016) reveal that only </w:t>
      </w:r>
      <w:r w:rsidR="004B6822">
        <w:rPr>
          <w:sz w:val="24"/>
          <w:szCs w:val="24"/>
        </w:rPr>
        <w:t xml:space="preserve">few </w:t>
      </w:r>
      <w:r w:rsidRPr="00A81003">
        <w:rPr>
          <w:sz w:val="24"/>
          <w:szCs w:val="24"/>
        </w:rPr>
        <w:t>predictors of aggregate stock returns display strong predictive power. However, in-sample forecasts could be subject to the Stambaugh bias (</w:t>
      </w:r>
      <w:proofErr w:type="spellStart"/>
      <w:r w:rsidRPr="00A81003">
        <w:rPr>
          <w:sz w:val="24"/>
          <w:szCs w:val="24"/>
        </w:rPr>
        <w:t>Busetti</w:t>
      </w:r>
      <w:proofErr w:type="spellEnd"/>
      <w:r w:rsidRPr="00A81003">
        <w:rPr>
          <w:sz w:val="24"/>
          <w:szCs w:val="24"/>
        </w:rPr>
        <w:t xml:space="preserve"> and </w:t>
      </w:r>
      <w:proofErr w:type="spellStart"/>
      <w:r w:rsidRPr="00A81003">
        <w:rPr>
          <w:sz w:val="24"/>
          <w:szCs w:val="24"/>
        </w:rPr>
        <w:t>Marcucci</w:t>
      </w:r>
      <w:proofErr w:type="spellEnd"/>
      <w:r w:rsidRPr="00A81003">
        <w:rPr>
          <w:sz w:val="24"/>
          <w:szCs w:val="24"/>
        </w:rPr>
        <w:t>, 2013)</w:t>
      </w:r>
      <w:r>
        <w:rPr>
          <w:sz w:val="24"/>
          <w:szCs w:val="24"/>
        </w:rPr>
        <w:t>, and thus,</w:t>
      </w:r>
      <w:r w:rsidRPr="00A81003">
        <w:rPr>
          <w:sz w:val="24"/>
          <w:szCs w:val="24"/>
        </w:rPr>
        <w:t xml:space="preserve"> it is essential to assess </w:t>
      </w:r>
      <w:r>
        <w:rPr>
          <w:sz w:val="24"/>
          <w:szCs w:val="24"/>
        </w:rPr>
        <w:t xml:space="preserve">Bitcoin returns’ </w:t>
      </w:r>
      <w:r w:rsidRPr="00A81003">
        <w:rPr>
          <w:sz w:val="24"/>
          <w:szCs w:val="24"/>
        </w:rPr>
        <w:t>out-of-sample predictability.</w:t>
      </w:r>
    </w:p>
    <w:p w:rsidR="001768DF" w:rsidRPr="00AD4513" w:rsidRDefault="00943CE7" w:rsidP="0029520B">
      <w:pPr>
        <w:pStyle w:val="Heading3"/>
        <w:numPr>
          <w:ilvl w:val="1"/>
          <w:numId w:val="1"/>
        </w:numPr>
        <w:adjustRightInd w:val="0"/>
        <w:snapToGrid w:val="0"/>
        <w:spacing w:line="480" w:lineRule="auto"/>
        <w:ind w:left="0" w:firstLine="720"/>
        <w:contextualSpacing w:val="0"/>
        <w:rPr>
          <w:b/>
        </w:rPr>
      </w:pPr>
      <w:r w:rsidRPr="00AD4513">
        <w:rPr>
          <w:b/>
        </w:rPr>
        <w:t xml:space="preserve">Out-of-sample </w:t>
      </w:r>
      <w:r w:rsidR="00AF5D0A" w:rsidRPr="00AD4513">
        <w:rPr>
          <w:b/>
        </w:rPr>
        <w:t>predictability</w:t>
      </w:r>
    </w:p>
    <w:p w:rsidR="00FD628E" w:rsidRPr="00A81003" w:rsidRDefault="003E4F64" w:rsidP="0029520B">
      <w:pPr>
        <w:adjustRightInd w:val="0"/>
        <w:snapToGrid w:val="0"/>
        <w:spacing w:after="0" w:line="480" w:lineRule="auto"/>
        <w:ind w:firstLine="720"/>
        <w:jc w:val="both"/>
        <w:rPr>
          <w:sz w:val="24"/>
          <w:szCs w:val="24"/>
        </w:rPr>
      </w:pPr>
      <w:r w:rsidRPr="00A81003">
        <w:rPr>
          <w:sz w:val="24"/>
          <w:szCs w:val="24"/>
        </w:rPr>
        <w:t xml:space="preserve">According to Welch and Goyal (2008), in-sample predictability can </w:t>
      </w:r>
      <w:r>
        <w:rPr>
          <w:sz w:val="24"/>
          <w:szCs w:val="24"/>
        </w:rPr>
        <w:t>occur as a result of</w:t>
      </w:r>
      <w:r w:rsidRPr="00A81003">
        <w:rPr>
          <w:sz w:val="24"/>
          <w:szCs w:val="24"/>
        </w:rPr>
        <w:t xml:space="preserve"> overfitting, while out-of-sample forecasting is a more stringent test of return predictability. Therefore, </w:t>
      </w:r>
      <w:r>
        <w:rPr>
          <w:sz w:val="24"/>
          <w:szCs w:val="24"/>
        </w:rPr>
        <w:t>the remaining analysis focus</w:t>
      </w:r>
      <w:r w:rsidRPr="00A81003">
        <w:rPr>
          <w:sz w:val="24"/>
          <w:szCs w:val="24"/>
        </w:rPr>
        <w:t xml:space="preserve"> more </w:t>
      </w:r>
      <w:r>
        <w:rPr>
          <w:sz w:val="24"/>
          <w:szCs w:val="24"/>
        </w:rPr>
        <w:t>on</w:t>
      </w:r>
      <w:r w:rsidRPr="00A81003">
        <w:rPr>
          <w:sz w:val="24"/>
          <w:szCs w:val="24"/>
        </w:rPr>
        <w:t xml:space="preserve"> our out-of-sample results. </w:t>
      </w:r>
      <w:r>
        <w:rPr>
          <w:sz w:val="24"/>
          <w:szCs w:val="24"/>
        </w:rPr>
        <w:t>Table 4 presents t</w:t>
      </w:r>
      <w:r w:rsidRPr="00A81003">
        <w:rPr>
          <w:sz w:val="24"/>
          <w:szCs w:val="24"/>
        </w:rPr>
        <w:t xml:space="preserve">he out-of-sample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sidRPr="00A81003">
        <w:rPr>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oMath>
      <w:r w:rsidRPr="00A81003">
        <w:rPr>
          <w:sz w:val="24"/>
          <w:szCs w:val="24"/>
        </w:rPr>
        <w:t>)</w:t>
      </w:r>
      <w:r w:rsidR="00E557EF">
        <w:rPr>
          <w:sz w:val="24"/>
          <w:szCs w:val="24"/>
        </w:rPr>
        <w:t xml:space="preserve"> </w:t>
      </w:r>
      <w:r w:rsidRPr="00A81003">
        <w:rPr>
          <w:sz w:val="24"/>
          <w:szCs w:val="24"/>
        </w:rPr>
        <w:t>and Clark and West</w:t>
      </w:r>
      <w:r>
        <w:rPr>
          <w:sz w:val="24"/>
          <w:szCs w:val="24"/>
        </w:rPr>
        <w:t>’s</w:t>
      </w:r>
      <w:r w:rsidRPr="00A81003">
        <w:rPr>
          <w:sz w:val="24"/>
          <w:szCs w:val="24"/>
        </w:rPr>
        <w:t xml:space="preserve"> (2007) MSFE-adjusted statistic</w:t>
      </w:r>
      <w:r w:rsidR="0053712F">
        <w:rPr>
          <w:sz w:val="24"/>
          <w:szCs w:val="24"/>
        </w:rPr>
        <w:t>s</w:t>
      </w:r>
      <w:r w:rsidRPr="00A81003">
        <w:rPr>
          <w:sz w:val="24"/>
          <w:szCs w:val="24"/>
        </w:rPr>
        <w:t xml:space="preserve"> for </w:t>
      </w:r>
      <w:r>
        <w:rPr>
          <w:sz w:val="24"/>
          <w:szCs w:val="24"/>
        </w:rPr>
        <w:t xml:space="preserve">the </w:t>
      </w:r>
      <w:r w:rsidRPr="00A81003">
        <w:rPr>
          <w:sz w:val="24"/>
          <w:szCs w:val="24"/>
        </w:rPr>
        <w:t xml:space="preserve">out-of-sample return predictability across </w:t>
      </w:r>
      <w:r w:rsidRPr="00A81003">
        <w:rPr>
          <w:i/>
          <w:iCs/>
          <w:sz w:val="24"/>
          <w:szCs w:val="24"/>
        </w:rPr>
        <w:t>h</w:t>
      </w:r>
      <w:r w:rsidRPr="00A81003">
        <w:rPr>
          <w:sz w:val="24"/>
          <w:szCs w:val="24"/>
        </w:rPr>
        <w:t xml:space="preserve">-day horizons. We select those predictors that have positive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oMath>
      <w:r w:rsidRPr="00A81003">
        <w:rPr>
          <w:sz w:val="24"/>
          <w:szCs w:val="24"/>
        </w:rPr>
        <w:t xml:space="preserve"> values and </w:t>
      </w:r>
      <w:r w:rsidR="00F009AD">
        <w:rPr>
          <w:sz w:val="24"/>
          <w:szCs w:val="24"/>
        </w:rPr>
        <w:t>statistically significant</w:t>
      </w:r>
      <w:r w:rsidRPr="00A81003">
        <w:rPr>
          <w:sz w:val="24"/>
          <w:szCs w:val="24"/>
        </w:rPr>
        <w:t xml:space="preserve"> Clark and West (2007) test. For the four in-sample predictors (</w:t>
      </w:r>
      <w:r w:rsidRPr="00A81003">
        <w:rPr>
          <w:i/>
          <w:iCs/>
          <w:sz w:val="24"/>
          <w:szCs w:val="24"/>
        </w:rPr>
        <w:t xml:space="preserve">BD, TSMSV, PU, </w:t>
      </w:r>
      <w:r w:rsidRPr="00A81003">
        <w:rPr>
          <w:sz w:val="24"/>
          <w:szCs w:val="24"/>
        </w:rPr>
        <w:t>and</w:t>
      </w:r>
      <w:r w:rsidRPr="00A81003">
        <w:rPr>
          <w:i/>
          <w:iCs/>
          <w:sz w:val="24"/>
          <w:szCs w:val="24"/>
        </w:rPr>
        <w:t xml:space="preserve"> FU</w:t>
      </w:r>
      <w:r w:rsidRPr="00A81003">
        <w:rPr>
          <w:sz w:val="24"/>
          <w:szCs w:val="24"/>
        </w:rPr>
        <w:t xml:space="preserve">) </w:t>
      </w:r>
      <w:r w:rsidR="00F009AD">
        <w:rPr>
          <w:sz w:val="24"/>
          <w:szCs w:val="24"/>
        </w:rPr>
        <w:t>with a</w:t>
      </w:r>
      <w:r w:rsidRPr="00A81003">
        <w:rPr>
          <w:sz w:val="24"/>
          <w:szCs w:val="24"/>
        </w:rPr>
        <w:t xml:space="preserve"> positive </w:t>
      </w:r>
      <m:oMath>
        <m:acc>
          <m:accPr>
            <m:ctrlPr>
              <w:rPr>
                <w:rFonts w:ascii="Cambria Math" w:hAnsi="Cambria Math"/>
                <w:i/>
                <w:sz w:val="24"/>
                <w:szCs w:val="24"/>
              </w:rPr>
            </m:ctrlPr>
          </m:accPr>
          <m:e>
            <m:r>
              <w:rPr>
                <w:rFonts w:ascii="Cambria Math" w:hAnsi="Cambria Math"/>
                <w:sz w:val="24"/>
                <w:szCs w:val="24"/>
              </w:rPr>
              <m:t>β</m:t>
            </m:r>
          </m:e>
        </m:acc>
      </m:oMath>
      <w:r w:rsidRPr="00A81003">
        <w:rPr>
          <w:position w:val="-10"/>
          <w:sz w:val="24"/>
          <w:szCs w:val="24"/>
        </w:rPr>
        <w:t xml:space="preserve"> </w:t>
      </w:r>
      <w:r w:rsidRPr="00A81003">
        <w:rPr>
          <w:sz w:val="24"/>
          <w:szCs w:val="24"/>
        </w:rPr>
        <w:t xml:space="preserve">and in-sample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sidRPr="00A81003">
        <w:rPr>
          <w:sz w:val="24"/>
          <w:szCs w:val="24"/>
        </w:rPr>
        <w:t>&gt; 0.5%, we find that only three predictors (</w:t>
      </w:r>
      <w:r w:rsidRPr="00A81003">
        <w:rPr>
          <w:i/>
          <w:iCs/>
          <w:sz w:val="24"/>
          <w:szCs w:val="24"/>
        </w:rPr>
        <w:t>TSMSV, PU</w:t>
      </w:r>
      <w:r w:rsidR="0069603E">
        <w:rPr>
          <w:i/>
          <w:iCs/>
          <w:sz w:val="24"/>
          <w:szCs w:val="24"/>
        </w:rPr>
        <w:t>,</w:t>
      </w:r>
      <w:r w:rsidR="00A07830">
        <w:rPr>
          <w:i/>
          <w:iCs/>
          <w:sz w:val="24"/>
          <w:szCs w:val="24"/>
        </w:rPr>
        <w:t xml:space="preserve"> </w:t>
      </w:r>
      <w:r w:rsidRPr="00A81003">
        <w:rPr>
          <w:sz w:val="24"/>
          <w:szCs w:val="24"/>
        </w:rPr>
        <w:t>and</w:t>
      </w:r>
      <w:r w:rsidRPr="00A81003">
        <w:rPr>
          <w:i/>
          <w:iCs/>
          <w:sz w:val="24"/>
          <w:szCs w:val="24"/>
        </w:rPr>
        <w:t xml:space="preserve"> FU</w:t>
      </w:r>
      <w:r w:rsidRPr="00A81003">
        <w:rPr>
          <w:sz w:val="24"/>
          <w:szCs w:val="24"/>
        </w:rPr>
        <w:t xml:space="preserve">) </w:t>
      </w:r>
      <w:r w:rsidR="00F009AD">
        <w:rPr>
          <w:sz w:val="24"/>
          <w:szCs w:val="24"/>
        </w:rPr>
        <w:t>exhibit a</w:t>
      </w:r>
      <w:r w:rsidR="00F009AD" w:rsidRPr="00A81003">
        <w:rPr>
          <w:sz w:val="24"/>
          <w:szCs w:val="24"/>
        </w:rPr>
        <w:t xml:space="preserve"> </w:t>
      </w:r>
      <w:r w:rsidRPr="00A81003">
        <w:rPr>
          <w:sz w:val="24"/>
          <w:szCs w:val="24"/>
        </w:rPr>
        <w:t xml:space="preserve">positive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oMath>
      <w:r w:rsidR="00E56F32">
        <w:rPr>
          <w:sz w:val="24"/>
          <w:szCs w:val="24"/>
        </w:rPr>
        <w:t xml:space="preserve">, </w:t>
      </w:r>
      <w:r w:rsidRPr="00A81003">
        <w:rPr>
          <w:sz w:val="24"/>
          <w:szCs w:val="24"/>
        </w:rPr>
        <w:t xml:space="preserve">and the Clark and West (2007) test </w:t>
      </w:r>
      <w:r w:rsidR="00F009AD">
        <w:rPr>
          <w:sz w:val="24"/>
          <w:szCs w:val="24"/>
        </w:rPr>
        <w:t xml:space="preserve">results </w:t>
      </w:r>
      <w:r w:rsidRPr="00A81003">
        <w:rPr>
          <w:sz w:val="24"/>
          <w:szCs w:val="24"/>
        </w:rPr>
        <w:t>are</w:t>
      </w:r>
      <w:r w:rsidR="00F009AD">
        <w:rPr>
          <w:sz w:val="24"/>
          <w:szCs w:val="24"/>
        </w:rPr>
        <w:t xml:space="preserve"> </w:t>
      </w:r>
      <w:r w:rsidRPr="00A81003">
        <w:rPr>
          <w:sz w:val="24"/>
          <w:szCs w:val="24"/>
        </w:rPr>
        <w:t xml:space="preserve">statistically significant for all </w:t>
      </w:r>
      <w:r w:rsidRPr="00A81003">
        <w:rPr>
          <w:i/>
          <w:iCs/>
          <w:sz w:val="24"/>
          <w:szCs w:val="24"/>
        </w:rPr>
        <w:t>h-</w:t>
      </w:r>
      <w:r w:rsidRPr="00A81003">
        <w:rPr>
          <w:sz w:val="24"/>
          <w:szCs w:val="24"/>
        </w:rPr>
        <w:t xml:space="preserve">day horizons. </w:t>
      </w:r>
      <w:r w:rsidR="00F009AD">
        <w:rPr>
          <w:sz w:val="24"/>
          <w:szCs w:val="24"/>
        </w:rPr>
        <w:t xml:space="preserve">Further, </w:t>
      </w:r>
      <w:r w:rsidRPr="00A81003">
        <w:rPr>
          <w:i/>
          <w:iCs/>
          <w:sz w:val="24"/>
          <w:szCs w:val="24"/>
        </w:rPr>
        <w:t>BD</w:t>
      </w:r>
      <w:r w:rsidRPr="00A81003">
        <w:rPr>
          <w:sz w:val="24"/>
          <w:szCs w:val="24"/>
        </w:rPr>
        <w:t xml:space="preserve"> has positive</w:t>
      </w:r>
      <w:r w:rsidR="00E56F32">
        <w:rPr>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oMath>
      <w:r w:rsidR="00E56F32">
        <w:rPr>
          <w:sz w:val="24"/>
          <w:szCs w:val="24"/>
        </w:rPr>
        <w:t xml:space="preserve"> </w:t>
      </w:r>
      <w:r w:rsidRPr="00A81003">
        <w:rPr>
          <w:sz w:val="24"/>
          <w:szCs w:val="24"/>
        </w:rPr>
        <w:t>values and the Clark and West (2007) test</w:t>
      </w:r>
      <w:r w:rsidR="00F009AD">
        <w:rPr>
          <w:sz w:val="24"/>
          <w:szCs w:val="24"/>
        </w:rPr>
        <w:t xml:space="preserve"> results are</w:t>
      </w:r>
      <w:r w:rsidRPr="00A81003">
        <w:rPr>
          <w:sz w:val="24"/>
          <w:szCs w:val="24"/>
        </w:rPr>
        <w:t xml:space="preserve"> statistically significant for both</w:t>
      </w:r>
      <w:r w:rsidR="00F009AD">
        <w:rPr>
          <w:sz w:val="24"/>
          <w:szCs w:val="24"/>
        </w:rPr>
        <w:t xml:space="preserve"> </w:t>
      </w:r>
      <w:r w:rsidRPr="00A81003">
        <w:rPr>
          <w:sz w:val="24"/>
          <w:szCs w:val="24"/>
        </w:rPr>
        <w:t xml:space="preserve">the 7- and 14-day horizons; however, it fails to outperform the prevailing mean benchmark in terms of </w:t>
      </w:r>
      <w:r w:rsidR="00F009AD">
        <w:rPr>
          <w:sz w:val="24"/>
          <w:szCs w:val="24"/>
        </w:rPr>
        <w:t xml:space="preserve">the </w:t>
      </w:r>
      <w:r w:rsidRPr="00A81003">
        <w:rPr>
          <w:sz w:val="24"/>
          <w:szCs w:val="24"/>
        </w:rPr>
        <w:t>MSFE at the 21- and 28-day horizons.</w:t>
      </w:r>
      <w:r w:rsidR="0009728B" w:rsidRPr="00A81003">
        <w:rPr>
          <w:sz w:val="24"/>
          <w:szCs w:val="24"/>
        </w:rPr>
        <w:t xml:space="preserve"> </w:t>
      </w:r>
      <w:r w:rsidR="00C36E32">
        <w:rPr>
          <w:rStyle w:val="EndnoteReference"/>
          <w:sz w:val="24"/>
          <w:szCs w:val="24"/>
        </w:rPr>
        <w:endnoteReference w:id="8"/>
      </w:r>
    </w:p>
    <w:p w:rsidR="00F009AD" w:rsidRPr="00A81003" w:rsidRDefault="00F009AD" w:rsidP="00F009AD">
      <w:pPr>
        <w:adjustRightInd w:val="0"/>
        <w:snapToGrid w:val="0"/>
        <w:spacing w:after="0" w:line="480" w:lineRule="auto"/>
        <w:ind w:firstLine="720"/>
        <w:jc w:val="both"/>
        <w:rPr>
          <w:sz w:val="24"/>
          <w:szCs w:val="24"/>
        </w:rPr>
      </w:pPr>
      <w:r w:rsidRPr="00A81003">
        <w:rPr>
          <w:sz w:val="24"/>
          <w:szCs w:val="24"/>
        </w:rPr>
        <w:t xml:space="preserve">The strong performance of </w:t>
      </w:r>
      <w:r w:rsidRPr="00A81003">
        <w:rPr>
          <w:i/>
          <w:iCs/>
          <w:sz w:val="24"/>
          <w:szCs w:val="24"/>
        </w:rPr>
        <w:t>TSMSV</w:t>
      </w:r>
      <w:r w:rsidRPr="00A81003" w:rsidDel="003E1ED1">
        <w:rPr>
          <w:sz w:val="24"/>
          <w:szCs w:val="24"/>
        </w:rPr>
        <w:t xml:space="preserve"> </w:t>
      </w:r>
      <w:r w:rsidRPr="00A81003">
        <w:rPr>
          <w:sz w:val="24"/>
          <w:szCs w:val="24"/>
        </w:rPr>
        <w:t>is consistent with prior studies</w:t>
      </w:r>
      <w:r>
        <w:rPr>
          <w:sz w:val="24"/>
          <w:szCs w:val="24"/>
        </w:rPr>
        <w:t>,</w:t>
      </w:r>
      <w:r w:rsidRPr="00A81003">
        <w:rPr>
          <w:sz w:val="24"/>
          <w:szCs w:val="24"/>
        </w:rPr>
        <w:t xml:space="preserve"> which </w:t>
      </w:r>
      <w:r>
        <w:rPr>
          <w:sz w:val="24"/>
          <w:szCs w:val="24"/>
        </w:rPr>
        <w:t>reveal</w:t>
      </w:r>
      <w:r w:rsidRPr="00A81003">
        <w:rPr>
          <w:sz w:val="24"/>
          <w:szCs w:val="24"/>
        </w:rPr>
        <w:t xml:space="preserve"> that Bitcoin returns are highly volatile (</w:t>
      </w:r>
      <w:proofErr w:type="spellStart"/>
      <w:r w:rsidRPr="00A81003">
        <w:rPr>
          <w:sz w:val="24"/>
          <w:szCs w:val="24"/>
        </w:rPr>
        <w:t>Baek</w:t>
      </w:r>
      <w:proofErr w:type="spellEnd"/>
      <w:r w:rsidRPr="00A81003">
        <w:rPr>
          <w:sz w:val="24"/>
          <w:szCs w:val="24"/>
        </w:rPr>
        <w:t xml:space="preserve"> and </w:t>
      </w:r>
      <w:proofErr w:type="spellStart"/>
      <w:r w:rsidRPr="00A81003">
        <w:rPr>
          <w:sz w:val="24"/>
          <w:szCs w:val="24"/>
        </w:rPr>
        <w:t>Elbeck</w:t>
      </w:r>
      <w:proofErr w:type="spellEnd"/>
      <w:r w:rsidRPr="00A81003">
        <w:rPr>
          <w:sz w:val="24"/>
          <w:szCs w:val="24"/>
        </w:rPr>
        <w:t xml:space="preserve">, 2015; </w:t>
      </w:r>
      <w:proofErr w:type="spellStart"/>
      <w:r w:rsidRPr="00A81003">
        <w:rPr>
          <w:sz w:val="24"/>
          <w:szCs w:val="24"/>
        </w:rPr>
        <w:t>Detzel</w:t>
      </w:r>
      <w:proofErr w:type="spellEnd"/>
      <w:r w:rsidRPr="00A81003">
        <w:rPr>
          <w:sz w:val="24"/>
          <w:szCs w:val="24"/>
        </w:rPr>
        <w:t xml:space="preserve"> et al</w:t>
      </w:r>
      <w:r w:rsidR="00A97D21">
        <w:rPr>
          <w:sz w:val="24"/>
          <w:szCs w:val="24"/>
        </w:rPr>
        <w:t>.</w:t>
      </w:r>
      <w:r w:rsidRPr="00A81003">
        <w:rPr>
          <w:sz w:val="24"/>
          <w:szCs w:val="24"/>
        </w:rPr>
        <w:t xml:space="preserve">, </w:t>
      </w:r>
      <w:r>
        <w:rPr>
          <w:sz w:val="24"/>
          <w:szCs w:val="24"/>
        </w:rPr>
        <w:t>2020</w:t>
      </w:r>
      <w:r w:rsidRPr="00A81003">
        <w:rPr>
          <w:sz w:val="24"/>
          <w:szCs w:val="24"/>
        </w:rPr>
        <w:t xml:space="preserve">). </w:t>
      </w:r>
      <w:r>
        <w:rPr>
          <w:sz w:val="24"/>
          <w:szCs w:val="24"/>
        </w:rPr>
        <w:t>S</w:t>
      </w:r>
      <w:r w:rsidRPr="00A81003">
        <w:rPr>
          <w:sz w:val="24"/>
          <w:szCs w:val="24"/>
        </w:rPr>
        <w:t xml:space="preserve">ubstantial economic gains are </w:t>
      </w:r>
      <w:r>
        <w:rPr>
          <w:sz w:val="24"/>
          <w:szCs w:val="24"/>
        </w:rPr>
        <w:t>also</w:t>
      </w:r>
      <w:r w:rsidRPr="00A81003">
        <w:rPr>
          <w:sz w:val="24"/>
          <w:szCs w:val="24"/>
        </w:rPr>
        <w:t xml:space="preserve"> achieved by </w:t>
      </w:r>
      <w:r>
        <w:rPr>
          <w:sz w:val="24"/>
          <w:szCs w:val="24"/>
        </w:rPr>
        <w:t>considering</w:t>
      </w:r>
      <w:r w:rsidRPr="00A81003">
        <w:rPr>
          <w:sz w:val="24"/>
          <w:szCs w:val="24"/>
        </w:rPr>
        <w:t xml:space="preserve"> the risk of momentum (Barroso and Santa-Clara, 2015). </w:t>
      </w:r>
      <w:r>
        <w:rPr>
          <w:sz w:val="24"/>
          <w:szCs w:val="24"/>
        </w:rPr>
        <w:t xml:space="preserve">Further, </w:t>
      </w:r>
      <w:r w:rsidRPr="00A81003">
        <w:rPr>
          <w:sz w:val="24"/>
          <w:szCs w:val="24"/>
        </w:rPr>
        <w:t xml:space="preserve">Moreira and Tyler (2017) find that volatility-managed portfolios—which </w:t>
      </w:r>
      <w:r w:rsidRPr="00A81003">
        <w:rPr>
          <w:sz w:val="24"/>
          <w:szCs w:val="24"/>
        </w:rPr>
        <w:lastRenderedPageBreak/>
        <w:t>take low weights during high volatility periods and high weights during low</w:t>
      </w:r>
      <w:r w:rsidR="00572ED6" w:rsidRPr="00A81003">
        <w:rPr>
          <w:sz w:val="24"/>
          <w:szCs w:val="24"/>
        </w:rPr>
        <w:t>-</w:t>
      </w:r>
      <w:r w:rsidRPr="00A81003">
        <w:rPr>
          <w:sz w:val="24"/>
          <w:szCs w:val="24"/>
        </w:rPr>
        <w:t xml:space="preserve">volatility periods—generate large utility gains. From this perspective, our </w:t>
      </w:r>
      <w:r w:rsidRPr="00A81003">
        <w:rPr>
          <w:i/>
          <w:iCs/>
          <w:sz w:val="24"/>
          <w:szCs w:val="24"/>
        </w:rPr>
        <w:t>TSMSV</w:t>
      </w:r>
      <w:r w:rsidRPr="00A81003" w:rsidDel="003E1ED1">
        <w:rPr>
          <w:sz w:val="24"/>
          <w:szCs w:val="24"/>
        </w:rPr>
        <w:t xml:space="preserve"> </w:t>
      </w:r>
      <w:r w:rsidRPr="00A81003">
        <w:rPr>
          <w:sz w:val="24"/>
          <w:szCs w:val="24"/>
        </w:rPr>
        <w:t>scales momentum down when volatility is low and up when volatility is high</w:t>
      </w:r>
      <w:r>
        <w:rPr>
          <w:sz w:val="24"/>
          <w:szCs w:val="24"/>
        </w:rPr>
        <w:t>, which</w:t>
      </w:r>
      <w:r w:rsidRPr="00A81003">
        <w:rPr>
          <w:sz w:val="24"/>
          <w:szCs w:val="24"/>
        </w:rPr>
        <w:t xml:space="preserve"> ultimately contributes to </w:t>
      </w:r>
      <w:r>
        <w:rPr>
          <w:sz w:val="24"/>
          <w:szCs w:val="24"/>
        </w:rPr>
        <w:t xml:space="preserve">improve </w:t>
      </w:r>
      <w:r w:rsidR="004C02EB">
        <w:rPr>
          <w:sz w:val="24"/>
          <w:szCs w:val="24"/>
        </w:rPr>
        <w:t>predictability</w:t>
      </w:r>
      <w:r w:rsidRPr="00A81003">
        <w:rPr>
          <w:sz w:val="24"/>
          <w:szCs w:val="24"/>
        </w:rPr>
        <w:t>.</w:t>
      </w:r>
    </w:p>
    <w:p w:rsidR="00F009AD" w:rsidRPr="00A81003" w:rsidRDefault="00F009AD" w:rsidP="00F009AD">
      <w:pPr>
        <w:adjustRightInd w:val="0"/>
        <w:snapToGrid w:val="0"/>
        <w:spacing w:after="0" w:line="480" w:lineRule="auto"/>
        <w:ind w:firstLine="720"/>
        <w:jc w:val="both"/>
        <w:rPr>
          <w:sz w:val="24"/>
          <w:szCs w:val="24"/>
        </w:rPr>
      </w:pPr>
      <w:r w:rsidRPr="00A81003">
        <w:rPr>
          <w:sz w:val="24"/>
          <w:szCs w:val="24"/>
        </w:rPr>
        <w:t xml:space="preserve">The uncertainty predictors </w:t>
      </w:r>
      <w:r w:rsidRPr="00A81003">
        <w:rPr>
          <w:i/>
          <w:sz w:val="24"/>
          <w:szCs w:val="24"/>
        </w:rPr>
        <w:t>PU</w:t>
      </w:r>
      <w:r w:rsidRPr="00A81003">
        <w:rPr>
          <w:sz w:val="24"/>
          <w:szCs w:val="24"/>
        </w:rPr>
        <w:t xml:space="preserve"> and </w:t>
      </w:r>
      <w:r w:rsidRPr="00A81003">
        <w:rPr>
          <w:i/>
          <w:sz w:val="24"/>
          <w:szCs w:val="24"/>
        </w:rPr>
        <w:t>FU</w:t>
      </w:r>
      <w:r w:rsidRPr="00A81003">
        <w:rPr>
          <w:sz w:val="24"/>
          <w:szCs w:val="24"/>
        </w:rPr>
        <w:t xml:space="preserve"> appear to perform as well as</w:t>
      </w:r>
      <w:r>
        <w:rPr>
          <w:sz w:val="24"/>
          <w:szCs w:val="24"/>
        </w:rPr>
        <w:t xml:space="preserve"> the </w:t>
      </w:r>
      <w:r w:rsidRPr="00A81003">
        <w:rPr>
          <w:i/>
          <w:sz w:val="24"/>
          <w:szCs w:val="24"/>
        </w:rPr>
        <w:t xml:space="preserve">TSMSV </w:t>
      </w:r>
      <w:r w:rsidRPr="00A81003">
        <w:rPr>
          <w:sz w:val="24"/>
          <w:szCs w:val="24"/>
        </w:rPr>
        <w:t xml:space="preserve">in terms of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oMath>
      <w:r w:rsidRPr="00A81003">
        <w:rPr>
          <w:sz w:val="24"/>
          <w:szCs w:val="24"/>
        </w:rPr>
        <w:t xml:space="preserve"> statistics. </w:t>
      </w:r>
      <w:r>
        <w:rPr>
          <w:sz w:val="24"/>
          <w:szCs w:val="24"/>
        </w:rPr>
        <w:t>Specifically,</w:t>
      </w:r>
      <w:r w:rsidRPr="00A81003">
        <w:rPr>
          <w:sz w:val="24"/>
          <w:szCs w:val="24"/>
        </w:rPr>
        <w:t xml:space="preserve"> </w:t>
      </w:r>
      <w:r w:rsidRPr="00A81003">
        <w:rPr>
          <w:i/>
          <w:sz w:val="24"/>
          <w:szCs w:val="24"/>
        </w:rPr>
        <w:t>FU</w:t>
      </w:r>
      <w:r w:rsidRPr="00A81003">
        <w:rPr>
          <w:sz w:val="24"/>
          <w:szCs w:val="24"/>
        </w:rPr>
        <w:t xml:space="preserve"> outperforms all other predictors with the largest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oMath>
      <w:r w:rsidRPr="00A81003">
        <w:rPr>
          <w:sz w:val="24"/>
          <w:szCs w:val="24"/>
        </w:rPr>
        <w:t xml:space="preserve"> statistic of 7.92% at the 28-days horizon, confirming our in-sample test findings.  These results suggest that the predictive regression forecasts based on these three factors produce a substantially smaller MSFE and outperform the benchmark.</w:t>
      </w:r>
    </w:p>
    <w:p w:rsidR="00F009AD" w:rsidRPr="00A81003" w:rsidRDefault="00F009AD" w:rsidP="00F009AD">
      <w:pPr>
        <w:adjustRightInd w:val="0"/>
        <w:snapToGrid w:val="0"/>
        <w:spacing w:after="0" w:line="480" w:lineRule="auto"/>
        <w:ind w:firstLine="720"/>
        <w:jc w:val="both"/>
        <w:rPr>
          <w:sz w:val="24"/>
          <w:szCs w:val="24"/>
        </w:rPr>
      </w:pPr>
      <w:r w:rsidRPr="00A81003">
        <w:rPr>
          <w:sz w:val="24"/>
          <w:szCs w:val="24"/>
        </w:rPr>
        <w:t xml:space="preserve">It is </w:t>
      </w:r>
      <w:r>
        <w:rPr>
          <w:sz w:val="24"/>
          <w:szCs w:val="24"/>
        </w:rPr>
        <w:t>noteworthy</w:t>
      </w:r>
      <w:r w:rsidRPr="00A81003">
        <w:rPr>
          <w:sz w:val="24"/>
          <w:szCs w:val="24"/>
        </w:rPr>
        <w:t xml:space="preserve"> that</w:t>
      </w:r>
      <w:r>
        <w:rPr>
          <w:sz w:val="24"/>
          <w:szCs w:val="24"/>
        </w:rPr>
        <w:t xml:space="preserve"> our paper’s </w:t>
      </w:r>
      <w:r w:rsidR="00572ED6">
        <w:rPr>
          <w:sz w:val="24"/>
          <w:szCs w:val="24"/>
        </w:rPr>
        <w:t>decreased</w:t>
      </w:r>
      <w:r w:rsidRPr="00A81003">
        <w:rPr>
          <w:sz w:val="24"/>
          <w:szCs w:val="24"/>
        </w:rPr>
        <w:t xml:space="preserve"> number of predictors is consistent with </w:t>
      </w:r>
      <w:proofErr w:type="spellStart"/>
      <w:r w:rsidRPr="00A81003">
        <w:rPr>
          <w:sz w:val="24"/>
          <w:szCs w:val="24"/>
        </w:rPr>
        <w:t>Rapach</w:t>
      </w:r>
      <w:proofErr w:type="spellEnd"/>
      <w:r w:rsidRPr="00A81003">
        <w:rPr>
          <w:sz w:val="24"/>
          <w:szCs w:val="24"/>
        </w:rPr>
        <w:t xml:space="preserve"> et al. (2016). </w:t>
      </w:r>
      <w:r w:rsidR="00572ED6">
        <w:rPr>
          <w:sz w:val="24"/>
          <w:szCs w:val="24"/>
        </w:rPr>
        <w:t>Of the</w:t>
      </w:r>
      <w:r w:rsidRPr="00A81003">
        <w:rPr>
          <w:sz w:val="24"/>
          <w:szCs w:val="24"/>
        </w:rPr>
        <w:t xml:space="preserve"> four in-sample predictors of aggregate stock returns, they </w:t>
      </w:r>
      <w:r w:rsidR="00572ED6">
        <w:rPr>
          <w:sz w:val="24"/>
          <w:szCs w:val="24"/>
        </w:rPr>
        <w:t>discover</w:t>
      </w:r>
      <w:r w:rsidR="00572ED6" w:rsidRPr="00A81003">
        <w:rPr>
          <w:sz w:val="24"/>
          <w:szCs w:val="24"/>
        </w:rPr>
        <w:t xml:space="preserve"> </w:t>
      </w:r>
      <w:r w:rsidRPr="00A81003">
        <w:rPr>
          <w:sz w:val="24"/>
          <w:szCs w:val="24"/>
        </w:rPr>
        <w:t xml:space="preserve">that only short interest could be used as an out-of-sample predictor </w:t>
      </w:r>
      <w:r w:rsidR="00572ED6" w:rsidRPr="00A81003">
        <w:rPr>
          <w:sz w:val="24"/>
          <w:szCs w:val="24"/>
        </w:rPr>
        <w:t>—</w:t>
      </w:r>
      <w:r w:rsidRPr="00A81003">
        <w:rPr>
          <w:sz w:val="24"/>
          <w:szCs w:val="24"/>
        </w:rPr>
        <w:t xml:space="preserve">and this was arguably the strongest known predictor of aggregate stock returns. It is argued that the substantial </w:t>
      </w:r>
      <w:r w:rsidR="00572ED6">
        <w:rPr>
          <w:sz w:val="24"/>
          <w:szCs w:val="24"/>
        </w:rPr>
        <w:t>decrease</w:t>
      </w:r>
      <w:r w:rsidR="00572ED6" w:rsidRPr="00A81003">
        <w:rPr>
          <w:sz w:val="24"/>
          <w:szCs w:val="24"/>
        </w:rPr>
        <w:t xml:space="preserve"> </w:t>
      </w:r>
      <w:r w:rsidRPr="00A81003">
        <w:rPr>
          <w:sz w:val="24"/>
          <w:szCs w:val="24"/>
        </w:rPr>
        <w:t xml:space="preserve">in the number of predictors could be linked to the fact that highly persistent predictors can generate spuriously high in-sample return predictability (Campbell and </w:t>
      </w:r>
      <w:proofErr w:type="spellStart"/>
      <w:r w:rsidRPr="00A81003">
        <w:rPr>
          <w:sz w:val="24"/>
          <w:szCs w:val="24"/>
        </w:rPr>
        <w:t>Yogo</w:t>
      </w:r>
      <w:proofErr w:type="spellEnd"/>
      <w:r w:rsidRPr="00A81003">
        <w:rPr>
          <w:sz w:val="24"/>
          <w:szCs w:val="24"/>
        </w:rPr>
        <w:t xml:space="preserve">, 2006; </w:t>
      </w:r>
      <w:proofErr w:type="spellStart"/>
      <w:r w:rsidRPr="00A81003">
        <w:rPr>
          <w:sz w:val="24"/>
          <w:szCs w:val="24"/>
        </w:rPr>
        <w:t>Ferson</w:t>
      </w:r>
      <w:proofErr w:type="spellEnd"/>
      <w:r w:rsidRPr="00A81003">
        <w:rPr>
          <w:sz w:val="24"/>
          <w:szCs w:val="24"/>
        </w:rPr>
        <w:t xml:space="preserve"> et al</w:t>
      </w:r>
      <w:r w:rsidR="00AD6615">
        <w:rPr>
          <w:sz w:val="24"/>
          <w:szCs w:val="24"/>
        </w:rPr>
        <w:t>.</w:t>
      </w:r>
      <w:r w:rsidRPr="00A81003">
        <w:rPr>
          <w:sz w:val="24"/>
          <w:szCs w:val="24"/>
        </w:rPr>
        <w:t xml:space="preserve">, 2003). </w:t>
      </w:r>
    </w:p>
    <w:p w:rsidR="00EF2496" w:rsidRPr="00A81003" w:rsidRDefault="00EF2496" w:rsidP="0029520B">
      <w:pPr>
        <w:adjustRightInd w:val="0"/>
        <w:snapToGrid w:val="0"/>
        <w:spacing w:after="0" w:line="480" w:lineRule="auto"/>
        <w:ind w:firstLine="720"/>
        <w:jc w:val="both"/>
        <w:rPr>
          <w:sz w:val="24"/>
          <w:szCs w:val="24"/>
        </w:rPr>
      </w:pPr>
      <w:r w:rsidRPr="00A81003">
        <w:rPr>
          <w:sz w:val="24"/>
          <w:szCs w:val="24"/>
        </w:rPr>
        <w:t xml:space="preserve"> </w:t>
      </w:r>
    </w:p>
    <w:p w:rsidR="00207943" w:rsidRDefault="00DE4283" w:rsidP="0029520B">
      <w:pPr>
        <w:adjustRightInd w:val="0"/>
        <w:snapToGrid w:val="0"/>
        <w:spacing w:line="480" w:lineRule="auto"/>
        <w:ind w:firstLine="720"/>
        <w:jc w:val="center"/>
        <w:rPr>
          <w:sz w:val="24"/>
          <w:szCs w:val="24"/>
        </w:rPr>
      </w:pPr>
      <w:r w:rsidRPr="00A81003">
        <w:rPr>
          <w:sz w:val="24"/>
          <w:szCs w:val="24"/>
        </w:rPr>
        <w:t>[Insert Table 4 here]</w:t>
      </w:r>
    </w:p>
    <w:p w:rsidR="00AD7DCA" w:rsidRPr="00A81003" w:rsidRDefault="00AD7DCA" w:rsidP="0029520B">
      <w:pPr>
        <w:adjustRightInd w:val="0"/>
        <w:snapToGrid w:val="0"/>
        <w:spacing w:line="480" w:lineRule="auto"/>
        <w:ind w:firstLine="720"/>
        <w:jc w:val="center"/>
        <w:rPr>
          <w:sz w:val="24"/>
          <w:szCs w:val="24"/>
        </w:rPr>
      </w:pPr>
    </w:p>
    <w:p w:rsidR="00CE7BBB" w:rsidRPr="00A81003" w:rsidRDefault="001339AD" w:rsidP="0029520B">
      <w:pPr>
        <w:pStyle w:val="Heading1"/>
        <w:numPr>
          <w:ilvl w:val="0"/>
          <w:numId w:val="1"/>
        </w:numPr>
        <w:adjustRightInd w:val="0"/>
        <w:snapToGrid w:val="0"/>
        <w:spacing w:line="480" w:lineRule="auto"/>
        <w:ind w:left="0" w:firstLine="720"/>
        <w:contextualSpacing w:val="0"/>
        <w:rPr>
          <w:szCs w:val="24"/>
        </w:rPr>
      </w:pPr>
      <w:r w:rsidRPr="00A81003">
        <w:rPr>
          <w:szCs w:val="24"/>
        </w:rPr>
        <w:tab/>
      </w:r>
      <w:r w:rsidR="00CE7BBB" w:rsidRPr="00A81003">
        <w:rPr>
          <w:szCs w:val="24"/>
        </w:rPr>
        <w:t xml:space="preserve">Asset allocation </w:t>
      </w:r>
    </w:p>
    <w:p w:rsidR="00CE7BBB" w:rsidRPr="00A81003" w:rsidRDefault="00CE7BBB" w:rsidP="0029520B">
      <w:pPr>
        <w:adjustRightInd w:val="0"/>
        <w:snapToGrid w:val="0"/>
        <w:spacing w:line="480" w:lineRule="auto"/>
        <w:ind w:firstLine="720"/>
        <w:jc w:val="both"/>
        <w:rPr>
          <w:sz w:val="24"/>
          <w:szCs w:val="24"/>
        </w:rPr>
      </w:pPr>
    </w:p>
    <w:p w:rsidR="00CE7BBB" w:rsidRPr="00A81003" w:rsidRDefault="00C264D8" w:rsidP="0029520B">
      <w:pPr>
        <w:adjustRightInd w:val="0"/>
        <w:snapToGrid w:val="0"/>
        <w:spacing w:line="480" w:lineRule="auto"/>
        <w:ind w:firstLine="720"/>
        <w:jc w:val="both"/>
        <w:rPr>
          <w:sz w:val="24"/>
          <w:szCs w:val="24"/>
        </w:rPr>
      </w:pPr>
      <w:r>
        <w:rPr>
          <w:sz w:val="24"/>
          <w:szCs w:val="24"/>
        </w:rPr>
        <w:t>T</w:t>
      </w:r>
      <w:r w:rsidRPr="00A81003">
        <w:rPr>
          <w:sz w:val="24"/>
          <w:szCs w:val="24"/>
        </w:rPr>
        <w:t>his section measure</w:t>
      </w:r>
      <w:r>
        <w:rPr>
          <w:sz w:val="24"/>
          <w:szCs w:val="24"/>
        </w:rPr>
        <w:t>s</w:t>
      </w:r>
      <w:r w:rsidRPr="00A81003">
        <w:rPr>
          <w:sz w:val="24"/>
          <w:szCs w:val="24"/>
        </w:rPr>
        <w:t xml:space="preserve"> the economic value of predictors’ forecast ability using an asset allocation framework. Table 5 reports the out-of-sample CER gains. We annualise these and assume a relative risk aversion coefficient of 5.</w:t>
      </w:r>
      <w:r w:rsidR="00C36E32">
        <w:rPr>
          <w:rStyle w:val="EndnoteReference"/>
          <w:sz w:val="24"/>
          <w:szCs w:val="24"/>
        </w:rPr>
        <w:endnoteReference w:id="9"/>
      </w:r>
      <w:r w:rsidRPr="00A81003">
        <w:rPr>
          <w:sz w:val="24"/>
          <w:szCs w:val="24"/>
        </w:rPr>
        <w:t xml:space="preserve"> Given the high time-varying volatile nature of </w:t>
      </w:r>
      <w:r w:rsidRPr="00A81003">
        <w:rPr>
          <w:sz w:val="24"/>
          <w:szCs w:val="24"/>
        </w:rPr>
        <w:lastRenderedPageBreak/>
        <w:t xml:space="preserve">Bitcoin returns, their predictability is rather limited </w:t>
      </w:r>
      <w:r>
        <w:rPr>
          <w:sz w:val="24"/>
          <w:szCs w:val="24"/>
        </w:rPr>
        <w:t>across</w:t>
      </w:r>
      <w:r w:rsidRPr="00A81003">
        <w:rPr>
          <w:sz w:val="24"/>
          <w:szCs w:val="24"/>
        </w:rPr>
        <w:t xml:space="preserve"> the longer horizons (</w:t>
      </w:r>
      <w:proofErr w:type="spellStart"/>
      <w:r w:rsidRPr="00A81003">
        <w:rPr>
          <w:sz w:val="24"/>
          <w:szCs w:val="24"/>
        </w:rPr>
        <w:t>Bouri</w:t>
      </w:r>
      <w:proofErr w:type="spellEnd"/>
      <w:r w:rsidRPr="00A81003">
        <w:rPr>
          <w:sz w:val="24"/>
          <w:szCs w:val="24"/>
        </w:rPr>
        <w:t xml:space="preserve"> et al</w:t>
      </w:r>
      <w:r w:rsidR="00312F2E">
        <w:rPr>
          <w:sz w:val="24"/>
          <w:szCs w:val="24"/>
        </w:rPr>
        <w:t>.</w:t>
      </w:r>
      <w:r w:rsidRPr="00A81003">
        <w:rPr>
          <w:sz w:val="24"/>
          <w:szCs w:val="24"/>
        </w:rPr>
        <w:t xml:space="preserve">, 2016). Therefore, we focus our results on the 7- and 14-day horizons, and </w:t>
      </w:r>
      <w:r>
        <w:rPr>
          <w:sz w:val="24"/>
          <w:szCs w:val="24"/>
        </w:rPr>
        <w:t>demonstrate</w:t>
      </w:r>
      <w:r w:rsidRPr="00A81003">
        <w:rPr>
          <w:sz w:val="24"/>
          <w:szCs w:val="24"/>
        </w:rPr>
        <w:t xml:space="preserve"> that </w:t>
      </w:r>
      <w:r>
        <w:rPr>
          <w:sz w:val="24"/>
          <w:szCs w:val="24"/>
        </w:rPr>
        <w:t xml:space="preserve">the </w:t>
      </w:r>
      <w:r w:rsidRPr="00A81003">
        <w:rPr>
          <w:i/>
          <w:iCs/>
          <w:sz w:val="24"/>
          <w:szCs w:val="24"/>
        </w:rPr>
        <w:t>BD, TSMSV,</w:t>
      </w:r>
      <w:r w:rsidRPr="00A81003">
        <w:rPr>
          <w:i/>
          <w:sz w:val="24"/>
          <w:szCs w:val="24"/>
        </w:rPr>
        <w:t xml:space="preserve"> PU, </w:t>
      </w:r>
      <w:r w:rsidRPr="00A81003">
        <w:rPr>
          <w:iCs/>
          <w:sz w:val="24"/>
          <w:szCs w:val="24"/>
        </w:rPr>
        <w:t>and</w:t>
      </w:r>
      <w:r w:rsidRPr="00A81003">
        <w:rPr>
          <w:i/>
          <w:sz w:val="24"/>
          <w:szCs w:val="24"/>
        </w:rPr>
        <w:t xml:space="preserve"> </w:t>
      </w:r>
      <w:r w:rsidRPr="00A81003">
        <w:rPr>
          <w:i/>
          <w:iCs/>
          <w:sz w:val="24"/>
          <w:szCs w:val="24"/>
        </w:rPr>
        <w:t>FU</w:t>
      </w:r>
      <w:r w:rsidRPr="00A81003">
        <w:rPr>
          <w:sz w:val="24"/>
          <w:szCs w:val="24"/>
        </w:rPr>
        <w:t xml:space="preserve"> predictors produce ou</w:t>
      </w:r>
      <w:r>
        <w:rPr>
          <w:sz w:val="24"/>
          <w:szCs w:val="24"/>
        </w:rPr>
        <w:t>t-</w:t>
      </w:r>
      <w:r w:rsidRPr="00A81003">
        <w:rPr>
          <w:sz w:val="24"/>
          <w:szCs w:val="24"/>
        </w:rPr>
        <w:t>of</w:t>
      </w:r>
      <w:r>
        <w:rPr>
          <w:sz w:val="24"/>
          <w:szCs w:val="24"/>
        </w:rPr>
        <w:t>-</w:t>
      </w:r>
      <w:r w:rsidRPr="00A81003">
        <w:rPr>
          <w:sz w:val="24"/>
          <w:szCs w:val="24"/>
        </w:rPr>
        <w:t xml:space="preserve">sample CER gains. </w:t>
      </w:r>
      <w:r>
        <w:rPr>
          <w:sz w:val="24"/>
          <w:szCs w:val="24"/>
        </w:rPr>
        <w:t xml:space="preserve">The </w:t>
      </w:r>
      <w:r w:rsidRPr="00A81003">
        <w:rPr>
          <w:i/>
          <w:iCs/>
          <w:sz w:val="24"/>
          <w:szCs w:val="24"/>
        </w:rPr>
        <w:t>TSMSV</w:t>
      </w:r>
      <w:r w:rsidRPr="00A81003">
        <w:rPr>
          <w:sz w:val="24"/>
          <w:szCs w:val="24"/>
        </w:rPr>
        <w:t xml:space="preserve"> has CER gains of 21.06% for the 7-day horizon and 16.84% for the 14-day horizon, with </w:t>
      </w:r>
      <w:r w:rsidRPr="00A81003">
        <w:rPr>
          <w:i/>
          <w:iCs/>
          <w:sz w:val="24"/>
          <w:szCs w:val="24"/>
        </w:rPr>
        <w:t xml:space="preserve">BD, </w:t>
      </w:r>
      <w:r w:rsidRPr="00A81003">
        <w:rPr>
          <w:i/>
          <w:sz w:val="24"/>
          <w:szCs w:val="24"/>
        </w:rPr>
        <w:t xml:space="preserve">PU, </w:t>
      </w:r>
      <w:r w:rsidRPr="00A81003">
        <w:rPr>
          <w:iCs/>
          <w:sz w:val="24"/>
          <w:szCs w:val="24"/>
        </w:rPr>
        <w:t>and</w:t>
      </w:r>
      <w:r w:rsidRPr="00A81003">
        <w:rPr>
          <w:i/>
          <w:sz w:val="24"/>
          <w:szCs w:val="24"/>
        </w:rPr>
        <w:t xml:space="preserve"> FU</w:t>
      </w:r>
      <w:r w:rsidRPr="00A81003">
        <w:rPr>
          <w:sz w:val="24"/>
          <w:szCs w:val="24"/>
        </w:rPr>
        <w:t xml:space="preserve"> predictors also generating positive CER gains </w:t>
      </w:r>
      <w:r>
        <w:rPr>
          <w:sz w:val="24"/>
          <w:szCs w:val="24"/>
        </w:rPr>
        <w:t>for</w:t>
      </w:r>
      <w:r w:rsidRPr="00A81003">
        <w:rPr>
          <w:sz w:val="24"/>
          <w:szCs w:val="24"/>
        </w:rPr>
        <w:t xml:space="preserve"> both. However</w:t>
      </w:r>
      <w:r w:rsidR="004B6822">
        <w:rPr>
          <w:sz w:val="24"/>
          <w:szCs w:val="24"/>
        </w:rPr>
        <w:t>,</w:t>
      </w:r>
      <w:r w:rsidRPr="00A81003">
        <w:rPr>
          <w:sz w:val="24"/>
          <w:szCs w:val="24"/>
        </w:rPr>
        <w:t xml:space="preserve"> we note that CER gains</w:t>
      </w:r>
      <w:r>
        <w:rPr>
          <w:sz w:val="24"/>
          <w:szCs w:val="24"/>
        </w:rPr>
        <w:t xml:space="preserve"> significantly decrease beyond the 14-day horizon</w:t>
      </w:r>
      <w:r w:rsidRPr="00A81003">
        <w:rPr>
          <w:sz w:val="24"/>
          <w:szCs w:val="24"/>
        </w:rPr>
        <w:t xml:space="preserve"> for </w:t>
      </w:r>
      <w:r w:rsidRPr="00A81003">
        <w:rPr>
          <w:i/>
          <w:iCs/>
          <w:sz w:val="24"/>
          <w:szCs w:val="24"/>
        </w:rPr>
        <w:t xml:space="preserve">PU </w:t>
      </w:r>
      <w:r w:rsidRPr="00A81003">
        <w:rPr>
          <w:sz w:val="24"/>
          <w:szCs w:val="24"/>
        </w:rPr>
        <w:t xml:space="preserve">and </w:t>
      </w:r>
      <w:r w:rsidRPr="00A81003">
        <w:rPr>
          <w:i/>
          <w:iCs/>
          <w:sz w:val="24"/>
          <w:szCs w:val="24"/>
        </w:rPr>
        <w:t>FU</w:t>
      </w:r>
      <w:r w:rsidRPr="00A81003">
        <w:rPr>
          <w:sz w:val="24"/>
          <w:szCs w:val="24"/>
        </w:rPr>
        <w:t xml:space="preserve">, while only </w:t>
      </w:r>
      <w:r w:rsidRPr="00A81003">
        <w:rPr>
          <w:i/>
          <w:iCs/>
          <w:sz w:val="24"/>
          <w:szCs w:val="24"/>
        </w:rPr>
        <w:t xml:space="preserve">BD </w:t>
      </w:r>
      <w:r w:rsidRPr="00A81003">
        <w:rPr>
          <w:sz w:val="24"/>
          <w:szCs w:val="24"/>
        </w:rPr>
        <w:t xml:space="preserve">and </w:t>
      </w:r>
      <w:r w:rsidRPr="00A81003">
        <w:rPr>
          <w:i/>
          <w:sz w:val="24"/>
          <w:szCs w:val="24"/>
        </w:rPr>
        <w:t xml:space="preserve">TSMSV </w:t>
      </w:r>
      <w:r w:rsidRPr="00A81003">
        <w:rPr>
          <w:sz w:val="24"/>
          <w:szCs w:val="24"/>
        </w:rPr>
        <w:t>continuous</w:t>
      </w:r>
      <w:r>
        <w:rPr>
          <w:sz w:val="24"/>
          <w:szCs w:val="24"/>
        </w:rPr>
        <w:t>ly</w:t>
      </w:r>
      <w:r w:rsidRPr="00A81003">
        <w:rPr>
          <w:sz w:val="24"/>
          <w:szCs w:val="24"/>
        </w:rPr>
        <w:t xml:space="preserve"> provide positive CER gains. Therefore, the </w:t>
      </w:r>
      <w:r w:rsidRPr="00A81003">
        <w:rPr>
          <w:i/>
          <w:iCs/>
          <w:sz w:val="24"/>
          <w:szCs w:val="24"/>
        </w:rPr>
        <w:t xml:space="preserve">PU </w:t>
      </w:r>
      <w:r w:rsidRPr="00A81003">
        <w:rPr>
          <w:sz w:val="24"/>
          <w:szCs w:val="24"/>
        </w:rPr>
        <w:t>and</w:t>
      </w:r>
      <w:r w:rsidRPr="00A81003">
        <w:rPr>
          <w:i/>
          <w:iCs/>
          <w:sz w:val="24"/>
          <w:szCs w:val="24"/>
        </w:rPr>
        <w:t xml:space="preserve"> FU</w:t>
      </w:r>
      <w:r w:rsidRPr="00A81003">
        <w:rPr>
          <w:sz w:val="24"/>
          <w:szCs w:val="24"/>
        </w:rPr>
        <w:t xml:space="preserve"> </w:t>
      </w:r>
      <w:r>
        <w:rPr>
          <w:sz w:val="24"/>
          <w:szCs w:val="24"/>
        </w:rPr>
        <w:t xml:space="preserve">information </w:t>
      </w:r>
      <w:r w:rsidRPr="00A81003">
        <w:rPr>
          <w:sz w:val="24"/>
          <w:szCs w:val="24"/>
        </w:rPr>
        <w:t>provides limited economic value for risk-averse investors with longer investment horizons.</w:t>
      </w:r>
      <w:r w:rsidR="00CE7BBB" w:rsidRPr="00A81003">
        <w:rPr>
          <w:sz w:val="24"/>
          <w:szCs w:val="24"/>
        </w:rPr>
        <w:t xml:space="preserve"> </w:t>
      </w:r>
    </w:p>
    <w:p w:rsidR="00CE7BBB" w:rsidRPr="00A81003" w:rsidRDefault="00CE7BBB" w:rsidP="0029520B">
      <w:pPr>
        <w:adjustRightInd w:val="0"/>
        <w:snapToGrid w:val="0"/>
        <w:spacing w:line="480" w:lineRule="auto"/>
        <w:ind w:firstLine="720"/>
        <w:jc w:val="center"/>
        <w:rPr>
          <w:sz w:val="24"/>
          <w:szCs w:val="24"/>
        </w:rPr>
      </w:pPr>
      <w:r w:rsidRPr="00A81003">
        <w:rPr>
          <w:sz w:val="24"/>
          <w:szCs w:val="24"/>
        </w:rPr>
        <w:t xml:space="preserve">[Insert Table </w:t>
      </w:r>
      <w:r w:rsidR="00C37C34" w:rsidRPr="00A81003">
        <w:rPr>
          <w:sz w:val="24"/>
          <w:szCs w:val="24"/>
        </w:rPr>
        <w:t>5</w:t>
      </w:r>
      <w:r w:rsidRPr="00A81003">
        <w:rPr>
          <w:sz w:val="24"/>
          <w:szCs w:val="24"/>
        </w:rPr>
        <w:t xml:space="preserve"> here]</w:t>
      </w:r>
    </w:p>
    <w:p w:rsidR="00C264D8" w:rsidRDefault="00C264D8" w:rsidP="0029520B">
      <w:pPr>
        <w:adjustRightInd w:val="0"/>
        <w:snapToGrid w:val="0"/>
        <w:spacing w:after="0" w:line="480" w:lineRule="auto"/>
        <w:ind w:firstLine="720"/>
        <w:jc w:val="both"/>
        <w:rPr>
          <w:sz w:val="24"/>
          <w:szCs w:val="24"/>
        </w:rPr>
      </w:pPr>
      <w:r w:rsidRPr="00A81003">
        <w:rPr>
          <w:sz w:val="24"/>
          <w:szCs w:val="24"/>
        </w:rPr>
        <w:t>Recent studies highlight transaction costs</w:t>
      </w:r>
      <w:r>
        <w:rPr>
          <w:sz w:val="24"/>
          <w:szCs w:val="24"/>
        </w:rPr>
        <w:t>’ role</w:t>
      </w:r>
      <w:r w:rsidRPr="00A81003">
        <w:rPr>
          <w:sz w:val="24"/>
          <w:szCs w:val="24"/>
        </w:rPr>
        <w:t xml:space="preserve"> </w:t>
      </w:r>
      <w:r>
        <w:rPr>
          <w:sz w:val="24"/>
          <w:szCs w:val="24"/>
        </w:rPr>
        <w:t>in</w:t>
      </w:r>
      <w:r w:rsidRPr="00A81003">
        <w:rPr>
          <w:sz w:val="24"/>
          <w:szCs w:val="24"/>
        </w:rPr>
        <w:t xml:space="preserve"> </w:t>
      </w:r>
      <w:r>
        <w:rPr>
          <w:sz w:val="24"/>
          <w:szCs w:val="24"/>
        </w:rPr>
        <w:t>trading strategies’ profits</w:t>
      </w:r>
      <w:r w:rsidRPr="00A81003">
        <w:rPr>
          <w:sz w:val="24"/>
          <w:szCs w:val="24"/>
        </w:rPr>
        <w:t xml:space="preserve"> (</w:t>
      </w:r>
      <w:proofErr w:type="spellStart"/>
      <w:r w:rsidRPr="00A81003">
        <w:rPr>
          <w:sz w:val="24"/>
          <w:szCs w:val="24"/>
        </w:rPr>
        <w:t>Novy</w:t>
      </w:r>
      <w:proofErr w:type="spellEnd"/>
      <w:r w:rsidRPr="00A81003">
        <w:rPr>
          <w:sz w:val="24"/>
          <w:szCs w:val="24"/>
        </w:rPr>
        <w:t>-Marx</w:t>
      </w:r>
      <w:r w:rsidR="00FA3E65">
        <w:rPr>
          <w:sz w:val="24"/>
          <w:szCs w:val="24"/>
        </w:rPr>
        <w:t>,</w:t>
      </w:r>
      <w:r w:rsidRPr="00A81003">
        <w:rPr>
          <w:sz w:val="24"/>
          <w:szCs w:val="24"/>
        </w:rPr>
        <w:t xml:space="preserve"> 2014; Patton and Weller</w:t>
      </w:r>
      <w:r w:rsidR="00FA3E65">
        <w:rPr>
          <w:sz w:val="24"/>
          <w:szCs w:val="24"/>
        </w:rPr>
        <w:t>,</w:t>
      </w:r>
      <w:r w:rsidRPr="00A81003">
        <w:rPr>
          <w:sz w:val="24"/>
          <w:szCs w:val="24"/>
        </w:rPr>
        <w:t xml:space="preserve"> 2019). </w:t>
      </w:r>
      <w:r>
        <w:rPr>
          <w:sz w:val="24"/>
          <w:szCs w:val="24"/>
        </w:rPr>
        <w:t>Thus, we</w:t>
      </w:r>
      <w:r w:rsidRPr="00A81003">
        <w:rPr>
          <w:sz w:val="24"/>
          <w:szCs w:val="24"/>
        </w:rPr>
        <w:t xml:space="preserve"> examine the CER after </w:t>
      </w:r>
      <w:r>
        <w:rPr>
          <w:sz w:val="24"/>
          <w:szCs w:val="24"/>
        </w:rPr>
        <w:t>considering</w:t>
      </w:r>
      <w:r w:rsidRPr="00A81003">
        <w:rPr>
          <w:sz w:val="24"/>
          <w:szCs w:val="24"/>
        </w:rPr>
        <w:t xml:space="preserve"> transaction costs</w:t>
      </w:r>
      <w:r>
        <w:rPr>
          <w:sz w:val="24"/>
          <w:szCs w:val="24"/>
        </w:rPr>
        <w:t>, and</w:t>
      </w:r>
      <w:r w:rsidRPr="00A81003">
        <w:rPr>
          <w:sz w:val="24"/>
          <w:szCs w:val="24"/>
        </w:rPr>
        <w:t xml:space="preserve"> proxy for </w:t>
      </w:r>
      <w:r>
        <w:rPr>
          <w:sz w:val="24"/>
          <w:szCs w:val="24"/>
        </w:rPr>
        <w:t>such</w:t>
      </w:r>
      <w:r w:rsidRPr="00A81003">
        <w:rPr>
          <w:sz w:val="24"/>
          <w:szCs w:val="24"/>
        </w:rPr>
        <w:t xml:space="preserve"> costs</w:t>
      </w:r>
      <w:r>
        <w:rPr>
          <w:sz w:val="24"/>
          <w:szCs w:val="24"/>
        </w:rPr>
        <w:t xml:space="preserve"> by</w:t>
      </w:r>
      <w:r w:rsidRPr="00A81003">
        <w:rPr>
          <w:sz w:val="24"/>
          <w:szCs w:val="24"/>
        </w:rPr>
        <w:t xml:space="preserve"> estimat</w:t>
      </w:r>
      <w:r>
        <w:rPr>
          <w:sz w:val="24"/>
          <w:szCs w:val="24"/>
        </w:rPr>
        <w:t>ing</w:t>
      </w:r>
      <w:r w:rsidRPr="00A81003">
        <w:rPr>
          <w:sz w:val="24"/>
          <w:szCs w:val="24"/>
        </w:rPr>
        <w:t xml:space="preserve"> </w:t>
      </w:r>
      <m:oMath>
        <m:r>
          <w:rPr>
            <w:rFonts w:ascii="Cambria Math" w:hAnsi="Cambria Math"/>
            <w:sz w:val="24"/>
            <w:szCs w:val="24"/>
          </w:rPr>
          <m:t>TC=</m:t>
        </m:r>
        <m:f>
          <m:fPr>
            <m:type m:val="lin"/>
            <m:ctrlPr>
              <w:rPr>
                <w:rFonts w:ascii="Cambria Math" w:hAnsi="Cambria Math"/>
                <w:i/>
                <w:sz w:val="24"/>
                <w:szCs w:val="24"/>
              </w:rPr>
            </m:ctrlPr>
          </m:fPr>
          <m:num>
            <m:r>
              <w:rPr>
                <w:rFonts w:ascii="Cambria Math" w:hAnsi="Cambria Math"/>
                <w:sz w:val="24"/>
                <w:szCs w:val="24"/>
              </w:rPr>
              <m:t>(ask-bid)</m:t>
            </m:r>
          </m:num>
          <m:den>
            <m:r>
              <w:rPr>
                <w:rFonts w:ascii="Cambria Math" w:hAnsi="Cambria Math"/>
                <w:sz w:val="24"/>
                <w:szCs w:val="24"/>
              </w:rPr>
              <m:t>(</m:t>
            </m:r>
            <m:f>
              <m:fPr>
                <m:type m:val="lin"/>
                <m:ctrlPr>
                  <w:rPr>
                    <w:rFonts w:ascii="Cambria Math" w:hAnsi="Cambria Math"/>
                    <w:i/>
                    <w:sz w:val="24"/>
                    <w:szCs w:val="24"/>
                  </w:rPr>
                </m:ctrlPr>
              </m:fPr>
              <m:num>
                <m:r>
                  <w:rPr>
                    <w:rFonts w:ascii="Cambria Math" w:hAnsi="Cambria Math"/>
                    <w:sz w:val="24"/>
                    <w:szCs w:val="24"/>
                  </w:rPr>
                  <m:t>(ask+bid)</m:t>
                </m:r>
              </m:num>
              <m:den>
                <m:r>
                  <w:rPr>
                    <w:rFonts w:ascii="Cambria Math" w:hAnsi="Cambria Math"/>
                    <w:sz w:val="24"/>
                    <w:szCs w:val="24"/>
                  </w:rPr>
                  <m:t>2</m:t>
                </m:r>
              </m:den>
            </m:f>
            <m:r>
              <w:rPr>
                <w:rFonts w:ascii="Cambria Math" w:hAnsi="Cambria Math"/>
                <w:sz w:val="24"/>
                <w:szCs w:val="24"/>
              </w:rPr>
              <m:t>)</m:t>
            </m:r>
          </m:den>
        </m:f>
      </m:oMath>
      <w:r w:rsidRPr="00A81003">
        <w:rPr>
          <w:sz w:val="24"/>
          <w:szCs w:val="24"/>
        </w:rPr>
        <w:t xml:space="preserve"> following Amihud and Mendelson (1986). We obtain the bid and ask spread data from Bitcoinity.org</w:t>
      </w:r>
      <w:r w:rsidR="002C35B6">
        <w:rPr>
          <w:sz w:val="24"/>
          <w:szCs w:val="24"/>
        </w:rPr>
        <w:t>,</w:t>
      </w:r>
      <w:r w:rsidR="00C36E32">
        <w:rPr>
          <w:rStyle w:val="EndnoteReference"/>
          <w:sz w:val="24"/>
          <w:szCs w:val="24"/>
        </w:rPr>
        <w:endnoteReference w:id="10"/>
      </w:r>
      <w:r w:rsidRPr="00A81003">
        <w:rPr>
          <w:sz w:val="24"/>
          <w:szCs w:val="24"/>
        </w:rPr>
        <w:t xml:space="preserve"> following </w:t>
      </w:r>
      <w:proofErr w:type="spellStart"/>
      <w:r w:rsidRPr="00A81003">
        <w:rPr>
          <w:sz w:val="24"/>
          <w:szCs w:val="24"/>
        </w:rPr>
        <w:t>Dyhrberg</w:t>
      </w:r>
      <w:proofErr w:type="spellEnd"/>
      <w:r w:rsidRPr="00A81003">
        <w:rPr>
          <w:sz w:val="24"/>
          <w:szCs w:val="24"/>
        </w:rPr>
        <w:t xml:space="preserve"> et al. (2018).</w:t>
      </w:r>
      <w:r w:rsidR="00C36E32">
        <w:rPr>
          <w:rStyle w:val="EndnoteReference"/>
          <w:sz w:val="24"/>
          <w:szCs w:val="24"/>
        </w:rPr>
        <w:endnoteReference w:id="11"/>
      </w:r>
      <w:r w:rsidRPr="00A81003">
        <w:rPr>
          <w:sz w:val="24"/>
          <w:szCs w:val="24"/>
        </w:rPr>
        <w:t xml:space="preserve"> </w:t>
      </w:r>
      <w:r>
        <w:rPr>
          <w:sz w:val="24"/>
          <w:szCs w:val="24"/>
        </w:rPr>
        <w:t>As</w:t>
      </w:r>
      <w:r w:rsidRPr="00A81003">
        <w:rPr>
          <w:sz w:val="24"/>
          <w:szCs w:val="24"/>
        </w:rPr>
        <w:t xml:space="preserve"> the bid-ask data </w:t>
      </w:r>
      <w:r>
        <w:rPr>
          <w:sz w:val="24"/>
          <w:szCs w:val="24"/>
        </w:rPr>
        <w:t>begins on</w:t>
      </w:r>
      <w:r w:rsidRPr="00A81003">
        <w:rPr>
          <w:sz w:val="24"/>
          <w:szCs w:val="24"/>
        </w:rPr>
        <w:t xml:space="preserve"> 6 November 2012, we replace the earlier missing values of transaction costs (</w:t>
      </w:r>
      <w:r w:rsidRPr="00A81003">
        <w:rPr>
          <w:i/>
          <w:sz w:val="24"/>
          <w:szCs w:val="24"/>
        </w:rPr>
        <w:t>TC</w:t>
      </w:r>
      <w:r w:rsidRPr="00A81003">
        <w:rPr>
          <w:sz w:val="24"/>
          <w:szCs w:val="24"/>
        </w:rPr>
        <w:t xml:space="preserve">) with the mean of </w:t>
      </w:r>
      <w:r w:rsidRPr="00A81003">
        <w:rPr>
          <w:i/>
          <w:sz w:val="24"/>
          <w:szCs w:val="24"/>
        </w:rPr>
        <w:t>TC</w:t>
      </w:r>
      <w:r w:rsidRPr="00A81003">
        <w:rPr>
          <w:sz w:val="24"/>
          <w:szCs w:val="24"/>
        </w:rPr>
        <w:t xml:space="preserve"> over the sample period, to avoid losing information. The</w:t>
      </w:r>
      <w:r>
        <w:rPr>
          <w:sz w:val="24"/>
          <w:szCs w:val="24"/>
        </w:rPr>
        <w:t xml:space="preserve"> mean</w:t>
      </w:r>
      <w:r w:rsidRPr="00A81003">
        <w:rPr>
          <w:sz w:val="24"/>
          <w:szCs w:val="24"/>
        </w:rPr>
        <w:t xml:space="preserve"> Bitcoin transaction cost is 0.183%, which is consistent with the transaction costs rang</w:t>
      </w:r>
      <w:r>
        <w:rPr>
          <w:sz w:val="24"/>
          <w:szCs w:val="24"/>
        </w:rPr>
        <w:t>ing</w:t>
      </w:r>
      <w:r w:rsidRPr="00A81003">
        <w:rPr>
          <w:sz w:val="24"/>
          <w:szCs w:val="24"/>
        </w:rPr>
        <w:t xml:space="preserve"> from 0.1% to 0.3% as advised by </w:t>
      </w:r>
      <w:proofErr w:type="spellStart"/>
      <w:r w:rsidRPr="00A81003">
        <w:rPr>
          <w:sz w:val="24"/>
          <w:szCs w:val="24"/>
        </w:rPr>
        <w:t>Detzel</w:t>
      </w:r>
      <w:proofErr w:type="spellEnd"/>
      <w:r w:rsidRPr="00A81003">
        <w:rPr>
          <w:sz w:val="24"/>
          <w:szCs w:val="24"/>
        </w:rPr>
        <w:t xml:space="preserve"> et al. (</w:t>
      </w:r>
      <w:r>
        <w:rPr>
          <w:sz w:val="24"/>
          <w:szCs w:val="24"/>
        </w:rPr>
        <w:t>2020</w:t>
      </w:r>
      <w:r w:rsidRPr="00A81003">
        <w:rPr>
          <w:sz w:val="24"/>
          <w:szCs w:val="24"/>
        </w:rPr>
        <w:t>).</w:t>
      </w:r>
    </w:p>
    <w:p w:rsidR="00CE7BBB" w:rsidRPr="00A81003" w:rsidRDefault="002A4471" w:rsidP="0029520B">
      <w:pPr>
        <w:adjustRightInd w:val="0"/>
        <w:snapToGrid w:val="0"/>
        <w:spacing w:after="0" w:line="480" w:lineRule="auto"/>
        <w:ind w:firstLine="720"/>
        <w:jc w:val="both"/>
        <w:rPr>
          <w:sz w:val="24"/>
          <w:szCs w:val="24"/>
        </w:rPr>
      </w:pPr>
      <w:r w:rsidRPr="00A81003">
        <w:rPr>
          <w:sz w:val="24"/>
          <w:szCs w:val="24"/>
        </w:rPr>
        <w:t>We</w:t>
      </w:r>
      <w:r w:rsidR="00CE7BBB" w:rsidRPr="00A81003">
        <w:rPr>
          <w:sz w:val="24"/>
          <w:szCs w:val="24"/>
        </w:rPr>
        <w:t xml:space="preserve"> adjust transaction costs by subtracting the</w:t>
      </w:r>
      <w:r w:rsidR="00D83FF7" w:rsidRPr="00A81003">
        <w:rPr>
          <w:sz w:val="24"/>
          <w:szCs w:val="24"/>
        </w:rPr>
        <w:t xml:space="preserve">m </w:t>
      </w:r>
      <w:r w:rsidR="00CE7BBB" w:rsidRPr="00A81003">
        <w:rPr>
          <w:sz w:val="24"/>
          <w:szCs w:val="24"/>
        </w:rPr>
        <w:t>from the Bitcoin return</w:t>
      </w:r>
      <w:r w:rsidR="00D83FF7" w:rsidRPr="00A81003">
        <w:rPr>
          <w:sz w:val="24"/>
          <w:szCs w:val="24"/>
        </w:rPr>
        <w:t>s,</w:t>
      </w:r>
      <w:r w:rsidR="00CE7BBB" w:rsidRPr="00A81003">
        <w:rPr>
          <w:sz w:val="24"/>
          <w:szCs w:val="24"/>
        </w:rPr>
        <w:t xml:space="preserve"> following </w:t>
      </w:r>
      <w:proofErr w:type="spellStart"/>
      <w:r w:rsidR="00CE7BBB" w:rsidRPr="00A81003">
        <w:rPr>
          <w:sz w:val="24"/>
          <w:szCs w:val="24"/>
        </w:rPr>
        <w:t>Novy</w:t>
      </w:r>
      <w:proofErr w:type="spellEnd"/>
      <w:r w:rsidR="00CE7BBB" w:rsidRPr="00A81003">
        <w:rPr>
          <w:sz w:val="24"/>
          <w:szCs w:val="24"/>
        </w:rPr>
        <w:t xml:space="preserve">-Marx and </w:t>
      </w:r>
      <w:proofErr w:type="spellStart"/>
      <w:r w:rsidR="00CE7BBB" w:rsidRPr="00A81003">
        <w:rPr>
          <w:sz w:val="24"/>
          <w:szCs w:val="24"/>
        </w:rPr>
        <w:t>Velikov</w:t>
      </w:r>
      <w:proofErr w:type="spellEnd"/>
      <w:r w:rsidR="00CE7BBB" w:rsidRPr="00A81003">
        <w:rPr>
          <w:sz w:val="24"/>
          <w:szCs w:val="24"/>
        </w:rPr>
        <w:t xml:space="preserve"> </w:t>
      </w:r>
      <w:r w:rsidR="00C67260" w:rsidRPr="00C67260">
        <w:rPr>
          <w:noProof/>
          <w:sz w:val="24"/>
          <w:szCs w:val="24"/>
        </w:rPr>
        <w:t>(2016)</w:t>
      </w:r>
      <w:r w:rsidR="00CE7BBB" w:rsidRPr="00A81003">
        <w:rPr>
          <w:sz w:val="24"/>
          <w:szCs w:val="24"/>
        </w:rPr>
        <w:t xml:space="preserve">. Specifically, the transaction costs are the product of turnover and transaction costs, where </w:t>
      </w:r>
      <w:r w:rsidR="000A40C5" w:rsidRPr="00A81003">
        <w:rPr>
          <w:sz w:val="24"/>
          <w:szCs w:val="24"/>
        </w:rPr>
        <w:t>turnover is</w:t>
      </w:r>
      <w:r w:rsidR="008A66AA" w:rsidRPr="00A81003">
        <w:rPr>
          <w:sz w:val="24"/>
          <w:szCs w:val="24"/>
        </w:rPr>
        <w:t xml:space="preserve"> </w:t>
      </w:r>
      <w:r w:rsidR="00CE7BBB" w:rsidRPr="00A81003">
        <w:rPr>
          <w:sz w:val="24"/>
          <w:szCs w:val="24"/>
        </w:rPr>
        <w:t xml:space="preserve">the absolute change </w:t>
      </w:r>
      <w:r w:rsidR="009A54A7" w:rsidRPr="00A81003">
        <w:rPr>
          <w:sz w:val="24"/>
          <w:szCs w:val="24"/>
        </w:rPr>
        <w:t xml:space="preserve">in </w:t>
      </w:r>
      <w:r w:rsidR="00CE7BBB" w:rsidRPr="00A81003">
        <w:rPr>
          <w:sz w:val="24"/>
          <w:szCs w:val="24"/>
        </w:rPr>
        <w:t xml:space="preserve">portfolio weight from day </w:t>
      </w:r>
      <w:r w:rsidR="009A54A7" w:rsidRPr="00A81003">
        <w:rPr>
          <w:sz w:val="24"/>
          <w:szCs w:val="24"/>
        </w:rPr>
        <w:t>(</w:t>
      </w:r>
      <w:r w:rsidR="00CE7BBB" w:rsidRPr="00AD4513">
        <w:rPr>
          <w:i/>
          <w:sz w:val="24"/>
          <w:szCs w:val="24"/>
        </w:rPr>
        <w:t>t</w:t>
      </w:r>
      <w:r w:rsidR="009A54A7" w:rsidRPr="00A81003">
        <w:rPr>
          <w:sz w:val="24"/>
          <w:szCs w:val="24"/>
        </w:rPr>
        <w:t xml:space="preserve"> – </w:t>
      </w:r>
      <w:r w:rsidR="00CE7BBB" w:rsidRPr="00A81003">
        <w:rPr>
          <w:sz w:val="24"/>
          <w:szCs w:val="24"/>
        </w:rPr>
        <w:t>1</w:t>
      </w:r>
      <w:r w:rsidR="009A54A7" w:rsidRPr="00A81003">
        <w:rPr>
          <w:sz w:val="24"/>
          <w:szCs w:val="24"/>
        </w:rPr>
        <w:t>)</w:t>
      </w:r>
      <w:r w:rsidR="00CE7BBB" w:rsidRPr="00A81003">
        <w:rPr>
          <w:sz w:val="24"/>
          <w:szCs w:val="24"/>
        </w:rPr>
        <w:t xml:space="preserve"> to </w:t>
      </w:r>
      <w:r w:rsidR="00CE7BBB" w:rsidRPr="00AD4513">
        <w:rPr>
          <w:i/>
          <w:sz w:val="24"/>
          <w:szCs w:val="24"/>
        </w:rPr>
        <w:t>t</w:t>
      </w:r>
      <w:r w:rsidR="00CE7BBB" w:rsidRPr="00A81003">
        <w:rPr>
          <w:sz w:val="24"/>
          <w:szCs w:val="24"/>
        </w:rPr>
        <w:t xml:space="preserve">. For example, if the return is 0.0424 on </w:t>
      </w:r>
      <w:r w:rsidR="00077E86" w:rsidRPr="00A81003">
        <w:rPr>
          <w:sz w:val="24"/>
          <w:szCs w:val="24"/>
        </w:rPr>
        <w:t xml:space="preserve">a particular </w:t>
      </w:r>
      <w:r w:rsidR="00CE7BBB" w:rsidRPr="00A81003">
        <w:rPr>
          <w:sz w:val="24"/>
          <w:szCs w:val="24"/>
        </w:rPr>
        <w:t>day, the transaction cost is 0.003 and the turnover is 0.8</w:t>
      </w:r>
      <w:r w:rsidR="00F8577E">
        <w:rPr>
          <w:sz w:val="24"/>
          <w:szCs w:val="24"/>
        </w:rPr>
        <w:t xml:space="preserve"> </w:t>
      </w:r>
      <w:r w:rsidR="009A54A7" w:rsidRPr="00A81003">
        <w:rPr>
          <w:sz w:val="24"/>
          <w:szCs w:val="24"/>
        </w:rPr>
        <w:t>or specifically,</w:t>
      </w:r>
      <w:r w:rsidR="00CE7BBB" w:rsidRPr="00A81003">
        <w:rPr>
          <w:sz w:val="24"/>
          <w:szCs w:val="24"/>
        </w:rPr>
        <w:t xml:space="preserve"> the portfolio weight is 0.1 on day </w:t>
      </w:r>
      <w:r w:rsidR="009A54A7" w:rsidRPr="00A81003">
        <w:rPr>
          <w:sz w:val="24"/>
          <w:szCs w:val="24"/>
        </w:rPr>
        <w:t>(</w:t>
      </w:r>
      <w:r w:rsidR="00CE7BBB" w:rsidRPr="00AD4513">
        <w:rPr>
          <w:i/>
          <w:sz w:val="24"/>
          <w:szCs w:val="24"/>
        </w:rPr>
        <w:t>t</w:t>
      </w:r>
      <w:r w:rsidR="009A54A7" w:rsidRPr="00A81003">
        <w:rPr>
          <w:sz w:val="24"/>
          <w:szCs w:val="24"/>
        </w:rPr>
        <w:t xml:space="preserve"> – </w:t>
      </w:r>
      <w:r w:rsidR="00CE7BBB" w:rsidRPr="00A81003">
        <w:rPr>
          <w:sz w:val="24"/>
          <w:szCs w:val="24"/>
        </w:rPr>
        <w:t>1</w:t>
      </w:r>
      <w:r w:rsidR="009A54A7" w:rsidRPr="00A81003">
        <w:rPr>
          <w:sz w:val="24"/>
          <w:szCs w:val="24"/>
        </w:rPr>
        <w:t>)</w:t>
      </w:r>
      <w:r w:rsidR="00CE7BBB" w:rsidRPr="00A81003">
        <w:rPr>
          <w:sz w:val="24"/>
          <w:szCs w:val="24"/>
        </w:rPr>
        <w:t xml:space="preserve"> and 0.9 on day</w:t>
      </w:r>
      <w:r w:rsidR="00254308" w:rsidRPr="00A81003">
        <w:rPr>
          <w:sz w:val="24"/>
          <w:szCs w:val="24"/>
        </w:rPr>
        <w:t xml:space="preserve"> </w:t>
      </w:r>
      <w:r w:rsidR="00CE7BBB" w:rsidRPr="00AD4513">
        <w:rPr>
          <w:i/>
          <w:sz w:val="24"/>
          <w:szCs w:val="24"/>
        </w:rPr>
        <w:t>t</w:t>
      </w:r>
      <w:r w:rsidR="00F8577E">
        <w:rPr>
          <w:i/>
          <w:sz w:val="24"/>
          <w:szCs w:val="24"/>
        </w:rPr>
        <w:t xml:space="preserve"> </w:t>
      </w:r>
      <w:r w:rsidR="009A54A7" w:rsidRPr="00A81003">
        <w:rPr>
          <w:sz w:val="24"/>
          <w:szCs w:val="24"/>
        </w:rPr>
        <w:t xml:space="preserve">and </w:t>
      </w:r>
      <w:r w:rsidR="00CE7BBB" w:rsidRPr="00A81003">
        <w:rPr>
          <w:sz w:val="24"/>
          <w:szCs w:val="24"/>
        </w:rPr>
        <w:t xml:space="preserve">the return net of </w:t>
      </w:r>
      <w:r w:rsidR="009A54A7" w:rsidRPr="00A81003">
        <w:rPr>
          <w:sz w:val="24"/>
          <w:szCs w:val="24"/>
        </w:rPr>
        <w:t xml:space="preserve">the </w:t>
      </w:r>
      <w:r w:rsidR="00CE7BBB" w:rsidRPr="00A81003">
        <w:rPr>
          <w:sz w:val="24"/>
          <w:szCs w:val="24"/>
        </w:rPr>
        <w:t xml:space="preserve">transaction cost is 0.040. </w:t>
      </w:r>
      <w:r w:rsidR="00C264D8">
        <w:rPr>
          <w:sz w:val="24"/>
          <w:szCs w:val="24"/>
        </w:rPr>
        <w:t xml:space="preserve">Subsequently, we </w:t>
      </w:r>
      <w:r w:rsidR="00CE7BBB" w:rsidRPr="00A81003">
        <w:rPr>
          <w:sz w:val="24"/>
          <w:szCs w:val="24"/>
        </w:rPr>
        <w:t xml:space="preserve">use </w:t>
      </w:r>
      <w:r w:rsidR="00891B17" w:rsidRPr="00A81003">
        <w:rPr>
          <w:sz w:val="24"/>
          <w:szCs w:val="24"/>
        </w:rPr>
        <w:t>this</w:t>
      </w:r>
      <w:r w:rsidR="00CE7BBB" w:rsidRPr="00A81003">
        <w:rPr>
          <w:sz w:val="24"/>
          <w:szCs w:val="24"/>
        </w:rPr>
        <w:t xml:space="preserve"> to estimate the CER</w:t>
      </w:r>
      <w:r w:rsidR="009A54A7" w:rsidRPr="00A81003">
        <w:rPr>
          <w:sz w:val="24"/>
          <w:szCs w:val="24"/>
        </w:rPr>
        <w:t xml:space="preserve">: </w:t>
      </w:r>
      <w:r w:rsidR="00CE7BBB" w:rsidRPr="00A81003">
        <w:rPr>
          <w:sz w:val="24"/>
          <w:szCs w:val="24"/>
        </w:rPr>
        <w:t>the CER under transaction costs is</w:t>
      </w:r>
      <w:r w:rsidR="00780D68">
        <w:rPr>
          <w:sz w:val="24"/>
          <w:szCs w:val="24"/>
        </w:rPr>
        <w:t xml:space="preserve"> </w:t>
      </w:r>
      <m:oMath>
        <m:r>
          <w:rPr>
            <w:rFonts w:ascii="Cambria Math" w:hAnsi="Cambria Math"/>
            <w:sz w:val="24"/>
            <w:szCs w:val="24"/>
          </w:rPr>
          <m:t>CER=</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R</m:t>
                </m:r>
              </m:e>
            </m:acc>
          </m:e>
          <m:sub>
            <m:r>
              <w:rPr>
                <w:rFonts w:ascii="Cambria Math" w:hAnsi="Cambria Math"/>
                <w:sz w:val="24"/>
                <w:szCs w:val="24"/>
              </w:rPr>
              <m:t>P</m:t>
            </m:r>
          </m:sub>
        </m:sSub>
        <m:r>
          <w:rPr>
            <w:rFonts w:ascii="Cambria Math" w:hAnsi="Cambria Math"/>
            <w:sz w:val="24"/>
            <w:szCs w:val="24"/>
          </w:rPr>
          <m:t>-TC-0.5γ</m:t>
        </m:r>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P</m:t>
            </m:r>
          </m:sub>
          <m:sup>
            <m:r>
              <w:rPr>
                <w:rFonts w:ascii="Cambria Math" w:hAnsi="Cambria Math"/>
                <w:sz w:val="24"/>
                <w:szCs w:val="24"/>
              </w:rPr>
              <m:t>2</m:t>
            </m:r>
          </m:sup>
        </m:sSubSup>
      </m:oMath>
      <w:r w:rsidR="00254308" w:rsidRPr="00A81003">
        <w:rPr>
          <w:sz w:val="24"/>
          <w:szCs w:val="24"/>
        </w:rPr>
        <w:t xml:space="preserve">, 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R</m:t>
                </m:r>
              </m:e>
            </m:acc>
          </m:e>
          <m:sub>
            <m:r>
              <w:rPr>
                <w:rFonts w:ascii="Cambria Math" w:hAnsi="Cambria Math"/>
                <w:sz w:val="24"/>
                <w:szCs w:val="24"/>
              </w:rPr>
              <m:t>P</m:t>
            </m:r>
          </m:sub>
        </m:sSub>
        <m:r>
          <w:rPr>
            <w:rFonts w:ascii="Cambria Math" w:hAnsi="Cambria Math"/>
            <w:sz w:val="24"/>
            <w:szCs w:val="24"/>
          </w:rPr>
          <m:t>-TC</m:t>
        </m:r>
      </m:oMath>
      <w:r w:rsidR="00891B17" w:rsidRPr="00A81003">
        <w:rPr>
          <w:sz w:val="24"/>
          <w:szCs w:val="24"/>
        </w:rPr>
        <w:t xml:space="preserve"> </w:t>
      </w:r>
      <w:r w:rsidR="00AF5074" w:rsidRPr="00A81003">
        <w:rPr>
          <w:sz w:val="24"/>
          <w:szCs w:val="24"/>
        </w:rPr>
        <w:t>is</w:t>
      </w:r>
      <w:r w:rsidR="009A54A7" w:rsidRPr="00A81003">
        <w:rPr>
          <w:sz w:val="24"/>
          <w:szCs w:val="24"/>
        </w:rPr>
        <w:t xml:space="preserve"> </w:t>
      </w:r>
      <w:r w:rsidR="00CE7BBB" w:rsidRPr="00A81003">
        <w:rPr>
          <w:sz w:val="24"/>
          <w:szCs w:val="24"/>
        </w:rPr>
        <w:t>the mean of the portfolio return net of transaction costs over the forecast evaluation period</w:t>
      </w:r>
      <w:r w:rsidR="00E976DA" w:rsidRPr="00A81003">
        <w:rPr>
          <w:sz w:val="24"/>
          <w:szCs w:val="24"/>
        </w:rPr>
        <w:t>s</w:t>
      </w:r>
      <w:r w:rsidR="00CE7BBB" w:rsidRPr="00A81003">
        <w:rPr>
          <w:sz w:val="24"/>
          <w:szCs w:val="24"/>
        </w:rPr>
        <w:t>.</w:t>
      </w:r>
    </w:p>
    <w:p w:rsidR="00816CC1" w:rsidRPr="00A81003" w:rsidRDefault="00816CC1" w:rsidP="0029520B">
      <w:pPr>
        <w:adjustRightInd w:val="0"/>
        <w:snapToGrid w:val="0"/>
        <w:spacing w:line="480" w:lineRule="auto"/>
        <w:ind w:firstLine="720"/>
        <w:jc w:val="center"/>
        <w:rPr>
          <w:sz w:val="24"/>
          <w:szCs w:val="24"/>
        </w:rPr>
      </w:pPr>
      <w:r w:rsidRPr="00A81003">
        <w:rPr>
          <w:sz w:val="24"/>
          <w:szCs w:val="24"/>
        </w:rPr>
        <w:lastRenderedPageBreak/>
        <w:t>[Insert Table 6 here]</w:t>
      </w:r>
    </w:p>
    <w:p w:rsidR="00723502" w:rsidRPr="00A81003" w:rsidRDefault="00723502" w:rsidP="00723502">
      <w:pPr>
        <w:adjustRightInd w:val="0"/>
        <w:snapToGrid w:val="0"/>
        <w:spacing w:line="480" w:lineRule="auto"/>
        <w:ind w:firstLine="720"/>
        <w:jc w:val="both"/>
        <w:rPr>
          <w:sz w:val="24"/>
          <w:szCs w:val="24"/>
        </w:rPr>
      </w:pPr>
      <w:r w:rsidRPr="00A81003">
        <w:rPr>
          <w:sz w:val="24"/>
          <w:szCs w:val="24"/>
        </w:rPr>
        <w:t xml:space="preserve">We adjust transaction costs to the CER and our results in Table 6 remain materially unchanged. However, </w:t>
      </w:r>
      <w:r>
        <w:rPr>
          <w:sz w:val="24"/>
          <w:szCs w:val="24"/>
        </w:rPr>
        <w:t>an issue exists with implementing</w:t>
      </w:r>
      <w:r w:rsidRPr="00A81003">
        <w:rPr>
          <w:sz w:val="24"/>
          <w:szCs w:val="24"/>
        </w:rPr>
        <w:t xml:space="preserve"> the trading strategies issue. Investors can be exposed to long wait times </w:t>
      </w:r>
      <w:r>
        <w:rPr>
          <w:sz w:val="24"/>
          <w:szCs w:val="24"/>
        </w:rPr>
        <w:t>to</w:t>
      </w:r>
      <w:r w:rsidRPr="00A81003">
        <w:rPr>
          <w:sz w:val="24"/>
          <w:szCs w:val="24"/>
        </w:rPr>
        <w:t xml:space="preserve"> execut</w:t>
      </w:r>
      <w:r>
        <w:rPr>
          <w:sz w:val="24"/>
          <w:szCs w:val="24"/>
        </w:rPr>
        <w:t>e</w:t>
      </w:r>
      <w:r w:rsidRPr="00A81003">
        <w:rPr>
          <w:sz w:val="24"/>
          <w:szCs w:val="24"/>
        </w:rPr>
        <w:t xml:space="preserve"> their orders and </w:t>
      </w:r>
      <w:r>
        <w:rPr>
          <w:sz w:val="24"/>
          <w:szCs w:val="24"/>
        </w:rPr>
        <w:t>must</w:t>
      </w:r>
      <w:r w:rsidRPr="00A81003">
        <w:rPr>
          <w:sz w:val="24"/>
          <w:szCs w:val="24"/>
        </w:rPr>
        <w:t xml:space="preserve"> attach fees to facilitate their trades (Easley et al</w:t>
      </w:r>
      <w:r w:rsidR="00FA3E65">
        <w:rPr>
          <w:sz w:val="24"/>
          <w:szCs w:val="24"/>
        </w:rPr>
        <w:t>.</w:t>
      </w:r>
      <w:r w:rsidRPr="00A81003">
        <w:rPr>
          <w:sz w:val="24"/>
          <w:szCs w:val="24"/>
        </w:rPr>
        <w:t xml:space="preserve">, </w:t>
      </w:r>
      <w:r w:rsidR="00C67260" w:rsidRPr="00C67260">
        <w:rPr>
          <w:noProof/>
          <w:sz w:val="24"/>
          <w:szCs w:val="24"/>
        </w:rPr>
        <w:t>2019)</w:t>
      </w:r>
      <w:r w:rsidRPr="00A81003">
        <w:rPr>
          <w:sz w:val="24"/>
          <w:szCs w:val="24"/>
        </w:rPr>
        <w:t>. Therefore, our results should be interpreted with caution.</w:t>
      </w:r>
    </w:p>
    <w:p w:rsidR="00206827" w:rsidRPr="00A81003" w:rsidRDefault="00206827" w:rsidP="0029520B">
      <w:pPr>
        <w:adjustRightInd w:val="0"/>
        <w:snapToGrid w:val="0"/>
        <w:spacing w:line="480" w:lineRule="auto"/>
        <w:ind w:firstLine="720"/>
        <w:jc w:val="both"/>
        <w:rPr>
          <w:sz w:val="24"/>
          <w:szCs w:val="24"/>
        </w:rPr>
      </w:pPr>
    </w:p>
    <w:p w:rsidR="00206827" w:rsidRPr="00A81003" w:rsidRDefault="00206827" w:rsidP="0029520B">
      <w:pPr>
        <w:pStyle w:val="Heading1"/>
        <w:numPr>
          <w:ilvl w:val="0"/>
          <w:numId w:val="1"/>
        </w:numPr>
        <w:adjustRightInd w:val="0"/>
        <w:snapToGrid w:val="0"/>
        <w:spacing w:line="480" w:lineRule="auto"/>
        <w:ind w:left="0" w:firstLine="720"/>
        <w:contextualSpacing w:val="0"/>
        <w:rPr>
          <w:szCs w:val="24"/>
        </w:rPr>
      </w:pPr>
      <w:r w:rsidRPr="00A81003">
        <w:rPr>
          <w:szCs w:val="24"/>
        </w:rPr>
        <w:t xml:space="preserve">Robustness test addressing time-varying market return volatility </w:t>
      </w:r>
    </w:p>
    <w:p w:rsidR="00C65C1D" w:rsidRPr="00A81003" w:rsidRDefault="00C65C1D" w:rsidP="0029520B">
      <w:pPr>
        <w:adjustRightInd w:val="0"/>
        <w:snapToGrid w:val="0"/>
        <w:spacing w:line="480" w:lineRule="auto"/>
        <w:ind w:firstLine="720"/>
        <w:jc w:val="both"/>
        <w:rPr>
          <w:sz w:val="24"/>
          <w:szCs w:val="24"/>
        </w:rPr>
      </w:pPr>
    </w:p>
    <w:p w:rsidR="00D56F1E" w:rsidRPr="00AD4513" w:rsidRDefault="00CE7BBB" w:rsidP="0029520B">
      <w:pPr>
        <w:pStyle w:val="Heading3"/>
        <w:spacing w:line="480" w:lineRule="auto"/>
        <w:ind w:firstLine="720"/>
        <w:rPr>
          <w:b/>
        </w:rPr>
      </w:pPr>
      <w:r w:rsidRPr="00AD4513">
        <w:rPr>
          <w:b/>
        </w:rPr>
        <w:t>6</w:t>
      </w:r>
      <w:r w:rsidR="00741CC7" w:rsidRPr="00AD4513">
        <w:rPr>
          <w:b/>
        </w:rPr>
        <w:t>.1 Addressing time-varying market return volatility</w:t>
      </w:r>
    </w:p>
    <w:p w:rsidR="000E4342" w:rsidRPr="00A81003" w:rsidRDefault="00206827" w:rsidP="0029520B">
      <w:pPr>
        <w:adjustRightInd w:val="0"/>
        <w:snapToGrid w:val="0"/>
        <w:spacing w:line="480" w:lineRule="auto"/>
        <w:ind w:firstLine="720"/>
        <w:jc w:val="both"/>
        <w:rPr>
          <w:sz w:val="24"/>
          <w:szCs w:val="24"/>
        </w:rPr>
      </w:pPr>
      <w:r w:rsidRPr="00A81003">
        <w:rPr>
          <w:sz w:val="24"/>
          <w:szCs w:val="24"/>
        </w:rPr>
        <w:t xml:space="preserve">Prior studies indicate that time-varying market return volatility creates substantial heteroscedasticity in time-series return predictability regressions. </w:t>
      </w:r>
      <w:r w:rsidR="00660830" w:rsidRPr="00A81003">
        <w:rPr>
          <w:sz w:val="24"/>
          <w:szCs w:val="24"/>
        </w:rPr>
        <w:t xml:space="preserve">As documented by </w:t>
      </w:r>
      <w:r w:rsidR="002B6653" w:rsidRPr="00A81003">
        <w:rPr>
          <w:sz w:val="24"/>
          <w:szCs w:val="24"/>
        </w:rPr>
        <w:t xml:space="preserve">Hafner </w:t>
      </w:r>
      <w:r w:rsidR="00D050FC" w:rsidRPr="00A81003">
        <w:rPr>
          <w:sz w:val="24"/>
          <w:szCs w:val="24"/>
        </w:rPr>
        <w:t>(2018)</w:t>
      </w:r>
      <w:r w:rsidR="00660830" w:rsidRPr="00A81003">
        <w:rPr>
          <w:sz w:val="24"/>
          <w:szCs w:val="24"/>
        </w:rPr>
        <w:t xml:space="preserve">, </w:t>
      </w:r>
      <w:r w:rsidR="00723502">
        <w:rPr>
          <w:sz w:val="24"/>
          <w:szCs w:val="24"/>
        </w:rPr>
        <w:t xml:space="preserve">such </w:t>
      </w:r>
      <w:r w:rsidR="00845579" w:rsidRPr="00A81003">
        <w:rPr>
          <w:sz w:val="24"/>
          <w:szCs w:val="24"/>
        </w:rPr>
        <w:t>cryptocurrencies</w:t>
      </w:r>
      <w:r w:rsidR="00723502">
        <w:rPr>
          <w:sz w:val="24"/>
          <w:szCs w:val="24"/>
        </w:rPr>
        <w:t xml:space="preserve"> </w:t>
      </w:r>
      <w:r w:rsidR="00660830" w:rsidRPr="00A81003">
        <w:rPr>
          <w:sz w:val="24"/>
          <w:szCs w:val="24"/>
        </w:rPr>
        <w:t xml:space="preserve">as Bitcoin exhibit strong time-varying volatility. </w:t>
      </w:r>
      <w:r w:rsidR="00723502" w:rsidRPr="00A81003">
        <w:rPr>
          <w:sz w:val="24"/>
          <w:szCs w:val="24"/>
        </w:rPr>
        <w:t xml:space="preserve">The typical approach in </w:t>
      </w:r>
      <w:r w:rsidR="004B6822">
        <w:rPr>
          <w:sz w:val="24"/>
          <w:szCs w:val="24"/>
        </w:rPr>
        <w:t>addressing</w:t>
      </w:r>
      <w:r w:rsidR="00723502" w:rsidRPr="00A81003">
        <w:rPr>
          <w:sz w:val="24"/>
          <w:szCs w:val="24"/>
        </w:rPr>
        <w:t xml:space="preserve"> this heteroscedasticity </w:t>
      </w:r>
      <w:r w:rsidR="00723502">
        <w:rPr>
          <w:sz w:val="24"/>
          <w:szCs w:val="24"/>
        </w:rPr>
        <w:t>involves</w:t>
      </w:r>
      <w:r w:rsidR="00723502" w:rsidRPr="00A81003">
        <w:rPr>
          <w:sz w:val="24"/>
          <w:szCs w:val="24"/>
        </w:rPr>
        <w:t xml:space="preserve"> adjust</w:t>
      </w:r>
      <w:r w:rsidR="00723502">
        <w:rPr>
          <w:sz w:val="24"/>
          <w:szCs w:val="24"/>
        </w:rPr>
        <w:t>ing</w:t>
      </w:r>
      <w:r w:rsidR="00723502" w:rsidRPr="00A81003">
        <w:rPr>
          <w:sz w:val="24"/>
          <w:szCs w:val="24"/>
        </w:rPr>
        <w:t xml:space="preserve"> the </w:t>
      </w:r>
      <w:r w:rsidR="00723502">
        <w:rPr>
          <w:sz w:val="24"/>
          <w:szCs w:val="24"/>
        </w:rPr>
        <w:t>OLS</w:t>
      </w:r>
      <w:r w:rsidR="00723502" w:rsidRPr="00A81003">
        <w:rPr>
          <w:sz w:val="24"/>
          <w:szCs w:val="24"/>
        </w:rPr>
        <w:t xml:space="preserve"> regressions with White’s (1980) heteroscedasticity-consistent standard errors.  However, Johannes et al. (2014) and </w:t>
      </w:r>
      <w:proofErr w:type="spellStart"/>
      <w:r w:rsidR="00723502" w:rsidRPr="00A81003">
        <w:rPr>
          <w:sz w:val="24"/>
          <w:szCs w:val="24"/>
        </w:rPr>
        <w:t>Westerlund</w:t>
      </w:r>
      <w:proofErr w:type="spellEnd"/>
      <w:r w:rsidR="00723502" w:rsidRPr="00A81003">
        <w:rPr>
          <w:sz w:val="24"/>
          <w:szCs w:val="24"/>
        </w:rPr>
        <w:t xml:space="preserve"> and Narayan (2015) indicate that incorporating return heteroscedasticity into point estimates and standard errors under the generalised least squares estimate could result in a more efficient estimator with less noise and more power in finite samples. Therefore, following Johnson (201</w:t>
      </w:r>
      <w:r w:rsidR="00723502">
        <w:rPr>
          <w:sz w:val="24"/>
          <w:szCs w:val="24"/>
        </w:rPr>
        <w:t>9</w:t>
      </w:r>
      <w:r w:rsidR="00723502" w:rsidRPr="00A81003">
        <w:rPr>
          <w:sz w:val="24"/>
          <w:szCs w:val="24"/>
        </w:rPr>
        <w:t xml:space="preserve">), we apply the weighted </w:t>
      </w:r>
      <w:r w:rsidR="005C4748" w:rsidRPr="00A81003">
        <w:rPr>
          <w:sz w:val="24"/>
          <w:szCs w:val="24"/>
        </w:rPr>
        <w:t>least</w:t>
      </w:r>
      <w:r w:rsidR="005C4748">
        <w:rPr>
          <w:sz w:val="24"/>
          <w:szCs w:val="24"/>
        </w:rPr>
        <w:t>-</w:t>
      </w:r>
      <w:r w:rsidR="00723502" w:rsidRPr="00A81003">
        <w:rPr>
          <w:sz w:val="24"/>
          <w:szCs w:val="24"/>
        </w:rPr>
        <w:t>squares</w:t>
      </w:r>
      <w:r w:rsidR="005C4748">
        <w:rPr>
          <w:sz w:val="24"/>
          <w:szCs w:val="24"/>
        </w:rPr>
        <w:t xml:space="preserve"> method</w:t>
      </w:r>
      <w:r w:rsidR="00723502" w:rsidRPr="00A81003">
        <w:rPr>
          <w:sz w:val="24"/>
          <w:szCs w:val="24"/>
        </w:rPr>
        <w:t xml:space="preserve"> using </w:t>
      </w:r>
      <w:r w:rsidR="005C4748">
        <w:rPr>
          <w:sz w:val="24"/>
          <w:szCs w:val="24"/>
        </w:rPr>
        <w:t xml:space="preserve">the </w:t>
      </w:r>
      <w:r w:rsidR="005C4748" w:rsidRPr="00A81003">
        <w:rPr>
          <w:i/>
          <w:sz w:val="24"/>
          <w:szCs w:val="24"/>
        </w:rPr>
        <w:t>ex</w:t>
      </w:r>
      <w:r w:rsidR="005C4748">
        <w:rPr>
          <w:i/>
          <w:sz w:val="24"/>
          <w:szCs w:val="24"/>
        </w:rPr>
        <w:t>-</w:t>
      </w:r>
      <w:r w:rsidR="00723502" w:rsidRPr="00A81003">
        <w:rPr>
          <w:i/>
          <w:sz w:val="24"/>
          <w:szCs w:val="24"/>
        </w:rPr>
        <w:t xml:space="preserve">ante </w:t>
      </w:r>
      <w:r w:rsidR="00723502" w:rsidRPr="00A81003">
        <w:rPr>
          <w:sz w:val="24"/>
          <w:szCs w:val="24"/>
        </w:rPr>
        <w:t>variance (WLS-EV) to address the estimation inefficiency due to the Bitcoin market time-varying volatility. Specifically, we estimate volatility as</w:t>
      </w:r>
    </w:p>
    <w:p w:rsidR="000E4342" w:rsidRPr="00A81003" w:rsidRDefault="00780D68" w:rsidP="0029520B">
      <w:pPr>
        <w:adjustRightInd w:val="0"/>
        <w:snapToGrid w:val="0"/>
        <w:spacing w:line="480" w:lineRule="auto"/>
        <w:ind w:firstLine="720"/>
        <w:jc w:val="right"/>
        <w:rPr>
          <w:sz w:val="24"/>
          <w:szCs w:val="24"/>
        </w:rPr>
      </w:pPr>
      <m:oMath>
        <m:r>
          <w:rPr>
            <w:rFonts w:ascii="Cambria Math" w:hAnsi="Cambria Math"/>
            <w:sz w:val="24"/>
            <w:szCs w:val="24"/>
          </w:rPr>
          <m:t>RV</m:t>
        </m:r>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d</m:t>
            </m:r>
          </m:sub>
          <m:sup>
            <m:r>
              <w:rPr>
                <w:rFonts w:ascii="Cambria Math" w:hAnsi="Cambria Math"/>
                <w:sz w:val="24"/>
                <w:szCs w:val="24"/>
              </w:rPr>
              <m:t>2</m:t>
            </m:r>
          </m:sup>
        </m:sSubSup>
        <m:r>
          <w:rPr>
            <w:rFonts w:ascii="Cambria Math" w:hAnsi="Cambria Math"/>
            <w:sz w:val="24"/>
            <w:szCs w:val="24"/>
          </w:rPr>
          <m:t>=</m:t>
        </m:r>
        <m:acc>
          <m:accPr>
            <m:ctrlPr>
              <w:rPr>
                <w:rFonts w:ascii="Cambria Math" w:hAnsi="Cambria Math"/>
                <w:i/>
                <w:sz w:val="24"/>
                <w:szCs w:val="24"/>
              </w:rPr>
            </m:ctrlPr>
          </m:accPr>
          <m:e>
            <m:r>
              <w:rPr>
                <w:rFonts w:ascii="Cambria Math" w:hAnsi="Cambria Math"/>
                <w:sz w:val="24"/>
                <w:szCs w:val="24"/>
              </w:rPr>
              <m:t>α</m:t>
            </m:r>
          </m:e>
        </m:acc>
        <m:r>
          <w:rPr>
            <w:rFonts w:ascii="Cambria Math" w:hAnsi="Cambria Math"/>
            <w:sz w:val="24"/>
            <w:szCs w:val="24"/>
          </w:rPr>
          <m:t>+</m:t>
        </m:r>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β</m:t>
                </m:r>
              </m:e>
            </m:acc>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RV</m:t>
            </m:r>
          </m:e>
          <m:sub>
            <m:r>
              <w:rPr>
                <w:rFonts w:ascii="Cambria Math" w:hAnsi="Cambria Math"/>
                <w:sz w:val="24"/>
                <w:szCs w:val="24"/>
              </w:rPr>
              <m:t>d</m:t>
            </m:r>
          </m:sub>
        </m:sSub>
        <m:r>
          <w:rPr>
            <w:rFonts w:ascii="Cambria Math" w:hAnsi="Cambria Math"/>
            <w:sz w:val="24"/>
            <w:szCs w:val="24"/>
          </w:rPr>
          <m:t>+</m:t>
        </m:r>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β</m:t>
                </m:r>
              </m:e>
            </m:acc>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RV</m:t>
            </m:r>
          </m:e>
          <m:sub>
            <m:r>
              <w:rPr>
                <w:rFonts w:ascii="Cambria Math" w:hAnsi="Cambria Math"/>
                <w:sz w:val="24"/>
                <w:szCs w:val="24"/>
              </w:rPr>
              <m:t>d-11</m:t>
            </m:r>
          </m:sub>
        </m:sSub>
      </m:oMath>
      <w:r w:rsidR="00EC432D">
        <w:rPr>
          <w:position w:val="-10"/>
          <w:sz w:val="24"/>
          <w:szCs w:val="24"/>
        </w:rPr>
        <w:t xml:space="preserve"> </w:t>
      </w:r>
      <w:r w:rsidR="000E4342" w:rsidRPr="00A81003">
        <w:rPr>
          <w:sz w:val="24"/>
          <w:szCs w:val="24"/>
        </w:rPr>
        <w:t>,</w:t>
      </w:r>
      <w:r w:rsidR="00593FEE" w:rsidRPr="00A81003">
        <w:rPr>
          <w:sz w:val="24"/>
          <w:szCs w:val="24"/>
        </w:rPr>
        <w:t xml:space="preserve">                                                  (</w:t>
      </w:r>
      <w:r w:rsidR="009A11ED" w:rsidRPr="00A81003">
        <w:rPr>
          <w:sz w:val="24"/>
          <w:szCs w:val="24"/>
        </w:rPr>
        <w:t>6</w:t>
      </w:r>
      <w:r w:rsidR="00593FEE" w:rsidRPr="00A81003">
        <w:rPr>
          <w:sz w:val="24"/>
          <w:szCs w:val="24"/>
        </w:rPr>
        <w:t>)</w:t>
      </w:r>
    </w:p>
    <w:p w:rsidR="000E4342" w:rsidRPr="00A81003" w:rsidRDefault="005858E8" w:rsidP="0029520B">
      <w:pPr>
        <w:autoSpaceDE w:val="0"/>
        <w:autoSpaceDN w:val="0"/>
        <w:adjustRightInd w:val="0"/>
        <w:spacing w:after="0" w:line="480" w:lineRule="auto"/>
        <w:rPr>
          <w:sz w:val="24"/>
          <w:szCs w:val="24"/>
        </w:rPr>
      </w:pPr>
      <w:r w:rsidRPr="00A81003">
        <w:rPr>
          <w:sz w:val="24"/>
          <w:szCs w:val="24"/>
        </w:rPr>
        <w:lastRenderedPageBreak/>
        <w:t>w</w:t>
      </w:r>
      <w:r w:rsidR="000E4342" w:rsidRPr="00A81003">
        <w:rPr>
          <w:sz w:val="24"/>
          <w:szCs w:val="24"/>
        </w:rPr>
        <w:t xml:space="preserve">here </w:t>
      </w:r>
      <m:oMath>
        <m:acc>
          <m:accPr>
            <m:ctrlPr>
              <w:rPr>
                <w:rFonts w:ascii="Cambria Math" w:hAnsi="Cambria Math"/>
                <w:i/>
                <w:sz w:val="24"/>
                <w:szCs w:val="24"/>
              </w:rPr>
            </m:ctrlPr>
          </m:accPr>
          <m:e>
            <m:r>
              <w:rPr>
                <w:rFonts w:ascii="Cambria Math" w:hAnsi="Cambria Math"/>
                <w:sz w:val="24"/>
                <w:szCs w:val="24"/>
              </w:rPr>
              <m:t>α</m:t>
            </m:r>
          </m:e>
        </m:acc>
      </m:oMath>
      <w:r w:rsidR="000E4342" w:rsidRPr="00A81003">
        <w:rPr>
          <w:sz w:val="24"/>
          <w:szCs w:val="24"/>
        </w:rPr>
        <w:t xml:space="preserve">, </w:t>
      </w:r>
      <m:oMath>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β</m:t>
                </m:r>
              </m:e>
            </m:acc>
          </m:e>
          <m:sub>
            <m:r>
              <w:rPr>
                <w:rFonts w:ascii="Cambria Math" w:hAnsi="Cambria Math"/>
                <w:sz w:val="24"/>
                <w:szCs w:val="24"/>
              </w:rPr>
              <m:t>1</m:t>
            </m:r>
          </m:sub>
        </m:sSub>
      </m:oMath>
      <w:r w:rsidR="00EC432D">
        <w:rPr>
          <w:sz w:val="24"/>
          <w:szCs w:val="24"/>
        </w:rPr>
        <w:t xml:space="preserve"> </w:t>
      </w:r>
      <w:r w:rsidR="000E4342" w:rsidRPr="00A81003">
        <w:rPr>
          <w:sz w:val="24"/>
          <w:szCs w:val="24"/>
        </w:rPr>
        <w:t xml:space="preserve">and </w:t>
      </w:r>
      <m:oMath>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β</m:t>
                </m:r>
              </m:e>
            </m:acc>
          </m:e>
          <m:sub>
            <m:r>
              <w:rPr>
                <w:rFonts w:ascii="Cambria Math" w:hAnsi="Cambria Math"/>
                <w:sz w:val="24"/>
                <w:szCs w:val="24"/>
              </w:rPr>
              <m:t>2</m:t>
            </m:r>
          </m:sub>
        </m:sSub>
      </m:oMath>
      <w:r w:rsidR="000E4342" w:rsidRPr="00A81003">
        <w:rPr>
          <w:sz w:val="24"/>
          <w:szCs w:val="24"/>
        </w:rPr>
        <w:t xml:space="preserve"> are the estimated coefficients</w:t>
      </w:r>
      <w:r w:rsidR="006327F9" w:rsidRPr="00E27CF1">
        <w:rPr>
          <w:sz w:val="24"/>
          <w:szCs w:val="24"/>
        </w:rPr>
        <w:t xml:space="preserve">; </w:t>
      </w:r>
      <m:oMath>
        <m:sSub>
          <m:sSubPr>
            <m:ctrlPr>
              <w:rPr>
                <w:rFonts w:ascii="Cambria Math" w:hAnsi="Cambria Math"/>
                <w:i/>
                <w:sz w:val="24"/>
                <w:szCs w:val="24"/>
              </w:rPr>
            </m:ctrlPr>
          </m:sSubPr>
          <m:e>
            <m:r>
              <w:rPr>
                <w:rFonts w:ascii="Cambria Math" w:hAnsi="Cambria Math"/>
                <w:sz w:val="24"/>
                <w:szCs w:val="24"/>
              </w:rPr>
              <m:t>RV</m:t>
            </m:r>
          </m:e>
          <m:sub>
            <m:r>
              <w:rPr>
                <w:rFonts w:ascii="Cambria Math" w:hAnsi="Cambria Math"/>
                <w:sz w:val="24"/>
                <w:szCs w:val="24"/>
              </w:rPr>
              <m:t>d</m:t>
            </m:r>
          </m:sub>
        </m:sSub>
      </m:oMath>
      <w:r w:rsidR="00F81849">
        <w:rPr>
          <w:sz w:val="24"/>
          <w:szCs w:val="24"/>
        </w:rPr>
        <w:t xml:space="preserve"> </w:t>
      </w:r>
      <w:r w:rsidR="000E4342" w:rsidRPr="00A81003">
        <w:rPr>
          <w:sz w:val="24"/>
          <w:szCs w:val="24"/>
        </w:rPr>
        <w:t>is the reali</w:t>
      </w:r>
      <w:r w:rsidR="008A66AA" w:rsidRPr="00A81003">
        <w:rPr>
          <w:sz w:val="24"/>
          <w:szCs w:val="24"/>
        </w:rPr>
        <w:t>s</w:t>
      </w:r>
      <w:r w:rsidR="000E4342" w:rsidRPr="00A81003">
        <w:rPr>
          <w:sz w:val="24"/>
          <w:szCs w:val="24"/>
        </w:rPr>
        <w:t>ed</w:t>
      </w:r>
      <w:r w:rsidRPr="00A81003">
        <w:rPr>
          <w:sz w:val="24"/>
          <w:szCs w:val="24"/>
        </w:rPr>
        <w:t xml:space="preserve"> </w:t>
      </w:r>
      <w:r w:rsidR="000E4342" w:rsidRPr="00A81003">
        <w:rPr>
          <w:sz w:val="24"/>
          <w:szCs w:val="24"/>
        </w:rPr>
        <w:t>variance of five-minute log Bitcoin returns.</w:t>
      </w:r>
    </w:p>
    <w:p w:rsidR="00AE3445" w:rsidRPr="00A81003" w:rsidRDefault="005C4748" w:rsidP="00AE3445">
      <w:pPr>
        <w:spacing w:after="0" w:line="480" w:lineRule="auto"/>
        <w:ind w:firstLine="720"/>
        <w:jc w:val="both"/>
        <w:rPr>
          <w:sz w:val="24"/>
          <w:szCs w:val="24"/>
        </w:rPr>
      </w:pPr>
      <w:r w:rsidRPr="00A81003">
        <w:rPr>
          <w:sz w:val="24"/>
          <w:szCs w:val="24"/>
        </w:rPr>
        <w:t xml:space="preserve">Table </w:t>
      </w:r>
      <w:r w:rsidR="00EB6392">
        <w:rPr>
          <w:sz w:val="24"/>
          <w:szCs w:val="24"/>
        </w:rPr>
        <w:t>7</w:t>
      </w:r>
      <w:r w:rsidR="00EB6392" w:rsidRPr="00A81003">
        <w:rPr>
          <w:sz w:val="24"/>
          <w:szCs w:val="24"/>
        </w:rPr>
        <w:t xml:space="preserve"> </w:t>
      </w:r>
      <w:r w:rsidRPr="00A81003">
        <w:rPr>
          <w:sz w:val="24"/>
          <w:szCs w:val="24"/>
        </w:rPr>
        <w:t xml:space="preserve">reports the results of out-of-sample tests based on the weighted least squares using </w:t>
      </w:r>
      <w:r w:rsidRPr="00A81003">
        <w:rPr>
          <w:i/>
          <w:sz w:val="24"/>
          <w:szCs w:val="24"/>
        </w:rPr>
        <w:t xml:space="preserve">ex ante </w:t>
      </w:r>
      <w:r w:rsidRPr="00A81003">
        <w:rPr>
          <w:sz w:val="24"/>
          <w:szCs w:val="24"/>
        </w:rPr>
        <w:t xml:space="preserve">variance (WLS-EV). </w:t>
      </w:r>
      <w:bookmarkStart w:id="1" w:name="_Hlk38281630"/>
      <w:r w:rsidR="00AE3445" w:rsidRPr="004C02EB">
        <w:rPr>
          <w:sz w:val="24"/>
          <w:szCs w:val="24"/>
        </w:rPr>
        <w:t>We</w:t>
      </w:r>
      <w:r w:rsidR="00AE3445">
        <w:rPr>
          <w:sz w:val="24"/>
          <w:szCs w:val="24"/>
        </w:rPr>
        <w:t xml:space="preserve"> find</w:t>
      </w:r>
      <w:r w:rsidR="00AE3445" w:rsidRPr="004C02EB">
        <w:rPr>
          <w:sz w:val="24"/>
          <w:szCs w:val="24"/>
        </w:rPr>
        <w:t xml:space="preserve"> that three </w:t>
      </w:r>
      <w:r w:rsidR="00AE3445">
        <w:rPr>
          <w:sz w:val="24"/>
          <w:szCs w:val="24"/>
        </w:rPr>
        <w:t xml:space="preserve">main </w:t>
      </w:r>
      <w:r w:rsidR="00AE3445" w:rsidRPr="004C02EB">
        <w:rPr>
          <w:sz w:val="24"/>
          <w:szCs w:val="24"/>
        </w:rPr>
        <w:t>predictors (</w:t>
      </w:r>
      <w:r w:rsidR="00AE3445" w:rsidRPr="004C02EB">
        <w:rPr>
          <w:i/>
          <w:sz w:val="24"/>
          <w:szCs w:val="24"/>
        </w:rPr>
        <w:t>TSMSV</w:t>
      </w:r>
      <w:r w:rsidR="00AE3445" w:rsidRPr="004C02EB">
        <w:rPr>
          <w:sz w:val="24"/>
          <w:szCs w:val="24"/>
        </w:rPr>
        <w:t xml:space="preserve">, </w:t>
      </w:r>
      <w:r w:rsidR="00AE3445" w:rsidRPr="004C02EB">
        <w:rPr>
          <w:i/>
          <w:sz w:val="24"/>
          <w:szCs w:val="24"/>
        </w:rPr>
        <w:t>PU</w:t>
      </w:r>
      <w:r w:rsidR="00AE3445">
        <w:rPr>
          <w:i/>
          <w:sz w:val="24"/>
          <w:szCs w:val="24"/>
        </w:rPr>
        <w:t>,</w:t>
      </w:r>
      <w:r w:rsidR="00AE3445" w:rsidRPr="004C02EB">
        <w:rPr>
          <w:i/>
          <w:sz w:val="24"/>
          <w:szCs w:val="24"/>
        </w:rPr>
        <w:t xml:space="preserve"> </w:t>
      </w:r>
      <w:r w:rsidR="00AE3445" w:rsidRPr="004C02EB">
        <w:rPr>
          <w:iCs/>
          <w:sz w:val="24"/>
          <w:szCs w:val="24"/>
        </w:rPr>
        <w:t>and</w:t>
      </w:r>
      <w:r w:rsidR="00AE3445" w:rsidRPr="004C02EB">
        <w:rPr>
          <w:i/>
          <w:sz w:val="24"/>
          <w:szCs w:val="24"/>
        </w:rPr>
        <w:t xml:space="preserve"> FU</w:t>
      </w:r>
      <w:r w:rsidR="00AE3445" w:rsidRPr="004C02EB">
        <w:rPr>
          <w:sz w:val="24"/>
          <w:szCs w:val="24"/>
        </w:rPr>
        <w:t>)</w:t>
      </w:r>
      <w:r w:rsidR="00AE3445">
        <w:rPr>
          <w:sz w:val="24"/>
          <w:szCs w:val="24"/>
        </w:rPr>
        <w:t>, which</w:t>
      </w:r>
      <w:r w:rsidR="00AE3445" w:rsidRPr="004C02EB">
        <w:rPr>
          <w:sz w:val="24"/>
          <w:szCs w:val="24"/>
        </w:rPr>
        <w:t xml:space="preserve"> </w:t>
      </w:r>
      <w:r w:rsidR="00AE3445">
        <w:rPr>
          <w:sz w:val="24"/>
          <w:szCs w:val="24"/>
        </w:rPr>
        <w:t xml:space="preserve">we identified in our previous tests, </w:t>
      </w:r>
      <w:r w:rsidR="00AE3445" w:rsidRPr="004C02EB">
        <w:rPr>
          <w:sz w:val="24"/>
          <w:szCs w:val="24"/>
        </w:rPr>
        <w:t>all ha</w:t>
      </w:r>
      <w:r w:rsidR="00AE3445">
        <w:rPr>
          <w:sz w:val="24"/>
          <w:szCs w:val="24"/>
        </w:rPr>
        <w:t>ve</w:t>
      </w:r>
      <w:r w:rsidR="00AE3445" w:rsidRPr="004C02EB">
        <w:rPr>
          <w:sz w:val="24"/>
          <w:szCs w:val="24"/>
        </w:rPr>
        <w:t xml:space="preserve"> a positive </w:t>
      </w:r>
      <w:r w:rsidR="00AE3445">
        <w:rPr>
          <w:sz w:val="24"/>
          <w:szCs w:val="24"/>
        </w:rPr>
        <w:t>out-of</w:t>
      </w:r>
      <w:r w:rsidR="00AE3445" w:rsidRPr="004C02EB">
        <w:rPr>
          <w:sz w:val="24"/>
          <w:szCs w:val="24"/>
        </w:rPr>
        <w:t xml:space="preserve">-sample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oMath>
      <w:r w:rsidR="00780D68" w:rsidRPr="00A81003">
        <w:rPr>
          <w:sz w:val="24"/>
          <w:szCs w:val="24"/>
        </w:rPr>
        <w:t xml:space="preserve"> </w:t>
      </w:r>
      <w:r w:rsidR="00AE3445">
        <w:rPr>
          <w:sz w:val="24"/>
          <w:szCs w:val="24"/>
        </w:rPr>
        <w:t xml:space="preserve">and </w:t>
      </w:r>
      <w:r w:rsidR="00AE3445" w:rsidRPr="00A81003">
        <w:rPr>
          <w:sz w:val="24"/>
          <w:szCs w:val="24"/>
        </w:rPr>
        <w:t xml:space="preserve">the Clark and West (2007) test </w:t>
      </w:r>
      <w:r w:rsidR="00AE3445">
        <w:rPr>
          <w:sz w:val="24"/>
          <w:szCs w:val="24"/>
        </w:rPr>
        <w:t xml:space="preserve">is </w:t>
      </w:r>
      <w:r w:rsidR="00AE3445" w:rsidRPr="00A81003">
        <w:rPr>
          <w:sz w:val="24"/>
          <w:szCs w:val="24"/>
        </w:rPr>
        <w:t xml:space="preserve">statistically significant for all </w:t>
      </w:r>
      <w:r w:rsidR="00AE3445" w:rsidRPr="00A81003">
        <w:rPr>
          <w:i/>
          <w:sz w:val="24"/>
          <w:szCs w:val="24"/>
        </w:rPr>
        <w:t>h</w:t>
      </w:r>
      <w:r w:rsidR="00AE3445" w:rsidRPr="00A81003">
        <w:rPr>
          <w:sz w:val="24"/>
          <w:szCs w:val="24"/>
        </w:rPr>
        <w:t>-day horizons. The results suggest that our results are robust to the alternative estimation method after accounting for the Bitcoin market</w:t>
      </w:r>
      <w:r w:rsidR="00AE3445">
        <w:rPr>
          <w:sz w:val="24"/>
          <w:szCs w:val="24"/>
        </w:rPr>
        <w:t>’s</w:t>
      </w:r>
      <w:r w:rsidR="00AE3445" w:rsidRPr="00A81003">
        <w:rPr>
          <w:sz w:val="24"/>
          <w:szCs w:val="24"/>
        </w:rPr>
        <w:t xml:space="preserve"> time-varying volatility.</w:t>
      </w:r>
    </w:p>
    <w:bookmarkEnd w:id="1"/>
    <w:p w:rsidR="00206827" w:rsidRPr="00A81003" w:rsidRDefault="00206827" w:rsidP="0029520B">
      <w:pPr>
        <w:spacing w:after="0" w:line="480" w:lineRule="auto"/>
        <w:ind w:firstLine="720"/>
        <w:jc w:val="both"/>
        <w:rPr>
          <w:sz w:val="24"/>
          <w:szCs w:val="24"/>
        </w:rPr>
      </w:pPr>
    </w:p>
    <w:p w:rsidR="00591851" w:rsidRPr="00A81003" w:rsidRDefault="00591851" w:rsidP="0029520B">
      <w:pPr>
        <w:adjustRightInd w:val="0"/>
        <w:snapToGrid w:val="0"/>
        <w:spacing w:line="480" w:lineRule="auto"/>
        <w:ind w:firstLine="720"/>
        <w:jc w:val="center"/>
        <w:rPr>
          <w:sz w:val="24"/>
          <w:szCs w:val="24"/>
        </w:rPr>
      </w:pPr>
      <w:r w:rsidRPr="00A81003">
        <w:rPr>
          <w:sz w:val="24"/>
          <w:szCs w:val="24"/>
        </w:rPr>
        <w:t xml:space="preserve">[Insert Table </w:t>
      </w:r>
      <w:r w:rsidR="00816CC1" w:rsidRPr="00A81003">
        <w:rPr>
          <w:sz w:val="24"/>
          <w:szCs w:val="24"/>
        </w:rPr>
        <w:t>7</w:t>
      </w:r>
      <w:r w:rsidR="00C37C34" w:rsidRPr="00A81003">
        <w:rPr>
          <w:sz w:val="24"/>
          <w:szCs w:val="24"/>
        </w:rPr>
        <w:t xml:space="preserve"> </w:t>
      </w:r>
      <w:r w:rsidRPr="00A81003">
        <w:rPr>
          <w:sz w:val="24"/>
          <w:szCs w:val="24"/>
        </w:rPr>
        <w:t>here]</w:t>
      </w:r>
    </w:p>
    <w:p w:rsidR="00741CC7" w:rsidRPr="00AD4513" w:rsidRDefault="00CE7BBB" w:rsidP="0029520B">
      <w:pPr>
        <w:pStyle w:val="Heading3"/>
        <w:spacing w:line="480" w:lineRule="auto"/>
        <w:ind w:firstLine="720"/>
        <w:rPr>
          <w:b/>
        </w:rPr>
      </w:pPr>
      <w:r w:rsidRPr="00AD4513">
        <w:rPr>
          <w:b/>
        </w:rPr>
        <w:t>6</w:t>
      </w:r>
      <w:r w:rsidR="00741CC7" w:rsidRPr="00AD4513">
        <w:rPr>
          <w:b/>
        </w:rPr>
        <w:t xml:space="preserve">.2 </w:t>
      </w:r>
      <w:r w:rsidR="00FA606C" w:rsidRPr="00AD4513">
        <w:rPr>
          <w:b/>
        </w:rPr>
        <w:t>Persistent and temporal stability</w:t>
      </w:r>
    </w:p>
    <w:p w:rsidR="00FA606C" w:rsidRPr="00A81003" w:rsidRDefault="005C4748" w:rsidP="0029520B">
      <w:pPr>
        <w:adjustRightInd w:val="0"/>
        <w:snapToGrid w:val="0"/>
        <w:spacing w:line="480" w:lineRule="auto"/>
        <w:ind w:firstLine="720"/>
        <w:jc w:val="both"/>
        <w:rPr>
          <w:sz w:val="24"/>
          <w:szCs w:val="24"/>
        </w:rPr>
      </w:pPr>
      <w:r w:rsidRPr="00A81003">
        <w:rPr>
          <w:sz w:val="24"/>
          <w:szCs w:val="24"/>
        </w:rPr>
        <w:t xml:space="preserve">As indicated by Neely et al. </w:t>
      </w:r>
      <w:r w:rsidR="00C67260" w:rsidRPr="00C67260">
        <w:rPr>
          <w:noProof/>
          <w:sz w:val="24"/>
          <w:szCs w:val="24"/>
        </w:rPr>
        <w:t>(2014)</w:t>
      </w:r>
      <w:r w:rsidR="00712391">
        <w:rPr>
          <w:sz w:val="24"/>
          <w:szCs w:val="24"/>
        </w:rPr>
        <w:t xml:space="preserve"> </w:t>
      </w:r>
      <w:r w:rsidRPr="00A81003">
        <w:rPr>
          <w:sz w:val="24"/>
          <w:szCs w:val="24"/>
        </w:rPr>
        <w:t xml:space="preserve">and </w:t>
      </w:r>
      <w:proofErr w:type="spellStart"/>
      <w:r w:rsidRPr="00A81003">
        <w:rPr>
          <w:sz w:val="24"/>
          <w:szCs w:val="24"/>
        </w:rPr>
        <w:t>Rapach</w:t>
      </w:r>
      <w:proofErr w:type="spellEnd"/>
      <w:r w:rsidRPr="00A81003">
        <w:rPr>
          <w:sz w:val="24"/>
          <w:szCs w:val="24"/>
        </w:rPr>
        <w:t xml:space="preserve"> et al. (2016), many popular return predictors are highly persistent. This raises the concern that the </w:t>
      </w:r>
      <w:r w:rsidRPr="00CD1CE7">
        <w:rPr>
          <w:sz w:val="24"/>
          <w:szCs w:val="24"/>
        </w:rPr>
        <w:t>t</w:t>
      </w:r>
      <w:r w:rsidRPr="00A81003">
        <w:rPr>
          <w:sz w:val="24"/>
          <w:szCs w:val="24"/>
        </w:rPr>
        <w:t>-statistic will be inflated for our coefficient, which is known as</w:t>
      </w:r>
      <w:r>
        <w:rPr>
          <w:sz w:val="24"/>
          <w:szCs w:val="24"/>
        </w:rPr>
        <w:t xml:space="preserve"> the</w:t>
      </w:r>
      <w:r w:rsidRPr="00A81003">
        <w:rPr>
          <w:sz w:val="24"/>
          <w:szCs w:val="24"/>
        </w:rPr>
        <w:t xml:space="preserve"> Stambaugh (1999) bias. </w:t>
      </w:r>
      <w:r>
        <w:rPr>
          <w:sz w:val="24"/>
          <w:szCs w:val="24"/>
        </w:rPr>
        <w:t>We</w:t>
      </w:r>
      <w:r w:rsidRPr="00A81003">
        <w:rPr>
          <w:sz w:val="24"/>
          <w:szCs w:val="24"/>
        </w:rPr>
        <w:t xml:space="preserve"> address this</w:t>
      </w:r>
      <w:r>
        <w:rPr>
          <w:sz w:val="24"/>
          <w:szCs w:val="24"/>
        </w:rPr>
        <w:t xml:space="preserve"> by</w:t>
      </w:r>
      <w:r w:rsidRPr="00A81003">
        <w:rPr>
          <w:sz w:val="24"/>
          <w:szCs w:val="24"/>
        </w:rPr>
        <w:t xml:space="preserve"> us</w:t>
      </w:r>
      <w:r>
        <w:rPr>
          <w:sz w:val="24"/>
          <w:szCs w:val="24"/>
        </w:rPr>
        <w:t>ing</w:t>
      </w:r>
      <w:r w:rsidRPr="00A81003">
        <w:rPr>
          <w:sz w:val="24"/>
          <w:szCs w:val="24"/>
        </w:rPr>
        <w:t xml:space="preserve"> the IVX-Wald statistic developed by </w:t>
      </w:r>
      <w:proofErr w:type="spellStart"/>
      <w:r w:rsidRPr="00A81003">
        <w:rPr>
          <w:sz w:val="24"/>
          <w:szCs w:val="24"/>
        </w:rPr>
        <w:t>Kostakis</w:t>
      </w:r>
      <w:proofErr w:type="spellEnd"/>
      <w:r w:rsidRPr="00A81003">
        <w:rPr>
          <w:sz w:val="24"/>
          <w:szCs w:val="24"/>
        </w:rPr>
        <w:t xml:space="preserve"> et al. (2015) to test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:β=0</m:t>
        </m:r>
      </m:oMath>
      <w:r w:rsidRPr="00A81003">
        <w:rPr>
          <w:sz w:val="24"/>
          <w:szCs w:val="24"/>
        </w:rPr>
        <w:t xml:space="preserve"> against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A</m:t>
            </m:r>
          </m:sub>
        </m:sSub>
        <m:r>
          <w:rPr>
            <w:rFonts w:ascii="Cambria Math" w:hAnsi="Cambria Math"/>
            <w:sz w:val="24"/>
            <w:szCs w:val="24"/>
          </w:rPr>
          <m:t>:β≠0</m:t>
        </m:r>
      </m:oMath>
      <w:r w:rsidRPr="00A81003">
        <w:rPr>
          <w:sz w:val="24"/>
          <w:szCs w:val="24"/>
        </w:rPr>
        <w:t>. This powerful Wald</w:t>
      </w:r>
      <w:r>
        <w:rPr>
          <w:sz w:val="24"/>
          <w:szCs w:val="24"/>
        </w:rPr>
        <w:t>’s</w:t>
      </w:r>
      <w:r w:rsidRPr="00A81003">
        <w:rPr>
          <w:sz w:val="24"/>
          <w:szCs w:val="24"/>
        </w:rPr>
        <w:t xml:space="preserve"> test is robust to the regressor’s degree of persistence</w:t>
      </w:r>
      <w:r>
        <w:rPr>
          <w:sz w:val="24"/>
          <w:szCs w:val="24"/>
        </w:rPr>
        <w:t>, whether</w:t>
      </w:r>
      <w:r w:rsidRPr="00A81003">
        <w:rPr>
          <w:sz w:val="24"/>
          <w:szCs w:val="24"/>
        </w:rPr>
        <w:t xml:space="preserve"> unit root, local-to-unit root, near stationary or stationary. </w:t>
      </w:r>
      <w:r w:rsidRPr="00D41BA0">
        <w:rPr>
          <w:color w:val="000000"/>
          <w:sz w:val="24"/>
          <w:szCs w:val="24"/>
        </w:rPr>
        <w:t>Table 8 presents these test</w:t>
      </w:r>
      <w:r w:rsidR="002C35B6" w:rsidRPr="00D41BA0">
        <w:rPr>
          <w:color w:val="000000"/>
          <w:sz w:val="24"/>
          <w:szCs w:val="24"/>
        </w:rPr>
        <w:t xml:space="preserve"> results</w:t>
      </w:r>
      <w:r w:rsidRPr="00D41BA0">
        <w:rPr>
          <w:color w:val="000000"/>
          <w:sz w:val="24"/>
          <w:szCs w:val="24"/>
        </w:rPr>
        <w:t>.</w:t>
      </w:r>
      <w:r w:rsidRPr="00A81003">
        <w:rPr>
          <w:sz w:val="24"/>
          <w:szCs w:val="24"/>
        </w:rPr>
        <w:t xml:space="preserve"> The IVX-Wald statistics for </w:t>
      </w:r>
      <w:r w:rsidRPr="00A81003">
        <w:rPr>
          <w:i/>
          <w:iCs/>
          <w:sz w:val="24"/>
          <w:szCs w:val="24"/>
        </w:rPr>
        <w:t>TSMSV,</w:t>
      </w:r>
      <w:r w:rsidRPr="00A81003">
        <w:rPr>
          <w:sz w:val="24"/>
          <w:szCs w:val="24"/>
        </w:rPr>
        <w:t xml:space="preserve"> </w:t>
      </w:r>
      <w:r w:rsidR="002C35B6" w:rsidRPr="002C35B6">
        <w:rPr>
          <w:i/>
          <w:sz w:val="24"/>
          <w:szCs w:val="24"/>
        </w:rPr>
        <w:t>PU</w:t>
      </w:r>
      <w:r w:rsidR="00602B62">
        <w:rPr>
          <w:i/>
          <w:sz w:val="24"/>
          <w:szCs w:val="24"/>
        </w:rPr>
        <w:t>,</w:t>
      </w:r>
      <w:r w:rsidR="002C35B6">
        <w:rPr>
          <w:sz w:val="24"/>
          <w:szCs w:val="24"/>
        </w:rPr>
        <w:t xml:space="preserve"> </w:t>
      </w:r>
      <w:r w:rsidRPr="00A81003">
        <w:rPr>
          <w:sz w:val="24"/>
          <w:szCs w:val="24"/>
        </w:rPr>
        <w:t xml:space="preserve">and </w:t>
      </w:r>
      <w:r w:rsidR="002C35B6">
        <w:rPr>
          <w:i/>
          <w:iCs/>
          <w:sz w:val="24"/>
          <w:szCs w:val="24"/>
        </w:rPr>
        <w:t>F</w:t>
      </w:r>
      <w:r w:rsidRPr="00A81003">
        <w:rPr>
          <w:i/>
          <w:iCs/>
          <w:sz w:val="24"/>
          <w:szCs w:val="24"/>
        </w:rPr>
        <w:t>U</w:t>
      </w:r>
      <w:r w:rsidRPr="00A81003">
        <w:rPr>
          <w:sz w:val="24"/>
          <w:szCs w:val="24"/>
        </w:rPr>
        <w:t xml:space="preserve"> are significant </w:t>
      </w:r>
      <w:r>
        <w:rPr>
          <w:sz w:val="24"/>
          <w:szCs w:val="24"/>
        </w:rPr>
        <w:t>across</w:t>
      </w:r>
      <w:r w:rsidRPr="00A81003">
        <w:rPr>
          <w:sz w:val="24"/>
          <w:szCs w:val="24"/>
        </w:rPr>
        <w:t xml:space="preserve"> all horizons, indicating that </w:t>
      </w:r>
      <w:r>
        <w:rPr>
          <w:sz w:val="24"/>
          <w:szCs w:val="24"/>
        </w:rPr>
        <w:t>our predictors’</w:t>
      </w:r>
      <w:r w:rsidRPr="00A81003">
        <w:rPr>
          <w:sz w:val="24"/>
          <w:szCs w:val="24"/>
        </w:rPr>
        <w:t xml:space="preserve"> predictive power is not compromised. Overall, </w:t>
      </w:r>
      <w:r w:rsidR="00B0425D">
        <w:rPr>
          <w:sz w:val="24"/>
          <w:szCs w:val="24"/>
        </w:rPr>
        <w:t xml:space="preserve">our results </w:t>
      </w:r>
      <w:r w:rsidRPr="00A81003">
        <w:rPr>
          <w:sz w:val="24"/>
          <w:szCs w:val="24"/>
        </w:rPr>
        <w:t>after accounting for the</w:t>
      </w:r>
      <w:r w:rsidR="00B0425D">
        <w:rPr>
          <w:sz w:val="24"/>
          <w:szCs w:val="24"/>
        </w:rPr>
        <w:t xml:space="preserve"> predictors’</w:t>
      </w:r>
      <w:r w:rsidRPr="00A81003">
        <w:rPr>
          <w:sz w:val="24"/>
          <w:szCs w:val="24"/>
        </w:rPr>
        <w:t xml:space="preserve"> persistence of predictors</w:t>
      </w:r>
      <w:r w:rsidR="00B0425D">
        <w:rPr>
          <w:sz w:val="24"/>
          <w:szCs w:val="24"/>
        </w:rPr>
        <w:t xml:space="preserve"> demonstrate</w:t>
      </w:r>
      <w:r w:rsidRPr="00A81003">
        <w:rPr>
          <w:sz w:val="24"/>
          <w:szCs w:val="24"/>
        </w:rPr>
        <w:t xml:space="preserve"> that the IVX-Wald test further support</w:t>
      </w:r>
      <w:r w:rsidR="00B0425D">
        <w:rPr>
          <w:sz w:val="24"/>
          <w:szCs w:val="24"/>
        </w:rPr>
        <w:t>s</w:t>
      </w:r>
      <w:r w:rsidRPr="00A81003">
        <w:rPr>
          <w:sz w:val="24"/>
          <w:szCs w:val="24"/>
        </w:rPr>
        <w:t xml:space="preserve"> our prior findings.</w:t>
      </w:r>
      <w:r w:rsidR="009108D5" w:rsidRPr="00A81003">
        <w:rPr>
          <w:sz w:val="24"/>
          <w:szCs w:val="24"/>
        </w:rPr>
        <w:t xml:space="preserve"> </w:t>
      </w:r>
    </w:p>
    <w:p w:rsidR="00753A2B" w:rsidRPr="00A81003" w:rsidRDefault="00753A2B" w:rsidP="0029520B">
      <w:pPr>
        <w:adjustRightInd w:val="0"/>
        <w:snapToGrid w:val="0"/>
        <w:spacing w:line="480" w:lineRule="auto"/>
        <w:ind w:firstLine="720"/>
        <w:jc w:val="center"/>
        <w:rPr>
          <w:sz w:val="24"/>
          <w:szCs w:val="24"/>
        </w:rPr>
      </w:pPr>
      <w:r w:rsidRPr="00A81003">
        <w:rPr>
          <w:sz w:val="24"/>
          <w:szCs w:val="24"/>
        </w:rPr>
        <w:t xml:space="preserve">[Insert Table </w:t>
      </w:r>
      <w:r w:rsidR="00816CC1" w:rsidRPr="00A81003">
        <w:rPr>
          <w:sz w:val="24"/>
          <w:szCs w:val="24"/>
        </w:rPr>
        <w:t>8</w:t>
      </w:r>
      <w:r w:rsidRPr="00A81003">
        <w:rPr>
          <w:sz w:val="24"/>
          <w:szCs w:val="24"/>
        </w:rPr>
        <w:t xml:space="preserve"> here]</w:t>
      </w:r>
    </w:p>
    <w:p w:rsidR="00B0425D" w:rsidRPr="00A81003" w:rsidRDefault="00B0425D" w:rsidP="00B0425D">
      <w:pPr>
        <w:adjustRightInd w:val="0"/>
        <w:snapToGrid w:val="0"/>
        <w:spacing w:line="480" w:lineRule="auto"/>
        <w:ind w:firstLine="720"/>
        <w:jc w:val="both"/>
        <w:rPr>
          <w:sz w:val="24"/>
          <w:szCs w:val="24"/>
        </w:rPr>
      </w:pPr>
      <w:r w:rsidRPr="00A81003">
        <w:rPr>
          <w:sz w:val="24"/>
          <w:szCs w:val="24"/>
        </w:rPr>
        <w:t>Structural instability can leave a long</w:t>
      </w:r>
      <w:r>
        <w:rPr>
          <w:sz w:val="24"/>
          <w:szCs w:val="24"/>
        </w:rPr>
        <w:t xml:space="preserve">, </w:t>
      </w:r>
      <w:r w:rsidRPr="00A81003">
        <w:rPr>
          <w:sz w:val="24"/>
          <w:szCs w:val="24"/>
        </w:rPr>
        <w:t>non-stationary impact on time-series variables, resulting in inaccurate inference</w:t>
      </w:r>
      <w:r>
        <w:rPr>
          <w:sz w:val="24"/>
          <w:szCs w:val="24"/>
        </w:rPr>
        <w:t>s</w:t>
      </w:r>
      <w:r w:rsidRPr="00A81003">
        <w:rPr>
          <w:sz w:val="24"/>
          <w:szCs w:val="24"/>
        </w:rPr>
        <w:t xml:space="preserve"> </w:t>
      </w:r>
      <w:r>
        <w:rPr>
          <w:sz w:val="24"/>
          <w:szCs w:val="24"/>
        </w:rPr>
        <w:t>regarding</w:t>
      </w:r>
      <w:r w:rsidRPr="00A81003">
        <w:rPr>
          <w:sz w:val="24"/>
          <w:szCs w:val="24"/>
        </w:rPr>
        <w:t xml:space="preserve"> the</w:t>
      </w:r>
      <w:r>
        <w:rPr>
          <w:sz w:val="24"/>
          <w:szCs w:val="24"/>
        </w:rPr>
        <w:t xml:space="preserve"> parameters’</w:t>
      </w:r>
      <w:r w:rsidRPr="00A81003">
        <w:rPr>
          <w:sz w:val="24"/>
          <w:szCs w:val="24"/>
        </w:rPr>
        <w:t xml:space="preserve"> overall stability. It is well known </w:t>
      </w:r>
      <w:r w:rsidRPr="00A81003">
        <w:rPr>
          <w:sz w:val="24"/>
          <w:szCs w:val="24"/>
        </w:rPr>
        <w:lastRenderedPageBreak/>
        <w:t>that Bitcoin prices</w:t>
      </w:r>
      <w:r>
        <w:rPr>
          <w:sz w:val="24"/>
          <w:szCs w:val="24"/>
        </w:rPr>
        <w:t xml:space="preserve"> can</w:t>
      </w:r>
      <w:r w:rsidRPr="00A81003">
        <w:rPr>
          <w:sz w:val="24"/>
          <w:szCs w:val="24"/>
        </w:rPr>
        <w:t xml:space="preserve"> significant</w:t>
      </w:r>
      <w:r>
        <w:rPr>
          <w:sz w:val="24"/>
          <w:szCs w:val="24"/>
        </w:rPr>
        <w:t>ly</w:t>
      </w:r>
      <w:r w:rsidRPr="00A81003">
        <w:rPr>
          <w:sz w:val="24"/>
          <w:szCs w:val="24"/>
        </w:rPr>
        <w:t xml:space="preserve"> fluctuat</w:t>
      </w:r>
      <w:r>
        <w:rPr>
          <w:sz w:val="24"/>
          <w:szCs w:val="24"/>
        </w:rPr>
        <w:t>e</w:t>
      </w:r>
      <w:r w:rsidRPr="00A81003">
        <w:rPr>
          <w:sz w:val="24"/>
          <w:szCs w:val="24"/>
        </w:rPr>
        <w:t xml:space="preserve">; </w:t>
      </w:r>
      <w:r>
        <w:rPr>
          <w:sz w:val="24"/>
          <w:szCs w:val="24"/>
        </w:rPr>
        <w:t xml:space="preserve">we </w:t>
      </w:r>
      <w:r w:rsidRPr="00A81003">
        <w:rPr>
          <w:sz w:val="24"/>
          <w:szCs w:val="24"/>
        </w:rPr>
        <w:t>address this concern</w:t>
      </w:r>
      <w:r>
        <w:rPr>
          <w:sz w:val="24"/>
          <w:szCs w:val="24"/>
        </w:rPr>
        <w:t xml:space="preserve"> by</w:t>
      </w:r>
      <w:r w:rsidRPr="00A81003">
        <w:rPr>
          <w:sz w:val="24"/>
          <w:szCs w:val="24"/>
        </w:rPr>
        <w:t xml:space="preserve"> </w:t>
      </w:r>
      <w:r>
        <w:rPr>
          <w:sz w:val="24"/>
          <w:szCs w:val="24"/>
        </w:rPr>
        <w:t>testing</w:t>
      </w:r>
      <w:r w:rsidRPr="00A81003">
        <w:rPr>
          <w:sz w:val="24"/>
          <w:szCs w:val="24"/>
        </w:rPr>
        <w:t xml:space="preserve"> general persistent time variations in regression coefficients, as developed by Elliott and Müller (2006). Their test is asymptotically efficient for a variety of breaking processes. More importantly, </w:t>
      </w:r>
      <w:proofErr w:type="spellStart"/>
      <w:r w:rsidRPr="00A81003">
        <w:rPr>
          <w:sz w:val="24"/>
          <w:szCs w:val="24"/>
        </w:rPr>
        <w:t>Paye</w:t>
      </w:r>
      <w:proofErr w:type="spellEnd"/>
      <w:r w:rsidRPr="00A81003">
        <w:rPr>
          <w:sz w:val="24"/>
          <w:szCs w:val="24"/>
        </w:rPr>
        <w:t xml:space="preserve"> and </w:t>
      </w:r>
      <w:proofErr w:type="spellStart"/>
      <w:r w:rsidRPr="00A81003">
        <w:rPr>
          <w:sz w:val="24"/>
          <w:szCs w:val="24"/>
        </w:rPr>
        <w:t>Timmermann</w:t>
      </w:r>
      <w:proofErr w:type="spellEnd"/>
      <w:r w:rsidRPr="00A81003">
        <w:rPr>
          <w:sz w:val="24"/>
          <w:szCs w:val="24"/>
        </w:rPr>
        <w:t xml:space="preserve"> (2006) confirm that the test has excellent finite sample properties for predictive regressions with highly persistent predictors. Specifically, we use Elliott and Müller</w:t>
      </w:r>
      <w:r>
        <w:rPr>
          <w:sz w:val="24"/>
          <w:szCs w:val="24"/>
        </w:rPr>
        <w:t>’s</w:t>
      </w:r>
      <w:r w:rsidRPr="00A81003">
        <w:rPr>
          <w:sz w:val="24"/>
          <w:szCs w:val="24"/>
        </w:rPr>
        <w:t xml:space="preserve"> (2006) </w:t>
      </w:r>
      <m:oMath>
        <m:acc>
          <m:accPr>
            <m:ctrlPr>
              <w:rPr>
                <w:rFonts w:ascii="Cambria Math" w:hAnsi="Cambria Math"/>
                <w:i/>
                <w:sz w:val="24"/>
                <w:szCs w:val="24"/>
              </w:rPr>
            </m:ctrlPr>
          </m:accPr>
          <m:e>
            <m:r>
              <w:rPr>
                <w:rFonts w:ascii="Cambria Math" w:hAnsi="Cambria Math"/>
                <w:sz w:val="24"/>
                <w:szCs w:val="24"/>
              </w:rPr>
              <m:t>qLL</m:t>
            </m:r>
          </m:e>
        </m:acc>
      </m:oMath>
      <w:r w:rsidRPr="00A81003">
        <w:rPr>
          <w:sz w:val="24"/>
          <w:szCs w:val="24"/>
        </w:rPr>
        <w:t>statistic to test</w:t>
      </w:r>
      <w:r w:rsidR="000779EC">
        <w:rPr>
          <w:sz w:val="24"/>
          <w:szCs w:val="24"/>
        </w:rPr>
        <w:t xml:space="preserve">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t</m:t>
            </m:r>
          </m:sub>
        </m:sSub>
        <m:r>
          <w:rPr>
            <w:rFonts w:ascii="Cambria Math" w:hAnsi="Cambria Math"/>
            <w:sz w:val="24"/>
            <w:szCs w:val="24"/>
          </w:rPr>
          <m:t>=β</m:t>
        </m:r>
      </m:oMath>
      <w:r w:rsidRPr="00A81003">
        <w:rPr>
          <w:sz w:val="24"/>
          <w:szCs w:val="24"/>
        </w:rPr>
        <w:t xml:space="preserve"> for all </w:t>
      </w:r>
      <w:r w:rsidRPr="00CD1CE7">
        <w:rPr>
          <w:sz w:val="24"/>
          <w:szCs w:val="24"/>
        </w:rPr>
        <w:t>t</w:t>
      </w:r>
      <w:r w:rsidR="000779EC">
        <w:rPr>
          <w:sz w:val="24"/>
          <w:szCs w:val="24"/>
        </w:rPr>
        <w:t>. None of the</w:t>
      </w:r>
      <w:r w:rsidR="000779EC" w:rsidRPr="00A81003">
        <w:rPr>
          <w:sz w:val="24"/>
          <w:szCs w:val="24"/>
        </w:rPr>
        <w:t xml:space="preserve"> </w:t>
      </w:r>
      <m:oMath>
        <m:acc>
          <m:accPr>
            <m:ctrlPr>
              <w:rPr>
                <w:rFonts w:ascii="Cambria Math" w:hAnsi="Cambria Math"/>
                <w:i/>
                <w:sz w:val="24"/>
                <w:szCs w:val="24"/>
              </w:rPr>
            </m:ctrlPr>
          </m:accPr>
          <m:e>
            <m:r>
              <w:rPr>
                <w:rFonts w:ascii="Cambria Math" w:hAnsi="Cambria Math"/>
                <w:sz w:val="24"/>
                <w:szCs w:val="24"/>
              </w:rPr>
              <m:t>qLL</m:t>
            </m:r>
          </m:e>
        </m:acc>
      </m:oMath>
      <w:r w:rsidRPr="00A81003">
        <w:rPr>
          <w:sz w:val="24"/>
          <w:szCs w:val="24"/>
        </w:rPr>
        <w:t xml:space="preserve"> statistics </w:t>
      </w:r>
      <w:r>
        <w:rPr>
          <w:sz w:val="24"/>
          <w:szCs w:val="24"/>
        </w:rPr>
        <w:t>are</w:t>
      </w:r>
      <w:r w:rsidRPr="00A81003">
        <w:rPr>
          <w:sz w:val="24"/>
          <w:szCs w:val="24"/>
        </w:rPr>
        <w:t xml:space="preserve"> significant at any horizon for the estimate coefficient. For example, </w:t>
      </w:r>
      <w:r w:rsidR="00373F49">
        <w:rPr>
          <w:sz w:val="24"/>
          <w:szCs w:val="24"/>
        </w:rPr>
        <w:t xml:space="preserve">Table 9 reports that </w:t>
      </w:r>
      <w:r w:rsidRPr="00A81003">
        <w:rPr>
          <w:sz w:val="24"/>
          <w:szCs w:val="24"/>
        </w:rPr>
        <w:t xml:space="preserve">the </w:t>
      </w:r>
      <w:r w:rsidR="000779EC" w:rsidRPr="00A81003">
        <w:rPr>
          <w:sz w:val="24"/>
          <w:szCs w:val="24"/>
        </w:rPr>
        <w:t xml:space="preserve"> </w:t>
      </w:r>
      <m:oMath>
        <m:acc>
          <m:accPr>
            <m:ctrlPr>
              <w:rPr>
                <w:rFonts w:ascii="Cambria Math" w:hAnsi="Cambria Math"/>
                <w:i/>
                <w:sz w:val="24"/>
                <w:szCs w:val="24"/>
              </w:rPr>
            </m:ctrlPr>
          </m:accPr>
          <m:e>
            <m:r>
              <w:rPr>
                <w:rFonts w:ascii="Cambria Math" w:hAnsi="Cambria Math"/>
                <w:sz w:val="24"/>
                <w:szCs w:val="24"/>
              </w:rPr>
              <m:t>qLL</m:t>
            </m:r>
          </m:e>
        </m:acc>
      </m:oMath>
      <w:r w:rsidRPr="00A81003">
        <w:rPr>
          <w:sz w:val="24"/>
          <w:szCs w:val="24"/>
        </w:rPr>
        <w:t xml:space="preserve"> statistics </w:t>
      </w:r>
      <w:r>
        <w:rPr>
          <w:sz w:val="24"/>
          <w:szCs w:val="24"/>
        </w:rPr>
        <w:t>for</w:t>
      </w:r>
      <w:r w:rsidRPr="00A81003">
        <w:rPr>
          <w:sz w:val="24"/>
          <w:szCs w:val="24"/>
        </w:rPr>
        <w:t xml:space="preserve"> </w:t>
      </w:r>
      <w:r w:rsidRPr="00A81003">
        <w:rPr>
          <w:i/>
          <w:iCs/>
          <w:sz w:val="24"/>
          <w:szCs w:val="24"/>
        </w:rPr>
        <w:t>TSMSV</w:t>
      </w:r>
      <w:r w:rsidRPr="00A81003">
        <w:rPr>
          <w:sz w:val="24"/>
          <w:szCs w:val="24"/>
        </w:rPr>
        <w:t xml:space="preserve"> are -2.97, -3.71, -4.62</w:t>
      </w:r>
      <w:r w:rsidR="00602B62">
        <w:rPr>
          <w:sz w:val="24"/>
          <w:szCs w:val="24"/>
        </w:rPr>
        <w:t>,</w:t>
      </w:r>
      <w:r w:rsidRPr="00A81003">
        <w:rPr>
          <w:sz w:val="24"/>
          <w:szCs w:val="24"/>
        </w:rPr>
        <w:t xml:space="preserve"> and -4.31 at one, two, three</w:t>
      </w:r>
      <w:r w:rsidR="00373F49">
        <w:rPr>
          <w:sz w:val="24"/>
          <w:szCs w:val="24"/>
        </w:rPr>
        <w:t>,</w:t>
      </w:r>
      <w:r w:rsidRPr="00A81003">
        <w:rPr>
          <w:sz w:val="24"/>
          <w:szCs w:val="24"/>
        </w:rPr>
        <w:t xml:space="preserve"> and four weeks, respectively, which </w:t>
      </w:r>
      <w:r>
        <w:rPr>
          <w:sz w:val="24"/>
          <w:szCs w:val="24"/>
        </w:rPr>
        <w:t>do not surpass</w:t>
      </w:r>
      <w:r w:rsidRPr="00A81003">
        <w:rPr>
          <w:sz w:val="24"/>
          <w:szCs w:val="24"/>
        </w:rPr>
        <w:t xml:space="preserve"> Elliott and Müller</w:t>
      </w:r>
      <w:r>
        <w:rPr>
          <w:sz w:val="24"/>
          <w:szCs w:val="24"/>
        </w:rPr>
        <w:t>’s</w:t>
      </w:r>
      <w:r w:rsidRPr="00A81003">
        <w:rPr>
          <w:sz w:val="24"/>
          <w:szCs w:val="24"/>
        </w:rPr>
        <w:t xml:space="preserve"> (2006)</w:t>
      </w:r>
      <w:r>
        <w:rPr>
          <w:sz w:val="24"/>
          <w:szCs w:val="24"/>
        </w:rPr>
        <w:t xml:space="preserve"> critical values</w:t>
      </w:r>
      <w:r w:rsidRPr="00A81003">
        <w:rPr>
          <w:sz w:val="24"/>
          <w:szCs w:val="24"/>
        </w:rPr>
        <w:t>.</w:t>
      </w:r>
      <w:r w:rsidR="00C36E32">
        <w:rPr>
          <w:rStyle w:val="EndnoteReference"/>
          <w:sz w:val="24"/>
          <w:szCs w:val="24"/>
        </w:rPr>
        <w:endnoteReference w:id="12"/>
      </w:r>
      <w:r w:rsidRPr="00A81003">
        <w:rPr>
          <w:sz w:val="24"/>
          <w:szCs w:val="24"/>
        </w:rPr>
        <w:t xml:space="preserve"> Overall, we find no evidence that the predictive ability of </w:t>
      </w:r>
      <w:r w:rsidRPr="00A81003">
        <w:rPr>
          <w:i/>
          <w:iCs/>
          <w:sz w:val="24"/>
          <w:szCs w:val="24"/>
        </w:rPr>
        <w:t>TSMSV</w:t>
      </w:r>
      <w:r>
        <w:rPr>
          <w:i/>
          <w:iCs/>
          <w:sz w:val="24"/>
          <w:szCs w:val="24"/>
        </w:rPr>
        <w:t>,</w:t>
      </w:r>
      <w:r w:rsidRPr="00A81003">
        <w:rPr>
          <w:sz w:val="24"/>
          <w:szCs w:val="24"/>
        </w:rPr>
        <w:t xml:space="preserve"> </w:t>
      </w:r>
      <w:r w:rsidR="002C35B6" w:rsidRPr="002C35B6">
        <w:rPr>
          <w:i/>
          <w:sz w:val="24"/>
          <w:szCs w:val="24"/>
        </w:rPr>
        <w:t>PU</w:t>
      </w:r>
      <w:r w:rsidR="002C35B6">
        <w:rPr>
          <w:i/>
          <w:sz w:val="24"/>
          <w:szCs w:val="24"/>
        </w:rPr>
        <w:t>,</w:t>
      </w:r>
      <w:r w:rsidR="002C35B6">
        <w:rPr>
          <w:sz w:val="24"/>
          <w:szCs w:val="24"/>
        </w:rPr>
        <w:t xml:space="preserve"> </w:t>
      </w:r>
      <w:r w:rsidRPr="00A81003">
        <w:rPr>
          <w:sz w:val="24"/>
          <w:szCs w:val="24"/>
        </w:rPr>
        <w:t xml:space="preserve">and </w:t>
      </w:r>
      <w:r w:rsidR="002C35B6">
        <w:rPr>
          <w:i/>
          <w:iCs/>
          <w:sz w:val="24"/>
          <w:szCs w:val="24"/>
        </w:rPr>
        <w:t>F</w:t>
      </w:r>
      <w:r w:rsidRPr="00A81003">
        <w:rPr>
          <w:i/>
          <w:iCs/>
          <w:sz w:val="24"/>
          <w:szCs w:val="24"/>
        </w:rPr>
        <w:t>U</w:t>
      </w:r>
      <w:r w:rsidRPr="00A81003">
        <w:rPr>
          <w:sz w:val="24"/>
          <w:szCs w:val="24"/>
        </w:rPr>
        <w:t xml:space="preserve"> changes during our sample period.</w:t>
      </w:r>
    </w:p>
    <w:p w:rsidR="00313006" w:rsidRPr="00A81003" w:rsidRDefault="00313006" w:rsidP="0029520B">
      <w:pPr>
        <w:adjustRightInd w:val="0"/>
        <w:snapToGrid w:val="0"/>
        <w:spacing w:line="480" w:lineRule="auto"/>
        <w:ind w:firstLine="720"/>
        <w:jc w:val="center"/>
        <w:rPr>
          <w:sz w:val="24"/>
          <w:szCs w:val="24"/>
        </w:rPr>
      </w:pPr>
      <w:r w:rsidRPr="00A81003">
        <w:rPr>
          <w:sz w:val="24"/>
          <w:szCs w:val="24"/>
        </w:rPr>
        <w:t xml:space="preserve">[Insert Table </w:t>
      </w:r>
      <w:r w:rsidR="00816CC1" w:rsidRPr="00A81003">
        <w:rPr>
          <w:sz w:val="24"/>
          <w:szCs w:val="24"/>
        </w:rPr>
        <w:t>9</w:t>
      </w:r>
      <w:r w:rsidRPr="00A81003">
        <w:rPr>
          <w:sz w:val="24"/>
          <w:szCs w:val="24"/>
        </w:rPr>
        <w:t xml:space="preserve"> here]</w:t>
      </w:r>
    </w:p>
    <w:p w:rsidR="00565595" w:rsidRPr="00AD4513" w:rsidRDefault="00CE7BBB" w:rsidP="0029520B">
      <w:pPr>
        <w:pStyle w:val="Heading3"/>
        <w:spacing w:line="480" w:lineRule="auto"/>
        <w:ind w:firstLine="720"/>
        <w:rPr>
          <w:b/>
        </w:rPr>
      </w:pPr>
      <w:r w:rsidRPr="00AD4513">
        <w:rPr>
          <w:b/>
        </w:rPr>
        <w:t>6</w:t>
      </w:r>
      <w:r w:rsidR="00565595" w:rsidRPr="00AD4513">
        <w:rPr>
          <w:b/>
        </w:rPr>
        <w:t>.3 Density forecast</w:t>
      </w:r>
    </w:p>
    <w:p w:rsidR="00CC13EC" w:rsidRPr="00A81003" w:rsidRDefault="00CC13EC" w:rsidP="00CC13EC">
      <w:pPr>
        <w:spacing w:line="480" w:lineRule="auto"/>
        <w:ind w:firstLine="720"/>
        <w:jc w:val="both"/>
        <w:rPr>
          <w:sz w:val="24"/>
          <w:szCs w:val="24"/>
        </w:rPr>
      </w:pPr>
      <w:r>
        <w:rPr>
          <w:sz w:val="24"/>
          <w:szCs w:val="24"/>
        </w:rPr>
        <w:t>O</w:t>
      </w:r>
      <w:r w:rsidRPr="00A81003">
        <w:rPr>
          <w:sz w:val="24"/>
          <w:szCs w:val="24"/>
        </w:rPr>
        <w:t>ur out-of-sample test use</w:t>
      </w:r>
      <w:r>
        <w:rPr>
          <w:sz w:val="24"/>
          <w:szCs w:val="24"/>
        </w:rPr>
        <w:t>s</w:t>
      </w:r>
      <w:r w:rsidRPr="00A81003">
        <w:rPr>
          <w:sz w:val="24"/>
          <w:szCs w:val="24"/>
        </w:rPr>
        <w:t xml:space="preserve"> the root mean squared forecast errors (RMSE) to measure </w:t>
      </w:r>
      <w:r>
        <w:rPr>
          <w:sz w:val="24"/>
          <w:szCs w:val="24"/>
        </w:rPr>
        <w:t>our predictors’ accuracy</w:t>
      </w:r>
      <w:r w:rsidRPr="00A81003">
        <w:rPr>
          <w:sz w:val="24"/>
          <w:szCs w:val="24"/>
        </w:rPr>
        <w:t xml:space="preserve">. However, the RMSE criterion only accounts for the </w:t>
      </w:r>
      <w:r>
        <w:rPr>
          <w:sz w:val="24"/>
          <w:szCs w:val="24"/>
        </w:rPr>
        <w:t>mean return’s precision</w:t>
      </w:r>
      <w:r w:rsidRPr="00A81003">
        <w:rPr>
          <w:sz w:val="24"/>
          <w:szCs w:val="24"/>
        </w:rPr>
        <w:t xml:space="preserve">. In other words, the point forecast </w:t>
      </w:r>
      <w:r>
        <w:rPr>
          <w:sz w:val="24"/>
          <w:szCs w:val="24"/>
        </w:rPr>
        <w:t>exhibits</w:t>
      </w:r>
      <w:r w:rsidRPr="00A81003">
        <w:rPr>
          <w:sz w:val="24"/>
          <w:szCs w:val="24"/>
        </w:rPr>
        <w:t xml:space="preserve"> difficult</w:t>
      </w:r>
      <w:r>
        <w:rPr>
          <w:sz w:val="24"/>
          <w:szCs w:val="24"/>
        </w:rPr>
        <w:t>y</w:t>
      </w:r>
      <w:r w:rsidRPr="00A81003">
        <w:rPr>
          <w:sz w:val="24"/>
          <w:szCs w:val="24"/>
        </w:rPr>
        <w:t xml:space="preserve"> in providing reliable quantitative information about forecast densities and contains no description of the associated uncertainty (Tay and Wallis</w:t>
      </w:r>
      <w:r w:rsidR="00784E4D">
        <w:rPr>
          <w:sz w:val="24"/>
          <w:szCs w:val="24"/>
        </w:rPr>
        <w:t>,</w:t>
      </w:r>
      <w:r w:rsidRPr="00A81003">
        <w:rPr>
          <w:sz w:val="24"/>
          <w:szCs w:val="24"/>
        </w:rPr>
        <w:t xml:space="preserve"> 2000). As indicated by </w:t>
      </w:r>
      <w:proofErr w:type="spellStart"/>
      <w:r w:rsidRPr="00A81003">
        <w:rPr>
          <w:sz w:val="24"/>
          <w:szCs w:val="24"/>
        </w:rPr>
        <w:t>Amisano</w:t>
      </w:r>
      <w:proofErr w:type="spellEnd"/>
      <w:r w:rsidRPr="00A81003">
        <w:rPr>
          <w:sz w:val="24"/>
          <w:szCs w:val="24"/>
        </w:rPr>
        <w:t xml:space="preserve"> and Giacomini (2007), a density forecast can represent a complete characterisation of the uncertainty associated with the forecast. Specifically, </w:t>
      </w:r>
      <w:r>
        <w:rPr>
          <w:sz w:val="24"/>
          <w:szCs w:val="24"/>
        </w:rPr>
        <w:t xml:space="preserve">we </w:t>
      </w:r>
      <w:r w:rsidRPr="00A81003">
        <w:rPr>
          <w:sz w:val="24"/>
          <w:szCs w:val="24"/>
        </w:rPr>
        <w:t xml:space="preserve">follow </w:t>
      </w:r>
      <w:proofErr w:type="spellStart"/>
      <w:r w:rsidRPr="00A81003">
        <w:rPr>
          <w:sz w:val="24"/>
          <w:szCs w:val="24"/>
        </w:rPr>
        <w:t>Cenesizoglu</w:t>
      </w:r>
      <w:proofErr w:type="spellEnd"/>
      <w:r w:rsidRPr="00A81003">
        <w:rPr>
          <w:sz w:val="24"/>
          <w:szCs w:val="24"/>
        </w:rPr>
        <w:t xml:space="preserve"> and </w:t>
      </w:r>
      <w:proofErr w:type="spellStart"/>
      <w:r w:rsidRPr="00A81003">
        <w:rPr>
          <w:sz w:val="24"/>
          <w:szCs w:val="24"/>
        </w:rPr>
        <w:t>Timmermann</w:t>
      </w:r>
      <w:proofErr w:type="spellEnd"/>
      <w:r w:rsidRPr="00A81003">
        <w:rPr>
          <w:sz w:val="24"/>
          <w:szCs w:val="24"/>
        </w:rPr>
        <w:t xml:space="preserve"> (2012), </w:t>
      </w:r>
      <w:r>
        <w:rPr>
          <w:sz w:val="24"/>
          <w:szCs w:val="24"/>
        </w:rPr>
        <w:t>and</w:t>
      </w:r>
      <w:r w:rsidRPr="00A81003">
        <w:rPr>
          <w:sz w:val="24"/>
          <w:szCs w:val="24"/>
        </w:rPr>
        <w:t xml:space="preserve"> use a constant mean and volatility model to create a simple no-predictability benchmark</w:t>
      </w:r>
    </w:p>
    <w:p w:rsidR="00E074FA" w:rsidRPr="00A81003" w:rsidRDefault="00573234" w:rsidP="0029520B">
      <w:pPr>
        <w:spacing w:line="480" w:lineRule="auto"/>
        <w:ind w:firstLine="720"/>
        <w:jc w:val="right"/>
        <w:rPr>
          <w:sz w:val="24"/>
          <w:szCs w:val="24"/>
        </w:rPr>
      </w:pPr>
      <m:oMath>
        <m:sSub>
          <m:sSubPr>
            <m:ctrlPr>
              <w:rPr>
                <w:rFonts w:ascii="Cambria Math" w:hAnsi="Cambria Math"/>
                <w:i/>
                <w:sz w:val="24"/>
                <w:szCs w:val="24"/>
              </w:rPr>
            </m:ctrlPr>
          </m:sSubPr>
          <m:e>
            <m:r>
              <w:rPr>
                <w:rFonts w:ascii="Cambria Math" w:hAnsi="Cambria Math"/>
                <w:sz w:val="24"/>
                <w:szCs w:val="24"/>
              </w:rPr>
              <m:t>RET</m:t>
            </m:r>
          </m:e>
          <m:sub>
            <m:r>
              <w:rPr>
                <w:rFonts w:ascii="Cambria Math" w:hAnsi="Cambria Math"/>
                <w:sz w:val="24"/>
                <w:szCs w:val="24"/>
              </w:rPr>
              <m:t>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t+1</m:t>
            </m:r>
          </m:sub>
        </m:sSub>
      </m:oMath>
      <w:r w:rsidR="000779EC">
        <w:rPr>
          <w:position w:val="-10"/>
          <w:sz w:val="24"/>
          <w:szCs w:val="24"/>
        </w:rPr>
        <w:t>,</w:t>
      </w:r>
      <w:r w:rsidR="000779EC" w:rsidRPr="00B351A0">
        <w:rPr>
          <w:sz w:val="24"/>
          <w:szCs w:val="24"/>
        </w:rPr>
        <w:t xml:space="preserve"> </w:t>
      </w:r>
      <w:r w:rsidR="003F5323">
        <w:rPr>
          <w:sz w:val="24"/>
          <w:szCs w:val="24"/>
        </w:rPr>
        <w:t xml:space="preserve"> </w:t>
      </w:r>
      <m:oMath>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t+1</m:t>
            </m:r>
          </m:sub>
        </m:sSub>
        <m:r>
          <w:rPr>
            <w:rFonts w:ascii="Cambria Math" w:hAnsi="Cambria Math"/>
            <w:sz w:val="24"/>
            <w:szCs w:val="24"/>
          </w:rPr>
          <m:t>~N(0,</m:t>
        </m:r>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r>
          <w:rPr>
            <w:rFonts w:ascii="Cambria Math" w:hAnsi="Cambria Math"/>
            <w:sz w:val="24"/>
            <w:szCs w:val="24"/>
          </w:rPr>
          <m:t>)</m:t>
        </m:r>
      </m:oMath>
      <w:r w:rsidR="000779EC">
        <w:rPr>
          <w:sz w:val="24"/>
          <w:szCs w:val="24"/>
        </w:rPr>
        <w:t>,</w:t>
      </w:r>
      <w:r w:rsidR="00C56D84" w:rsidRPr="00A81003">
        <w:rPr>
          <w:sz w:val="24"/>
          <w:szCs w:val="24"/>
        </w:rPr>
        <w:t xml:space="preserve">                                 </w:t>
      </w:r>
      <w:proofErr w:type="gramStart"/>
      <w:r w:rsidR="00C56D84" w:rsidRPr="00A81003">
        <w:rPr>
          <w:sz w:val="24"/>
          <w:szCs w:val="24"/>
        </w:rPr>
        <w:t xml:space="preserve">   (</w:t>
      </w:r>
      <w:proofErr w:type="gramEnd"/>
      <w:r w:rsidR="00C56D84" w:rsidRPr="00A81003">
        <w:rPr>
          <w:sz w:val="24"/>
          <w:szCs w:val="24"/>
        </w:rPr>
        <w:t>7)</w:t>
      </w:r>
    </w:p>
    <w:p w:rsidR="009A11ED" w:rsidRPr="00A81003" w:rsidRDefault="00C56D84" w:rsidP="0029520B">
      <w:pPr>
        <w:spacing w:line="480" w:lineRule="auto"/>
        <w:jc w:val="both"/>
        <w:rPr>
          <w:sz w:val="24"/>
          <w:szCs w:val="24"/>
        </w:rPr>
      </w:pPr>
      <w:r w:rsidRPr="00A81003">
        <w:rPr>
          <w:sz w:val="24"/>
          <w:szCs w:val="24"/>
        </w:rPr>
        <w:lastRenderedPageBreak/>
        <w:t xml:space="preserve">where </w:t>
      </w:r>
      <m:oMath>
        <m:sSub>
          <m:sSubPr>
            <m:ctrlPr>
              <w:rPr>
                <w:rFonts w:ascii="Cambria Math" w:hAnsi="Cambria Math"/>
                <w:i/>
                <w:sz w:val="24"/>
                <w:szCs w:val="24"/>
              </w:rPr>
            </m:ctrlPr>
          </m:sSubPr>
          <m:e>
            <m:r>
              <w:rPr>
                <w:rFonts w:ascii="Cambria Math" w:hAnsi="Cambria Math"/>
                <w:sz w:val="24"/>
                <w:szCs w:val="24"/>
              </w:rPr>
              <m:t>RET</m:t>
            </m:r>
          </m:e>
          <m:sub>
            <m:r>
              <w:rPr>
                <w:rFonts w:ascii="Cambria Math" w:hAnsi="Cambria Math"/>
                <w:sz w:val="24"/>
                <w:szCs w:val="24"/>
              </w:rPr>
              <m:t>t+1</m:t>
            </m:r>
          </m:sub>
        </m:sSub>
      </m:oMath>
      <w:r w:rsidRPr="00A81003">
        <w:rPr>
          <w:sz w:val="24"/>
          <w:szCs w:val="24"/>
        </w:rPr>
        <w:t xml:space="preserve"> is the </w:t>
      </w:r>
      <w:r w:rsidR="00294665" w:rsidRPr="00A81003">
        <w:rPr>
          <w:sz w:val="24"/>
          <w:szCs w:val="24"/>
        </w:rPr>
        <w:t xml:space="preserve">excess </w:t>
      </w:r>
      <w:r w:rsidRPr="00A81003">
        <w:rPr>
          <w:sz w:val="24"/>
          <w:szCs w:val="24"/>
        </w:rPr>
        <w:t xml:space="preserve">Bitcoin </w:t>
      </w:r>
      <w:proofErr w:type="gramStart"/>
      <w:r w:rsidRPr="00A81003">
        <w:rPr>
          <w:sz w:val="24"/>
          <w:szCs w:val="24"/>
        </w:rPr>
        <w:t>return.</w:t>
      </w:r>
      <w:proofErr w:type="gramEnd"/>
      <w:r w:rsidRPr="00A81003">
        <w:rPr>
          <w:sz w:val="24"/>
          <w:szCs w:val="24"/>
        </w:rPr>
        <w:t xml:space="preserve"> W</w:t>
      </w:r>
      <w:r w:rsidR="00D8433E" w:rsidRPr="00A81003">
        <w:rPr>
          <w:sz w:val="24"/>
          <w:szCs w:val="24"/>
        </w:rPr>
        <w:t xml:space="preserve">e use </w:t>
      </w:r>
      <w:proofErr w:type="spellStart"/>
      <w:r w:rsidR="00D8433E" w:rsidRPr="00A81003">
        <w:rPr>
          <w:sz w:val="24"/>
          <w:szCs w:val="24"/>
        </w:rPr>
        <w:t>Amisano</w:t>
      </w:r>
      <w:proofErr w:type="spellEnd"/>
      <w:r w:rsidR="00D8433E" w:rsidRPr="00A81003">
        <w:rPr>
          <w:sz w:val="24"/>
          <w:szCs w:val="24"/>
        </w:rPr>
        <w:t xml:space="preserve"> and Giacomini</w:t>
      </w:r>
      <w:r w:rsidR="00294665" w:rsidRPr="00A81003">
        <w:rPr>
          <w:sz w:val="24"/>
          <w:szCs w:val="24"/>
        </w:rPr>
        <w:t>’s</w:t>
      </w:r>
      <w:r w:rsidR="00D8433E" w:rsidRPr="00A81003">
        <w:rPr>
          <w:sz w:val="24"/>
          <w:szCs w:val="24"/>
        </w:rPr>
        <w:t xml:space="preserve"> (2007) </w:t>
      </w:r>
      <w:r w:rsidR="00294665" w:rsidRPr="00A81003">
        <w:rPr>
          <w:sz w:val="24"/>
          <w:szCs w:val="24"/>
        </w:rPr>
        <w:t xml:space="preserve">weighted likelihood ratio test statistic </w:t>
      </w:r>
      <w:r w:rsidR="00D8433E" w:rsidRPr="00A81003">
        <w:rPr>
          <w:sz w:val="24"/>
          <w:szCs w:val="24"/>
        </w:rPr>
        <w:t xml:space="preserve">to </w:t>
      </w:r>
      <w:r w:rsidRPr="00A81003">
        <w:rPr>
          <w:sz w:val="24"/>
          <w:szCs w:val="24"/>
        </w:rPr>
        <w:t xml:space="preserve">evaluate </w:t>
      </w:r>
      <w:r w:rsidR="00D8433E" w:rsidRPr="00A81003">
        <w:rPr>
          <w:sz w:val="24"/>
          <w:szCs w:val="24"/>
        </w:rPr>
        <w:t>the individual density forecast</w:t>
      </w:r>
      <w:r w:rsidR="00294665" w:rsidRPr="00A81003">
        <w:rPr>
          <w:sz w:val="24"/>
          <w:szCs w:val="24"/>
        </w:rPr>
        <w:t>’s</w:t>
      </w:r>
      <w:r w:rsidR="00D8433E" w:rsidRPr="00A81003">
        <w:rPr>
          <w:sz w:val="24"/>
          <w:szCs w:val="24"/>
        </w:rPr>
        <w:t xml:space="preserve"> </w:t>
      </w:r>
      <w:r w:rsidR="00294665" w:rsidRPr="00A81003">
        <w:rPr>
          <w:sz w:val="24"/>
          <w:szCs w:val="24"/>
        </w:rPr>
        <w:t xml:space="preserve">predictive accuracy </w:t>
      </w:r>
      <w:r w:rsidR="00D8433E" w:rsidRPr="00A81003">
        <w:rPr>
          <w:sz w:val="24"/>
          <w:szCs w:val="24"/>
        </w:rPr>
        <w:t>relative to the forecast implied by the prevailing mean and variance (PMV) model.</w:t>
      </w:r>
      <w:r w:rsidR="00152C45" w:rsidRPr="00A81003">
        <w:rPr>
          <w:sz w:val="24"/>
          <w:szCs w:val="24"/>
        </w:rPr>
        <w:t xml:space="preserve"> The test statistic </w:t>
      </w:r>
      <w:r w:rsidRPr="00A81003">
        <w:rPr>
          <w:sz w:val="24"/>
          <w:szCs w:val="24"/>
        </w:rPr>
        <w:t xml:space="preserve">is </w:t>
      </w:r>
      <w:r w:rsidR="00152C45" w:rsidRPr="00A81003">
        <w:rPr>
          <w:sz w:val="24"/>
          <w:szCs w:val="24"/>
        </w:rPr>
        <w:t>computed as</w:t>
      </w:r>
    </w:p>
    <w:p w:rsidR="00152C45" w:rsidRPr="00A81003" w:rsidRDefault="000779EC" w:rsidP="0029520B">
      <w:pPr>
        <w:spacing w:line="480" w:lineRule="auto"/>
        <w:jc w:val="right"/>
        <w:rPr>
          <w:sz w:val="24"/>
          <w:szCs w:val="24"/>
        </w:rPr>
      </w:pPr>
      <m:oMath>
        <m:r>
          <w:rPr>
            <w:rFonts w:ascii="Cambria Math" w:hAnsi="Cambria Math"/>
            <w:sz w:val="24"/>
            <w:szCs w:val="24"/>
          </w:rPr>
          <m:t>t=</m:t>
        </m:r>
        <m:f>
          <m:fPr>
            <m:ctrlPr>
              <w:rPr>
                <w:rFonts w:ascii="Cambria Math" w:hAnsi="Cambria Math"/>
                <w:i/>
                <w:sz w:val="24"/>
                <w:szCs w:val="24"/>
              </w:rPr>
            </m:ctrlPr>
          </m:fPr>
          <m:num>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WLR</m:t>
                    </m:r>
                  </m:e>
                </m:acc>
              </m:e>
              <m:sub>
                <m:r>
                  <w:rPr>
                    <w:rFonts w:ascii="Cambria Math" w:hAnsi="Cambria Math"/>
                    <w:sz w:val="24"/>
                    <w:szCs w:val="24"/>
                  </w:rPr>
                  <m:t>P</m:t>
                </m:r>
              </m:sub>
            </m:sSub>
          </m:num>
          <m:den>
            <m:f>
              <m:fPr>
                <m:type m:val="lin"/>
                <m:ctrlPr>
                  <w:rPr>
                    <w:rFonts w:ascii="Cambria Math" w:hAnsi="Cambria Math"/>
                    <w:i/>
                    <w:sz w:val="24"/>
                    <w:szCs w:val="24"/>
                  </w:rPr>
                </m:ctrlPr>
              </m:fPr>
              <m:num>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σ</m:t>
                        </m:r>
                      </m:e>
                    </m:acc>
                  </m:e>
                  <m:sub>
                    <m:r>
                      <w:rPr>
                        <w:rFonts w:ascii="Cambria Math" w:hAnsi="Cambria Math"/>
                        <w:sz w:val="24"/>
                        <w:szCs w:val="24"/>
                      </w:rPr>
                      <m:t>P</m:t>
                    </m:r>
                  </m:sub>
                </m:sSub>
              </m:num>
              <m:den>
                <m:rad>
                  <m:radPr>
                    <m:degHide m:val="1"/>
                    <m:ctrlPr>
                      <w:rPr>
                        <w:rFonts w:ascii="Cambria Math" w:hAnsi="Cambria Math"/>
                        <w:i/>
                        <w:sz w:val="24"/>
                        <w:szCs w:val="24"/>
                      </w:rPr>
                    </m:ctrlPr>
                  </m:radPr>
                  <m:deg/>
                  <m:e>
                    <m:r>
                      <w:rPr>
                        <w:rFonts w:ascii="Cambria Math" w:hAnsi="Cambria Math"/>
                        <w:sz w:val="24"/>
                        <w:szCs w:val="24"/>
                      </w:rPr>
                      <m:t>P</m:t>
                    </m:r>
                  </m:e>
                </m:rad>
              </m:den>
            </m:f>
          </m:den>
        </m:f>
      </m:oMath>
      <w:r w:rsidR="00C56D84" w:rsidRPr="00A81003">
        <w:rPr>
          <w:sz w:val="24"/>
          <w:szCs w:val="24"/>
        </w:rPr>
        <w:t xml:space="preserve"> ,</w:t>
      </w:r>
      <w:r w:rsidR="00152C45" w:rsidRPr="00A81003">
        <w:rPr>
          <w:sz w:val="24"/>
          <w:szCs w:val="24"/>
        </w:rPr>
        <w:t xml:space="preserve"> </w:t>
      </w:r>
      <w:r w:rsidR="009A11ED" w:rsidRPr="00A81003">
        <w:rPr>
          <w:sz w:val="24"/>
          <w:szCs w:val="24"/>
        </w:rPr>
        <w:t xml:space="preserve">                                                        (</w:t>
      </w:r>
      <w:r w:rsidR="00C56D84" w:rsidRPr="00A81003">
        <w:rPr>
          <w:sz w:val="24"/>
          <w:szCs w:val="24"/>
        </w:rPr>
        <w:t>8</w:t>
      </w:r>
      <w:r w:rsidR="009A11ED" w:rsidRPr="00A81003">
        <w:rPr>
          <w:sz w:val="24"/>
          <w:szCs w:val="24"/>
        </w:rPr>
        <w:t>)</w:t>
      </w:r>
    </w:p>
    <w:p w:rsidR="009A11ED" w:rsidRPr="00A81003" w:rsidRDefault="00DE3936" w:rsidP="0029520B">
      <w:pPr>
        <w:spacing w:line="480" w:lineRule="auto"/>
        <w:jc w:val="both"/>
        <w:rPr>
          <w:sz w:val="24"/>
          <w:szCs w:val="24"/>
        </w:rPr>
      </w:pPr>
      <w:r w:rsidRPr="00A81003">
        <w:rPr>
          <w:sz w:val="24"/>
          <w:szCs w:val="24"/>
        </w:rPr>
        <w:t>where</w:t>
      </w:r>
      <w:r w:rsidR="000779EC">
        <w:rPr>
          <w:sz w:val="24"/>
          <w:szCs w:val="24"/>
        </w:rPr>
        <w:t xml:space="preserve"> </w:t>
      </w:r>
      <w:r w:rsidRPr="00A81003">
        <w:rPr>
          <w:sz w:val="24"/>
          <w:szCs w:val="24"/>
        </w:rPr>
        <w:t xml:space="preserv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WLR</m:t>
                </m:r>
              </m:e>
            </m:acc>
          </m:e>
          <m:sub>
            <m:r>
              <w:rPr>
                <w:rFonts w:ascii="Cambria Math" w:hAnsi="Cambria Math"/>
                <w:sz w:val="24"/>
                <w:szCs w:val="24"/>
              </w:rPr>
              <m:t>P</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P</m:t>
            </m:r>
          </m:e>
          <m:sup>
            <m:r>
              <w:rPr>
                <w:rFonts w:ascii="Cambria Math" w:hAnsi="Cambria Math"/>
                <w:sz w:val="24"/>
                <w:szCs w:val="24"/>
              </w:rPr>
              <m:t>-1</m:t>
            </m:r>
          </m:sup>
        </m:sSup>
        <m:nary>
          <m:naryPr>
            <m:chr m:val="∑"/>
            <m:limLoc m:val="subSup"/>
            <m:ctrlPr>
              <w:rPr>
                <w:rFonts w:ascii="Cambria Math" w:hAnsi="Cambria Math"/>
                <w:i/>
                <w:sz w:val="24"/>
                <w:szCs w:val="24"/>
              </w:rPr>
            </m:ctrlPr>
          </m:naryPr>
          <m:sub>
            <m:r>
              <w:rPr>
                <w:rFonts w:ascii="Cambria Math" w:hAnsi="Cambria Math"/>
                <w:sz w:val="24"/>
                <w:szCs w:val="24"/>
              </w:rPr>
              <m:t>t=0</m:t>
            </m:r>
          </m:sub>
          <m:sup>
            <m:r>
              <w:rPr>
                <w:rFonts w:ascii="Cambria Math" w:hAnsi="Cambria Math"/>
                <w:sz w:val="24"/>
                <w:szCs w:val="24"/>
              </w:rPr>
              <m:t>P-1</m:t>
            </m:r>
          </m:sup>
          <m:e>
            <m:sSub>
              <m:sSubPr>
                <m:ctrlPr>
                  <w:rPr>
                    <w:rFonts w:ascii="Cambria Math" w:hAnsi="Cambria Math"/>
                    <w:i/>
                    <w:sz w:val="24"/>
                    <w:szCs w:val="24"/>
                  </w:rPr>
                </m:ctrlPr>
              </m:sSubPr>
              <m:e>
                <m:r>
                  <w:rPr>
                    <w:rFonts w:ascii="Cambria Math" w:hAnsi="Cambria Math"/>
                    <w:sz w:val="24"/>
                    <w:szCs w:val="24"/>
                  </w:rPr>
                  <m:t>WLR</m:t>
                </m:r>
              </m:e>
              <m:sub>
                <m:r>
                  <w:rPr>
                    <w:rFonts w:ascii="Cambria Math" w:hAnsi="Cambria Math"/>
                    <w:sz w:val="24"/>
                    <w:szCs w:val="24"/>
                  </w:rPr>
                  <m:t>t+1</m:t>
                </m:r>
              </m:sub>
            </m:sSub>
          </m:e>
        </m:nary>
      </m:oMath>
      <w:r w:rsidR="00C56D84" w:rsidRPr="00A81003">
        <w:rPr>
          <w:sz w:val="24"/>
          <w:szCs w:val="24"/>
        </w:rPr>
        <w:t xml:space="preserve"> </w:t>
      </w:r>
      <w:r w:rsidRPr="00A81003">
        <w:rPr>
          <w:sz w:val="24"/>
          <w:szCs w:val="24"/>
        </w:rPr>
        <w:t xml:space="preserve">is the average weighted likelihood ratio using </w:t>
      </w:r>
      <w:r w:rsidRPr="00AD4513">
        <w:rPr>
          <w:i/>
          <w:sz w:val="24"/>
          <w:szCs w:val="24"/>
        </w:rPr>
        <w:t>P</w:t>
      </w:r>
      <w:r w:rsidRPr="00A81003">
        <w:rPr>
          <w:sz w:val="24"/>
          <w:szCs w:val="24"/>
        </w:rPr>
        <w:t xml:space="preserve"> </w:t>
      </w:r>
      <w:r w:rsidR="00D336E7" w:rsidRPr="00A81003">
        <w:rPr>
          <w:sz w:val="24"/>
          <w:szCs w:val="24"/>
        </w:rPr>
        <w:t>out-of-sample</w:t>
      </w:r>
      <w:r w:rsidRPr="00A81003">
        <w:rPr>
          <w:sz w:val="24"/>
          <w:szCs w:val="24"/>
        </w:rPr>
        <w:t xml:space="preserve"> observations</w:t>
      </w:r>
      <w:r w:rsidR="00294665" w:rsidRPr="00A81003">
        <w:rPr>
          <w:sz w:val="24"/>
          <w:szCs w:val="24"/>
        </w:rPr>
        <w:t>,</w:t>
      </w:r>
      <w:r w:rsidRPr="00A81003">
        <w:rPr>
          <w:sz w:val="24"/>
          <w:szCs w:val="24"/>
        </w:rPr>
        <w:t xml:space="preserve"> and </w:t>
      </w:r>
      <m:oMath>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σ</m:t>
                </m:r>
              </m:e>
            </m:acc>
          </m:e>
          <m:sub>
            <m:r>
              <w:rPr>
                <w:rFonts w:ascii="Cambria Math" w:hAnsi="Cambria Math"/>
                <w:sz w:val="24"/>
                <w:szCs w:val="24"/>
              </w:rPr>
              <m:t>P</m:t>
            </m:r>
          </m:sub>
        </m:sSub>
      </m:oMath>
      <w:r w:rsidR="00C56D84" w:rsidRPr="00A81003">
        <w:rPr>
          <w:sz w:val="24"/>
          <w:szCs w:val="24"/>
        </w:rPr>
        <w:t xml:space="preserve"> </w:t>
      </w:r>
      <w:r w:rsidRPr="00A81003">
        <w:rPr>
          <w:sz w:val="24"/>
          <w:szCs w:val="24"/>
        </w:rPr>
        <w:t xml:space="preserve">is an estimator of its variance. The weighted likelihood ratio </w:t>
      </w:r>
      <m:oMath>
        <m:sSub>
          <m:sSubPr>
            <m:ctrlPr>
              <w:rPr>
                <w:rFonts w:ascii="Cambria Math" w:hAnsi="Cambria Math"/>
                <w:i/>
                <w:sz w:val="24"/>
                <w:szCs w:val="24"/>
              </w:rPr>
            </m:ctrlPr>
          </m:sSubPr>
          <m:e>
            <m:r>
              <w:rPr>
                <w:rFonts w:ascii="Cambria Math" w:hAnsi="Cambria Math"/>
                <w:sz w:val="24"/>
                <w:szCs w:val="24"/>
              </w:rPr>
              <m:t>WLR</m:t>
            </m:r>
          </m:e>
          <m:sub>
            <m:r>
              <w:rPr>
                <w:rFonts w:ascii="Cambria Math" w:hAnsi="Cambria Math"/>
                <w:sz w:val="24"/>
                <w:szCs w:val="24"/>
              </w:rPr>
              <m:t>t+1</m:t>
            </m:r>
          </m:sub>
        </m:sSub>
      </m:oMath>
      <w:r w:rsidRPr="00A81003">
        <w:rPr>
          <w:sz w:val="24"/>
          <w:szCs w:val="24"/>
        </w:rPr>
        <w:t xml:space="preserve"> is calculated as the weighted average difference between the log scores of an individual model and the PMV model:</w:t>
      </w:r>
    </w:p>
    <w:p w:rsidR="009A11ED" w:rsidRPr="00A81003" w:rsidRDefault="00573234" w:rsidP="00F07244">
      <w:pPr>
        <w:spacing w:line="480" w:lineRule="auto"/>
        <w:jc w:val="right"/>
        <w:rPr>
          <w:sz w:val="24"/>
          <w:szCs w:val="24"/>
        </w:rPr>
      </w:pPr>
      <m:oMath>
        <m:sSub>
          <m:sSubPr>
            <m:ctrlPr>
              <w:rPr>
                <w:rFonts w:ascii="Cambria Math" w:hAnsi="Cambria Math"/>
                <w:i/>
                <w:sz w:val="24"/>
                <w:szCs w:val="24"/>
              </w:rPr>
            </m:ctrlPr>
          </m:sSubPr>
          <m:e>
            <m:r>
              <w:rPr>
                <w:rFonts w:ascii="Cambria Math" w:hAnsi="Cambria Math"/>
                <w:sz w:val="24"/>
                <w:szCs w:val="24"/>
              </w:rPr>
              <m:t>WLR</m:t>
            </m:r>
          </m:e>
          <m:sub>
            <m:r>
              <w:rPr>
                <w:rFonts w:ascii="Cambria Math" w:hAnsi="Cambria Math"/>
                <w:sz w:val="24"/>
                <w:szCs w:val="24"/>
              </w:rPr>
              <m:t>t+h</m:t>
            </m:r>
          </m:sub>
        </m:sSub>
        <m:r>
          <w:rPr>
            <w:rFonts w:ascii="Cambria Math" w:hAnsi="Cambria Math"/>
            <w:sz w:val="24"/>
            <w:szCs w:val="24"/>
          </w:rPr>
          <m:t>=w(</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RET</m:t>
                </m:r>
              </m:e>
            </m:acc>
          </m:e>
          <m:sub>
            <m:r>
              <w:rPr>
                <w:rFonts w:ascii="Cambria Math" w:hAnsi="Cambria Math"/>
                <w:sz w:val="24"/>
                <w:szCs w:val="24"/>
              </w:rPr>
              <m:t>t+h</m:t>
            </m:r>
          </m:sub>
        </m:sSub>
        <m:r>
          <w:rPr>
            <w:rFonts w:ascii="Cambria Math" w:hAnsi="Cambria Math"/>
            <w:sz w:val="24"/>
            <w:szCs w:val="24"/>
          </w:rPr>
          <m:t>)(log</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t+h|t</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RET</m:t>
                </m:r>
              </m:e>
              <m:sub>
                <m:r>
                  <w:rPr>
                    <w:rFonts w:ascii="Cambria Math" w:hAnsi="Cambria Math"/>
                    <w:sz w:val="24"/>
                    <w:szCs w:val="24"/>
                  </w:rPr>
                  <m:t>t+h</m:t>
                </m:r>
              </m:sub>
            </m:sSub>
          </m:e>
        </m:d>
        <m:r>
          <w:rPr>
            <w:rFonts w:ascii="Cambria Math" w:hAnsi="Cambria Math"/>
            <w:sz w:val="24"/>
            <w:szCs w:val="24"/>
          </w:rPr>
          <m:t>-log</m:t>
        </m:r>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t+h|t</m:t>
            </m:r>
          </m:sub>
          <m:sup>
            <m:r>
              <w:rPr>
                <w:rFonts w:ascii="Cambria Math" w:hAnsi="Cambria Math"/>
                <w:sz w:val="24"/>
                <w:szCs w:val="24"/>
              </w:rPr>
              <m:t>PMV</m:t>
            </m:r>
          </m:sup>
        </m:sSubSup>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RET</m:t>
                </m:r>
              </m:e>
              <m:sub>
                <m:r>
                  <w:rPr>
                    <w:rFonts w:ascii="Cambria Math" w:hAnsi="Cambria Math"/>
                    <w:sz w:val="24"/>
                    <w:szCs w:val="24"/>
                  </w:rPr>
                  <m:t>t+h</m:t>
                </m:r>
              </m:sub>
            </m:sSub>
          </m:e>
        </m:d>
        <m:r>
          <w:rPr>
            <w:rFonts w:ascii="Cambria Math" w:hAnsi="Cambria Math"/>
            <w:sz w:val="24"/>
            <w:szCs w:val="24"/>
          </w:rPr>
          <m:t>)</m:t>
        </m:r>
      </m:oMath>
      <w:r w:rsidR="00B915A1" w:rsidRPr="00B915A1">
        <w:rPr>
          <w:sz w:val="24"/>
          <w:szCs w:val="24"/>
        </w:rPr>
        <w:t xml:space="preserve"> </w:t>
      </w:r>
      <w:r w:rsidR="00C56D84" w:rsidRPr="00B915A1">
        <w:rPr>
          <w:sz w:val="24"/>
          <w:szCs w:val="24"/>
        </w:rPr>
        <w:t>,</w:t>
      </w:r>
      <w:r w:rsidR="009A11ED" w:rsidRPr="00A81003">
        <w:rPr>
          <w:sz w:val="24"/>
          <w:szCs w:val="24"/>
        </w:rPr>
        <w:t xml:space="preserve">                    (</w:t>
      </w:r>
      <w:r w:rsidR="00C56D84" w:rsidRPr="00A81003">
        <w:rPr>
          <w:sz w:val="24"/>
          <w:szCs w:val="24"/>
        </w:rPr>
        <w:t>9</w:t>
      </w:r>
      <w:r w:rsidR="009A11ED" w:rsidRPr="00A81003">
        <w:rPr>
          <w:sz w:val="24"/>
          <w:szCs w:val="24"/>
        </w:rPr>
        <w:t>)</w:t>
      </w:r>
    </w:p>
    <w:p w:rsidR="00D84206" w:rsidRPr="00A81003" w:rsidRDefault="00C56D84" w:rsidP="0029520B">
      <w:pPr>
        <w:spacing w:line="480" w:lineRule="auto"/>
        <w:jc w:val="both"/>
        <w:rPr>
          <w:sz w:val="24"/>
          <w:szCs w:val="24"/>
        </w:rPr>
      </w:pPr>
      <w:r w:rsidRPr="00A81003">
        <w:rPr>
          <w:sz w:val="24"/>
          <w:szCs w:val="24"/>
        </w:rPr>
        <w:t>w</w:t>
      </w:r>
      <w:r w:rsidR="00365A86" w:rsidRPr="00A81003">
        <w:rPr>
          <w:sz w:val="24"/>
          <w:szCs w:val="24"/>
        </w:rPr>
        <w:t xml:space="preserve">here </w:t>
      </w:r>
      <m:oMath>
        <m:r>
          <w:rPr>
            <w:rFonts w:ascii="Cambria Math" w:hAnsi="Cambria Math"/>
            <w:sz w:val="24"/>
            <w:szCs w:val="24"/>
          </w:rPr>
          <m:t>w(</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RET</m:t>
                </m:r>
              </m:e>
            </m:acc>
          </m:e>
          <m:sub>
            <m:r>
              <w:rPr>
                <w:rFonts w:ascii="Cambria Math" w:hAnsi="Cambria Math"/>
                <w:sz w:val="24"/>
                <w:szCs w:val="24"/>
              </w:rPr>
              <m:t>t+h</m:t>
            </m:r>
          </m:sub>
        </m:sSub>
        <m:r>
          <w:rPr>
            <w:rFonts w:ascii="Cambria Math" w:hAnsi="Cambria Math"/>
            <w:sz w:val="24"/>
            <w:szCs w:val="24"/>
          </w:rPr>
          <m:t>)</m:t>
        </m:r>
      </m:oMath>
      <w:r w:rsidRPr="00B915A1">
        <w:rPr>
          <w:sz w:val="24"/>
          <w:szCs w:val="24"/>
        </w:rPr>
        <w:t xml:space="preserve"> </w:t>
      </w:r>
      <w:r w:rsidR="00365A86" w:rsidRPr="00B915A1">
        <w:rPr>
          <w:sz w:val="24"/>
          <w:szCs w:val="24"/>
        </w:rPr>
        <w:t>is a weight function evaluated at the standardi</w:t>
      </w:r>
      <w:r w:rsidR="00E46EC8" w:rsidRPr="00B915A1">
        <w:rPr>
          <w:sz w:val="24"/>
          <w:szCs w:val="24"/>
        </w:rPr>
        <w:t>s</w:t>
      </w:r>
      <w:r w:rsidR="00365A86" w:rsidRPr="00B915A1">
        <w:rPr>
          <w:sz w:val="24"/>
          <w:szCs w:val="24"/>
        </w:rPr>
        <w:t xml:space="preserve">ed return at time </w:t>
      </w:r>
      <w:r w:rsidR="00294665" w:rsidRPr="00B915A1">
        <w:rPr>
          <w:sz w:val="24"/>
          <w:szCs w:val="24"/>
        </w:rPr>
        <w:t>(</w:t>
      </w:r>
      <w:r w:rsidR="00365A86" w:rsidRPr="00B915A1">
        <w:rPr>
          <w:i/>
          <w:sz w:val="24"/>
          <w:szCs w:val="24"/>
        </w:rPr>
        <w:t>t</w:t>
      </w:r>
      <w:r w:rsidR="00294665" w:rsidRPr="00B915A1">
        <w:rPr>
          <w:sz w:val="24"/>
          <w:szCs w:val="24"/>
        </w:rPr>
        <w:t xml:space="preserve"> </w:t>
      </w:r>
      <w:r w:rsidR="00365A86" w:rsidRPr="00B915A1">
        <w:rPr>
          <w:sz w:val="24"/>
          <w:szCs w:val="24"/>
        </w:rPr>
        <w:t>+</w:t>
      </w:r>
      <w:r w:rsidR="00294665" w:rsidRPr="00B915A1">
        <w:rPr>
          <w:sz w:val="24"/>
          <w:szCs w:val="24"/>
        </w:rPr>
        <w:t xml:space="preserve"> </w:t>
      </w:r>
      <w:r w:rsidR="00357B7C" w:rsidRPr="00B915A1">
        <w:rPr>
          <w:i/>
          <w:sz w:val="24"/>
          <w:szCs w:val="24"/>
        </w:rPr>
        <w:t>h</w:t>
      </w:r>
      <w:r w:rsidR="00294665" w:rsidRPr="00B915A1">
        <w:rPr>
          <w:sz w:val="24"/>
          <w:szCs w:val="24"/>
        </w:rPr>
        <w:t>),</w:t>
      </w:r>
      <w:r w:rsidR="00591AB5" w:rsidRPr="00B915A1">
        <w:rPr>
          <w:sz w:val="24"/>
          <w:szCs w:val="24"/>
        </w:rPr>
        <w:t xml:space="preserve"> </w:t>
      </w:r>
      <w:r w:rsidR="00077E86" w:rsidRPr="00B915A1">
        <w:rPr>
          <w:sz w:val="24"/>
          <w:szCs w:val="24"/>
        </w:rPr>
        <w:t xml:space="preserve">while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t+h|t</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RET</m:t>
                </m:r>
              </m:e>
              <m:sub>
                <m:r>
                  <w:rPr>
                    <w:rFonts w:ascii="Cambria Math" w:hAnsi="Cambria Math"/>
                    <w:sz w:val="24"/>
                    <w:szCs w:val="24"/>
                  </w:rPr>
                  <m:t>t+h</m:t>
                </m:r>
              </m:sub>
            </m:sSub>
          </m:e>
        </m:d>
      </m:oMath>
      <w:r w:rsidR="00365A86" w:rsidRPr="00B915A1">
        <w:rPr>
          <w:sz w:val="24"/>
          <w:szCs w:val="24"/>
        </w:rPr>
        <w:t xml:space="preserve"> and </w:t>
      </w:r>
      <m:oMath>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t+h|t</m:t>
            </m:r>
          </m:sub>
          <m:sup>
            <m:r>
              <w:rPr>
                <w:rFonts w:ascii="Cambria Math" w:hAnsi="Cambria Math"/>
                <w:sz w:val="24"/>
                <w:szCs w:val="24"/>
              </w:rPr>
              <m:t>PMV</m:t>
            </m:r>
          </m:sup>
        </m:sSubSup>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RET</m:t>
                </m:r>
              </m:e>
              <m:sub>
                <m:r>
                  <w:rPr>
                    <w:rFonts w:ascii="Cambria Math" w:hAnsi="Cambria Math"/>
                    <w:sz w:val="24"/>
                    <w:szCs w:val="24"/>
                  </w:rPr>
                  <m:t>t+h</m:t>
                </m:r>
              </m:sub>
            </m:sSub>
          </m:e>
        </m:d>
      </m:oMath>
      <w:r w:rsidR="00365A86" w:rsidRPr="00B915A1">
        <w:rPr>
          <w:sz w:val="24"/>
          <w:szCs w:val="24"/>
        </w:rPr>
        <w:t xml:space="preserve"> are</w:t>
      </w:r>
      <w:r w:rsidR="00365A86" w:rsidRPr="00A81003">
        <w:rPr>
          <w:sz w:val="24"/>
          <w:szCs w:val="24"/>
        </w:rPr>
        <w:t xml:space="preserve"> the predictive densities of the individual and PMV model</w:t>
      </w:r>
      <w:r w:rsidR="00294665" w:rsidRPr="00A81003">
        <w:rPr>
          <w:sz w:val="24"/>
          <w:szCs w:val="24"/>
        </w:rPr>
        <w:t>s</w:t>
      </w:r>
      <w:r w:rsidR="0007391D" w:rsidRPr="00A81003">
        <w:rPr>
          <w:sz w:val="24"/>
          <w:szCs w:val="24"/>
        </w:rPr>
        <w:t>,</w:t>
      </w:r>
      <w:r w:rsidR="00077E86" w:rsidRPr="00A81003">
        <w:rPr>
          <w:sz w:val="24"/>
          <w:szCs w:val="24"/>
        </w:rPr>
        <w:t xml:space="preserve"> respectively</w:t>
      </w:r>
      <w:r w:rsidR="00365A86" w:rsidRPr="00A81003">
        <w:rPr>
          <w:sz w:val="24"/>
          <w:szCs w:val="24"/>
        </w:rPr>
        <w:t xml:space="preserve">. </w:t>
      </w:r>
      <w:r w:rsidR="00294665" w:rsidRPr="00A81003">
        <w:rPr>
          <w:sz w:val="24"/>
          <w:szCs w:val="24"/>
        </w:rPr>
        <w:t>We then f</w:t>
      </w:r>
      <w:r w:rsidR="00D84206" w:rsidRPr="00A81003">
        <w:rPr>
          <w:sz w:val="24"/>
          <w:szCs w:val="24"/>
        </w:rPr>
        <w:t xml:space="preserve">ollow </w:t>
      </w:r>
      <w:proofErr w:type="spellStart"/>
      <w:r w:rsidR="00591AB5" w:rsidRPr="00A81003">
        <w:rPr>
          <w:sz w:val="24"/>
          <w:szCs w:val="24"/>
        </w:rPr>
        <w:t>Cenesizoglu</w:t>
      </w:r>
      <w:proofErr w:type="spellEnd"/>
      <w:r w:rsidR="00591AB5" w:rsidRPr="00A81003">
        <w:rPr>
          <w:sz w:val="24"/>
          <w:szCs w:val="24"/>
        </w:rPr>
        <w:t xml:space="preserve"> and </w:t>
      </w:r>
      <w:proofErr w:type="spellStart"/>
      <w:r w:rsidR="00591AB5" w:rsidRPr="00A81003">
        <w:rPr>
          <w:sz w:val="24"/>
          <w:szCs w:val="24"/>
        </w:rPr>
        <w:t>Timmermann</w:t>
      </w:r>
      <w:r w:rsidR="00294665" w:rsidRPr="00A81003">
        <w:rPr>
          <w:sz w:val="24"/>
          <w:szCs w:val="24"/>
        </w:rPr>
        <w:t>’s</w:t>
      </w:r>
      <w:proofErr w:type="spellEnd"/>
      <w:r w:rsidR="00591AB5" w:rsidRPr="00A81003">
        <w:rPr>
          <w:sz w:val="24"/>
          <w:szCs w:val="24"/>
        </w:rPr>
        <w:t xml:space="preserve"> </w:t>
      </w:r>
      <w:r w:rsidR="003A08D8" w:rsidRPr="00A81003">
        <w:rPr>
          <w:sz w:val="24"/>
          <w:szCs w:val="24"/>
        </w:rPr>
        <w:t>(2012</w:t>
      </w:r>
      <w:r w:rsidR="00D84206" w:rsidRPr="00A81003">
        <w:rPr>
          <w:sz w:val="24"/>
          <w:szCs w:val="24"/>
        </w:rPr>
        <w:t>)</w:t>
      </w:r>
      <w:r w:rsidR="00294665" w:rsidRPr="00A81003">
        <w:rPr>
          <w:sz w:val="24"/>
          <w:szCs w:val="24"/>
        </w:rPr>
        <w:t xml:space="preserve"> work to</w:t>
      </w:r>
      <w:r w:rsidR="00D84206" w:rsidRPr="00A81003">
        <w:rPr>
          <w:sz w:val="24"/>
          <w:szCs w:val="24"/>
        </w:rPr>
        <w:t xml:space="preserve"> set the weight to one </w:t>
      </w:r>
      <w:r w:rsidR="00294665" w:rsidRPr="00A81003">
        <w:rPr>
          <w:sz w:val="24"/>
          <w:szCs w:val="24"/>
        </w:rPr>
        <w:t xml:space="preserve">and </w:t>
      </w:r>
      <w:r w:rsidR="00D84206" w:rsidRPr="00A81003">
        <w:rPr>
          <w:sz w:val="24"/>
          <w:szCs w:val="24"/>
        </w:rPr>
        <w:t>focus on the full distribution.</w:t>
      </w:r>
    </w:p>
    <w:p w:rsidR="00365A86" w:rsidRPr="00A81003" w:rsidRDefault="00365A86" w:rsidP="0029520B">
      <w:pPr>
        <w:adjustRightInd w:val="0"/>
        <w:snapToGrid w:val="0"/>
        <w:spacing w:line="480" w:lineRule="auto"/>
        <w:ind w:firstLine="720"/>
        <w:jc w:val="center"/>
        <w:rPr>
          <w:sz w:val="24"/>
          <w:szCs w:val="24"/>
        </w:rPr>
      </w:pPr>
      <w:r w:rsidRPr="00A81003">
        <w:rPr>
          <w:sz w:val="24"/>
          <w:szCs w:val="24"/>
        </w:rPr>
        <w:t xml:space="preserve">[Insert Table </w:t>
      </w:r>
      <w:r w:rsidR="00816CC1" w:rsidRPr="00A81003">
        <w:rPr>
          <w:sz w:val="24"/>
          <w:szCs w:val="24"/>
        </w:rPr>
        <w:t>10</w:t>
      </w:r>
      <w:r w:rsidRPr="00A81003">
        <w:rPr>
          <w:sz w:val="24"/>
          <w:szCs w:val="24"/>
        </w:rPr>
        <w:t xml:space="preserve"> here]</w:t>
      </w:r>
    </w:p>
    <w:p w:rsidR="002C35B6" w:rsidRPr="00A81003" w:rsidRDefault="002C35B6" w:rsidP="002C35B6">
      <w:pPr>
        <w:spacing w:line="480" w:lineRule="auto"/>
        <w:ind w:firstLine="720"/>
        <w:jc w:val="both"/>
        <w:rPr>
          <w:sz w:val="24"/>
          <w:szCs w:val="24"/>
        </w:rPr>
      </w:pPr>
      <w:r w:rsidRPr="00A81003">
        <w:rPr>
          <w:sz w:val="24"/>
          <w:szCs w:val="24"/>
        </w:rPr>
        <w:t>Table 10 reports the results of</w:t>
      </w:r>
      <w:r>
        <w:rPr>
          <w:sz w:val="24"/>
          <w:szCs w:val="24"/>
        </w:rPr>
        <w:t xml:space="preserve"> the</w:t>
      </w:r>
      <w:r w:rsidRPr="00A81003">
        <w:rPr>
          <w:sz w:val="24"/>
          <w:szCs w:val="24"/>
        </w:rPr>
        <w:t xml:space="preserve"> weighted likelihood ratio test for our sample period. Positive values imply that the predictive model generates more accurate density forecasts than the PMV model, while negative values indicate that the PMV model is relatively </w:t>
      </w:r>
      <w:r>
        <w:rPr>
          <w:sz w:val="24"/>
          <w:szCs w:val="24"/>
        </w:rPr>
        <w:t>superior</w:t>
      </w:r>
      <w:r w:rsidRPr="00A81003">
        <w:rPr>
          <w:sz w:val="24"/>
          <w:szCs w:val="24"/>
        </w:rPr>
        <w:t xml:space="preserve">. </w:t>
      </w:r>
      <w:r>
        <w:rPr>
          <w:sz w:val="24"/>
          <w:szCs w:val="24"/>
        </w:rPr>
        <w:t>W</w:t>
      </w:r>
      <w:r w:rsidRPr="00A81003">
        <w:rPr>
          <w:sz w:val="24"/>
          <w:szCs w:val="24"/>
        </w:rPr>
        <w:t>e find significant</w:t>
      </w:r>
      <w:r>
        <w:rPr>
          <w:sz w:val="24"/>
          <w:szCs w:val="24"/>
        </w:rPr>
        <w:t>,</w:t>
      </w:r>
      <w:r w:rsidRPr="00A81003">
        <w:rPr>
          <w:sz w:val="24"/>
          <w:szCs w:val="24"/>
        </w:rPr>
        <w:t xml:space="preserve"> positive values of the weighted likelihood ratio</w:t>
      </w:r>
      <w:r>
        <w:rPr>
          <w:sz w:val="24"/>
          <w:szCs w:val="24"/>
        </w:rPr>
        <w:t xml:space="preserve"> for all three previously identified predictors</w:t>
      </w:r>
      <w:r w:rsidRPr="00A81003">
        <w:rPr>
          <w:sz w:val="24"/>
          <w:szCs w:val="24"/>
        </w:rPr>
        <w:t xml:space="preserve">, which indicates that the model using </w:t>
      </w:r>
      <w:r w:rsidRPr="00A81003">
        <w:rPr>
          <w:i/>
          <w:iCs/>
          <w:sz w:val="24"/>
          <w:szCs w:val="24"/>
        </w:rPr>
        <w:t>TSMSV</w:t>
      </w:r>
      <w:r w:rsidRPr="00A81003">
        <w:rPr>
          <w:sz w:val="24"/>
          <w:szCs w:val="24"/>
        </w:rPr>
        <w:t xml:space="preserve">, </w:t>
      </w:r>
      <w:r w:rsidRPr="00A81003">
        <w:rPr>
          <w:i/>
          <w:iCs/>
          <w:sz w:val="24"/>
          <w:szCs w:val="24"/>
        </w:rPr>
        <w:t>PU,</w:t>
      </w:r>
      <w:r w:rsidRPr="00A81003">
        <w:rPr>
          <w:sz w:val="24"/>
          <w:szCs w:val="24"/>
        </w:rPr>
        <w:t xml:space="preserve"> and </w:t>
      </w:r>
      <w:r w:rsidRPr="00A81003">
        <w:rPr>
          <w:i/>
          <w:iCs/>
          <w:sz w:val="24"/>
          <w:szCs w:val="24"/>
        </w:rPr>
        <w:t>FU</w:t>
      </w:r>
      <w:r w:rsidRPr="00A81003">
        <w:rPr>
          <w:sz w:val="24"/>
          <w:szCs w:val="24"/>
        </w:rPr>
        <w:t xml:space="preserve"> produces more accurate density forecasts than the PMV model. </w:t>
      </w:r>
    </w:p>
    <w:p w:rsidR="005A56A7" w:rsidRPr="00A81003" w:rsidRDefault="00E35280" w:rsidP="0029520B">
      <w:pPr>
        <w:spacing w:line="480" w:lineRule="auto"/>
        <w:ind w:firstLine="720"/>
        <w:jc w:val="both"/>
        <w:rPr>
          <w:sz w:val="24"/>
          <w:szCs w:val="24"/>
        </w:rPr>
      </w:pPr>
      <w:r w:rsidRPr="00A81003">
        <w:rPr>
          <w:sz w:val="24"/>
          <w:szCs w:val="24"/>
        </w:rPr>
        <w:t xml:space="preserve"> </w:t>
      </w:r>
    </w:p>
    <w:p w:rsidR="00053F6F" w:rsidRPr="00A81003" w:rsidRDefault="00053F6F" w:rsidP="0029520B">
      <w:pPr>
        <w:pStyle w:val="Heading1"/>
        <w:numPr>
          <w:ilvl w:val="0"/>
          <w:numId w:val="1"/>
        </w:numPr>
        <w:adjustRightInd w:val="0"/>
        <w:snapToGrid w:val="0"/>
        <w:spacing w:line="480" w:lineRule="auto"/>
        <w:ind w:left="0" w:firstLine="720"/>
        <w:contextualSpacing w:val="0"/>
        <w:rPr>
          <w:szCs w:val="24"/>
        </w:rPr>
      </w:pPr>
      <w:r w:rsidRPr="00A81003">
        <w:rPr>
          <w:szCs w:val="24"/>
        </w:rPr>
        <w:lastRenderedPageBreak/>
        <w:t>Conclusion</w:t>
      </w:r>
    </w:p>
    <w:p w:rsidR="00D56F1E" w:rsidRPr="00A81003" w:rsidRDefault="00D56F1E" w:rsidP="0029520B">
      <w:pPr>
        <w:adjustRightInd w:val="0"/>
        <w:snapToGrid w:val="0"/>
        <w:spacing w:line="480" w:lineRule="auto"/>
        <w:ind w:firstLine="720"/>
        <w:jc w:val="both"/>
        <w:rPr>
          <w:sz w:val="24"/>
          <w:szCs w:val="24"/>
        </w:rPr>
      </w:pPr>
    </w:p>
    <w:p w:rsidR="00CC13EC" w:rsidRPr="00A81003" w:rsidRDefault="00CC13EC" w:rsidP="00CC13EC">
      <w:pPr>
        <w:adjustRightInd w:val="0"/>
        <w:snapToGrid w:val="0"/>
        <w:spacing w:after="0" w:line="480" w:lineRule="auto"/>
        <w:ind w:firstLine="720"/>
        <w:jc w:val="both"/>
        <w:rPr>
          <w:sz w:val="24"/>
          <w:szCs w:val="24"/>
        </w:rPr>
      </w:pPr>
      <w:r w:rsidRPr="00A81003">
        <w:rPr>
          <w:sz w:val="24"/>
          <w:szCs w:val="24"/>
        </w:rPr>
        <w:t xml:space="preserve">The paper presents the results of a first attempt at identifying the potential predictors of Bitcoin returns, following the approaches established by Welch and Goyal (2008), </w:t>
      </w:r>
      <w:proofErr w:type="spellStart"/>
      <w:r w:rsidRPr="00A81003">
        <w:rPr>
          <w:sz w:val="24"/>
          <w:szCs w:val="24"/>
        </w:rPr>
        <w:t>Rapach</w:t>
      </w:r>
      <w:proofErr w:type="spellEnd"/>
      <w:r w:rsidRPr="00A81003">
        <w:rPr>
          <w:sz w:val="24"/>
          <w:szCs w:val="24"/>
        </w:rPr>
        <w:t xml:space="preserve"> </w:t>
      </w:r>
      <w:r>
        <w:rPr>
          <w:sz w:val="24"/>
          <w:szCs w:val="24"/>
        </w:rPr>
        <w:t>and Zhou</w:t>
      </w:r>
      <w:r w:rsidRPr="00A81003">
        <w:rPr>
          <w:sz w:val="24"/>
          <w:szCs w:val="24"/>
        </w:rPr>
        <w:t xml:space="preserve"> (2013), and </w:t>
      </w:r>
      <w:proofErr w:type="spellStart"/>
      <w:r w:rsidRPr="00A81003">
        <w:rPr>
          <w:sz w:val="24"/>
          <w:szCs w:val="24"/>
        </w:rPr>
        <w:t>Rapach</w:t>
      </w:r>
      <w:proofErr w:type="spellEnd"/>
      <w:r w:rsidRPr="00A81003">
        <w:rPr>
          <w:sz w:val="24"/>
          <w:szCs w:val="24"/>
        </w:rPr>
        <w:t xml:space="preserve"> et al. (2016). We find that some Bitcoin market and uncertainty predictors are the primary drivers of Bitcoin returns. </w:t>
      </w:r>
    </w:p>
    <w:p w:rsidR="00CC13EC" w:rsidRPr="00A81003" w:rsidRDefault="00CC13EC" w:rsidP="00CC13EC">
      <w:pPr>
        <w:adjustRightInd w:val="0"/>
        <w:snapToGrid w:val="0"/>
        <w:spacing w:after="0" w:line="480" w:lineRule="auto"/>
        <w:ind w:firstLine="720"/>
        <w:jc w:val="both"/>
        <w:rPr>
          <w:sz w:val="24"/>
          <w:szCs w:val="24"/>
        </w:rPr>
      </w:pPr>
      <w:r w:rsidRPr="00A81003">
        <w:rPr>
          <w:sz w:val="24"/>
          <w:szCs w:val="24"/>
        </w:rPr>
        <w:t>The</w:t>
      </w:r>
      <w:r>
        <w:rPr>
          <w:sz w:val="24"/>
          <w:szCs w:val="24"/>
        </w:rPr>
        <w:t>se</w:t>
      </w:r>
      <w:r w:rsidRPr="00A81003">
        <w:rPr>
          <w:sz w:val="24"/>
          <w:szCs w:val="24"/>
        </w:rPr>
        <w:t xml:space="preserve"> </w:t>
      </w:r>
      <w:r>
        <w:rPr>
          <w:sz w:val="24"/>
          <w:szCs w:val="24"/>
        </w:rPr>
        <w:t>results</w:t>
      </w:r>
      <w:r w:rsidRPr="00A81003">
        <w:rPr>
          <w:sz w:val="24"/>
          <w:szCs w:val="24"/>
        </w:rPr>
        <w:t xml:space="preserve"> have several important implications</w:t>
      </w:r>
      <w:r>
        <w:rPr>
          <w:sz w:val="24"/>
          <w:szCs w:val="24"/>
        </w:rPr>
        <w:t>,</w:t>
      </w:r>
      <w:r w:rsidRPr="00A81003">
        <w:rPr>
          <w:sz w:val="24"/>
          <w:szCs w:val="24"/>
        </w:rPr>
        <w:t xml:space="preserve"> </w:t>
      </w:r>
      <w:r>
        <w:rPr>
          <w:sz w:val="24"/>
          <w:szCs w:val="24"/>
        </w:rPr>
        <w:t>t</w:t>
      </w:r>
      <w:r w:rsidRPr="00A81003">
        <w:rPr>
          <w:sz w:val="24"/>
          <w:szCs w:val="24"/>
        </w:rPr>
        <w:t xml:space="preserve">he first </w:t>
      </w:r>
      <w:r>
        <w:rPr>
          <w:sz w:val="24"/>
          <w:szCs w:val="24"/>
        </w:rPr>
        <w:t>of which applies</w:t>
      </w:r>
      <w:r w:rsidRPr="00A81003">
        <w:rPr>
          <w:sz w:val="24"/>
          <w:szCs w:val="24"/>
        </w:rPr>
        <w:t xml:space="preserve"> for investors and speculators in Bitcoin markets: </w:t>
      </w:r>
      <w:r>
        <w:rPr>
          <w:sz w:val="24"/>
          <w:szCs w:val="24"/>
        </w:rPr>
        <w:t>identifying</w:t>
      </w:r>
      <w:r w:rsidRPr="00A81003">
        <w:rPr>
          <w:sz w:val="24"/>
          <w:szCs w:val="24"/>
        </w:rPr>
        <w:t xml:space="preserve"> appropriate predictors will enable them to identify Bitcoin mispricing and undertake arbitrage through market timing. This will also allow them to either switch asset classes or move in and out of the market at appropriate times. </w:t>
      </w:r>
      <w:r>
        <w:rPr>
          <w:sz w:val="24"/>
          <w:szCs w:val="24"/>
        </w:rPr>
        <w:t>Additionally</w:t>
      </w:r>
      <w:r w:rsidRPr="00A81003">
        <w:rPr>
          <w:sz w:val="24"/>
          <w:szCs w:val="24"/>
        </w:rPr>
        <w:t xml:space="preserve">, an investor or speculator </w:t>
      </w:r>
      <w:r>
        <w:rPr>
          <w:sz w:val="24"/>
          <w:szCs w:val="24"/>
        </w:rPr>
        <w:t>can</w:t>
      </w:r>
      <w:r w:rsidRPr="00A81003">
        <w:rPr>
          <w:sz w:val="24"/>
          <w:szCs w:val="24"/>
        </w:rPr>
        <w:t xml:space="preserve"> realise economic gains if time-series momentum </w:t>
      </w:r>
      <w:r w:rsidRPr="004C02EB">
        <w:rPr>
          <w:sz w:val="24"/>
          <w:szCs w:val="24"/>
        </w:rPr>
        <w:t>(</w:t>
      </w:r>
      <w:r w:rsidRPr="004C02EB">
        <w:rPr>
          <w:i/>
          <w:iCs/>
          <w:sz w:val="24"/>
          <w:szCs w:val="24"/>
        </w:rPr>
        <w:t>TSMSV</w:t>
      </w:r>
      <w:r w:rsidRPr="004C02EB">
        <w:rPr>
          <w:sz w:val="24"/>
          <w:szCs w:val="24"/>
        </w:rPr>
        <w:t>)</w:t>
      </w:r>
      <w:r w:rsidR="004C02EB" w:rsidRPr="004C02EB">
        <w:rPr>
          <w:sz w:val="24"/>
          <w:szCs w:val="24"/>
        </w:rPr>
        <w:t>, economic</w:t>
      </w:r>
      <w:r w:rsidRPr="004C02EB">
        <w:rPr>
          <w:sz w:val="24"/>
          <w:szCs w:val="24"/>
        </w:rPr>
        <w:t xml:space="preserve"> policy uncertainty (</w:t>
      </w:r>
      <w:r w:rsidRPr="004C02EB">
        <w:rPr>
          <w:i/>
          <w:iCs/>
          <w:sz w:val="24"/>
          <w:szCs w:val="24"/>
        </w:rPr>
        <w:t>PU</w:t>
      </w:r>
      <w:r w:rsidRPr="004C02EB">
        <w:rPr>
          <w:sz w:val="24"/>
          <w:szCs w:val="24"/>
        </w:rPr>
        <w:t xml:space="preserve">), and financial uncertainty (FU) </w:t>
      </w:r>
      <w:r w:rsidRPr="00A81003">
        <w:rPr>
          <w:sz w:val="24"/>
          <w:szCs w:val="24"/>
        </w:rPr>
        <w:t xml:space="preserve">are </w:t>
      </w:r>
      <w:r>
        <w:rPr>
          <w:sz w:val="24"/>
          <w:szCs w:val="24"/>
        </w:rPr>
        <w:t>considered</w:t>
      </w:r>
      <w:r w:rsidRPr="00A81003">
        <w:rPr>
          <w:sz w:val="24"/>
          <w:szCs w:val="24"/>
        </w:rPr>
        <w:t xml:space="preserve"> during </w:t>
      </w:r>
      <w:r>
        <w:rPr>
          <w:sz w:val="24"/>
          <w:szCs w:val="24"/>
        </w:rPr>
        <w:t xml:space="preserve">the </w:t>
      </w:r>
      <w:r w:rsidRPr="00A81003">
        <w:rPr>
          <w:sz w:val="24"/>
          <w:szCs w:val="24"/>
        </w:rPr>
        <w:t xml:space="preserve">asset allocation processes in portfolio management. </w:t>
      </w:r>
    </w:p>
    <w:p w:rsidR="00CC13EC" w:rsidRPr="00A81003" w:rsidRDefault="00CC13EC" w:rsidP="00CC13EC">
      <w:pPr>
        <w:adjustRightInd w:val="0"/>
        <w:snapToGrid w:val="0"/>
        <w:spacing w:after="0" w:line="480" w:lineRule="auto"/>
        <w:ind w:firstLine="720"/>
        <w:jc w:val="both"/>
        <w:rPr>
          <w:sz w:val="24"/>
          <w:szCs w:val="24"/>
        </w:rPr>
      </w:pPr>
      <w:r w:rsidRPr="00A81003">
        <w:rPr>
          <w:sz w:val="24"/>
          <w:szCs w:val="24"/>
        </w:rPr>
        <w:t xml:space="preserve">The second </w:t>
      </w:r>
      <w:r>
        <w:rPr>
          <w:sz w:val="24"/>
          <w:szCs w:val="24"/>
        </w:rPr>
        <w:t>implication</w:t>
      </w:r>
      <w:r w:rsidRPr="00A81003">
        <w:rPr>
          <w:sz w:val="24"/>
          <w:szCs w:val="24"/>
        </w:rPr>
        <w:t xml:space="preserve"> </w:t>
      </w:r>
      <w:r>
        <w:rPr>
          <w:sz w:val="24"/>
          <w:szCs w:val="24"/>
        </w:rPr>
        <w:t>involves</w:t>
      </w:r>
      <w:r w:rsidRPr="00A81003">
        <w:rPr>
          <w:sz w:val="24"/>
          <w:szCs w:val="24"/>
        </w:rPr>
        <w:t xml:space="preserve"> policy</w:t>
      </w:r>
      <w:r>
        <w:rPr>
          <w:sz w:val="24"/>
          <w:szCs w:val="24"/>
        </w:rPr>
        <w:t>-</w:t>
      </w:r>
      <w:r w:rsidRPr="00A81003">
        <w:rPr>
          <w:sz w:val="24"/>
          <w:szCs w:val="24"/>
        </w:rPr>
        <w:t>makers and regulators</w:t>
      </w:r>
      <w:r>
        <w:rPr>
          <w:sz w:val="24"/>
          <w:szCs w:val="24"/>
        </w:rPr>
        <w:t>.</w:t>
      </w:r>
      <w:r w:rsidRPr="00A81003">
        <w:rPr>
          <w:sz w:val="24"/>
          <w:szCs w:val="24"/>
        </w:rPr>
        <w:t xml:space="preserve"> </w:t>
      </w:r>
      <w:r>
        <w:rPr>
          <w:sz w:val="24"/>
          <w:szCs w:val="24"/>
        </w:rPr>
        <w:t>Although</w:t>
      </w:r>
      <w:r w:rsidRPr="00A81003">
        <w:rPr>
          <w:sz w:val="24"/>
          <w:szCs w:val="24"/>
        </w:rPr>
        <w:t xml:space="preserve"> such markets are largely unregulated</w:t>
      </w:r>
      <w:r>
        <w:rPr>
          <w:sz w:val="24"/>
          <w:szCs w:val="24"/>
        </w:rPr>
        <w:t xml:space="preserve"> at present</w:t>
      </w:r>
      <w:r w:rsidRPr="00A81003">
        <w:rPr>
          <w:sz w:val="24"/>
          <w:szCs w:val="24"/>
        </w:rPr>
        <w:t xml:space="preserve">, </w:t>
      </w:r>
      <w:r>
        <w:rPr>
          <w:sz w:val="24"/>
          <w:szCs w:val="24"/>
        </w:rPr>
        <w:t xml:space="preserve">they can use the predictors identified here </w:t>
      </w:r>
      <w:r w:rsidRPr="00A81003">
        <w:rPr>
          <w:sz w:val="24"/>
          <w:szCs w:val="24"/>
        </w:rPr>
        <w:t xml:space="preserve">if they do attempt such regulation, to facilitate </w:t>
      </w:r>
      <w:r>
        <w:rPr>
          <w:sz w:val="24"/>
          <w:szCs w:val="24"/>
        </w:rPr>
        <w:t xml:space="preserve">a </w:t>
      </w:r>
      <w:r w:rsidRPr="00A81003">
        <w:rPr>
          <w:sz w:val="24"/>
          <w:szCs w:val="24"/>
        </w:rPr>
        <w:t>detection of bubbles</w:t>
      </w:r>
      <w:r>
        <w:rPr>
          <w:sz w:val="24"/>
          <w:szCs w:val="24"/>
        </w:rPr>
        <w:t xml:space="preserve"> emerging</w:t>
      </w:r>
      <w:r w:rsidRPr="00A81003">
        <w:rPr>
          <w:sz w:val="24"/>
          <w:szCs w:val="24"/>
        </w:rPr>
        <w:t xml:space="preserve"> in Bitcoin markets. This will enable the introduction of </w:t>
      </w:r>
      <w:r>
        <w:rPr>
          <w:sz w:val="24"/>
          <w:szCs w:val="24"/>
        </w:rPr>
        <w:t>‘</w:t>
      </w:r>
      <w:r w:rsidRPr="00A81003">
        <w:rPr>
          <w:sz w:val="24"/>
          <w:szCs w:val="24"/>
        </w:rPr>
        <w:t>cooling</w:t>
      </w:r>
      <w:r>
        <w:rPr>
          <w:sz w:val="24"/>
          <w:szCs w:val="24"/>
        </w:rPr>
        <w:t>’</w:t>
      </w:r>
      <w:r w:rsidRPr="00A81003">
        <w:rPr>
          <w:sz w:val="24"/>
          <w:szCs w:val="24"/>
        </w:rPr>
        <w:t xml:space="preserve"> measures to halt or inhibit trading in an orderly fashion, </w:t>
      </w:r>
      <w:r>
        <w:rPr>
          <w:sz w:val="24"/>
          <w:szCs w:val="24"/>
        </w:rPr>
        <w:t>consequently</w:t>
      </w:r>
      <w:r w:rsidRPr="00A81003">
        <w:rPr>
          <w:sz w:val="24"/>
          <w:szCs w:val="24"/>
        </w:rPr>
        <w:t xml:space="preserve"> protecting non-speculative users from unnecessary financial losses.</w:t>
      </w:r>
    </w:p>
    <w:p w:rsidR="00CC13EC" w:rsidRDefault="00CC13EC" w:rsidP="00CC13EC">
      <w:pPr>
        <w:adjustRightInd w:val="0"/>
        <w:snapToGrid w:val="0"/>
        <w:spacing w:line="480" w:lineRule="auto"/>
        <w:ind w:firstLine="720"/>
        <w:jc w:val="both"/>
        <w:rPr>
          <w:sz w:val="24"/>
          <w:szCs w:val="24"/>
        </w:rPr>
      </w:pPr>
      <w:r w:rsidRPr="00A81003">
        <w:rPr>
          <w:sz w:val="24"/>
          <w:szCs w:val="24"/>
        </w:rPr>
        <w:t>Future research in this area might compare different methods for selecting appropriate predictors, explore the use of macroeconomic factors for capturing changes in the wider economy, or consider the inclusion of structural breaks and other major events.</w:t>
      </w:r>
    </w:p>
    <w:p w:rsidR="00C67260" w:rsidRDefault="00C67260" w:rsidP="00CC13EC">
      <w:pPr>
        <w:adjustRightInd w:val="0"/>
        <w:snapToGrid w:val="0"/>
        <w:spacing w:line="480" w:lineRule="auto"/>
        <w:ind w:firstLine="720"/>
        <w:jc w:val="both"/>
        <w:rPr>
          <w:sz w:val="24"/>
          <w:szCs w:val="24"/>
        </w:rPr>
      </w:pPr>
    </w:p>
    <w:p w:rsidR="00AD7DCA" w:rsidRDefault="00AD7DCA" w:rsidP="00CC13EC">
      <w:pPr>
        <w:adjustRightInd w:val="0"/>
        <w:snapToGrid w:val="0"/>
        <w:spacing w:line="480" w:lineRule="auto"/>
        <w:ind w:firstLine="720"/>
        <w:jc w:val="both"/>
        <w:rPr>
          <w:sz w:val="24"/>
          <w:szCs w:val="24"/>
        </w:rPr>
      </w:pPr>
    </w:p>
    <w:p w:rsidR="00AD7DCA" w:rsidRDefault="00AD7DCA" w:rsidP="00CC13EC">
      <w:pPr>
        <w:adjustRightInd w:val="0"/>
        <w:snapToGrid w:val="0"/>
        <w:spacing w:line="480" w:lineRule="auto"/>
        <w:ind w:firstLine="720"/>
        <w:jc w:val="both"/>
        <w:rPr>
          <w:sz w:val="24"/>
          <w:szCs w:val="24"/>
        </w:rPr>
      </w:pPr>
    </w:p>
    <w:p w:rsidR="00AD7DCA" w:rsidRDefault="00AD7DCA" w:rsidP="00CC13EC">
      <w:pPr>
        <w:adjustRightInd w:val="0"/>
        <w:snapToGrid w:val="0"/>
        <w:spacing w:line="480" w:lineRule="auto"/>
        <w:ind w:firstLine="720"/>
        <w:jc w:val="both"/>
        <w:rPr>
          <w:sz w:val="24"/>
          <w:szCs w:val="24"/>
        </w:rPr>
      </w:pPr>
    </w:p>
    <w:p w:rsidR="00AD7DCA" w:rsidRDefault="00AD7DCA" w:rsidP="00CC13EC">
      <w:pPr>
        <w:adjustRightInd w:val="0"/>
        <w:snapToGrid w:val="0"/>
        <w:spacing w:line="480" w:lineRule="auto"/>
        <w:ind w:firstLine="720"/>
        <w:jc w:val="both"/>
        <w:rPr>
          <w:sz w:val="24"/>
          <w:szCs w:val="24"/>
        </w:rPr>
      </w:pPr>
    </w:p>
    <w:p w:rsidR="00AD7DCA" w:rsidRDefault="00AD7DCA" w:rsidP="00CC13EC">
      <w:pPr>
        <w:adjustRightInd w:val="0"/>
        <w:snapToGrid w:val="0"/>
        <w:spacing w:line="480" w:lineRule="auto"/>
        <w:ind w:firstLine="720"/>
        <w:jc w:val="both"/>
        <w:rPr>
          <w:sz w:val="24"/>
          <w:szCs w:val="24"/>
        </w:rPr>
      </w:pPr>
    </w:p>
    <w:p w:rsidR="00AD7DCA" w:rsidRDefault="00AD7DCA" w:rsidP="00CC13EC">
      <w:pPr>
        <w:adjustRightInd w:val="0"/>
        <w:snapToGrid w:val="0"/>
        <w:spacing w:line="480" w:lineRule="auto"/>
        <w:ind w:firstLine="720"/>
        <w:jc w:val="both"/>
        <w:rPr>
          <w:sz w:val="24"/>
          <w:szCs w:val="24"/>
        </w:rPr>
      </w:pPr>
    </w:p>
    <w:p w:rsidR="00AD7DCA" w:rsidRDefault="00AD7DCA" w:rsidP="00CC13EC">
      <w:pPr>
        <w:adjustRightInd w:val="0"/>
        <w:snapToGrid w:val="0"/>
        <w:spacing w:line="480" w:lineRule="auto"/>
        <w:ind w:firstLine="720"/>
        <w:jc w:val="both"/>
        <w:rPr>
          <w:sz w:val="24"/>
          <w:szCs w:val="24"/>
        </w:rPr>
      </w:pPr>
    </w:p>
    <w:p w:rsidR="00AD7DCA" w:rsidRDefault="00AD7DCA" w:rsidP="00CC13EC">
      <w:pPr>
        <w:adjustRightInd w:val="0"/>
        <w:snapToGrid w:val="0"/>
        <w:spacing w:line="480" w:lineRule="auto"/>
        <w:ind w:firstLine="720"/>
        <w:jc w:val="both"/>
        <w:rPr>
          <w:sz w:val="24"/>
          <w:szCs w:val="24"/>
        </w:rPr>
      </w:pPr>
    </w:p>
    <w:p w:rsidR="00EC432D" w:rsidRDefault="00EC432D" w:rsidP="00CC13EC">
      <w:pPr>
        <w:adjustRightInd w:val="0"/>
        <w:snapToGrid w:val="0"/>
        <w:spacing w:line="480" w:lineRule="auto"/>
        <w:ind w:firstLine="720"/>
        <w:jc w:val="both"/>
        <w:rPr>
          <w:sz w:val="24"/>
          <w:szCs w:val="24"/>
        </w:rPr>
      </w:pPr>
    </w:p>
    <w:p w:rsidR="00EC432D" w:rsidRDefault="00EC432D" w:rsidP="00CC13EC">
      <w:pPr>
        <w:adjustRightInd w:val="0"/>
        <w:snapToGrid w:val="0"/>
        <w:spacing w:line="480" w:lineRule="auto"/>
        <w:ind w:firstLine="720"/>
        <w:jc w:val="both"/>
        <w:rPr>
          <w:sz w:val="24"/>
          <w:szCs w:val="24"/>
        </w:rPr>
      </w:pPr>
    </w:p>
    <w:p w:rsidR="001D1A95" w:rsidRDefault="001D1A95" w:rsidP="00CC13EC">
      <w:pPr>
        <w:adjustRightInd w:val="0"/>
        <w:snapToGrid w:val="0"/>
        <w:spacing w:line="480" w:lineRule="auto"/>
        <w:ind w:firstLine="720"/>
        <w:jc w:val="both"/>
        <w:rPr>
          <w:sz w:val="24"/>
          <w:szCs w:val="24"/>
        </w:rPr>
        <w:sectPr w:rsidR="001D1A95" w:rsidSect="00B8645B">
          <w:footerReference w:type="default" r:id="rId12"/>
          <w:endnotePr>
            <w:numFmt w:val="decimal"/>
          </w:endnotePr>
          <w:pgSz w:w="11906" w:h="16838"/>
          <w:pgMar w:top="1440" w:right="1440" w:bottom="1440" w:left="1440" w:header="709" w:footer="709" w:gutter="0"/>
          <w:pgNumType w:start="0"/>
          <w:cols w:space="708"/>
          <w:titlePg/>
          <w:docGrid w:linePitch="435"/>
        </w:sectPr>
      </w:pPr>
    </w:p>
    <w:p w:rsidR="001D1A95" w:rsidRPr="00A81003" w:rsidRDefault="001D1A95" w:rsidP="001D1A95">
      <w:pPr>
        <w:pStyle w:val="Heading1"/>
        <w:rPr>
          <w:szCs w:val="24"/>
        </w:rPr>
      </w:pPr>
      <w:r w:rsidRPr="00A81003">
        <w:rPr>
          <w:szCs w:val="24"/>
        </w:rPr>
        <w:lastRenderedPageBreak/>
        <w:t xml:space="preserve">References </w:t>
      </w:r>
    </w:p>
    <w:p w:rsidR="001D1A95" w:rsidRPr="00A81003" w:rsidRDefault="001D1A95" w:rsidP="001D1A95">
      <w:pPr>
        <w:autoSpaceDE w:val="0"/>
        <w:autoSpaceDN w:val="0"/>
        <w:adjustRightInd w:val="0"/>
        <w:spacing w:line="480" w:lineRule="auto"/>
        <w:ind w:left="480" w:hanging="480"/>
        <w:rPr>
          <w:sz w:val="24"/>
          <w:szCs w:val="24"/>
        </w:rPr>
      </w:pPr>
      <w:bookmarkStart w:id="2" w:name="_Hlk29301441"/>
      <w:r w:rsidRPr="00A81003">
        <w:rPr>
          <w:sz w:val="24"/>
          <w:szCs w:val="24"/>
        </w:rPr>
        <w:t xml:space="preserve">Adcock, Robert, and Nikola </w:t>
      </w:r>
      <w:proofErr w:type="spellStart"/>
      <w:r w:rsidRPr="00A81003">
        <w:rPr>
          <w:sz w:val="24"/>
          <w:szCs w:val="24"/>
        </w:rPr>
        <w:t>Gradojevic</w:t>
      </w:r>
      <w:proofErr w:type="spellEnd"/>
      <w:r w:rsidRPr="00A81003">
        <w:rPr>
          <w:sz w:val="24"/>
          <w:szCs w:val="24"/>
        </w:rPr>
        <w:t xml:space="preserve">. 2019. “Non-Fundamental, Non-Parametric Bitcoin Forecasting.” </w:t>
      </w:r>
      <w:proofErr w:type="spellStart"/>
      <w:r w:rsidRPr="00A81003">
        <w:rPr>
          <w:i/>
          <w:iCs/>
          <w:sz w:val="24"/>
          <w:szCs w:val="24"/>
        </w:rPr>
        <w:t>Physica</w:t>
      </w:r>
      <w:proofErr w:type="spellEnd"/>
      <w:r w:rsidRPr="00A81003">
        <w:rPr>
          <w:i/>
          <w:iCs/>
          <w:sz w:val="24"/>
          <w:szCs w:val="24"/>
        </w:rPr>
        <w:t xml:space="preserve"> A: Statistical Mechanics and Its Applications</w:t>
      </w:r>
      <w:r w:rsidRPr="00A81003">
        <w:rPr>
          <w:sz w:val="24"/>
          <w:szCs w:val="24"/>
        </w:rPr>
        <w:t xml:space="preserve"> 531.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Amihud</w:t>
      </w:r>
      <w:proofErr w:type="spellEnd"/>
      <w:r w:rsidRPr="00A81003">
        <w:rPr>
          <w:sz w:val="24"/>
          <w:szCs w:val="24"/>
        </w:rPr>
        <w:t xml:space="preserve">, </w:t>
      </w:r>
      <w:proofErr w:type="spellStart"/>
      <w:r w:rsidRPr="00A81003">
        <w:rPr>
          <w:sz w:val="24"/>
          <w:szCs w:val="24"/>
        </w:rPr>
        <w:t>Yakov</w:t>
      </w:r>
      <w:proofErr w:type="spellEnd"/>
      <w:r w:rsidRPr="00A81003">
        <w:rPr>
          <w:sz w:val="24"/>
          <w:szCs w:val="24"/>
        </w:rPr>
        <w:t xml:space="preserve">, and Haim Mendelson. 1986. “Asset Pricing and the Bid-Ask Spread.” </w:t>
      </w:r>
      <w:r w:rsidRPr="00A81003">
        <w:rPr>
          <w:i/>
          <w:iCs/>
          <w:sz w:val="24"/>
          <w:szCs w:val="24"/>
        </w:rPr>
        <w:t>Journal of Financial Economics</w:t>
      </w:r>
      <w:r w:rsidRPr="00A81003">
        <w:rPr>
          <w:sz w:val="24"/>
          <w:szCs w:val="24"/>
        </w:rPr>
        <w:t xml:space="preserve"> 17 (2): 223–249.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Amisano</w:t>
      </w:r>
      <w:proofErr w:type="spellEnd"/>
      <w:r w:rsidRPr="00A81003">
        <w:rPr>
          <w:sz w:val="24"/>
          <w:szCs w:val="24"/>
        </w:rPr>
        <w:t xml:space="preserve">, Gianni, and Raffaella Giacomini. 2007. “Comparing Density Forecasts via Weighted Likelihood Ratio Tests.” </w:t>
      </w:r>
      <w:r w:rsidRPr="00A81003">
        <w:rPr>
          <w:i/>
          <w:iCs/>
          <w:sz w:val="24"/>
          <w:szCs w:val="24"/>
        </w:rPr>
        <w:t>Journal of Business and Economic Statistics</w:t>
      </w:r>
      <w:r w:rsidRPr="00A81003">
        <w:rPr>
          <w:sz w:val="24"/>
          <w:szCs w:val="24"/>
        </w:rPr>
        <w:t xml:space="preserve"> 25 (2): 177–190. </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An, </w:t>
      </w:r>
      <w:proofErr w:type="spellStart"/>
      <w:r w:rsidRPr="00A81003">
        <w:rPr>
          <w:sz w:val="24"/>
          <w:szCs w:val="24"/>
        </w:rPr>
        <w:t>Jiafu</w:t>
      </w:r>
      <w:proofErr w:type="spellEnd"/>
      <w:r w:rsidRPr="00A81003">
        <w:rPr>
          <w:sz w:val="24"/>
          <w:szCs w:val="24"/>
        </w:rPr>
        <w:t xml:space="preserve">, and Raghavendra Rau. 2019. “Finance, Technology and Disruption.” </w:t>
      </w:r>
      <w:r w:rsidRPr="00A81003">
        <w:rPr>
          <w:i/>
          <w:iCs/>
          <w:sz w:val="24"/>
          <w:szCs w:val="24"/>
        </w:rPr>
        <w:t xml:space="preserve"> European Journal of Finance</w:t>
      </w:r>
      <w:r w:rsidRPr="00A81003">
        <w:rPr>
          <w:sz w:val="24"/>
          <w:szCs w:val="24"/>
        </w:rPr>
        <w:t xml:space="preserve">.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Atsalakis</w:t>
      </w:r>
      <w:proofErr w:type="spellEnd"/>
      <w:r w:rsidRPr="00A81003">
        <w:rPr>
          <w:sz w:val="24"/>
          <w:szCs w:val="24"/>
        </w:rPr>
        <w:t xml:space="preserve">, George S., Ioanna G. </w:t>
      </w:r>
      <w:proofErr w:type="spellStart"/>
      <w:r w:rsidRPr="00A81003">
        <w:rPr>
          <w:sz w:val="24"/>
          <w:szCs w:val="24"/>
        </w:rPr>
        <w:t>Atsalaki</w:t>
      </w:r>
      <w:proofErr w:type="spellEnd"/>
      <w:r w:rsidRPr="00A81003">
        <w:rPr>
          <w:sz w:val="24"/>
          <w:szCs w:val="24"/>
        </w:rPr>
        <w:t xml:space="preserve">, </w:t>
      </w:r>
      <w:proofErr w:type="spellStart"/>
      <w:r w:rsidRPr="00A81003">
        <w:rPr>
          <w:sz w:val="24"/>
          <w:szCs w:val="24"/>
        </w:rPr>
        <w:t>Fotios</w:t>
      </w:r>
      <w:proofErr w:type="spellEnd"/>
      <w:r w:rsidRPr="00A81003">
        <w:rPr>
          <w:sz w:val="24"/>
          <w:szCs w:val="24"/>
        </w:rPr>
        <w:t xml:space="preserve"> </w:t>
      </w:r>
      <w:proofErr w:type="spellStart"/>
      <w:r w:rsidRPr="00A81003">
        <w:rPr>
          <w:sz w:val="24"/>
          <w:szCs w:val="24"/>
        </w:rPr>
        <w:t>Pasiouras</w:t>
      </w:r>
      <w:proofErr w:type="spellEnd"/>
      <w:r w:rsidRPr="00A81003">
        <w:rPr>
          <w:sz w:val="24"/>
          <w:szCs w:val="24"/>
        </w:rPr>
        <w:t xml:space="preserve">, and Constantin </w:t>
      </w:r>
      <w:proofErr w:type="spellStart"/>
      <w:r w:rsidRPr="00A81003">
        <w:rPr>
          <w:sz w:val="24"/>
          <w:szCs w:val="24"/>
        </w:rPr>
        <w:t>Zopounidis</w:t>
      </w:r>
      <w:proofErr w:type="spellEnd"/>
      <w:r w:rsidRPr="00A81003">
        <w:rPr>
          <w:sz w:val="24"/>
          <w:szCs w:val="24"/>
        </w:rPr>
        <w:t xml:space="preserve">. 2019. “Bitcoin Price Forecasting with Neuro-Fuzzy Techniques.” </w:t>
      </w:r>
      <w:r w:rsidRPr="00A81003">
        <w:rPr>
          <w:i/>
          <w:iCs/>
          <w:sz w:val="24"/>
          <w:szCs w:val="24"/>
        </w:rPr>
        <w:t>European Journal of Operational Research</w:t>
      </w:r>
      <w:r w:rsidRPr="00A81003">
        <w:rPr>
          <w:sz w:val="24"/>
          <w:szCs w:val="24"/>
        </w:rPr>
        <w:t xml:space="preserve"> 276 (2): 770–780.</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Baek</w:t>
      </w:r>
      <w:proofErr w:type="spellEnd"/>
      <w:r w:rsidRPr="00A81003">
        <w:rPr>
          <w:sz w:val="24"/>
          <w:szCs w:val="24"/>
        </w:rPr>
        <w:t xml:space="preserve">, C., and M. </w:t>
      </w:r>
      <w:proofErr w:type="spellStart"/>
      <w:r w:rsidRPr="00A81003">
        <w:rPr>
          <w:sz w:val="24"/>
          <w:szCs w:val="24"/>
        </w:rPr>
        <w:t>Elbeck</w:t>
      </w:r>
      <w:proofErr w:type="spellEnd"/>
      <w:r w:rsidRPr="00A81003">
        <w:rPr>
          <w:sz w:val="24"/>
          <w:szCs w:val="24"/>
        </w:rPr>
        <w:t xml:space="preserve">. 2015. “Bitcoins as an Investment or Speculative Vehicle? A First Look.” </w:t>
      </w:r>
      <w:r w:rsidRPr="00A81003">
        <w:rPr>
          <w:i/>
          <w:iCs/>
          <w:sz w:val="24"/>
          <w:szCs w:val="24"/>
        </w:rPr>
        <w:t>Applied Economics Letters</w:t>
      </w:r>
      <w:r w:rsidRPr="00A81003">
        <w:rPr>
          <w:sz w:val="24"/>
          <w:szCs w:val="24"/>
        </w:rPr>
        <w:t xml:space="preserve"> 22 (1): 30–34. </w:t>
      </w:r>
    </w:p>
    <w:p w:rsidR="001D1A95"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Balcilar</w:t>
      </w:r>
      <w:proofErr w:type="spellEnd"/>
      <w:r w:rsidRPr="00A81003">
        <w:rPr>
          <w:sz w:val="24"/>
          <w:szCs w:val="24"/>
        </w:rPr>
        <w:t xml:space="preserve">, Mehmet, Elie </w:t>
      </w:r>
      <w:proofErr w:type="spellStart"/>
      <w:r w:rsidRPr="00A81003">
        <w:rPr>
          <w:sz w:val="24"/>
          <w:szCs w:val="24"/>
        </w:rPr>
        <w:t>Bouri</w:t>
      </w:r>
      <w:proofErr w:type="spellEnd"/>
      <w:r w:rsidRPr="00A81003">
        <w:rPr>
          <w:sz w:val="24"/>
          <w:szCs w:val="24"/>
        </w:rPr>
        <w:t xml:space="preserve">, </w:t>
      </w:r>
      <w:proofErr w:type="spellStart"/>
      <w:r w:rsidRPr="00A81003">
        <w:rPr>
          <w:sz w:val="24"/>
          <w:szCs w:val="24"/>
        </w:rPr>
        <w:t>Rangan</w:t>
      </w:r>
      <w:proofErr w:type="spellEnd"/>
      <w:r w:rsidRPr="00A81003">
        <w:rPr>
          <w:sz w:val="24"/>
          <w:szCs w:val="24"/>
        </w:rPr>
        <w:t xml:space="preserve"> Gupta, and David </w:t>
      </w:r>
      <w:proofErr w:type="spellStart"/>
      <w:r w:rsidRPr="00A81003">
        <w:rPr>
          <w:sz w:val="24"/>
          <w:szCs w:val="24"/>
        </w:rPr>
        <w:t>Roubaud</w:t>
      </w:r>
      <w:proofErr w:type="spellEnd"/>
      <w:r w:rsidRPr="00A81003">
        <w:rPr>
          <w:sz w:val="24"/>
          <w:szCs w:val="24"/>
        </w:rPr>
        <w:t xml:space="preserve">. 2017. “Can Volume Predict Bitcoin Returns and Volatility? A Quantiles-Based Approach.” </w:t>
      </w:r>
      <w:r w:rsidRPr="00A81003">
        <w:rPr>
          <w:i/>
          <w:iCs/>
          <w:sz w:val="24"/>
          <w:szCs w:val="24"/>
        </w:rPr>
        <w:t>Economic Modelling</w:t>
      </w:r>
      <w:r w:rsidRPr="00A81003">
        <w:rPr>
          <w:sz w:val="24"/>
          <w:szCs w:val="24"/>
        </w:rPr>
        <w:t xml:space="preserve"> 64: 74–81. </w:t>
      </w:r>
    </w:p>
    <w:p w:rsidR="001D1A95" w:rsidRPr="00A81003" w:rsidRDefault="001D1A95" w:rsidP="001D1A95">
      <w:pPr>
        <w:autoSpaceDE w:val="0"/>
        <w:autoSpaceDN w:val="0"/>
        <w:adjustRightInd w:val="0"/>
        <w:spacing w:line="480" w:lineRule="auto"/>
        <w:ind w:left="480" w:hanging="480"/>
        <w:rPr>
          <w:sz w:val="24"/>
          <w:szCs w:val="24"/>
        </w:rPr>
      </w:pPr>
      <w:r w:rsidRPr="00BA281A">
        <w:rPr>
          <w:sz w:val="24"/>
          <w:szCs w:val="24"/>
        </w:rPr>
        <w:t>Baker, Scott R., Nicholas Bloom, and Steven J. Davis. 2016. “Measuring Economic Policy Uncertainty.” The Quarterly Journal of Economics 131 (4): 1593–1636.</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Barroso, Pedro, and Pedro Santa-Clara. 2015. “Momentum Has Its Moments.” </w:t>
      </w:r>
      <w:r w:rsidRPr="00A81003">
        <w:rPr>
          <w:i/>
          <w:iCs/>
          <w:sz w:val="24"/>
          <w:szCs w:val="24"/>
        </w:rPr>
        <w:t>Journal of Financial Economics</w:t>
      </w:r>
      <w:r w:rsidRPr="00A81003">
        <w:rPr>
          <w:sz w:val="24"/>
          <w:szCs w:val="24"/>
        </w:rPr>
        <w:t xml:space="preserve"> 116 (1): 111–120.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lastRenderedPageBreak/>
        <w:t>Böhme</w:t>
      </w:r>
      <w:proofErr w:type="spellEnd"/>
      <w:r w:rsidRPr="00A81003">
        <w:rPr>
          <w:sz w:val="24"/>
          <w:szCs w:val="24"/>
        </w:rPr>
        <w:t xml:space="preserve">, Rainer, Nicolas Christin, Benjamin Edelman, and Tyler Moore. 2015. “Bitcoin: Economics, Technology, and Governance.” </w:t>
      </w:r>
      <w:r w:rsidRPr="00A81003">
        <w:rPr>
          <w:i/>
          <w:iCs/>
          <w:sz w:val="24"/>
          <w:szCs w:val="24"/>
        </w:rPr>
        <w:t>Journal of Economic Perspectives</w:t>
      </w:r>
      <w:r w:rsidRPr="00A81003">
        <w:rPr>
          <w:sz w:val="24"/>
          <w:szCs w:val="24"/>
        </w:rPr>
        <w:t xml:space="preserve"> 29 (2): 213–238.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Borri</w:t>
      </w:r>
      <w:proofErr w:type="spellEnd"/>
      <w:r w:rsidRPr="00A81003">
        <w:rPr>
          <w:sz w:val="24"/>
          <w:szCs w:val="24"/>
        </w:rPr>
        <w:t xml:space="preserve">, Nicola. 2019. “Conditional Tail-Risk in Cryptocurrency Markets.” </w:t>
      </w:r>
      <w:r w:rsidRPr="00A81003">
        <w:rPr>
          <w:i/>
          <w:iCs/>
          <w:sz w:val="24"/>
          <w:szCs w:val="24"/>
        </w:rPr>
        <w:t>Journal of Empirical Finance</w:t>
      </w:r>
      <w:r w:rsidRPr="00A81003">
        <w:rPr>
          <w:sz w:val="24"/>
          <w:szCs w:val="24"/>
        </w:rPr>
        <w:t xml:space="preserve"> 50: 1–19.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Bouri</w:t>
      </w:r>
      <w:proofErr w:type="spellEnd"/>
      <w:r w:rsidRPr="00A81003">
        <w:rPr>
          <w:sz w:val="24"/>
          <w:szCs w:val="24"/>
        </w:rPr>
        <w:t xml:space="preserve">, Elie, Georges </w:t>
      </w:r>
      <w:proofErr w:type="spellStart"/>
      <w:r w:rsidRPr="00A81003">
        <w:rPr>
          <w:sz w:val="24"/>
          <w:szCs w:val="24"/>
        </w:rPr>
        <w:t>Azzi</w:t>
      </w:r>
      <w:proofErr w:type="spellEnd"/>
      <w:r w:rsidRPr="00A81003">
        <w:rPr>
          <w:sz w:val="24"/>
          <w:szCs w:val="24"/>
        </w:rPr>
        <w:t xml:space="preserve">, and Anne </w:t>
      </w:r>
      <w:proofErr w:type="spellStart"/>
      <w:r w:rsidRPr="00A81003">
        <w:rPr>
          <w:sz w:val="24"/>
          <w:szCs w:val="24"/>
        </w:rPr>
        <w:t>Haubo</w:t>
      </w:r>
      <w:proofErr w:type="spellEnd"/>
      <w:r w:rsidRPr="00A81003">
        <w:rPr>
          <w:sz w:val="24"/>
          <w:szCs w:val="24"/>
        </w:rPr>
        <w:t xml:space="preserve"> </w:t>
      </w:r>
      <w:proofErr w:type="spellStart"/>
      <w:r w:rsidRPr="00A81003">
        <w:rPr>
          <w:sz w:val="24"/>
          <w:szCs w:val="24"/>
        </w:rPr>
        <w:t>Dyhrberg</w:t>
      </w:r>
      <w:proofErr w:type="spellEnd"/>
      <w:r w:rsidRPr="00A81003">
        <w:rPr>
          <w:sz w:val="24"/>
          <w:szCs w:val="24"/>
        </w:rPr>
        <w:t xml:space="preserve">. 2016. “On the Return-Volatility Relationship in the Bitcoin Market around the Price Crash of 2013.” </w:t>
      </w:r>
      <w:r w:rsidRPr="00A81003">
        <w:rPr>
          <w:i/>
          <w:iCs/>
          <w:sz w:val="24"/>
          <w:szCs w:val="24"/>
        </w:rPr>
        <w:t>SSRN Electronic Journal</w:t>
      </w:r>
      <w:r w:rsidRPr="00A81003">
        <w:rPr>
          <w:sz w:val="24"/>
          <w:szCs w:val="24"/>
        </w:rPr>
        <w:t xml:space="preserve">.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Bouri</w:t>
      </w:r>
      <w:proofErr w:type="spellEnd"/>
      <w:r w:rsidRPr="00A81003">
        <w:rPr>
          <w:sz w:val="24"/>
          <w:szCs w:val="24"/>
        </w:rPr>
        <w:t xml:space="preserve">, Elie, </w:t>
      </w:r>
      <w:proofErr w:type="spellStart"/>
      <w:r w:rsidRPr="00A81003">
        <w:rPr>
          <w:sz w:val="24"/>
          <w:szCs w:val="24"/>
        </w:rPr>
        <w:t>Rangan</w:t>
      </w:r>
      <w:proofErr w:type="spellEnd"/>
      <w:r w:rsidRPr="00A81003">
        <w:rPr>
          <w:sz w:val="24"/>
          <w:szCs w:val="24"/>
        </w:rPr>
        <w:t xml:space="preserve"> Gupta, </w:t>
      </w:r>
      <w:proofErr w:type="spellStart"/>
      <w:r w:rsidRPr="00A81003">
        <w:rPr>
          <w:sz w:val="24"/>
          <w:szCs w:val="24"/>
        </w:rPr>
        <w:t>Aviral</w:t>
      </w:r>
      <w:proofErr w:type="spellEnd"/>
      <w:r w:rsidRPr="00A81003">
        <w:rPr>
          <w:sz w:val="24"/>
          <w:szCs w:val="24"/>
        </w:rPr>
        <w:t xml:space="preserve"> Kumar Tiwari, and David </w:t>
      </w:r>
      <w:proofErr w:type="spellStart"/>
      <w:r w:rsidRPr="00A81003">
        <w:rPr>
          <w:sz w:val="24"/>
          <w:szCs w:val="24"/>
        </w:rPr>
        <w:t>Roubaud</w:t>
      </w:r>
      <w:proofErr w:type="spellEnd"/>
      <w:r w:rsidRPr="00A81003">
        <w:rPr>
          <w:sz w:val="24"/>
          <w:szCs w:val="24"/>
        </w:rPr>
        <w:t xml:space="preserve">. 2017b. “Does Bitcoin Hedge Global Uncertainty? Evidence from Wavelet-Based Quantile-in-Quantile Regressions.” </w:t>
      </w:r>
      <w:r w:rsidRPr="00A81003">
        <w:rPr>
          <w:i/>
          <w:iCs/>
          <w:sz w:val="24"/>
          <w:szCs w:val="24"/>
        </w:rPr>
        <w:t>Finance Research Letters</w:t>
      </w:r>
      <w:r w:rsidRPr="00A81003">
        <w:rPr>
          <w:sz w:val="24"/>
          <w:szCs w:val="24"/>
        </w:rPr>
        <w:t xml:space="preserve"> 23: 87–95.</w:t>
      </w:r>
    </w:p>
    <w:p w:rsidR="001D1A95"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Bouri</w:t>
      </w:r>
      <w:proofErr w:type="spellEnd"/>
      <w:r w:rsidRPr="00A81003">
        <w:rPr>
          <w:sz w:val="24"/>
          <w:szCs w:val="24"/>
        </w:rPr>
        <w:t xml:space="preserve">, Elie, Peter </w:t>
      </w:r>
      <w:proofErr w:type="spellStart"/>
      <w:r w:rsidRPr="00A81003">
        <w:rPr>
          <w:sz w:val="24"/>
          <w:szCs w:val="24"/>
        </w:rPr>
        <w:t>Molnár</w:t>
      </w:r>
      <w:proofErr w:type="spellEnd"/>
      <w:r w:rsidRPr="00A81003">
        <w:rPr>
          <w:sz w:val="24"/>
          <w:szCs w:val="24"/>
        </w:rPr>
        <w:t xml:space="preserve">, Georges </w:t>
      </w:r>
      <w:proofErr w:type="spellStart"/>
      <w:r w:rsidRPr="00A81003">
        <w:rPr>
          <w:sz w:val="24"/>
          <w:szCs w:val="24"/>
        </w:rPr>
        <w:t>Azzi</w:t>
      </w:r>
      <w:proofErr w:type="spellEnd"/>
      <w:r w:rsidRPr="00A81003">
        <w:rPr>
          <w:sz w:val="24"/>
          <w:szCs w:val="24"/>
        </w:rPr>
        <w:t xml:space="preserve">, David </w:t>
      </w:r>
      <w:proofErr w:type="spellStart"/>
      <w:r w:rsidRPr="00A81003">
        <w:rPr>
          <w:sz w:val="24"/>
          <w:szCs w:val="24"/>
        </w:rPr>
        <w:t>Roubaud</w:t>
      </w:r>
      <w:proofErr w:type="spellEnd"/>
      <w:r w:rsidRPr="00A81003">
        <w:rPr>
          <w:sz w:val="24"/>
          <w:szCs w:val="24"/>
        </w:rPr>
        <w:t xml:space="preserve">, and Lars Ivar </w:t>
      </w:r>
      <w:proofErr w:type="spellStart"/>
      <w:r w:rsidRPr="00A81003">
        <w:rPr>
          <w:sz w:val="24"/>
          <w:szCs w:val="24"/>
        </w:rPr>
        <w:t>Hagfors</w:t>
      </w:r>
      <w:proofErr w:type="spellEnd"/>
      <w:r w:rsidRPr="00A81003">
        <w:rPr>
          <w:sz w:val="24"/>
          <w:szCs w:val="24"/>
        </w:rPr>
        <w:t xml:space="preserve">. 2017a. “On the Hedge and Safe Haven Properties of Bitcoin: Is It Really More than a Diversifier?” </w:t>
      </w:r>
      <w:r w:rsidRPr="00A81003">
        <w:rPr>
          <w:i/>
          <w:iCs/>
          <w:sz w:val="24"/>
          <w:szCs w:val="24"/>
        </w:rPr>
        <w:t>Finance Research Letters</w:t>
      </w:r>
      <w:r w:rsidRPr="00A81003">
        <w:rPr>
          <w:sz w:val="24"/>
          <w:szCs w:val="24"/>
        </w:rPr>
        <w:t xml:space="preserve"> 20: 192–198.</w:t>
      </w:r>
    </w:p>
    <w:p w:rsidR="001D1A95" w:rsidRDefault="001D1A95" w:rsidP="001D1A95">
      <w:pPr>
        <w:autoSpaceDE w:val="0"/>
        <w:autoSpaceDN w:val="0"/>
        <w:adjustRightInd w:val="0"/>
        <w:spacing w:line="480" w:lineRule="auto"/>
        <w:ind w:left="480" w:hanging="480"/>
        <w:rPr>
          <w:sz w:val="24"/>
          <w:szCs w:val="24"/>
        </w:rPr>
      </w:pPr>
      <w:r w:rsidRPr="00BA281A">
        <w:rPr>
          <w:sz w:val="24"/>
          <w:szCs w:val="24"/>
        </w:rPr>
        <w:t xml:space="preserve">Brennan, Michael J., </w:t>
      </w:r>
      <w:proofErr w:type="spellStart"/>
      <w:r w:rsidRPr="00BA281A">
        <w:rPr>
          <w:sz w:val="24"/>
          <w:szCs w:val="24"/>
        </w:rPr>
        <w:t>Tarun</w:t>
      </w:r>
      <w:proofErr w:type="spellEnd"/>
      <w:r w:rsidRPr="00BA281A">
        <w:rPr>
          <w:sz w:val="24"/>
          <w:szCs w:val="24"/>
        </w:rPr>
        <w:t xml:space="preserve"> Chordia, and </w:t>
      </w:r>
      <w:proofErr w:type="spellStart"/>
      <w:r w:rsidRPr="00BA281A">
        <w:rPr>
          <w:sz w:val="24"/>
          <w:szCs w:val="24"/>
        </w:rPr>
        <w:t>Avanidhar</w:t>
      </w:r>
      <w:proofErr w:type="spellEnd"/>
      <w:r w:rsidRPr="00BA281A">
        <w:rPr>
          <w:sz w:val="24"/>
          <w:szCs w:val="24"/>
        </w:rPr>
        <w:t xml:space="preserve"> Subrahmanyam. 1998. “Alternative Factor Specifications, Security Characteristics, and the Cross-Section of Expected Stock Returns.” Journal of Financial Economics 49 (3): 345–373.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Busetti</w:t>
      </w:r>
      <w:proofErr w:type="spellEnd"/>
      <w:r w:rsidRPr="00A81003">
        <w:rPr>
          <w:sz w:val="24"/>
          <w:szCs w:val="24"/>
        </w:rPr>
        <w:t xml:space="preserve">, Fabio, and </w:t>
      </w:r>
      <w:proofErr w:type="spellStart"/>
      <w:r w:rsidRPr="00A81003">
        <w:rPr>
          <w:sz w:val="24"/>
          <w:szCs w:val="24"/>
        </w:rPr>
        <w:t>Juri</w:t>
      </w:r>
      <w:proofErr w:type="spellEnd"/>
      <w:r w:rsidRPr="00A81003">
        <w:rPr>
          <w:sz w:val="24"/>
          <w:szCs w:val="24"/>
        </w:rPr>
        <w:t xml:space="preserve"> </w:t>
      </w:r>
      <w:proofErr w:type="spellStart"/>
      <w:r w:rsidRPr="00A81003">
        <w:rPr>
          <w:sz w:val="24"/>
          <w:szCs w:val="24"/>
        </w:rPr>
        <w:t>Marcucci</w:t>
      </w:r>
      <w:proofErr w:type="spellEnd"/>
      <w:r w:rsidRPr="00A81003">
        <w:rPr>
          <w:sz w:val="24"/>
          <w:szCs w:val="24"/>
        </w:rPr>
        <w:t xml:space="preserve">. 2013. “Comparing Forecast Accuracy: A Monte Carlo Investigation.” </w:t>
      </w:r>
      <w:r w:rsidRPr="00A81003">
        <w:rPr>
          <w:i/>
          <w:iCs/>
          <w:sz w:val="24"/>
          <w:szCs w:val="24"/>
        </w:rPr>
        <w:t>International Journal of Forecasting</w:t>
      </w:r>
      <w:r w:rsidRPr="00A81003">
        <w:rPr>
          <w:sz w:val="24"/>
          <w:szCs w:val="24"/>
        </w:rPr>
        <w:t xml:space="preserve"> 29 (1): 13–27. </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Campbell, John Y., Andrew W. Lo, and Archie Craig </w:t>
      </w:r>
      <w:proofErr w:type="spellStart"/>
      <w:r w:rsidRPr="00A81003">
        <w:rPr>
          <w:sz w:val="24"/>
          <w:szCs w:val="24"/>
        </w:rPr>
        <w:t>MacKinlay</w:t>
      </w:r>
      <w:proofErr w:type="spellEnd"/>
      <w:r w:rsidRPr="00A81003">
        <w:rPr>
          <w:sz w:val="24"/>
          <w:szCs w:val="24"/>
        </w:rPr>
        <w:t xml:space="preserve">. 1997. </w:t>
      </w:r>
      <w:r w:rsidRPr="00A81003">
        <w:rPr>
          <w:i/>
          <w:iCs/>
          <w:sz w:val="24"/>
          <w:szCs w:val="24"/>
        </w:rPr>
        <w:t>The Econometrics of Financial Markets</w:t>
      </w:r>
      <w:r w:rsidRPr="00A81003">
        <w:rPr>
          <w:sz w:val="24"/>
          <w:szCs w:val="24"/>
        </w:rPr>
        <w:t xml:space="preserve">. Princeton University Press. </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lastRenderedPageBreak/>
        <w:t xml:space="preserve">Campbell, John Y., and Samuel B. Thompson. 2008. “Predicting Excess Stock Returns Out of Sample: Can Anything Beat the Historical Average?” </w:t>
      </w:r>
      <w:r w:rsidRPr="00B768DF">
        <w:rPr>
          <w:i/>
          <w:sz w:val="24"/>
          <w:szCs w:val="24"/>
        </w:rPr>
        <w:t>The</w:t>
      </w:r>
      <w:r>
        <w:rPr>
          <w:sz w:val="24"/>
          <w:szCs w:val="24"/>
        </w:rPr>
        <w:t xml:space="preserve"> </w:t>
      </w:r>
      <w:r w:rsidRPr="00A81003">
        <w:rPr>
          <w:i/>
          <w:iCs/>
          <w:sz w:val="24"/>
          <w:szCs w:val="24"/>
        </w:rPr>
        <w:t>Review of Financial Studies</w:t>
      </w:r>
      <w:r w:rsidRPr="00A81003">
        <w:rPr>
          <w:sz w:val="24"/>
          <w:szCs w:val="24"/>
        </w:rPr>
        <w:t xml:space="preserve"> 21 (4): 1509–1531. </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Campbell, John Y., and </w:t>
      </w:r>
      <w:proofErr w:type="spellStart"/>
      <w:r w:rsidRPr="00A81003">
        <w:rPr>
          <w:sz w:val="24"/>
          <w:szCs w:val="24"/>
        </w:rPr>
        <w:t>Motohiro</w:t>
      </w:r>
      <w:proofErr w:type="spellEnd"/>
      <w:r w:rsidRPr="00A81003">
        <w:rPr>
          <w:sz w:val="24"/>
          <w:szCs w:val="24"/>
        </w:rPr>
        <w:t xml:space="preserve"> </w:t>
      </w:r>
      <w:proofErr w:type="spellStart"/>
      <w:r w:rsidRPr="00A81003">
        <w:rPr>
          <w:sz w:val="24"/>
          <w:szCs w:val="24"/>
        </w:rPr>
        <w:t>Yogo</w:t>
      </w:r>
      <w:proofErr w:type="spellEnd"/>
      <w:r w:rsidRPr="00A81003">
        <w:rPr>
          <w:sz w:val="24"/>
          <w:szCs w:val="24"/>
        </w:rPr>
        <w:t xml:space="preserve">. 2006. “Efficient Tests of Stock Return Predictability.” </w:t>
      </w:r>
      <w:r w:rsidRPr="00A81003">
        <w:rPr>
          <w:i/>
          <w:iCs/>
          <w:sz w:val="24"/>
          <w:szCs w:val="24"/>
        </w:rPr>
        <w:t>Journal of Financial Economics</w:t>
      </w:r>
      <w:r w:rsidRPr="00A81003">
        <w:rPr>
          <w:sz w:val="24"/>
          <w:szCs w:val="24"/>
        </w:rPr>
        <w:t xml:space="preserve"> 81 (1): 27–60.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Cenesizoglu</w:t>
      </w:r>
      <w:proofErr w:type="spellEnd"/>
      <w:r w:rsidRPr="00A81003">
        <w:rPr>
          <w:sz w:val="24"/>
          <w:szCs w:val="24"/>
        </w:rPr>
        <w:t xml:space="preserve">, </w:t>
      </w:r>
      <w:proofErr w:type="spellStart"/>
      <w:r w:rsidRPr="00A81003">
        <w:rPr>
          <w:sz w:val="24"/>
          <w:szCs w:val="24"/>
        </w:rPr>
        <w:t>Tolga</w:t>
      </w:r>
      <w:proofErr w:type="spellEnd"/>
      <w:r w:rsidRPr="00A81003">
        <w:rPr>
          <w:sz w:val="24"/>
          <w:szCs w:val="24"/>
        </w:rPr>
        <w:t xml:space="preserve">, and Allan </w:t>
      </w:r>
      <w:proofErr w:type="spellStart"/>
      <w:r w:rsidRPr="00A81003">
        <w:rPr>
          <w:sz w:val="24"/>
          <w:szCs w:val="24"/>
        </w:rPr>
        <w:t>Timmermann</w:t>
      </w:r>
      <w:proofErr w:type="spellEnd"/>
      <w:r w:rsidRPr="00A81003">
        <w:rPr>
          <w:sz w:val="24"/>
          <w:szCs w:val="24"/>
        </w:rPr>
        <w:t xml:space="preserve">. 2012. “Do Return Prediction Models Add Economic Value?” </w:t>
      </w:r>
      <w:r w:rsidRPr="00A81003">
        <w:rPr>
          <w:i/>
          <w:iCs/>
          <w:sz w:val="24"/>
          <w:szCs w:val="24"/>
        </w:rPr>
        <w:t>Journal of Banking and Finance</w:t>
      </w:r>
      <w:r w:rsidRPr="00A81003">
        <w:rPr>
          <w:sz w:val="24"/>
          <w:szCs w:val="24"/>
        </w:rPr>
        <w:t xml:space="preserve"> 36 (11): 2974–2987. </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Cheah, </w:t>
      </w:r>
      <w:proofErr w:type="spellStart"/>
      <w:r w:rsidRPr="00A81003">
        <w:rPr>
          <w:sz w:val="24"/>
          <w:szCs w:val="24"/>
        </w:rPr>
        <w:t>Eng</w:t>
      </w:r>
      <w:proofErr w:type="spellEnd"/>
      <w:r w:rsidRPr="00A81003">
        <w:rPr>
          <w:sz w:val="24"/>
          <w:szCs w:val="24"/>
        </w:rPr>
        <w:t xml:space="preserve">-Tuck, and John Fry. 2015. “Speculative Bubbles in Bitcoin Markets? An Empirical Investigation into the Fundamental Value of Bitcoin.” </w:t>
      </w:r>
      <w:r w:rsidRPr="00A81003">
        <w:rPr>
          <w:i/>
          <w:iCs/>
          <w:sz w:val="24"/>
          <w:szCs w:val="24"/>
        </w:rPr>
        <w:t>Economics Letters</w:t>
      </w:r>
      <w:r w:rsidRPr="00A81003">
        <w:rPr>
          <w:sz w:val="24"/>
          <w:szCs w:val="24"/>
        </w:rPr>
        <w:t xml:space="preserve"> 130: 32–36. </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Cheah, </w:t>
      </w:r>
      <w:proofErr w:type="spellStart"/>
      <w:r w:rsidRPr="00A81003">
        <w:rPr>
          <w:sz w:val="24"/>
          <w:szCs w:val="24"/>
        </w:rPr>
        <w:t>Eng</w:t>
      </w:r>
      <w:proofErr w:type="spellEnd"/>
      <w:r w:rsidRPr="00A81003">
        <w:rPr>
          <w:sz w:val="24"/>
          <w:szCs w:val="24"/>
        </w:rPr>
        <w:t xml:space="preserve"> Tuck, Tapas Mishra, Mamata </w:t>
      </w:r>
      <w:proofErr w:type="spellStart"/>
      <w:r w:rsidRPr="00A81003">
        <w:rPr>
          <w:sz w:val="24"/>
          <w:szCs w:val="24"/>
        </w:rPr>
        <w:t>Parhi</w:t>
      </w:r>
      <w:proofErr w:type="spellEnd"/>
      <w:r w:rsidRPr="00A81003">
        <w:rPr>
          <w:sz w:val="24"/>
          <w:szCs w:val="24"/>
        </w:rPr>
        <w:t xml:space="preserve">, and Zhuang Zhang. 2018. “Long Memory Interdependency and Inefficiency in Bitcoin Markets.” </w:t>
      </w:r>
      <w:r w:rsidRPr="00A81003">
        <w:rPr>
          <w:i/>
          <w:iCs/>
          <w:sz w:val="24"/>
          <w:szCs w:val="24"/>
        </w:rPr>
        <w:t>Economics Letters</w:t>
      </w:r>
      <w:r w:rsidRPr="00A81003">
        <w:rPr>
          <w:sz w:val="24"/>
          <w:szCs w:val="24"/>
        </w:rPr>
        <w:t xml:space="preserve"> 167: 18–25. </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Clark, Todd E., and Kenneth D. West. 2007. “Approximately Normal Tests for Equal Predictive Accuracy in Nested Models.” </w:t>
      </w:r>
      <w:r w:rsidRPr="00A81003">
        <w:rPr>
          <w:i/>
          <w:iCs/>
          <w:sz w:val="24"/>
          <w:szCs w:val="24"/>
        </w:rPr>
        <w:t>Journal of Econometrics</w:t>
      </w:r>
      <w:r w:rsidRPr="00A81003">
        <w:rPr>
          <w:sz w:val="24"/>
          <w:szCs w:val="24"/>
        </w:rPr>
        <w:t xml:space="preserve"> 138 (1): 291–311. </w:t>
      </w:r>
    </w:p>
    <w:p w:rsidR="001D1A95" w:rsidRDefault="001D1A95" w:rsidP="001D1A95">
      <w:pPr>
        <w:autoSpaceDE w:val="0"/>
        <w:autoSpaceDN w:val="0"/>
        <w:adjustRightInd w:val="0"/>
        <w:spacing w:line="480" w:lineRule="auto"/>
        <w:ind w:left="480" w:hanging="480"/>
        <w:rPr>
          <w:sz w:val="24"/>
          <w:szCs w:val="24"/>
        </w:rPr>
      </w:pPr>
      <w:r w:rsidRPr="00A81003">
        <w:rPr>
          <w:sz w:val="24"/>
          <w:szCs w:val="24"/>
        </w:rPr>
        <w:t xml:space="preserve">Corbet, </w:t>
      </w:r>
      <w:proofErr w:type="spellStart"/>
      <w:r w:rsidRPr="00A81003">
        <w:rPr>
          <w:sz w:val="24"/>
          <w:szCs w:val="24"/>
        </w:rPr>
        <w:t>Shaen</w:t>
      </w:r>
      <w:proofErr w:type="spellEnd"/>
      <w:r w:rsidRPr="00A81003">
        <w:rPr>
          <w:sz w:val="24"/>
          <w:szCs w:val="24"/>
        </w:rPr>
        <w:t xml:space="preserve">, Brian Lucey, Andrew Urquhart, and Larisa </w:t>
      </w:r>
      <w:proofErr w:type="spellStart"/>
      <w:r w:rsidRPr="00A81003">
        <w:rPr>
          <w:sz w:val="24"/>
          <w:szCs w:val="24"/>
        </w:rPr>
        <w:t>Yarovaya</w:t>
      </w:r>
      <w:proofErr w:type="spellEnd"/>
      <w:r w:rsidRPr="00A81003">
        <w:rPr>
          <w:sz w:val="24"/>
          <w:szCs w:val="24"/>
        </w:rPr>
        <w:t xml:space="preserve">. 2019. “Cryptocurrencies as a Financial Asset: A Systematic Analysis.” </w:t>
      </w:r>
      <w:r w:rsidRPr="00A81003">
        <w:rPr>
          <w:i/>
          <w:iCs/>
          <w:sz w:val="24"/>
          <w:szCs w:val="24"/>
        </w:rPr>
        <w:t>International Review of Financial Analysis</w:t>
      </w:r>
      <w:r w:rsidRPr="00A81003">
        <w:rPr>
          <w:sz w:val="24"/>
          <w:szCs w:val="24"/>
        </w:rPr>
        <w:t xml:space="preserve"> 62: 182–199.</w:t>
      </w:r>
    </w:p>
    <w:p w:rsidR="001D1A95" w:rsidRPr="00A81003" w:rsidRDefault="001D1A95" w:rsidP="001D1A95">
      <w:pPr>
        <w:autoSpaceDE w:val="0"/>
        <w:autoSpaceDN w:val="0"/>
        <w:adjustRightInd w:val="0"/>
        <w:spacing w:line="480" w:lineRule="auto"/>
        <w:ind w:left="480" w:hanging="480"/>
        <w:rPr>
          <w:sz w:val="24"/>
          <w:szCs w:val="24"/>
        </w:rPr>
      </w:pPr>
      <w:r w:rsidRPr="00BA281A">
        <w:rPr>
          <w:sz w:val="24"/>
          <w:szCs w:val="24"/>
        </w:rPr>
        <w:t>Corwin, Shane A., and Paul Schultz. 2012. “A Simple Way to Estimate Bid-Ask Spreads from Daily High and Low Prices.” Journal of Finance 67 (2): 719–760.</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Demir, Ender, </w:t>
      </w:r>
      <w:proofErr w:type="spellStart"/>
      <w:r w:rsidRPr="00A81003">
        <w:rPr>
          <w:sz w:val="24"/>
          <w:szCs w:val="24"/>
        </w:rPr>
        <w:t>Giray</w:t>
      </w:r>
      <w:proofErr w:type="spellEnd"/>
      <w:r w:rsidRPr="00A81003">
        <w:rPr>
          <w:sz w:val="24"/>
          <w:szCs w:val="24"/>
        </w:rPr>
        <w:t xml:space="preserve"> </w:t>
      </w:r>
      <w:proofErr w:type="spellStart"/>
      <w:r w:rsidRPr="00A81003">
        <w:rPr>
          <w:sz w:val="24"/>
          <w:szCs w:val="24"/>
        </w:rPr>
        <w:t>Gozgor</w:t>
      </w:r>
      <w:proofErr w:type="spellEnd"/>
      <w:r w:rsidRPr="00A81003">
        <w:rPr>
          <w:sz w:val="24"/>
          <w:szCs w:val="24"/>
        </w:rPr>
        <w:t xml:space="preserve">, Chi Keung Marco Lau, and Samuel A. </w:t>
      </w:r>
      <w:proofErr w:type="spellStart"/>
      <w:r w:rsidRPr="00A81003">
        <w:rPr>
          <w:sz w:val="24"/>
          <w:szCs w:val="24"/>
        </w:rPr>
        <w:t>Vigne</w:t>
      </w:r>
      <w:proofErr w:type="spellEnd"/>
      <w:r w:rsidRPr="00A81003">
        <w:rPr>
          <w:sz w:val="24"/>
          <w:szCs w:val="24"/>
        </w:rPr>
        <w:t xml:space="preserve">. 2018. “Does Economic Policy Uncertainty Predict the Bitcoin Returns? An Empirical Investigation.” </w:t>
      </w:r>
      <w:r w:rsidRPr="00A81003">
        <w:rPr>
          <w:i/>
          <w:iCs/>
          <w:sz w:val="24"/>
          <w:szCs w:val="24"/>
        </w:rPr>
        <w:t>Finance Research Letters</w:t>
      </w:r>
      <w:r w:rsidRPr="00A81003">
        <w:rPr>
          <w:sz w:val="24"/>
          <w:szCs w:val="24"/>
        </w:rPr>
        <w:t xml:space="preserve"> 26: 145–149. </w:t>
      </w:r>
    </w:p>
    <w:p w:rsidR="001D1A95" w:rsidRPr="00467162" w:rsidRDefault="001D1A95" w:rsidP="001D1A95">
      <w:pPr>
        <w:widowControl w:val="0"/>
        <w:autoSpaceDE w:val="0"/>
        <w:autoSpaceDN w:val="0"/>
        <w:adjustRightInd w:val="0"/>
        <w:spacing w:line="480" w:lineRule="auto"/>
        <w:ind w:left="480" w:hanging="480"/>
        <w:rPr>
          <w:noProof/>
          <w:sz w:val="24"/>
          <w:szCs w:val="24"/>
        </w:rPr>
      </w:pPr>
      <w:r w:rsidRPr="00467162">
        <w:rPr>
          <w:noProof/>
          <w:sz w:val="24"/>
          <w:szCs w:val="24"/>
        </w:rPr>
        <w:t xml:space="preserve">Detzel, Andrew, Hong Liu, Jack Strauss, Guofu Zhou, and Yingzi Zhu. 2020. “Learning and </w:t>
      </w:r>
      <w:r w:rsidRPr="00467162">
        <w:rPr>
          <w:noProof/>
          <w:sz w:val="24"/>
          <w:szCs w:val="24"/>
        </w:rPr>
        <w:lastRenderedPageBreak/>
        <w:t xml:space="preserve">Predictability via Technical Analysis: Evidence from Bitcoin and Stocks with Hard‐to‐value Fundamentals.” </w:t>
      </w:r>
      <w:r w:rsidRPr="00467162">
        <w:rPr>
          <w:i/>
          <w:iCs/>
          <w:noProof/>
          <w:sz w:val="24"/>
          <w:szCs w:val="24"/>
        </w:rPr>
        <w:t>Financial Management</w:t>
      </w:r>
      <w:r w:rsidRPr="00467162">
        <w:rPr>
          <w:noProof/>
          <w:sz w:val="24"/>
          <w:szCs w:val="24"/>
        </w:rPr>
        <w:t xml:space="preserve">.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Donier</w:t>
      </w:r>
      <w:proofErr w:type="spellEnd"/>
      <w:r w:rsidRPr="00A81003">
        <w:rPr>
          <w:sz w:val="24"/>
          <w:szCs w:val="24"/>
        </w:rPr>
        <w:t xml:space="preserve">, Jonathan, and Jean-Philippe </w:t>
      </w:r>
      <w:proofErr w:type="spellStart"/>
      <w:r w:rsidRPr="00A81003">
        <w:rPr>
          <w:sz w:val="24"/>
          <w:szCs w:val="24"/>
        </w:rPr>
        <w:t>Bouchaud</w:t>
      </w:r>
      <w:proofErr w:type="spellEnd"/>
      <w:r w:rsidRPr="00A81003">
        <w:rPr>
          <w:sz w:val="24"/>
          <w:szCs w:val="24"/>
        </w:rPr>
        <w:t xml:space="preserve">. 2015. “Why Do Markets Crash? Bitcoin Data Offers Unprecedented Insights.” </w:t>
      </w:r>
      <w:proofErr w:type="spellStart"/>
      <w:r w:rsidRPr="00A81003">
        <w:rPr>
          <w:i/>
          <w:iCs/>
          <w:sz w:val="24"/>
          <w:szCs w:val="24"/>
        </w:rPr>
        <w:t>P</w:t>
      </w:r>
      <w:r>
        <w:rPr>
          <w:i/>
          <w:iCs/>
          <w:sz w:val="24"/>
          <w:szCs w:val="24"/>
        </w:rPr>
        <w:t>lo</w:t>
      </w:r>
      <w:r w:rsidRPr="00A81003">
        <w:rPr>
          <w:i/>
          <w:iCs/>
          <w:sz w:val="24"/>
          <w:szCs w:val="24"/>
        </w:rPr>
        <w:t>S</w:t>
      </w:r>
      <w:proofErr w:type="spellEnd"/>
      <w:r w:rsidRPr="00A81003">
        <w:rPr>
          <w:i/>
          <w:iCs/>
          <w:sz w:val="24"/>
          <w:szCs w:val="24"/>
        </w:rPr>
        <w:t xml:space="preserve"> </w:t>
      </w:r>
      <w:r>
        <w:rPr>
          <w:i/>
          <w:iCs/>
          <w:sz w:val="24"/>
          <w:szCs w:val="24"/>
        </w:rPr>
        <w:t>one</w:t>
      </w:r>
      <w:r>
        <w:rPr>
          <w:sz w:val="24"/>
          <w:szCs w:val="24"/>
        </w:rPr>
        <w:t xml:space="preserve"> 10 (10)</w:t>
      </w:r>
      <w:r w:rsidRPr="00A81003">
        <w:rPr>
          <w:sz w:val="24"/>
          <w:szCs w:val="24"/>
        </w:rPr>
        <w:t xml:space="preserve">.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Dyhrberg</w:t>
      </w:r>
      <w:proofErr w:type="spellEnd"/>
      <w:r w:rsidRPr="00A81003">
        <w:rPr>
          <w:sz w:val="24"/>
          <w:szCs w:val="24"/>
        </w:rPr>
        <w:t xml:space="preserve">, Anne H., Sean Foley, and Jiri </w:t>
      </w:r>
      <w:proofErr w:type="spellStart"/>
      <w:r w:rsidRPr="00A81003">
        <w:rPr>
          <w:sz w:val="24"/>
          <w:szCs w:val="24"/>
        </w:rPr>
        <w:t>Svec</w:t>
      </w:r>
      <w:proofErr w:type="spellEnd"/>
      <w:r w:rsidRPr="00A81003">
        <w:rPr>
          <w:sz w:val="24"/>
          <w:szCs w:val="24"/>
        </w:rPr>
        <w:t xml:space="preserve">. 2018. “How Investible Is Bitcoin? </w:t>
      </w:r>
      <w:proofErr w:type="spellStart"/>
      <w:r w:rsidRPr="00A81003">
        <w:rPr>
          <w:sz w:val="24"/>
          <w:szCs w:val="24"/>
        </w:rPr>
        <w:t>Analyzing</w:t>
      </w:r>
      <w:proofErr w:type="spellEnd"/>
      <w:r w:rsidRPr="00A81003">
        <w:rPr>
          <w:sz w:val="24"/>
          <w:szCs w:val="24"/>
        </w:rPr>
        <w:t xml:space="preserve"> the Liquidity and Transaction Costs of Bitcoin Markets.” </w:t>
      </w:r>
      <w:r w:rsidRPr="00A81003">
        <w:rPr>
          <w:i/>
          <w:iCs/>
          <w:sz w:val="24"/>
          <w:szCs w:val="24"/>
        </w:rPr>
        <w:t>Economics Letters</w:t>
      </w:r>
      <w:r w:rsidRPr="00A81003">
        <w:rPr>
          <w:sz w:val="24"/>
          <w:szCs w:val="24"/>
        </w:rPr>
        <w:t xml:space="preserve"> 171: 140–143. </w:t>
      </w:r>
    </w:p>
    <w:p w:rsidR="001D1A95"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Dyhrberg</w:t>
      </w:r>
      <w:proofErr w:type="spellEnd"/>
      <w:r w:rsidRPr="00A81003">
        <w:rPr>
          <w:sz w:val="24"/>
          <w:szCs w:val="24"/>
        </w:rPr>
        <w:t xml:space="preserve">, Anne </w:t>
      </w:r>
      <w:proofErr w:type="spellStart"/>
      <w:r w:rsidRPr="00A81003">
        <w:rPr>
          <w:sz w:val="24"/>
          <w:szCs w:val="24"/>
        </w:rPr>
        <w:t>Haubo</w:t>
      </w:r>
      <w:proofErr w:type="spellEnd"/>
      <w:r w:rsidRPr="00A81003">
        <w:rPr>
          <w:sz w:val="24"/>
          <w:szCs w:val="24"/>
        </w:rPr>
        <w:t xml:space="preserve">. 2016. “Hedging Capabilities of Bitcoin. Is It the Virtual Gold?” </w:t>
      </w:r>
      <w:r w:rsidRPr="00A81003">
        <w:rPr>
          <w:i/>
          <w:iCs/>
          <w:sz w:val="24"/>
          <w:szCs w:val="24"/>
        </w:rPr>
        <w:t>Finance Research Letters</w:t>
      </w:r>
      <w:r w:rsidRPr="00A81003">
        <w:rPr>
          <w:sz w:val="24"/>
          <w:szCs w:val="24"/>
        </w:rPr>
        <w:t xml:space="preserve"> 16: 139–144.</w:t>
      </w:r>
    </w:p>
    <w:p w:rsidR="001D1A95" w:rsidRPr="00C67260" w:rsidRDefault="001D1A95" w:rsidP="001D1A95">
      <w:pPr>
        <w:widowControl w:val="0"/>
        <w:autoSpaceDE w:val="0"/>
        <w:autoSpaceDN w:val="0"/>
        <w:adjustRightInd w:val="0"/>
        <w:spacing w:line="480" w:lineRule="auto"/>
        <w:ind w:left="480" w:hanging="480"/>
        <w:rPr>
          <w:noProof/>
          <w:sz w:val="24"/>
          <w:szCs w:val="24"/>
        </w:rPr>
      </w:pPr>
      <w:r w:rsidRPr="00C67260">
        <w:rPr>
          <w:noProof/>
          <w:sz w:val="24"/>
          <w:szCs w:val="24"/>
        </w:rPr>
        <w:t xml:space="preserve">Easley, David, Maureen O’Hara, and Soumya Basu. 2019. “From Mining to Markets: The Evolution of Bitcoin Transaction Fees.” </w:t>
      </w:r>
      <w:r w:rsidRPr="00C67260">
        <w:rPr>
          <w:i/>
          <w:iCs/>
          <w:noProof/>
          <w:sz w:val="24"/>
          <w:szCs w:val="24"/>
        </w:rPr>
        <w:t>Journal of Financial Economics</w:t>
      </w:r>
      <w:r w:rsidRPr="00C67260">
        <w:rPr>
          <w:noProof/>
          <w:sz w:val="24"/>
          <w:szCs w:val="24"/>
        </w:rPr>
        <w:t xml:space="preserve"> </w:t>
      </w:r>
      <w:r w:rsidRPr="00467162">
        <w:rPr>
          <w:noProof/>
          <w:sz w:val="24"/>
          <w:szCs w:val="24"/>
        </w:rPr>
        <w:t>134(1)</w:t>
      </w:r>
      <w:r>
        <w:rPr>
          <w:noProof/>
          <w:sz w:val="24"/>
          <w:szCs w:val="24"/>
        </w:rPr>
        <w:t>:</w:t>
      </w:r>
      <w:r w:rsidRPr="00467162">
        <w:rPr>
          <w:noProof/>
          <w:sz w:val="24"/>
          <w:szCs w:val="24"/>
        </w:rPr>
        <w:t xml:space="preserve"> 91-109.</w:t>
      </w:r>
      <w:r w:rsidRPr="00C67260">
        <w:rPr>
          <w:noProof/>
          <w:sz w:val="24"/>
          <w:szCs w:val="24"/>
        </w:rPr>
        <w:t>.</w:t>
      </w:r>
    </w:p>
    <w:p w:rsidR="001D1A95" w:rsidRDefault="001D1A95" w:rsidP="001D1A95">
      <w:pPr>
        <w:autoSpaceDE w:val="0"/>
        <w:autoSpaceDN w:val="0"/>
        <w:adjustRightInd w:val="0"/>
        <w:spacing w:line="480" w:lineRule="auto"/>
        <w:ind w:left="480" w:hanging="480"/>
        <w:rPr>
          <w:sz w:val="24"/>
          <w:szCs w:val="24"/>
        </w:rPr>
      </w:pPr>
      <w:r w:rsidRPr="00A81003">
        <w:rPr>
          <w:sz w:val="24"/>
          <w:szCs w:val="24"/>
        </w:rPr>
        <w:t xml:space="preserve">Elliott, Graham, and Ulrich K. </w:t>
      </w:r>
      <w:r w:rsidRPr="00A81003">
        <w:t>Müller</w:t>
      </w:r>
      <w:r w:rsidRPr="00A81003">
        <w:rPr>
          <w:sz w:val="24"/>
          <w:szCs w:val="24"/>
        </w:rPr>
        <w:t xml:space="preserve">. 2006. “Efficient Tests for General Persistent Time Variation in Regression Coefficients.” </w:t>
      </w:r>
      <w:r w:rsidRPr="00B768DF">
        <w:rPr>
          <w:i/>
          <w:sz w:val="24"/>
          <w:szCs w:val="24"/>
        </w:rPr>
        <w:t>The</w:t>
      </w:r>
      <w:r>
        <w:rPr>
          <w:sz w:val="24"/>
          <w:szCs w:val="24"/>
        </w:rPr>
        <w:t xml:space="preserve"> </w:t>
      </w:r>
      <w:r w:rsidRPr="00A81003">
        <w:rPr>
          <w:i/>
          <w:iCs/>
          <w:sz w:val="24"/>
          <w:szCs w:val="24"/>
        </w:rPr>
        <w:t>Review of Economic Studies</w:t>
      </w:r>
      <w:r w:rsidRPr="00A81003">
        <w:rPr>
          <w:sz w:val="24"/>
          <w:szCs w:val="24"/>
        </w:rPr>
        <w:t xml:space="preserve"> 73 (4): 907–940.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BA281A">
        <w:rPr>
          <w:sz w:val="24"/>
          <w:szCs w:val="24"/>
        </w:rPr>
        <w:t>Fama</w:t>
      </w:r>
      <w:proofErr w:type="spellEnd"/>
      <w:r w:rsidRPr="00BA281A">
        <w:rPr>
          <w:sz w:val="24"/>
          <w:szCs w:val="24"/>
        </w:rPr>
        <w:t>, Eugene F., and Kenneth R. French. 1989. “Business Conditions and Expected Returns on Stocks and Bonds.” Journal of Financial Economics 25 (1): 23–49.</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Ferreira, Miguel A., and Pedro Santa-Clara. 2011. “Forecasting Stock Market Returns: The Sum of the Parts Is More than the Whole.” </w:t>
      </w:r>
      <w:r w:rsidRPr="00A81003">
        <w:rPr>
          <w:i/>
          <w:iCs/>
          <w:sz w:val="24"/>
          <w:szCs w:val="24"/>
        </w:rPr>
        <w:t>Journal of Financial Economics</w:t>
      </w:r>
      <w:r w:rsidRPr="00A81003">
        <w:rPr>
          <w:sz w:val="24"/>
          <w:szCs w:val="24"/>
        </w:rPr>
        <w:t xml:space="preserve"> 100 (3): 514–537.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Ferson</w:t>
      </w:r>
      <w:proofErr w:type="spellEnd"/>
      <w:r w:rsidRPr="00A81003">
        <w:rPr>
          <w:sz w:val="24"/>
          <w:szCs w:val="24"/>
        </w:rPr>
        <w:t xml:space="preserve">, Wayne E., Sergei Sarkissian, and Timothy T. </w:t>
      </w:r>
      <w:proofErr w:type="spellStart"/>
      <w:r w:rsidRPr="00A81003">
        <w:rPr>
          <w:sz w:val="24"/>
          <w:szCs w:val="24"/>
        </w:rPr>
        <w:t>Simin</w:t>
      </w:r>
      <w:proofErr w:type="spellEnd"/>
      <w:r w:rsidRPr="00A81003">
        <w:rPr>
          <w:sz w:val="24"/>
          <w:szCs w:val="24"/>
        </w:rPr>
        <w:t xml:space="preserve">. 2003. “Spurious Regressions in Financial Economics?” </w:t>
      </w:r>
      <w:r w:rsidRPr="00A81003">
        <w:rPr>
          <w:i/>
          <w:iCs/>
          <w:sz w:val="24"/>
          <w:szCs w:val="24"/>
        </w:rPr>
        <w:t>Journal of Finance</w:t>
      </w:r>
      <w:r w:rsidRPr="00A81003">
        <w:rPr>
          <w:sz w:val="24"/>
          <w:szCs w:val="24"/>
        </w:rPr>
        <w:t xml:space="preserve"> 58 (4): 1393–1413. </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lastRenderedPageBreak/>
        <w:t xml:space="preserve">Fry, John, and </w:t>
      </w:r>
      <w:proofErr w:type="spellStart"/>
      <w:r w:rsidRPr="00A81003">
        <w:rPr>
          <w:sz w:val="24"/>
          <w:szCs w:val="24"/>
        </w:rPr>
        <w:t>Eng</w:t>
      </w:r>
      <w:proofErr w:type="spellEnd"/>
      <w:r w:rsidRPr="00A81003">
        <w:rPr>
          <w:sz w:val="24"/>
          <w:szCs w:val="24"/>
        </w:rPr>
        <w:t xml:space="preserve"> Tuck Cheah. 2016. “Negative Bubbles and Shocks in Cryptocurrency Markets.” </w:t>
      </w:r>
      <w:r w:rsidRPr="00A81003">
        <w:rPr>
          <w:i/>
          <w:iCs/>
          <w:sz w:val="24"/>
          <w:szCs w:val="24"/>
        </w:rPr>
        <w:t>International Review of Financial Analysis</w:t>
      </w:r>
      <w:r w:rsidRPr="00A81003">
        <w:rPr>
          <w:sz w:val="24"/>
          <w:szCs w:val="24"/>
        </w:rPr>
        <w:t xml:space="preserve"> 47: 343–352. </w:t>
      </w:r>
    </w:p>
    <w:p w:rsidR="001D1A95" w:rsidRPr="00A81003" w:rsidRDefault="001D1A95" w:rsidP="001D1A95">
      <w:pPr>
        <w:widowControl w:val="0"/>
        <w:autoSpaceDE w:val="0"/>
        <w:autoSpaceDN w:val="0"/>
        <w:adjustRightInd w:val="0"/>
        <w:spacing w:line="480" w:lineRule="auto"/>
        <w:ind w:left="480" w:hanging="480"/>
        <w:rPr>
          <w:sz w:val="24"/>
          <w:szCs w:val="24"/>
        </w:rPr>
      </w:pPr>
      <w:r w:rsidRPr="00A81003">
        <w:rPr>
          <w:sz w:val="24"/>
          <w:szCs w:val="24"/>
        </w:rPr>
        <w:t xml:space="preserve">Garcia, David, and Frank Schweitzer. 2015. “Social Signals and Algorithmic Trading of Bitcoin.” </w:t>
      </w:r>
      <w:r w:rsidRPr="00A81003">
        <w:rPr>
          <w:i/>
          <w:iCs/>
          <w:sz w:val="24"/>
          <w:szCs w:val="24"/>
        </w:rPr>
        <w:t>Royal Society Open Science</w:t>
      </w:r>
      <w:r w:rsidRPr="00A81003">
        <w:rPr>
          <w:sz w:val="24"/>
          <w:szCs w:val="24"/>
        </w:rPr>
        <w:t xml:space="preserve"> 2 (9). </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Hafner, Christian. 2018. “Testing for Bubbles in Cryptocurrencies with Time-Varying Volatility.” </w:t>
      </w:r>
      <w:r w:rsidRPr="00A81003">
        <w:rPr>
          <w:i/>
          <w:iCs/>
          <w:sz w:val="24"/>
          <w:szCs w:val="24"/>
        </w:rPr>
        <w:t>SSRN Electronic Journal</w:t>
      </w:r>
      <w:r w:rsidRPr="00A81003">
        <w:rPr>
          <w:sz w:val="24"/>
          <w:szCs w:val="24"/>
        </w:rPr>
        <w:t xml:space="preserve">. </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Jang, </w:t>
      </w:r>
      <w:proofErr w:type="spellStart"/>
      <w:r w:rsidRPr="00A81003">
        <w:rPr>
          <w:sz w:val="24"/>
          <w:szCs w:val="24"/>
        </w:rPr>
        <w:t>Huisu</w:t>
      </w:r>
      <w:proofErr w:type="spellEnd"/>
      <w:r w:rsidRPr="00A81003">
        <w:rPr>
          <w:sz w:val="24"/>
          <w:szCs w:val="24"/>
        </w:rPr>
        <w:t xml:space="preserve">, and </w:t>
      </w:r>
      <w:proofErr w:type="spellStart"/>
      <w:r w:rsidRPr="00A81003">
        <w:rPr>
          <w:sz w:val="24"/>
          <w:szCs w:val="24"/>
        </w:rPr>
        <w:t>Jaewook</w:t>
      </w:r>
      <w:proofErr w:type="spellEnd"/>
      <w:r w:rsidRPr="00A81003">
        <w:rPr>
          <w:sz w:val="24"/>
          <w:szCs w:val="24"/>
        </w:rPr>
        <w:t xml:space="preserve"> Lee. 2017. “An Empirical Study on </w:t>
      </w:r>
      <w:proofErr w:type="spellStart"/>
      <w:r w:rsidRPr="00A81003">
        <w:rPr>
          <w:sz w:val="24"/>
          <w:szCs w:val="24"/>
        </w:rPr>
        <w:t>Modeling</w:t>
      </w:r>
      <w:proofErr w:type="spellEnd"/>
      <w:r w:rsidRPr="00A81003">
        <w:rPr>
          <w:sz w:val="24"/>
          <w:szCs w:val="24"/>
        </w:rPr>
        <w:t xml:space="preserve"> and Prediction of Bitcoin Prices with Bayesian Neural Networks Based on Blockchain Information.” </w:t>
      </w:r>
      <w:r w:rsidRPr="00A81003">
        <w:rPr>
          <w:i/>
          <w:iCs/>
          <w:sz w:val="24"/>
          <w:szCs w:val="24"/>
        </w:rPr>
        <w:t>IEEE Access</w:t>
      </w:r>
      <w:r w:rsidRPr="00A81003">
        <w:rPr>
          <w:sz w:val="24"/>
          <w:szCs w:val="24"/>
        </w:rPr>
        <w:t xml:space="preserve"> 6: 5427–5437. </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Johannes, Michael, Arthur </w:t>
      </w:r>
      <w:proofErr w:type="spellStart"/>
      <w:r w:rsidRPr="00A81003">
        <w:rPr>
          <w:sz w:val="24"/>
          <w:szCs w:val="24"/>
        </w:rPr>
        <w:t>Korteweg</w:t>
      </w:r>
      <w:proofErr w:type="spellEnd"/>
      <w:r w:rsidRPr="00A81003">
        <w:rPr>
          <w:sz w:val="24"/>
          <w:szCs w:val="24"/>
        </w:rPr>
        <w:t xml:space="preserve">, and Nicholas Polson. 2014. “Sequential Learning, Predictability, and Optimal Portfolio Returns.” </w:t>
      </w:r>
      <w:r w:rsidRPr="00A81003">
        <w:rPr>
          <w:i/>
          <w:iCs/>
          <w:sz w:val="24"/>
          <w:szCs w:val="24"/>
        </w:rPr>
        <w:t>Journal of Finance</w:t>
      </w:r>
      <w:r w:rsidRPr="00A81003">
        <w:rPr>
          <w:sz w:val="24"/>
          <w:szCs w:val="24"/>
        </w:rPr>
        <w:t xml:space="preserve"> 69 (2): 611–644. </w:t>
      </w:r>
    </w:p>
    <w:p w:rsidR="001D1A95" w:rsidRPr="00A81003" w:rsidRDefault="001D1A95" w:rsidP="001D1A95">
      <w:pPr>
        <w:widowControl w:val="0"/>
        <w:autoSpaceDE w:val="0"/>
        <w:autoSpaceDN w:val="0"/>
        <w:adjustRightInd w:val="0"/>
        <w:spacing w:line="480" w:lineRule="auto"/>
        <w:ind w:left="480" w:hanging="480"/>
        <w:rPr>
          <w:sz w:val="24"/>
          <w:szCs w:val="24"/>
        </w:rPr>
      </w:pPr>
      <w:r w:rsidRPr="00A81003">
        <w:rPr>
          <w:sz w:val="24"/>
          <w:szCs w:val="24"/>
        </w:rPr>
        <w:t xml:space="preserve">Johnson, Travis L. 2019. “A Fresh Look at Return Predictability Using a More Efficient Estimator.” </w:t>
      </w:r>
      <w:r w:rsidRPr="00B768DF">
        <w:rPr>
          <w:i/>
          <w:sz w:val="24"/>
          <w:szCs w:val="24"/>
        </w:rPr>
        <w:t>The</w:t>
      </w:r>
      <w:r>
        <w:rPr>
          <w:sz w:val="24"/>
          <w:szCs w:val="24"/>
        </w:rPr>
        <w:t xml:space="preserve"> </w:t>
      </w:r>
      <w:r w:rsidRPr="00A81003">
        <w:rPr>
          <w:i/>
          <w:iCs/>
          <w:sz w:val="24"/>
          <w:szCs w:val="24"/>
        </w:rPr>
        <w:t>Review of Asset Pricing Studies</w:t>
      </w:r>
      <w:r>
        <w:rPr>
          <w:sz w:val="24"/>
          <w:szCs w:val="24"/>
        </w:rPr>
        <w:t xml:space="preserve"> 9 (1)</w:t>
      </w:r>
      <w:r w:rsidRPr="00A81003">
        <w:rPr>
          <w:sz w:val="24"/>
          <w:szCs w:val="24"/>
        </w:rPr>
        <w:t xml:space="preserve">: 1–46. </w:t>
      </w:r>
    </w:p>
    <w:p w:rsidR="001D1A95" w:rsidRDefault="001D1A95" w:rsidP="001D1A95">
      <w:pPr>
        <w:autoSpaceDE w:val="0"/>
        <w:autoSpaceDN w:val="0"/>
        <w:adjustRightInd w:val="0"/>
        <w:spacing w:line="480" w:lineRule="auto"/>
        <w:ind w:left="480" w:hanging="480"/>
        <w:rPr>
          <w:sz w:val="24"/>
          <w:szCs w:val="24"/>
        </w:rPr>
      </w:pPr>
      <w:r w:rsidRPr="00A81003">
        <w:rPr>
          <w:sz w:val="24"/>
          <w:szCs w:val="24"/>
        </w:rPr>
        <w:t xml:space="preserve">Ju, Lan, Timothy Jun Lu, and </w:t>
      </w:r>
      <w:proofErr w:type="spellStart"/>
      <w:r w:rsidRPr="00A81003">
        <w:rPr>
          <w:sz w:val="24"/>
          <w:szCs w:val="24"/>
        </w:rPr>
        <w:t>Zhiyong</w:t>
      </w:r>
      <w:proofErr w:type="spellEnd"/>
      <w:r w:rsidRPr="00A81003">
        <w:rPr>
          <w:sz w:val="24"/>
          <w:szCs w:val="24"/>
        </w:rPr>
        <w:t xml:space="preserve"> Tu. 2016. “Capital Flight and Bitcoin Regulation.” </w:t>
      </w:r>
      <w:r w:rsidRPr="00A81003">
        <w:rPr>
          <w:i/>
          <w:iCs/>
          <w:sz w:val="24"/>
          <w:szCs w:val="24"/>
        </w:rPr>
        <w:t>International Review of Finance</w:t>
      </w:r>
      <w:r w:rsidRPr="00A81003">
        <w:rPr>
          <w:sz w:val="24"/>
          <w:szCs w:val="24"/>
        </w:rPr>
        <w:t xml:space="preserve"> 16 (3): 445–455. </w:t>
      </w:r>
    </w:p>
    <w:p w:rsidR="001D1A95" w:rsidRPr="00A81003" w:rsidRDefault="001D1A95" w:rsidP="001D1A95">
      <w:pPr>
        <w:autoSpaceDE w:val="0"/>
        <w:autoSpaceDN w:val="0"/>
        <w:adjustRightInd w:val="0"/>
        <w:spacing w:line="480" w:lineRule="auto"/>
        <w:ind w:left="480" w:hanging="480"/>
        <w:rPr>
          <w:sz w:val="24"/>
          <w:szCs w:val="24"/>
        </w:rPr>
      </w:pPr>
      <w:r w:rsidRPr="00BA281A">
        <w:rPr>
          <w:sz w:val="24"/>
          <w:szCs w:val="24"/>
        </w:rPr>
        <w:t xml:space="preserve">Jurado, Kyle, Sydney C. </w:t>
      </w:r>
      <w:proofErr w:type="spellStart"/>
      <w:r w:rsidRPr="00BA281A">
        <w:rPr>
          <w:sz w:val="24"/>
          <w:szCs w:val="24"/>
        </w:rPr>
        <w:t>Ludvigson</w:t>
      </w:r>
      <w:proofErr w:type="spellEnd"/>
      <w:r w:rsidRPr="00BA281A">
        <w:rPr>
          <w:sz w:val="24"/>
          <w:szCs w:val="24"/>
        </w:rPr>
        <w:t xml:space="preserve">, and Serena Ng. 2015. “Measuring Uncertainty.” </w:t>
      </w:r>
      <w:r w:rsidRPr="00EE7951">
        <w:rPr>
          <w:i/>
          <w:sz w:val="24"/>
          <w:szCs w:val="24"/>
        </w:rPr>
        <w:t>American Economic Review</w:t>
      </w:r>
      <w:r w:rsidRPr="00BA281A">
        <w:rPr>
          <w:sz w:val="24"/>
          <w:szCs w:val="24"/>
        </w:rPr>
        <w:t xml:space="preserve"> 105:1177–1216.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Kajtazi</w:t>
      </w:r>
      <w:proofErr w:type="spellEnd"/>
      <w:r w:rsidRPr="00A81003">
        <w:rPr>
          <w:sz w:val="24"/>
          <w:szCs w:val="24"/>
        </w:rPr>
        <w:t xml:space="preserve">, Anton, and Andrea Moro. 2018. “The Role of Bitcoin in Well Diversified Portfolios: A Comparative Global Study.” </w:t>
      </w:r>
      <w:r w:rsidRPr="00A81003">
        <w:rPr>
          <w:i/>
          <w:iCs/>
          <w:sz w:val="24"/>
          <w:szCs w:val="24"/>
        </w:rPr>
        <w:t>International Review of Financial Analysis</w:t>
      </w:r>
      <w:r w:rsidRPr="00A81003">
        <w:rPr>
          <w:sz w:val="24"/>
          <w:szCs w:val="24"/>
        </w:rPr>
        <w:t xml:space="preserve"> 61: 143–157.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Karalevicius</w:t>
      </w:r>
      <w:proofErr w:type="spellEnd"/>
      <w:r w:rsidRPr="00A81003">
        <w:rPr>
          <w:sz w:val="24"/>
          <w:szCs w:val="24"/>
        </w:rPr>
        <w:t xml:space="preserve">, </w:t>
      </w:r>
      <w:proofErr w:type="spellStart"/>
      <w:r w:rsidRPr="00A81003">
        <w:rPr>
          <w:sz w:val="24"/>
          <w:szCs w:val="24"/>
        </w:rPr>
        <w:t>Vytautas</w:t>
      </w:r>
      <w:proofErr w:type="spellEnd"/>
      <w:r w:rsidRPr="00A81003">
        <w:rPr>
          <w:sz w:val="24"/>
          <w:szCs w:val="24"/>
        </w:rPr>
        <w:t xml:space="preserve">, Niels </w:t>
      </w:r>
      <w:proofErr w:type="spellStart"/>
      <w:r w:rsidRPr="00A81003">
        <w:rPr>
          <w:sz w:val="24"/>
          <w:szCs w:val="24"/>
        </w:rPr>
        <w:t>Degrande</w:t>
      </w:r>
      <w:proofErr w:type="spellEnd"/>
      <w:r w:rsidRPr="00A81003">
        <w:rPr>
          <w:sz w:val="24"/>
          <w:szCs w:val="24"/>
        </w:rPr>
        <w:t xml:space="preserve">, and Jochen De </w:t>
      </w:r>
      <w:proofErr w:type="spellStart"/>
      <w:r w:rsidRPr="00A81003">
        <w:rPr>
          <w:sz w:val="24"/>
          <w:szCs w:val="24"/>
        </w:rPr>
        <w:t>Weerdt</w:t>
      </w:r>
      <w:proofErr w:type="spellEnd"/>
      <w:r w:rsidRPr="00A81003">
        <w:rPr>
          <w:sz w:val="24"/>
          <w:szCs w:val="24"/>
        </w:rPr>
        <w:t xml:space="preserve">. 2018. “Using Sentiment Analysis to Predict </w:t>
      </w:r>
      <w:proofErr w:type="spellStart"/>
      <w:r w:rsidRPr="00A81003">
        <w:rPr>
          <w:sz w:val="24"/>
          <w:szCs w:val="24"/>
        </w:rPr>
        <w:t>Interday</w:t>
      </w:r>
      <w:proofErr w:type="spellEnd"/>
      <w:r w:rsidRPr="00A81003">
        <w:rPr>
          <w:sz w:val="24"/>
          <w:szCs w:val="24"/>
        </w:rPr>
        <w:t xml:space="preserve"> Bitcoin Price Movements.” </w:t>
      </w:r>
      <w:r w:rsidRPr="00A81003">
        <w:rPr>
          <w:i/>
          <w:iCs/>
          <w:sz w:val="24"/>
          <w:szCs w:val="24"/>
        </w:rPr>
        <w:t>Journal of Risk Finance</w:t>
      </w:r>
      <w:r w:rsidRPr="00A81003">
        <w:rPr>
          <w:sz w:val="24"/>
          <w:szCs w:val="24"/>
        </w:rPr>
        <w:t xml:space="preserve"> 19 (1): 56–75. </w:t>
      </w:r>
    </w:p>
    <w:p w:rsidR="001D1A95"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lastRenderedPageBreak/>
        <w:t>Katsiampa</w:t>
      </w:r>
      <w:proofErr w:type="spellEnd"/>
      <w:r w:rsidRPr="00A81003">
        <w:rPr>
          <w:sz w:val="24"/>
          <w:szCs w:val="24"/>
        </w:rPr>
        <w:t xml:space="preserve">, </w:t>
      </w:r>
      <w:proofErr w:type="spellStart"/>
      <w:r w:rsidRPr="00A81003">
        <w:rPr>
          <w:sz w:val="24"/>
          <w:szCs w:val="24"/>
        </w:rPr>
        <w:t>Paraskevi</w:t>
      </w:r>
      <w:proofErr w:type="spellEnd"/>
      <w:r w:rsidRPr="00A81003">
        <w:rPr>
          <w:sz w:val="24"/>
          <w:szCs w:val="24"/>
        </w:rPr>
        <w:t xml:space="preserve">. 2017. “Volatility Estimation for Bitcoin: A Comparison of GARCH Models.” </w:t>
      </w:r>
      <w:r w:rsidRPr="00A81003">
        <w:rPr>
          <w:i/>
          <w:iCs/>
          <w:sz w:val="24"/>
          <w:szCs w:val="24"/>
        </w:rPr>
        <w:t>Economics Letters</w:t>
      </w:r>
      <w:r w:rsidRPr="00A81003">
        <w:rPr>
          <w:sz w:val="24"/>
          <w:szCs w:val="24"/>
        </w:rPr>
        <w:t xml:space="preserve"> 158: 3–6. </w:t>
      </w:r>
    </w:p>
    <w:p w:rsidR="001D1A95" w:rsidRDefault="001D1A95" w:rsidP="001D1A95">
      <w:pPr>
        <w:autoSpaceDE w:val="0"/>
        <w:autoSpaceDN w:val="0"/>
        <w:adjustRightInd w:val="0"/>
        <w:spacing w:line="480" w:lineRule="auto"/>
        <w:ind w:left="480" w:hanging="480"/>
        <w:rPr>
          <w:sz w:val="24"/>
          <w:szCs w:val="24"/>
        </w:rPr>
      </w:pPr>
      <w:proofErr w:type="spellStart"/>
      <w:r w:rsidRPr="00BA281A">
        <w:rPr>
          <w:sz w:val="24"/>
          <w:szCs w:val="24"/>
        </w:rPr>
        <w:t>Keim</w:t>
      </w:r>
      <w:proofErr w:type="spellEnd"/>
      <w:r w:rsidRPr="00BA281A">
        <w:rPr>
          <w:sz w:val="24"/>
          <w:szCs w:val="24"/>
        </w:rPr>
        <w:t xml:space="preserve">, Donald B., and Robert F. Stambaugh. 1986. “Predicting Returns in the Stock and Bond Markets.” </w:t>
      </w:r>
      <w:r w:rsidRPr="00B768DF">
        <w:rPr>
          <w:i/>
          <w:sz w:val="24"/>
          <w:szCs w:val="24"/>
        </w:rPr>
        <w:t>Journal of Financial Economics</w:t>
      </w:r>
      <w:r w:rsidRPr="00BA281A">
        <w:rPr>
          <w:sz w:val="24"/>
          <w:szCs w:val="24"/>
        </w:rPr>
        <w:t xml:space="preserve"> 17 (2): 357–390.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Kostakis</w:t>
      </w:r>
      <w:proofErr w:type="spellEnd"/>
      <w:r w:rsidRPr="00A81003">
        <w:rPr>
          <w:sz w:val="24"/>
          <w:szCs w:val="24"/>
        </w:rPr>
        <w:t xml:space="preserve">, Alexandros, </w:t>
      </w:r>
      <w:proofErr w:type="spellStart"/>
      <w:r w:rsidRPr="00A81003">
        <w:rPr>
          <w:sz w:val="24"/>
          <w:szCs w:val="24"/>
        </w:rPr>
        <w:t>Tassos</w:t>
      </w:r>
      <w:proofErr w:type="spellEnd"/>
      <w:r w:rsidRPr="00A81003">
        <w:rPr>
          <w:sz w:val="24"/>
          <w:szCs w:val="24"/>
        </w:rPr>
        <w:t xml:space="preserve"> </w:t>
      </w:r>
      <w:proofErr w:type="spellStart"/>
      <w:r w:rsidRPr="00A81003">
        <w:rPr>
          <w:sz w:val="24"/>
          <w:szCs w:val="24"/>
        </w:rPr>
        <w:t>Magdalinos</w:t>
      </w:r>
      <w:proofErr w:type="spellEnd"/>
      <w:r w:rsidRPr="00A81003">
        <w:rPr>
          <w:sz w:val="24"/>
          <w:szCs w:val="24"/>
        </w:rPr>
        <w:t xml:space="preserve">, and Michalis P. </w:t>
      </w:r>
      <w:proofErr w:type="spellStart"/>
      <w:r w:rsidRPr="00A81003">
        <w:rPr>
          <w:sz w:val="24"/>
          <w:szCs w:val="24"/>
        </w:rPr>
        <w:t>Stamatogiannis</w:t>
      </w:r>
      <w:proofErr w:type="spellEnd"/>
      <w:r w:rsidRPr="00A81003">
        <w:rPr>
          <w:sz w:val="24"/>
          <w:szCs w:val="24"/>
        </w:rPr>
        <w:t>. 2015. “Robust Econometric Inference fo</w:t>
      </w:r>
      <w:r>
        <w:rPr>
          <w:sz w:val="24"/>
          <w:szCs w:val="24"/>
        </w:rPr>
        <w:t xml:space="preserve">r Stock Return Predictability.” </w:t>
      </w:r>
      <w:r w:rsidRPr="00B768DF">
        <w:rPr>
          <w:i/>
          <w:sz w:val="24"/>
          <w:szCs w:val="24"/>
        </w:rPr>
        <w:t>The</w:t>
      </w:r>
      <w:r>
        <w:rPr>
          <w:sz w:val="24"/>
          <w:szCs w:val="24"/>
        </w:rPr>
        <w:t xml:space="preserve"> </w:t>
      </w:r>
      <w:r w:rsidRPr="00A81003">
        <w:rPr>
          <w:i/>
          <w:iCs/>
          <w:sz w:val="24"/>
          <w:szCs w:val="24"/>
        </w:rPr>
        <w:t>Review of Financial Studies</w:t>
      </w:r>
      <w:r w:rsidRPr="00A81003">
        <w:rPr>
          <w:sz w:val="24"/>
          <w:szCs w:val="24"/>
        </w:rPr>
        <w:t xml:space="preserve"> 28 (5): 1506–1553.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Koutmos</w:t>
      </w:r>
      <w:proofErr w:type="spellEnd"/>
      <w:r w:rsidRPr="00A81003">
        <w:rPr>
          <w:sz w:val="24"/>
          <w:szCs w:val="24"/>
        </w:rPr>
        <w:t xml:space="preserve">, </w:t>
      </w:r>
      <w:proofErr w:type="spellStart"/>
      <w:r w:rsidRPr="00A81003">
        <w:rPr>
          <w:sz w:val="24"/>
          <w:szCs w:val="24"/>
        </w:rPr>
        <w:t>Dimitrios</w:t>
      </w:r>
      <w:proofErr w:type="spellEnd"/>
      <w:r w:rsidRPr="00A81003">
        <w:rPr>
          <w:sz w:val="24"/>
          <w:szCs w:val="24"/>
        </w:rPr>
        <w:t xml:space="preserve">. 2018a. “Liquidity Uncertainty and Bitcoin’s Market Microstructure.” </w:t>
      </w:r>
      <w:r w:rsidRPr="00A81003">
        <w:rPr>
          <w:i/>
          <w:iCs/>
          <w:sz w:val="24"/>
          <w:szCs w:val="24"/>
        </w:rPr>
        <w:t>Economics Letters</w:t>
      </w:r>
      <w:r w:rsidRPr="00A81003">
        <w:rPr>
          <w:sz w:val="24"/>
          <w:szCs w:val="24"/>
        </w:rPr>
        <w:t xml:space="preserve"> 172: 97–101.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Koutmos</w:t>
      </w:r>
      <w:proofErr w:type="spellEnd"/>
      <w:r w:rsidRPr="00A81003">
        <w:rPr>
          <w:sz w:val="24"/>
          <w:szCs w:val="24"/>
        </w:rPr>
        <w:t xml:space="preserve">, </w:t>
      </w:r>
      <w:proofErr w:type="spellStart"/>
      <w:r w:rsidRPr="00A81003">
        <w:rPr>
          <w:sz w:val="24"/>
          <w:szCs w:val="24"/>
        </w:rPr>
        <w:t>Dimitrios</w:t>
      </w:r>
      <w:proofErr w:type="spellEnd"/>
      <w:r w:rsidRPr="00A81003">
        <w:rPr>
          <w:sz w:val="24"/>
          <w:szCs w:val="24"/>
        </w:rPr>
        <w:t xml:space="preserve">. 2018b. “Bitcoin Returns and Transaction Activity.” </w:t>
      </w:r>
      <w:r w:rsidRPr="00A81003">
        <w:rPr>
          <w:i/>
          <w:iCs/>
          <w:sz w:val="24"/>
          <w:szCs w:val="24"/>
        </w:rPr>
        <w:t>Economics Letters</w:t>
      </w:r>
      <w:r w:rsidRPr="00A81003">
        <w:rPr>
          <w:sz w:val="24"/>
          <w:szCs w:val="24"/>
        </w:rPr>
        <w:t xml:space="preserve"> 167: 81–85. </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Leitch, Gordon, and Ernest Tanner. 1991. “Economic Forecast Evaluation: Profits Versus the Conventional Error Measures.” </w:t>
      </w:r>
      <w:r w:rsidRPr="00A81003">
        <w:rPr>
          <w:i/>
          <w:iCs/>
          <w:sz w:val="24"/>
          <w:szCs w:val="24"/>
        </w:rPr>
        <w:t>American Economic Review</w:t>
      </w:r>
      <w:r w:rsidRPr="00A81003">
        <w:rPr>
          <w:sz w:val="24"/>
          <w:szCs w:val="24"/>
        </w:rPr>
        <w:t xml:space="preserve"> 81 (3): 580–590. </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Momtaz</w:t>
      </w:r>
      <w:proofErr w:type="spellEnd"/>
      <w:r w:rsidRPr="00A81003">
        <w:rPr>
          <w:sz w:val="24"/>
          <w:szCs w:val="24"/>
        </w:rPr>
        <w:t xml:space="preserve">, Paul P. 2019. “The Pricing and Performance of Cryptocurrency.” </w:t>
      </w:r>
      <w:r w:rsidRPr="00A81003">
        <w:rPr>
          <w:i/>
          <w:iCs/>
          <w:sz w:val="24"/>
          <w:szCs w:val="24"/>
        </w:rPr>
        <w:t>European Journal of Finance</w:t>
      </w:r>
      <w:r w:rsidRPr="00A81003">
        <w:rPr>
          <w:sz w:val="24"/>
          <w:szCs w:val="24"/>
        </w:rPr>
        <w:t xml:space="preserve">. </w:t>
      </w:r>
    </w:p>
    <w:p w:rsidR="001D1A95" w:rsidRDefault="001D1A95" w:rsidP="001D1A95">
      <w:pPr>
        <w:autoSpaceDE w:val="0"/>
        <w:autoSpaceDN w:val="0"/>
        <w:adjustRightInd w:val="0"/>
        <w:spacing w:line="480" w:lineRule="auto"/>
        <w:ind w:left="480" w:hanging="480"/>
        <w:rPr>
          <w:sz w:val="24"/>
          <w:szCs w:val="24"/>
        </w:rPr>
      </w:pPr>
      <w:r w:rsidRPr="00A81003">
        <w:rPr>
          <w:sz w:val="24"/>
          <w:szCs w:val="24"/>
        </w:rPr>
        <w:t xml:space="preserve">Moreira, Alan, and Tyler Muir. 2017. “Volatility-Managed Portfolios.” </w:t>
      </w:r>
      <w:r w:rsidRPr="00A81003">
        <w:rPr>
          <w:i/>
          <w:iCs/>
          <w:sz w:val="24"/>
          <w:szCs w:val="24"/>
        </w:rPr>
        <w:t>Journal of Finance</w:t>
      </w:r>
      <w:r w:rsidRPr="00A81003">
        <w:rPr>
          <w:sz w:val="24"/>
          <w:szCs w:val="24"/>
        </w:rPr>
        <w:t xml:space="preserve"> 72 (4): 1611–1644. </w:t>
      </w:r>
    </w:p>
    <w:p w:rsidR="001D1A95" w:rsidRDefault="001D1A95" w:rsidP="001D1A95">
      <w:pPr>
        <w:autoSpaceDE w:val="0"/>
        <w:autoSpaceDN w:val="0"/>
        <w:adjustRightInd w:val="0"/>
        <w:spacing w:line="480" w:lineRule="auto"/>
        <w:ind w:left="480" w:hanging="480"/>
        <w:rPr>
          <w:sz w:val="24"/>
          <w:szCs w:val="24"/>
        </w:rPr>
      </w:pPr>
      <w:r w:rsidRPr="00BA281A">
        <w:rPr>
          <w:sz w:val="24"/>
          <w:szCs w:val="24"/>
        </w:rPr>
        <w:t xml:space="preserve">Moskowitz, Tobias J., Yao Hua </w:t>
      </w:r>
      <w:proofErr w:type="spellStart"/>
      <w:r w:rsidRPr="00BA281A">
        <w:rPr>
          <w:sz w:val="24"/>
          <w:szCs w:val="24"/>
        </w:rPr>
        <w:t>Ooi</w:t>
      </w:r>
      <w:proofErr w:type="spellEnd"/>
      <w:r w:rsidRPr="00BA281A">
        <w:rPr>
          <w:sz w:val="24"/>
          <w:szCs w:val="24"/>
        </w:rPr>
        <w:t xml:space="preserve">, and Lasse </w:t>
      </w:r>
      <w:proofErr w:type="spellStart"/>
      <w:r w:rsidRPr="00BA281A">
        <w:rPr>
          <w:sz w:val="24"/>
          <w:szCs w:val="24"/>
        </w:rPr>
        <w:t>Heje</w:t>
      </w:r>
      <w:proofErr w:type="spellEnd"/>
      <w:r w:rsidRPr="00BA281A">
        <w:rPr>
          <w:sz w:val="24"/>
          <w:szCs w:val="24"/>
        </w:rPr>
        <w:t xml:space="preserve"> Pedersen. 2012. “Time Series Momentum.” </w:t>
      </w:r>
      <w:r w:rsidRPr="00B768DF">
        <w:rPr>
          <w:i/>
          <w:sz w:val="24"/>
          <w:szCs w:val="24"/>
        </w:rPr>
        <w:t>Journal of Financial Economics</w:t>
      </w:r>
      <w:r w:rsidRPr="00BA281A">
        <w:rPr>
          <w:sz w:val="24"/>
          <w:szCs w:val="24"/>
        </w:rPr>
        <w:t xml:space="preserve"> 104 (2): 228–250.</w:t>
      </w:r>
    </w:p>
    <w:p w:rsidR="001D1A95" w:rsidRPr="00C67260" w:rsidRDefault="001D1A95" w:rsidP="001D1A95">
      <w:pPr>
        <w:widowControl w:val="0"/>
        <w:autoSpaceDE w:val="0"/>
        <w:autoSpaceDN w:val="0"/>
        <w:adjustRightInd w:val="0"/>
        <w:spacing w:line="480" w:lineRule="auto"/>
        <w:ind w:left="480" w:hanging="480"/>
        <w:rPr>
          <w:noProof/>
          <w:sz w:val="24"/>
          <w:szCs w:val="24"/>
        </w:rPr>
      </w:pPr>
      <w:r w:rsidRPr="00C67260">
        <w:rPr>
          <w:noProof/>
          <w:sz w:val="24"/>
          <w:szCs w:val="24"/>
        </w:rPr>
        <w:t xml:space="preserve">Neely, Christopher J., David E. Rapach, Jun Tu, and Guofu Zhou. 2014. “Forecasting the Equity Risk Premium: The Role of Technical Indicators.” </w:t>
      </w:r>
      <w:r w:rsidRPr="00C67260">
        <w:rPr>
          <w:i/>
          <w:iCs/>
          <w:noProof/>
          <w:sz w:val="24"/>
          <w:szCs w:val="24"/>
        </w:rPr>
        <w:t>Management Science</w:t>
      </w:r>
      <w:r>
        <w:rPr>
          <w:noProof/>
          <w:sz w:val="24"/>
          <w:szCs w:val="24"/>
        </w:rPr>
        <w:t xml:space="preserve"> 60 (7)</w:t>
      </w:r>
      <w:r w:rsidRPr="00C67260">
        <w:rPr>
          <w:noProof/>
          <w:sz w:val="24"/>
          <w:szCs w:val="24"/>
        </w:rPr>
        <w:t xml:space="preserve">: 1772–1791. </w:t>
      </w:r>
    </w:p>
    <w:p w:rsidR="001D1A95"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lastRenderedPageBreak/>
        <w:t>Novy</w:t>
      </w:r>
      <w:proofErr w:type="spellEnd"/>
      <w:r w:rsidRPr="00A81003">
        <w:rPr>
          <w:sz w:val="24"/>
          <w:szCs w:val="24"/>
        </w:rPr>
        <w:t xml:space="preserve">-Marx, Robert. 2014. “Predicting Anomaly Performance with Politics, the Weather, Global Warming, Sunspots, and the Stars.” </w:t>
      </w:r>
      <w:r w:rsidRPr="00A81003">
        <w:rPr>
          <w:i/>
          <w:iCs/>
          <w:sz w:val="24"/>
          <w:szCs w:val="24"/>
        </w:rPr>
        <w:t>Journal of Financial Economics</w:t>
      </w:r>
      <w:r>
        <w:rPr>
          <w:sz w:val="24"/>
          <w:szCs w:val="24"/>
        </w:rPr>
        <w:t xml:space="preserve"> 112 (2)</w:t>
      </w:r>
      <w:r w:rsidRPr="00A81003">
        <w:rPr>
          <w:sz w:val="24"/>
          <w:szCs w:val="24"/>
        </w:rPr>
        <w:t xml:space="preserve">: 137–146. </w:t>
      </w:r>
    </w:p>
    <w:p w:rsidR="001D1A95" w:rsidRDefault="001D1A95" w:rsidP="001D1A95">
      <w:pPr>
        <w:widowControl w:val="0"/>
        <w:autoSpaceDE w:val="0"/>
        <w:autoSpaceDN w:val="0"/>
        <w:adjustRightInd w:val="0"/>
        <w:spacing w:line="480" w:lineRule="auto"/>
        <w:ind w:left="480" w:hanging="480"/>
        <w:rPr>
          <w:noProof/>
          <w:sz w:val="24"/>
          <w:szCs w:val="24"/>
        </w:rPr>
      </w:pPr>
      <w:r w:rsidRPr="00C67260">
        <w:rPr>
          <w:noProof/>
          <w:sz w:val="24"/>
          <w:szCs w:val="24"/>
        </w:rPr>
        <w:t xml:space="preserve">Novy-Marx, Robert, and Mihail Velikov. 2016. “A Taxonomy of Anomalies and Their Trading Costs.” </w:t>
      </w:r>
      <w:r w:rsidRPr="00B768DF">
        <w:rPr>
          <w:i/>
          <w:noProof/>
          <w:sz w:val="24"/>
          <w:szCs w:val="24"/>
        </w:rPr>
        <w:t>The</w:t>
      </w:r>
      <w:r>
        <w:rPr>
          <w:noProof/>
          <w:sz w:val="24"/>
          <w:szCs w:val="24"/>
        </w:rPr>
        <w:t xml:space="preserve"> </w:t>
      </w:r>
      <w:r w:rsidRPr="00C67260">
        <w:rPr>
          <w:i/>
          <w:iCs/>
          <w:noProof/>
          <w:sz w:val="24"/>
          <w:szCs w:val="24"/>
        </w:rPr>
        <w:t>Review of Financial Studies</w:t>
      </w:r>
      <w:r w:rsidRPr="00C67260">
        <w:rPr>
          <w:noProof/>
          <w:sz w:val="24"/>
          <w:szCs w:val="24"/>
        </w:rPr>
        <w:t xml:space="preserve"> 29 (1): 104–147. </w:t>
      </w:r>
    </w:p>
    <w:p w:rsidR="001D1A95" w:rsidRPr="00C67260" w:rsidRDefault="001D1A95" w:rsidP="001D1A95">
      <w:pPr>
        <w:widowControl w:val="0"/>
        <w:autoSpaceDE w:val="0"/>
        <w:autoSpaceDN w:val="0"/>
        <w:adjustRightInd w:val="0"/>
        <w:spacing w:line="480" w:lineRule="auto"/>
        <w:ind w:left="480" w:hanging="480"/>
        <w:rPr>
          <w:noProof/>
          <w:sz w:val="24"/>
          <w:szCs w:val="24"/>
        </w:rPr>
      </w:pPr>
      <w:r w:rsidRPr="00BA281A">
        <w:rPr>
          <w:noProof/>
          <w:sz w:val="24"/>
          <w:szCs w:val="24"/>
        </w:rPr>
        <w:t>Pástor, Ľuboš, and Robert F. Stambaugh. 2003. “Liquidity Risk and Expected Stock Returns.” Journal</w:t>
      </w:r>
      <w:r>
        <w:rPr>
          <w:noProof/>
          <w:sz w:val="24"/>
          <w:szCs w:val="24"/>
        </w:rPr>
        <w:t xml:space="preserve"> of Political Economy 111 (3)</w:t>
      </w:r>
      <w:r w:rsidRPr="00BA281A">
        <w:rPr>
          <w:noProof/>
          <w:sz w:val="24"/>
          <w:szCs w:val="24"/>
        </w:rPr>
        <w:t xml:space="preserve">: 642–685. </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Patton, Andrew J., and Brian M. Weller. 2019. “What You See Is Not What You Get: The Costs of Trading Market Anomalies.” </w:t>
      </w:r>
      <w:r w:rsidRPr="00A81003">
        <w:rPr>
          <w:i/>
          <w:iCs/>
          <w:sz w:val="24"/>
          <w:szCs w:val="24"/>
        </w:rPr>
        <w:t>Jour</w:t>
      </w:r>
      <w:r>
        <w:rPr>
          <w:i/>
          <w:iCs/>
          <w:sz w:val="24"/>
          <w:szCs w:val="24"/>
        </w:rPr>
        <w:t>nal of Financial Economics</w:t>
      </w:r>
      <w:r w:rsidRPr="00A81003">
        <w:rPr>
          <w:sz w:val="24"/>
          <w:szCs w:val="24"/>
        </w:rPr>
        <w:t xml:space="preserve">. </w:t>
      </w:r>
    </w:p>
    <w:p w:rsidR="001D1A95"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Paye</w:t>
      </w:r>
      <w:proofErr w:type="spellEnd"/>
      <w:r w:rsidRPr="00A81003">
        <w:rPr>
          <w:sz w:val="24"/>
          <w:szCs w:val="24"/>
        </w:rPr>
        <w:t xml:space="preserve">, Bradley S., and Allan </w:t>
      </w:r>
      <w:proofErr w:type="spellStart"/>
      <w:r w:rsidRPr="00A81003">
        <w:rPr>
          <w:sz w:val="24"/>
          <w:szCs w:val="24"/>
        </w:rPr>
        <w:t>Timmermann</w:t>
      </w:r>
      <w:proofErr w:type="spellEnd"/>
      <w:r w:rsidRPr="00A81003">
        <w:rPr>
          <w:sz w:val="24"/>
          <w:szCs w:val="24"/>
        </w:rPr>
        <w:t xml:space="preserve">. 2006. “Instability of Return Prediction Models.” </w:t>
      </w:r>
      <w:r w:rsidRPr="00A81003">
        <w:rPr>
          <w:i/>
          <w:iCs/>
          <w:sz w:val="24"/>
          <w:szCs w:val="24"/>
        </w:rPr>
        <w:t>Journal of Empirical Finance</w:t>
      </w:r>
      <w:r w:rsidRPr="00A81003">
        <w:rPr>
          <w:sz w:val="24"/>
          <w:szCs w:val="24"/>
        </w:rPr>
        <w:t xml:space="preserve"> 13 (3): 274–315. </w:t>
      </w:r>
    </w:p>
    <w:p w:rsidR="001D1A95" w:rsidRPr="00A81003" w:rsidRDefault="001D1A95" w:rsidP="001D1A95">
      <w:pPr>
        <w:widowControl w:val="0"/>
        <w:autoSpaceDE w:val="0"/>
        <w:autoSpaceDN w:val="0"/>
        <w:adjustRightInd w:val="0"/>
        <w:spacing w:line="480" w:lineRule="auto"/>
        <w:ind w:left="480" w:hanging="480"/>
        <w:rPr>
          <w:sz w:val="24"/>
          <w:szCs w:val="24"/>
        </w:rPr>
      </w:pPr>
      <w:r w:rsidRPr="00C67260">
        <w:rPr>
          <w:noProof/>
          <w:sz w:val="24"/>
          <w:szCs w:val="24"/>
        </w:rPr>
        <w:t xml:space="preserve">Rapach, David, and Guofu Zhou. 2013. “Forecasting Stock Returns.” </w:t>
      </w:r>
      <w:r w:rsidRPr="00C67260">
        <w:rPr>
          <w:i/>
          <w:iCs/>
          <w:noProof/>
          <w:sz w:val="24"/>
          <w:szCs w:val="24"/>
        </w:rPr>
        <w:t>Handbook of Economic Forecasting</w:t>
      </w:r>
      <w:r>
        <w:rPr>
          <w:noProof/>
          <w:sz w:val="24"/>
          <w:szCs w:val="24"/>
        </w:rPr>
        <w:t>, 2:328–383</w:t>
      </w:r>
      <w:r w:rsidRPr="00C67260">
        <w:rPr>
          <w:noProof/>
          <w:sz w:val="24"/>
          <w:szCs w:val="24"/>
        </w:rPr>
        <w:t xml:space="preserve">. </w:t>
      </w:r>
      <w:r w:rsidRPr="00B768DF">
        <w:rPr>
          <w:noProof/>
          <w:sz w:val="24"/>
          <w:szCs w:val="24"/>
        </w:rPr>
        <w:t>Elsevier.</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Rapach</w:t>
      </w:r>
      <w:proofErr w:type="spellEnd"/>
      <w:r w:rsidRPr="00A81003">
        <w:rPr>
          <w:sz w:val="24"/>
          <w:szCs w:val="24"/>
        </w:rPr>
        <w:t xml:space="preserve">, David E., Matthew C. Ringgenberg, and </w:t>
      </w:r>
      <w:proofErr w:type="spellStart"/>
      <w:r w:rsidRPr="00A81003">
        <w:rPr>
          <w:sz w:val="24"/>
          <w:szCs w:val="24"/>
        </w:rPr>
        <w:t>Guofu</w:t>
      </w:r>
      <w:proofErr w:type="spellEnd"/>
      <w:r w:rsidRPr="00A81003">
        <w:rPr>
          <w:sz w:val="24"/>
          <w:szCs w:val="24"/>
        </w:rPr>
        <w:t xml:space="preserve"> Zhou. 2016. “Short Interest and Aggregate Stock Returns.” </w:t>
      </w:r>
      <w:r w:rsidRPr="00A81003">
        <w:rPr>
          <w:i/>
          <w:iCs/>
          <w:sz w:val="24"/>
          <w:szCs w:val="24"/>
        </w:rPr>
        <w:t>Journal of Financial Economics</w:t>
      </w:r>
      <w:r w:rsidRPr="00A81003">
        <w:rPr>
          <w:sz w:val="24"/>
          <w:szCs w:val="24"/>
        </w:rPr>
        <w:t xml:space="preserve"> 121 (1): 46–65.</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Shen, Dehua, Andrew Urquhart, and </w:t>
      </w:r>
      <w:proofErr w:type="spellStart"/>
      <w:r w:rsidRPr="00A81003">
        <w:rPr>
          <w:sz w:val="24"/>
          <w:szCs w:val="24"/>
        </w:rPr>
        <w:t>Pengfei</w:t>
      </w:r>
      <w:proofErr w:type="spellEnd"/>
      <w:r w:rsidRPr="00A81003">
        <w:rPr>
          <w:sz w:val="24"/>
          <w:szCs w:val="24"/>
        </w:rPr>
        <w:t xml:space="preserve"> Wang. 2019. “Does Twitter Predict Bitcoin?” </w:t>
      </w:r>
      <w:r w:rsidRPr="00A81003">
        <w:rPr>
          <w:i/>
          <w:iCs/>
          <w:sz w:val="24"/>
          <w:szCs w:val="24"/>
        </w:rPr>
        <w:t>Economics Letters</w:t>
      </w:r>
      <w:r w:rsidRPr="00A81003">
        <w:rPr>
          <w:sz w:val="24"/>
          <w:szCs w:val="24"/>
        </w:rPr>
        <w:t xml:space="preserve"> 174: 118–122. </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Shi, </w:t>
      </w:r>
      <w:proofErr w:type="spellStart"/>
      <w:r w:rsidRPr="00A81003">
        <w:rPr>
          <w:sz w:val="24"/>
          <w:szCs w:val="24"/>
        </w:rPr>
        <w:t>Shimeng</w:t>
      </w:r>
      <w:proofErr w:type="spellEnd"/>
      <w:r w:rsidRPr="00A81003">
        <w:rPr>
          <w:sz w:val="24"/>
          <w:szCs w:val="24"/>
        </w:rPr>
        <w:t xml:space="preserve">, and </w:t>
      </w:r>
      <w:proofErr w:type="spellStart"/>
      <w:r w:rsidRPr="00A81003">
        <w:rPr>
          <w:sz w:val="24"/>
          <w:szCs w:val="24"/>
        </w:rPr>
        <w:t>Yukun</w:t>
      </w:r>
      <w:proofErr w:type="spellEnd"/>
      <w:r w:rsidRPr="00A81003">
        <w:rPr>
          <w:sz w:val="24"/>
          <w:szCs w:val="24"/>
        </w:rPr>
        <w:t xml:space="preserve"> Shi. 2019. “Bitcoin Futures: Trade It or Ban It?” </w:t>
      </w:r>
      <w:r w:rsidRPr="00A81003">
        <w:rPr>
          <w:i/>
          <w:iCs/>
          <w:sz w:val="24"/>
          <w:szCs w:val="24"/>
        </w:rPr>
        <w:t>European Journal of Finance</w:t>
      </w:r>
      <w:r w:rsidRPr="00A81003">
        <w:rPr>
          <w:sz w:val="24"/>
          <w:szCs w:val="24"/>
        </w:rPr>
        <w:t xml:space="preserve">. </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Stambaugh, Robert F. 1999. “Predictive Regressions.” </w:t>
      </w:r>
      <w:r w:rsidRPr="00A81003">
        <w:rPr>
          <w:i/>
          <w:iCs/>
          <w:sz w:val="24"/>
          <w:szCs w:val="24"/>
        </w:rPr>
        <w:t>Journal of Financial Economics</w:t>
      </w:r>
      <w:r w:rsidRPr="00A81003">
        <w:rPr>
          <w:sz w:val="24"/>
          <w:szCs w:val="24"/>
        </w:rPr>
        <w:t xml:space="preserve"> 54 (3): 375–421.</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lastRenderedPageBreak/>
        <w:t xml:space="preserve">Tay, Anthony S., and Kenneth F. Wallis. 2000. “Density Forecasting: A Survey.” </w:t>
      </w:r>
      <w:r w:rsidRPr="00A81003">
        <w:rPr>
          <w:i/>
          <w:iCs/>
          <w:sz w:val="24"/>
          <w:szCs w:val="24"/>
        </w:rPr>
        <w:t>Journal of Forecasting</w:t>
      </w:r>
      <w:r w:rsidRPr="00A81003">
        <w:rPr>
          <w:sz w:val="24"/>
          <w:szCs w:val="24"/>
        </w:rPr>
        <w:t xml:space="preserve"> 19 (4): 235–254. </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Urquhart, Andrew. 2018. “What Causes the Attention of Bitcoin?” </w:t>
      </w:r>
      <w:r w:rsidRPr="00A81003">
        <w:rPr>
          <w:i/>
          <w:iCs/>
          <w:sz w:val="24"/>
          <w:szCs w:val="24"/>
        </w:rPr>
        <w:t>Economics Letters</w:t>
      </w:r>
      <w:r w:rsidRPr="00A81003">
        <w:rPr>
          <w:sz w:val="24"/>
          <w:szCs w:val="24"/>
        </w:rPr>
        <w:t xml:space="preserve"> 166: 40–44. </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Weber, Beat. 2016. “Bitcoin and the Legitimacy Crisis of Money.” </w:t>
      </w:r>
      <w:r w:rsidRPr="00A81003">
        <w:rPr>
          <w:i/>
          <w:iCs/>
          <w:sz w:val="24"/>
          <w:szCs w:val="24"/>
        </w:rPr>
        <w:t>Cambridge Journal of Economics</w:t>
      </w:r>
      <w:r w:rsidRPr="00A81003">
        <w:rPr>
          <w:sz w:val="24"/>
          <w:szCs w:val="24"/>
        </w:rPr>
        <w:t xml:space="preserve"> 40 (1): 17–41. </w:t>
      </w:r>
    </w:p>
    <w:p w:rsidR="001D1A95" w:rsidRPr="00A81003" w:rsidRDefault="001D1A95" w:rsidP="001D1A95">
      <w:pPr>
        <w:autoSpaceDE w:val="0"/>
        <w:autoSpaceDN w:val="0"/>
        <w:adjustRightInd w:val="0"/>
        <w:spacing w:line="480" w:lineRule="auto"/>
        <w:ind w:left="480" w:hanging="480"/>
        <w:rPr>
          <w:sz w:val="24"/>
          <w:szCs w:val="24"/>
        </w:rPr>
      </w:pPr>
      <w:r w:rsidRPr="00A81003">
        <w:rPr>
          <w:sz w:val="24"/>
          <w:szCs w:val="24"/>
        </w:rPr>
        <w:t xml:space="preserve">Welch, Ivo, and Amit Goyal. 2008. “A Comprehensive Look at the Empirical Performance of Equity Premium Prediction.” </w:t>
      </w:r>
      <w:r w:rsidRPr="00B768DF">
        <w:rPr>
          <w:i/>
          <w:sz w:val="24"/>
          <w:szCs w:val="24"/>
        </w:rPr>
        <w:t xml:space="preserve">The </w:t>
      </w:r>
      <w:r w:rsidRPr="00A81003">
        <w:rPr>
          <w:i/>
          <w:iCs/>
          <w:sz w:val="24"/>
          <w:szCs w:val="24"/>
        </w:rPr>
        <w:t>Review of Financial Studies</w:t>
      </w:r>
      <w:r w:rsidRPr="00A81003">
        <w:rPr>
          <w:sz w:val="24"/>
          <w:szCs w:val="24"/>
        </w:rPr>
        <w:t xml:space="preserve"> 21 (4): 1455–1508.</w:t>
      </w:r>
    </w:p>
    <w:p w:rsidR="001D1A95" w:rsidRPr="00A81003" w:rsidRDefault="001D1A95" w:rsidP="001D1A95">
      <w:pPr>
        <w:autoSpaceDE w:val="0"/>
        <w:autoSpaceDN w:val="0"/>
        <w:adjustRightInd w:val="0"/>
        <w:spacing w:line="480" w:lineRule="auto"/>
        <w:ind w:left="480" w:hanging="480"/>
        <w:rPr>
          <w:sz w:val="24"/>
          <w:szCs w:val="24"/>
        </w:rPr>
      </w:pPr>
      <w:proofErr w:type="spellStart"/>
      <w:r w:rsidRPr="00A81003">
        <w:rPr>
          <w:sz w:val="24"/>
          <w:szCs w:val="24"/>
        </w:rPr>
        <w:t>Westerlund</w:t>
      </w:r>
      <w:proofErr w:type="spellEnd"/>
      <w:r w:rsidRPr="00A81003">
        <w:rPr>
          <w:sz w:val="24"/>
          <w:szCs w:val="24"/>
        </w:rPr>
        <w:t xml:space="preserve">, J., and P. Narayan. 2015. “Testing for Predictability in Conditionally Heteroskedastic Stock Returns.” </w:t>
      </w:r>
      <w:r w:rsidRPr="00A81003">
        <w:rPr>
          <w:i/>
          <w:iCs/>
          <w:sz w:val="24"/>
          <w:szCs w:val="24"/>
        </w:rPr>
        <w:t>Journal of Financial Econometrics</w:t>
      </w:r>
      <w:r w:rsidRPr="00A81003">
        <w:rPr>
          <w:sz w:val="24"/>
          <w:szCs w:val="24"/>
        </w:rPr>
        <w:t xml:space="preserve"> 13 (2): 342–375. </w:t>
      </w:r>
    </w:p>
    <w:p w:rsidR="001D1A95" w:rsidRPr="00A81003" w:rsidRDefault="001D1A95" w:rsidP="001D1A95">
      <w:pPr>
        <w:autoSpaceDE w:val="0"/>
        <w:autoSpaceDN w:val="0"/>
        <w:adjustRightInd w:val="0"/>
        <w:spacing w:line="480" w:lineRule="auto"/>
        <w:ind w:left="480" w:hanging="480"/>
      </w:pPr>
      <w:r w:rsidRPr="00A81003">
        <w:rPr>
          <w:sz w:val="24"/>
          <w:szCs w:val="24"/>
        </w:rPr>
        <w:t xml:space="preserve">White, Halbert. 1980. “A Heteroskedasticity-Consistent Covariance Matrix Estimator and a Direct Test for Heteroskedasticity.” </w:t>
      </w:r>
      <w:proofErr w:type="spellStart"/>
      <w:r w:rsidRPr="00A81003">
        <w:rPr>
          <w:i/>
          <w:iCs/>
          <w:sz w:val="24"/>
          <w:szCs w:val="24"/>
        </w:rPr>
        <w:t>Econometrica</w:t>
      </w:r>
      <w:proofErr w:type="spellEnd"/>
      <w:r w:rsidRPr="00A81003">
        <w:rPr>
          <w:sz w:val="24"/>
          <w:szCs w:val="24"/>
        </w:rPr>
        <w:t xml:space="preserve"> 48 (4): 817. </w:t>
      </w:r>
      <w:bookmarkEnd w:id="2"/>
    </w:p>
    <w:p w:rsidR="00EC432D" w:rsidRDefault="00EC432D" w:rsidP="00CC13EC">
      <w:pPr>
        <w:adjustRightInd w:val="0"/>
        <w:snapToGrid w:val="0"/>
        <w:spacing w:line="480" w:lineRule="auto"/>
        <w:ind w:firstLine="720"/>
        <w:jc w:val="both"/>
        <w:rPr>
          <w:sz w:val="24"/>
          <w:szCs w:val="24"/>
        </w:rPr>
      </w:pPr>
    </w:p>
    <w:sectPr w:rsidR="00EC432D" w:rsidSect="001819DB">
      <w:footerReference w:type="default" r:id="rId13"/>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A6E" w:rsidRDefault="00195A6E" w:rsidP="0099324D">
      <w:pPr>
        <w:spacing w:after="0" w:line="240" w:lineRule="auto"/>
      </w:pPr>
      <w:r>
        <w:separator/>
      </w:r>
    </w:p>
  </w:endnote>
  <w:endnote w:type="continuationSeparator" w:id="0">
    <w:p w:rsidR="00195A6E" w:rsidRDefault="00195A6E" w:rsidP="0099324D">
      <w:pPr>
        <w:spacing w:after="0" w:line="240" w:lineRule="auto"/>
      </w:pPr>
      <w:r>
        <w:continuationSeparator/>
      </w:r>
    </w:p>
  </w:endnote>
  <w:endnote w:id="1">
    <w:p w:rsidR="00E56F32" w:rsidRPr="00A81003" w:rsidRDefault="00E56F32" w:rsidP="00C36E32">
      <w:pPr>
        <w:pStyle w:val="FootnoteText"/>
      </w:pPr>
      <w:r>
        <w:rPr>
          <w:rStyle w:val="EndnoteReference"/>
        </w:rPr>
        <w:t>1</w:t>
      </w:r>
      <w:r>
        <w:t xml:space="preserve"> </w:t>
      </w:r>
      <w:r w:rsidRPr="00A81003">
        <w:t xml:space="preserve">Stambaugh </w:t>
      </w:r>
      <w:r w:rsidRPr="00A81003">
        <w:fldChar w:fldCharType="begin" w:fldLock="1"/>
      </w:r>
      <w:r w:rsidRPr="00A81003">
        <w:instrText>ADDIN CSL_CITATION {"citationItems":[{"id":"ITEM-1","itemData":{"ISSN":"0304405X","abstract":"When a rate of return is regressed on a lagged stochastic regressor, such as a dividend yield, the regression disturbance is correlated with the regressor's innovation. The OLS estimator's finite-sample properties, derived here, can depart substantially from the standard regression setting. Bayesian posterior distributions for the regression parameters are obtained under specifications that differ with respect to (i) prior beliefs about the autocorrelation of the regressor and (ii) whether the initial observation of the regressor is specified as fixed or stochastic. The posteriors differ across such specifications, and asset allocations in the presence of estimation risk exhibit sensitivity to those differences. © 1999 Elsevier Science S.A. All rights reserved.","author":[{"dropping-particle":"","family":"Stambaugh","given":"Robert F.","non-dropping-particle":"","parse-names":false,"suffix":""}],"container-title":"Journal of Financial Economics","id":"ITEM-1","issue":"3","issued":{"date-parts":[["1999"]]},"page":"375-421","title":"Predictive regressions","type":"article-journal","volume":"54"},"suppress-author":1,"uris":["http://www.mendeley.com/documents/?uuid=3ddbac68-7be4-35ae-bfba-982ae5c7fc2d"]}],"mendeley":{"formattedCitation":"(1999)","plainTextFormattedCitation":"(1999)","previouslyFormattedCitation":"(1999)"},"properties":{"noteIndex":0},"schema":"https://github.com/citation-style-language/schema/raw/master/csl-citation.json"}</w:instrText>
      </w:r>
      <w:r w:rsidRPr="00A81003">
        <w:fldChar w:fldCharType="separate"/>
      </w:r>
      <w:r w:rsidRPr="00A81003">
        <w:rPr>
          <w:noProof/>
        </w:rPr>
        <w:t>(1999)</w:t>
      </w:r>
      <w:r w:rsidRPr="00A81003">
        <w:fldChar w:fldCharType="end"/>
      </w:r>
      <w:r w:rsidRPr="00A81003">
        <w:t xml:space="preserve"> indicates that coefficients in such predictive regressions as Equation (1) exhibit a finite sample bias, and a normal </w:t>
      </w:r>
      <w:r w:rsidRPr="00AD4513">
        <w:rPr>
          <w:i/>
        </w:rPr>
        <w:t>t</w:t>
      </w:r>
      <w:r w:rsidRPr="00A81003">
        <w:t>-test could be misleading when the predictors are highly persistent.</w:t>
      </w:r>
    </w:p>
    <w:p w:rsidR="00E56F32" w:rsidRDefault="00E56F32">
      <w:pPr>
        <w:pStyle w:val="EndnoteText"/>
      </w:pPr>
    </w:p>
  </w:endnote>
  <w:endnote w:id="2">
    <w:p w:rsidR="00E56F32" w:rsidRDefault="00E56F32">
      <w:pPr>
        <w:pStyle w:val="EndnoteText"/>
      </w:pPr>
      <w:r>
        <w:rPr>
          <w:rStyle w:val="EndnoteReference"/>
        </w:rPr>
        <w:t>2</w:t>
      </w:r>
      <w:r>
        <w:t xml:space="preserve"> </w:t>
      </w:r>
      <w:r w:rsidRPr="00A81003">
        <w:t>The forecast evaluation period begins on 29 May 2014, or the 901</w:t>
      </w:r>
      <w:r w:rsidRPr="00A81003">
        <w:rPr>
          <w:vertAlign w:val="superscript"/>
        </w:rPr>
        <w:t>st</w:t>
      </w:r>
      <w:r w:rsidRPr="00A81003">
        <w:t xml:space="preserve"> observation in our sample.</w:t>
      </w:r>
    </w:p>
  </w:endnote>
  <w:endnote w:id="3">
    <w:p w:rsidR="00E56F32" w:rsidRDefault="00E56F32" w:rsidP="00762927">
      <w:pPr>
        <w:pStyle w:val="FootnoteText"/>
        <w:jc w:val="both"/>
      </w:pPr>
      <w:r>
        <w:rPr>
          <w:rStyle w:val="EndnoteReference"/>
        </w:rPr>
        <w:endnoteRef/>
      </w:r>
      <w:r>
        <w:t xml:space="preserve"> </w:t>
      </w:r>
      <w:r w:rsidRPr="00A81003">
        <w:t>The forecast evaluation period for the out-of-sample estimation also begins on 29 May 2014.</w:t>
      </w:r>
    </w:p>
  </w:endnote>
  <w:endnote w:id="4">
    <w:p w:rsidR="00E56F32" w:rsidRDefault="00E56F32">
      <w:pPr>
        <w:pStyle w:val="EndnoteText"/>
      </w:pPr>
      <w:r>
        <w:rPr>
          <w:rStyle w:val="EndnoteReference"/>
        </w:rPr>
        <w:endnoteRef/>
      </w:r>
      <w:r>
        <w:t xml:space="preserve"> </w:t>
      </w:r>
      <w:r w:rsidRPr="00A81003">
        <w:t>A utility gain of 2% or more in the predictive model is typically considered economically significant (</w:t>
      </w:r>
      <w:r w:rsidRPr="00A81003">
        <w:t>Rapach and Zhou</w:t>
      </w:r>
      <w:r>
        <w:t>,</w:t>
      </w:r>
      <w:r w:rsidRPr="00A81003">
        <w:t xml:space="preserve"> 2013).</w:t>
      </w:r>
    </w:p>
  </w:endnote>
  <w:endnote w:id="5">
    <w:p w:rsidR="00E56F32" w:rsidRDefault="00E56F32">
      <w:pPr>
        <w:pStyle w:val="EndnoteText"/>
      </w:pPr>
      <w:r>
        <w:rPr>
          <w:rStyle w:val="EndnoteReference"/>
        </w:rPr>
        <w:endnoteRef/>
      </w:r>
      <w:r>
        <w:t xml:space="preserve"> </w:t>
      </w:r>
      <w:r w:rsidRPr="00A81003">
        <w:t>See http://apps.olin.wustl.edu/faculty/zhou/.</w:t>
      </w:r>
    </w:p>
  </w:endnote>
  <w:endnote w:id="6">
    <w:p w:rsidR="00E56F32" w:rsidRDefault="00E56F32">
      <w:pPr>
        <w:pStyle w:val="EndnoteText"/>
      </w:pPr>
      <w:r>
        <w:rPr>
          <w:rStyle w:val="EndnoteReference"/>
        </w:rPr>
        <w:endnoteRef/>
      </w:r>
      <w:r>
        <w:t xml:space="preserve"> </w:t>
      </w:r>
      <w:r w:rsidRPr="00AD7DCA">
        <w:t>We standardize each predictor to have a standard deviation of one and report returns in percentage in Table 3</w:t>
      </w:r>
      <w:r w:rsidRPr="00BA5B30">
        <w:t>.</w:t>
      </w:r>
    </w:p>
  </w:endnote>
  <w:endnote w:id="7">
    <w:p w:rsidR="00E56F32" w:rsidRDefault="00E56F32">
      <w:pPr>
        <w:pStyle w:val="EndnoteText"/>
      </w:pPr>
      <w:r>
        <w:rPr>
          <w:rStyle w:val="EndnoteReference"/>
        </w:rPr>
        <w:endnoteRef/>
      </w:r>
      <w:r>
        <w:t xml:space="preserve"> </w:t>
      </w:r>
      <w:r w:rsidRPr="00A81003">
        <w:t>Our result is consistent with Kim et al</w:t>
      </w:r>
      <w:r>
        <w:t>.</w:t>
      </w:r>
      <w:r w:rsidRPr="00A81003">
        <w:t xml:space="preserve"> (2016), demonstrating that the scaled time-series momentum delivers a large, significant alpha for a diversified portfolio of international futures contracts.</w:t>
      </w:r>
    </w:p>
  </w:endnote>
  <w:endnote w:id="8">
    <w:p w:rsidR="00E56F32" w:rsidRDefault="00E56F32">
      <w:pPr>
        <w:pStyle w:val="EndnoteText"/>
      </w:pPr>
      <w:r>
        <w:rPr>
          <w:rStyle w:val="EndnoteReference"/>
        </w:rPr>
        <w:endnoteRef/>
      </w:r>
      <w:r>
        <w:t xml:space="preserve"> </w:t>
      </w:r>
      <w:r w:rsidRPr="004B6822">
        <w:t xml:space="preserve">While </w:t>
      </w:r>
      <w:r w:rsidRPr="004B6822">
        <w:t xml:space="preserve">the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oMath>
      <w:r w:rsidRPr="004B6822">
        <w:t xml:space="preserve"> of BD is negative at the 21- and 28-day horizons, the Clark and West (2007) test statistic is significant. </w:t>
      </w:r>
      <w:r>
        <w:t>This</w:t>
      </w:r>
      <w:r w:rsidRPr="004B6822">
        <w:t xml:space="preserve"> is similar to Neely et al. (2014) which shows that certain macroeconomic predictors have negative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OS</m:t>
            </m:r>
          </m:sub>
          <m:sup>
            <m:r>
              <w:rPr>
                <w:rFonts w:ascii="Cambria Math" w:hAnsi="Cambria Math"/>
                <w:sz w:val="24"/>
                <w:szCs w:val="24"/>
              </w:rPr>
              <m:t>2</m:t>
            </m:r>
          </m:sup>
        </m:sSubSup>
      </m:oMath>
      <w:r w:rsidRPr="00A81003">
        <w:rPr>
          <w:noProof/>
          <w:position w:val="-10"/>
          <w:sz w:val="24"/>
          <w:szCs w:val="24"/>
        </w:rPr>
        <w:drawing>
          <wp:inline distT="0" distB="0" distL="0" distR="0" wp14:anchorId="2CE68A14" wp14:editId="234BFF74">
            <wp:extent cx="257175" cy="2000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4B6822">
        <w:t xml:space="preserve"> values and significant test statistics.</w:t>
      </w:r>
    </w:p>
  </w:endnote>
  <w:endnote w:id="9">
    <w:p w:rsidR="00E56F32" w:rsidRDefault="00E56F32">
      <w:pPr>
        <w:pStyle w:val="EndnoteText"/>
      </w:pPr>
      <w:r>
        <w:rPr>
          <w:rStyle w:val="EndnoteReference"/>
        </w:rPr>
        <w:endnoteRef/>
      </w:r>
      <w:r>
        <w:t xml:space="preserve"> </w:t>
      </w:r>
      <w:r w:rsidRPr="00A81003">
        <w:t xml:space="preserve">The magnitude can be different when the relative risk aversion coefficient varies. However, the patterns remain qualitatively similar. For example, the CER gains of </w:t>
      </w:r>
      <w:r w:rsidRPr="00A81003">
        <w:rPr>
          <w:i/>
          <w:iCs/>
        </w:rPr>
        <w:t>BD</w:t>
      </w:r>
      <w:r w:rsidRPr="00A81003">
        <w:t xml:space="preserve"> decrease when the relative risk aversion coefficient increases.</w:t>
      </w:r>
    </w:p>
  </w:endnote>
  <w:endnote w:id="10">
    <w:p w:rsidR="00E56F32" w:rsidRDefault="00E56F32">
      <w:pPr>
        <w:pStyle w:val="EndnoteText"/>
      </w:pPr>
      <w:r>
        <w:rPr>
          <w:rStyle w:val="EndnoteReference"/>
        </w:rPr>
        <w:endnoteRef/>
      </w:r>
      <w:r>
        <w:t xml:space="preserve"> </w:t>
      </w:r>
      <w:r w:rsidRPr="00A81003">
        <w:t>See data.bitcoinity.org for details.</w:t>
      </w:r>
    </w:p>
  </w:endnote>
  <w:endnote w:id="11">
    <w:p w:rsidR="00E56F32" w:rsidRDefault="00E56F32">
      <w:pPr>
        <w:pStyle w:val="EndnoteText"/>
      </w:pPr>
      <w:r>
        <w:rPr>
          <w:rStyle w:val="EndnoteReference"/>
        </w:rPr>
        <w:endnoteRef/>
      </w:r>
      <w:r>
        <w:t xml:space="preserve"> </w:t>
      </w:r>
      <w:r w:rsidRPr="00A81003">
        <w:t xml:space="preserve">We obtain similar results when we use 0.1% and 0.3% as transaction costs. </w:t>
      </w:r>
      <w:r w:rsidRPr="00A81003">
        <w:t>Detzel et al. (20</w:t>
      </w:r>
      <w:r>
        <w:t>20</w:t>
      </w:r>
      <w:r w:rsidRPr="00A81003">
        <w:t>) suggest that the transaction costs of Bitcoin range from 0.1% to 0.3%.</w:t>
      </w:r>
    </w:p>
  </w:endnote>
  <w:endnote w:id="12">
    <w:p w:rsidR="00E56F32" w:rsidRDefault="00E56F32">
      <w:pPr>
        <w:pStyle w:val="EndnoteText"/>
      </w:pPr>
      <w:r>
        <w:rPr>
          <w:rStyle w:val="EndnoteReference"/>
        </w:rPr>
        <w:endnoteRef/>
      </w:r>
      <w:r>
        <w:t xml:space="preserve"> </w:t>
      </w:r>
      <w:r w:rsidRPr="00A81003">
        <w:t>See Table 1 of Elliott and Müller (2006) for the critical values.</w:t>
      </w:r>
    </w:p>
    <w:p w:rsidR="00E56F32" w:rsidRDefault="00E56F32">
      <w:pPr>
        <w:pStyle w:val="EndnoteText"/>
      </w:pPr>
    </w:p>
    <w:p w:rsidR="00E56F32" w:rsidRDefault="00E56F32">
      <w:pPr>
        <w:pStyle w:val="EndnoteText"/>
      </w:pPr>
    </w:p>
    <w:p w:rsidR="00E56F32" w:rsidRDefault="00E56F32">
      <w:pPr>
        <w:pStyle w:val="EndnoteText"/>
      </w:pPr>
    </w:p>
    <w:p w:rsidR="00E56F32" w:rsidRDefault="00E56F3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Times">
    <w:altName w:val="Times New Roman"/>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304431"/>
      <w:docPartObj>
        <w:docPartGallery w:val="Page Numbers (Bottom of Page)"/>
        <w:docPartUnique/>
      </w:docPartObj>
    </w:sdtPr>
    <w:sdtEndPr>
      <w:rPr>
        <w:noProof/>
      </w:rPr>
    </w:sdtEndPr>
    <w:sdtContent>
      <w:p w:rsidR="00E56F32" w:rsidRDefault="00E27CF1">
        <w:pPr>
          <w:pStyle w:val="Footer"/>
          <w:jc w:val="center"/>
        </w:pPr>
        <w:r>
          <w:rPr>
            <w:noProof/>
            <w:sz w:val="22"/>
            <w:szCs w:val="22"/>
          </w:rPr>
          <w:t>20</w:t>
        </w:r>
      </w:p>
    </w:sdtContent>
  </w:sdt>
  <w:p w:rsidR="00E56F32" w:rsidRPr="00735D1B" w:rsidRDefault="00E56F32">
    <w:pPr>
      <w:pStyle w:val="Foo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0338774"/>
      <w:docPartObj>
        <w:docPartGallery w:val="Page Numbers (Bottom of Page)"/>
        <w:docPartUnique/>
      </w:docPartObj>
    </w:sdtPr>
    <w:sdtEndPr>
      <w:rPr>
        <w:noProof/>
        <w:sz w:val="22"/>
        <w:szCs w:val="22"/>
      </w:rPr>
    </w:sdtEndPr>
    <w:sdtContent>
      <w:p w:rsidR="00E56F32" w:rsidRPr="00B8645B" w:rsidRDefault="00E27CF1">
        <w:pPr>
          <w:pStyle w:val="Footer"/>
          <w:jc w:val="center"/>
          <w:rPr>
            <w:sz w:val="22"/>
            <w:szCs w:val="22"/>
          </w:rPr>
        </w:pPr>
        <w:r>
          <w:rPr>
            <w:noProof/>
            <w:sz w:val="22"/>
            <w:szCs w:val="22"/>
          </w:rPr>
          <w:t>21</w:t>
        </w:r>
      </w:p>
    </w:sdtContent>
  </w:sdt>
  <w:p w:rsidR="00E56F32" w:rsidRPr="00735D1B" w:rsidRDefault="00E56F32">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A6E" w:rsidRDefault="00195A6E" w:rsidP="0099324D">
      <w:pPr>
        <w:spacing w:after="0" w:line="240" w:lineRule="auto"/>
      </w:pPr>
      <w:r>
        <w:separator/>
      </w:r>
    </w:p>
  </w:footnote>
  <w:footnote w:type="continuationSeparator" w:id="0">
    <w:p w:rsidR="00195A6E" w:rsidRDefault="00195A6E" w:rsidP="00993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0D5D1C"/>
    <w:multiLevelType w:val="multilevel"/>
    <w:tmpl w:val="48402CC6"/>
    <w:lvl w:ilvl="0">
      <w:start w:val="1"/>
      <w:numFmt w:val="decimal"/>
      <w:lvlText w:val="%1."/>
      <w:lvlJc w:val="left"/>
      <w:pPr>
        <w:ind w:left="262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4096" w:nlCheck="1" w:checkStyle="1"/>
  <w:activeWritingStyle w:appName="MSWord" w:lang="en-GB" w:vendorID="64" w:dllVersion="4096" w:nlCheck="1" w:checkStyle="1"/>
  <w:activeWritingStyle w:appName="MSWord" w:lang="en-GB" w:vendorID="64" w:dllVersion="6" w:nlCheck="1" w:checkStyle="1"/>
  <w:activeWritingStyle w:appName="MSWord" w:lang="en-GB" w:vendorID="64" w:dllVersion="0" w:nlCheck="1" w:checkStyle="0"/>
  <w:proofState w:spelling="clean" w:grammar="clean"/>
  <w:doNotTrackFormatting/>
  <w:defaultTabStop w:val="720"/>
  <w:characterSpacingControl w:val="doNotCompress"/>
  <w:hdrShapeDefaults>
    <o:shapedefaults v:ext="edit" spidmax="4097"/>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3MDa0NDUyNLYwMTRQ0lEKTi0uzszPAykwrAUAURHzmCwAAAA="/>
    <w:docVar w:name="intellisampler_rd 106" w:val="106"/>
    <w:docVar w:name="intellisampler_rd 108" w:val="108"/>
    <w:docVar w:name="intellisampler_rd 113" w:val="113"/>
    <w:docVar w:name="intellisampler_rd 36" w:val="36"/>
    <w:docVar w:name="intellisampler_rd 41" w:val="41"/>
    <w:docVar w:name="intellisampler_rd 48" w:val="48"/>
    <w:docVar w:name="intellisampler_rd 58" w:val="58"/>
    <w:docVar w:name="intellisampler_rd 70" w:val="70"/>
    <w:docVar w:name="intellisampler_rd 76" w:val="76"/>
    <w:docVar w:name="intellisampler_rd 83" w:val="83"/>
    <w:docVar w:name="intellisampler_rd 96" w:val="96"/>
    <w:docVar w:name="intellisampler_rt 1" w:val="1"/>
    <w:docVar w:name="intellisampler_rt 10" w:val="10"/>
    <w:docVar w:name="intellisampler_rt 11" w:val="11"/>
    <w:docVar w:name="intellisampler_rt 12" w:val="12"/>
    <w:docVar w:name="intellisampler_rt 121" w:val="121"/>
    <w:docVar w:name="intellisampler_rt 122" w:val="122"/>
    <w:docVar w:name="intellisampler_rt 123" w:val="123"/>
    <w:docVar w:name="intellisampler_rt 124" w:val="124"/>
    <w:docVar w:name="intellisampler_rt 125" w:val="125"/>
    <w:docVar w:name="intellisampler_rt 126" w:val="126"/>
    <w:docVar w:name="intellisampler_rt 127" w:val="127"/>
    <w:docVar w:name="intellisampler_rt 128" w:val="128"/>
    <w:docVar w:name="intellisampler_rt 129" w:val="129"/>
    <w:docVar w:name="intellisampler_rt 13" w:val="13"/>
    <w:docVar w:name="intellisampler_rt 130" w:val="130"/>
    <w:docVar w:name="intellisampler_rt 131" w:val="131"/>
    <w:docVar w:name="intellisampler_rt 132" w:val="132"/>
    <w:docVar w:name="intellisampler_rt 133" w:val="133"/>
    <w:docVar w:name="intellisampler_rt 134" w:val="134"/>
    <w:docVar w:name="intellisampler_rt 135" w:val="135"/>
    <w:docVar w:name="intellisampler_rt 136" w:val="136"/>
    <w:docVar w:name="intellisampler_rt 137" w:val="137"/>
    <w:docVar w:name="intellisampler_rt 138" w:val="138"/>
    <w:docVar w:name="intellisampler_rt 139" w:val="139"/>
    <w:docVar w:name="intellisampler_rt 14" w:val="14"/>
    <w:docVar w:name="intellisampler_rt 140" w:val="140"/>
    <w:docVar w:name="intellisampler_rt 141" w:val="141"/>
    <w:docVar w:name="intellisampler_rt 142" w:val="142"/>
    <w:docVar w:name="intellisampler_rt 143" w:val="143"/>
    <w:docVar w:name="intellisampler_rt 144" w:val="144"/>
    <w:docVar w:name="intellisampler_rt 145" w:val="145"/>
    <w:docVar w:name="intellisampler_rt 146" w:val="146"/>
    <w:docVar w:name="intellisampler_rt 147" w:val="147"/>
    <w:docVar w:name="intellisampler_rt 148" w:val="148"/>
    <w:docVar w:name="intellisampler_rt 149" w:val="149"/>
    <w:docVar w:name="intellisampler_rt 15" w:val="15"/>
    <w:docVar w:name="intellisampler_rt 150" w:val="150"/>
    <w:docVar w:name="intellisampler_rt 151" w:val="151"/>
    <w:docVar w:name="intellisampler_rt 152" w:val="152"/>
    <w:docVar w:name="intellisampler_rt 153" w:val="153"/>
    <w:docVar w:name="intellisampler_rt 154" w:val="154"/>
    <w:docVar w:name="intellisampler_rt 155" w:val="155"/>
    <w:docVar w:name="intellisampler_rt 156" w:val="156"/>
    <w:docVar w:name="intellisampler_rt 157" w:val="157"/>
    <w:docVar w:name="intellisampler_rt 158" w:val="158"/>
    <w:docVar w:name="intellisampler_rt 159" w:val="159"/>
    <w:docVar w:name="intellisampler_rt 16" w:val="16"/>
    <w:docVar w:name="intellisampler_rt 160" w:val="160"/>
    <w:docVar w:name="intellisampler_rt 161" w:val="161"/>
    <w:docVar w:name="intellisampler_rt 162" w:val="162"/>
    <w:docVar w:name="intellisampler_rt 163" w:val="163"/>
    <w:docVar w:name="intellisampler_rt 164" w:val="164"/>
    <w:docVar w:name="intellisampler_rt 165" w:val="165"/>
    <w:docVar w:name="intellisampler_rt 166" w:val="166"/>
    <w:docVar w:name="intellisampler_rt 167" w:val="167"/>
    <w:docVar w:name="intellisampler_rt 168" w:val="168"/>
    <w:docVar w:name="intellisampler_rt 169" w:val="169"/>
    <w:docVar w:name="intellisampler_rt 17" w:val="17"/>
    <w:docVar w:name="intellisampler_rt 170" w:val="170"/>
    <w:docVar w:name="intellisampler_rt 171" w:val="171"/>
    <w:docVar w:name="intellisampler_rt 172" w:val="172"/>
    <w:docVar w:name="intellisampler_rt 173" w:val="173"/>
    <w:docVar w:name="intellisampler_rt 174" w:val="174"/>
    <w:docVar w:name="intellisampler_rt 175" w:val="175"/>
    <w:docVar w:name="intellisampler_rt 176" w:val="176"/>
    <w:docVar w:name="intellisampler_rt 177" w:val="177"/>
    <w:docVar w:name="intellisampler_rt 178" w:val="178"/>
    <w:docVar w:name="intellisampler_rt 179" w:val="179"/>
    <w:docVar w:name="intellisampler_rt 18" w:val="18"/>
    <w:docVar w:name="intellisampler_rt 180" w:val="180"/>
    <w:docVar w:name="intellisampler_rt 181" w:val="181"/>
    <w:docVar w:name="intellisampler_rt 182" w:val="182"/>
    <w:docVar w:name="intellisampler_rt 19" w:val="19"/>
    <w:docVar w:name="intellisampler_rt 2" w:val="2"/>
    <w:docVar w:name="intellisampler_rt 20" w:val="20"/>
    <w:docVar w:name="intellisampler_rt 21" w:val="21"/>
    <w:docVar w:name="intellisampler_rt 3" w:val="3"/>
    <w:docVar w:name="intellisampler_rt 4" w:val="4"/>
    <w:docVar w:name="intellisampler_rt 5" w:val="5"/>
    <w:docVar w:name="intellisampler_rt 6" w:val="6"/>
    <w:docVar w:name="intellisampler_rt 7" w:val="7"/>
    <w:docVar w:name="intellisampler_rt 8" w:val="8"/>
    <w:docVar w:name="intellisampler_rt 9" w:val="9"/>
    <w:docVar w:name="is_review_method" w:val="Normal"/>
    <w:docVar w:name="is_sampling_method" w:val="categorical"/>
  </w:docVars>
  <w:rsids>
    <w:rsidRoot w:val="00FF4825"/>
    <w:rsid w:val="000017A2"/>
    <w:rsid w:val="000029B6"/>
    <w:rsid w:val="00003302"/>
    <w:rsid w:val="000049F4"/>
    <w:rsid w:val="000051EA"/>
    <w:rsid w:val="00011EF1"/>
    <w:rsid w:val="00013E84"/>
    <w:rsid w:val="000145BD"/>
    <w:rsid w:val="0001486E"/>
    <w:rsid w:val="0002067B"/>
    <w:rsid w:val="00021FF7"/>
    <w:rsid w:val="00025548"/>
    <w:rsid w:val="0003065C"/>
    <w:rsid w:val="00030784"/>
    <w:rsid w:val="0003090B"/>
    <w:rsid w:val="000337C2"/>
    <w:rsid w:val="00040308"/>
    <w:rsid w:val="000406B6"/>
    <w:rsid w:val="0004082F"/>
    <w:rsid w:val="000426E5"/>
    <w:rsid w:val="00042A4D"/>
    <w:rsid w:val="00044186"/>
    <w:rsid w:val="00045AE5"/>
    <w:rsid w:val="00046498"/>
    <w:rsid w:val="000511FD"/>
    <w:rsid w:val="000530C2"/>
    <w:rsid w:val="00053F6F"/>
    <w:rsid w:val="00063669"/>
    <w:rsid w:val="00064EA2"/>
    <w:rsid w:val="000650F3"/>
    <w:rsid w:val="00065432"/>
    <w:rsid w:val="00066C51"/>
    <w:rsid w:val="00070744"/>
    <w:rsid w:val="000708CE"/>
    <w:rsid w:val="000733CF"/>
    <w:rsid w:val="0007391D"/>
    <w:rsid w:val="000742C9"/>
    <w:rsid w:val="00077376"/>
    <w:rsid w:val="000779EC"/>
    <w:rsid w:val="00077E86"/>
    <w:rsid w:val="00081CB1"/>
    <w:rsid w:val="000834F1"/>
    <w:rsid w:val="000852D8"/>
    <w:rsid w:val="00090DDD"/>
    <w:rsid w:val="00092D8C"/>
    <w:rsid w:val="00095A42"/>
    <w:rsid w:val="000960DF"/>
    <w:rsid w:val="000971D1"/>
    <w:rsid w:val="0009728B"/>
    <w:rsid w:val="000A40C5"/>
    <w:rsid w:val="000A43B3"/>
    <w:rsid w:val="000A4E78"/>
    <w:rsid w:val="000B1172"/>
    <w:rsid w:val="000B2B04"/>
    <w:rsid w:val="000B2CDA"/>
    <w:rsid w:val="000B4600"/>
    <w:rsid w:val="000B46A5"/>
    <w:rsid w:val="000B4940"/>
    <w:rsid w:val="000B6A98"/>
    <w:rsid w:val="000C0241"/>
    <w:rsid w:val="000C2E86"/>
    <w:rsid w:val="000C2F81"/>
    <w:rsid w:val="000C4CFE"/>
    <w:rsid w:val="000D1AF6"/>
    <w:rsid w:val="000D542A"/>
    <w:rsid w:val="000D73A3"/>
    <w:rsid w:val="000D7A7D"/>
    <w:rsid w:val="000E13D5"/>
    <w:rsid w:val="000E1FB9"/>
    <w:rsid w:val="000E279A"/>
    <w:rsid w:val="000E4342"/>
    <w:rsid w:val="000E46BB"/>
    <w:rsid w:val="000E54DE"/>
    <w:rsid w:val="000E5DE6"/>
    <w:rsid w:val="000F0DDB"/>
    <w:rsid w:val="000F1BA1"/>
    <w:rsid w:val="000F43A1"/>
    <w:rsid w:val="000F5E21"/>
    <w:rsid w:val="000F7954"/>
    <w:rsid w:val="00101EE0"/>
    <w:rsid w:val="00101FE5"/>
    <w:rsid w:val="00102E18"/>
    <w:rsid w:val="00102EEA"/>
    <w:rsid w:val="00104E46"/>
    <w:rsid w:val="001133BB"/>
    <w:rsid w:val="001236B8"/>
    <w:rsid w:val="00131705"/>
    <w:rsid w:val="001339AD"/>
    <w:rsid w:val="0013751A"/>
    <w:rsid w:val="00137949"/>
    <w:rsid w:val="00145B53"/>
    <w:rsid w:val="001504C9"/>
    <w:rsid w:val="001505B0"/>
    <w:rsid w:val="00151CBA"/>
    <w:rsid w:val="00152C45"/>
    <w:rsid w:val="00171DE6"/>
    <w:rsid w:val="00174D10"/>
    <w:rsid w:val="0017562A"/>
    <w:rsid w:val="001768DF"/>
    <w:rsid w:val="0017799A"/>
    <w:rsid w:val="001819DB"/>
    <w:rsid w:val="00182560"/>
    <w:rsid w:val="00187BD9"/>
    <w:rsid w:val="001918B6"/>
    <w:rsid w:val="0019256F"/>
    <w:rsid w:val="00195A6E"/>
    <w:rsid w:val="001A200D"/>
    <w:rsid w:val="001A3E1C"/>
    <w:rsid w:val="001A4703"/>
    <w:rsid w:val="001A4FEF"/>
    <w:rsid w:val="001B0B84"/>
    <w:rsid w:val="001B0F39"/>
    <w:rsid w:val="001B18E5"/>
    <w:rsid w:val="001B22FB"/>
    <w:rsid w:val="001B30F4"/>
    <w:rsid w:val="001B3C1D"/>
    <w:rsid w:val="001B4312"/>
    <w:rsid w:val="001B4DE2"/>
    <w:rsid w:val="001B4E15"/>
    <w:rsid w:val="001B68CE"/>
    <w:rsid w:val="001C08DB"/>
    <w:rsid w:val="001C1467"/>
    <w:rsid w:val="001C26E6"/>
    <w:rsid w:val="001D0205"/>
    <w:rsid w:val="001D1A95"/>
    <w:rsid w:val="001D2CB9"/>
    <w:rsid w:val="001D65D4"/>
    <w:rsid w:val="001D7589"/>
    <w:rsid w:val="001E1EE8"/>
    <w:rsid w:val="001E5F9E"/>
    <w:rsid w:val="001F1D3C"/>
    <w:rsid w:val="001F2962"/>
    <w:rsid w:val="001F3AF6"/>
    <w:rsid w:val="001F3E02"/>
    <w:rsid w:val="001F5993"/>
    <w:rsid w:val="001F739B"/>
    <w:rsid w:val="00201027"/>
    <w:rsid w:val="00205885"/>
    <w:rsid w:val="00206076"/>
    <w:rsid w:val="00206827"/>
    <w:rsid w:val="0020682F"/>
    <w:rsid w:val="00207943"/>
    <w:rsid w:val="002117CB"/>
    <w:rsid w:val="00213234"/>
    <w:rsid w:val="00215814"/>
    <w:rsid w:val="00217042"/>
    <w:rsid w:val="0021715A"/>
    <w:rsid w:val="00220F9D"/>
    <w:rsid w:val="002225BD"/>
    <w:rsid w:val="00231553"/>
    <w:rsid w:val="00232463"/>
    <w:rsid w:val="00232636"/>
    <w:rsid w:val="00234497"/>
    <w:rsid w:val="00250E85"/>
    <w:rsid w:val="00254308"/>
    <w:rsid w:val="002543FB"/>
    <w:rsid w:val="00257011"/>
    <w:rsid w:val="0026028C"/>
    <w:rsid w:val="00260F63"/>
    <w:rsid w:val="00263BAF"/>
    <w:rsid w:val="00263F7C"/>
    <w:rsid w:val="00264A1E"/>
    <w:rsid w:val="0026565C"/>
    <w:rsid w:val="002877A2"/>
    <w:rsid w:val="00287F1E"/>
    <w:rsid w:val="00287FD4"/>
    <w:rsid w:val="0029370C"/>
    <w:rsid w:val="00294665"/>
    <w:rsid w:val="0029520B"/>
    <w:rsid w:val="00296EF2"/>
    <w:rsid w:val="00297CF1"/>
    <w:rsid w:val="002A1F15"/>
    <w:rsid w:val="002A4471"/>
    <w:rsid w:val="002A4E9F"/>
    <w:rsid w:val="002A5E17"/>
    <w:rsid w:val="002A71BD"/>
    <w:rsid w:val="002B0457"/>
    <w:rsid w:val="002B17EC"/>
    <w:rsid w:val="002B365B"/>
    <w:rsid w:val="002B375C"/>
    <w:rsid w:val="002B523C"/>
    <w:rsid w:val="002B5B5E"/>
    <w:rsid w:val="002B6653"/>
    <w:rsid w:val="002C0D05"/>
    <w:rsid w:val="002C1FF2"/>
    <w:rsid w:val="002C22A3"/>
    <w:rsid w:val="002C35B6"/>
    <w:rsid w:val="002C4B4C"/>
    <w:rsid w:val="002D1F73"/>
    <w:rsid w:val="002D274C"/>
    <w:rsid w:val="002D2E8C"/>
    <w:rsid w:val="002D6AFA"/>
    <w:rsid w:val="002E30C9"/>
    <w:rsid w:val="002E4CA3"/>
    <w:rsid w:val="002E4E19"/>
    <w:rsid w:val="002E576B"/>
    <w:rsid w:val="002F16B6"/>
    <w:rsid w:val="002F2558"/>
    <w:rsid w:val="002F2DEA"/>
    <w:rsid w:val="002F4EA3"/>
    <w:rsid w:val="002F53B3"/>
    <w:rsid w:val="002F70D4"/>
    <w:rsid w:val="00307A6E"/>
    <w:rsid w:val="00311750"/>
    <w:rsid w:val="00312F2E"/>
    <w:rsid w:val="00313006"/>
    <w:rsid w:val="0031361A"/>
    <w:rsid w:val="003149CB"/>
    <w:rsid w:val="00316480"/>
    <w:rsid w:val="003268C0"/>
    <w:rsid w:val="00336129"/>
    <w:rsid w:val="0034449C"/>
    <w:rsid w:val="00351558"/>
    <w:rsid w:val="00351A59"/>
    <w:rsid w:val="00351BFE"/>
    <w:rsid w:val="003528F0"/>
    <w:rsid w:val="00352C54"/>
    <w:rsid w:val="00357B7C"/>
    <w:rsid w:val="00357CEB"/>
    <w:rsid w:val="0036271C"/>
    <w:rsid w:val="0036294D"/>
    <w:rsid w:val="00363B42"/>
    <w:rsid w:val="00363E03"/>
    <w:rsid w:val="003645F3"/>
    <w:rsid w:val="00365A86"/>
    <w:rsid w:val="00367A10"/>
    <w:rsid w:val="00371D2E"/>
    <w:rsid w:val="00372744"/>
    <w:rsid w:val="00373F49"/>
    <w:rsid w:val="00381AE5"/>
    <w:rsid w:val="00382DF8"/>
    <w:rsid w:val="0038335D"/>
    <w:rsid w:val="00384653"/>
    <w:rsid w:val="0038480A"/>
    <w:rsid w:val="00384CD6"/>
    <w:rsid w:val="003875AB"/>
    <w:rsid w:val="00390FAC"/>
    <w:rsid w:val="003931BA"/>
    <w:rsid w:val="0039497E"/>
    <w:rsid w:val="00397BE2"/>
    <w:rsid w:val="003A08D8"/>
    <w:rsid w:val="003A5B9B"/>
    <w:rsid w:val="003B3605"/>
    <w:rsid w:val="003B4EC8"/>
    <w:rsid w:val="003B5381"/>
    <w:rsid w:val="003C046F"/>
    <w:rsid w:val="003C1819"/>
    <w:rsid w:val="003D48F4"/>
    <w:rsid w:val="003D5E46"/>
    <w:rsid w:val="003D743E"/>
    <w:rsid w:val="003D7DAB"/>
    <w:rsid w:val="003E173F"/>
    <w:rsid w:val="003E1DE0"/>
    <w:rsid w:val="003E1ED1"/>
    <w:rsid w:val="003E438E"/>
    <w:rsid w:val="003E4F64"/>
    <w:rsid w:val="003E7AC9"/>
    <w:rsid w:val="003F0A27"/>
    <w:rsid w:val="003F2F27"/>
    <w:rsid w:val="003F5323"/>
    <w:rsid w:val="0040205D"/>
    <w:rsid w:val="0040549A"/>
    <w:rsid w:val="004062B2"/>
    <w:rsid w:val="0040633B"/>
    <w:rsid w:val="00407BEB"/>
    <w:rsid w:val="0041068C"/>
    <w:rsid w:val="00415150"/>
    <w:rsid w:val="0041534E"/>
    <w:rsid w:val="00417654"/>
    <w:rsid w:val="00422E10"/>
    <w:rsid w:val="00423075"/>
    <w:rsid w:val="00423E20"/>
    <w:rsid w:val="004252CD"/>
    <w:rsid w:val="00435519"/>
    <w:rsid w:val="00435665"/>
    <w:rsid w:val="00436C17"/>
    <w:rsid w:val="004404C8"/>
    <w:rsid w:val="00441B37"/>
    <w:rsid w:val="004435CA"/>
    <w:rsid w:val="00444E09"/>
    <w:rsid w:val="00445F50"/>
    <w:rsid w:val="00446689"/>
    <w:rsid w:val="00446D80"/>
    <w:rsid w:val="00447CDD"/>
    <w:rsid w:val="004525EC"/>
    <w:rsid w:val="00452E78"/>
    <w:rsid w:val="00452F19"/>
    <w:rsid w:val="00455056"/>
    <w:rsid w:val="004552B5"/>
    <w:rsid w:val="00461E2E"/>
    <w:rsid w:val="00462265"/>
    <w:rsid w:val="004625D1"/>
    <w:rsid w:val="00464B4C"/>
    <w:rsid w:val="00467162"/>
    <w:rsid w:val="00470938"/>
    <w:rsid w:val="00472D9E"/>
    <w:rsid w:val="00475230"/>
    <w:rsid w:val="00480243"/>
    <w:rsid w:val="00483A62"/>
    <w:rsid w:val="00483D92"/>
    <w:rsid w:val="00486929"/>
    <w:rsid w:val="004870C6"/>
    <w:rsid w:val="004944F1"/>
    <w:rsid w:val="004953E6"/>
    <w:rsid w:val="004A6D0D"/>
    <w:rsid w:val="004A77A6"/>
    <w:rsid w:val="004B218A"/>
    <w:rsid w:val="004B340C"/>
    <w:rsid w:val="004B3467"/>
    <w:rsid w:val="004B395C"/>
    <w:rsid w:val="004B3FD1"/>
    <w:rsid w:val="004B4E73"/>
    <w:rsid w:val="004B6822"/>
    <w:rsid w:val="004B7208"/>
    <w:rsid w:val="004C02EB"/>
    <w:rsid w:val="004C24A6"/>
    <w:rsid w:val="004C5A9B"/>
    <w:rsid w:val="004C758E"/>
    <w:rsid w:val="004D3672"/>
    <w:rsid w:val="004D4636"/>
    <w:rsid w:val="004D50BB"/>
    <w:rsid w:val="004D7250"/>
    <w:rsid w:val="004D72AB"/>
    <w:rsid w:val="004E56B1"/>
    <w:rsid w:val="004E714B"/>
    <w:rsid w:val="004F6185"/>
    <w:rsid w:val="00500E20"/>
    <w:rsid w:val="00501637"/>
    <w:rsid w:val="00505673"/>
    <w:rsid w:val="00505BA8"/>
    <w:rsid w:val="00510F1F"/>
    <w:rsid w:val="00520F6F"/>
    <w:rsid w:val="00523F09"/>
    <w:rsid w:val="0053712F"/>
    <w:rsid w:val="00540902"/>
    <w:rsid w:val="00542BCF"/>
    <w:rsid w:val="0054322D"/>
    <w:rsid w:val="0054486F"/>
    <w:rsid w:val="00545183"/>
    <w:rsid w:val="0055429F"/>
    <w:rsid w:val="0056302E"/>
    <w:rsid w:val="00565595"/>
    <w:rsid w:val="00566CF9"/>
    <w:rsid w:val="00570C8E"/>
    <w:rsid w:val="00572ED6"/>
    <w:rsid w:val="00573234"/>
    <w:rsid w:val="005770B0"/>
    <w:rsid w:val="005830B9"/>
    <w:rsid w:val="00583136"/>
    <w:rsid w:val="005847C0"/>
    <w:rsid w:val="005858E8"/>
    <w:rsid w:val="00591851"/>
    <w:rsid w:val="00591AB5"/>
    <w:rsid w:val="0059360A"/>
    <w:rsid w:val="005939E4"/>
    <w:rsid w:val="00593FEE"/>
    <w:rsid w:val="00594B59"/>
    <w:rsid w:val="00594F6E"/>
    <w:rsid w:val="00597EF4"/>
    <w:rsid w:val="005A2981"/>
    <w:rsid w:val="005A3416"/>
    <w:rsid w:val="005A510C"/>
    <w:rsid w:val="005A56A7"/>
    <w:rsid w:val="005B45CC"/>
    <w:rsid w:val="005B5F74"/>
    <w:rsid w:val="005B6F86"/>
    <w:rsid w:val="005C0501"/>
    <w:rsid w:val="005C1DEA"/>
    <w:rsid w:val="005C28E0"/>
    <w:rsid w:val="005C2F1D"/>
    <w:rsid w:val="005C4748"/>
    <w:rsid w:val="005D1BCB"/>
    <w:rsid w:val="005D1D70"/>
    <w:rsid w:val="005D1E91"/>
    <w:rsid w:val="005D333B"/>
    <w:rsid w:val="005E2EA3"/>
    <w:rsid w:val="005E3452"/>
    <w:rsid w:val="005E3CD1"/>
    <w:rsid w:val="005E491C"/>
    <w:rsid w:val="005E55CE"/>
    <w:rsid w:val="005F2A61"/>
    <w:rsid w:val="005F4E4C"/>
    <w:rsid w:val="005F4EC4"/>
    <w:rsid w:val="00602B62"/>
    <w:rsid w:val="00612957"/>
    <w:rsid w:val="00615063"/>
    <w:rsid w:val="00615480"/>
    <w:rsid w:val="0061607E"/>
    <w:rsid w:val="00626F22"/>
    <w:rsid w:val="0063076E"/>
    <w:rsid w:val="006327F9"/>
    <w:rsid w:val="00634FD2"/>
    <w:rsid w:val="00635382"/>
    <w:rsid w:val="00636A04"/>
    <w:rsid w:val="00643A64"/>
    <w:rsid w:val="006446DB"/>
    <w:rsid w:val="006573D1"/>
    <w:rsid w:val="00657EA7"/>
    <w:rsid w:val="00660830"/>
    <w:rsid w:val="00663FCB"/>
    <w:rsid w:val="006648B8"/>
    <w:rsid w:val="00664CF5"/>
    <w:rsid w:val="00664F86"/>
    <w:rsid w:val="00670515"/>
    <w:rsid w:val="00670930"/>
    <w:rsid w:val="00672BA7"/>
    <w:rsid w:val="0068004F"/>
    <w:rsid w:val="006804CF"/>
    <w:rsid w:val="00683FB8"/>
    <w:rsid w:val="00686DB7"/>
    <w:rsid w:val="006871C0"/>
    <w:rsid w:val="00691C86"/>
    <w:rsid w:val="006926D3"/>
    <w:rsid w:val="006938F5"/>
    <w:rsid w:val="0069570E"/>
    <w:rsid w:val="0069603E"/>
    <w:rsid w:val="006A038A"/>
    <w:rsid w:val="006A3496"/>
    <w:rsid w:val="006A5BF2"/>
    <w:rsid w:val="006B0F03"/>
    <w:rsid w:val="006B2535"/>
    <w:rsid w:val="006B3059"/>
    <w:rsid w:val="006B3560"/>
    <w:rsid w:val="006B499C"/>
    <w:rsid w:val="006B4D41"/>
    <w:rsid w:val="006C1454"/>
    <w:rsid w:val="006C2FD1"/>
    <w:rsid w:val="006C3E1A"/>
    <w:rsid w:val="006C48E1"/>
    <w:rsid w:val="006D76AF"/>
    <w:rsid w:val="006E5148"/>
    <w:rsid w:val="006F2CBC"/>
    <w:rsid w:val="006F4027"/>
    <w:rsid w:val="006F4AA6"/>
    <w:rsid w:val="006F6B43"/>
    <w:rsid w:val="006F6ED6"/>
    <w:rsid w:val="006F7B2C"/>
    <w:rsid w:val="0070500F"/>
    <w:rsid w:val="0070518F"/>
    <w:rsid w:val="00712391"/>
    <w:rsid w:val="007136D3"/>
    <w:rsid w:val="00723502"/>
    <w:rsid w:val="007240CC"/>
    <w:rsid w:val="007249D4"/>
    <w:rsid w:val="007263D8"/>
    <w:rsid w:val="00727FD1"/>
    <w:rsid w:val="0073399C"/>
    <w:rsid w:val="00735D1B"/>
    <w:rsid w:val="00741CC7"/>
    <w:rsid w:val="0074227B"/>
    <w:rsid w:val="00743B66"/>
    <w:rsid w:val="007442F4"/>
    <w:rsid w:val="00745232"/>
    <w:rsid w:val="00750942"/>
    <w:rsid w:val="00753A2B"/>
    <w:rsid w:val="00762141"/>
    <w:rsid w:val="00762927"/>
    <w:rsid w:val="00763C70"/>
    <w:rsid w:val="00770FE2"/>
    <w:rsid w:val="00771379"/>
    <w:rsid w:val="00771C82"/>
    <w:rsid w:val="00775A33"/>
    <w:rsid w:val="00780D68"/>
    <w:rsid w:val="00782438"/>
    <w:rsid w:val="00784E4D"/>
    <w:rsid w:val="007A3EAA"/>
    <w:rsid w:val="007A498F"/>
    <w:rsid w:val="007A4A14"/>
    <w:rsid w:val="007A5748"/>
    <w:rsid w:val="007B3BF3"/>
    <w:rsid w:val="007B53D6"/>
    <w:rsid w:val="007B5C29"/>
    <w:rsid w:val="007C7697"/>
    <w:rsid w:val="007C7DCE"/>
    <w:rsid w:val="007D068D"/>
    <w:rsid w:val="007D1733"/>
    <w:rsid w:val="007D2059"/>
    <w:rsid w:val="007D3523"/>
    <w:rsid w:val="007D6548"/>
    <w:rsid w:val="007E0009"/>
    <w:rsid w:val="007E309E"/>
    <w:rsid w:val="007E4F46"/>
    <w:rsid w:val="007E65FB"/>
    <w:rsid w:val="007F0313"/>
    <w:rsid w:val="007F244D"/>
    <w:rsid w:val="007F3CBE"/>
    <w:rsid w:val="007F41AC"/>
    <w:rsid w:val="007F5865"/>
    <w:rsid w:val="007F60F2"/>
    <w:rsid w:val="007F63C3"/>
    <w:rsid w:val="00800F2E"/>
    <w:rsid w:val="00806BC2"/>
    <w:rsid w:val="00807146"/>
    <w:rsid w:val="00807396"/>
    <w:rsid w:val="00811266"/>
    <w:rsid w:val="00811759"/>
    <w:rsid w:val="0081232A"/>
    <w:rsid w:val="008134B8"/>
    <w:rsid w:val="008136CF"/>
    <w:rsid w:val="00816CC1"/>
    <w:rsid w:val="00816F0C"/>
    <w:rsid w:val="00820BA7"/>
    <w:rsid w:val="00825910"/>
    <w:rsid w:val="00830960"/>
    <w:rsid w:val="008414E7"/>
    <w:rsid w:val="0084269F"/>
    <w:rsid w:val="0084321C"/>
    <w:rsid w:val="00843872"/>
    <w:rsid w:val="00843AC4"/>
    <w:rsid w:val="00843EEA"/>
    <w:rsid w:val="008447A6"/>
    <w:rsid w:val="00844D9D"/>
    <w:rsid w:val="00845579"/>
    <w:rsid w:val="008458D5"/>
    <w:rsid w:val="00845CB6"/>
    <w:rsid w:val="0085138A"/>
    <w:rsid w:val="008527CF"/>
    <w:rsid w:val="00856519"/>
    <w:rsid w:val="00856A51"/>
    <w:rsid w:val="00860200"/>
    <w:rsid w:val="008608BE"/>
    <w:rsid w:val="00861841"/>
    <w:rsid w:val="00862960"/>
    <w:rsid w:val="00862EDA"/>
    <w:rsid w:val="00866866"/>
    <w:rsid w:val="00870F15"/>
    <w:rsid w:val="00875837"/>
    <w:rsid w:val="00875E04"/>
    <w:rsid w:val="00876366"/>
    <w:rsid w:val="00880652"/>
    <w:rsid w:val="00884C2E"/>
    <w:rsid w:val="0088669A"/>
    <w:rsid w:val="008911BC"/>
    <w:rsid w:val="008913C1"/>
    <w:rsid w:val="00891B17"/>
    <w:rsid w:val="00893666"/>
    <w:rsid w:val="00893B63"/>
    <w:rsid w:val="008A025D"/>
    <w:rsid w:val="008A3134"/>
    <w:rsid w:val="008A490A"/>
    <w:rsid w:val="008A66AA"/>
    <w:rsid w:val="008B79F2"/>
    <w:rsid w:val="008C09F0"/>
    <w:rsid w:val="008C4F03"/>
    <w:rsid w:val="008D0CD3"/>
    <w:rsid w:val="008D1261"/>
    <w:rsid w:val="008D5C69"/>
    <w:rsid w:val="008E4FF7"/>
    <w:rsid w:val="008E5FA8"/>
    <w:rsid w:val="008E7BEB"/>
    <w:rsid w:val="008F1591"/>
    <w:rsid w:val="008F22D6"/>
    <w:rsid w:val="008F276D"/>
    <w:rsid w:val="008F75F6"/>
    <w:rsid w:val="009105DD"/>
    <w:rsid w:val="009108D5"/>
    <w:rsid w:val="00911390"/>
    <w:rsid w:val="0091271A"/>
    <w:rsid w:val="00915A8C"/>
    <w:rsid w:val="009201ED"/>
    <w:rsid w:val="00922A58"/>
    <w:rsid w:val="00923664"/>
    <w:rsid w:val="00923C08"/>
    <w:rsid w:val="00924779"/>
    <w:rsid w:val="00925F79"/>
    <w:rsid w:val="00930785"/>
    <w:rsid w:val="0093323F"/>
    <w:rsid w:val="00934712"/>
    <w:rsid w:val="00934EE3"/>
    <w:rsid w:val="00942577"/>
    <w:rsid w:val="00943CE7"/>
    <w:rsid w:val="0094465E"/>
    <w:rsid w:val="00944924"/>
    <w:rsid w:val="00951D80"/>
    <w:rsid w:val="00953F2E"/>
    <w:rsid w:val="00954C61"/>
    <w:rsid w:val="0095595F"/>
    <w:rsid w:val="00960963"/>
    <w:rsid w:val="00963964"/>
    <w:rsid w:val="00963D31"/>
    <w:rsid w:val="00965E9A"/>
    <w:rsid w:val="00967D54"/>
    <w:rsid w:val="00970CA4"/>
    <w:rsid w:val="00971564"/>
    <w:rsid w:val="00971B70"/>
    <w:rsid w:val="00974900"/>
    <w:rsid w:val="0097514F"/>
    <w:rsid w:val="0097670A"/>
    <w:rsid w:val="00976ED9"/>
    <w:rsid w:val="00981AAF"/>
    <w:rsid w:val="00990635"/>
    <w:rsid w:val="009909B2"/>
    <w:rsid w:val="0099324D"/>
    <w:rsid w:val="00995A99"/>
    <w:rsid w:val="009971D3"/>
    <w:rsid w:val="009A11ED"/>
    <w:rsid w:val="009A42CE"/>
    <w:rsid w:val="009A54A7"/>
    <w:rsid w:val="009B5DE0"/>
    <w:rsid w:val="009C3CB2"/>
    <w:rsid w:val="009C5D4F"/>
    <w:rsid w:val="009C6FEB"/>
    <w:rsid w:val="009D02A4"/>
    <w:rsid w:val="009D05B0"/>
    <w:rsid w:val="009D1528"/>
    <w:rsid w:val="009D51C6"/>
    <w:rsid w:val="009D541A"/>
    <w:rsid w:val="009D75E9"/>
    <w:rsid w:val="009D7BF9"/>
    <w:rsid w:val="009E12CC"/>
    <w:rsid w:val="009F6B1F"/>
    <w:rsid w:val="00A0139B"/>
    <w:rsid w:val="00A07830"/>
    <w:rsid w:val="00A0792C"/>
    <w:rsid w:val="00A1508F"/>
    <w:rsid w:val="00A150A5"/>
    <w:rsid w:val="00A15894"/>
    <w:rsid w:val="00A15997"/>
    <w:rsid w:val="00A23281"/>
    <w:rsid w:val="00A24A3A"/>
    <w:rsid w:val="00A25043"/>
    <w:rsid w:val="00A2661B"/>
    <w:rsid w:val="00A30406"/>
    <w:rsid w:val="00A32082"/>
    <w:rsid w:val="00A348BD"/>
    <w:rsid w:val="00A37C37"/>
    <w:rsid w:val="00A41CE5"/>
    <w:rsid w:val="00A4380D"/>
    <w:rsid w:val="00A4583A"/>
    <w:rsid w:val="00A46A03"/>
    <w:rsid w:val="00A474FB"/>
    <w:rsid w:val="00A503FE"/>
    <w:rsid w:val="00A54616"/>
    <w:rsid w:val="00A602B6"/>
    <w:rsid w:val="00A612AA"/>
    <w:rsid w:val="00A6141D"/>
    <w:rsid w:val="00A6272A"/>
    <w:rsid w:val="00A675A5"/>
    <w:rsid w:val="00A70DCD"/>
    <w:rsid w:val="00A779F9"/>
    <w:rsid w:val="00A80573"/>
    <w:rsid w:val="00A81003"/>
    <w:rsid w:val="00A84945"/>
    <w:rsid w:val="00A84BDB"/>
    <w:rsid w:val="00A867C1"/>
    <w:rsid w:val="00A931D4"/>
    <w:rsid w:val="00A9431A"/>
    <w:rsid w:val="00A96097"/>
    <w:rsid w:val="00A97CD3"/>
    <w:rsid w:val="00A97D21"/>
    <w:rsid w:val="00AA0C60"/>
    <w:rsid w:val="00AA10FB"/>
    <w:rsid w:val="00AA220B"/>
    <w:rsid w:val="00AA5553"/>
    <w:rsid w:val="00AA79BE"/>
    <w:rsid w:val="00AB1591"/>
    <w:rsid w:val="00AB3031"/>
    <w:rsid w:val="00AB687D"/>
    <w:rsid w:val="00AB722E"/>
    <w:rsid w:val="00AC2BA7"/>
    <w:rsid w:val="00AC3853"/>
    <w:rsid w:val="00AC6C06"/>
    <w:rsid w:val="00AD03C4"/>
    <w:rsid w:val="00AD2512"/>
    <w:rsid w:val="00AD4513"/>
    <w:rsid w:val="00AD5677"/>
    <w:rsid w:val="00AD6615"/>
    <w:rsid w:val="00AD7DCA"/>
    <w:rsid w:val="00AE087F"/>
    <w:rsid w:val="00AE2BB6"/>
    <w:rsid w:val="00AE33E1"/>
    <w:rsid w:val="00AE3445"/>
    <w:rsid w:val="00AE5532"/>
    <w:rsid w:val="00AE7F96"/>
    <w:rsid w:val="00AF0661"/>
    <w:rsid w:val="00AF1C50"/>
    <w:rsid w:val="00AF33CD"/>
    <w:rsid w:val="00AF36B9"/>
    <w:rsid w:val="00AF5074"/>
    <w:rsid w:val="00AF53E3"/>
    <w:rsid w:val="00AF5D0A"/>
    <w:rsid w:val="00B00AF7"/>
    <w:rsid w:val="00B01BA8"/>
    <w:rsid w:val="00B0425D"/>
    <w:rsid w:val="00B04457"/>
    <w:rsid w:val="00B05BFF"/>
    <w:rsid w:val="00B073B3"/>
    <w:rsid w:val="00B12E54"/>
    <w:rsid w:val="00B161FF"/>
    <w:rsid w:val="00B2473B"/>
    <w:rsid w:val="00B2635C"/>
    <w:rsid w:val="00B30BEF"/>
    <w:rsid w:val="00B332E6"/>
    <w:rsid w:val="00B33537"/>
    <w:rsid w:val="00B34A62"/>
    <w:rsid w:val="00B351A0"/>
    <w:rsid w:val="00B35813"/>
    <w:rsid w:val="00B44E12"/>
    <w:rsid w:val="00B45E92"/>
    <w:rsid w:val="00B4766A"/>
    <w:rsid w:val="00B47F2F"/>
    <w:rsid w:val="00B62312"/>
    <w:rsid w:val="00B628F8"/>
    <w:rsid w:val="00B655EB"/>
    <w:rsid w:val="00B65612"/>
    <w:rsid w:val="00B65738"/>
    <w:rsid w:val="00B67D27"/>
    <w:rsid w:val="00B67DD8"/>
    <w:rsid w:val="00B70025"/>
    <w:rsid w:val="00B7079A"/>
    <w:rsid w:val="00B718F9"/>
    <w:rsid w:val="00B768DF"/>
    <w:rsid w:val="00B76CA4"/>
    <w:rsid w:val="00B7715C"/>
    <w:rsid w:val="00B77ECD"/>
    <w:rsid w:val="00B80B97"/>
    <w:rsid w:val="00B81821"/>
    <w:rsid w:val="00B81E6A"/>
    <w:rsid w:val="00B82C5D"/>
    <w:rsid w:val="00B83407"/>
    <w:rsid w:val="00B846B4"/>
    <w:rsid w:val="00B8645B"/>
    <w:rsid w:val="00B867BB"/>
    <w:rsid w:val="00B915A1"/>
    <w:rsid w:val="00B94445"/>
    <w:rsid w:val="00B956F6"/>
    <w:rsid w:val="00BA0CFB"/>
    <w:rsid w:val="00BA0F18"/>
    <w:rsid w:val="00BA281A"/>
    <w:rsid w:val="00BA5B30"/>
    <w:rsid w:val="00BA6211"/>
    <w:rsid w:val="00BA7C2D"/>
    <w:rsid w:val="00BA7F7A"/>
    <w:rsid w:val="00BB0CCF"/>
    <w:rsid w:val="00BB3617"/>
    <w:rsid w:val="00BB4BDC"/>
    <w:rsid w:val="00BB6579"/>
    <w:rsid w:val="00BC0358"/>
    <w:rsid w:val="00BC10A4"/>
    <w:rsid w:val="00BC2672"/>
    <w:rsid w:val="00BD1873"/>
    <w:rsid w:val="00BD2D31"/>
    <w:rsid w:val="00BE0F2F"/>
    <w:rsid w:val="00BE23C8"/>
    <w:rsid w:val="00BE4AE3"/>
    <w:rsid w:val="00BF49F6"/>
    <w:rsid w:val="00C01611"/>
    <w:rsid w:val="00C04FBB"/>
    <w:rsid w:val="00C05355"/>
    <w:rsid w:val="00C077D6"/>
    <w:rsid w:val="00C11454"/>
    <w:rsid w:val="00C159B3"/>
    <w:rsid w:val="00C2209B"/>
    <w:rsid w:val="00C24338"/>
    <w:rsid w:val="00C24453"/>
    <w:rsid w:val="00C25300"/>
    <w:rsid w:val="00C264D8"/>
    <w:rsid w:val="00C309AF"/>
    <w:rsid w:val="00C30BF3"/>
    <w:rsid w:val="00C35136"/>
    <w:rsid w:val="00C36E32"/>
    <w:rsid w:val="00C37C34"/>
    <w:rsid w:val="00C4034C"/>
    <w:rsid w:val="00C40437"/>
    <w:rsid w:val="00C4302C"/>
    <w:rsid w:val="00C44061"/>
    <w:rsid w:val="00C4458D"/>
    <w:rsid w:val="00C446C4"/>
    <w:rsid w:val="00C52C82"/>
    <w:rsid w:val="00C54042"/>
    <w:rsid w:val="00C56D84"/>
    <w:rsid w:val="00C63F85"/>
    <w:rsid w:val="00C65C1D"/>
    <w:rsid w:val="00C65DEF"/>
    <w:rsid w:val="00C66C7B"/>
    <w:rsid w:val="00C67260"/>
    <w:rsid w:val="00C72DFE"/>
    <w:rsid w:val="00C72FAF"/>
    <w:rsid w:val="00C733D6"/>
    <w:rsid w:val="00C75989"/>
    <w:rsid w:val="00C75F04"/>
    <w:rsid w:val="00C812F9"/>
    <w:rsid w:val="00C83640"/>
    <w:rsid w:val="00C84FA9"/>
    <w:rsid w:val="00C90CE1"/>
    <w:rsid w:val="00C91AE7"/>
    <w:rsid w:val="00C9426D"/>
    <w:rsid w:val="00C974B8"/>
    <w:rsid w:val="00C97506"/>
    <w:rsid w:val="00CB0668"/>
    <w:rsid w:val="00CB0DF8"/>
    <w:rsid w:val="00CB1A3A"/>
    <w:rsid w:val="00CB6C21"/>
    <w:rsid w:val="00CB6F71"/>
    <w:rsid w:val="00CB7296"/>
    <w:rsid w:val="00CB73BA"/>
    <w:rsid w:val="00CB77DD"/>
    <w:rsid w:val="00CC13EC"/>
    <w:rsid w:val="00CC147C"/>
    <w:rsid w:val="00CC7ECD"/>
    <w:rsid w:val="00CD7441"/>
    <w:rsid w:val="00CE052D"/>
    <w:rsid w:val="00CE1069"/>
    <w:rsid w:val="00CE7BBB"/>
    <w:rsid w:val="00CF063A"/>
    <w:rsid w:val="00CF18BA"/>
    <w:rsid w:val="00CF4957"/>
    <w:rsid w:val="00CF6128"/>
    <w:rsid w:val="00D00C22"/>
    <w:rsid w:val="00D010F9"/>
    <w:rsid w:val="00D01EC1"/>
    <w:rsid w:val="00D03CC0"/>
    <w:rsid w:val="00D04AE6"/>
    <w:rsid w:val="00D04D72"/>
    <w:rsid w:val="00D050FC"/>
    <w:rsid w:val="00D06256"/>
    <w:rsid w:val="00D14F5F"/>
    <w:rsid w:val="00D16E93"/>
    <w:rsid w:val="00D20193"/>
    <w:rsid w:val="00D20FA2"/>
    <w:rsid w:val="00D231F6"/>
    <w:rsid w:val="00D23F7E"/>
    <w:rsid w:val="00D24378"/>
    <w:rsid w:val="00D27FFA"/>
    <w:rsid w:val="00D319C5"/>
    <w:rsid w:val="00D32284"/>
    <w:rsid w:val="00D32EC0"/>
    <w:rsid w:val="00D336E7"/>
    <w:rsid w:val="00D34BD8"/>
    <w:rsid w:val="00D37D1C"/>
    <w:rsid w:val="00D40F9E"/>
    <w:rsid w:val="00D41BA0"/>
    <w:rsid w:val="00D4436E"/>
    <w:rsid w:val="00D502F3"/>
    <w:rsid w:val="00D519BA"/>
    <w:rsid w:val="00D519BF"/>
    <w:rsid w:val="00D568E0"/>
    <w:rsid w:val="00D56F1E"/>
    <w:rsid w:val="00D605B7"/>
    <w:rsid w:val="00D611A8"/>
    <w:rsid w:val="00D6448E"/>
    <w:rsid w:val="00D66B8B"/>
    <w:rsid w:val="00D70859"/>
    <w:rsid w:val="00D71820"/>
    <w:rsid w:val="00D71E93"/>
    <w:rsid w:val="00D83FF7"/>
    <w:rsid w:val="00D84206"/>
    <w:rsid w:val="00D8433E"/>
    <w:rsid w:val="00D87B8C"/>
    <w:rsid w:val="00D912FB"/>
    <w:rsid w:val="00D92DD5"/>
    <w:rsid w:val="00D94567"/>
    <w:rsid w:val="00D95D1D"/>
    <w:rsid w:val="00D97130"/>
    <w:rsid w:val="00D975B9"/>
    <w:rsid w:val="00DA44ED"/>
    <w:rsid w:val="00DA4875"/>
    <w:rsid w:val="00DA52F5"/>
    <w:rsid w:val="00DA74A5"/>
    <w:rsid w:val="00DB6C66"/>
    <w:rsid w:val="00DB79DD"/>
    <w:rsid w:val="00DC09FE"/>
    <w:rsid w:val="00DC2EC9"/>
    <w:rsid w:val="00DC53D9"/>
    <w:rsid w:val="00DC6EDC"/>
    <w:rsid w:val="00DC7986"/>
    <w:rsid w:val="00DC7FB6"/>
    <w:rsid w:val="00DD7F69"/>
    <w:rsid w:val="00DE1026"/>
    <w:rsid w:val="00DE2452"/>
    <w:rsid w:val="00DE29D8"/>
    <w:rsid w:val="00DE3936"/>
    <w:rsid w:val="00DE4283"/>
    <w:rsid w:val="00DE606A"/>
    <w:rsid w:val="00DE6A4F"/>
    <w:rsid w:val="00DE6C98"/>
    <w:rsid w:val="00DE7D91"/>
    <w:rsid w:val="00DF057F"/>
    <w:rsid w:val="00DF0EB5"/>
    <w:rsid w:val="00DF2FA2"/>
    <w:rsid w:val="00DF764D"/>
    <w:rsid w:val="00E008B3"/>
    <w:rsid w:val="00E031FB"/>
    <w:rsid w:val="00E0519A"/>
    <w:rsid w:val="00E074FA"/>
    <w:rsid w:val="00E10074"/>
    <w:rsid w:val="00E234C4"/>
    <w:rsid w:val="00E24E15"/>
    <w:rsid w:val="00E26DCD"/>
    <w:rsid w:val="00E27CF1"/>
    <w:rsid w:val="00E27D21"/>
    <w:rsid w:val="00E3402D"/>
    <w:rsid w:val="00E35280"/>
    <w:rsid w:val="00E3648B"/>
    <w:rsid w:val="00E428E2"/>
    <w:rsid w:val="00E4455D"/>
    <w:rsid w:val="00E4621D"/>
    <w:rsid w:val="00E46EC8"/>
    <w:rsid w:val="00E557EF"/>
    <w:rsid w:val="00E5581D"/>
    <w:rsid w:val="00E56F32"/>
    <w:rsid w:val="00E6201C"/>
    <w:rsid w:val="00E64236"/>
    <w:rsid w:val="00E654F7"/>
    <w:rsid w:val="00E673A4"/>
    <w:rsid w:val="00E677EA"/>
    <w:rsid w:val="00E72882"/>
    <w:rsid w:val="00E72939"/>
    <w:rsid w:val="00E774DC"/>
    <w:rsid w:val="00E777DB"/>
    <w:rsid w:val="00E82D15"/>
    <w:rsid w:val="00E84CAC"/>
    <w:rsid w:val="00E90121"/>
    <w:rsid w:val="00E91726"/>
    <w:rsid w:val="00E949FE"/>
    <w:rsid w:val="00E976DA"/>
    <w:rsid w:val="00EA0E6F"/>
    <w:rsid w:val="00EA1EAF"/>
    <w:rsid w:val="00EB103C"/>
    <w:rsid w:val="00EB4D0D"/>
    <w:rsid w:val="00EB5B70"/>
    <w:rsid w:val="00EB6392"/>
    <w:rsid w:val="00EC0F88"/>
    <w:rsid w:val="00EC1082"/>
    <w:rsid w:val="00EC1518"/>
    <w:rsid w:val="00EC432D"/>
    <w:rsid w:val="00EC4F9B"/>
    <w:rsid w:val="00EC7661"/>
    <w:rsid w:val="00ED32F6"/>
    <w:rsid w:val="00ED7385"/>
    <w:rsid w:val="00EE080F"/>
    <w:rsid w:val="00EE3DD3"/>
    <w:rsid w:val="00EE6AB0"/>
    <w:rsid w:val="00EE76A9"/>
    <w:rsid w:val="00EE7951"/>
    <w:rsid w:val="00EF2496"/>
    <w:rsid w:val="00EF32FC"/>
    <w:rsid w:val="00EF796B"/>
    <w:rsid w:val="00F009AD"/>
    <w:rsid w:val="00F0689C"/>
    <w:rsid w:val="00F07244"/>
    <w:rsid w:val="00F072E4"/>
    <w:rsid w:val="00F17B68"/>
    <w:rsid w:val="00F337B5"/>
    <w:rsid w:val="00F35A8B"/>
    <w:rsid w:val="00F366E4"/>
    <w:rsid w:val="00F40CFF"/>
    <w:rsid w:val="00F42377"/>
    <w:rsid w:val="00F44FC1"/>
    <w:rsid w:val="00F47A77"/>
    <w:rsid w:val="00F505CC"/>
    <w:rsid w:val="00F52D8E"/>
    <w:rsid w:val="00F63AE3"/>
    <w:rsid w:val="00F659F8"/>
    <w:rsid w:val="00F7268B"/>
    <w:rsid w:val="00F7466A"/>
    <w:rsid w:val="00F8155F"/>
    <w:rsid w:val="00F81849"/>
    <w:rsid w:val="00F82627"/>
    <w:rsid w:val="00F827FA"/>
    <w:rsid w:val="00F84B43"/>
    <w:rsid w:val="00F8577E"/>
    <w:rsid w:val="00F85FBB"/>
    <w:rsid w:val="00F86F3F"/>
    <w:rsid w:val="00F87492"/>
    <w:rsid w:val="00F876DF"/>
    <w:rsid w:val="00F92C63"/>
    <w:rsid w:val="00F92CE9"/>
    <w:rsid w:val="00F9311F"/>
    <w:rsid w:val="00F93B62"/>
    <w:rsid w:val="00F96BA6"/>
    <w:rsid w:val="00F96E6E"/>
    <w:rsid w:val="00F97A74"/>
    <w:rsid w:val="00FA29B0"/>
    <w:rsid w:val="00FA32D3"/>
    <w:rsid w:val="00FA3E65"/>
    <w:rsid w:val="00FA606C"/>
    <w:rsid w:val="00FB1B2C"/>
    <w:rsid w:val="00FB60AF"/>
    <w:rsid w:val="00FB687C"/>
    <w:rsid w:val="00FC4CE1"/>
    <w:rsid w:val="00FC737B"/>
    <w:rsid w:val="00FC7918"/>
    <w:rsid w:val="00FC7A06"/>
    <w:rsid w:val="00FD33B2"/>
    <w:rsid w:val="00FD628E"/>
    <w:rsid w:val="00FD6F8F"/>
    <w:rsid w:val="00FE0C19"/>
    <w:rsid w:val="00FE1651"/>
    <w:rsid w:val="00FE4FB6"/>
    <w:rsid w:val="00FE63E2"/>
    <w:rsid w:val="00FE6CB9"/>
    <w:rsid w:val="00FF194B"/>
    <w:rsid w:val="00FF2320"/>
    <w:rsid w:val="00FF3FF6"/>
    <w:rsid w:val="00FF4825"/>
    <w:rsid w:val="00FF7374"/>
    <w:rsid w:val="00FF7B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C45784A-0ED3-4E7D-98EC-90929191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sz w:val="32"/>
        <w:szCs w:val="32"/>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qFormat/>
    <w:rsid w:val="006F7B2C"/>
    <w:pPr>
      <w:keepNext/>
      <w:spacing w:before="360" w:after="60" w:line="360" w:lineRule="auto"/>
      <w:ind w:right="567"/>
      <w:contextualSpacing/>
      <w:outlineLvl w:val="0"/>
    </w:pPr>
    <w:rPr>
      <w:rFonts w:eastAsia="Times New Roman"/>
      <w:b/>
      <w:bCs/>
      <w:kern w:val="32"/>
      <w:sz w:val="24"/>
      <w:lang w:eastAsia="en-GB"/>
    </w:rPr>
  </w:style>
  <w:style w:type="paragraph" w:styleId="Heading3">
    <w:name w:val="heading 3"/>
    <w:basedOn w:val="Normal"/>
    <w:next w:val="Normal"/>
    <w:link w:val="Heading3Char"/>
    <w:qFormat/>
    <w:rsid w:val="00FF3FF6"/>
    <w:pPr>
      <w:keepNext/>
      <w:spacing w:before="360" w:after="60" w:line="360" w:lineRule="auto"/>
      <w:ind w:right="567"/>
      <w:contextualSpacing/>
      <w:outlineLvl w:val="2"/>
    </w:pPr>
    <w:rPr>
      <w:rFonts w:eastAsia="Times New Roman"/>
      <w:bCs/>
      <w:i/>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542BCF"/>
  </w:style>
  <w:style w:type="character" w:customStyle="1" w:styleId="DateChar">
    <w:name w:val="Date Char"/>
    <w:basedOn w:val="DefaultParagraphFont"/>
    <w:link w:val="Date"/>
    <w:uiPriority w:val="99"/>
    <w:semiHidden/>
    <w:rsid w:val="00542BCF"/>
  </w:style>
  <w:style w:type="character" w:styleId="Hyperlink">
    <w:name w:val="Hyperlink"/>
    <w:uiPriority w:val="99"/>
    <w:unhideWhenUsed/>
    <w:rsid w:val="00053F6F"/>
    <w:rPr>
      <w:color w:val="0563C1"/>
      <w:u w:val="single"/>
    </w:rPr>
  </w:style>
  <w:style w:type="paragraph" w:styleId="ListParagraph">
    <w:name w:val="List Paragraph"/>
    <w:basedOn w:val="Normal"/>
    <w:uiPriority w:val="34"/>
    <w:qFormat/>
    <w:rsid w:val="00053F6F"/>
    <w:pPr>
      <w:ind w:left="720"/>
      <w:contextualSpacing/>
    </w:pPr>
  </w:style>
  <w:style w:type="paragraph" w:styleId="BodyText">
    <w:name w:val="Body Text"/>
    <w:basedOn w:val="Normal"/>
    <w:link w:val="BodyTextChar"/>
    <w:uiPriority w:val="1"/>
    <w:qFormat/>
    <w:rsid w:val="00AA79BE"/>
    <w:pPr>
      <w:widowControl w:val="0"/>
      <w:spacing w:before="199" w:after="0" w:line="240" w:lineRule="auto"/>
      <w:ind w:left="342"/>
    </w:pPr>
    <w:rPr>
      <w:rFonts w:eastAsia="Times New Roman"/>
      <w:sz w:val="24"/>
      <w:szCs w:val="24"/>
      <w:lang w:val="en-US" w:eastAsia="en-US"/>
    </w:rPr>
  </w:style>
  <w:style w:type="character" w:customStyle="1" w:styleId="BodyTextChar">
    <w:name w:val="Body Text Char"/>
    <w:link w:val="BodyText"/>
    <w:uiPriority w:val="1"/>
    <w:rsid w:val="00AA79BE"/>
    <w:rPr>
      <w:rFonts w:eastAsia="Times New Roman"/>
      <w:sz w:val="24"/>
      <w:szCs w:val="24"/>
      <w:lang w:val="en-US" w:eastAsia="en-US"/>
    </w:rPr>
  </w:style>
  <w:style w:type="character" w:styleId="CommentReference">
    <w:name w:val="annotation reference"/>
    <w:uiPriority w:val="99"/>
    <w:semiHidden/>
    <w:unhideWhenUsed/>
    <w:rsid w:val="00971B70"/>
    <w:rPr>
      <w:sz w:val="16"/>
      <w:szCs w:val="16"/>
    </w:rPr>
  </w:style>
  <w:style w:type="paragraph" w:styleId="CommentText">
    <w:name w:val="annotation text"/>
    <w:basedOn w:val="Normal"/>
    <w:link w:val="CommentTextChar"/>
    <w:uiPriority w:val="99"/>
    <w:semiHidden/>
    <w:unhideWhenUsed/>
    <w:rsid w:val="00971B70"/>
    <w:pPr>
      <w:spacing w:line="240" w:lineRule="auto"/>
    </w:pPr>
    <w:rPr>
      <w:sz w:val="20"/>
      <w:szCs w:val="20"/>
    </w:rPr>
  </w:style>
  <w:style w:type="character" w:customStyle="1" w:styleId="CommentTextChar">
    <w:name w:val="Comment Text Char"/>
    <w:link w:val="CommentText"/>
    <w:uiPriority w:val="99"/>
    <w:semiHidden/>
    <w:rsid w:val="00971B70"/>
    <w:rPr>
      <w:sz w:val="20"/>
      <w:szCs w:val="20"/>
    </w:rPr>
  </w:style>
  <w:style w:type="paragraph" w:styleId="CommentSubject">
    <w:name w:val="annotation subject"/>
    <w:basedOn w:val="CommentText"/>
    <w:next w:val="CommentText"/>
    <w:link w:val="CommentSubjectChar"/>
    <w:uiPriority w:val="99"/>
    <w:semiHidden/>
    <w:unhideWhenUsed/>
    <w:rsid w:val="00971B70"/>
    <w:rPr>
      <w:b/>
      <w:bCs/>
    </w:rPr>
  </w:style>
  <w:style w:type="character" w:customStyle="1" w:styleId="CommentSubjectChar">
    <w:name w:val="Comment Subject Char"/>
    <w:link w:val="CommentSubject"/>
    <w:uiPriority w:val="99"/>
    <w:semiHidden/>
    <w:rsid w:val="00971B70"/>
    <w:rPr>
      <w:b/>
      <w:bCs/>
      <w:sz w:val="20"/>
      <w:szCs w:val="20"/>
    </w:rPr>
  </w:style>
  <w:style w:type="paragraph" w:styleId="BalloonText">
    <w:name w:val="Balloon Text"/>
    <w:basedOn w:val="Normal"/>
    <w:link w:val="BalloonTextChar"/>
    <w:uiPriority w:val="99"/>
    <w:semiHidden/>
    <w:unhideWhenUsed/>
    <w:rsid w:val="00971B7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71B70"/>
    <w:rPr>
      <w:rFonts w:ascii="Segoe UI" w:hAnsi="Segoe UI" w:cs="Segoe UI"/>
      <w:sz w:val="18"/>
      <w:szCs w:val="18"/>
    </w:rPr>
  </w:style>
  <w:style w:type="paragraph" w:styleId="Revision">
    <w:name w:val="Revision"/>
    <w:hidden/>
    <w:uiPriority w:val="99"/>
    <w:semiHidden/>
    <w:rsid w:val="006C48E1"/>
    <w:rPr>
      <w:sz w:val="22"/>
      <w:szCs w:val="22"/>
    </w:rPr>
  </w:style>
  <w:style w:type="paragraph" w:styleId="FootnoteText">
    <w:name w:val="footnote text"/>
    <w:basedOn w:val="Normal"/>
    <w:link w:val="FootnoteTextChar"/>
    <w:uiPriority w:val="99"/>
    <w:unhideWhenUsed/>
    <w:rsid w:val="0099324D"/>
    <w:pPr>
      <w:spacing w:after="0" w:line="240" w:lineRule="auto"/>
    </w:pPr>
    <w:rPr>
      <w:sz w:val="20"/>
      <w:szCs w:val="20"/>
    </w:rPr>
  </w:style>
  <w:style w:type="character" w:customStyle="1" w:styleId="FootnoteTextChar">
    <w:name w:val="Footnote Text Char"/>
    <w:link w:val="FootnoteText"/>
    <w:uiPriority w:val="99"/>
    <w:rsid w:val="0099324D"/>
    <w:rPr>
      <w:sz w:val="20"/>
      <w:szCs w:val="20"/>
    </w:rPr>
  </w:style>
  <w:style w:type="character" w:styleId="FootnoteReference">
    <w:name w:val="footnote reference"/>
    <w:uiPriority w:val="99"/>
    <w:semiHidden/>
    <w:unhideWhenUsed/>
    <w:rsid w:val="0099324D"/>
    <w:rPr>
      <w:vertAlign w:val="superscript"/>
    </w:rPr>
  </w:style>
  <w:style w:type="character" w:customStyle="1" w:styleId="Heading1Char">
    <w:name w:val="Heading 1 Char"/>
    <w:link w:val="Heading1"/>
    <w:rsid w:val="006F7B2C"/>
    <w:rPr>
      <w:rFonts w:eastAsia="Times New Roman" w:cs="Arial"/>
      <w:b/>
      <w:bCs/>
      <w:kern w:val="32"/>
      <w:sz w:val="24"/>
      <w:szCs w:val="32"/>
      <w:lang w:eastAsia="en-GB"/>
    </w:rPr>
  </w:style>
  <w:style w:type="character" w:customStyle="1" w:styleId="Heading3Char">
    <w:name w:val="Heading 3 Char"/>
    <w:link w:val="Heading3"/>
    <w:rsid w:val="00FF3FF6"/>
    <w:rPr>
      <w:rFonts w:eastAsia="Times New Roman" w:cs="Arial"/>
      <w:bCs/>
      <w:i/>
      <w:sz w:val="24"/>
      <w:szCs w:val="26"/>
      <w:lang w:eastAsia="en-GB"/>
    </w:rPr>
  </w:style>
  <w:style w:type="paragraph" w:styleId="Header">
    <w:name w:val="header"/>
    <w:basedOn w:val="Normal"/>
    <w:link w:val="HeaderChar"/>
    <w:uiPriority w:val="99"/>
    <w:unhideWhenUsed/>
    <w:rsid w:val="009D5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1C6"/>
  </w:style>
  <w:style w:type="paragraph" w:styleId="Footer">
    <w:name w:val="footer"/>
    <w:basedOn w:val="Normal"/>
    <w:link w:val="FooterChar"/>
    <w:uiPriority w:val="99"/>
    <w:unhideWhenUsed/>
    <w:rsid w:val="009D5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1C6"/>
  </w:style>
  <w:style w:type="character" w:styleId="PlaceholderText">
    <w:name w:val="Placeholder Text"/>
    <w:uiPriority w:val="99"/>
    <w:semiHidden/>
    <w:rsid w:val="000E4342"/>
    <w:rPr>
      <w:color w:val="808080"/>
    </w:rPr>
  </w:style>
  <w:style w:type="character" w:customStyle="1" w:styleId="UnresolvedMention1">
    <w:name w:val="Unresolved Mention1"/>
    <w:uiPriority w:val="99"/>
    <w:semiHidden/>
    <w:unhideWhenUsed/>
    <w:rsid w:val="00A84BDB"/>
    <w:rPr>
      <w:color w:val="605E5C"/>
      <w:shd w:val="clear" w:color="auto" w:fill="E1DFDD"/>
    </w:rPr>
  </w:style>
  <w:style w:type="paragraph" w:customStyle="1" w:styleId="Abstract">
    <w:name w:val="Abstract"/>
    <w:basedOn w:val="Normal"/>
    <w:next w:val="Normal"/>
    <w:qFormat/>
    <w:rsid w:val="000708CE"/>
    <w:pPr>
      <w:spacing w:before="360" w:after="300" w:line="360" w:lineRule="auto"/>
      <w:ind w:left="720" w:right="567"/>
    </w:pPr>
    <w:rPr>
      <w:rFonts w:eastAsia="Times New Roman"/>
      <w:szCs w:val="24"/>
      <w:lang w:eastAsia="en-GB"/>
    </w:rPr>
  </w:style>
  <w:style w:type="paragraph" w:styleId="EndnoteText">
    <w:name w:val="endnote text"/>
    <w:basedOn w:val="Normal"/>
    <w:link w:val="EndnoteTextChar"/>
    <w:uiPriority w:val="99"/>
    <w:semiHidden/>
    <w:unhideWhenUsed/>
    <w:rsid w:val="00C36E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6E32"/>
    <w:rPr>
      <w:sz w:val="20"/>
      <w:szCs w:val="20"/>
    </w:rPr>
  </w:style>
  <w:style w:type="character" w:styleId="EndnoteReference">
    <w:name w:val="endnote reference"/>
    <w:basedOn w:val="DefaultParagraphFont"/>
    <w:uiPriority w:val="99"/>
    <w:semiHidden/>
    <w:unhideWhenUsed/>
    <w:rsid w:val="00C36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449607">
      <w:bodyDiv w:val="1"/>
      <w:marLeft w:val="0"/>
      <w:marRight w:val="0"/>
      <w:marTop w:val="0"/>
      <w:marBottom w:val="0"/>
      <w:divBdr>
        <w:top w:val="none" w:sz="0" w:space="0" w:color="auto"/>
        <w:left w:val="none" w:sz="0" w:space="0" w:color="auto"/>
        <w:bottom w:val="none" w:sz="0" w:space="0" w:color="auto"/>
        <w:right w:val="none" w:sz="0" w:space="0" w:color="auto"/>
      </w:divBdr>
      <w:divsChild>
        <w:div w:id="5717006">
          <w:marLeft w:val="0"/>
          <w:marRight w:val="0"/>
          <w:marTop w:val="0"/>
          <w:marBottom w:val="0"/>
          <w:divBdr>
            <w:top w:val="none" w:sz="0" w:space="0" w:color="auto"/>
            <w:left w:val="none" w:sz="0" w:space="0" w:color="auto"/>
            <w:bottom w:val="none" w:sz="0" w:space="0" w:color="auto"/>
            <w:right w:val="none" w:sz="0" w:space="0" w:color="auto"/>
          </w:divBdr>
        </w:div>
        <w:div w:id="43257926">
          <w:marLeft w:val="0"/>
          <w:marRight w:val="0"/>
          <w:marTop w:val="0"/>
          <w:marBottom w:val="0"/>
          <w:divBdr>
            <w:top w:val="none" w:sz="0" w:space="0" w:color="auto"/>
            <w:left w:val="none" w:sz="0" w:space="0" w:color="auto"/>
            <w:bottom w:val="none" w:sz="0" w:space="0" w:color="auto"/>
            <w:right w:val="none" w:sz="0" w:space="0" w:color="auto"/>
          </w:divBdr>
        </w:div>
        <w:div w:id="68624862">
          <w:marLeft w:val="0"/>
          <w:marRight w:val="0"/>
          <w:marTop w:val="0"/>
          <w:marBottom w:val="0"/>
          <w:divBdr>
            <w:top w:val="none" w:sz="0" w:space="0" w:color="auto"/>
            <w:left w:val="none" w:sz="0" w:space="0" w:color="auto"/>
            <w:bottom w:val="none" w:sz="0" w:space="0" w:color="auto"/>
            <w:right w:val="none" w:sz="0" w:space="0" w:color="auto"/>
          </w:divBdr>
        </w:div>
        <w:div w:id="273095256">
          <w:marLeft w:val="0"/>
          <w:marRight w:val="0"/>
          <w:marTop w:val="0"/>
          <w:marBottom w:val="0"/>
          <w:divBdr>
            <w:top w:val="none" w:sz="0" w:space="0" w:color="auto"/>
            <w:left w:val="none" w:sz="0" w:space="0" w:color="auto"/>
            <w:bottom w:val="none" w:sz="0" w:space="0" w:color="auto"/>
            <w:right w:val="none" w:sz="0" w:space="0" w:color="auto"/>
          </w:divBdr>
        </w:div>
        <w:div w:id="303170315">
          <w:marLeft w:val="0"/>
          <w:marRight w:val="0"/>
          <w:marTop w:val="0"/>
          <w:marBottom w:val="0"/>
          <w:divBdr>
            <w:top w:val="none" w:sz="0" w:space="0" w:color="auto"/>
            <w:left w:val="none" w:sz="0" w:space="0" w:color="auto"/>
            <w:bottom w:val="none" w:sz="0" w:space="0" w:color="auto"/>
            <w:right w:val="none" w:sz="0" w:space="0" w:color="auto"/>
          </w:divBdr>
        </w:div>
        <w:div w:id="627317021">
          <w:marLeft w:val="0"/>
          <w:marRight w:val="0"/>
          <w:marTop w:val="0"/>
          <w:marBottom w:val="0"/>
          <w:divBdr>
            <w:top w:val="none" w:sz="0" w:space="0" w:color="auto"/>
            <w:left w:val="none" w:sz="0" w:space="0" w:color="auto"/>
            <w:bottom w:val="none" w:sz="0" w:space="0" w:color="auto"/>
            <w:right w:val="none" w:sz="0" w:space="0" w:color="auto"/>
          </w:divBdr>
        </w:div>
        <w:div w:id="634943708">
          <w:marLeft w:val="0"/>
          <w:marRight w:val="0"/>
          <w:marTop w:val="0"/>
          <w:marBottom w:val="0"/>
          <w:divBdr>
            <w:top w:val="none" w:sz="0" w:space="0" w:color="auto"/>
            <w:left w:val="none" w:sz="0" w:space="0" w:color="auto"/>
            <w:bottom w:val="none" w:sz="0" w:space="0" w:color="auto"/>
            <w:right w:val="none" w:sz="0" w:space="0" w:color="auto"/>
          </w:divBdr>
        </w:div>
        <w:div w:id="648438863">
          <w:marLeft w:val="0"/>
          <w:marRight w:val="0"/>
          <w:marTop w:val="0"/>
          <w:marBottom w:val="0"/>
          <w:divBdr>
            <w:top w:val="none" w:sz="0" w:space="0" w:color="auto"/>
            <w:left w:val="none" w:sz="0" w:space="0" w:color="auto"/>
            <w:bottom w:val="none" w:sz="0" w:space="0" w:color="auto"/>
            <w:right w:val="none" w:sz="0" w:space="0" w:color="auto"/>
          </w:divBdr>
        </w:div>
        <w:div w:id="759255787">
          <w:marLeft w:val="0"/>
          <w:marRight w:val="0"/>
          <w:marTop w:val="0"/>
          <w:marBottom w:val="0"/>
          <w:divBdr>
            <w:top w:val="none" w:sz="0" w:space="0" w:color="auto"/>
            <w:left w:val="none" w:sz="0" w:space="0" w:color="auto"/>
            <w:bottom w:val="none" w:sz="0" w:space="0" w:color="auto"/>
            <w:right w:val="none" w:sz="0" w:space="0" w:color="auto"/>
          </w:divBdr>
        </w:div>
        <w:div w:id="817116393">
          <w:marLeft w:val="0"/>
          <w:marRight w:val="0"/>
          <w:marTop w:val="0"/>
          <w:marBottom w:val="0"/>
          <w:divBdr>
            <w:top w:val="none" w:sz="0" w:space="0" w:color="auto"/>
            <w:left w:val="none" w:sz="0" w:space="0" w:color="auto"/>
            <w:bottom w:val="none" w:sz="0" w:space="0" w:color="auto"/>
            <w:right w:val="none" w:sz="0" w:space="0" w:color="auto"/>
          </w:divBdr>
        </w:div>
        <w:div w:id="881937091">
          <w:marLeft w:val="0"/>
          <w:marRight w:val="0"/>
          <w:marTop w:val="0"/>
          <w:marBottom w:val="0"/>
          <w:divBdr>
            <w:top w:val="none" w:sz="0" w:space="0" w:color="auto"/>
            <w:left w:val="none" w:sz="0" w:space="0" w:color="auto"/>
            <w:bottom w:val="none" w:sz="0" w:space="0" w:color="auto"/>
            <w:right w:val="none" w:sz="0" w:space="0" w:color="auto"/>
          </w:divBdr>
        </w:div>
        <w:div w:id="998508123">
          <w:marLeft w:val="0"/>
          <w:marRight w:val="0"/>
          <w:marTop w:val="0"/>
          <w:marBottom w:val="0"/>
          <w:divBdr>
            <w:top w:val="none" w:sz="0" w:space="0" w:color="auto"/>
            <w:left w:val="none" w:sz="0" w:space="0" w:color="auto"/>
            <w:bottom w:val="none" w:sz="0" w:space="0" w:color="auto"/>
            <w:right w:val="none" w:sz="0" w:space="0" w:color="auto"/>
          </w:divBdr>
        </w:div>
        <w:div w:id="1091463297">
          <w:marLeft w:val="0"/>
          <w:marRight w:val="0"/>
          <w:marTop w:val="0"/>
          <w:marBottom w:val="0"/>
          <w:divBdr>
            <w:top w:val="none" w:sz="0" w:space="0" w:color="auto"/>
            <w:left w:val="none" w:sz="0" w:space="0" w:color="auto"/>
            <w:bottom w:val="none" w:sz="0" w:space="0" w:color="auto"/>
            <w:right w:val="none" w:sz="0" w:space="0" w:color="auto"/>
          </w:divBdr>
        </w:div>
        <w:div w:id="1094280642">
          <w:marLeft w:val="0"/>
          <w:marRight w:val="0"/>
          <w:marTop w:val="0"/>
          <w:marBottom w:val="0"/>
          <w:divBdr>
            <w:top w:val="none" w:sz="0" w:space="0" w:color="auto"/>
            <w:left w:val="none" w:sz="0" w:space="0" w:color="auto"/>
            <w:bottom w:val="none" w:sz="0" w:space="0" w:color="auto"/>
            <w:right w:val="none" w:sz="0" w:space="0" w:color="auto"/>
          </w:divBdr>
        </w:div>
        <w:div w:id="1097600942">
          <w:marLeft w:val="0"/>
          <w:marRight w:val="0"/>
          <w:marTop w:val="0"/>
          <w:marBottom w:val="0"/>
          <w:divBdr>
            <w:top w:val="none" w:sz="0" w:space="0" w:color="auto"/>
            <w:left w:val="none" w:sz="0" w:space="0" w:color="auto"/>
            <w:bottom w:val="none" w:sz="0" w:space="0" w:color="auto"/>
            <w:right w:val="none" w:sz="0" w:space="0" w:color="auto"/>
          </w:divBdr>
        </w:div>
        <w:div w:id="1140997854">
          <w:marLeft w:val="0"/>
          <w:marRight w:val="0"/>
          <w:marTop w:val="0"/>
          <w:marBottom w:val="0"/>
          <w:divBdr>
            <w:top w:val="none" w:sz="0" w:space="0" w:color="auto"/>
            <w:left w:val="none" w:sz="0" w:space="0" w:color="auto"/>
            <w:bottom w:val="none" w:sz="0" w:space="0" w:color="auto"/>
            <w:right w:val="none" w:sz="0" w:space="0" w:color="auto"/>
          </w:divBdr>
        </w:div>
        <w:div w:id="1290017335">
          <w:marLeft w:val="0"/>
          <w:marRight w:val="0"/>
          <w:marTop w:val="0"/>
          <w:marBottom w:val="0"/>
          <w:divBdr>
            <w:top w:val="none" w:sz="0" w:space="0" w:color="auto"/>
            <w:left w:val="none" w:sz="0" w:space="0" w:color="auto"/>
            <w:bottom w:val="none" w:sz="0" w:space="0" w:color="auto"/>
            <w:right w:val="none" w:sz="0" w:space="0" w:color="auto"/>
          </w:divBdr>
        </w:div>
        <w:div w:id="1339229384">
          <w:marLeft w:val="0"/>
          <w:marRight w:val="0"/>
          <w:marTop w:val="0"/>
          <w:marBottom w:val="0"/>
          <w:divBdr>
            <w:top w:val="none" w:sz="0" w:space="0" w:color="auto"/>
            <w:left w:val="none" w:sz="0" w:space="0" w:color="auto"/>
            <w:bottom w:val="none" w:sz="0" w:space="0" w:color="auto"/>
            <w:right w:val="none" w:sz="0" w:space="0" w:color="auto"/>
          </w:divBdr>
        </w:div>
        <w:div w:id="1347170605">
          <w:marLeft w:val="0"/>
          <w:marRight w:val="0"/>
          <w:marTop w:val="0"/>
          <w:marBottom w:val="0"/>
          <w:divBdr>
            <w:top w:val="none" w:sz="0" w:space="0" w:color="auto"/>
            <w:left w:val="none" w:sz="0" w:space="0" w:color="auto"/>
            <w:bottom w:val="none" w:sz="0" w:space="0" w:color="auto"/>
            <w:right w:val="none" w:sz="0" w:space="0" w:color="auto"/>
          </w:divBdr>
        </w:div>
        <w:div w:id="1388647911">
          <w:marLeft w:val="0"/>
          <w:marRight w:val="0"/>
          <w:marTop w:val="0"/>
          <w:marBottom w:val="0"/>
          <w:divBdr>
            <w:top w:val="none" w:sz="0" w:space="0" w:color="auto"/>
            <w:left w:val="none" w:sz="0" w:space="0" w:color="auto"/>
            <w:bottom w:val="none" w:sz="0" w:space="0" w:color="auto"/>
            <w:right w:val="none" w:sz="0" w:space="0" w:color="auto"/>
          </w:divBdr>
        </w:div>
        <w:div w:id="1438984959">
          <w:marLeft w:val="0"/>
          <w:marRight w:val="0"/>
          <w:marTop w:val="0"/>
          <w:marBottom w:val="0"/>
          <w:divBdr>
            <w:top w:val="none" w:sz="0" w:space="0" w:color="auto"/>
            <w:left w:val="none" w:sz="0" w:space="0" w:color="auto"/>
            <w:bottom w:val="none" w:sz="0" w:space="0" w:color="auto"/>
            <w:right w:val="none" w:sz="0" w:space="0" w:color="auto"/>
          </w:divBdr>
        </w:div>
        <w:div w:id="1530947173">
          <w:marLeft w:val="0"/>
          <w:marRight w:val="0"/>
          <w:marTop w:val="0"/>
          <w:marBottom w:val="0"/>
          <w:divBdr>
            <w:top w:val="none" w:sz="0" w:space="0" w:color="auto"/>
            <w:left w:val="none" w:sz="0" w:space="0" w:color="auto"/>
            <w:bottom w:val="none" w:sz="0" w:space="0" w:color="auto"/>
            <w:right w:val="none" w:sz="0" w:space="0" w:color="auto"/>
          </w:divBdr>
        </w:div>
        <w:div w:id="1538084466">
          <w:marLeft w:val="0"/>
          <w:marRight w:val="0"/>
          <w:marTop w:val="0"/>
          <w:marBottom w:val="0"/>
          <w:divBdr>
            <w:top w:val="none" w:sz="0" w:space="0" w:color="auto"/>
            <w:left w:val="none" w:sz="0" w:space="0" w:color="auto"/>
            <w:bottom w:val="none" w:sz="0" w:space="0" w:color="auto"/>
            <w:right w:val="none" w:sz="0" w:space="0" w:color="auto"/>
          </w:divBdr>
        </w:div>
        <w:div w:id="1560172688">
          <w:marLeft w:val="0"/>
          <w:marRight w:val="0"/>
          <w:marTop w:val="0"/>
          <w:marBottom w:val="0"/>
          <w:divBdr>
            <w:top w:val="none" w:sz="0" w:space="0" w:color="auto"/>
            <w:left w:val="none" w:sz="0" w:space="0" w:color="auto"/>
            <w:bottom w:val="none" w:sz="0" w:space="0" w:color="auto"/>
            <w:right w:val="none" w:sz="0" w:space="0" w:color="auto"/>
          </w:divBdr>
        </w:div>
        <w:div w:id="1624266891">
          <w:marLeft w:val="0"/>
          <w:marRight w:val="0"/>
          <w:marTop w:val="0"/>
          <w:marBottom w:val="0"/>
          <w:divBdr>
            <w:top w:val="none" w:sz="0" w:space="0" w:color="auto"/>
            <w:left w:val="none" w:sz="0" w:space="0" w:color="auto"/>
            <w:bottom w:val="none" w:sz="0" w:space="0" w:color="auto"/>
            <w:right w:val="none" w:sz="0" w:space="0" w:color="auto"/>
          </w:divBdr>
        </w:div>
        <w:div w:id="1698575628">
          <w:marLeft w:val="0"/>
          <w:marRight w:val="0"/>
          <w:marTop w:val="0"/>
          <w:marBottom w:val="0"/>
          <w:divBdr>
            <w:top w:val="none" w:sz="0" w:space="0" w:color="auto"/>
            <w:left w:val="none" w:sz="0" w:space="0" w:color="auto"/>
            <w:bottom w:val="none" w:sz="0" w:space="0" w:color="auto"/>
            <w:right w:val="none" w:sz="0" w:space="0" w:color="auto"/>
          </w:divBdr>
        </w:div>
        <w:div w:id="1880123284">
          <w:marLeft w:val="0"/>
          <w:marRight w:val="0"/>
          <w:marTop w:val="0"/>
          <w:marBottom w:val="0"/>
          <w:divBdr>
            <w:top w:val="none" w:sz="0" w:space="0" w:color="auto"/>
            <w:left w:val="none" w:sz="0" w:space="0" w:color="auto"/>
            <w:bottom w:val="none" w:sz="0" w:space="0" w:color="auto"/>
            <w:right w:val="none" w:sz="0" w:space="0" w:color="auto"/>
          </w:divBdr>
        </w:div>
        <w:div w:id="1953049691">
          <w:marLeft w:val="0"/>
          <w:marRight w:val="0"/>
          <w:marTop w:val="0"/>
          <w:marBottom w:val="0"/>
          <w:divBdr>
            <w:top w:val="none" w:sz="0" w:space="0" w:color="auto"/>
            <w:left w:val="none" w:sz="0" w:space="0" w:color="auto"/>
            <w:bottom w:val="none" w:sz="0" w:space="0" w:color="auto"/>
            <w:right w:val="none" w:sz="0" w:space="0" w:color="auto"/>
          </w:divBdr>
        </w:div>
        <w:div w:id="2109108628">
          <w:marLeft w:val="0"/>
          <w:marRight w:val="0"/>
          <w:marTop w:val="0"/>
          <w:marBottom w:val="0"/>
          <w:divBdr>
            <w:top w:val="none" w:sz="0" w:space="0" w:color="auto"/>
            <w:left w:val="none" w:sz="0" w:space="0" w:color="auto"/>
            <w:bottom w:val="none" w:sz="0" w:space="0" w:color="auto"/>
            <w:right w:val="none" w:sz="0" w:space="0" w:color="auto"/>
          </w:divBdr>
        </w:div>
        <w:div w:id="2114353424">
          <w:marLeft w:val="0"/>
          <w:marRight w:val="0"/>
          <w:marTop w:val="0"/>
          <w:marBottom w:val="0"/>
          <w:divBdr>
            <w:top w:val="none" w:sz="0" w:space="0" w:color="auto"/>
            <w:left w:val="none" w:sz="0" w:space="0" w:color="auto"/>
            <w:bottom w:val="none" w:sz="0" w:space="0" w:color="auto"/>
            <w:right w:val="none" w:sz="0" w:space="0" w:color="auto"/>
          </w:divBdr>
        </w:div>
      </w:divsChild>
    </w:div>
    <w:div w:id="2042049941">
      <w:bodyDiv w:val="1"/>
      <w:marLeft w:val="0"/>
      <w:marRight w:val="0"/>
      <w:marTop w:val="0"/>
      <w:marBottom w:val="0"/>
      <w:divBdr>
        <w:top w:val="none" w:sz="0" w:space="0" w:color="auto"/>
        <w:left w:val="none" w:sz="0" w:space="0" w:color="auto"/>
        <w:bottom w:val="none" w:sz="0" w:space="0" w:color="auto"/>
        <w:right w:val="none" w:sz="0" w:space="0" w:color="auto"/>
      </w:divBdr>
      <w:divsChild>
        <w:div w:id="180552919">
          <w:marLeft w:val="0"/>
          <w:marRight w:val="0"/>
          <w:marTop w:val="0"/>
          <w:marBottom w:val="0"/>
          <w:divBdr>
            <w:top w:val="none" w:sz="0" w:space="0" w:color="auto"/>
            <w:left w:val="none" w:sz="0" w:space="0" w:color="auto"/>
            <w:bottom w:val="none" w:sz="0" w:space="0" w:color="auto"/>
            <w:right w:val="none" w:sz="0" w:space="0" w:color="auto"/>
          </w:divBdr>
        </w:div>
        <w:div w:id="205027260">
          <w:marLeft w:val="0"/>
          <w:marRight w:val="0"/>
          <w:marTop w:val="0"/>
          <w:marBottom w:val="0"/>
          <w:divBdr>
            <w:top w:val="none" w:sz="0" w:space="0" w:color="auto"/>
            <w:left w:val="none" w:sz="0" w:space="0" w:color="auto"/>
            <w:bottom w:val="none" w:sz="0" w:space="0" w:color="auto"/>
            <w:right w:val="none" w:sz="0" w:space="0" w:color="auto"/>
          </w:divBdr>
        </w:div>
        <w:div w:id="271670158">
          <w:marLeft w:val="0"/>
          <w:marRight w:val="0"/>
          <w:marTop w:val="0"/>
          <w:marBottom w:val="0"/>
          <w:divBdr>
            <w:top w:val="none" w:sz="0" w:space="0" w:color="auto"/>
            <w:left w:val="none" w:sz="0" w:space="0" w:color="auto"/>
            <w:bottom w:val="none" w:sz="0" w:space="0" w:color="auto"/>
            <w:right w:val="none" w:sz="0" w:space="0" w:color="auto"/>
          </w:divBdr>
        </w:div>
        <w:div w:id="271933835">
          <w:marLeft w:val="0"/>
          <w:marRight w:val="0"/>
          <w:marTop w:val="0"/>
          <w:marBottom w:val="0"/>
          <w:divBdr>
            <w:top w:val="none" w:sz="0" w:space="0" w:color="auto"/>
            <w:left w:val="none" w:sz="0" w:space="0" w:color="auto"/>
            <w:bottom w:val="none" w:sz="0" w:space="0" w:color="auto"/>
            <w:right w:val="none" w:sz="0" w:space="0" w:color="auto"/>
          </w:divBdr>
        </w:div>
        <w:div w:id="326128471">
          <w:marLeft w:val="0"/>
          <w:marRight w:val="0"/>
          <w:marTop w:val="0"/>
          <w:marBottom w:val="0"/>
          <w:divBdr>
            <w:top w:val="none" w:sz="0" w:space="0" w:color="auto"/>
            <w:left w:val="none" w:sz="0" w:space="0" w:color="auto"/>
            <w:bottom w:val="none" w:sz="0" w:space="0" w:color="auto"/>
            <w:right w:val="none" w:sz="0" w:space="0" w:color="auto"/>
          </w:divBdr>
        </w:div>
        <w:div w:id="401954726">
          <w:marLeft w:val="0"/>
          <w:marRight w:val="0"/>
          <w:marTop w:val="0"/>
          <w:marBottom w:val="0"/>
          <w:divBdr>
            <w:top w:val="none" w:sz="0" w:space="0" w:color="auto"/>
            <w:left w:val="none" w:sz="0" w:space="0" w:color="auto"/>
            <w:bottom w:val="none" w:sz="0" w:space="0" w:color="auto"/>
            <w:right w:val="none" w:sz="0" w:space="0" w:color="auto"/>
          </w:divBdr>
        </w:div>
        <w:div w:id="501699904">
          <w:marLeft w:val="0"/>
          <w:marRight w:val="0"/>
          <w:marTop w:val="0"/>
          <w:marBottom w:val="0"/>
          <w:divBdr>
            <w:top w:val="none" w:sz="0" w:space="0" w:color="auto"/>
            <w:left w:val="none" w:sz="0" w:space="0" w:color="auto"/>
            <w:bottom w:val="none" w:sz="0" w:space="0" w:color="auto"/>
            <w:right w:val="none" w:sz="0" w:space="0" w:color="auto"/>
          </w:divBdr>
        </w:div>
        <w:div w:id="525826119">
          <w:marLeft w:val="0"/>
          <w:marRight w:val="0"/>
          <w:marTop w:val="0"/>
          <w:marBottom w:val="0"/>
          <w:divBdr>
            <w:top w:val="none" w:sz="0" w:space="0" w:color="auto"/>
            <w:left w:val="none" w:sz="0" w:space="0" w:color="auto"/>
            <w:bottom w:val="none" w:sz="0" w:space="0" w:color="auto"/>
            <w:right w:val="none" w:sz="0" w:space="0" w:color="auto"/>
          </w:divBdr>
        </w:div>
        <w:div w:id="566383785">
          <w:marLeft w:val="0"/>
          <w:marRight w:val="0"/>
          <w:marTop w:val="0"/>
          <w:marBottom w:val="0"/>
          <w:divBdr>
            <w:top w:val="none" w:sz="0" w:space="0" w:color="auto"/>
            <w:left w:val="none" w:sz="0" w:space="0" w:color="auto"/>
            <w:bottom w:val="none" w:sz="0" w:space="0" w:color="auto"/>
            <w:right w:val="none" w:sz="0" w:space="0" w:color="auto"/>
          </w:divBdr>
        </w:div>
        <w:div w:id="645816801">
          <w:marLeft w:val="0"/>
          <w:marRight w:val="0"/>
          <w:marTop w:val="0"/>
          <w:marBottom w:val="0"/>
          <w:divBdr>
            <w:top w:val="none" w:sz="0" w:space="0" w:color="auto"/>
            <w:left w:val="none" w:sz="0" w:space="0" w:color="auto"/>
            <w:bottom w:val="none" w:sz="0" w:space="0" w:color="auto"/>
            <w:right w:val="none" w:sz="0" w:space="0" w:color="auto"/>
          </w:divBdr>
        </w:div>
        <w:div w:id="876701245">
          <w:marLeft w:val="0"/>
          <w:marRight w:val="0"/>
          <w:marTop w:val="0"/>
          <w:marBottom w:val="0"/>
          <w:divBdr>
            <w:top w:val="none" w:sz="0" w:space="0" w:color="auto"/>
            <w:left w:val="none" w:sz="0" w:space="0" w:color="auto"/>
            <w:bottom w:val="none" w:sz="0" w:space="0" w:color="auto"/>
            <w:right w:val="none" w:sz="0" w:space="0" w:color="auto"/>
          </w:divBdr>
        </w:div>
        <w:div w:id="888150463">
          <w:marLeft w:val="0"/>
          <w:marRight w:val="0"/>
          <w:marTop w:val="0"/>
          <w:marBottom w:val="0"/>
          <w:divBdr>
            <w:top w:val="none" w:sz="0" w:space="0" w:color="auto"/>
            <w:left w:val="none" w:sz="0" w:space="0" w:color="auto"/>
            <w:bottom w:val="none" w:sz="0" w:space="0" w:color="auto"/>
            <w:right w:val="none" w:sz="0" w:space="0" w:color="auto"/>
          </w:divBdr>
        </w:div>
        <w:div w:id="888153524">
          <w:marLeft w:val="0"/>
          <w:marRight w:val="0"/>
          <w:marTop w:val="0"/>
          <w:marBottom w:val="0"/>
          <w:divBdr>
            <w:top w:val="none" w:sz="0" w:space="0" w:color="auto"/>
            <w:left w:val="none" w:sz="0" w:space="0" w:color="auto"/>
            <w:bottom w:val="none" w:sz="0" w:space="0" w:color="auto"/>
            <w:right w:val="none" w:sz="0" w:space="0" w:color="auto"/>
          </w:divBdr>
        </w:div>
        <w:div w:id="980310365">
          <w:marLeft w:val="0"/>
          <w:marRight w:val="0"/>
          <w:marTop w:val="0"/>
          <w:marBottom w:val="0"/>
          <w:divBdr>
            <w:top w:val="none" w:sz="0" w:space="0" w:color="auto"/>
            <w:left w:val="none" w:sz="0" w:space="0" w:color="auto"/>
            <w:bottom w:val="none" w:sz="0" w:space="0" w:color="auto"/>
            <w:right w:val="none" w:sz="0" w:space="0" w:color="auto"/>
          </w:divBdr>
        </w:div>
        <w:div w:id="1033264594">
          <w:marLeft w:val="0"/>
          <w:marRight w:val="0"/>
          <w:marTop w:val="0"/>
          <w:marBottom w:val="0"/>
          <w:divBdr>
            <w:top w:val="none" w:sz="0" w:space="0" w:color="auto"/>
            <w:left w:val="none" w:sz="0" w:space="0" w:color="auto"/>
            <w:bottom w:val="none" w:sz="0" w:space="0" w:color="auto"/>
            <w:right w:val="none" w:sz="0" w:space="0" w:color="auto"/>
          </w:divBdr>
        </w:div>
        <w:div w:id="1038045038">
          <w:marLeft w:val="0"/>
          <w:marRight w:val="0"/>
          <w:marTop w:val="0"/>
          <w:marBottom w:val="0"/>
          <w:divBdr>
            <w:top w:val="none" w:sz="0" w:space="0" w:color="auto"/>
            <w:left w:val="none" w:sz="0" w:space="0" w:color="auto"/>
            <w:bottom w:val="none" w:sz="0" w:space="0" w:color="auto"/>
            <w:right w:val="none" w:sz="0" w:space="0" w:color="auto"/>
          </w:divBdr>
        </w:div>
        <w:div w:id="1048799765">
          <w:marLeft w:val="0"/>
          <w:marRight w:val="0"/>
          <w:marTop w:val="0"/>
          <w:marBottom w:val="0"/>
          <w:divBdr>
            <w:top w:val="none" w:sz="0" w:space="0" w:color="auto"/>
            <w:left w:val="none" w:sz="0" w:space="0" w:color="auto"/>
            <w:bottom w:val="none" w:sz="0" w:space="0" w:color="auto"/>
            <w:right w:val="none" w:sz="0" w:space="0" w:color="auto"/>
          </w:divBdr>
        </w:div>
        <w:div w:id="1062675128">
          <w:marLeft w:val="0"/>
          <w:marRight w:val="0"/>
          <w:marTop w:val="0"/>
          <w:marBottom w:val="0"/>
          <w:divBdr>
            <w:top w:val="none" w:sz="0" w:space="0" w:color="auto"/>
            <w:left w:val="none" w:sz="0" w:space="0" w:color="auto"/>
            <w:bottom w:val="none" w:sz="0" w:space="0" w:color="auto"/>
            <w:right w:val="none" w:sz="0" w:space="0" w:color="auto"/>
          </w:divBdr>
        </w:div>
        <w:div w:id="1105075850">
          <w:marLeft w:val="0"/>
          <w:marRight w:val="0"/>
          <w:marTop w:val="0"/>
          <w:marBottom w:val="0"/>
          <w:divBdr>
            <w:top w:val="none" w:sz="0" w:space="0" w:color="auto"/>
            <w:left w:val="none" w:sz="0" w:space="0" w:color="auto"/>
            <w:bottom w:val="none" w:sz="0" w:space="0" w:color="auto"/>
            <w:right w:val="none" w:sz="0" w:space="0" w:color="auto"/>
          </w:divBdr>
        </w:div>
        <w:div w:id="1201167401">
          <w:marLeft w:val="0"/>
          <w:marRight w:val="0"/>
          <w:marTop w:val="0"/>
          <w:marBottom w:val="0"/>
          <w:divBdr>
            <w:top w:val="none" w:sz="0" w:space="0" w:color="auto"/>
            <w:left w:val="none" w:sz="0" w:space="0" w:color="auto"/>
            <w:bottom w:val="none" w:sz="0" w:space="0" w:color="auto"/>
            <w:right w:val="none" w:sz="0" w:space="0" w:color="auto"/>
          </w:divBdr>
        </w:div>
        <w:div w:id="1346981805">
          <w:marLeft w:val="0"/>
          <w:marRight w:val="0"/>
          <w:marTop w:val="0"/>
          <w:marBottom w:val="0"/>
          <w:divBdr>
            <w:top w:val="none" w:sz="0" w:space="0" w:color="auto"/>
            <w:left w:val="none" w:sz="0" w:space="0" w:color="auto"/>
            <w:bottom w:val="none" w:sz="0" w:space="0" w:color="auto"/>
            <w:right w:val="none" w:sz="0" w:space="0" w:color="auto"/>
          </w:divBdr>
        </w:div>
        <w:div w:id="1464469366">
          <w:marLeft w:val="0"/>
          <w:marRight w:val="0"/>
          <w:marTop w:val="0"/>
          <w:marBottom w:val="0"/>
          <w:divBdr>
            <w:top w:val="none" w:sz="0" w:space="0" w:color="auto"/>
            <w:left w:val="none" w:sz="0" w:space="0" w:color="auto"/>
            <w:bottom w:val="none" w:sz="0" w:space="0" w:color="auto"/>
            <w:right w:val="none" w:sz="0" w:space="0" w:color="auto"/>
          </w:divBdr>
        </w:div>
        <w:div w:id="1511798447">
          <w:marLeft w:val="0"/>
          <w:marRight w:val="0"/>
          <w:marTop w:val="0"/>
          <w:marBottom w:val="0"/>
          <w:divBdr>
            <w:top w:val="none" w:sz="0" w:space="0" w:color="auto"/>
            <w:left w:val="none" w:sz="0" w:space="0" w:color="auto"/>
            <w:bottom w:val="none" w:sz="0" w:space="0" w:color="auto"/>
            <w:right w:val="none" w:sz="0" w:space="0" w:color="auto"/>
          </w:divBdr>
        </w:div>
        <w:div w:id="1680546636">
          <w:marLeft w:val="0"/>
          <w:marRight w:val="0"/>
          <w:marTop w:val="0"/>
          <w:marBottom w:val="0"/>
          <w:divBdr>
            <w:top w:val="none" w:sz="0" w:space="0" w:color="auto"/>
            <w:left w:val="none" w:sz="0" w:space="0" w:color="auto"/>
            <w:bottom w:val="none" w:sz="0" w:space="0" w:color="auto"/>
            <w:right w:val="none" w:sz="0" w:space="0" w:color="auto"/>
          </w:divBdr>
        </w:div>
        <w:div w:id="1691297431">
          <w:marLeft w:val="0"/>
          <w:marRight w:val="0"/>
          <w:marTop w:val="0"/>
          <w:marBottom w:val="0"/>
          <w:divBdr>
            <w:top w:val="none" w:sz="0" w:space="0" w:color="auto"/>
            <w:left w:val="none" w:sz="0" w:space="0" w:color="auto"/>
            <w:bottom w:val="none" w:sz="0" w:space="0" w:color="auto"/>
            <w:right w:val="none" w:sz="0" w:space="0" w:color="auto"/>
          </w:divBdr>
        </w:div>
        <w:div w:id="1869289778">
          <w:marLeft w:val="0"/>
          <w:marRight w:val="0"/>
          <w:marTop w:val="0"/>
          <w:marBottom w:val="0"/>
          <w:divBdr>
            <w:top w:val="none" w:sz="0" w:space="0" w:color="auto"/>
            <w:left w:val="none" w:sz="0" w:space="0" w:color="auto"/>
            <w:bottom w:val="none" w:sz="0" w:space="0" w:color="auto"/>
            <w:right w:val="none" w:sz="0" w:space="0" w:color="auto"/>
          </w:divBdr>
        </w:div>
        <w:div w:id="1873684447">
          <w:marLeft w:val="0"/>
          <w:marRight w:val="0"/>
          <w:marTop w:val="0"/>
          <w:marBottom w:val="0"/>
          <w:divBdr>
            <w:top w:val="none" w:sz="0" w:space="0" w:color="auto"/>
            <w:left w:val="none" w:sz="0" w:space="0" w:color="auto"/>
            <w:bottom w:val="none" w:sz="0" w:space="0" w:color="auto"/>
            <w:right w:val="none" w:sz="0" w:space="0" w:color="auto"/>
          </w:divBdr>
        </w:div>
        <w:div w:id="1907255528">
          <w:marLeft w:val="0"/>
          <w:marRight w:val="0"/>
          <w:marTop w:val="0"/>
          <w:marBottom w:val="0"/>
          <w:divBdr>
            <w:top w:val="none" w:sz="0" w:space="0" w:color="auto"/>
            <w:left w:val="none" w:sz="0" w:space="0" w:color="auto"/>
            <w:bottom w:val="none" w:sz="0" w:space="0" w:color="auto"/>
            <w:right w:val="none" w:sz="0" w:space="0" w:color="auto"/>
          </w:divBdr>
        </w:div>
        <w:div w:id="1992753984">
          <w:marLeft w:val="0"/>
          <w:marRight w:val="0"/>
          <w:marTop w:val="0"/>
          <w:marBottom w:val="0"/>
          <w:divBdr>
            <w:top w:val="none" w:sz="0" w:space="0" w:color="auto"/>
            <w:left w:val="none" w:sz="0" w:space="0" w:color="auto"/>
            <w:bottom w:val="none" w:sz="0" w:space="0" w:color="auto"/>
            <w:right w:val="none" w:sz="0" w:space="0" w:color="auto"/>
          </w:divBdr>
        </w:div>
        <w:div w:id="208209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043F1-8B33-423D-AC83-CDC04305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6989</Words>
  <Characters>41631</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Cheah</dc:creator>
  <cp:keywords/>
  <cp:lastModifiedBy>Simon De Montfalcon</cp:lastModifiedBy>
  <cp:revision>2</cp:revision>
  <cp:lastPrinted>2020-07-27T17:23:00Z</cp:lastPrinted>
  <dcterms:created xsi:type="dcterms:W3CDTF">2020-10-26T14:43:00Z</dcterms:created>
  <dcterms:modified xsi:type="dcterms:W3CDTF">2020-10-26T14:43:00Z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http://www.zotero.org/styles/the-european-journal-of-finance</vt:lpwstr>
  </property>
  <property fmtid="{D5CDD505-2E9C-101B-9397-08002B2CF9AE}" pid="22" name="Mendeley Recent Style Name 9_1">
    <vt:lpwstr>The European Journal of Finance</vt:lpwstr>
  </property>
  <property fmtid="{D5CDD505-2E9C-101B-9397-08002B2CF9AE}" pid="23" name="Mendeley Document_1">
    <vt:lpwstr>True</vt:lpwstr>
  </property>
  <property fmtid="{D5CDD505-2E9C-101B-9397-08002B2CF9AE}" pid="24" name="Mendeley Unique User Id_1">
    <vt:lpwstr>3a7af66e-9086-357a-a917-100abdba54b4</vt:lpwstr>
  </property>
  <property fmtid="{D5CDD505-2E9C-101B-9397-08002B2CF9AE}" pid="25" name="Mendeley Citation Style_1">
    <vt:lpwstr>http://www.zotero.org/styles/the-european-journal-of-finance</vt:lpwstr>
  </property>
</Properties>
</file>