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0552B" w14:textId="77777777" w:rsidR="006227F3" w:rsidRPr="006227F3" w:rsidRDefault="006227F3" w:rsidP="006227F3">
      <w:pPr>
        <w:ind w:left="720" w:hanging="720"/>
        <w:rPr>
          <w:color w:val="FF0000"/>
        </w:rPr>
      </w:pPr>
      <w:r w:rsidRPr="006227F3">
        <w:rPr>
          <w:iCs/>
          <w:color w:val="FF0000"/>
        </w:rPr>
        <w:t xml:space="preserve">Cheston, R., Dodd, E., Christopher, G., Wildschut, T., Sedikides, C. (2020). The mnemic neglect effect and information about dementia: Age differences in recall. </w:t>
      </w:r>
      <w:r w:rsidRPr="006227F3">
        <w:rPr>
          <w:i/>
          <w:iCs/>
          <w:color w:val="FF0000"/>
        </w:rPr>
        <w:t>Aging, Neuropsychology, and Cognition</w:t>
      </w:r>
      <w:r w:rsidRPr="006227F3">
        <w:rPr>
          <w:color w:val="FF0000"/>
        </w:rPr>
        <w:t xml:space="preserve">. </w:t>
      </w:r>
      <w:r w:rsidRPr="006227F3">
        <w:rPr>
          <w:rFonts w:asciiTheme="majorBidi" w:hAnsiTheme="majorBidi" w:cstheme="majorBidi"/>
          <w:color w:val="FF0000"/>
          <w:shd w:val="clear" w:color="auto" w:fill="FFFFFF"/>
        </w:rPr>
        <w:t>https://doi.org/10.1080/13825585.2020.1842850</w:t>
      </w:r>
    </w:p>
    <w:p w14:paraId="3EB033CE" w14:textId="77777777" w:rsidR="006227F3" w:rsidRDefault="006227F3" w:rsidP="006227F3">
      <w:pPr>
        <w:ind w:left="720" w:hanging="720"/>
        <w:rPr>
          <w:color w:val="000000"/>
          <w:lang w:eastAsia="en-US"/>
        </w:rPr>
      </w:pPr>
    </w:p>
    <w:p w14:paraId="2DA4DCF1" w14:textId="77777777" w:rsidR="0098547C" w:rsidRDefault="0098547C" w:rsidP="0044386B">
      <w:pPr>
        <w:spacing w:line="480" w:lineRule="auto"/>
        <w:jc w:val="center"/>
        <w:rPr>
          <w:b/>
          <w:bCs/>
          <w:iCs/>
        </w:rPr>
      </w:pPr>
    </w:p>
    <w:p w14:paraId="16D201CC" w14:textId="77777777" w:rsidR="0098547C" w:rsidRDefault="0098547C" w:rsidP="0044386B">
      <w:pPr>
        <w:spacing w:line="480" w:lineRule="auto"/>
        <w:jc w:val="center"/>
        <w:rPr>
          <w:b/>
          <w:bCs/>
          <w:iCs/>
        </w:rPr>
      </w:pPr>
    </w:p>
    <w:p w14:paraId="5BD6ED28" w14:textId="51146776" w:rsidR="0044386B" w:rsidRPr="00766C2B" w:rsidRDefault="0044386B" w:rsidP="0044386B">
      <w:pPr>
        <w:spacing w:line="480" w:lineRule="auto"/>
        <w:jc w:val="center"/>
        <w:rPr>
          <w:b/>
          <w:bCs/>
          <w:iCs/>
        </w:rPr>
      </w:pPr>
      <w:r w:rsidRPr="00766C2B">
        <w:rPr>
          <w:b/>
          <w:bCs/>
          <w:iCs/>
        </w:rPr>
        <w:t>The</w:t>
      </w:r>
      <w:r w:rsidR="00841FC2" w:rsidRPr="00766C2B">
        <w:rPr>
          <w:b/>
          <w:bCs/>
          <w:iCs/>
        </w:rPr>
        <w:t xml:space="preserve"> M</w:t>
      </w:r>
      <w:r w:rsidRPr="00766C2B">
        <w:rPr>
          <w:b/>
          <w:bCs/>
          <w:iCs/>
        </w:rPr>
        <w:t>nemic Neglect Effect and Information about Dementia:</w:t>
      </w:r>
    </w:p>
    <w:p w14:paraId="5F54F03F" w14:textId="77777777" w:rsidR="0044386B" w:rsidRPr="00766C2B" w:rsidRDefault="0044386B" w:rsidP="0044386B">
      <w:pPr>
        <w:spacing w:line="480" w:lineRule="auto"/>
        <w:jc w:val="center"/>
        <w:rPr>
          <w:b/>
          <w:bCs/>
          <w:iCs/>
        </w:rPr>
      </w:pPr>
      <w:r w:rsidRPr="00766C2B">
        <w:rPr>
          <w:b/>
          <w:bCs/>
          <w:iCs/>
        </w:rPr>
        <w:t xml:space="preserve">Age Differences in Recall </w:t>
      </w:r>
    </w:p>
    <w:p w14:paraId="6079FF1A" w14:textId="5D1FC3D1" w:rsidR="0044386B" w:rsidRPr="00766C2B" w:rsidRDefault="0044386B" w:rsidP="00AC39DE">
      <w:pPr>
        <w:spacing w:before="120" w:after="120" w:line="276" w:lineRule="auto"/>
        <w:ind w:left="720" w:hanging="720"/>
      </w:pPr>
      <w:r w:rsidRPr="00766C2B">
        <w:t>Richard Cheston* (Department of Health and Social Sciences, University of the West of England, Frenchay Campus, Coldharbour Lane, Bristol, BS16 1QY</w:t>
      </w:r>
      <w:r w:rsidR="00AC39DE" w:rsidRPr="00766C2B">
        <w:t xml:space="preserve"> -</w:t>
      </w:r>
      <w:r w:rsidRPr="00766C2B">
        <w:t xml:space="preserve"> </w:t>
      </w:r>
      <w:hyperlink r:id="rId11" w:history="1">
        <w:r w:rsidR="00925FF0" w:rsidRPr="00766C2B">
          <w:rPr>
            <w:rStyle w:val="Hyperlink"/>
            <w:u w:val="none"/>
            <w:shd w:val="clear" w:color="auto" w:fill="FFFFFF"/>
          </w:rPr>
          <w:t>https://orcid.org/0000-0002-7466-3777</w:t>
        </w:r>
      </w:hyperlink>
      <w:r w:rsidR="00925FF0" w:rsidRPr="00766C2B">
        <w:rPr>
          <w:color w:val="494A4C"/>
          <w:shd w:val="clear" w:color="auto" w:fill="FFFFFF"/>
        </w:rPr>
        <w:t xml:space="preserve">, </w:t>
      </w:r>
      <w:hyperlink r:id="rId12" w:history="1">
        <w:r w:rsidRPr="00766C2B">
          <w:rPr>
            <w:rStyle w:val="Hyperlink"/>
            <w:u w:val="none"/>
            <w:shd w:val="clear" w:color="auto" w:fill="FFFFFF"/>
          </w:rPr>
          <w:t>Richard.Cheston@uwe.ac.uk</w:t>
        </w:r>
      </w:hyperlink>
      <w:r w:rsidRPr="00766C2B">
        <w:rPr>
          <w:rStyle w:val="Hyperlink"/>
          <w:u w:val="none"/>
          <w:shd w:val="clear" w:color="auto" w:fill="FFFFFF"/>
        </w:rPr>
        <w:t>).</w:t>
      </w:r>
      <w:r w:rsidRPr="00766C2B">
        <w:rPr>
          <w:rStyle w:val="Hyperlink"/>
          <w:shd w:val="clear" w:color="auto" w:fill="FFFFFF"/>
        </w:rPr>
        <w:t xml:space="preserve"> </w:t>
      </w:r>
    </w:p>
    <w:p w14:paraId="5BCCEC3C" w14:textId="24C4EA2B" w:rsidR="009D31B9" w:rsidRPr="00766C2B" w:rsidRDefault="0044386B">
      <w:pPr>
        <w:spacing w:before="120" w:after="120" w:line="276" w:lineRule="auto"/>
        <w:ind w:left="720" w:hanging="720"/>
      </w:pPr>
      <w:r w:rsidRPr="00766C2B">
        <w:t>Emily Dodd (Department of Health and Social Sciences, University of the West of England, Bristol</w:t>
      </w:r>
      <w:r w:rsidR="00AC39DE" w:rsidRPr="00766C2B">
        <w:t xml:space="preserve"> -</w:t>
      </w:r>
      <w:r w:rsidRPr="00766C2B">
        <w:t xml:space="preserve"> </w:t>
      </w:r>
      <w:hyperlink r:id="rId13" w:history="1">
        <w:r w:rsidR="009D31B9" w:rsidRPr="00766C2B">
          <w:rPr>
            <w:rStyle w:val="Hyperlink"/>
            <w:u w:val="none"/>
            <w:shd w:val="clear" w:color="auto" w:fill="FFFFFF"/>
          </w:rPr>
          <w:t>https://orcid.org/0000-0002-9505-257X</w:t>
        </w:r>
      </w:hyperlink>
      <w:r w:rsidR="009D31B9" w:rsidRPr="00766C2B">
        <w:t xml:space="preserve">, </w:t>
      </w:r>
      <w:r w:rsidRPr="00766C2B">
        <w:rPr>
          <w:rStyle w:val="Hyperlink"/>
          <w:u w:val="none"/>
          <w:shd w:val="clear" w:color="auto" w:fill="FFFFFF"/>
        </w:rPr>
        <w:t>Emily3.Dodd@uwe.ac.uk)</w:t>
      </w:r>
    </w:p>
    <w:p w14:paraId="01BDF7BA" w14:textId="77777777" w:rsidR="0044386B" w:rsidRPr="00766C2B" w:rsidRDefault="0044386B" w:rsidP="0044386B">
      <w:pPr>
        <w:spacing w:before="120" w:after="120" w:line="276" w:lineRule="auto"/>
        <w:ind w:left="720" w:hanging="720"/>
      </w:pPr>
      <w:r w:rsidRPr="00766C2B">
        <w:t xml:space="preserve">Gary </w:t>
      </w:r>
      <w:proofErr w:type="gramStart"/>
      <w:r w:rsidRPr="00766C2B">
        <w:t>Christopher</w:t>
      </w:r>
      <w:proofErr w:type="gramEnd"/>
      <w:r w:rsidRPr="00766C2B">
        <w:rPr>
          <w:rStyle w:val="FootnoteReference"/>
        </w:rPr>
        <w:t xml:space="preserve"> </w:t>
      </w:r>
      <w:r w:rsidRPr="00766C2B">
        <w:t xml:space="preserve">(Department of Health and Social Sciences, University of the West of England, Bristol - </w:t>
      </w:r>
      <w:hyperlink r:id="rId14" w:history="1">
        <w:r w:rsidRPr="00766C2B">
          <w:rPr>
            <w:rStyle w:val="Hyperlink"/>
            <w:rFonts w:eastAsia="Cambria"/>
            <w:u w:val="none"/>
          </w:rPr>
          <w:t>https://orcid.org/0000-0002-7175-6644</w:t>
        </w:r>
      </w:hyperlink>
      <w:r w:rsidRPr="00766C2B">
        <w:rPr>
          <w:rFonts w:eastAsia="Cambria"/>
          <w:color w:val="000000"/>
        </w:rPr>
        <w:t xml:space="preserve"> </w:t>
      </w:r>
      <w:r w:rsidRPr="00766C2B">
        <w:rPr>
          <w:rStyle w:val="Hyperlink"/>
          <w:u w:val="none"/>
          <w:shd w:val="clear" w:color="auto" w:fill="FFFFFF"/>
        </w:rPr>
        <w:t>Gary.Christopher@uwe.ac.uk)</w:t>
      </w:r>
    </w:p>
    <w:p w14:paraId="6FD5425B" w14:textId="1EA712D5" w:rsidR="0044386B" w:rsidRPr="00766C2B" w:rsidRDefault="0044386B" w:rsidP="00AC39DE">
      <w:pPr>
        <w:spacing w:before="120" w:after="120" w:line="276" w:lineRule="auto"/>
        <w:ind w:left="720" w:hanging="720"/>
      </w:pPr>
      <w:r w:rsidRPr="00766C2B">
        <w:t xml:space="preserve">Tim </w:t>
      </w:r>
      <w:proofErr w:type="gramStart"/>
      <w:r w:rsidRPr="00766C2B">
        <w:t>Wildschut</w:t>
      </w:r>
      <w:proofErr w:type="gramEnd"/>
      <w:r w:rsidRPr="00766C2B">
        <w:rPr>
          <w:rStyle w:val="FootnoteReference"/>
        </w:rPr>
        <w:t xml:space="preserve"> </w:t>
      </w:r>
      <w:r w:rsidRPr="00766C2B">
        <w:t>(</w:t>
      </w:r>
      <w:r w:rsidR="00AC39DE" w:rsidRPr="00766C2B">
        <w:t xml:space="preserve">School </w:t>
      </w:r>
      <w:r w:rsidRPr="00766C2B">
        <w:t>of Psychology, University of Southampton, Southampton -</w:t>
      </w:r>
      <w:r w:rsidR="004F492B" w:rsidRPr="00766C2B">
        <w:t xml:space="preserve"> </w:t>
      </w:r>
      <w:hyperlink r:id="rId15" w:history="1">
        <w:r w:rsidR="004F492B" w:rsidRPr="00766C2B">
          <w:rPr>
            <w:rStyle w:val="Hyperlink"/>
            <w:u w:val="none"/>
          </w:rPr>
          <w:t>https://orcid.org/0000-0002-6499-5487</w:t>
        </w:r>
      </w:hyperlink>
      <w:r w:rsidR="004F492B" w:rsidRPr="00766C2B">
        <w:t xml:space="preserve"> - R.T.Wildschut@soton.ac.uk)</w:t>
      </w:r>
      <w:r w:rsidRPr="00766C2B">
        <w:t xml:space="preserve"> and </w:t>
      </w:r>
    </w:p>
    <w:p w14:paraId="635F8835" w14:textId="749E2514" w:rsidR="0044386B" w:rsidRPr="00766C2B" w:rsidRDefault="003A2140">
      <w:pPr>
        <w:spacing w:before="120" w:after="120" w:line="276" w:lineRule="auto"/>
        <w:ind w:left="720" w:hanging="720"/>
      </w:pPr>
      <w:r w:rsidRPr="00766C2B">
        <w:t>Constantine Sedikides (</w:t>
      </w:r>
      <w:r w:rsidR="00AC39DE" w:rsidRPr="00766C2B">
        <w:t xml:space="preserve">School </w:t>
      </w:r>
      <w:r w:rsidRPr="00766C2B">
        <w:t xml:space="preserve">of Psychology, University of Southampton, Southampton - </w:t>
      </w:r>
      <w:hyperlink r:id="rId16" w:tgtFrame="_blank" w:tooltip="Original URL: https://orcid.org/0000-0002-7563-306X?lang=en. Click or tap if you trust this link." w:history="1">
        <w:r w:rsidRPr="00766C2B">
          <w:rPr>
            <w:rStyle w:val="Hyperlink"/>
            <w:u w:val="none"/>
            <w:bdr w:val="none" w:sz="0" w:space="0" w:color="auto" w:frame="1"/>
            <w:shd w:val="clear" w:color="auto" w:fill="FFFFFF"/>
          </w:rPr>
          <w:t>https://orcid.org/0000-0002-7563-306X</w:t>
        </w:r>
      </w:hyperlink>
      <w:r w:rsidRPr="00766C2B">
        <w:rPr>
          <w:color w:val="000000"/>
        </w:rPr>
        <w:t xml:space="preserve"> </w:t>
      </w:r>
      <w:r w:rsidRPr="00766C2B">
        <w:rPr>
          <w:rStyle w:val="Hyperlink"/>
          <w:u w:val="none"/>
          <w:shd w:val="clear" w:color="auto" w:fill="FFFFFF"/>
        </w:rPr>
        <w:t>C.Sedikides@soton.ac.uk)</w:t>
      </w:r>
      <w:r w:rsidR="0044386B" w:rsidRPr="00766C2B">
        <w:t xml:space="preserve"> </w:t>
      </w:r>
    </w:p>
    <w:p w14:paraId="62F9406E" w14:textId="77777777" w:rsidR="0044386B" w:rsidRPr="00766C2B" w:rsidRDefault="0044386B" w:rsidP="0044386B">
      <w:pPr>
        <w:spacing w:line="480" w:lineRule="auto"/>
      </w:pPr>
    </w:p>
    <w:p w14:paraId="0F299A60" w14:textId="77777777" w:rsidR="0044386B" w:rsidRPr="00766C2B" w:rsidRDefault="0044386B" w:rsidP="0044386B">
      <w:pPr>
        <w:spacing w:line="480" w:lineRule="auto"/>
      </w:pPr>
      <w:r w:rsidRPr="00766C2B">
        <w:t xml:space="preserve">* </w:t>
      </w:r>
      <w:proofErr w:type="gramStart"/>
      <w:r w:rsidRPr="00766C2B">
        <w:t>corresponding</w:t>
      </w:r>
      <w:proofErr w:type="gramEnd"/>
      <w:r w:rsidRPr="00766C2B">
        <w:t xml:space="preserve"> author</w:t>
      </w:r>
    </w:p>
    <w:p w14:paraId="31C8548D" w14:textId="77777777" w:rsidR="00454329" w:rsidRPr="00766C2B" w:rsidRDefault="00454329" w:rsidP="0044386B">
      <w:pPr>
        <w:spacing w:line="480" w:lineRule="auto"/>
      </w:pPr>
    </w:p>
    <w:p w14:paraId="290067A6" w14:textId="77777777" w:rsidR="0044386B" w:rsidRPr="00766C2B" w:rsidRDefault="0044386B" w:rsidP="0044386B">
      <w:pPr>
        <w:spacing w:line="480" w:lineRule="auto"/>
      </w:pPr>
      <w:r w:rsidRPr="00766C2B">
        <w:t>Running header: Age Differences in MNE for Dementia Information</w:t>
      </w:r>
    </w:p>
    <w:p w14:paraId="7D62A89F" w14:textId="77777777" w:rsidR="0044386B" w:rsidRPr="00766C2B" w:rsidRDefault="0044386B" w:rsidP="0044386B"/>
    <w:p w14:paraId="4CEBDB97" w14:textId="29E61B43" w:rsidR="00454329" w:rsidRPr="00766C2B" w:rsidRDefault="00454329">
      <w:pPr>
        <w:rPr>
          <w:i/>
        </w:rPr>
      </w:pPr>
      <w:r w:rsidRPr="00766C2B">
        <w:rPr>
          <w:i/>
        </w:rPr>
        <w:br w:type="page"/>
      </w:r>
    </w:p>
    <w:p w14:paraId="29C97736" w14:textId="20E6A741" w:rsidR="00673132" w:rsidRPr="00766C2B" w:rsidRDefault="00BD4F99" w:rsidP="005278C1">
      <w:pPr>
        <w:shd w:val="clear" w:color="auto" w:fill="FFFFFF"/>
        <w:spacing w:line="480" w:lineRule="auto"/>
        <w:jc w:val="center"/>
        <w:textAlignment w:val="baseline"/>
        <w:rPr>
          <w:b/>
          <w:bCs/>
          <w:iCs/>
          <w:color w:val="000000"/>
        </w:rPr>
      </w:pPr>
      <w:r w:rsidRPr="00766C2B">
        <w:rPr>
          <w:b/>
          <w:bCs/>
          <w:iCs/>
          <w:color w:val="000000"/>
        </w:rPr>
        <w:lastRenderedPageBreak/>
        <w:t>Abstract</w:t>
      </w:r>
    </w:p>
    <w:p w14:paraId="79C87B99" w14:textId="51B433F6" w:rsidR="00FD7120" w:rsidRPr="00766C2B" w:rsidRDefault="00BB4ACF" w:rsidP="00FD7120">
      <w:pPr>
        <w:spacing w:line="480" w:lineRule="auto"/>
      </w:pPr>
      <w:r w:rsidRPr="00766C2B">
        <w:rPr>
          <w:shd w:val="clear" w:color="auto" w:fill="FFFFFF"/>
        </w:rPr>
        <w:t>As</w:t>
      </w:r>
      <w:r w:rsidR="00E9155C" w:rsidRPr="00766C2B">
        <w:rPr>
          <w:shd w:val="clear" w:color="auto" w:fill="FFFFFF"/>
        </w:rPr>
        <w:t xml:space="preserve"> </w:t>
      </w:r>
      <w:r w:rsidR="00190DEC" w:rsidRPr="00766C2B">
        <w:rPr>
          <w:shd w:val="clear" w:color="auto" w:fill="FFFFFF"/>
        </w:rPr>
        <w:t xml:space="preserve">the risk of </w:t>
      </w:r>
      <w:r w:rsidR="00F81BC3" w:rsidRPr="00766C2B">
        <w:rPr>
          <w:shd w:val="clear" w:color="auto" w:fill="FFFFFF"/>
        </w:rPr>
        <w:t xml:space="preserve">dementia </w:t>
      </w:r>
      <w:r w:rsidR="00190DEC" w:rsidRPr="00766C2B">
        <w:rPr>
          <w:shd w:val="clear" w:color="auto" w:fill="FFFFFF"/>
        </w:rPr>
        <w:t>increases with age</w:t>
      </w:r>
      <w:r w:rsidR="00F4535A" w:rsidRPr="00766C2B">
        <w:rPr>
          <w:shd w:val="clear" w:color="auto" w:fill="FFFFFF"/>
        </w:rPr>
        <w:t xml:space="preserve">, </w:t>
      </w:r>
      <w:r w:rsidR="001A1669" w:rsidRPr="00766C2B">
        <w:rPr>
          <w:shd w:val="clear" w:color="auto" w:fill="FFFFFF"/>
        </w:rPr>
        <w:t xml:space="preserve">the condition </w:t>
      </w:r>
      <w:r w:rsidR="00F4535A" w:rsidRPr="00766C2B">
        <w:rPr>
          <w:shd w:val="clear" w:color="auto" w:fill="FFFFFF"/>
        </w:rPr>
        <w:t xml:space="preserve">represents </w:t>
      </w:r>
      <w:r w:rsidR="00F81BC3" w:rsidRPr="00766C2B">
        <w:rPr>
          <w:shd w:val="clear" w:color="auto" w:fill="FFFFFF"/>
        </w:rPr>
        <w:t xml:space="preserve">a more immediate threat </w:t>
      </w:r>
      <w:r w:rsidR="00F4535A" w:rsidRPr="00766C2B">
        <w:rPr>
          <w:shd w:val="clear" w:color="auto" w:fill="FFFFFF"/>
        </w:rPr>
        <w:t xml:space="preserve">for older than </w:t>
      </w:r>
      <w:r w:rsidR="00BC50AF" w:rsidRPr="00766C2B">
        <w:rPr>
          <w:shd w:val="clear" w:color="auto" w:fill="FFFFFF"/>
        </w:rPr>
        <w:t xml:space="preserve">for </w:t>
      </w:r>
      <w:r w:rsidR="00F4535A" w:rsidRPr="00766C2B">
        <w:rPr>
          <w:shd w:val="clear" w:color="auto" w:fill="FFFFFF"/>
        </w:rPr>
        <w:t xml:space="preserve">younger </w:t>
      </w:r>
      <w:r w:rsidR="00C53EC7" w:rsidRPr="00766C2B">
        <w:rPr>
          <w:shd w:val="clear" w:color="auto" w:fill="FFFFFF"/>
        </w:rPr>
        <w:t>adults</w:t>
      </w:r>
      <w:r w:rsidR="00F81BC3" w:rsidRPr="00766C2B">
        <w:rPr>
          <w:shd w:val="clear" w:color="auto" w:fill="FFFFFF"/>
        </w:rPr>
        <w:t xml:space="preserve">. </w:t>
      </w:r>
      <w:r w:rsidR="00B125A3" w:rsidRPr="00766C2B">
        <w:rPr>
          <w:shd w:val="clear" w:color="auto" w:fill="FFFFFF"/>
        </w:rPr>
        <w:t xml:space="preserve">Consequently, </w:t>
      </w:r>
      <w:r w:rsidR="00F4535A" w:rsidRPr="00766C2B">
        <w:rPr>
          <w:shd w:val="clear" w:color="auto" w:fill="FFFFFF"/>
        </w:rPr>
        <w:t xml:space="preserve">the strategies that </w:t>
      </w:r>
      <w:r w:rsidR="00B125A3" w:rsidRPr="00766C2B">
        <w:rPr>
          <w:shd w:val="clear" w:color="auto" w:fill="FFFFFF"/>
        </w:rPr>
        <w:t xml:space="preserve">younger and older </w:t>
      </w:r>
      <w:r w:rsidR="00F4535A" w:rsidRPr="00766C2B">
        <w:rPr>
          <w:shd w:val="clear" w:color="auto" w:fill="FFFFFF"/>
        </w:rPr>
        <w:t>people use to defend the self against the threat of dementia</w:t>
      </w:r>
      <w:r w:rsidR="00B125A3" w:rsidRPr="00766C2B">
        <w:rPr>
          <w:shd w:val="clear" w:color="auto" w:fill="FFFFFF"/>
        </w:rPr>
        <w:t xml:space="preserve"> may vary, with the latter more likely to </w:t>
      </w:r>
      <w:r w:rsidR="00E55A7F" w:rsidRPr="00766C2B">
        <w:rPr>
          <w:shd w:val="clear" w:color="auto" w:fill="FFFFFF"/>
        </w:rPr>
        <w:t xml:space="preserve">recruit </w:t>
      </w:r>
      <w:r w:rsidR="0015047C" w:rsidRPr="00766C2B">
        <w:rPr>
          <w:shd w:val="clear" w:color="auto" w:fill="FFFFFF"/>
        </w:rPr>
        <w:t xml:space="preserve">psychological </w:t>
      </w:r>
      <w:r w:rsidR="00E55A7F" w:rsidRPr="00766C2B">
        <w:rPr>
          <w:shd w:val="clear" w:color="auto" w:fill="FFFFFF"/>
        </w:rPr>
        <w:t xml:space="preserve">defence </w:t>
      </w:r>
      <w:r w:rsidR="009B534C" w:rsidRPr="00766C2B">
        <w:rPr>
          <w:shd w:val="clear" w:color="auto" w:fill="FFFFFF"/>
        </w:rPr>
        <w:t>mechanism</w:t>
      </w:r>
      <w:r w:rsidR="0015047C" w:rsidRPr="00766C2B">
        <w:rPr>
          <w:shd w:val="clear" w:color="auto" w:fill="FFFFFF"/>
        </w:rPr>
        <w:t>s</w:t>
      </w:r>
      <w:r w:rsidR="009B534C" w:rsidRPr="00766C2B">
        <w:rPr>
          <w:shd w:val="clear" w:color="auto" w:fill="FFFFFF"/>
        </w:rPr>
        <w:t xml:space="preserve"> </w:t>
      </w:r>
      <w:r w:rsidR="0015047C" w:rsidRPr="00766C2B">
        <w:rPr>
          <w:shd w:val="clear" w:color="auto" w:fill="FFFFFF"/>
        </w:rPr>
        <w:t xml:space="preserve">such </w:t>
      </w:r>
      <w:r w:rsidR="00F65D87" w:rsidRPr="00766C2B">
        <w:rPr>
          <w:shd w:val="clear" w:color="auto" w:fill="FFFFFF"/>
        </w:rPr>
        <w:t xml:space="preserve">as </w:t>
      </w:r>
      <w:r w:rsidR="00E55A7F" w:rsidRPr="00766C2B">
        <w:rPr>
          <w:shd w:val="clear" w:color="auto" w:fill="FFFFFF"/>
        </w:rPr>
        <w:t>mnemic neglect</w:t>
      </w:r>
      <w:r w:rsidR="00B125A3" w:rsidRPr="00766C2B">
        <w:rPr>
          <w:shd w:val="clear" w:color="auto" w:fill="FFFFFF"/>
        </w:rPr>
        <w:t xml:space="preserve"> (</w:t>
      </w:r>
      <w:r w:rsidR="00792A6A" w:rsidRPr="00766C2B">
        <w:t xml:space="preserve">in which </w:t>
      </w:r>
      <w:r w:rsidR="00F6189C" w:rsidRPr="00766C2B">
        <w:t>information that is threatening to the self</w:t>
      </w:r>
      <w:r w:rsidR="00792A6A" w:rsidRPr="00766C2B">
        <w:t xml:space="preserve"> is s</w:t>
      </w:r>
      <w:r w:rsidR="00F158A0" w:rsidRPr="00766C2B">
        <w:t>elective</w:t>
      </w:r>
      <w:r w:rsidR="00792A6A" w:rsidRPr="00766C2B">
        <w:t>ly forgotten</w:t>
      </w:r>
      <w:r w:rsidR="00B125A3" w:rsidRPr="00766C2B">
        <w:t>) to reduce distress</w:t>
      </w:r>
      <w:r w:rsidR="00792A6A" w:rsidRPr="00766C2B">
        <w:t xml:space="preserve">. </w:t>
      </w:r>
      <w:r w:rsidR="00F6189C" w:rsidRPr="00766C2B">
        <w:t>W</w:t>
      </w:r>
      <w:r w:rsidR="0026214D" w:rsidRPr="00766C2B">
        <w:t xml:space="preserve">e </w:t>
      </w:r>
      <w:r w:rsidR="00F6189C" w:rsidRPr="00766C2B">
        <w:t xml:space="preserve">tested </w:t>
      </w:r>
      <w:r w:rsidR="0065705E" w:rsidRPr="00766C2B">
        <w:t xml:space="preserve">the hypothesis that </w:t>
      </w:r>
      <w:r w:rsidR="0026214D" w:rsidRPr="00766C2B">
        <w:t xml:space="preserve">older </w:t>
      </w:r>
      <w:r w:rsidR="00E55A7F" w:rsidRPr="00766C2B">
        <w:t xml:space="preserve">(compared to younger) </w:t>
      </w:r>
      <w:r w:rsidR="00F65D87" w:rsidRPr="00766C2B">
        <w:t xml:space="preserve">adults </w:t>
      </w:r>
      <w:r w:rsidR="00CB6F5A" w:rsidRPr="00766C2B">
        <w:t>are</w:t>
      </w:r>
      <w:r w:rsidR="00E55A7F" w:rsidRPr="00766C2B">
        <w:t xml:space="preserve"> more likely to </w:t>
      </w:r>
      <w:r w:rsidR="005A4524" w:rsidRPr="00766C2B">
        <w:t xml:space="preserve">manifest </w:t>
      </w:r>
      <w:r w:rsidR="00E55A7F" w:rsidRPr="00766C2B">
        <w:t>mnemic neglect</w:t>
      </w:r>
      <w:r w:rsidR="003A63FC" w:rsidRPr="00766C2B">
        <w:t xml:space="preserve"> for dementia-related information</w:t>
      </w:r>
      <w:r w:rsidR="0026214D" w:rsidRPr="00766C2B">
        <w:t>.</w:t>
      </w:r>
      <w:r w:rsidR="00841FC2" w:rsidRPr="00766C2B">
        <w:rPr>
          <w:shd w:val="clear" w:color="auto" w:fill="FFFFFF"/>
        </w:rPr>
        <w:t xml:space="preserve"> </w:t>
      </w:r>
      <w:r w:rsidR="00F647CD" w:rsidRPr="00766C2B">
        <w:t>Fifty-nine younger adults (aged under 50) and 4</w:t>
      </w:r>
      <w:r w:rsidR="008C26F4" w:rsidRPr="00766C2B">
        <w:t>4</w:t>
      </w:r>
      <w:r w:rsidR="00F647CD" w:rsidRPr="00766C2B">
        <w:t xml:space="preserve"> </w:t>
      </w:r>
      <w:r w:rsidR="003A63FC" w:rsidRPr="00766C2B">
        <w:t xml:space="preserve">older </w:t>
      </w:r>
      <w:r w:rsidR="00E9155C" w:rsidRPr="00766C2B">
        <w:t xml:space="preserve">adults </w:t>
      </w:r>
      <w:r w:rsidR="003A63FC" w:rsidRPr="00766C2B">
        <w:t xml:space="preserve">(aged over 50) </w:t>
      </w:r>
      <w:r w:rsidR="008D13B0" w:rsidRPr="00766C2B">
        <w:t>recalled 24 dementia-related statements</w:t>
      </w:r>
      <w:r w:rsidR="00FF6AB7" w:rsidRPr="00766C2B">
        <w:t xml:space="preserve"> that were either </w:t>
      </w:r>
      <w:r w:rsidR="00CB3542" w:rsidRPr="00766C2B">
        <w:t>high</w:t>
      </w:r>
      <w:r w:rsidR="00FF6AB7" w:rsidRPr="00766C2B">
        <w:t xml:space="preserve"> or low in </w:t>
      </w:r>
      <w:r w:rsidR="00CB3542" w:rsidRPr="00766C2B">
        <w:t>negativity</w:t>
      </w:r>
      <w:r w:rsidR="00FF6AB7" w:rsidRPr="00766C2B">
        <w:t>. Parti</w:t>
      </w:r>
      <w:r w:rsidRPr="00766C2B">
        <w:t>cipants were randomised to recall</w:t>
      </w:r>
      <w:r w:rsidR="00CB3542" w:rsidRPr="00766C2B">
        <w:t xml:space="preserve"> statements</w:t>
      </w:r>
      <w:r w:rsidR="00FF6AB7" w:rsidRPr="00766C2B">
        <w:t xml:space="preserve"> that referred</w:t>
      </w:r>
      <w:r w:rsidR="00CB3542" w:rsidRPr="00766C2B">
        <w:t xml:space="preserve"> </w:t>
      </w:r>
      <w:r w:rsidR="00E9155C" w:rsidRPr="00766C2B">
        <w:t xml:space="preserve">either </w:t>
      </w:r>
      <w:r w:rsidR="00CB3542" w:rsidRPr="00766C2B">
        <w:t>to themselves or another person</w:t>
      </w:r>
      <w:r w:rsidR="0026214D" w:rsidRPr="00766C2B">
        <w:t xml:space="preserve">. </w:t>
      </w:r>
      <w:r w:rsidR="007C6768" w:rsidRPr="00766C2B">
        <w:t xml:space="preserve">High-negativity, self-referent statements had the </w:t>
      </w:r>
      <w:r w:rsidR="007C6768" w:rsidRPr="00766C2B">
        <w:rPr>
          <w:noProof/>
        </w:rPr>
        <w:t>most substantial</w:t>
      </w:r>
      <w:r w:rsidR="007C6768" w:rsidRPr="00766C2B">
        <w:t xml:space="preserve"> threat potential</w:t>
      </w:r>
      <w:r w:rsidR="00FF6AB7" w:rsidRPr="00766C2B">
        <w:t>.</w:t>
      </w:r>
      <w:r w:rsidR="00841FC2" w:rsidRPr="00766C2B">
        <w:t xml:space="preserve"> </w:t>
      </w:r>
      <w:r w:rsidR="0092746F" w:rsidRPr="00766C2B">
        <w:t xml:space="preserve">Older </w:t>
      </w:r>
      <w:r w:rsidR="00CF6DD5" w:rsidRPr="00766C2B">
        <w:t xml:space="preserve">and younger </w:t>
      </w:r>
      <w:r w:rsidR="007962BE" w:rsidRPr="00766C2B">
        <w:t xml:space="preserve">participants </w:t>
      </w:r>
      <w:r w:rsidR="00CF6DD5" w:rsidRPr="00766C2B">
        <w:t xml:space="preserve">showed different </w:t>
      </w:r>
      <w:r w:rsidR="007962BE" w:rsidRPr="00766C2B">
        <w:t xml:space="preserve">recall </w:t>
      </w:r>
      <w:r w:rsidR="00CF6DD5" w:rsidRPr="00766C2B">
        <w:t>patterns</w:t>
      </w:r>
      <w:r w:rsidRPr="00766C2B">
        <w:t xml:space="preserve">: </w:t>
      </w:r>
      <w:r w:rsidR="008F7B78" w:rsidRPr="00766C2B">
        <w:t>t</w:t>
      </w:r>
      <w:r w:rsidR="00B033B2" w:rsidRPr="00766C2B">
        <w:t xml:space="preserve">he </w:t>
      </w:r>
      <w:r w:rsidR="007962BE" w:rsidRPr="00766C2B">
        <w:t xml:space="preserve">recall of older (but not younger) participants </w:t>
      </w:r>
      <w:r w:rsidR="0092746F" w:rsidRPr="00766C2B">
        <w:t xml:space="preserve">for high-negativity (vs. low-negativity) dementia-related statements </w:t>
      </w:r>
      <w:r w:rsidR="00D761C4" w:rsidRPr="00766C2B">
        <w:t>was impaired when</w:t>
      </w:r>
      <w:r w:rsidR="0092746F" w:rsidRPr="00766C2B">
        <w:t xml:space="preserve"> these statements referred to the self rather than </w:t>
      </w:r>
      <w:r w:rsidR="00BC50AF" w:rsidRPr="00766C2B">
        <w:t xml:space="preserve">to </w:t>
      </w:r>
      <w:r w:rsidR="0092746F" w:rsidRPr="00766C2B">
        <w:t>another person.</w:t>
      </w:r>
      <w:r w:rsidR="00841FC2" w:rsidRPr="00766C2B">
        <w:t xml:space="preserve"> </w:t>
      </w:r>
      <w:r w:rsidR="007962BE" w:rsidRPr="00766C2B">
        <w:t>The results are</w:t>
      </w:r>
      <w:r w:rsidR="00906E78" w:rsidRPr="00766C2B">
        <w:t xml:space="preserve"> </w:t>
      </w:r>
      <w:r w:rsidR="007962BE" w:rsidRPr="00766C2B">
        <w:t>consistent w</w:t>
      </w:r>
      <w:bookmarkStart w:id="0" w:name="_GoBack"/>
      <w:bookmarkEnd w:id="0"/>
      <w:r w:rsidR="007962BE" w:rsidRPr="00766C2B">
        <w:t xml:space="preserve">ith </w:t>
      </w:r>
      <w:r w:rsidR="0012360A" w:rsidRPr="00766C2B">
        <w:t xml:space="preserve">the hypothesis </w:t>
      </w:r>
      <w:r w:rsidR="0026214D" w:rsidRPr="00766C2B">
        <w:t xml:space="preserve">that </w:t>
      </w:r>
      <w:r w:rsidR="0012360A" w:rsidRPr="00766C2B">
        <w:t xml:space="preserve">older, but not younger, adults </w:t>
      </w:r>
      <w:r w:rsidR="002E79FA" w:rsidRPr="00766C2B">
        <w:t>evince mnemic neglect in response to</w:t>
      </w:r>
      <w:r w:rsidR="00F65D87" w:rsidRPr="00766C2B">
        <w:t xml:space="preserve"> self-threatening</w:t>
      </w:r>
      <w:r w:rsidR="00F6189C" w:rsidRPr="00766C2B">
        <w:t xml:space="preserve"> information</w:t>
      </w:r>
      <w:r w:rsidR="00F65D87" w:rsidRPr="00766C2B">
        <w:t xml:space="preserve"> about dementia</w:t>
      </w:r>
      <w:r w:rsidR="008D13B0" w:rsidRPr="00766C2B">
        <w:t>.</w:t>
      </w:r>
      <w:r w:rsidR="00F6189C" w:rsidRPr="00766C2B">
        <w:t xml:space="preserve"> </w:t>
      </w:r>
    </w:p>
    <w:p w14:paraId="093A404F" w14:textId="1AC1C54F" w:rsidR="00823C23" w:rsidRPr="00766C2B" w:rsidRDefault="00823C23" w:rsidP="00FD7120">
      <w:pPr>
        <w:spacing w:line="480" w:lineRule="auto"/>
      </w:pPr>
    </w:p>
    <w:p w14:paraId="16BB1A6E" w14:textId="77777777" w:rsidR="00823C23" w:rsidRPr="00766C2B" w:rsidRDefault="00823C23" w:rsidP="00FD7120">
      <w:pPr>
        <w:spacing w:line="480" w:lineRule="auto"/>
        <w:rPr>
          <w:shd w:val="clear" w:color="auto" w:fill="FFFFFF"/>
        </w:rPr>
      </w:pPr>
    </w:p>
    <w:p w14:paraId="78BFC838" w14:textId="6ED8447E" w:rsidR="00683445" w:rsidRPr="00766C2B" w:rsidRDefault="00683445" w:rsidP="00FD7120">
      <w:pPr>
        <w:spacing w:line="480" w:lineRule="auto"/>
      </w:pPr>
      <w:r w:rsidRPr="00766C2B">
        <w:rPr>
          <w:i/>
        </w:rPr>
        <w:t>Keywords</w:t>
      </w:r>
      <w:r w:rsidRPr="00766C2B">
        <w:t>:</w:t>
      </w:r>
      <w:r w:rsidRPr="00766C2B">
        <w:rPr>
          <w:b/>
        </w:rPr>
        <w:t xml:space="preserve"> </w:t>
      </w:r>
      <w:r w:rsidRPr="00766C2B">
        <w:t xml:space="preserve">Alzheimer’s disease; </w:t>
      </w:r>
      <w:r w:rsidR="00175A72" w:rsidRPr="00766C2B">
        <w:t xml:space="preserve">dementia; memory, short-term; </w:t>
      </w:r>
      <w:r w:rsidR="006E5039" w:rsidRPr="00766C2B">
        <w:t xml:space="preserve">amnesia, anterograde; </w:t>
      </w:r>
      <w:r w:rsidRPr="00766C2B">
        <w:t>self-concept; mnemic neglect</w:t>
      </w:r>
      <w:r w:rsidRPr="00766C2B">
        <w:br w:type="page"/>
      </w:r>
    </w:p>
    <w:p w14:paraId="6442608C" w14:textId="764EAE5D" w:rsidR="008A23AB" w:rsidRPr="00766C2B" w:rsidRDefault="00D14C37" w:rsidP="00BB15FC">
      <w:pPr>
        <w:spacing w:line="480" w:lineRule="auto"/>
        <w:jc w:val="center"/>
        <w:rPr>
          <w:i/>
        </w:rPr>
      </w:pPr>
      <w:r w:rsidRPr="00766C2B">
        <w:rPr>
          <w:i/>
        </w:rPr>
        <w:lastRenderedPageBreak/>
        <w:t>Introduction</w:t>
      </w:r>
    </w:p>
    <w:p w14:paraId="598C93AA" w14:textId="6E9177F2" w:rsidR="00613C5F" w:rsidRPr="00766C2B" w:rsidRDefault="00613C5F" w:rsidP="003756C6">
      <w:pPr>
        <w:spacing w:line="480" w:lineRule="auto"/>
        <w:ind w:firstLine="720"/>
      </w:pPr>
      <w:r w:rsidRPr="00766C2B">
        <w:t xml:space="preserve">Dementia is a progressive disease that steadily erodes an individual’s core </w:t>
      </w:r>
      <w:r w:rsidR="00CC4BCC" w:rsidRPr="00766C2B">
        <w:t>abilities</w:t>
      </w:r>
      <w:r w:rsidR="00D13AEA" w:rsidRPr="00766C2B">
        <w:t xml:space="preserve">, eventually resulting in </w:t>
      </w:r>
      <w:r w:rsidRPr="00766C2B">
        <w:t xml:space="preserve">death. </w:t>
      </w:r>
      <w:r w:rsidR="002143E3" w:rsidRPr="00766C2B">
        <w:t>T</w:t>
      </w:r>
      <w:r w:rsidRPr="00766C2B">
        <w:t xml:space="preserve">he impact of neurological impairment varies according to the specific diagnosis, </w:t>
      </w:r>
      <w:r w:rsidR="002143E3" w:rsidRPr="00766C2B">
        <w:t xml:space="preserve">but </w:t>
      </w:r>
      <w:r w:rsidRPr="00766C2B">
        <w:t xml:space="preserve">all forms of dementia progressively degrade </w:t>
      </w:r>
      <w:r w:rsidR="00605146" w:rsidRPr="00766C2B">
        <w:t xml:space="preserve">the </w:t>
      </w:r>
      <w:r w:rsidRPr="00766C2B">
        <w:t>social, psychological</w:t>
      </w:r>
      <w:r w:rsidR="00605146" w:rsidRPr="00766C2B">
        <w:t>,</w:t>
      </w:r>
      <w:r w:rsidRPr="00766C2B">
        <w:t xml:space="preserve"> and neurological capacities that underpin identity</w:t>
      </w:r>
      <w:r w:rsidR="004023A4" w:rsidRPr="00766C2B">
        <w:t xml:space="preserve"> </w:t>
      </w:r>
      <w:r w:rsidR="0067696B" w:rsidRPr="00766C2B">
        <w:rPr>
          <w:color w:val="222222"/>
          <w:shd w:val="clear" w:color="auto" w:fill="FFFFFF"/>
        </w:rPr>
        <w:t>(World Health Organisation, 1993)</w:t>
      </w:r>
      <w:r w:rsidRPr="00766C2B">
        <w:t xml:space="preserve">. Although treatments exist, dementia itself is incurable. </w:t>
      </w:r>
      <w:r w:rsidR="00CB6F5A" w:rsidRPr="00766C2B">
        <w:t>The condition</w:t>
      </w:r>
      <w:r w:rsidRPr="00766C2B">
        <w:t xml:space="preserve">, then, represents a profound psychosocial threat. </w:t>
      </w:r>
      <w:r w:rsidR="00D65CE9" w:rsidRPr="00766C2B">
        <w:t>Yet</w:t>
      </w:r>
      <w:r w:rsidRPr="00766C2B">
        <w:t xml:space="preserve">, the nature of that threat, and thus the strategies </w:t>
      </w:r>
      <w:r w:rsidR="001A1669" w:rsidRPr="00766C2B">
        <w:t xml:space="preserve">upon which </w:t>
      </w:r>
      <w:r w:rsidRPr="00766C2B">
        <w:t xml:space="preserve">people </w:t>
      </w:r>
      <w:r w:rsidR="001A1CD3" w:rsidRPr="00766C2B">
        <w:t xml:space="preserve">draw to </w:t>
      </w:r>
      <w:r w:rsidR="00D65CE9" w:rsidRPr="00766C2B">
        <w:t xml:space="preserve">defend </w:t>
      </w:r>
      <w:r w:rsidR="00AF7888" w:rsidRPr="00766C2B">
        <w:t xml:space="preserve">the </w:t>
      </w:r>
      <w:r w:rsidRPr="00766C2B">
        <w:t>sel</w:t>
      </w:r>
      <w:r w:rsidR="001A1CD3" w:rsidRPr="00766C2B">
        <w:t>f</w:t>
      </w:r>
      <w:r w:rsidRPr="00766C2B">
        <w:t xml:space="preserve"> against</w:t>
      </w:r>
      <w:r w:rsidR="00CB6F5A" w:rsidRPr="00766C2B">
        <w:t xml:space="preserve"> it</w:t>
      </w:r>
      <w:r w:rsidRPr="00766C2B">
        <w:t>, var</w:t>
      </w:r>
      <w:r w:rsidR="001A1669" w:rsidRPr="00766C2B">
        <w:t>y</w:t>
      </w:r>
      <w:r w:rsidRPr="00766C2B">
        <w:t xml:space="preserve">. In particular, as the risk of developing dementia increases exponentially </w:t>
      </w:r>
      <w:r w:rsidR="001A1669" w:rsidRPr="00766C2B">
        <w:t>with</w:t>
      </w:r>
      <w:r w:rsidRPr="00766C2B">
        <w:t xml:space="preserve"> age, roughly doubling every five years </w:t>
      </w:r>
      <w:r w:rsidR="00853B76" w:rsidRPr="00766C2B">
        <w:t>(</w:t>
      </w:r>
      <w:r w:rsidR="000936B7" w:rsidRPr="00766C2B">
        <w:rPr>
          <w:color w:val="000000"/>
          <w:shd w:val="clear" w:color="auto" w:fill="FFFFFF"/>
        </w:rPr>
        <w:t>Lincoln et al</w:t>
      </w:r>
      <w:r w:rsidR="00DB5EB9" w:rsidRPr="00766C2B">
        <w:rPr>
          <w:color w:val="000000"/>
          <w:shd w:val="clear" w:color="auto" w:fill="FFFFFF"/>
        </w:rPr>
        <w:t>.</w:t>
      </w:r>
      <w:r w:rsidR="000936B7" w:rsidRPr="00766C2B">
        <w:rPr>
          <w:color w:val="000000"/>
          <w:shd w:val="clear" w:color="auto" w:fill="FFFFFF"/>
        </w:rPr>
        <w:t xml:space="preserve">, 2014; </w:t>
      </w:r>
      <w:r w:rsidR="00DF330E" w:rsidRPr="00766C2B">
        <w:rPr>
          <w:color w:val="222222"/>
          <w:shd w:val="clear" w:color="auto" w:fill="FFFFFF"/>
        </w:rPr>
        <w:t>Matthews et al</w:t>
      </w:r>
      <w:r w:rsidR="00DB5EB9" w:rsidRPr="00766C2B">
        <w:rPr>
          <w:color w:val="222222"/>
          <w:shd w:val="clear" w:color="auto" w:fill="FFFFFF"/>
        </w:rPr>
        <w:t>.</w:t>
      </w:r>
      <w:r w:rsidR="00DF330E" w:rsidRPr="00766C2B">
        <w:rPr>
          <w:color w:val="222222"/>
          <w:shd w:val="clear" w:color="auto" w:fill="FFFFFF"/>
        </w:rPr>
        <w:t>, 2013</w:t>
      </w:r>
      <w:r w:rsidRPr="00766C2B">
        <w:rPr>
          <w:color w:val="222222"/>
          <w:shd w:val="clear" w:color="auto" w:fill="FFFFFF"/>
        </w:rPr>
        <w:t>)</w:t>
      </w:r>
      <w:r w:rsidRPr="00766C2B">
        <w:t xml:space="preserve">, the threat that dementia represents </w:t>
      </w:r>
      <w:r w:rsidR="001A1669" w:rsidRPr="00766C2B">
        <w:t xml:space="preserve">also </w:t>
      </w:r>
      <w:r w:rsidRPr="00766C2B">
        <w:t xml:space="preserve">changes with age. Consequently, we </w:t>
      </w:r>
      <w:r w:rsidR="00C62AF8" w:rsidRPr="00766C2B">
        <w:t xml:space="preserve">propose </w:t>
      </w:r>
      <w:r w:rsidRPr="00766C2B">
        <w:t>that the</w:t>
      </w:r>
      <w:r w:rsidR="00C62AF8" w:rsidRPr="00766C2B">
        <w:t xml:space="preserve"> threat-reduction</w:t>
      </w:r>
      <w:r w:rsidRPr="00766C2B">
        <w:t xml:space="preserve"> strategies that older people </w:t>
      </w:r>
      <w:r w:rsidR="00C62AF8" w:rsidRPr="00766C2B">
        <w:t>use</w:t>
      </w:r>
      <w:r w:rsidRPr="00766C2B">
        <w:t xml:space="preserve"> will be different to those</w:t>
      </w:r>
      <w:r w:rsidR="00C62AF8" w:rsidRPr="00766C2B">
        <w:t xml:space="preserve"> that</w:t>
      </w:r>
      <w:r w:rsidRPr="00766C2B">
        <w:t xml:space="preserve"> younger people</w:t>
      </w:r>
      <w:r w:rsidR="00C62AF8" w:rsidRPr="00766C2B">
        <w:t xml:space="preserve"> use</w:t>
      </w:r>
      <w:r w:rsidRPr="00766C2B">
        <w:t xml:space="preserve">. </w:t>
      </w:r>
      <w:r w:rsidR="00C62AF8" w:rsidRPr="00766C2B">
        <w:t>We test this proposition in the current article</w:t>
      </w:r>
      <w:r w:rsidRPr="00766C2B">
        <w:t>.</w:t>
      </w:r>
    </w:p>
    <w:p w14:paraId="683A0FEA" w14:textId="0B0FF5EF" w:rsidR="00CC4BCC" w:rsidRPr="00766C2B" w:rsidRDefault="00613C5F" w:rsidP="00E50EE0">
      <w:pPr>
        <w:spacing w:line="480" w:lineRule="auto"/>
        <w:ind w:firstLine="720"/>
        <w:rPr>
          <w:color w:val="222222"/>
          <w:shd w:val="clear" w:color="auto" w:fill="FFFFFF"/>
        </w:rPr>
      </w:pPr>
      <w:r w:rsidRPr="00766C2B">
        <w:t>T</w:t>
      </w:r>
      <w:r w:rsidR="00CE21C7" w:rsidRPr="00766C2B">
        <w:t>he older one becomes, the</w:t>
      </w:r>
      <w:r w:rsidR="00C62AF8" w:rsidRPr="00766C2B">
        <w:t xml:space="preserve"> more immediate the</w:t>
      </w:r>
      <w:r w:rsidR="00CE21C7" w:rsidRPr="00766C2B">
        <w:t xml:space="preserve"> threat </w:t>
      </w:r>
      <w:r w:rsidR="000A387B" w:rsidRPr="00766C2B">
        <w:t xml:space="preserve">of </w:t>
      </w:r>
      <w:r w:rsidR="00CE21C7" w:rsidRPr="00766C2B">
        <w:t xml:space="preserve">dementia </w:t>
      </w:r>
      <w:r w:rsidR="00C62AF8" w:rsidRPr="00766C2B">
        <w:t>feels</w:t>
      </w:r>
      <w:r w:rsidR="00CE21C7" w:rsidRPr="00766C2B">
        <w:t xml:space="preserve">. Thus, although people of all ages </w:t>
      </w:r>
      <w:r w:rsidR="000936B7" w:rsidRPr="00766C2B">
        <w:t>may be</w:t>
      </w:r>
      <w:r w:rsidR="00CE21C7" w:rsidRPr="00766C2B">
        <w:t xml:space="preserve"> frightened of dementia, these fears intens</w:t>
      </w:r>
      <w:r w:rsidR="00C62AF8" w:rsidRPr="00766C2B">
        <w:t>ify among</w:t>
      </w:r>
      <w:r w:rsidR="00CE21C7" w:rsidRPr="00766C2B">
        <w:t xml:space="preserve"> older adults</w:t>
      </w:r>
      <w:r w:rsidR="00CE21C7" w:rsidRPr="00766C2B">
        <w:rPr>
          <w:lang w:val="en-US"/>
        </w:rPr>
        <w:t>.</w:t>
      </w:r>
      <w:r w:rsidR="00CE21C7" w:rsidRPr="00766C2B">
        <w:t xml:space="preserve"> A 2011 YouGov poll</w:t>
      </w:r>
      <w:r w:rsidR="00681086" w:rsidRPr="00766C2B">
        <w:rPr>
          <w:rStyle w:val="FootnoteReference"/>
        </w:rPr>
        <w:footnoteReference w:id="1"/>
      </w:r>
      <w:r w:rsidR="00681086" w:rsidRPr="00766C2B">
        <w:t xml:space="preserve"> </w:t>
      </w:r>
      <w:r w:rsidR="00CE21C7" w:rsidRPr="00766C2B">
        <w:t xml:space="preserve">of over 2,000 UK adults found that 39% of </w:t>
      </w:r>
      <w:r w:rsidR="00D65CE9" w:rsidRPr="00766C2B">
        <w:t>respondents</w:t>
      </w:r>
      <w:r w:rsidR="00C62AF8" w:rsidRPr="00766C2B">
        <w:t xml:space="preserve"> </w:t>
      </w:r>
      <w:r w:rsidR="00CE21C7" w:rsidRPr="00766C2B">
        <w:t xml:space="preserve">aged over 55 cited Alzheimer’s disease as the illness they feared most compared to </w:t>
      </w:r>
      <w:r w:rsidR="00F21BAD" w:rsidRPr="00766C2B">
        <w:t xml:space="preserve">just </w:t>
      </w:r>
      <w:r w:rsidR="00CE21C7" w:rsidRPr="00766C2B">
        <w:t>18% of 18</w:t>
      </w:r>
      <w:r w:rsidR="00C62AF8" w:rsidRPr="00766C2B">
        <w:t>-</w:t>
      </w:r>
      <w:r w:rsidR="00CE21C7" w:rsidRPr="00766C2B">
        <w:t xml:space="preserve"> to </w:t>
      </w:r>
      <w:r w:rsidR="0004766D" w:rsidRPr="00766C2B">
        <w:t>24-year</w:t>
      </w:r>
      <w:r w:rsidR="00CE21C7" w:rsidRPr="00766C2B">
        <w:t xml:space="preserve"> olds. </w:t>
      </w:r>
      <w:r w:rsidR="00E50EE0" w:rsidRPr="00766C2B">
        <w:t>For someone in their 70s, then, dementia is likely to be a more imminent threat than it is for someone in their 20s, and consequently they may draw on different psychological defences to protect the self. Thus</w:t>
      </w:r>
      <w:r w:rsidR="00C24E0A" w:rsidRPr="00766C2B">
        <w:t>,</w:t>
      </w:r>
      <w:r w:rsidR="00E50EE0" w:rsidRPr="00766C2B">
        <w:t xml:space="preserve"> younger adults are more likely to frame their attitudes and beliefs about dementia within broader and paternalistic stereotypes about ageing (</w:t>
      </w:r>
      <w:r w:rsidR="00E50EE0" w:rsidRPr="00766C2B">
        <w:rPr>
          <w:lang w:val="en-US"/>
        </w:rPr>
        <w:t xml:space="preserve">Fiske et al., </w:t>
      </w:r>
      <w:r w:rsidR="00E50EE0" w:rsidRPr="00766C2B">
        <w:t>2002).</w:t>
      </w:r>
      <w:r w:rsidR="00CC4BCC" w:rsidRPr="00766C2B">
        <w:t xml:space="preserve"> </w:t>
      </w:r>
      <w:r w:rsidR="008262D9" w:rsidRPr="00766C2B">
        <w:t>Characteristically</w:t>
      </w:r>
      <w:r w:rsidR="00CC4BCC" w:rsidRPr="00766C2B">
        <w:t xml:space="preserve">, </w:t>
      </w:r>
      <w:r w:rsidR="008262D9" w:rsidRPr="00766C2B">
        <w:t>they</w:t>
      </w:r>
      <w:r w:rsidR="00CC4BCC" w:rsidRPr="00766C2B">
        <w:t xml:space="preserve"> insulate themselves from anxiety about their own </w:t>
      </w:r>
      <w:r w:rsidR="00CC4BCC" w:rsidRPr="00766C2B">
        <w:lastRenderedPageBreak/>
        <w:t>ageing by distancing themselves from their future, older selves (</w:t>
      </w:r>
      <w:r w:rsidR="00CC4BCC" w:rsidRPr="00766C2B">
        <w:rPr>
          <w:lang w:val="en-US"/>
        </w:rPr>
        <w:t>Greenberg</w:t>
      </w:r>
      <w:r w:rsidR="006D01F5" w:rsidRPr="00766C2B">
        <w:rPr>
          <w:lang w:val="en-US"/>
        </w:rPr>
        <w:t xml:space="preserve"> et al.</w:t>
      </w:r>
      <w:r w:rsidR="00CC4BCC" w:rsidRPr="00766C2B">
        <w:rPr>
          <w:lang w:val="en-US"/>
        </w:rPr>
        <w:t xml:space="preserve">, 2002; </w:t>
      </w:r>
      <w:r w:rsidR="00CC4BCC" w:rsidRPr="00766C2B">
        <w:rPr>
          <w:color w:val="222222"/>
          <w:shd w:val="clear" w:color="auto" w:fill="FFFFFF"/>
        </w:rPr>
        <w:t>Martens et al., 2005</w:t>
      </w:r>
      <w:r w:rsidR="005F5B7B" w:rsidRPr="00766C2B">
        <w:rPr>
          <w:color w:val="222222"/>
          <w:shd w:val="clear" w:color="auto" w:fill="FFFFFF"/>
        </w:rPr>
        <w:t xml:space="preserve">; </w:t>
      </w:r>
      <w:r w:rsidR="005F5B7B" w:rsidRPr="00766C2B">
        <w:t>Nelson, 2005</w:t>
      </w:r>
      <w:r w:rsidR="00CC4BCC" w:rsidRPr="00766C2B">
        <w:rPr>
          <w:lang w:val="en-US"/>
        </w:rPr>
        <w:t>)</w:t>
      </w:r>
      <w:r w:rsidR="00CC4BCC" w:rsidRPr="00766C2B">
        <w:t xml:space="preserve">. </w:t>
      </w:r>
      <w:r w:rsidR="008262D9" w:rsidRPr="00766C2B">
        <w:t>For example</w:t>
      </w:r>
      <w:r w:rsidR="000B5C5E" w:rsidRPr="00766C2B">
        <w:t>,</w:t>
      </w:r>
      <w:r w:rsidR="00CC4BCC" w:rsidRPr="00766C2B">
        <w:t xml:space="preserve"> </w:t>
      </w:r>
      <w:r w:rsidR="00A26129" w:rsidRPr="00766C2B">
        <w:t>they</w:t>
      </w:r>
      <w:r w:rsidR="00FE04CE" w:rsidRPr="00766C2B">
        <w:t xml:space="preserve"> </w:t>
      </w:r>
      <w:r w:rsidR="0098162D" w:rsidRPr="00766C2B">
        <w:t>frequently</w:t>
      </w:r>
      <w:r w:rsidR="00CC4BCC" w:rsidRPr="00766C2B">
        <w:t xml:space="preserve"> hold ageist ster</w:t>
      </w:r>
      <w:r w:rsidR="009D4F50" w:rsidRPr="00766C2B">
        <w:t>e</w:t>
      </w:r>
      <w:r w:rsidR="00CC4BCC" w:rsidRPr="00766C2B">
        <w:t>otypes of older people in which the</w:t>
      </w:r>
      <w:r w:rsidR="00A26129" w:rsidRPr="00766C2B">
        <w:t>y depict them</w:t>
      </w:r>
      <w:r w:rsidR="008262D9" w:rsidRPr="00766C2B">
        <w:t xml:space="preserve"> as</w:t>
      </w:r>
      <w:r w:rsidR="0098162D" w:rsidRPr="00766C2B">
        <w:t xml:space="preserve"> </w:t>
      </w:r>
      <w:r w:rsidR="00CC4BCC" w:rsidRPr="00766C2B">
        <w:t xml:space="preserve">warm, but </w:t>
      </w:r>
      <w:r w:rsidR="008262D9" w:rsidRPr="00766C2B">
        <w:t xml:space="preserve">also </w:t>
      </w:r>
      <w:r w:rsidR="00CC4BCC" w:rsidRPr="00766C2B">
        <w:t xml:space="preserve">as forgetful, incompetent, and unproductive </w:t>
      </w:r>
      <w:r w:rsidR="00CC4BCC" w:rsidRPr="00766C2B">
        <w:rPr>
          <w:lang w:val="en-US"/>
        </w:rPr>
        <w:t>- in essence</w:t>
      </w:r>
      <w:r w:rsidR="0098162D" w:rsidRPr="00766C2B">
        <w:rPr>
          <w:lang w:val="en-US"/>
        </w:rPr>
        <w:t>,</w:t>
      </w:r>
      <w:r w:rsidR="00CC4BCC" w:rsidRPr="00766C2B">
        <w:rPr>
          <w:lang w:val="en-US"/>
        </w:rPr>
        <w:t xml:space="preserve"> as being unlike </w:t>
      </w:r>
      <w:r w:rsidR="00A26129" w:rsidRPr="00766C2B">
        <w:rPr>
          <w:lang w:val="en-US"/>
        </w:rPr>
        <w:t xml:space="preserve">their </w:t>
      </w:r>
      <w:r w:rsidR="00CC4BCC" w:rsidRPr="00766C2B">
        <w:rPr>
          <w:lang w:val="en-US"/>
        </w:rPr>
        <w:t xml:space="preserve">representations of </w:t>
      </w:r>
      <w:r w:rsidR="008262D9" w:rsidRPr="00766C2B">
        <w:rPr>
          <w:lang w:val="en-US"/>
        </w:rPr>
        <w:t>their own self</w:t>
      </w:r>
      <w:r w:rsidR="00CC4BCC" w:rsidRPr="00766C2B">
        <w:rPr>
          <w:lang w:val="en-US"/>
        </w:rPr>
        <w:t xml:space="preserve"> </w:t>
      </w:r>
      <w:r w:rsidR="00CC4BCC" w:rsidRPr="00766C2B">
        <w:t>(</w:t>
      </w:r>
      <w:r w:rsidR="00CC4BCC" w:rsidRPr="00766C2B">
        <w:rPr>
          <w:lang w:val="en-US"/>
        </w:rPr>
        <w:t>Cuddy</w:t>
      </w:r>
      <w:r w:rsidR="006D01F5" w:rsidRPr="00766C2B">
        <w:rPr>
          <w:lang w:val="en-US"/>
        </w:rPr>
        <w:t xml:space="preserve"> et al.</w:t>
      </w:r>
      <w:r w:rsidR="00CC4BCC" w:rsidRPr="00766C2B">
        <w:rPr>
          <w:lang w:val="en-US"/>
        </w:rPr>
        <w:t xml:space="preserve">, 2005; North &amp; Fiske, 2012). </w:t>
      </w:r>
      <w:r w:rsidR="00A26129" w:rsidRPr="00766C2B">
        <w:rPr>
          <w:lang w:val="en-US"/>
        </w:rPr>
        <w:t>Further</w:t>
      </w:r>
      <w:r w:rsidR="0098162D" w:rsidRPr="00766C2B">
        <w:t>,</w:t>
      </w:r>
      <w:r w:rsidR="00AD2544" w:rsidRPr="00766C2B">
        <w:t xml:space="preserve"> younger </w:t>
      </w:r>
      <w:r w:rsidR="00FE04CE" w:rsidRPr="00766C2B">
        <w:t>individuals</w:t>
      </w:r>
      <w:r w:rsidR="0098162D" w:rsidRPr="00766C2B">
        <w:t xml:space="preserve"> </w:t>
      </w:r>
      <w:r w:rsidR="00CC4BCC" w:rsidRPr="00766C2B">
        <w:t xml:space="preserve">view older adults with dementia as less competent than older </w:t>
      </w:r>
      <w:r w:rsidR="0098162D" w:rsidRPr="00766C2B">
        <w:t xml:space="preserve">adults </w:t>
      </w:r>
      <w:r w:rsidR="00CC4BCC" w:rsidRPr="00766C2B">
        <w:t xml:space="preserve">who are healthy or </w:t>
      </w:r>
      <w:r w:rsidR="00CB5AA4" w:rsidRPr="00766C2B">
        <w:t xml:space="preserve">who </w:t>
      </w:r>
      <w:r w:rsidR="00CC4BCC" w:rsidRPr="00766C2B">
        <w:t>suffer from a physical health complaint such as arthritis (</w:t>
      </w:r>
      <w:r w:rsidR="00CC4BCC" w:rsidRPr="00766C2B">
        <w:rPr>
          <w:color w:val="222222"/>
          <w:shd w:val="clear" w:color="auto" w:fill="FFFFFF"/>
        </w:rPr>
        <w:t>O’Connor &amp; McFadden, 2012).</w:t>
      </w:r>
      <w:r w:rsidR="00B214A3" w:rsidRPr="00766C2B">
        <w:rPr>
          <w:color w:val="222222"/>
          <w:shd w:val="clear" w:color="auto" w:fill="FFFFFF"/>
        </w:rPr>
        <w:t xml:space="preserve"> </w:t>
      </w:r>
    </w:p>
    <w:p w14:paraId="46557E6F" w14:textId="7279309B" w:rsidR="00212698" w:rsidRPr="00766C2B" w:rsidRDefault="002143E3" w:rsidP="003756C6">
      <w:pPr>
        <w:spacing w:line="480" w:lineRule="auto"/>
        <w:ind w:firstLine="720"/>
      </w:pPr>
      <w:r w:rsidRPr="00766C2B">
        <w:t xml:space="preserve">Although </w:t>
      </w:r>
      <w:r w:rsidR="00891286" w:rsidRPr="00766C2B">
        <w:t xml:space="preserve">younger people often draw on distancing strategies to regulate their anxiety </w:t>
      </w:r>
      <w:r w:rsidR="00761C56" w:rsidRPr="00766C2B">
        <w:t xml:space="preserve">both </w:t>
      </w:r>
      <w:r w:rsidR="00891286" w:rsidRPr="00766C2B">
        <w:t>about ageing and about dementia, this strategy is likely to be less effective for older adults</w:t>
      </w:r>
      <w:r w:rsidRPr="00766C2B">
        <w:t>,</w:t>
      </w:r>
      <w:r w:rsidR="00891286" w:rsidRPr="00766C2B">
        <w:t xml:space="preserve"> as</w:t>
      </w:r>
      <w:r w:rsidR="00C24E0A" w:rsidRPr="00766C2B">
        <w:t xml:space="preserve"> </w:t>
      </w:r>
      <w:r w:rsidR="00CC4BCC" w:rsidRPr="00766C2B">
        <w:t xml:space="preserve">dementia represents a </w:t>
      </w:r>
      <w:r w:rsidR="00691ADA" w:rsidRPr="00766C2B">
        <w:t xml:space="preserve">more </w:t>
      </w:r>
      <w:r w:rsidR="00CC4BCC" w:rsidRPr="00766C2B">
        <w:t xml:space="preserve">immediate threat to </w:t>
      </w:r>
      <w:r w:rsidR="00891286" w:rsidRPr="00766C2B">
        <w:t>them</w:t>
      </w:r>
      <w:r w:rsidR="00CC4BCC" w:rsidRPr="00766C2B">
        <w:t xml:space="preserve">. Accordingly, we propose that older people draw on </w:t>
      </w:r>
      <w:r w:rsidR="00BD7020" w:rsidRPr="00766C2B">
        <w:t>different</w:t>
      </w:r>
      <w:r w:rsidR="00CC4BCC" w:rsidRPr="00766C2B">
        <w:t xml:space="preserve"> forms of self-protection </w:t>
      </w:r>
      <w:r w:rsidR="00C24E0A" w:rsidRPr="00766C2B">
        <w:t xml:space="preserve">than </w:t>
      </w:r>
      <w:r w:rsidR="00BD7020" w:rsidRPr="00766C2B">
        <w:t xml:space="preserve">younger people </w:t>
      </w:r>
      <w:r w:rsidR="00CC4BCC" w:rsidRPr="00766C2B">
        <w:t xml:space="preserve">to </w:t>
      </w:r>
      <w:r w:rsidR="00A02D61" w:rsidRPr="00766C2B">
        <w:t xml:space="preserve">regulate </w:t>
      </w:r>
      <w:r w:rsidR="00691ADA" w:rsidRPr="00766C2B">
        <w:t xml:space="preserve">their dementia-related </w:t>
      </w:r>
      <w:r w:rsidR="00A02D61" w:rsidRPr="00766C2B">
        <w:t>concerns</w:t>
      </w:r>
      <w:r w:rsidR="00CC4BCC" w:rsidRPr="00766C2B">
        <w:t xml:space="preserve">. </w:t>
      </w:r>
    </w:p>
    <w:p w14:paraId="66CD02AA" w14:textId="77777777" w:rsidR="005B137D" w:rsidRPr="00766C2B" w:rsidRDefault="00380FAF" w:rsidP="005B137D">
      <w:pPr>
        <w:spacing w:line="480" w:lineRule="auto"/>
        <w:ind w:firstLine="720"/>
        <w:rPr>
          <w:shd w:val="clear" w:color="auto" w:fill="FFFFFF"/>
        </w:rPr>
      </w:pPr>
      <w:r w:rsidRPr="00766C2B">
        <w:rPr>
          <w:shd w:val="clear" w:color="auto" w:fill="FFFFFF"/>
        </w:rPr>
        <w:t xml:space="preserve">One </w:t>
      </w:r>
      <w:r w:rsidR="00B32C03" w:rsidRPr="00766C2B">
        <w:t xml:space="preserve">prominent theoretical formulation of self-protective feedback processing and recall </w:t>
      </w:r>
      <w:r w:rsidR="00846AA2" w:rsidRPr="00766C2B">
        <w:rPr>
          <w:shd w:val="clear" w:color="auto" w:fill="FFFFFF"/>
        </w:rPr>
        <w:t xml:space="preserve">involves </w:t>
      </w:r>
      <w:r w:rsidR="008262D9" w:rsidRPr="00766C2B">
        <w:rPr>
          <w:shd w:val="clear" w:color="auto" w:fill="FFFFFF"/>
        </w:rPr>
        <w:t>the</w:t>
      </w:r>
      <w:r w:rsidRPr="00766C2B">
        <w:rPr>
          <w:shd w:val="clear" w:color="auto" w:fill="FFFFFF"/>
        </w:rPr>
        <w:t xml:space="preserve"> psychological mechanism </w:t>
      </w:r>
      <w:r w:rsidR="008262D9" w:rsidRPr="00766C2B">
        <w:rPr>
          <w:shd w:val="clear" w:color="auto" w:fill="FFFFFF"/>
        </w:rPr>
        <w:t xml:space="preserve">of </w:t>
      </w:r>
      <w:r w:rsidR="00BD02BA" w:rsidRPr="00766C2B">
        <w:rPr>
          <w:shd w:val="clear" w:color="auto" w:fill="FFFFFF"/>
        </w:rPr>
        <w:t>m</w:t>
      </w:r>
      <w:r w:rsidRPr="00766C2B">
        <w:rPr>
          <w:shd w:val="clear" w:color="auto" w:fill="FFFFFF"/>
        </w:rPr>
        <w:t xml:space="preserve">nemic </w:t>
      </w:r>
      <w:r w:rsidR="00BD02BA" w:rsidRPr="00766C2B">
        <w:rPr>
          <w:shd w:val="clear" w:color="auto" w:fill="FFFFFF"/>
        </w:rPr>
        <w:t>n</w:t>
      </w:r>
      <w:r w:rsidRPr="00766C2B">
        <w:rPr>
          <w:shd w:val="clear" w:color="auto" w:fill="FFFFFF"/>
        </w:rPr>
        <w:t xml:space="preserve">eglect. The </w:t>
      </w:r>
      <w:r w:rsidR="008262D9" w:rsidRPr="00766C2B">
        <w:rPr>
          <w:shd w:val="clear" w:color="auto" w:fill="FFFFFF"/>
        </w:rPr>
        <w:t xml:space="preserve">self-protection </w:t>
      </w:r>
      <w:r w:rsidRPr="00766C2B">
        <w:rPr>
          <w:shd w:val="clear" w:color="auto" w:fill="FFFFFF"/>
        </w:rPr>
        <w:t>literature suggests that</w:t>
      </w:r>
      <w:r w:rsidR="00460A27" w:rsidRPr="00766C2B">
        <w:rPr>
          <w:shd w:val="clear" w:color="auto" w:fill="FFFFFF"/>
        </w:rPr>
        <w:t xml:space="preserve"> </w:t>
      </w:r>
      <w:r w:rsidR="00077F18" w:rsidRPr="00766C2B">
        <w:rPr>
          <w:shd w:val="clear" w:color="auto" w:fill="FFFFFF"/>
        </w:rPr>
        <w:t>individuals can diminish the negativity, or enhance the positivity, of the</w:t>
      </w:r>
      <w:r w:rsidR="00D33C31" w:rsidRPr="00766C2B">
        <w:rPr>
          <w:shd w:val="clear" w:color="auto" w:fill="FFFFFF"/>
        </w:rPr>
        <w:t>ir</w:t>
      </w:r>
      <w:r w:rsidR="00077F18" w:rsidRPr="00766C2B">
        <w:rPr>
          <w:shd w:val="clear" w:color="auto" w:fill="FFFFFF"/>
        </w:rPr>
        <w:t xml:space="preserve"> self-concept by selectively forgetting information</w:t>
      </w:r>
      <w:r w:rsidR="00AD17F5" w:rsidRPr="00766C2B">
        <w:rPr>
          <w:shd w:val="clear" w:color="auto" w:fill="FFFFFF"/>
        </w:rPr>
        <w:t xml:space="preserve"> </w:t>
      </w:r>
      <w:r w:rsidR="00560762" w:rsidRPr="00766C2B">
        <w:rPr>
          <w:shd w:val="clear" w:color="auto" w:fill="FFFFFF"/>
        </w:rPr>
        <w:t>that threatens the</w:t>
      </w:r>
      <w:r w:rsidR="00AD2544" w:rsidRPr="00766C2B">
        <w:rPr>
          <w:shd w:val="clear" w:color="auto" w:fill="FFFFFF"/>
        </w:rPr>
        <w:t xml:space="preserve">ir identity </w:t>
      </w:r>
      <w:r w:rsidR="00AD17F5" w:rsidRPr="00766C2B">
        <w:rPr>
          <w:shd w:val="clear" w:color="auto" w:fill="FFFFFF"/>
        </w:rPr>
        <w:t>(</w:t>
      </w:r>
      <w:r w:rsidR="00F04A78" w:rsidRPr="00766C2B">
        <w:rPr>
          <w:bCs/>
          <w:color w:val="000000"/>
          <w:lang w:val="en-US"/>
        </w:rPr>
        <w:t xml:space="preserve">Green &amp; Sedikides, 2004; </w:t>
      </w:r>
      <w:r w:rsidR="00F04A78" w:rsidRPr="00766C2B">
        <w:rPr>
          <w:bCs/>
          <w:color w:val="000000"/>
        </w:rPr>
        <w:t>Pinter</w:t>
      </w:r>
      <w:r w:rsidR="006D01F5" w:rsidRPr="00766C2B">
        <w:rPr>
          <w:bCs/>
          <w:color w:val="000000"/>
        </w:rPr>
        <w:t xml:space="preserve"> et al.</w:t>
      </w:r>
      <w:r w:rsidR="00F04A78" w:rsidRPr="00766C2B">
        <w:rPr>
          <w:bCs/>
          <w:color w:val="000000"/>
        </w:rPr>
        <w:t xml:space="preserve">, 2011; </w:t>
      </w:r>
      <w:r w:rsidR="00F04A78" w:rsidRPr="00766C2B">
        <w:rPr>
          <w:bCs/>
          <w:color w:val="000000"/>
          <w:lang w:val="en-US"/>
        </w:rPr>
        <w:t>Sedikides</w:t>
      </w:r>
      <w:r w:rsidR="006D01F5" w:rsidRPr="00766C2B">
        <w:rPr>
          <w:bCs/>
          <w:color w:val="000000"/>
          <w:lang w:val="en-US"/>
        </w:rPr>
        <w:t xml:space="preserve"> et al.</w:t>
      </w:r>
      <w:r w:rsidR="00F04A78" w:rsidRPr="00766C2B">
        <w:rPr>
          <w:bCs/>
          <w:color w:val="000000"/>
          <w:lang w:val="en-US"/>
        </w:rPr>
        <w:t>, 2004</w:t>
      </w:r>
      <w:r w:rsidR="00AD17F5" w:rsidRPr="00766C2B">
        <w:rPr>
          <w:color w:val="222222"/>
          <w:shd w:val="clear" w:color="auto" w:fill="FFFFFF"/>
        </w:rPr>
        <w:t>)</w:t>
      </w:r>
      <w:r w:rsidRPr="00766C2B">
        <w:t>. A</w:t>
      </w:r>
      <w:r w:rsidR="00B32C03" w:rsidRPr="00766C2B">
        <w:t xml:space="preserve">t the heart of </w:t>
      </w:r>
      <w:r w:rsidRPr="00766C2B">
        <w:t xml:space="preserve">the </w:t>
      </w:r>
      <w:r w:rsidR="00077F18" w:rsidRPr="00766C2B">
        <w:t>m</w:t>
      </w:r>
      <w:r w:rsidRPr="00766C2B">
        <w:t xml:space="preserve">nemic </w:t>
      </w:r>
      <w:r w:rsidR="00077F18" w:rsidRPr="00766C2B">
        <w:t>n</w:t>
      </w:r>
      <w:r w:rsidRPr="00766C2B">
        <w:t xml:space="preserve">eglect </w:t>
      </w:r>
      <w:r w:rsidR="00077F18" w:rsidRPr="00766C2B">
        <w:t>m</w:t>
      </w:r>
      <w:r w:rsidRPr="00766C2B">
        <w:t>odel</w:t>
      </w:r>
      <w:r w:rsidR="00B32C03" w:rsidRPr="00766C2B">
        <w:t xml:space="preserve"> is </w:t>
      </w:r>
      <w:r w:rsidRPr="00766C2B">
        <w:t xml:space="preserve">the </w:t>
      </w:r>
      <w:r w:rsidR="00077F18" w:rsidRPr="00766C2B">
        <w:t>m</w:t>
      </w:r>
      <w:r w:rsidRPr="00766C2B">
        <w:t xml:space="preserve">nemic </w:t>
      </w:r>
      <w:r w:rsidR="00077F18" w:rsidRPr="00766C2B">
        <w:t>n</w:t>
      </w:r>
      <w:r w:rsidRPr="00766C2B">
        <w:t xml:space="preserve">eglect </w:t>
      </w:r>
      <w:r w:rsidR="00077F18" w:rsidRPr="00766C2B">
        <w:t>e</w:t>
      </w:r>
      <w:r w:rsidRPr="00766C2B">
        <w:t xml:space="preserve">ffect </w:t>
      </w:r>
      <w:r w:rsidR="006A11AD" w:rsidRPr="00766C2B">
        <w:t>(</w:t>
      </w:r>
      <w:r w:rsidRPr="00766C2B">
        <w:t>MNE</w:t>
      </w:r>
      <w:r w:rsidR="00F04A78" w:rsidRPr="00766C2B">
        <w:t xml:space="preserve">; </w:t>
      </w:r>
      <w:r w:rsidR="00F04A78" w:rsidRPr="00766C2B">
        <w:rPr>
          <w:shd w:val="clear" w:color="auto" w:fill="FFFFFF"/>
        </w:rPr>
        <w:t xml:space="preserve">Sedikides &amp; Green, 2009; </w:t>
      </w:r>
      <w:r w:rsidR="006D01F5" w:rsidRPr="00766C2B">
        <w:rPr>
          <w:bCs/>
          <w:color w:val="000000"/>
          <w:lang w:val="en-US"/>
        </w:rPr>
        <w:t>Sedikides et al.</w:t>
      </w:r>
      <w:r w:rsidR="00F04A78" w:rsidRPr="00766C2B">
        <w:rPr>
          <w:shd w:val="clear" w:color="auto" w:fill="FFFFFF"/>
        </w:rPr>
        <w:t>, 2016</w:t>
      </w:r>
      <w:r w:rsidR="006A11AD" w:rsidRPr="00766C2B">
        <w:t>)</w:t>
      </w:r>
      <w:r w:rsidR="00077F18" w:rsidRPr="00766C2B">
        <w:t>. The MNE</w:t>
      </w:r>
      <w:r w:rsidRPr="00766C2B">
        <w:t xml:space="preserve"> is defined as the selective forgetting of self-threatening feedback</w:t>
      </w:r>
      <w:r w:rsidR="00077F18" w:rsidRPr="00766C2B">
        <w:t xml:space="preserve"> relative to other kinds of feedback</w:t>
      </w:r>
      <w:r w:rsidRPr="00766C2B">
        <w:t xml:space="preserve">. That is, participants </w:t>
      </w:r>
      <w:r w:rsidR="00B125A3" w:rsidRPr="00766C2B">
        <w:t xml:space="preserve">poorly </w:t>
      </w:r>
      <w:r w:rsidRPr="00766C2B">
        <w:t>recall experimenter-provided feedback (in the form of statements or behaviours they are likely to enact) that is self-threatening compared to feedback that is not so. Although participants encode both types of feedback, they process self-threatening (compared to non</w:t>
      </w:r>
      <w:r w:rsidR="006A11AD" w:rsidRPr="00766C2B">
        <w:t>-</w:t>
      </w:r>
      <w:r w:rsidRPr="00766C2B">
        <w:t xml:space="preserve">self-threatening) feedback in a relatively shallow </w:t>
      </w:r>
      <w:r w:rsidRPr="00766C2B">
        <w:lastRenderedPageBreak/>
        <w:t>manner, which in turn inhibits</w:t>
      </w:r>
      <w:r w:rsidR="00A02D61" w:rsidRPr="00766C2B">
        <w:t xml:space="preserve"> its</w:t>
      </w:r>
      <w:r w:rsidR="00093CC2" w:rsidRPr="00766C2B">
        <w:t xml:space="preserve"> </w:t>
      </w:r>
      <w:r w:rsidR="008262D9" w:rsidRPr="00766C2B">
        <w:t>recall</w:t>
      </w:r>
      <w:r w:rsidR="00CA70BF" w:rsidRPr="00766C2B">
        <w:t xml:space="preserve">. </w:t>
      </w:r>
      <w:r w:rsidR="006A11AD" w:rsidRPr="00766C2B">
        <w:rPr>
          <w:shd w:val="clear" w:color="auto" w:fill="FFFFFF"/>
        </w:rPr>
        <w:t>Mnemic neglect</w:t>
      </w:r>
      <w:r w:rsidR="00B75570" w:rsidRPr="00766C2B">
        <w:rPr>
          <w:shd w:val="clear" w:color="auto" w:fill="FFFFFF"/>
        </w:rPr>
        <w:t>, therefore,</w:t>
      </w:r>
      <w:r w:rsidR="00CA70BF" w:rsidRPr="00766C2B">
        <w:rPr>
          <w:shd w:val="clear" w:color="auto" w:fill="FFFFFF"/>
        </w:rPr>
        <w:t xml:space="preserve"> </w:t>
      </w:r>
      <w:r w:rsidR="006A11AD" w:rsidRPr="00766C2B">
        <w:rPr>
          <w:shd w:val="clear" w:color="auto" w:fill="FFFFFF"/>
        </w:rPr>
        <w:t>has a self-protective function</w:t>
      </w:r>
      <w:r w:rsidR="000104C3" w:rsidRPr="00766C2B">
        <w:rPr>
          <w:shd w:val="clear" w:color="auto" w:fill="FFFFFF"/>
        </w:rPr>
        <w:t xml:space="preserve">: </w:t>
      </w:r>
      <w:r w:rsidR="002935CF" w:rsidRPr="00766C2B">
        <w:rPr>
          <w:shd w:val="clear" w:color="auto" w:fill="FFFFFF"/>
        </w:rPr>
        <w:t>p</w:t>
      </w:r>
      <w:r w:rsidR="00F30475" w:rsidRPr="00766C2B">
        <w:rPr>
          <w:shd w:val="clear" w:color="auto" w:fill="FFFFFF"/>
        </w:rPr>
        <w:t xml:space="preserve">articipants engage in selective forgetting in </w:t>
      </w:r>
      <w:r w:rsidR="00CB3542" w:rsidRPr="00766C2B">
        <w:rPr>
          <w:shd w:val="clear" w:color="auto" w:fill="FFFFFF"/>
        </w:rPr>
        <w:t>an attempt</w:t>
      </w:r>
      <w:r w:rsidR="00F30475" w:rsidRPr="00766C2B">
        <w:rPr>
          <w:shd w:val="clear" w:color="auto" w:fill="FFFFFF"/>
        </w:rPr>
        <w:t xml:space="preserve"> to protect the self from the psychological discomfort that </w:t>
      </w:r>
      <w:r w:rsidR="008E3438" w:rsidRPr="00766C2B">
        <w:rPr>
          <w:shd w:val="clear" w:color="auto" w:fill="FFFFFF"/>
        </w:rPr>
        <w:t>self-threatening</w:t>
      </w:r>
      <w:r w:rsidR="00F30475" w:rsidRPr="00766C2B">
        <w:rPr>
          <w:shd w:val="clear" w:color="auto" w:fill="FFFFFF"/>
        </w:rPr>
        <w:t xml:space="preserve"> information entails. </w:t>
      </w:r>
      <w:r w:rsidR="005B137D" w:rsidRPr="00766C2B">
        <w:t xml:space="preserve">(Sedikides et al., 2016; Sedikides &amp; Skowronski, 2020; </w:t>
      </w:r>
      <w:r w:rsidR="005B137D" w:rsidRPr="00766C2B">
        <w:rPr>
          <w:rFonts w:eastAsiaTheme="minorHAnsi"/>
        </w:rPr>
        <w:t>Zengel et al., 2018</w:t>
      </w:r>
      <w:r w:rsidR="005B137D" w:rsidRPr="00766C2B">
        <w:t>). It has also been observed among older people living with dementia: their recall for negative, dementia-related information is worse when it refers to themselves than another person (Cheston et al., 2018).</w:t>
      </w:r>
    </w:p>
    <w:p w14:paraId="4EE050DB" w14:textId="0AF8D762" w:rsidR="0065477E" w:rsidRPr="00766C2B" w:rsidRDefault="005B137D">
      <w:pPr>
        <w:spacing w:line="480" w:lineRule="auto"/>
        <w:ind w:firstLine="720"/>
        <w:rPr>
          <w:color w:val="000000" w:themeColor="text1"/>
        </w:rPr>
      </w:pPr>
      <w:r w:rsidRPr="00766C2B">
        <w:rPr>
          <w:color w:val="000000" w:themeColor="text1"/>
        </w:rPr>
        <w:t>Prior research has not examined age differences in the MNE, but there are reasons to expect them, as two other lines of research indicate age differences in memory. The first line pertains to an age-related positivity effect in memory</w:t>
      </w:r>
      <w:r w:rsidR="003028DE" w:rsidRPr="00766C2B">
        <w:rPr>
          <w:color w:val="000000" w:themeColor="text1"/>
        </w:rPr>
        <w:t xml:space="preserve">: Compared to </w:t>
      </w:r>
      <w:proofErr w:type="spellStart"/>
      <w:r w:rsidR="003028DE" w:rsidRPr="00766C2B">
        <w:rPr>
          <w:color w:val="000000" w:themeColor="text1"/>
        </w:rPr>
        <w:t>yournger</w:t>
      </w:r>
      <w:proofErr w:type="spellEnd"/>
      <w:r w:rsidR="003028DE" w:rsidRPr="00766C2B">
        <w:rPr>
          <w:color w:val="000000" w:themeColor="text1"/>
        </w:rPr>
        <w:t xml:space="preserve"> adults, older adults</w:t>
      </w:r>
      <w:r w:rsidR="00656490" w:rsidRPr="00766C2B">
        <w:rPr>
          <w:color w:val="000000" w:themeColor="text1"/>
        </w:rPr>
        <w:t xml:space="preserve"> attend to</w:t>
      </w:r>
      <w:r w:rsidR="00F35E76" w:rsidRPr="00766C2B">
        <w:rPr>
          <w:color w:val="000000" w:themeColor="text1"/>
        </w:rPr>
        <w:t xml:space="preserve"> positive </w:t>
      </w:r>
      <w:r w:rsidR="009A3B75" w:rsidRPr="00766C2B">
        <w:rPr>
          <w:color w:val="000000" w:themeColor="text1"/>
        </w:rPr>
        <w:t xml:space="preserve">information more </w:t>
      </w:r>
      <w:r w:rsidR="00F35E76" w:rsidRPr="00766C2B">
        <w:rPr>
          <w:color w:val="000000" w:themeColor="text1"/>
        </w:rPr>
        <w:t>than</w:t>
      </w:r>
      <w:r w:rsidR="009A3B75" w:rsidRPr="00766C2B">
        <w:rPr>
          <w:color w:val="000000" w:themeColor="text1"/>
        </w:rPr>
        <w:t xml:space="preserve"> to</w:t>
      </w:r>
      <w:r w:rsidR="00F35E76" w:rsidRPr="00766C2B">
        <w:rPr>
          <w:color w:val="000000" w:themeColor="text1"/>
        </w:rPr>
        <w:t xml:space="preserve"> negative information</w:t>
      </w:r>
      <w:r w:rsidR="00656490" w:rsidRPr="00766C2B">
        <w:rPr>
          <w:color w:val="000000" w:themeColor="text1"/>
        </w:rPr>
        <w:t xml:space="preserve">, and </w:t>
      </w:r>
      <w:r w:rsidR="00F35E76" w:rsidRPr="00766C2B">
        <w:rPr>
          <w:color w:val="000000" w:themeColor="text1"/>
        </w:rPr>
        <w:t xml:space="preserve">are better at </w:t>
      </w:r>
      <w:r w:rsidR="00656490" w:rsidRPr="00766C2B">
        <w:rPr>
          <w:color w:val="000000" w:themeColor="text1"/>
        </w:rPr>
        <w:t>remember</w:t>
      </w:r>
      <w:r w:rsidR="00F35E76" w:rsidRPr="00766C2B">
        <w:rPr>
          <w:color w:val="000000" w:themeColor="text1"/>
        </w:rPr>
        <w:t xml:space="preserve">ing it </w:t>
      </w:r>
      <w:r w:rsidR="005C4796" w:rsidRPr="00766C2B">
        <w:rPr>
          <w:color w:val="000000" w:themeColor="text1"/>
        </w:rPr>
        <w:t>(</w:t>
      </w:r>
      <w:r w:rsidR="003028DE" w:rsidRPr="00766C2B">
        <w:rPr>
          <w:color w:val="222222"/>
          <w:shd w:val="clear" w:color="auto" w:fill="FFFFFF"/>
        </w:rPr>
        <w:t xml:space="preserve">Carstensen &amp; </w:t>
      </w:r>
      <w:proofErr w:type="spellStart"/>
      <w:r w:rsidR="003028DE" w:rsidRPr="00766C2B">
        <w:rPr>
          <w:color w:val="222222"/>
          <w:shd w:val="clear" w:color="auto" w:fill="FFFFFF"/>
        </w:rPr>
        <w:t>DeLiema</w:t>
      </w:r>
      <w:proofErr w:type="spellEnd"/>
      <w:r w:rsidR="003028DE" w:rsidRPr="00766C2B">
        <w:rPr>
          <w:color w:val="222222"/>
          <w:shd w:val="clear" w:color="auto" w:fill="FFFFFF"/>
        </w:rPr>
        <w:t xml:space="preserve">, 2018; </w:t>
      </w:r>
      <w:proofErr w:type="spellStart"/>
      <w:r w:rsidR="00D00050" w:rsidRPr="00766C2B">
        <w:rPr>
          <w:color w:val="222222"/>
          <w:shd w:val="clear" w:color="auto" w:fill="FFFFFF"/>
        </w:rPr>
        <w:t>Mammarella</w:t>
      </w:r>
      <w:proofErr w:type="spellEnd"/>
      <w:r w:rsidR="00D00050" w:rsidRPr="00766C2B">
        <w:rPr>
          <w:color w:val="222222"/>
          <w:shd w:val="clear" w:color="auto" w:fill="FFFFFF"/>
        </w:rPr>
        <w:t xml:space="preserve"> et al., 2016; </w:t>
      </w:r>
      <w:r w:rsidR="005C4796" w:rsidRPr="00766C2B">
        <w:rPr>
          <w:color w:val="000000" w:themeColor="text1"/>
        </w:rPr>
        <w:t>Mikels et al., 2005). Th</w:t>
      </w:r>
      <w:r w:rsidR="00B77F0B" w:rsidRPr="00766C2B">
        <w:rPr>
          <w:color w:val="000000" w:themeColor="text1"/>
        </w:rPr>
        <w:t>is</w:t>
      </w:r>
      <w:r w:rsidR="005C4796" w:rsidRPr="00766C2B">
        <w:rPr>
          <w:color w:val="000000" w:themeColor="text1"/>
        </w:rPr>
        <w:t xml:space="preserve"> positivity effect </w:t>
      </w:r>
      <w:r w:rsidR="000F5C4B" w:rsidRPr="00766C2B">
        <w:rPr>
          <w:color w:val="000000" w:themeColor="text1"/>
        </w:rPr>
        <w:t>is found</w:t>
      </w:r>
      <w:r w:rsidR="00D00050" w:rsidRPr="00766C2B">
        <w:rPr>
          <w:color w:val="000000" w:themeColor="text1"/>
        </w:rPr>
        <w:t xml:space="preserve"> in the autobiographical memory of </w:t>
      </w:r>
      <w:r w:rsidR="002731AC" w:rsidRPr="00766C2B">
        <w:rPr>
          <w:color w:val="000000" w:themeColor="text1"/>
        </w:rPr>
        <w:t xml:space="preserve">older </w:t>
      </w:r>
      <w:r w:rsidR="005C4796" w:rsidRPr="00766C2B">
        <w:rPr>
          <w:color w:val="000000" w:themeColor="text1"/>
        </w:rPr>
        <w:t xml:space="preserve">people </w:t>
      </w:r>
      <w:r w:rsidR="00B77F0B" w:rsidRPr="00766C2B">
        <w:rPr>
          <w:color w:val="000000" w:themeColor="text1"/>
        </w:rPr>
        <w:t xml:space="preserve">even when they are </w:t>
      </w:r>
      <w:r w:rsidR="005C4796" w:rsidRPr="00766C2B">
        <w:rPr>
          <w:color w:val="000000" w:themeColor="text1"/>
        </w:rPr>
        <w:t xml:space="preserve">living with dementia. </w:t>
      </w:r>
      <w:r w:rsidR="00AC39DE" w:rsidRPr="00766C2B">
        <w:rPr>
          <w:color w:val="000000" w:themeColor="text1"/>
        </w:rPr>
        <w:t xml:space="preserve">For example, </w:t>
      </w:r>
      <w:r w:rsidR="00D00050" w:rsidRPr="00766C2B">
        <w:rPr>
          <w:color w:val="000000" w:themeColor="text1"/>
        </w:rPr>
        <w:t>Cuddy et al. (2017) asked three groups of participants (20 younger adults, 20 older adults</w:t>
      </w:r>
      <w:r w:rsidR="00AC39DE" w:rsidRPr="00766C2B">
        <w:rPr>
          <w:color w:val="000000" w:themeColor="text1"/>
        </w:rPr>
        <w:t>,</w:t>
      </w:r>
      <w:r w:rsidR="00D00050" w:rsidRPr="00766C2B">
        <w:rPr>
          <w:color w:val="000000" w:themeColor="text1"/>
        </w:rPr>
        <w:t xml:space="preserve"> 20 older adults with mild to moderate Alzheimer’s disease) to listen to familiar musical excerpts and describe any memories </w:t>
      </w:r>
      <w:r w:rsidR="000F5C4B" w:rsidRPr="00766C2B">
        <w:rPr>
          <w:color w:val="000000" w:themeColor="text1"/>
        </w:rPr>
        <w:t xml:space="preserve">that </w:t>
      </w:r>
      <w:r w:rsidR="00D00050" w:rsidRPr="00766C2B">
        <w:rPr>
          <w:color w:val="000000" w:themeColor="text1"/>
        </w:rPr>
        <w:t>th</w:t>
      </w:r>
      <w:r w:rsidR="00AC39DE" w:rsidRPr="00766C2B">
        <w:rPr>
          <w:color w:val="000000" w:themeColor="text1"/>
        </w:rPr>
        <w:t xml:space="preserve">ese </w:t>
      </w:r>
      <w:proofErr w:type="spellStart"/>
      <w:r w:rsidR="00AC39DE" w:rsidRPr="00766C2B">
        <w:rPr>
          <w:color w:val="000000" w:themeColor="text1"/>
        </w:rPr>
        <w:t>excertps</w:t>
      </w:r>
      <w:proofErr w:type="spellEnd"/>
      <w:r w:rsidR="00D00050" w:rsidRPr="00766C2B">
        <w:rPr>
          <w:color w:val="000000" w:themeColor="text1"/>
        </w:rPr>
        <w:t xml:space="preserve"> evoked. </w:t>
      </w:r>
      <w:r w:rsidR="000F5C4B" w:rsidRPr="00766C2B">
        <w:rPr>
          <w:color w:val="000000" w:themeColor="text1"/>
        </w:rPr>
        <w:t>A</w:t>
      </w:r>
      <w:r w:rsidR="00D00050" w:rsidRPr="00766C2B">
        <w:rPr>
          <w:color w:val="000000" w:themeColor="text1"/>
        </w:rPr>
        <w:t xml:space="preserve">utobiographical memories for </w:t>
      </w:r>
      <w:r w:rsidR="00B77F0B" w:rsidRPr="00766C2B">
        <w:rPr>
          <w:color w:val="000000" w:themeColor="text1"/>
        </w:rPr>
        <w:t>both</w:t>
      </w:r>
      <w:r w:rsidR="00D00050" w:rsidRPr="00766C2B">
        <w:rPr>
          <w:color w:val="000000" w:themeColor="text1"/>
        </w:rPr>
        <w:t xml:space="preserve"> groups of older adults were more vivid, more positive</w:t>
      </w:r>
      <w:r w:rsidR="000F5C4B" w:rsidRPr="00766C2B">
        <w:rPr>
          <w:color w:val="000000" w:themeColor="text1"/>
        </w:rPr>
        <w:t>,</w:t>
      </w:r>
      <w:r w:rsidR="00D00050" w:rsidRPr="00766C2B">
        <w:rPr>
          <w:color w:val="000000" w:themeColor="text1"/>
        </w:rPr>
        <w:t xml:space="preserve"> and less negative than </w:t>
      </w:r>
      <w:r w:rsidR="000F5C4B" w:rsidRPr="00766C2B">
        <w:rPr>
          <w:color w:val="000000" w:themeColor="text1"/>
        </w:rPr>
        <w:t>autobiographical memories for</w:t>
      </w:r>
      <w:r w:rsidR="0065477E" w:rsidRPr="00766C2B">
        <w:rPr>
          <w:color w:val="000000" w:themeColor="text1"/>
        </w:rPr>
        <w:t xml:space="preserve"> </w:t>
      </w:r>
      <w:r w:rsidR="00D00050" w:rsidRPr="00766C2B">
        <w:rPr>
          <w:color w:val="000000" w:themeColor="text1"/>
        </w:rPr>
        <w:t>younger adults. The positive characteristics of the music evoked autobiographical memories, then,</w:t>
      </w:r>
      <w:r w:rsidR="0065477E" w:rsidRPr="00766C2B">
        <w:rPr>
          <w:color w:val="000000" w:themeColor="text1"/>
        </w:rPr>
        <w:t xml:space="preserve"> seem to</w:t>
      </w:r>
      <w:r w:rsidR="00D00050" w:rsidRPr="00766C2B">
        <w:rPr>
          <w:color w:val="000000" w:themeColor="text1"/>
        </w:rPr>
        <w:t xml:space="preserve"> reflect </w:t>
      </w:r>
      <w:r w:rsidR="0029573F" w:rsidRPr="00766C2B">
        <w:rPr>
          <w:color w:val="000000" w:themeColor="text1"/>
        </w:rPr>
        <w:t xml:space="preserve">age-related changes in motivation that </w:t>
      </w:r>
      <w:r w:rsidR="003028DE" w:rsidRPr="00766C2B">
        <w:rPr>
          <w:color w:val="000000" w:themeColor="text1"/>
        </w:rPr>
        <w:t xml:space="preserve">may </w:t>
      </w:r>
      <w:r w:rsidR="0029573F" w:rsidRPr="00766C2B">
        <w:rPr>
          <w:color w:val="000000" w:themeColor="text1"/>
        </w:rPr>
        <w:t>direct behavior and cognitive processing rather than neural or cognitive decline (</w:t>
      </w:r>
      <w:r w:rsidR="0029573F" w:rsidRPr="00766C2B">
        <w:rPr>
          <w:color w:val="000000" w:themeColor="text1"/>
          <w:shd w:val="clear" w:color="auto" w:fill="FFFFFF"/>
        </w:rPr>
        <w:t xml:space="preserve">Carstensen &amp; </w:t>
      </w:r>
      <w:proofErr w:type="spellStart"/>
      <w:r w:rsidR="0029573F" w:rsidRPr="00766C2B">
        <w:rPr>
          <w:color w:val="000000" w:themeColor="text1"/>
          <w:shd w:val="clear" w:color="auto" w:fill="FFFFFF"/>
        </w:rPr>
        <w:t>DeLiema</w:t>
      </w:r>
      <w:proofErr w:type="spellEnd"/>
      <w:r w:rsidR="0029573F" w:rsidRPr="00766C2B">
        <w:rPr>
          <w:color w:val="000000" w:themeColor="text1"/>
          <w:shd w:val="clear" w:color="auto" w:fill="FFFFFF"/>
        </w:rPr>
        <w:t>, 2018).</w:t>
      </w:r>
      <w:r w:rsidR="0029573F" w:rsidRPr="00766C2B">
        <w:rPr>
          <w:color w:val="000000" w:themeColor="text1"/>
        </w:rPr>
        <w:t> </w:t>
      </w:r>
    </w:p>
    <w:p w14:paraId="7D9FEFF2" w14:textId="11D7674A" w:rsidR="005915A8" w:rsidRPr="00766C2B" w:rsidRDefault="005915A8">
      <w:pPr>
        <w:spacing w:line="480" w:lineRule="auto"/>
        <w:ind w:firstLine="720"/>
        <w:rPr>
          <w:color w:val="000000" w:themeColor="text1"/>
          <w:shd w:val="clear" w:color="auto" w:fill="FFFFFF"/>
        </w:rPr>
      </w:pPr>
      <w:r w:rsidRPr="00766C2B">
        <w:rPr>
          <w:color w:val="000000" w:themeColor="text1"/>
        </w:rPr>
        <w:t>The second line of research pertains to the self-reference effect: p</w:t>
      </w:r>
      <w:r w:rsidRPr="00766C2B">
        <w:t xml:space="preserve">eople remember new information better when they relate it to the self than another person </w:t>
      </w:r>
      <w:r w:rsidRPr="00766C2B">
        <w:lastRenderedPageBreak/>
        <w:t xml:space="preserve">(Rogers et al., 1977; Symons &amp; Johnson, 1997). The self-referencing </w:t>
      </w:r>
      <w:r w:rsidR="0024157C" w:rsidRPr="00766C2B">
        <w:t xml:space="preserve">effect </w:t>
      </w:r>
      <w:r w:rsidRPr="00766C2B">
        <w:t>improves memory across the life span (</w:t>
      </w:r>
      <w:r w:rsidRPr="00766C2B">
        <w:rPr>
          <w:color w:val="000000" w:themeColor="text1"/>
        </w:rPr>
        <w:t>Hamami et al., 2011; Leshikar et al., 2015</w:t>
      </w:r>
      <w:r w:rsidRPr="00766C2B">
        <w:t xml:space="preserve">). However, this memory improvement is accentuated among older than younger participants </w:t>
      </w:r>
      <w:r w:rsidRPr="00766C2B">
        <w:rPr>
          <w:color w:val="000000" w:themeColor="text1"/>
        </w:rPr>
        <w:t xml:space="preserve">(Gutchess et al., 2007), </w:t>
      </w:r>
      <w:r w:rsidR="00704A8F" w:rsidRPr="00766C2B">
        <w:rPr>
          <w:color w:val="000000" w:themeColor="text1"/>
        </w:rPr>
        <w:t xml:space="preserve">potentially </w:t>
      </w:r>
      <w:r w:rsidRPr="00766C2B">
        <w:rPr>
          <w:color w:val="000000" w:themeColor="text1"/>
        </w:rPr>
        <w:t xml:space="preserve">buffering against </w:t>
      </w:r>
      <w:r w:rsidR="00AC3B02" w:rsidRPr="00766C2B">
        <w:rPr>
          <w:color w:val="000000" w:themeColor="text1"/>
        </w:rPr>
        <w:t xml:space="preserve">deficits in newly acquired memories (i.e., </w:t>
      </w:r>
      <w:r w:rsidRPr="00766C2B">
        <w:rPr>
          <w:color w:val="000000" w:themeColor="text1"/>
        </w:rPr>
        <w:t>episodic memor</w:t>
      </w:r>
      <w:r w:rsidR="00AC3B02" w:rsidRPr="00766C2B">
        <w:rPr>
          <w:color w:val="000000" w:themeColor="text1"/>
        </w:rPr>
        <w:t xml:space="preserve">ies; </w:t>
      </w:r>
      <w:r w:rsidRPr="00766C2B">
        <w:rPr>
          <w:color w:val="000000" w:themeColor="text1"/>
          <w:shd w:val="clear" w:color="auto" w:fill="FFFFFF"/>
        </w:rPr>
        <w:t xml:space="preserve">Gutchess &amp; Kensinger, 2018). </w:t>
      </w:r>
      <w:r w:rsidRPr="00766C2B">
        <w:rPr>
          <w:color w:val="000000" w:themeColor="text1"/>
        </w:rPr>
        <w:t>Indeed, it is possible that a shared system contributes to the improved episodic recall of both self-referential and emotional material (</w:t>
      </w:r>
      <w:r w:rsidRPr="00766C2B">
        <w:rPr>
          <w:color w:val="000000" w:themeColor="text1"/>
          <w:shd w:val="clear" w:color="auto" w:fill="FFFFFF"/>
        </w:rPr>
        <w:t xml:space="preserve">Gutchess &amp; Kensinger, 2018). Arguably, linking information to the </w:t>
      </w:r>
      <w:proofErr w:type="spellStart"/>
      <w:r w:rsidRPr="00766C2B">
        <w:rPr>
          <w:color w:val="000000" w:themeColor="text1"/>
          <w:shd w:val="clear" w:color="auto" w:fill="FFFFFF"/>
        </w:rPr>
        <w:t>self renders</w:t>
      </w:r>
      <w:proofErr w:type="spellEnd"/>
      <w:r w:rsidRPr="00766C2B">
        <w:rPr>
          <w:color w:val="000000" w:themeColor="text1"/>
          <w:shd w:val="clear" w:color="auto" w:fill="FFFFFF"/>
        </w:rPr>
        <w:t xml:space="preserve"> the information more positive and thus more memorable and beneficial</w:t>
      </w:r>
      <w:r w:rsidR="00FA0EB3" w:rsidRPr="00766C2B">
        <w:rPr>
          <w:color w:val="000000" w:themeColor="text1"/>
          <w:shd w:val="clear" w:color="auto" w:fill="FFFFFF"/>
        </w:rPr>
        <w:t xml:space="preserve"> (</w:t>
      </w:r>
      <w:r w:rsidR="00FA0EB3" w:rsidRPr="00766C2B">
        <w:rPr>
          <w:color w:val="000000" w:themeColor="text1"/>
        </w:rPr>
        <w:t>Gregg et al., 2017; Shi et al., 2017</w:t>
      </w:r>
      <w:r w:rsidR="00FA0EB3" w:rsidRPr="00766C2B">
        <w:rPr>
          <w:color w:val="000000" w:themeColor="text1"/>
          <w:shd w:val="clear" w:color="auto" w:fill="FFFFFF"/>
        </w:rPr>
        <w:t>)</w:t>
      </w:r>
      <w:r w:rsidRPr="00766C2B">
        <w:rPr>
          <w:color w:val="000000" w:themeColor="text1"/>
          <w:shd w:val="clear" w:color="auto" w:fill="FFFFFF"/>
        </w:rPr>
        <w:t>. In all,</w:t>
      </w:r>
      <w:r w:rsidRPr="00766C2B">
        <w:rPr>
          <w:shd w:val="clear" w:color="auto" w:fill="FFFFFF"/>
        </w:rPr>
        <w:t xml:space="preserve"> both the </w:t>
      </w:r>
      <w:r w:rsidRPr="00766C2B">
        <w:rPr>
          <w:color w:val="000000" w:themeColor="text1"/>
          <w:shd w:val="clear" w:color="auto" w:fill="FFFFFF"/>
        </w:rPr>
        <w:t xml:space="preserve">age-related positivity effect and the self-reference effect demonstrate a preference among older adults for positive (than negative) information - a preference is consistent with the MNE.  </w:t>
      </w:r>
    </w:p>
    <w:p w14:paraId="7BC50F65" w14:textId="18A69451" w:rsidR="005915A8" w:rsidRPr="00766C2B" w:rsidRDefault="005915A8">
      <w:pPr>
        <w:spacing w:line="480" w:lineRule="auto"/>
        <w:ind w:firstLine="720"/>
        <w:rPr>
          <w:shd w:val="clear" w:color="auto" w:fill="FFFFFF"/>
        </w:rPr>
      </w:pPr>
      <w:r w:rsidRPr="00766C2B">
        <w:t xml:space="preserve">Based on the above-reviewed literature, we hypothesised that as </w:t>
      </w:r>
      <w:r w:rsidRPr="00766C2B">
        <w:rPr>
          <w:color w:val="000000" w:themeColor="text1"/>
          <w:shd w:val="clear" w:color="auto" w:fill="FFFFFF"/>
        </w:rPr>
        <w:t xml:space="preserve">dementia represents </w:t>
      </w:r>
      <w:r w:rsidRPr="00766C2B">
        <w:rPr>
          <w:shd w:val="clear" w:color="auto" w:fill="FFFFFF"/>
        </w:rPr>
        <w:t xml:space="preserve">a more immediate threat for older adults than for their younger counterparts, </w:t>
      </w:r>
      <w:r w:rsidRPr="00766C2B">
        <w:t>older adults without dementia would display the MNE for dementia-related statements</w:t>
      </w:r>
      <w:r w:rsidR="00B77F0B" w:rsidRPr="00766C2B">
        <w:t xml:space="preserve"> </w:t>
      </w:r>
      <w:r w:rsidR="00FA0EB3" w:rsidRPr="00766C2B">
        <w:t>—</w:t>
      </w:r>
      <w:r w:rsidR="00B77F0B" w:rsidRPr="00766C2B">
        <w:t xml:space="preserve"> </w:t>
      </w:r>
      <w:r w:rsidRPr="00766C2B">
        <w:rPr>
          <w:shd w:val="clear" w:color="auto" w:fill="FFFFFF"/>
        </w:rPr>
        <w:t>controlling for levels of depression and anxiety</w:t>
      </w:r>
      <w:r w:rsidR="00B77F0B" w:rsidRPr="00766C2B">
        <w:rPr>
          <w:shd w:val="clear" w:color="auto" w:fill="FFFFFF"/>
        </w:rPr>
        <w:t xml:space="preserve"> </w:t>
      </w:r>
      <w:r w:rsidR="00FA0EB3" w:rsidRPr="00766C2B">
        <w:rPr>
          <w:shd w:val="clear" w:color="auto" w:fill="FFFFFF"/>
        </w:rPr>
        <w:t>—</w:t>
      </w:r>
      <w:r w:rsidRPr="00766C2B">
        <w:t xml:space="preserve"> whereas younger adults without dementia would not. Put otherwise, we hypothesised that, in self-protection, older (but not younger) adults would recall fewer self-threatening (than non-self-threatening) dementia-related statements.</w:t>
      </w:r>
    </w:p>
    <w:p w14:paraId="30E5B7CB" w14:textId="51EC98E4" w:rsidR="009D2D17" w:rsidRPr="00766C2B" w:rsidRDefault="000F6D31" w:rsidP="005915A8">
      <w:pPr>
        <w:spacing w:line="480" w:lineRule="auto"/>
        <w:ind w:firstLine="720"/>
        <w:rPr>
          <w:i/>
        </w:rPr>
      </w:pPr>
      <w:r w:rsidRPr="00766C2B">
        <w:rPr>
          <w:i/>
        </w:rPr>
        <w:t>Method</w:t>
      </w:r>
    </w:p>
    <w:p w14:paraId="5E3ED1F7" w14:textId="2A674DA6" w:rsidR="001E4571" w:rsidRPr="00766C2B" w:rsidRDefault="00032B9C">
      <w:pPr>
        <w:pStyle w:val="PlainText"/>
        <w:spacing w:line="480" w:lineRule="auto"/>
        <w:rPr>
          <w:rFonts w:ascii="Times New Roman" w:hAnsi="Times New Roman" w:cs="Times New Roman"/>
          <w:i/>
          <w:sz w:val="24"/>
          <w:szCs w:val="24"/>
        </w:rPr>
      </w:pPr>
      <w:r w:rsidRPr="00766C2B">
        <w:rPr>
          <w:rFonts w:ascii="Times New Roman" w:hAnsi="Times New Roman" w:cs="Times New Roman"/>
          <w:i/>
          <w:sz w:val="24"/>
          <w:szCs w:val="24"/>
        </w:rPr>
        <w:t>Participants</w:t>
      </w:r>
    </w:p>
    <w:p w14:paraId="4BD85E4E" w14:textId="2131203B" w:rsidR="00F56CCB" w:rsidRPr="00766C2B" w:rsidRDefault="00C47EDD">
      <w:pPr>
        <w:pStyle w:val="PlainText"/>
        <w:spacing w:line="480" w:lineRule="auto"/>
        <w:ind w:firstLine="720"/>
        <w:rPr>
          <w:rFonts w:ascii="Times New Roman" w:hAnsi="Times New Roman" w:cs="Times New Roman"/>
          <w:sz w:val="24"/>
          <w:szCs w:val="24"/>
        </w:rPr>
      </w:pPr>
      <w:r w:rsidRPr="00766C2B">
        <w:rPr>
          <w:rFonts w:ascii="Times New Roman" w:hAnsi="Times New Roman" w:cs="Times New Roman"/>
          <w:sz w:val="24"/>
          <w:szCs w:val="24"/>
        </w:rPr>
        <w:t>We received e</w:t>
      </w:r>
      <w:r w:rsidR="00F34A9D" w:rsidRPr="00766C2B">
        <w:rPr>
          <w:rFonts w:ascii="Times New Roman" w:hAnsi="Times New Roman" w:cs="Times New Roman"/>
          <w:sz w:val="24"/>
          <w:szCs w:val="24"/>
        </w:rPr>
        <w:t>thics approval</w:t>
      </w:r>
      <w:r w:rsidR="009870B9" w:rsidRPr="00766C2B">
        <w:rPr>
          <w:rStyle w:val="FootnoteReference"/>
          <w:rFonts w:ascii="Times New Roman" w:hAnsi="Times New Roman" w:cs="Times New Roman"/>
          <w:sz w:val="24"/>
          <w:szCs w:val="24"/>
        </w:rPr>
        <w:footnoteReference w:id="2"/>
      </w:r>
      <w:r w:rsidR="009870B9" w:rsidRPr="00766C2B">
        <w:rPr>
          <w:rFonts w:ascii="Times New Roman" w:hAnsi="Times New Roman" w:cs="Times New Roman"/>
          <w:sz w:val="24"/>
          <w:szCs w:val="24"/>
        </w:rPr>
        <w:t xml:space="preserve"> and</w:t>
      </w:r>
      <w:r w:rsidRPr="00766C2B">
        <w:rPr>
          <w:rFonts w:ascii="Times New Roman" w:hAnsi="Times New Roman" w:cs="Times New Roman"/>
          <w:sz w:val="24"/>
          <w:szCs w:val="24"/>
        </w:rPr>
        <w:t xml:space="preserve"> secured</w:t>
      </w:r>
      <w:r w:rsidR="00F34A9D" w:rsidRPr="00766C2B">
        <w:rPr>
          <w:rFonts w:ascii="Times New Roman" w:hAnsi="Times New Roman" w:cs="Times New Roman"/>
          <w:sz w:val="24"/>
          <w:szCs w:val="24"/>
        </w:rPr>
        <w:t xml:space="preserve"> participants</w:t>
      </w:r>
      <w:r w:rsidRPr="00766C2B">
        <w:rPr>
          <w:rFonts w:ascii="Times New Roman" w:hAnsi="Times New Roman" w:cs="Times New Roman"/>
          <w:sz w:val="24"/>
          <w:szCs w:val="24"/>
        </w:rPr>
        <w:t>’</w:t>
      </w:r>
      <w:r w:rsidR="00F34A9D" w:rsidRPr="00766C2B">
        <w:rPr>
          <w:rFonts w:ascii="Times New Roman" w:hAnsi="Times New Roman" w:cs="Times New Roman"/>
          <w:sz w:val="24"/>
          <w:szCs w:val="24"/>
        </w:rPr>
        <w:t xml:space="preserve"> </w:t>
      </w:r>
      <w:r w:rsidR="00F34A9D" w:rsidRPr="00766C2B">
        <w:rPr>
          <w:rFonts w:ascii="Times New Roman" w:eastAsia="Times New Roman" w:hAnsi="Times New Roman" w:cs="Times New Roman"/>
          <w:sz w:val="24"/>
          <w:szCs w:val="24"/>
        </w:rPr>
        <w:t xml:space="preserve">written consent to the inclusion of their </w:t>
      </w:r>
      <w:r w:rsidR="002D1849" w:rsidRPr="00766C2B">
        <w:rPr>
          <w:rFonts w:ascii="Times New Roman" w:eastAsia="Times New Roman" w:hAnsi="Times New Roman" w:cs="Times New Roman"/>
          <w:sz w:val="24"/>
          <w:szCs w:val="24"/>
        </w:rPr>
        <w:t>anonymi</w:t>
      </w:r>
      <w:r w:rsidR="00786E54" w:rsidRPr="00766C2B">
        <w:rPr>
          <w:rFonts w:ascii="Times New Roman" w:eastAsia="Times New Roman" w:hAnsi="Times New Roman" w:cs="Times New Roman"/>
          <w:sz w:val="24"/>
          <w:szCs w:val="24"/>
        </w:rPr>
        <w:t>z</w:t>
      </w:r>
      <w:r w:rsidR="002D1849" w:rsidRPr="00766C2B">
        <w:rPr>
          <w:rFonts w:ascii="Times New Roman" w:eastAsia="Times New Roman" w:hAnsi="Times New Roman" w:cs="Times New Roman"/>
          <w:sz w:val="24"/>
          <w:szCs w:val="24"/>
        </w:rPr>
        <w:t xml:space="preserve">ed </w:t>
      </w:r>
      <w:r w:rsidR="00F34A9D" w:rsidRPr="00766C2B">
        <w:rPr>
          <w:rFonts w:ascii="Times New Roman" w:eastAsia="Times New Roman" w:hAnsi="Times New Roman" w:cs="Times New Roman"/>
          <w:sz w:val="24"/>
          <w:szCs w:val="24"/>
        </w:rPr>
        <w:t xml:space="preserve">data in </w:t>
      </w:r>
      <w:r w:rsidR="007C6768" w:rsidRPr="00766C2B">
        <w:rPr>
          <w:rFonts w:ascii="Times New Roman" w:eastAsia="Times New Roman" w:hAnsi="Times New Roman" w:cs="Times New Roman"/>
          <w:sz w:val="24"/>
          <w:szCs w:val="24"/>
        </w:rPr>
        <w:t xml:space="preserve">the </w:t>
      </w:r>
      <w:r w:rsidR="00F34A9D" w:rsidRPr="00766C2B">
        <w:rPr>
          <w:rFonts w:ascii="Times New Roman" w:eastAsia="Times New Roman" w:hAnsi="Times New Roman" w:cs="Times New Roman"/>
          <w:sz w:val="24"/>
          <w:szCs w:val="24"/>
        </w:rPr>
        <w:t xml:space="preserve">dissemination of the results. </w:t>
      </w:r>
      <w:r w:rsidR="002C6630" w:rsidRPr="00766C2B">
        <w:rPr>
          <w:rFonts w:ascii="Times New Roman" w:eastAsia="Times New Roman" w:hAnsi="Times New Roman" w:cs="Times New Roman"/>
          <w:sz w:val="24"/>
          <w:szCs w:val="24"/>
        </w:rPr>
        <w:t xml:space="preserve">We recruited </w:t>
      </w:r>
      <w:r w:rsidR="002C6630" w:rsidRPr="00766C2B">
        <w:rPr>
          <w:rFonts w:ascii="Times New Roman" w:eastAsia="Times New Roman" w:hAnsi="Times New Roman" w:cs="Times New Roman"/>
          <w:sz w:val="24"/>
          <w:szCs w:val="24"/>
        </w:rPr>
        <w:lastRenderedPageBreak/>
        <w:t>p</w:t>
      </w:r>
      <w:r w:rsidR="003A63FC" w:rsidRPr="00766C2B">
        <w:rPr>
          <w:rFonts w:ascii="Times New Roman" w:hAnsi="Times New Roman" w:cs="Times New Roman"/>
          <w:sz w:val="24"/>
          <w:szCs w:val="24"/>
        </w:rPr>
        <w:t xml:space="preserve">articipants from </w:t>
      </w:r>
      <w:r w:rsidR="007A57EA" w:rsidRPr="00766C2B">
        <w:rPr>
          <w:rFonts w:ascii="Times New Roman" w:hAnsi="Times New Roman" w:cs="Times New Roman"/>
          <w:sz w:val="24"/>
          <w:szCs w:val="24"/>
        </w:rPr>
        <w:t>four</w:t>
      </w:r>
      <w:r w:rsidR="003A63FC" w:rsidRPr="00766C2B">
        <w:rPr>
          <w:rFonts w:ascii="Times New Roman" w:hAnsi="Times New Roman" w:cs="Times New Roman"/>
          <w:sz w:val="24"/>
          <w:szCs w:val="24"/>
        </w:rPr>
        <w:t xml:space="preserve"> sources: students at </w:t>
      </w:r>
      <w:r w:rsidR="007C6768" w:rsidRPr="00766C2B">
        <w:rPr>
          <w:rFonts w:ascii="Times New Roman" w:hAnsi="Times New Roman" w:cs="Times New Roman"/>
          <w:sz w:val="24"/>
          <w:szCs w:val="24"/>
        </w:rPr>
        <w:t xml:space="preserve">the </w:t>
      </w:r>
      <w:r w:rsidR="003A63FC" w:rsidRPr="00766C2B">
        <w:rPr>
          <w:rFonts w:ascii="Times New Roman" w:hAnsi="Times New Roman" w:cs="Times New Roman"/>
          <w:sz w:val="24"/>
          <w:szCs w:val="24"/>
        </w:rPr>
        <w:t xml:space="preserve">University of the West of England; UWE </w:t>
      </w:r>
      <w:r w:rsidR="00E9386F" w:rsidRPr="00766C2B">
        <w:rPr>
          <w:rFonts w:ascii="Times New Roman" w:hAnsi="Times New Roman" w:cs="Times New Roman"/>
          <w:sz w:val="24"/>
          <w:szCs w:val="24"/>
        </w:rPr>
        <w:t xml:space="preserve">Bristol </w:t>
      </w:r>
      <w:r w:rsidR="003A63FC" w:rsidRPr="00766C2B">
        <w:rPr>
          <w:rFonts w:ascii="Times New Roman" w:hAnsi="Times New Roman" w:cs="Times New Roman"/>
          <w:sz w:val="24"/>
          <w:szCs w:val="24"/>
        </w:rPr>
        <w:t>staff, family</w:t>
      </w:r>
      <w:r w:rsidR="00863D42" w:rsidRPr="00766C2B">
        <w:rPr>
          <w:rFonts w:ascii="Times New Roman" w:hAnsi="Times New Roman" w:cs="Times New Roman"/>
          <w:sz w:val="24"/>
          <w:szCs w:val="24"/>
        </w:rPr>
        <w:t>,</w:t>
      </w:r>
      <w:r w:rsidR="003A63FC" w:rsidRPr="00766C2B">
        <w:rPr>
          <w:rFonts w:ascii="Times New Roman" w:hAnsi="Times New Roman" w:cs="Times New Roman"/>
          <w:sz w:val="24"/>
          <w:szCs w:val="24"/>
        </w:rPr>
        <w:t xml:space="preserve"> and friends; </w:t>
      </w:r>
      <w:r w:rsidR="00F56CCB" w:rsidRPr="00766C2B">
        <w:rPr>
          <w:rFonts w:ascii="Times New Roman" w:hAnsi="Times New Roman" w:cs="Times New Roman"/>
          <w:sz w:val="24"/>
          <w:szCs w:val="24"/>
        </w:rPr>
        <w:t xml:space="preserve">volunteers on </w:t>
      </w:r>
      <w:r w:rsidR="003A63FC" w:rsidRPr="00766C2B">
        <w:rPr>
          <w:rFonts w:ascii="Times New Roman" w:hAnsi="Times New Roman" w:cs="Times New Roman"/>
          <w:sz w:val="24"/>
          <w:szCs w:val="24"/>
        </w:rPr>
        <w:t>the Join Dementia Research register</w:t>
      </w:r>
      <w:r w:rsidR="002C6630" w:rsidRPr="00766C2B">
        <w:rPr>
          <w:rFonts w:ascii="Times New Roman" w:hAnsi="Times New Roman" w:cs="Times New Roman"/>
          <w:sz w:val="24"/>
          <w:szCs w:val="24"/>
        </w:rPr>
        <w:t>,</w:t>
      </w:r>
      <w:r w:rsidR="00AB4CD2" w:rsidRPr="00766C2B">
        <w:rPr>
          <w:rFonts w:ascii="Times New Roman" w:hAnsi="Times New Roman" w:cs="Times New Roman"/>
          <w:sz w:val="24"/>
          <w:szCs w:val="24"/>
        </w:rPr>
        <w:t xml:space="preserve"> </w:t>
      </w:r>
      <w:r w:rsidR="00F56CCB" w:rsidRPr="00766C2B">
        <w:rPr>
          <w:rFonts w:ascii="Times New Roman" w:hAnsi="Times New Roman" w:cs="Times New Roman"/>
          <w:sz w:val="24"/>
          <w:szCs w:val="24"/>
        </w:rPr>
        <w:t xml:space="preserve">who </w:t>
      </w:r>
      <w:r w:rsidR="00B32C03" w:rsidRPr="00766C2B">
        <w:rPr>
          <w:rFonts w:ascii="Times New Roman" w:hAnsi="Times New Roman" w:cs="Times New Roman"/>
          <w:sz w:val="24"/>
          <w:szCs w:val="24"/>
        </w:rPr>
        <w:t>self-identified</w:t>
      </w:r>
      <w:r w:rsidR="00F56CCB" w:rsidRPr="00766C2B">
        <w:rPr>
          <w:rFonts w:ascii="Times New Roman" w:hAnsi="Times New Roman" w:cs="Times New Roman"/>
          <w:sz w:val="24"/>
          <w:szCs w:val="24"/>
        </w:rPr>
        <w:t xml:space="preserve"> as </w:t>
      </w:r>
      <w:r w:rsidR="00B32C03" w:rsidRPr="00766C2B">
        <w:rPr>
          <w:rFonts w:ascii="Times New Roman" w:hAnsi="Times New Roman" w:cs="Times New Roman"/>
          <w:sz w:val="24"/>
          <w:szCs w:val="24"/>
        </w:rPr>
        <w:t xml:space="preserve">not </w:t>
      </w:r>
      <w:r w:rsidR="00F56CCB" w:rsidRPr="00766C2B">
        <w:rPr>
          <w:rFonts w:ascii="Times New Roman" w:hAnsi="Times New Roman" w:cs="Times New Roman"/>
          <w:sz w:val="24"/>
          <w:szCs w:val="24"/>
        </w:rPr>
        <w:t xml:space="preserve">having </w:t>
      </w:r>
      <w:r w:rsidR="00B32C03" w:rsidRPr="00766C2B">
        <w:rPr>
          <w:rFonts w:ascii="Times New Roman" w:hAnsi="Times New Roman" w:cs="Times New Roman"/>
          <w:sz w:val="24"/>
          <w:szCs w:val="24"/>
        </w:rPr>
        <w:t xml:space="preserve">a diagnosis of </w:t>
      </w:r>
      <w:r w:rsidR="00F56CCB" w:rsidRPr="00766C2B">
        <w:rPr>
          <w:rFonts w:ascii="Times New Roman" w:hAnsi="Times New Roman" w:cs="Times New Roman"/>
          <w:sz w:val="24"/>
          <w:szCs w:val="24"/>
        </w:rPr>
        <w:t>dementia</w:t>
      </w:r>
      <w:r w:rsidR="00CA70BF" w:rsidRPr="00766C2B">
        <w:rPr>
          <w:rStyle w:val="FootnoteReference"/>
          <w:rFonts w:ascii="Times New Roman" w:hAnsi="Times New Roman" w:cs="Times New Roman"/>
          <w:sz w:val="24"/>
          <w:szCs w:val="24"/>
        </w:rPr>
        <w:footnoteReference w:id="3"/>
      </w:r>
      <w:r w:rsidR="007A57EA" w:rsidRPr="00766C2B">
        <w:rPr>
          <w:rFonts w:ascii="Times New Roman" w:hAnsi="Times New Roman" w:cs="Times New Roman"/>
          <w:sz w:val="24"/>
          <w:szCs w:val="24"/>
        </w:rPr>
        <w:t>; and residents at a retirement village</w:t>
      </w:r>
      <w:r w:rsidR="003A63FC" w:rsidRPr="00766C2B">
        <w:rPr>
          <w:rFonts w:ascii="Times New Roman" w:hAnsi="Times New Roman" w:cs="Times New Roman"/>
          <w:sz w:val="24"/>
          <w:szCs w:val="24"/>
        </w:rPr>
        <w:t xml:space="preserve">. </w:t>
      </w:r>
      <w:r w:rsidR="00C16452" w:rsidRPr="00766C2B">
        <w:rPr>
          <w:rFonts w:ascii="Times New Roman" w:hAnsi="Times New Roman" w:cs="Times New Roman"/>
          <w:sz w:val="24"/>
          <w:szCs w:val="24"/>
        </w:rPr>
        <w:t>We provide participant information in Table 1</w:t>
      </w:r>
      <w:r w:rsidR="00C16452" w:rsidRPr="00766C2B">
        <w:rPr>
          <w:rFonts w:ascii="Times New Roman" w:eastAsia="Times New Roman" w:hAnsi="Times New Roman"/>
          <w:iCs/>
          <w:sz w:val="24"/>
          <w:szCs w:val="24"/>
        </w:rPr>
        <w:t xml:space="preserve">. </w:t>
      </w:r>
    </w:p>
    <w:p w14:paraId="46A6A78F" w14:textId="6F0F6165" w:rsidR="00F56CCB" w:rsidRPr="00766C2B" w:rsidRDefault="00F56CCB" w:rsidP="00F56CCB">
      <w:pPr>
        <w:pStyle w:val="PlainText"/>
        <w:spacing w:line="480" w:lineRule="auto"/>
        <w:jc w:val="center"/>
        <w:rPr>
          <w:rFonts w:ascii="Times New Roman" w:hAnsi="Times New Roman" w:cs="Times New Roman"/>
          <w:sz w:val="24"/>
          <w:szCs w:val="24"/>
        </w:rPr>
      </w:pPr>
      <w:r w:rsidRPr="00766C2B">
        <w:rPr>
          <w:rFonts w:ascii="Times New Roman" w:hAnsi="Times New Roman" w:cs="Times New Roman"/>
          <w:sz w:val="24"/>
          <w:szCs w:val="24"/>
        </w:rPr>
        <w:t>[Insert Table 1 about here]</w:t>
      </w:r>
    </w:p>
    <w:p w14:paraId="57C5F697" w14:textId="2B64BEF0" w:rsidR="002A36D6" w:rsidRPr="00766C2B" w:rsidRDefault="002A36D6" w:rsidP="002A36D6">
      <w:pPr>
        <w:spacing w:line="480" w:lineRule="auto"/>
        <w:rPr>
          <w:i/>
          <w:iCs/>
        </w:rPr>
      </w:pPr>
      <w:r w:rsidRPr="00766C2B">
        <w:rPr>
          <w:i/>
          <w:iCs/>
        </w:rPr>
        <w:t xml:space="preserve">Inclusion </w:t>
      </w:r>
      <w:r w:rsidR="00DE2109" w:rsidRPr="00766C2B">
        <w:rPr>
          <w:i/>
          <w:iCs/>
        </w:rPr>
        <w:t>C</w:t>
      </w:r>
      <w:r w:rsidRPr="00766C2B">
        <w:rPr>
          <w:i/>
          <w:iCs/>
        </w:rPr>
        <w:t>riteria</w:t>
      </w:r>
    </w:p>
    <w:p w14:paraId="4A582313" w14:textId="4EFCE7C8" w:rsidR="00AB4CD2" w:rsidRPr="00766C2B" w:rsidRDefault="0030087A">
      <w:pPr>
        <w:spacing w:line="480" w:lineRule="auto"/>
        <w:ind w:firstLine="720"/>
      </w:pPr>
      <w:r w:rsidRPr="00766C2B">
        <w:t xml:space="preserve">In order to screen out </w:t>
      </w:r>
      <w:r w:rsidR="00DE2109" w:rsidRPr="00766C2B">
        <w:t>individuals</w:t>
      </w:r>
      <w:r w:rsidR="00DE2109" w:rsidRPr="00766C2B">
        <w:rPr>
          <w:color w:val="222222"/>
          <w:shd w:val="clear" w:color="auto" w:fill="FFFFFF"/>
        </w:rPr>
        <w:t xml:space="preserve"> </w:t>
      </w:r>
      <w:r w:rsidRPr="00766C2B">
        <w:rPr>
          <w:color w:val="222222"/>
          <w:shd w:val="clear" w:color="auto" w:fill="FFFFFF"/>
        </w:rPr>
        <w:t>who might have dementia (but not been diagnosed)</w:t>
      </w:r>
      <w:r w:rsidR="00DE2109" w:rsidRPr="00766C2B">
        <w:rPr>
          <w:color w:val="222222"/>
          <w:shd w:val="clear" w:color="auto" w:fill="FFFFFF"/>
        </w:rPr>
        <w:t>,</w:t>
      </w:r>
      <w:r w:rsidRPr="00766C2B">
        <w:rPr>
          <w:color w:val="222222"/>
          <w:shd w:val="clear" w:color="auto" w:fill="FFFFFF"/>
        </w:rPr>
        <w:t xml:space="preserve"> w</w:t>
      </w:r>
      <w:r w:rsidR="009C3BF1" w:rsidRPr="00766C2B">
        <w:t xml:space="preserve">e </w:t>
      </w:r>
      <w:r w:rsidR="00AB4CD2" w:rsidRPr="00766C2B">
        <w:t xml:space="preserve">assessed </w:t>
      </w:r>
      <w:r w:rsidR="00761C56" w:rsidRPr="00766C2B">
        <w:t>participants’ levels of</w:t>
      </w:r>
      <w:r w:rsidR="009C3BF1" w:rsidRPr="00766C2B">
        <w:t xml:space="preserve"> cognitive functioning</w:t>
      </w:r>
      <w:r w:rsidRPr="00766C2B">
        <w:rPr>
          <w:color w:val="222222"/>
          <w:shd w:val="clear" w:color="auto" w:fill="FFFFFF"/>
        </w:rPr>
        <w:t xml:space="preserve"> </w:t>
      </w:r>
      <w:r w:rsidRPr="00766C2B">
        <w:rPr>
          <w:iCs/>
        </w:rPr>
        <w:t xml:space="preserve">using the </w:t>
      </w:r>
      <w:r w:rsidRPr="00766C2B">
        <w:rPr>
          <w:color w:val="222222"/>
          <w:shd w:val="clear" w:color="auto" w:fill="FFFFFF"/>
        </w:rPr>
        <w:t>Montreal Cognitive Assessment (</w:t>
      </w:r>
      <w:r w:rsidR="00DE2109" w:rsidRPr="00766C2B">
        <w:rPr>
          <w:color w:val="222222"/>
          <w:shd w:val="clear" w:color="auto" w:fill="FFFFFF"/>
        </w:rPr>
        <w:t xml:space="preserve">MoCA; </w:t>
      </w:r>
      <w:r w:rsidRPr="00766C2B">
        <w:rPr>
          <w:color w:val="000000"/>
          <w:shd w:val="clear" w:color="auto" w:fill="FFFFFF"/>
        </w:rPr>
        <w:t xml:space="preserve">Nasreddine et al., </w:t>
      </w:r>
      <w:r w:rsidRPr="00766C2B">
        <w:rPr>
          <w:lang w:val="en-US"/>
        </w:rPr>
        <w:t>2005)</w:t>
      </w:r>
      <w:r w:rsidR="00DE2109" w:rsidRPr="00766C2B">
        <w:rPr>
          <w:lang w:val="en-US"/>
        </w:rPr>
        <w:t>. We</w:t>
      </w:r>
      <w:r w:rsidRPr="00766C2B">
        <w:rPr>
          <w:lang w:val="en-US"/>
        </w:rPr>
        <w:t xml:space="preserve"> excluded them from</w:t>
      </w:r>
      <w:r w:rsidR="00DE2109" w:rsidRPr="00766C2B">
        <w:rPr>
          <w:lang w:val="en-US"/>
        </w:rPr>
        <w:t xml:space="preserve"> data</w:t>
      </w:r>
      <w:r w:rsidRPr="00766C2B">
        <w:rPr>
          <w:lang w:val="en-US"/>
        </w:rPr>
        <w:t xml:space="preserve"> analys</w:t>
      </w:r>
      <w:r w:rsidR="00DE2109" w:rsidRPr="00766C2B">
        <w:rPr>
          <w:lang w:val="en-US"/>
        </w:rPr>
        <w:t>e</w:t>
      </w:r>
      <w:r w:rsidRPr="00766C2B">
        <w:rPr>
          <w:lang w:val="en-US"/>
        </w:rPr>
        <w:t xml:space="preserve">s </w:t>
      </w:r>
      <w:r w:rsidRPr="00766C2B">
        <w:rPr>
          <w:iCs/>
        </w:rPr>
        <w:t>if they scored below the suggested cut-off score for dementia</w:t>
      </w:r>
      <w:r w:rsidR="00DE2109" w:rsidRPr="00766C2B">
        <w:rPr>
          <w:iCs/>
        </w:rPr>
        <w:t xml:space="preserve"> </w:t>
      </w:r>
      <w:r w:rsidRPr="00766C2B">
        <w:rPr>
          <w:iCs/>
        </w:rPr>
        <w:t xml:space="preserve">of 19 </w:t>
      </w:r>
      <w:r w:rsidRPr="00766C2B">
        <w:rPr>
          <w:color w:val="222222"/>
          <w:shd w:val="clear" w:color="auto" w:fill="FFFFFF"/>
        </w:rPr>
        <w:t>(</w:t>
      </w:r>
      <w:r w:rsidRPr="00766C2B">
        <w:rPr>
          <w:shd w:val="clear" w:color="auto" w:fill="FFFFFF"/>
        </w:rPr>
        <w:t xml:space="preserve">Milani et al., </w:t>
      </w:r>
      <w:r w:rsidRPr="00766C2B">
        <w:rPr>
          <w:lang w:val="en-US"/>
        </w:rPr>
        <w:t>2018)</w:t>
      </w:r>
      <w:r w:rsidRPr="00766C2B">
        <w:rPr>
          <w:iCs/>
        </w:rPr>
        <w:t xml:space="preserve">. </w:t>
      </w:r>
      <w:r w:rsidR="00917376" w:rsidRPr="00766C2B">
        <w:rPr>
          <w:iCs/>
        </w:rPr>
        <w:t>Similarly, a</w:t>
      </w:r>
      <w:r w:rsidR="00917376" w:rsidRPr="00766C2B">
        <w:rPr>
          <w:color w:val="222222"/>
          <w:shd w:val="clear" w:color="auto" w:fill="FFFFFF"/>
        </w:rPr>
        <w:t xml:space="preserve">s high levels of depression (Brand et al., 1992) and anxiety (Reidy &amp; Richard, 1997) can influence recall, </w:t>
      </w:r>
      <w:r w:rsidR="00917376" w:rsidRPr="00766C2B">
        <w:t>we screened participants for depression and anxiety. For depression</w:t>
      </w:r>
      <w:r w:rsidR="00B75570" w:rsidRPr="00766C2B">
        <w:t>,</w:t>
      </w:r>
      <w:r w:rsidR="00917376" w:rsidRPr="00766C2B">
        <w:t xml:space="preserve"> we used the 15-item Geriatric Depression Scale or GDS (</w:t>
      </w:r>
      <w:r w:rsidR="00917376" w:rsidRPr="00766C2B">
        <w:rPr>
          <w:color w:val="222222"/>
          <w:shd w:val="clear" w:color="auto" w:fill="FFFFFF"/>
        </w:rPr>
        <w:t>Yesavage</w:t>
      </w:r>
      <w:r w:rsidR="00917376" w:rsidRPr="00766C2B">
        <w:t xml:space="preserve"> et al., 1983)</w:t>
      </w:r>
      <w:r w:rsidR="00FA0EB3" w:rsidRPr="00766C2B">
        <w:t>,</w:t>
      </w:r>
      <w:r w:rsidR="00CA331B" w:rsidRPr="00766C2B">
        <w:t xml:space="preserve"> </w:t>
      </w:r>
      <w:r w:rsidR="00917376" w:rsidRPr="00766C2B">
        <w:t xml:space="preserve">a measure designed for use with older adults but which has also </w:t>
      </w:r>
      <w:r w:rsidR="00917376" w:rsidRPr="00766C2B">
        <w:rPr>
          <w:color w:val="000000"/>
          <w:shd w:val="clear" w:color="auto" w:fill="FFFFFF"/>
        </w:rPr>
        <w:t xml:space="preserve">shown good </w:t>
      </w:r>
      <w:r w:rsidR="00B75570" w:rsidRPr="00766C2B">
        <w:rPr>
          <w:color w:val="000000"/>
          <w:shd w:val="clear" w:color="auto" w:fill="FFFFFF"/>
        </w:rPr>
        <w:t>criterion-</w:t>
      </w:r>
      <w:r w:rsidR="00917376" w:rsidRPr="00766C2B">
        <w:rPr>
          <w:color w:val="000000"/>
          <w:shd w:val="clear" w:color="auto" w:fill="FFFFFF"/>
        </w:rPr>
        <w:t xml:space="preserve">related validity </w:t>
      </w:r>
      <w:r w:rsidR="00761C56" w:rsidRPr="00766C2B">
        <w:rPr>
          <w:color w:val="000000"/>
          <w:shd w:val="clear" w:color="auto" w:fill="FFFFFF"/>
        </w:rPr>
        <w:t>with</w:t>
      </w:r>
      <w:r w:rsidR="00917376" w:rsidRPr="00766C2B">
        <w:rPr>
          <w:color w:val="000000"/>
          <w:shd w:val="clear" w:color="auto" w:fill="FFFFFF"/>
        </w:rPr>
        <w:t xml:space="preserve"> younger and </w:t>
      </w:r>
      <w:r w:rsidR="00B75570" w:rsidRPr="00766C2B">
        <w:rPr>
          <w:color w:val="000000"/>
          <w:shd w:val="clear" w:color="auto" w:fill="FFFFFF"/>
        </w:rPr>
        <w:t>middle-</w:t>
      </w:r>
      <w:r w:rsidR="00917376" w:rsidRPr="00766C2B">
        <w:rPr>
          <w:color w:val="000000"/>
          <w:shd w:val="clear" w:color="auto" w:fill="FFFFFF"/>
        </w:rPr>
        <w:t xml:space="preserve">aged adults (Guerin et al., 2018; Ferraro </w:t>
      </w:r>
      <w:r w:rsidR="00E40276" w:rsidRPr="00766C2B">
        <w:rPr>
          <w:color w:val="000000"/>
          <w:shd w:val="clear" w:color="auto" w:fill="FFFFFF"/>
        </w:rPr>
        <w:t>&amp;</w:t>
      </w:r>
      <w:r w:rsidR="00917376" w:rsidRPr="00766C2B">
        <w:rPr>
          <w:color w:val="000000"/>
          <w:shd w:val="clear" w:color="auto" w:fill="FFFFFF"/>
        </w:rPr>
        <w:t xml:space="preserve"> Chelminski, 1996). </w:t>
      </w:r>
      <w:r w:rsidR="00FA0EB3" w:rsidRPr="00766C2B">
        <w:rPr>
          <w:color w:val="222222"/>
          <w:shd w:val="clear" w:color="auto" w:fill="FFFFFF"/>
        </w:rPr>
        <w:t xml:space="preserve">Given that </w:t>
      </w:r>
      <w:r w:rsidR="00CA331B" w:rsidRPr="00766C2B">
        <w:rPr>
          <w:color w:val="000000"/>
          <w:shd w:val="clear" w:color="auto" w:fill="FFFFFF"/>
        </w:rPr>
        <w:t>anxiety measures validated with a younger population may be inappropriate for older populations</w:t>
      </w:r>
      <w:r w:rsidR="00FA0EB3" w:rsidRPr="00766C2B">
        <w:rPr>
          <w:color w:val="000000"/>
          <w:shd w:val="clear" w:color="auto" w:fill="FFFFFF"/>
        </w:rPr>
        <w:t>,</w:t>
      </w:r>
      <w:r w:rsidR="00CA331B" w:rsidRPr="00766C2B">
        <w:rPr>
          <w:color w:val="000000"/>
          <w:shd w:val="clear" w:color="auto" w:fill="FFFFFF"/>
        </w:rPr>
        <w:t xml:space="preserve"> </w:t>
      </w:r>
      <w:r w:rsidR="00917376" w:rsidRPr="00766C2B">
        <w:t>we used the Geriatric Anxiety Inventory or GAI (</w:t>
      </w:r>
      <w:r w:rsidR="00917376" w:rsidRPr="00766C2B">
        <w:rPr>
          <w:color w:val="222222"/>
          <w:shd w:val="clear" w:color="auto" w:fill="FFFFFF"/>
        </w:rPr>
        <w:t>Pachana et al., 2007)</w:t>
      </w:r>
      <w:r w:rsidR="00CA331B" w:rsidRPr="00766C2B">
        <w:rPr>
          <w:color w:val="222222"/>
          <w:shd w:val="clear" w:color="auto" w:fill="FFFFFF"/>
        </w:rPr>
        <w:t xml:space="preserve"> </w:t>
      </w:r>
      <w:r w:rsidR="00CA331B" w:rsidRPr="00766C2B">
        <w:rPr>
          <w:color w:val="000000"/>
          <w:shd w:val="clear" w:color="auto" w:fill="FFFFFF"/>
        </w:rPr>
        <w:t xml:space="preserve">to screen for </w:t>
      </w:r>
      <w:r w:rsidR="00CA331B" w:rsidRPr="00766C2B">
        <w:t>anxiety</w:t>
      </w:r>
      <w:r w:rsidR="00917376" w:rsidRPr="00766C2B">
        <w:rPr>
          <w:color w:val="000000"/>
          <w:shd w:val="clear" w:color="auto" w:fill="FFFFFF"/>
        </w:rPr>
        <w:t>. The GAI minimizes the emphasis of somatic symptoms</w:t>
      </w:r>
      <w:r w:rsidR="00BA537A" w:rsidRPr="00766C2B">
        <w:rPr>
          <w:color w:val="000000"/>
          <w:shd w:val="clear" w:color="auto" w:fill="FFFFFF"/>
        </w:rPr>
        <w:t>,</w:t>
      </w:r>
      <w:r w:rsidR="00917376" w:rsidRPr="00766C2B">
        <w:rPr>
          <w:color w:val="000000"/>
          <w:shd w:val="clear" w:color="auto" w:fill="FFFFFF"/>
        </w:rPr>
        <w:t xml:space="preserve"> which can be confounded with physical health problems in older adults (Johnco et al., 2015)</w:t>
      </w:r>
      <w:r w:rsidR="00AC0FD9" w:rsidRPr="00766C2B">
        <w:rPr>
          <w:color w:val="000000"/>
          <w:shd w:val="clear" w:color="auto" w:fill="FFFFFF"/>
        </w:rPr>
        <w:t xml:space="preserve">. In addition, the GAI uses a simple </w:t>
      </w:r>
      <w:r w:rsidR="00B75570" w:rsidRPr="00766C2B">
        <w:rPr>
          <w:color w:val="000000"/>
          <w:shd w:val="clear" w:color="auto" w:fill="FFFFFF"/>
        </w:rPr>
        <w:t>forced-</w:t>
      </w:r>
      <w:r w:rsidR="00917376" w:rsidRPr="00766C2B">
        <w:rPr>
          <w:color w:val="000000"/>
          <w:shd w:val="clear" w:color="auto" w:fill="FFFFFF"/>
        </w:rPr>
        <w:t>choice response format (agree/disagree)</w:t>
      </w:r>
      <w:r w:rsidR="00FA0EB3" w:rsidRPr="00766C2B">
        <w:rPr>
          <w:color w:val="000000"/>
          <w:shd w:val="clear" w:color="auto" w:fill="FFFFFF"/>
        </w:rPr>
        <w:t xml:space="preserve"> that </w:t>
      </w:r>
      <w:r w:rsidR="000276F5" w:rsidRPr="00766C2B">
        <w:rPr>
          <w:color w:val="000000"/>
          <w:shd w:val="clear" w:color="auto" w:fill="FFFFFF"/>
        </w:rPr>
        <w:t xml:space="preserve">increases clarity and </w:t>
      </w:r>
      <w:r w:rsidR="00E40276" w:rsidRPr="00766C2B">
        <w:rPr>
          <w:color w:val="000000"/>
          <w:shd w:val="clear" w:color="auto" w:fill="FFFFFF"/>
        </w:rPr>
        <w:t>decreases</w:t>
      </w:r>
      <w:r w:rsidR="000276F5" w:rsidRPr="00766C2B">
        <w:rPr>
          <w:color w:val="000000"/>
          <w:shd w:val="clear" w:color="auto" w:fill="FFFFFF"/>
        </w:rPr>
        <w:t xml:space="preserve"> </w:t>
      </w:r>
      <w:r w:rsidR="00CA331B" w:rsidRPr="00766C2B">
        <w:rPr>
          <w:color w:val="000000"/>
          <w:shd w:val="clear" w:color="auto" w:fill="FFFFFF"/>
        </w:rPr>
        <w:t xml:space="preserve">the risk of </w:t>
      </w:r>
      <w:r w:rsidR="000276F5" w:rsidRPr="00766C2B">
        <w:rPr>
          <w:color w:val="000000"/>
          <w:shd w:val="clear" w:color="auto" w:fill="FFFFFF"/>
        </w:rPr>
        <w:t>confusion</w:t>
      </w:r>
      <w:r w:rsidR="00917376" w:rsidRPr="00766C2B">
        <w:rPr>
          <w:color w:val="000000"/>
          <w:shd w:val="clear" w:color="auto" w:fill="FFFFFF"/>
        </w:rPr>
        <w:t xml:space="preserve">. </w:t>
      </w:r>
      <w:r w:rsidR="00DE2109" w:rsidRPr="00766C2B">
        <w:t xml:space="preserve">We excluded from data analyses </w:t>
      </w:r>
      <w:r w:rsidR="00DE2109" w:rsidRPr="00766C2B">
        <w:lastRenderedPageBreak/>
        <w:t>p</w:t>
      </w:r>
      <w:r w:rsidR="002A36D6" w:rsidRPr="00766C2B">
        <w:t xml:space="preserve">articipants who scored more than three standard deviations </w:t>
      </w:r>
      <w:r w:rsidR="00B75570" w:rsidRPr="00766C2B">
        <w:t xml:space="preserve">above or below </w:t>
      </w:r>
      <w:r w:rsidR="002A36D6" w:rsidRPr="00766C2B">
        <w:t>the mean (</w:t>
      </w:r>
      <w:r w:rsidR="00761C56" w:rsidRPr="00766C2B">
        <w:t xml:space="preserve">12 or higher out of a maximum of 15 on the GDS and </w:t>
      </w:r>
      <w:r w:rsidR="002A36D6" w:rsidRPr="00766C2B">
        <w:t xml:space="preserve">15 or </w:t>
      </w:r>
      <w:r w:rsidR="00761C56" w:rsidRPr="00766C2B">
        <w:t xml:space="preserve">above </w:t>
      </w:r>
      <w:r w:rsidR="002A36D6" w:rsidRPr="00766C2B">
        <w:t>out of 20 on the GAI).</w:t>
      </w:r>
    </w:p>
    <w:p w14:paraId="07148A2A" w14:textId="2D3841A3" w:rsidR="001E4571" w:rsidRPr="00766C2B" w:rsidRDefault="00217962">
      <w:pPr>
        <w:pStyle w:val="ListParagraph"/>
        <w:spacing w:after="0" w:line="480" w:lineRule="auto"/>
        <w:ind w:left="0"/>
        <w:contextualSpacing w:val="0"/>
        <w:rPr>
          <w:i/>
          <w:sz w:val="24"/>
          <w:szCs w:val="24"/>
        </w:rPr>
      </w:pPr>
      <w:r w:rsidRPr="00766C2B">
        <w:rPr>
          <w:i/>
          <w:sz w:val="24"/>
          <w:szCs w:val="24"/>
        </w:rPr>
        <w:t>Materials</w:t>
      </w:r>
    </w:p>
    <w:p w14:paraId="7F97F75C" w14:textId="69A39610" w:rsidR="00217962" w:rsidRPr="00766C2B" w:rsidRDefault="00755507" w:rsidP="005C7D26">
      <w:pPr>
        <w:pStyle w:val="ListParagraph"/>
        <w:spacing w:after="0" w:line="480" w:lineRule="auto"/>
        <w:ind w:left="0" w:firstLine="720"/>
        <w:contextualSpacing w:val="0"/>
        <w:rPr>
          <w:sz w:val="24"/>
          <w:szCs w:val="24"/>
        </w:rPr>
      </w:pPr>
      <w:r w:rsidRPr="00766C2B">
        <w:rPr>
          <w:sz w:val="24"/>
          <w:szCs w:val="24"/>
        </w:rPr>
        <w:t>Following previous research (Cheston et al</w:t>
      </w:r>
      <w:r w:rsidR="00863D42" w:rsidRPr="00766C2B">
        <w:rPr>
          <w:sz w:val="24"/>
          <w:szCs w:val="24"/>
        </w:rPr>
        <w:t>.</w:t>
      </w:r>
      <w:r w:rsidRPr="00766C2B">
        <w:rPr>
          <w:sz w:val="24"/>
          <w:szCs w:val="24"/>
        </w:rPr>
        <w:t xml:space="preserve">, 2018), we asked </w:t>
      </w:r>
      <w:r w:rsidR="00DC130E" w:rsidRPr="00766C2B">
        <w:rPr>
          <w:sz w:val="24"/>
          <w:szCs w:val="24"/>
        </w:rPr>
        <w:t xml:space="preserve">all </w:t>
      </w:r>
      <w:r w:rsidRPr="00766C2B">
        <w:rPr>
          <w:sz w:val="24"/>
          <w:szCs w:val="24"/>
        </w:rPr>
        <w:t xml:space="preserve">participants to recall </w:t>
      </w:r>
      <w:r w:rsidR="00DC130E" w:rsidRPr="00766C2B">
        <w:rPr>
          <w:sz w:val="24"/>
          <w:szCs w:val="24"/>
        </w:rPr>
        <w:t>24 dementia</w:t>
      </w:r>
      <w:r w:rsidR="008D7CA3" w:rsidRPr="00766C2B">
        <w:rPr>
          <w:sz w:val="24"/>
          <w:szCs w:val="24"/>
        </w:rPr>
        <w:t>-</w:t>
      </w:r>
      <w:r w:rsidR="00DC130E" w:rsidRPr="00766C2B">
        <w:rPr>
          <w:sz w:val="24"/>
          <w:szCs w:val="24"/>
        </w:rPr>
        <w:t>related</w:t>
      </w:r>
      <w:r w:rsidR="00217962" w:rsidRPr="00766C2B">
        <w:rPr>
          <w:sz w:val="24"/>
          <w:szCs w:val="24"/>
        </w:rPr>
        <w:t xml:space="preserve"> statements</w:t>
      </w:r>
      <w:r w:rsidR="005C7D26" w:rsidRPr="00766C2B">
        <w:rPr>
          <w:sz w:val="24"/>
          <w:szCs w:val="24"/>
        </w:rPr>
        <w:t xml:space="preserve">, </w:t>
      </w:r>
      <w:r w:rsidR="00DC130E" w:rsidRPr="00766C2B">
        <w:rPr>
          <w:sz w:val="24"/>
          <w:szCs w:val="24"/>
        </w:rPr>
        <w:t xml:space="preserve">12 </w:t>
      </w:r>
      <w:r w:rsidR="005C7D26" w:rsidRPr="00766C2B">
        <w:rPr>
          <w:sz w:val="24"/>
          <w:szCs w:val="24"/>
        </w:rPr>
        <w:t xml:space="preserve">of which </w:t>
      </w:r>
      <w:r w:rsidRPr="00766C2B">
        <w:rPr>
          <w:sz w:val="24"/>
          <w:szCs w:val="24"/>
        </w:rPr>
        <w:t xml:space="preserve">had previously been </w:t>
      </w:r>
      <w:r w:rsidR="00217962" w:rsidRPr="00766C2B">
        <w:rPr>
          <w:sz w:val="24"/>
          <w:szCs w:val="24"/>
        </w:rPr>
        <w:t>rated as highly negative (</w:t>
      </w:r>
      <w:r w:rsidR="008262D9" w:rsidRPr="00766C2B">
        <w:rPr>
          <w:sz w:val="24"/>
          <w:szCs w:val="24"/>
        </w:rPr>
        <w:t xml:space="preserve">i.e., as </w:t>
      </w:r>
      <w:r w:rsidR="00217962" w:rsidRPr="00766C2B">
        <w:rPr>
          <w:sz w:val="24"/>
          <w:szCs w:val="24"/>
        </w:rPr>
        <w:t xml:space="preserve">both highly diagnostic </w:t>
      </w:r>
      <w:r w:rsidR="00C7674B" w:rsidRPr="00766C2B">
        <w:rPr>
          <w:sz w:val="24"/>
          <w:szCs w:val="24"/>
        </w:rPr>
        <w:t xml:space="preserve">of dementia </w:t>
      </w:r>
      <w:r w:rsidR="00217962" w:rsidRPr="00766C2B">
        <w:rPr>
          <w:sz w:val="24"/>
          <w:szCs w:val="24"/>
        </w:rPr>
        <w:t>and with serious consequences for well-being) and 12 statements</w:t>
      </w:r>
      <w:r w:rsidR="00804C5E" w:rsidRPr="00766C2B">
        <w:rPr>
          <w:sz w:val="24"/>
          <w:szCs w:val="24"/>
        </w:rPr>
        <w:t xml:space="preserve"> that had been previously rated as </w:t>
      </w:r>
      <w:r w:rsidR="00217962" w:rsidRPr="00766C2B">
        <w:rPr>
          <w:sz w:val="24"/>
          <w:szCs w:val="24"/>
        </w:rPr>
        <w:t xml:space="preserve">low </w:t>
      </w:r>
      <w:r w:rsidR="00804C5E" w:rsidRPr="00766C2B">
        <w:rPr>
          <w:sz w:val="24"/>
          <w:szCs w:val="24"/>
        </w:rPr>
        <w:t>on</w:t>
      </w:r>
      <w:r w:rsidR="00217962" w:rsidRPr="00766C2B">
        <w:rPr>
          <w:sz w:val="24"/>
          <w:szCs w:val="24"/>
        </w:rPr>
        <w:t xml:space="preserve"> negativity.</w:t>
      </w:r>
      <w:r w:rsidR="001E4571" w:rsidRPr="00766C2B">
        <w:rPr>
          <w:sz w:val="24"/>
          <w:szCs w:val="24"/>
        </w:rPr>
        <w:t xml:space="preserve"> Examples of highly negative statements are: “</w:t>
      </w:r>
      <w:r w:rsidR="001E0FB2" w:rsidRPr="00766C2B">
        <w:rPr>
          <w:rFonts w:eastAsia="Times New Roman"/>
          <w:i/>
          <w:color w:val="000000"/>
          <w:sz w:val="24"/>
          <w:szCs w:val="24"/>
        </w:rPr>
        <w:t>as the illness gets worse, so you will increasingly come to rely on others</w:t>
      </w:r>
      <w:r w:rsidR="001E4571" w:rsidRPr="00766C2B">
        <w:rPr>
          <w:sz w:val="24"/>
          <w:szCs w:val="24"/>
        </w:rPr>
        <w:t>” and “</w:t>
      </w:r>
      <w:r w:rsidR="001E0FB2" w:rsidRPr="00766C2B">
        <w:rPr>
          <w:rFonts w:eastAsia="Times New Roman"/>
          <w:i/>
          <w:color w:val="000000"/>
          <w:sz w:val="24"/>
          <w:szCs w:val="24"/>
          <w:lang w:val="en-US"/>
        </w:rPr>
        <w:t>the illness means that you may forget the names of friends or family</w:t>
      </w:r>
      <w:r w:rsidR="008262D9" w:rsidRPr="00766C2B">
        <w:rPr>
          <w:rFonts w:eastAsia="Times New Roman"/>
          <w:color w:val="000000"/>
          <w:sz w:val="24"/>
          <w:szCs w:val="24"/>
          <w:lang w:val="en-US"/>
        </w:rPr>
        <w:t>.</w:t>
      </w:r>
      <w:r w:rsidR="001E4571" w:rsidRPr="00766C2B">
        <w:rPr>
          <w:sz w:val="24"/>
          <w:szCs w:val="24"/>
        </w:rPr>
        <w:t>” Examples of low-negativity statements are: “</w:t>
      </w:r>
      <w:r w:rsidR="001E0FB2" w:rsidRPr="00766C2B">
        <w:rPr>
          <w:rFonts w:eastAsia="Times New Roman"/>
          <w:i/>
          <w:color w:val="000000"/>
          <w:sz w:val="24"/>
          <w:szCs w:val="24"/>
        </w:rPr>
        <w:t>in the illness proteins can gradually build-up inside your brain</w:t>
      </w:r>
      <w:r w:rsidR="001E4571" w:rsidRPr="00766C2B">
        <w:rPr>
          <w:sz w:val="24"/>
          <w:szCs w:val="24"/>
        </w:rPr>
        <w:t>” and “</w:t>
      </w:r>
      <w:r w:rsidR="001E0FB2" w:rsidRPr="00766C2B">
        <w:rPr>
          <w:rFonts w:eastAsia="Times New Roman"/>
          <w:i/>
          <w:color w:val="000000"/>
          <w:sz w:val="24"/>
          <w:szCs w:val="24"/>
        </w:rPr>
        <w:t>the illness means you will still able to learn to do new activities</w:t>
      </w:r>
      <w:r w:rsidR="001E4571" w:rsidRPr="00766C2B">
        <w:rPr>
          <w:sz w:val="24"/>
          <w:szCs w:val="24"/>
        </w:rPr>
        <w:t>.”</w:t>
      </w:r>
      <w:r w:rsidR="00217962" w:rsidRPr="00766C2B">
        <w:rPr>
          <w:sz w:val="24"/>
          <w:szCs w:val="24"/>
        </w:rPr>
        <w:t xml:space="preserve"> </w:t>
      </w:r>
      <w:r w:rsidR="00DC130E" w:rsidRPr="00766C2B">
        <w:rPr>
          <w:sz w:val="24"/>
          <w:szCs w:val="24"/>
          <w:shd w:val="clear" w:color="auto" w:fill="FFFFFF"/>
        </w:rPr>
        <w:t>Additionally, these statements referred either to the participants (self-referent) or to a hypothetical person named Chris</w:t>
      </w:r>
      <w:r w:rsidR="00DC130E" w:rsidRPr="00766C2B">
        <w:rPr>
          <w:rStyle w:val="FootnoteReference"/>
          <w:sz w:val="24"/>
          <w:szCs w:val="24"/>
          <w:shd w:val="clear" w:color="auto" w:fill="FFFFFF"/>
        </w:rPr>
        <w:footnoteReference w:id="4"/>
      </w:r>
      <w:r w:rsidR="00DC130E" w:rsidRPr="00766C2B">
        <w:rPr>
          <w:sz w:val="24"/>
          <w:szCs w:val="24"/>
          <w:shd w:val="clear" w:color="auto" w:fill="FFFFFF"/>
        </w:rPr>
        <w:t xml:space="preserve"> (other-referent). </w:t>
      </w:r>
      <w:r w:rsidR="001E4571" w:rsidRPr="00766C2B">
        <w:rPr>
          <w:sz w:val="24"/>
          <w:szCs w:val="24"/>
        </w:rPr>
        <w:t>We arranged t</w:t>
      </w:r>
      <w:r w:rsidR="00217962" w:rsidRPr="00766C2B">
        <w:rPr>
          <w:sz w:val="24"/>
          <w:szCs w:val="24"/>
        </w:rPr>
        <w:t>he 24 st</w:t>
      </w:r>
      <w:r w:rsidR="00E1011B" w:rsidRPr="00766C2B">
        <w:rPr>
          <w:sz w:val="24"/>
          <w:szCs w:val="24"/>
        </w:rPr>
        <w:t>atements in four blocks of six statements</w:t>
      </w:r>
      <w:r w:rsidR="001E4571" w:rsidRPr="00766C2B">
        <w:rPr>
          <w:sz w:val="24"/>
          <w:szCs w:val="24"/>
        </w:rPr>
        <w:t xml:space="preserve"> each</w:t>
      </w:r>
      <w:r w:rsidR="00E1011B" w:rsidRPr="00766C2B">
        <w:rPr>
          <w:sz w:val="24"/>
          <w:szCs w:val="24"/>
        </w:rPr>
        <w:t xml:space="preserve">, balancing </w:t>
      </w:r>
      <w:r w:rsidR="008262D9" w:rsidRPr="00766C2B">
        <w:rPr>
          <w:sz w:val="24"/>
          <w:szCs w:val="24"/>
        </w:rPr>
        <w:t xml:space="preserve">the </w:t>
      </w:r>
      <w:r w:rsidR="00E1011B" w:rsidRPr="00766C2B">
        <w:rPr>
          <w:sz w:val="24"/>
          <w:szCs w:val="24"/>
        </w:rPr>
        <w:t>numbers of high</w:t>
      </w:r>
      <w:r w:rsidR="00FB464E" w:rsidRPr="00766C2B">
        <w:rPr>
          <w:sz w:val="24"/>
          <w:szCs w:val="24"/>
        </w:rPr>
        <w:t>-</w:t>
      </w:r>
      <w:r w:rsidR="00E1011B" w:rsidRPr="00766C2B">
        <w:rPr>
          <w:sz w:val="24"/>
          <w:szCs w:val="24"/>
        </w:rPr>
        <w:t xml:space="preserve"> and low</w:t>
      </w:r>
      <w:r w:rsidR="00FB464E" w:rsidRPr="00766C2B">
        <w:rPr>
          <w:sz w:val="24"/>
          <w:szCs w:val="24"/>
        </w:rPr>
        <w:t>-negativity</w:t>
      </w:r>
      <w:r w:rsidR="00E1011B" w:rsidRPr="00766C2B">
        <w:rPr>
          <w:sz w:val="24"/>
          <w:szCs w:val="24"/>
        </w:rPr>
        <w:t xml:space="preserve"> statements in each block</w:t>
      </w:r>
      <w:r w:rsidR="00460F65" w:rsidRPr="00766C2B">
        <w:rPr>
          <w:sz w:val="24"/>
          <w:szCs w:val="24"/>
        </w:rPr>
        <w:t xml:space="preserve"> and </w:t>
      </w:r>
      <w:r w:rsidR="00460F65" w:rsidRPr="00766C2B">
        <w:rPr>
          <w:rFonts w:eastAsia="Times New Roman"/>
          <w:sz w:val="24"/>
          <w:szCs w:val="24"/>
        </w:rPr>
        <w:t>assessed recall after each block of six statements.</w:t>
      </w:r>
    </w:p>
    <w:p w14:paraId="699BA004" w14:textId="623AD478" w:rsidR="001E4571" w:rsidRPr="00766C2B" w:rsidRDefault="00442CBD">
      <w:pPr>
        <w:spacing w:line="480" w:lineRule="auto"/>
        <w:rPr>
          <w:i/>
        </w:rPr>
      </w:pPr>
      <w:r w:rsidRPr="00766C2B">
        <w:rPr>
          <w:i/>
        </w:rPr>
        <w:t>Randomisation</w:t>
      </w:r>
    </w:p>
    <w:p w14:paraId="02CA7301" w14:textId="75FC9930" w:rsidR="00442CBD" w:rsidRPr="00766C2B" w:rsidRDefault="00C32AA6" w:rsidP="003756C6">
      <w:pPr>
        <w:spacing w:line="480" w:lineRule="auto"/>
        <w:ind w:firstLine="720"/>
      </w:pPr>
      <w:r w:rsidRPr="00766C2B">
        <w:t>The third author carried out p</w:t>
      </w:r>
      <w:r w:rsidR="00364E4F" w:rsidRPr="00766C2B">
        <w:t>articipant r</w:t>
      </w:r>
      <w:r w:rsidR="00442CBD" w:rsidRPr="00766C2B">
        <w:t>andomi</w:t>
      </w:r>
      <w:r w:rsidR="00CA331B" w:rsidRPr="00766C2B">
        <w:t>z</w:t>
      </w:r>
      <w:r w:rsidR="00442CBD" w:rsidRPr="00766C2B">
        <w:t xml:space="preserve">ation in blocks of </w:t>
      </w:r>
      <w:r w:rsidRPr="00766C2B">
        <w:t xml:space="preserve">10 </w:t>
      </w:r>
      <w:r w:rsidR="00442CBD" w:rsidRPr="00766C2B">
        <w:t>using a random number generator</w:t>
      </w:r>
      <w:r w:rsidR="00A00DCD" w:rsidRPr="00766C2B">
        <w:t>,</w:t>
      </w:r>
      <w:r w:rsidR="00442CBD" w:rsidRPr="00766C2B">
        <w:t xml:space="preserve"> and with participants being assigned to one of two conditions. We used a sealed envelope procedure to ensure that allocation to condition</w:t>
      </w:r>
      <w:r w:rsidRPr="00766C2B">
        <w:t>s</w:t>
      </w:r>
      <w:r w:rsidR="00442CBD" w:rsidRPr="00766C2B">
        <w:t xml:space="preserve"> was concealed from the researchers (first and second authors) until after participants had entered into the study. </w:t>
      </w:r>
      <w:r w:rsidR="004F492B" w:rsidRPr="00766C2B">
        <w:t>W</w:t>
      </w:r>
      <w:r w:rsidR="00C16452" w:rsidRPr="00766C2B">
        <w:t xml:space="preserve">e </w:t>
      </w:r>
      <w:r w:rsidRPr="00766C2B">
        <w:t xml:space="preserve">did not disclose </w:t>
      </w:r>
      <w:r w:rsidR="00442CBD" w:rsidRPr="00766C2B">
        <w:t>the hypothesis</w:t>
      </w:r>
      <w:r w:rsidR="004F492B" w:rsidRPr="00766C2B">
        <w:t xml:space="preserve"> to </w:t>
      </w:r>
      <w:r w:rsidR="004F492B" w:rsidRPr="00766C2B">
        <w:lastRenderedPageBreak/>
        <w:t xml:space="preserve">participants, but </w:t>
      </w:r>
      <w:r w:rsidRPr="00766C2B">
        <w:t xml:space="preserve">simply </w:t>
      </w:r>
      <w:r w:rsidR="00442CBD" w:rsidRPr="00766C2B">
        <w:t>informed</w:t>
      </w:r>
      <w:r w:rsidRPr="00766C2B">
        <w:t xml:space="preserve"> them</w:t>
      </w:r>
      <w:r w:rsidR="00442CBD" w:rsidRPr="00766C2B">
        <w:t xml:space="preserve"> that the aim of the study was to explore how well information about dementia was retained. </w:t>
      </w:r>
    </w:p>
    <w:p w14:paraId="3F0771E2" w14:textId="77777777" w:rsidR="00442CBD" w:rsidRPr="00766C2B" w:rsidRDefault="00442CBD" w:rsidP="002935CF">
      <w:pPr>
        <w:spacing w:line="480" w:lineRule="auto"/>
      </w:pPr>
      <w:r w:rsidRPr="00766C2B">
        <w:rPr>
          <w:i/>
        </w:rPr>
        <w:t>Procedure</w:t>
      </w:r>
      <w:r w:rsidRPr="00766C2B">
        <w:t xml:space="preserve"> </w:t>
      </w:r>
    </w:p>
    <w:p w14:paraId="74788AC7" w14:textId="768DCA4F" w:rsidR="00720F74" w:rsidRPr="00766C2B" w:rsidRDefault="00C32AA6" w:rsidP="003756C6">
      <w:pPr>
        <w:spacing w:line="480" w:lineRule="auto"/>
        <w:ind w:firstLine="720"/>
      </w:pPr>
      <w:r w:rsidRPr="00766C2B">
        <w:t>We allocated p</w:t>
      </w:r>
      <w:r w:rsidR="00F04A2C" w:rsidRPr="00766C2B">
        <w:t xml:space="preserve">articipants to one of two conditions. In each condition, </w:t>
      </w:r>
      <w:r w:rsidR="00C64906" w:rsidRPr="00766C2B">
        <w:t>we read aloud</w:t>
      </w:r>
      <w:r w:rsidR="00C16452" w:rsidRPr="00766C2B">
        <w:t xml:space="preserve">, at a constant pace </w:t>
      </w:r>
      <w:r w:rsidR="00C64906" w:rsidRPr="00766C2B">
        <w:t xml:space="preserve">and </w:t>
      </w:r>
      <w:r w:rsidR="00C64906" w:rsidRPr="00766C2B">
        <w:rPr>
          <w:color w:val="000000"/>
        </w:rPr>
        <w:t>in identical order</w:t>
      </w:r>
      <w:r w:rsidR="00A00DCD" w:rsidRPr="00766C2B">
        <w:rPr>
          <w:color w:val="000000"/>
        </w:rPr>
        <w:t>,</w:t>
      </w:r>
      <w:r w:rsidR="00C64906" w:rsidRPr="00766C2B">
        <w:rPr>
          <w:color w:val="000000"/>
        </w:rPr>
        <w:t xml:space="preserve"> </w:t>
      </w:r>
      <w:r w:rsidR="00F04A2C" w:rsidRPr="00766C2B">
        <w:rPr>
          <w:color w:val="000000"/>
        </w:rPr>
        <w:t xml:space="preserve">24 statements </w:t>
      </w:r>
      <w:r w:rsidR="00C64906" w:rsidRPr="00766C2B">
        <w:rPr>
          <w:color w:val="000000"/>
        </w:rPr>
        <w:t>that</w:t>
      </w:r>
      <w:r w:rsidR="00F04A2C" w:rsidRPr="00766C2B">
        <w:rPr>
          <w:color w:val="000000"/>
        </w:rPr>
        <w:t xml:space="preserve"> differed </w:t>
      </w:r>
      <w:r w:rsidR="00F04A2C" w:rsidRPr="00766C2B">
        <w:t>only in wording</w:t>
      </w:r>
      <w:r w:rsidR="006B12F6" w:rsidRPr="00766C2B">
        <w:t xml:space="preserve"> (see Appendix 1)</w:t>
      </w:r>
      <w:r w:rsidR="00F04A2C" w:rsidRPr="00766C2B">
        <w:t>.</w:t>
      </w:r>
      <w:r w:rsidR="00C64906" w:rsidRPr="00766C2B">
        <w:t xml:space="preserve"> </w:t>
      </w:r>
      <w:r w:rsidR="00C16452" w:rsidRPr="00766C2B">
        <w:t xml:space="preserve">The order in which the statements were read was fixed and identical across conditions. </w:t>
      </w:r>
      <w:r w:rsidR="00C64906" w:rsidRPr="00766C2B">
        <w:t>Specifically, i</w:t>
      </w:r>
      <w:r w:rsidR="00EF7F4F" w:rsidRPr="00766C2B">
        <w:t xml:space="preserve">n the self-referent </w:t>
      </w:r>
      <w:r w:rsidR="00937C1A" w:rsidRPr="00766C2B">
        <w:t>condition</w:t>
      </w:r>
      <w:r w:rsidR="00B75570" w:rsidRPr="00766C2B">
        <w:t>,</w:t>
      </w:r>
      <w:r w:rsidR="008262D9" w:rsidRPr="00766C2B">
        <w:t xml:space="preserve"> we instructed</w:t>
      </w:r>
      <w:r w:rsidR="00EF7F4F" w:rsidRPr="00766C2B">
        <w:t xml:space="preserve"> </w:t>
      </w:r>
      <w:r w:rsidR="001E0FB2" w:rsidRPr="00766C2B">
        <w:t xml:space="preserve">participants </w:t>
      </w:r>
      <w:r w:rsidR="009D3AED" w:rsidRPr="00766C2B">
        <w:t xml:space="preserve">to </w:t>
      </w:r>
      <w:r w:rsidR="00EF7F4F" w:rsidRPr="00766C2B">
        <w:t>“</w:t>
      </w:r>
      <w:r w:rsidR="00EF7F4F" w:rsidRPr="00766C2B">
        <w:rPr>
          <w:i/>
        </w:rPr>
        <w:t>Imagine that these descriptions relate to you</w:t>
      </w:r>
      <w:r w:rsidR="00AA69F6" w:rsidRPr="00766C2B">
        <w:t>,</w:t>
      </w:r>
      <w:r w:rsidR="00125093" w:rsidRPr="00766C2B">
        <w:t xml:space="preserve">” </w:t>
      </w:r>
      <w:r w:rsidR="00F04A2C" w:rsidRPr="00766C2B">
        <w:t>and</w:t>
      </w:r>
      <w:r w:rsidR="00C64906" w:rsidRPr="00766C2B">
        <w:t xml:space="preserve"> worded</w:t>
      </w:r>
      <w:r w:rsidR="00F04A2C" w:rsidRPr="00766C2B">
        <w:t xml:space="preserve"> </w:t>
      </w:r>
      <w:r w:rsidR="00C64906" w:rsidRPr="00766C2B">
        <w:t xml:space="preserve">the </w:t>
      </w:r>
      <w:r w:rsidR="00F04A2C" w:rsidRPr="00766C2B">
        <w:t xml:space="preserve">statements so that they applied to the participant </w:t>
      </w:r>
      <w:r w:rsidR="00F04A2C" w:rsidRPr="00766C2B">
        <w:rPr>
          <w:color w:val="000000"/>
        </w:rPr>
        <w:t xml:space="preserve">(e.g., </w:t>
      </w:r>
      <w:r w:rsidR="00F04A2C" w:rsidRPr="00766C2B">
        <w:t>“</w:t>
      </w:r>
      <w:r w:rsidR="00F04A2C" w:rsidRPr="00766C2B">
        <w:rPr>
          <w:i/>
          <w:color w:val="000000"/>
        </w:rPr>
        <w:t>The impact of the illness depends on your emotional resilience</w:t>
      </w:r>
      <w:r w:rsidR="00F04A2C" w:rsidRPr="00766C2B">
        <w:rPr>
          <w:color w:val="000000"/>
        </w:rPr>
        <w:t xml:space="preserve">”). In the </w:t>
      </w:r>
      <w:r w:rsidR="00AA7F8D" w:rsidRPr="00766C2B">
        <w:t>other</w:t>
      </w:r>
      <w:r w:rsidR="00EF7F4F" w:rsidRPr="00766C2B">
        <w:t>-referent condition</w:t>
      </w:r>
      <w:r w:rsidR="00B75570" w:rsidRPr="00766C2B">
        <w:t>,</w:t>
      </w:r>
      <w:r w:rsidR="009D3AED" w:rsidRPr="00766C2B">
        <w:t xml:space="preserve"> </w:t>
      </w:r>
      <w:r w:rsidR="008262D9" w:rsidRPr="00766C2B">
        <w:t>we</w:t>
      </w:r>
      <w:r w:rsidR="00260DA1" w:rsidRPr="00766C2B">
        <w:t xml:space="preserve"> </w:t>
      </w:r>
      <w:r w:rsidR="009D3AED" w:rsidRPr="00766C2B">
        <w:t xml:space="preserve">instructed </w:t>
      </w:r>
      <w:r w:rsidR="00F04A2C" w:rsidRPr="00766C2B">
        <w:t>participants</w:t>
      </w:r>
      <w:r w:rsidR="008262D9" w:rsidRPr="00766C2B">
        <w:t xml:space="preserve"> </w:t>
      </w:r>
      <w:r w:rsidR="00EF7F4F" w:rsidRPr="00766C2B">
        <w:t>to “</w:t>
      </w:r>
      <w:r w:rsidR="00EF7F4F" w:rsidRPr="00766C2B">
        <w:rPr>
          <w:i/>
        </w:rPr>
        <w:t>Imagine that the descriptions relate to a person named Chris</w:t>
      </w:r>
      <w:r w:rsidR="00EF7F4F" w:rsidRPr="00766C2B">
        <w:t>”</w:t>
      </w:r>
      <w:r w:rsidR="00F04A2C" w:rsidRPr="00766C2B">
        <w:t xml:space="preserve">, and </w:t>
      </w:r>
      <w:r w:rsidR="00C64906" w:rsidRPr="00766C2B">
        <w:t xml:space="preserve">worded </w:t>
      </w:r>
      <w:r w:rsidR="00010675" w:rsidRPr="00766C2B">
        <w:t xml:space="preserve">the </w:t>
      </w:r>
      <w:r w:rsidR="00535F7A" w:rsidRPr="00766C2B">
        <w:t xml:space="preserve">statements </w:t>
      </w:r>
      <w:r w:rsidR="00F04A2C" w:rsidRPr="00766C2B">
        <w:t xml:space="preserve">so that they applied to another person </w:t>
      </w:r>
      <w:r w:rsidR="00010675" w:rsidRPr="00766C2B">
        <w:rPr>
          <w:color w:val="000000"/>
        </w:rPr>
        <w:t>(</w:t>
      </w:r>
      <w:r w:rsidR="007A5AE1" w:rsidRPr="00766C2B">
        <w:rPr>
          <w:color w:val="000000"/>
        </w:rPr>
        <w:t xml:space="preserve">e.g., </w:t>
      </w:r>
      <w:r w:rsidR="00535F7A" w:rsidRPr="00766C2B">
        <w:rPr>
          <w:color w:val="000000"/>
        </w:rPr>
        <w:t>“</w:t>
      </w:r>
      <w:r w:rsidR="00535F7A" w:rsidRPr="00766C2B">
        <w:rPr>
          <w:i/>
          <w:color w:val="000000"/>
        </w:rPr>
        <w:t>The impact of the illness depends on Chris’ emotional resilience</w:t>
      </w:r>
      <w:r w:rsidR="00535F7A" w:rsidRPr="00766C2B">
        <w:rPr>
          <w:color w:val="000000"/>
        </w:rPr>
        <w:t xml:space="preserve">”). </w:t>
      </w:r>
      <w:r w:rsidR="00F04A2C" w:rsidRPr="00766C2B">
        <w:rPr>
          <w:color w:val="000000"/>
        </w:rPr>
        <w:t xml:space="preserve">In the </w:t>
      </w:r>
      <w:r w:rsidR="00C64906" w:rsidRPr="00766C2B">
        <w:rPr>
          <w:color w:val="000000"/>
        </w:rPr>
        <w:t xml:space="preserve">rare </w:t>
      </w:r>
      <w:r w:rsidR="00F04A2C" w:rsidRPr="00766C2B">
        <w:rPr>
          <w:color w:val="000000"/>
        </w:rPr>
        <w:t xml:space="preserve">event of participants being named Chris or having a close relative with this name, we used another </w:t>
      </w:r>
      <w:r w:rsidR="00B75570" w:rsidRPr="00766C2B">
        <w:rPr>
          <w:color w:val="000000"/>
        </w:rPr>
        <w:t>gender-</w:t>
      </w:r>
      <w:r w:rsidR="00F04A2C" w:rsidRPr="00766C2B">
        <w:rPr>
          <w:color w:val="000000"/>
        </w:rPr>
        <w:t>neutral name (</w:t>
      </w:r>
      <w:r w:rsidR="00C64906" w:rsidRPr="00766C2B">
        <w:rPr>
          <w:color w:val="000000"/>
        </w:rPr>
        <w:t xml:space="preserve">i.e., </w:t>
      </w:r>
      <w:r w:rsidR="00F04A2C" w:rsidRPr="00766C2B">
        <w:rPr>
          <w:color w:val="000000"/>
        </w:rPr>
        <w:t xml:space="preserve">Jo). </w:t>
      </w:r>
      <w:r w:rsidR="00C16452" w:rsidRPr="00766C2B">
        <w:rPr>
          <w:color w:val="000000"/>
        </w:rPr>
        <w:t xml:space="preserve">Participants responded </w:t>
      </w:r>
      <w:r w:rsidR="00A00DCD" w:rsidRPr="00766C2B">
        <w:rPr>
          <w:color w:val="000000"/>
        </w:rPr>
        <w:t>verbally, and with no temporal</w:t>
      </w:r>
      <w:r w:rsidR="00C16452" w:rsidRPr="00766C2B">
        <w:rPr>
          <w:color w:val="000000"/>
        </w:rPr>
        <w:t xml:space="preserve"> </w:t>
      </w:r>
      <w:r w:rsidR="00A00DCD" w:rsidRPr="00766C2B">
        <w:rPr>
          <w:color w:val="000000"/>
        </w:rPr>
        <w:t>constraints</w:t>
      </w:r>
      <w:r w:rsidR="00C16452" w:rsidRPr="00766C2B">
        <w:rPr>
          <w:color w:val="000000"/>
        </w:rPr>
        <w:t>.</w:t>
      </w:r>
    </w:p>
    <w:p w14:paraId="71FB706D" w14:textId="77777777" w:rsidR="00C13CE1" w:rsidRPr="00766C2B" w:rsidRDefault="00C13CE1" w:rsidP="00C13CE1">
      <w:pPr>
        <w:spacing w:line="480" w:lineRule="auto"/>
        <w:jc w:val="center"/>
        <w:rPr>
          <w:i/>
        </w:rPr>
      </w:pPr>
      <w:r w:rsidRPr="00766C2B">
        <w:rPr>
          <w:i/>
        </w:rPr>
        <w:t>Results</w:t>
      </w:r>
    </w:p>
    <w:p w14:paraId="6852062E" w14:textId="4E3078BF" w:rsidR="006F6F68" w:rsidRPr="00766C2B" w:rsidRDefault="003E0B5D">
      <w:pPr>
        <w:pStyle w:val="Body1"/>
        <w:spacing w:line="480" w:lineRule="auto"/>
        <w:rPr>
          <w:rFonts w:ascii="Times New Roman" w:eastAsia="Times New Roman" w:hAnsi="Times New Roman"/>
          <w:i/>
          <w:iCs/>
          <w:szCs w:val="24"/>
        </w:rPr>
      </w:pPr>
      <w:r w:rsidRPr="00766C2B">
        <w:rPr>
          <w:rFonts w:ascii="Times New Roman" w:eastAsia="Times New Roman" w:hAnsi="Times New Roman"/>
          <w:i/>
          <w:iCs/>
          <w:szCs w:val="24"/>
        </w:rPr>
        <w:t xml:space="preserve">Data </w:t>
      </w:r>
      <w:r w:rsidR="0030087A" w:rsidRPr="00766C2B">
        <w:rPr>
          <w:rFonts w:ascii="Times New Roman" w:eastAsia="Times New Roman" w:hAnsi="Times New Roman"/>
          <w:i/>
          <w:iCs/>
          <w:szCs w:val="24"/>
        </w:rPr>
        <w:t>Analysis</w:t>
      </w:r>
    </w:p>
    <w:p w14:paraId="7B8BA9B2" w14:textId="7B2D69E5" w:rsidR="00F56CCB" w:rsidRPr="00766C2B" w:rsidRDefault="0030087A" w:rsidP="003756C6">
      <w:pPr>
        <w:pStyle w:val="PlainText"/>
        <w:spacing w:line="480" w:lineRule="auto"/>
        <w:ind w:firstLine="720"/>
        <w:rPr>
          <w:rFonts w:ascii="Times New Roman" w:eastAsia="Times New Roman" w:hAnsi="Times New Roman"/>
          <w:iCs/>
          <w:sz w:val="24"/>
          <w:szCs w:val="24"/>
        </w:rPr>
      </w:pPr>
      <w:r w:rsidRPr="00766C2B">
        <w:rPr>
          <w:rFonts w:ascii="Times New Roman" w:eastAsia="Times New Roman" w:hAnsi="Times New Roman"/>
          <w:iCs/>
          <w:sz w:val="24"/>
          <w:szCs w:val="24"/>
        </w:rPr>
        <w:t>W</w:t>
      </w:r>
      <w:r w:rsidR="00F56CCB" w:rsidRPr="00766C2B">
        <w:rPr>
          <w:rFonts w:ascii="Times New Roman" w:eastAsia="Times New Roman" w:hAnsi="Times New Roman"/>
          <w:iCs/>
          <w:sz w:val="24"/>
          <w:szCs w:val="24"/>
        </w:rPr>
        <w:t xml:space="preserve">e </w:t>
      </w:r>
      <w:r w:rsidR="00C13CE1" w:rsidRPr="00766C2B">
        <w:rPr>
          <w:rFonts w:ascii="Times New Roman" w:eastAsia="Times New Roman" w:hAnsi="Times New Roman"/>
          <w:iCs/>
          <w:sz w:val="24"/>
          <w:szCs w:val="24"/>
        </w:rPr>
        <w:t xml:space="preserve">omitted data from </w:t>
      </w:r>
      <w:r w:rsidR="00F56CCB" w:rsidRPr="00766C2B">
        <w:rPr>
          <w:rFonts w:ascii="Times New Roman" w:eastAsia="Times New Roman" w:hAnsi="Times New Roman"/>
          <w:iCs/>
          <w:sz w:val="24"/>
          <w:szCs w:val="24"/>
        </w:rPr>
        <w:t>an</w:t>
      </w:r>
      <w:r w:rsidR="00C13CE1" w:rsidRPr="00766C2B">
        <w:rPr>
          <w:rFonts w:ascii="Times New Roman" w:eastAsia="Times New Roman" w:hAnsi="Times New Roman"/>
          <w:iCs/>
          <w:sz w:val="24"/>
          <w:szCs w:val="24"/>
        </w:rPr>
        <w:t xml:space="preserve"> </w:t>
      </w:r>
      <w:r w:rsidR="00F56CCB" w:rsidRPr="00766C2B">
        <w:rPr>
          <w:rFonts w:ascii="Times New Roman" w:eastAsia="Times New Roman" w:hAnsi="Times New Roman"/>
          <w:iCs/>
          <w:sz w:val="24"/>
          <w:szCs w:val="24"/>
        </w:rPr>
        <w:t xml:space="preserve">older participant, as errors in completing the Case Record Form prohibited us from being able to </w:t>
      </w:r>
      <w:r w:rsidR="00C13CE1" w:rsidRPr="00766C2B">
        <w:rPr>
          <w:rFonts w:ascii="Times New Roman" w:eastAsia="Times New Roman" w:hAnsi="Times New Roman"/>
          <w:iCs/>
          <w:sz w:val="24"/>
          <w:szCs w:val="24"/>
        </w:rPr>
        <w:t>confirm</w:t>
      </w:r>
      <w:r w:rsidR="00F56CCB" w:rsidRPr="00766C2B">
        <w:rPr>
          <w:rFonts w:ascii="Times New Roman" w:eastAsia="Times New Roman" w:hAnsi="Times New Roman"/>
          <w:iCs/>
          <w:sz w:val="24"/>
          <w:szCs w:val="24"/>
        </w:rPr>
        <w:t xml:space="preserve"> that they had received proper instructions (i.e., instructions corresponding to the allocated other-referent condition).</w:t>
      </w:r>
      <w:r w:rsidR="00C13CE1" w:rsidRPr="00766C2B">
        <w:rPr>
          <w:rFonts w:ascii="Times New Roman" w:eastAsia="Times New Roman" w:hAnsi="Times New Roman"/>
          <w:iCs/>
          <w:sz w:val="24"/>
          <w:szCs w:val="24"/>
        </w:rPr>
        <w:t xml:space="preserve"> </w:t>
      </w:r>
      <w:r w:rsidRPr="00766C2B">
        <w:rPr>
          <w:rFonts w:ascii="Times New Roman" w:eastAsia="Times New Roman" w:hAnsi="Times New Roman" w:cs="Times New Roman"/>
          <w:color w:val="201F1E"/>
          <w:sz w:val="24"/>
          <w:szCs w:val="24"/>
          <w:shd w:val="clear" w:color="auto" w:fill="FFFFFF"/>
        </w:rPr>
        <w:t>The a</w:t>
      </w:r>
      <w:r w:rsidRPr="00766C2B">
        <w:rPr>
          <w:rFonts w:ascii="Times New Roman" w:eastAsia="Times New Roman" w:hAnsi="Times New Roman" w:cs="Times New Roman"/>
          <w:color w:val="201F1E"/>
          <w:sz w:val="24"/>
          <w:szCs w:val="24"/>
          <w:bdr w:val="none" w:sz="0" w:space="0" w:color="auto" w:frame="1"/>
          <w:shd w:val="clear" w:color="auto" w:fill="FFFFFF"/>
        </w:rPr>
        <w:t>ge distribution was approximately bi-modal</w:t>
      </w:r>
      <w:r w:rsidR="000B2807" w:rsidRPr="00766C2B">
        <w:rPr>
          <w:rFonts w:ascii="Times New Roman" w:eastAsia="Times New Roman" w:hAnsi="Times New Roman" w:cs="Times New Roman"/>
          <w:color w:val="201F1E"/>
          <w:sz w:val="24"/>
          <w:szCs w:val="24"/>
          <w:bdr w:val="none" w:sz="0" w:space="0" w:color="auto" w:frame="1"/>
          <w:shd w:val="clear" w:color="auto" w:fill="FFFFFF"/>
        </w:rPr>
        <w:t>:</w:t>
      </w:r>
      <w:r w:rsidRPr="00766C2B">
        <w:rPr>
          <w:rFonts w:ascii="Times New Roman" w:eastAsia="Times New Roman" w:hAnsi="Times New Roman" w:cs="Times New Roman"/>
          <w:color w:val="201F1E"/>
          <w:sz w:val="24"/>
          <w:szCs w:val="24"/>
          <w:bdr w:val="none" w:sz="0" w:space="0" w:color="auto" w:frame="1"/>
          <w:shd w:val="clear" w:color="auto" w:fill="FFFFFF"/>
        </w:rPr>
        <w:t xml:space="preserve"> </w:t>
      </w:r>
      <w:r w:rsidR="00B76657" w:rsidRPr="00766C2B">
        <w:rPr>
          <w:rFonts w:ascii="Times New Roman" w:eastAsia="Times New Roman" w:hAnsi="Times New Roman" w:cs="Times New Roman"/>
          <w:color w:val="201F1E"/>
          <w:sz w:val="24"/>
          <w:szCs w:val="24"/>
          <w:bdr w:val="none" w:sz="0" w:space="0" w:color="auto" w:frame="1"/>
          <w:shd w:val="clear" w:color="auto" w:fill="FFFFFF"/>
        </w:rPr>
        <w:t xml:space="preserve">of the 103 participants, 41 </w:t>
      </w:r>
      <w:r w:rsidR="000B2807" w:rsidRPr="00766C2B">
        <w:rPr>
          <w:rFonts w:ascii="Times New Roman" w:eastAsia="Times New Roman" w:hAnsi="Times New Roman" w:cs="Times New Roman"/>
          <w:color w:val="201F1E"/>
          <w:sz w:val="24"/>
          <w:szCs w:val="24"/>
          <w:bdr w:val="none" w:sz="0" w:space="0" w:color="auto" w:frame="1"/>
          <w:shd w:val="clear" w:color="auto" w:fill="FFFFFF"/>
        </w:rPr>
        <w:t xml:space="preserve">were </w:t>
      </w:r>
      <w:r w:rsidRPr="00766C2B">
        <w:rPr>
          <w:rFonts w:ascii="Times New Roman" w:eastAsia="Times New Roman" w:hAnsi="Times New Roman" w:cs="Times New Roman"/>
          <w:color w:val="201F1E"/>
          <w:sz w:val="24"/>
          <w:szCs w:val="24"/>
          <w:bdr w:val="none" w:sz="0" w:space="0" w:color="auto" w:frame="1"/>
          <w:shd w:val="clear" w:color="auto" w:fill="FFFFFF"/>
        </w:rPr>
        <w:t>age</w:t>
      </w:r>
      <w:r w:rsidR="0089081C" w:rsidRPr="00766C2B">
        <w:rPr>
          <w:rFonts w:ascii="Times New Roman" w:eastAsia="Times New Roman" w:hAnsi="Times New Roman" w:cs="Times New Roman"/>
          <w:color w:val="201F1E"/>
          <w:sz w:val="24"/>
          <w:szCs w:val="24"/>
          <w:bdr w:val="none" w:sz="0" w:space="0" w:color="auto" w:frame="1"/>
          <w:shd w:val="clear" w:color="auto" w:fill="FFFFFF"/>
        </w:rPr>
        <w:t>d</w:t>
      </w:r>
      <w:r w:rsidRPr="00766C2B">
        <w:rPr>
          <w:rFonts w:ascii="Times New Roman" w:eastAsia="Times New Roman" w:hAnsi="Times New Roman" w:cs="Times New Roman"/>
          <w:color w:val="201F1E"/>
          <w:sz w:val="24"/>
          <w:szCs w:val="24"/>
          <w:bdr w:val="none" w:sz="0" w:space="0" w:color="auto" w:frame="1"/>
          <w:shd w:val="clear" w:color="auto" w:fill="FFFFFF"/>
        </w:rPr>
        <w:t xml:space="preserve"> 25</w:t>
      </w:r>
      <w:r w:rsidR="0089081C" w:rsidRPr="00766C2B">
        <w:rPr>
          <w:rFonts w:ascii="Times New Roman" w:eastAsia="Times New Roman" w:hAnsi="Times New Roman" w:cs="Times New Roman"/>
          <w:color w:val="201F1E"/>
          <w:sz w:val="24"/>
          <w:szCs w:val="24"/>
          <w:bdr w:val="none" w:sz="0" w:space="0" w:color="auto" w:frame="1"/>
          <w:shd w:val="clear" w:color="auto" w:fill="FFFFFF"/>
        </w:rPr>
        <w:t xml:space="preserve"> or under</w:t>
      </w:r>
      <w:r w:rsidRPr="00766C2B">
        <w:rPr>
          <w:rFonts w:ascii="Times New Roman" w:eastAsia="Times New Roman" w:hAnsi="Times New Roman" w:cs="Times New Roman"/>
          <w:color w:val="201F1E"/>
          <w:sz w:val="24"/>
          <w:szCs w:val="24"/>
          <w:bdr w:val="none" w:sz="0" w:space="0" w:color="auto" w:frame="1"/>
          <w:shd w:val="clear" w:color="auto" w:fill="FFFFFF"/>
        </w:rPr>
        <w:t xml:space="preserve">, </w:t>
      </w:r>
      <w:r w:rsidR="00B76657" w:rsidRPr="00766C2B">
        <w:rPr>
          <w:rFonts w:ascii="Times New Roman" w:eastAsia="Times New Roman" w:hAnsi="Times New Roman" w:cs="Times New Roman"/>
          <w:color w:val="201F1E"/>
          <w:sz w:val="24"/>
          <w:szCs w:val="24"/>
          <w:bdr w:val="none" w:sz="0" w:space="0" w:color="auto" w:frame="1"/>
          <w:shd w:val="clear" w:color="auto" w:fill="FFFFFF"/>
        </w:rPr>
        <w:t>44</w:t>
      </w:r>
      <w:r w:rsidRPr="00766C2B">
        <w:rPr>
          <w:rFonts w:ascii="Times New Roman" w:eastAsia="Times New Roman" w:hAnsi="Times New Roman" w:cs="Times New Roman"/>
          <w:color w:val="201F1E"/>
          <w:sz w:val="24"/>
          <w:szCs w:val="24"/>
          <w:bdr w:val="none" w:sz="0" w:space="0" w:color="auto" w:frame="1"/>
          <w:shd w:val="clear" w:color="auto" w:fill="FFFFFF"/>
        </w:rPr>
        <w:t xml:space="preserve"> </w:t>
      </w:r>
      <w:r w:rsidR="00BA537A" w:rsidRPr="00766C2B">
        <w:rPr>
          <w:rFonts w:ascii="Times New Roman" w:eastAsia="Times New Roman" w:hAnsi="Times New Roman" w:cs="Times New Roman"/>
          <w:color w:val="201F1E"/>
          <w:sz w:val="24"/>
          <w:szCs w:val="24"/>
          <w:bdr w:val="none" w:sz="0" w:space="0" w:color="auto" w:frame="1"/>
          <w:shd w:val="clear" w:color="auto" w:fill="FFFFFF"/>
        </w:rPr>
        <w:t xml:space="preserve">were </w:t>
      </w:r>
      <w:r w:rsidRPr="00766C2B">
        <w:rPr>
          <w:rFonts w:ascii="Times New Roman" w:eastAsia="Times New Roman" w:hAnsi="Times New Roman" w:cs="Times New Roman"/>
          <w:color w:val="201F1E"/>
          <w:sz w:val="24"/>
          <w:szCs w:val="24"/>
          <w:bdr w:val="none" w:sz="0" w:space="0" w:color="auto" w:frame="1"/>
          <w:shd w:val="clear" w:color="auto" w:fill="FFFFFF"/>
        </w:rPr>
        <w:t xml:space="preserve">over the age of 50, and </w:t>
      </w:r>
      <w:r w:rsidR="000B2807" w:rsidRPr="00766C2B">
        <w:rPr>
          <w:rFonts w:ascii="Times New Roman" w:eastAsia="Times New Roman" w:hAnsi="Times New Roman" w:cs="Times New Roman"/>
          <w:color w:val="201F1E"/>
          <w:sz w:val="24"/>
          <w:szCs w:val="24"/>
          <w:bdr w:val="none" w:sz="0" w:space="0" w:color="auto" w:frame="1"/>
          <w:shd w:val="clear" w:color="auto" w:fill="FFFFFF"/>
        </w:rPr>
        <w:t xml:space="preserve">only </w:t>
      </w:r>
      <w:r w:rsidRPr="00766C2B">
        <w:rPr>
          <w:rFonts w:ascii="Times New Roman" w:eastAsia="Times New Roman" w:hAnsi="Times New Roman" w:cs="Times New Roman"/>
          <w:color w:val="201F1E"/>
          <w:sz w:val="24"/>
          <w:szCs w:val="24"/>
          <w:bdr w:val="none" w:sz="0" w:space="0" w:color="auto" w:frame="1"/>
          <w:shd w:val="clear" w:color="auto" w:fill="FFFFFF"/>
        </w:rPr>
        <w:t>1</w:t>
      </w:r>
      <w:r w:rsidR="0089081C" w:rsidRPr="00766C2B">
        <w:rPr>
          <w:rFonts w:ascii="Times New Roman" w:eastAsia="Times New Roman" w:hAnsi="Times New Roman" w:cs="Times New Roman"/>
          <w:color w:val="201F1E"/>
          <w:sz w:val="24"/>
          <w:szCs w:val="24"/>
          <w:bdr w:val="none" w:sz="0" w:space="0" w:color="auto" w:frame="1"/>
          <w:shd w:val="clear" w:color="auto" w:fill="FFFFFF"/>
        </w:rPr>
        <w:t>8</w:t>
      </w:r>
      <w:r w:rsidRPr="00766C2B">
        <w:rPr>
          <w:rFonts w:ascii="Times New Roman" w:eastAsia="Times New Roman" w:hAnsi="Times New Roman" w:cs="Times New Roman"/>
          <w:color w:val="201F1E"/>
          <w:sz w:val="24"/>
          <w:szCs w:val="24"/>
          <w:bdr w:val="none" w:sz="0" w:space="0" w:color="auto" w:frame="1"/>
          <w:shd w:val="clear" w:color="auto" w:fill="FFFFFF"/>
        </w:rPr>
        <w:t xml:space="preserve"> </w:t>
      </w:r>
      <w:r w:rsidR="00BA537A" w:rsidRPr="00766C2B">
        <w:rPr>
          <w:rFonts w:ascii="Times New Roman" w:eastAsia="Times New Roman" w:hAnsi="Times New Roman" w:cs="Times New Roman"/>
          <w:color w:val="201F1E"/>
          <w:sz w:val="24"/>
          <w:szCs w:val="24"/>
          <w:bdr w:val="none" w:sz="0" w:space="0" w:color="auto" w:frame="1"/>
          <w:shd w:val="clear" w:color="auto" w:fill="FFFFFF"/>
        </w:rPr>
        <w:t xml:space="preserve">fell </w:t>
      </w:r>
      <w:r w:rsidRPr="00766C2B">
        <w:rPr>
          <w:rFonts w:ascii="Times New Roman" w:eastAsia="Times New Roman" w:hAnsi="Times New Roman" w:cs="Times New Roman"/>
          <w:color w:val="201F1E"/>
          <w:sz w:val="24"/>
          <w:szCs w:val="24"/>
          <w:bdr w:val="none" w:sz="0" w:space="0" w:color="auto" w:frame="1"/>
          <w:shd w:val="clear" w:color="auto" w:fill="FFFFFF"/>
        </w:rPr>
        <w:t xml:space="preserve">in the intermediate 25-50 age bracket. </w:t>
      </w:r>
      <w:r w:rsidR="000B2807" w:rsidRPr="00766C2B">
        <w:rPr>
          <w:rFonts w:ascii="Times New Roman" w:eastAsia="Times New Roman" w:hAnsi="Times New Roman" w:cs="Times New Roman"/>
          <w:color w:val="201F1E"/>
          <w:sz w:val="24"/>
          <w:szCs w:val="24"/>
          <w:bdr w:val="none" w:sz="0" w:space="0" w:color="auto" w:frame="1"/>
          <w:shd w:val="clear" w:color="auto" w:fill="FFFFFF"/>
        </w:rPr>
        <w:t xml:space="preserve">We therefore proceeded to </w:t>
      </w:r>
      <w:r w:rsidRPr="00766C2B">
        <w:rPr>
          <w:rFonts w:ascii="Times New Roman" w:eastAsia="Times New Roman" w:hAnsi="Times New Roman" w:cs="Times New Roman"/>
          <w:color w:val="201F1E"/>
          <w:sz w:val="24"/>
          <w:szCs w:val="24"/>
          <w:bdr w:val="none" w:sz="0" w:space="0" w:color="auto" w:frame="1"/>
          <w:shd w:val="clear" w:color="auto" w:fill="FFFFFF"/>
        </w:rPr>
        <w:t xml:space="preserve">divide the sample into two age groups: </w:t>
      </w:r>
      <w:r w:rsidRPr="00766C2B">
        <w:rPr>
          <w:rFonts w:ascii="Times New Roman" w:eastAsia="Times New Roman" w:hAnsi="Times New Roman" w:cs="Times New Roman"/>
          <w:color w:val="201F1E"/>
          <w:sz w:val="24"/>
          <w:szCs w:val="24"/>
          <w:bdr w:val="none" w:sz="0" w:space="0" w:color="auto" w:frame="1"/>
          <w:shd w:val="clear" w:color="auto" w:fill="FFFFFF"/>
        </w:rPr>
        <w:lastRenderedPageBreak/>
        <w:t>younger adults (aged under 50 years) and older adults (aged 50 years</w:t>
      </w:r>
      <w:r w:rsidRPr="00766C2B">
        <w:rPr>
          <w:rFonts w:ascii="Segoe UI" w:eastAsia="Times New Roman" w:hAnsi="Segoe UI" w:cs="Segoe UI"/>
          <w:color w:val="201F1E"/>
          <w:sz w:val="24"/>
          <w:szCs w:val="24"/>
          <w:bdr w:val="none" w:sz="0" w:space="0" w:color="auto" w:frame="1"/>
          <w:shd w:val="clear" w:color="auto" w:fill="FFFFFF"/>
        </w:rPr>
        <w:t xml:space="preserve"> </w:t>
      </w:r>
      <w:r w:rsidRPr="00766C2B">
        <w:rPr>
          <w:rFonts w:ascii="Times New Roman" w:eastAsia="Times New Roman" w:hAnsi="Times New Roman" w:cs="Times New Roman"/>
          <w:color w:val="201F1E"/>
          <w:sz w:val="24"/>
          <w:szCs w:val="24"/>
          <w:bdr w:val="none" w:sz="0" w:space="0" w:color="auto" w:frame="1"/>
          <w:shd w:val="clear" w:color="auto" w:fill="FFFFFF"/>
        </w:rPr>
        <w:t>and over)</w:t>
      </w:r>
      <w:r w:rsidRPr="00766C2B">
        <w:rPr>
          <w:rFonts w:ascii="Times New Roman" w:hAnsi="Times New Roman" w:cs="Times New Roman"/>
          <w:sz w:val="24"/>
          <w:szCs w:val="24"/>
        </w:rPr>
        <w:t xml:space="preserve">. </w:t>
      </w:r>
      <w:r w:rsidR="00C13CE1" w:rsidRPr="00766C2B">
        <w:rPr>
          <w:rFonts w:ascii="Times New Roman" w:eastAsia="Times New Roman" w:hAnsi="Times New Roman"/>
          <w:iCs/>
          <w:sz w:val="24"/>
          <w:szCs w:val="24"/>
        </w:rPr>
        <w:t>In total</w:t>
      </w:r>
      <w:r w:rsidR="00150CD0" w:rsidRPr="00766C2B">
        <w:rPr>
          <w:rFonts w:ascii="Times New Roman" w:eastAsia="Times New Roman" w:hAnsi="Times New Roman"/>
          <w:iCs/>
          <w:sz w:val="24"/>
          <w:szCs w:val="24"/>
        </w:rPr>
        <w:t>,</w:t>
      </w:r>
      <w:r w:rsidR="00C13CE1" w:rsidRPr="00766C2B">
        <w:rPr>
          <w:rFonts w:ascii="Times New Roman" w:eastAsia="Times New Roman" w:hAnsi="Times New Roman"/>
          <w:iCs/>
          <w:sz w:val="24"/>
          <w:szCs w:val="24"/>
        </w:rPr>
        <w:t xml:space="preserve"> we analysed data for 4</w:t>
      </w:r>
      <w:r w:rsidR="000110CB" w:rsidRPr="00766C2B">
        <w:rPr>
          <w:rFonts w:ascii="Times New Roman" w:eastAsia="Times New Roman" w:hAnsi="Times New Roman"/>
          <w:iCs/>
          <w:sz w:val="24"/>
          <w:szCs w:val="24"/>
        </w:rPr>
        <w:t>4</w:t>
      </w:r>
      <w:r w:rsidR="00C13CE1" w:rsidRPr="00766C2B">
        <w:rPr>
          <w:rFonts w:ascii="Times New Roman" w:eastAsia="Times New Roman" w:hAnsi="Times New Roman"/>
          <w:iCs/>
          <w:sz w:val="24"/>
          <w:szCs w:val="24"/>
        </w:rPr>
        <w:t xml:space="preserve"> </w:t>
      </w:r>
      <w:r w:rsidR="00C13CE1" w:rsidRPr="00766C2B">
        <w:rPr>
          <w:rFonts w:ascii="Times New Roman" w:hAnsi="Times New Roman"/>
          <w:sz w:val="24"/>
          <w:szCs w:val="24"/>
        </w:rPr>
        <w:t>older and 59 younger participants.</w:t>
      </w:r>
      <w:r w:rsidR="00442CBD" w:rsidRPr="00766C2B">
        <w:rPr>
          <w:rFonts w:ascii="Times New Roman" w:hAnsi="Times New Roman"/>
          <w:sz w:val="24"/>
          <w:szCs w:val="24"/>
        </w:rPr>
        <w:t xml:space="preserve"> </w:t>
      </w:r>
    </w:p>
    <w:p w14:paraId="000C99E2" w14:textId="7B5CA71A" w:rsidR="00F87443" w:rsidRPr="00766C2B" w:rsidRDefault="009359C3">
      <w:pPr>
        <w:pStyle w:val="Body1"/>
        <w:spacing w:line="480" w:lineRule="auto"/>
        <w:rPr>
          <w:rFonts w:ascii="Times New Roman" w:hAnsi="Times New Roman"/>
          <w:i/>
          <w:szCs w:val="24"/>
        </w:rPr>
      </w:pPr>
      <w:r w:rsidRPr="00766C2B">
        <w:rPr>
          <w:rFonts w:ascii="Times New Roman" w:hAnsi="Times New Roman"/>
          <w:i/>
          <w:szCs w:val="24"/>
        </w:rPr>
        <w:t xml:space="preserve">Sample </w:t>
      </w:r>
      <w:r w:rsidR="00F87443" w:rsidRPr="00766C2B">
        <w:rPr>
          <w:rFonts w:ascii="Times New Roman" w:hAnsi="Times New Roman"/>
          <w:i/>
          <w:szCs w:val="24"/>
        </w:rPr>
        <w:t>C</w:t>
      </w:r>
      <w:r w:rsidRPr="00766C2B">
        <w:rPr>
          <w:rFonts w:ascii="Times New Roman" w:hAnsi="Times New Roman"/>
          <w:i/>
          <w:szCs w:val="24"/>
        </w:rPr>
        <w:t xml:space="preserve">haracteristics and </w:t>
      </w:r>
      <w:r w:rsidR="00F87443" w:rsidRPr="00766C2B">
        <w:rPr>
          <w:rFonts w:ascii="Times New Roman" w:hAnsi="Times New Roman"/>
          <w:i/>
          <w:szCs w:val="24"/>
        </w:rPr>
        <w:t>D</w:t>
      </w:r>
      <w:r w:rsidRPr="00766C2B">
        <w:rPr>
          <w:rFonts w:ascii="Times New Roman" w:hAnsi="Times New Roman"/>
          <w:i/>
          <w:szCs w:val="24"/>
        </w:rPr>
        <w:t xml:space="preserve">emographic </w:t>
      </w:r>
      <w:r w:rsidR="00F87443" w:rsidRPr="00766C2B">
        <w:rPr>
          <w:rFonts w:ascii="Times New Roman" w:hAnsi="Times New Roman"/>
          <w:i/>
          <w:szCs w:val="24"/>
        </w:rPr>
        <w:t>V</w:t>
      </w:r>
      <w:r w:rsidRPr="00766C2B">
        <w:rPr>
          <w:rFonts w:ascii="Times New Roman" w:hAnsi="Times New Roman"/>
          <w:i/>
          <w:szCs w:val="24"/>
        </w:rPr>
        <w:t>ariables</w:t>
      </w:r>
    </w:p>
    <w:p w14:paraId="17A66859" w14:textId="38AFE3F8" w:rsidR="009359C3" w:rsidRPr="00766C2B" w:rsidRDefault="003756C6" w:rsidP="003756C6">
      <w:pPr>
        <w:pStyle w:val="Body1"/>
        <w:spacing w:line="480" w:lineRule="auto"/>
        <w:ind w:firstLine="720"/>
        <w:rPr>
          <w:rFonts w:ascii="Times New Roman" w:hAnsi="Times New Roman"/>
          <w:szCs w:val="24"/>
        </w:rPr>
      </w:pPr>
      <w:r w:rsidRPr="00766C2B">
        <w:rPr>
          <w:rFonts w:ascii="Times New Roman" w:hAnsi="Times New Roman"/>
          <w:szCs w:val="24"/>
        </w:rPr>
        <w:t xml:space="preserve">We </w:t>
      </w:r>
      <w:r w:rsidR="008946C9" w:rsidRPr="00766C2B">
        <w:rPr>
          <w:rFonts w:ascii="Times New Roman" w:hAnsi="Times New Roman"/>
          <w:szCs w:val="24"/>
        </w:rPr>
        <w:t xml:space="preserve">did not </w:t>
      </w:r>
      <w:r w:rsidRPr="00766C2B">
        <w:rPr>
          <w:rFonts w:ascii="Times New Roman" w:hAnsi="Times New Roman"/>
          <w:szCs w:val="24"/>
        </w:rPr>
        <w:t xml:space="preserve">observe </w:t>
      </w:r>
      <w:r w:rsidR="008946C9" w:rsidRPr="00766C2B">
        <w:rPr>
          <w:rFonts w:ascii="Times New Roman" w:hAnsi="Times New Roman"/>
          <w:szCs w:val="24"/>
        </w:rPr>
        <w:t>any</w:t>
      </w:r>
      <w:r w:rsidRPr="00766C2B">
        <w:rPr>
          <w:rFonts w:ascii="Times New Roman" w:hAnsi="Times New Roman"/>
          <w:szCs w:val="24"/>
        </w:rPr>
        <w:t xml:space="preserve"> condition (self vs. other) difference</w:t>
      </w:r>
      <w:r w:rsidR="008946C9" w:rsidRPr="00766C2B">
        <w:rPr>
          <w:rFonts w:ascii="Times New Roman" w:hAnsi="Times New Roman"/>
          <w:szCs w:val="24"/>
        </w:rPr>
        <w:t>s</w:t>
      </w:r>
      <w:r w:rsidRPr="00766C2B">
        <w:rPr>
          <w:rFonts w:ascii="Times New Roman" w:hAnsi="Times New Roman"/>
          <w:szCs w:val="24"/>
        </w:rPr>
        <w:t xml:space="preserve"> between</w:t>
      </w:r>
      <w:r w:rsidR="00D435D5" w:rsidRPr="00766C2B">
        <w:rPr>
          <w:rFonts w:ascii="Times New Roman" w:hAnsi="Times New Roman"/>
          <w:szCs w:val="24"/>
        </w:rPr>
        <w:t xml:space="preserve"> older and younger </w:t>
      </w:r>
      <w:r w:rsidRPr="00766C2B">
        <w:rPr>
          <w:rFonts w:ascii="Times New Roman" w:hAnsi="Times New Roman"/>
          <w:szCs w:val="24"/>
        </w:rPr>
        <w:t xml:space="preserve">adults on </w:t>
      </w:r>
      <w:r w:rsidR="009359C3" w:rsidRPr="00766C2B">
        <w:rPr>
          <w:rFonts w:ascii="Times New Roman" w:hAnsi="Times New Roman"/>
          <w:szCs w:val="24"/>
        </w:rPr>
        <w:t xml:space="preserve">recruitment method, </w:t>
      </w:r>
      <w:r w:rsidR="00A64379" w:rsidRPr="00766C2B">
        <w:rPr>
          <w:rFonts w:ascii="Times New Roman" w:hAnsi="Times New Roman"/>
          <w:szCs w:val="24"/>
        </w:rPr>
        <w:t>sex</w:t>
      </w:r>
      <w:r w:rsidR="009359C3" w:rsidRPr="00766C2B">
        <w:rPr>
          <w:rFonts w:ascii="Times New Roman" w:hAnsi="Times New Roman"/>
          <w:szCs w:val="24"/>
        </w:rPr>
        <w:t xml:space="preserve">, age, anxiety (GAI), depression (GDS), </w:t>
      </w:r>
      <w:r w:rsidRPr="00766C2B">
        <w:rPr>
          <w:rFonts w:ascii="Times New Roman" w:hAnsi="Times New Roman"/>
          <w:szCs w:val="24"/>
        </w:rPr>
        <w:t xml:space="preserve">and </w:t>
      </w:r>
      <w:r w:rsidR="00A64379" w:rsidRPr="00766C2B">
        <w:rPr>
          <w:rFonts w:ascii="Times New Roman" w:hAnsi="Times New Roman"/>
          <w:szCs w:val="24"/>
        </w:rPr>
        <w:t>cognitive status (M</w:t>
      </w:r>
      <w:r w:rsidR="007B165D" w:rsidRPr="00766C2B">
        <w:rPr>
          <w:rFonts w:ascii="Times New Roman" w:hAnsi="Times New Roman"/>
          <w:szCs w:val="24"/>
        </w:rPr>
        <w:t>o</w:t>
      </w:r>
      <w:r w:rsidR="00A64379" w:rsidRPr="00766C2B">
        <w:rPr>
          <w:rFonts w:ascii="Times New Roman" w:hAnsi="Times New Roman"/>
          <w:szCs w:val="24"/>
        </w:rPr>
        <w:t>CA)</w:t>
      </w:r>
      <w:r w:rsidR="002D447E" w:rsidRPr="00766C2B">
        <w:rPr>
          <w:rFonts w:ascii="Times New Roman" w:hAnsi="Times New Roman"/>
          <w:szCs w:val="24"/>
        </w:rPr>
        <w:t xml:space="preserve"> (Table 1</w:t>
      </w:r>
      <w:r w:rsidR="009359C3" w:rsidRPr="00766C2B">
        <w:rPr>
          <w:rFonts w:ascii="Times New Roman" w:hAnsi="Times New Roman"/>
          <w:szCs w:val="24"/>
        </w:rPr>
        <w:t xml:space="preserve">). </w:t>
      </w:r>
    </w:p>
    <w:p w14:paraId="52820DA7" w14:textId="77777777" w:rsidR="00F87443" w:rsidRPr="00766C2B" w:rsidRDefault="00944374">
      <w:pPr>
        <w:spacing w:line="480" w:lineRule="auto"/>
        <w:rPr>
          <w:i/>
        </w:rPr>
      </w:pPr>
      <w:r w:rsidRPr="00766C2B">
        <w:rPr>
          <w:i/>
        </w:rPr>
        <w:t>Recall</w:t>
      </w:r>
    </w:p>
    <w:p w14:paraId="65FDDB06" w14:textId="6C1F1F8A" w:rsidR="00B802E0" w:rsidRPr="00766C2B" w:rsidRDefault="00B802E0">
      <w:pPr>
        <w:spacing w:line="480" w:lineRule="auto"/>
        <w:ind w:firstLine="720"/>
        <w:rPr>
          <w:i/>
        </w:rPr>
      </w:pPr>
      <w:r w:rsidRPr="00766C2B">
        <w:t>We coded the recalled statements on the basis of a</w:t>
      </w:r>
      <w:r w:rsidR="003669B0" w:rsidRPr="00766C2B">
        <w:t xml:space="preserve"> </w:t>
      </w:r>
      <w:r w:rsidRPr="00766C2B">
        <w:t>predefined gist criterion, in which we counted statements as correctly recalled if the text conveyed their general meaning</w:t>
      </w:r>
      <w:r w:rsidR="00B26476" w:rsidRPr="00766C2B">
        <w:t xml:space="preserve"> (Green</w:t>
      </w:r>
      <w:r w:rsidR="00460F65" w:rsidRPr="00766C2B">
        <w:t xml:space="preserve"> et al.</w:t>
      </w:r>
      <w:r w:rsidR="00B26476" w:rsidRPr="00766C2B">
        <w:t>, 2008</w:t>
      </w:r>
      <w:r w:rsidR="002301B7" w:rsidRPr="00766C2B">
        <w:t>; Sedikides &amp; Green, 2000</w:t>
      </w:r>
      <w:r w:rsidR="00B26476" w:rsidRPr="00766C2B">
        <w:t>)</w:t>
      </w:r>
      <w:r w:rsidRPr="00766C2B">
        <w:t>. For example,</w:t>
      </w:r>
      <w:r w:rsidR="00A64379" w:rsidRPr="00766C2B">
        <w:t xml:space="preserve"> we counted</w:t>
      </w:r>
      <w:r w:rsidRPr="00766C2B">
        <w:t xml:space="preserve"> the statement “</w:t>
      </w:r>
      <w:r w:rsidRPr="00766C2B">
        <w:rPr>
          <w:i/>
          <w:color w:val="000000"/>
        </w:rPr>
        <w:t>The illness can make X feel depressed</w:t>
      </w:r>
      <w:r w:rsidRPr="00766C2B">
        <w:t>” as correct, if there was reference to being</w:t>
      </w:r>
      <w:r w:rsidRPr="00766C2B">
        <w:rPr>
          <w:i/>
        </w:rPr>
        <w:t xml:space="preserve"> </w:t>
      </w:r>
      <w:r w:rsidRPr="00766C2B">
        <w:t xml:space="preserve">depressed or sad, grieving or upset. </w:t>
      </w:r>
      <w:r w:rsidR="003A1318" w:rsidRPr="00766C2B">
        <w:t>Two</w:t>
      </w:r>
      <w:r w:rsidR="00D90AC6" w:rsidRPr="00766C2B">
        <w:t xml:space="preserve"> raters (the first and second authors)</w:t>
      </w:r>
      <w:r w:rsidR="00AC5DB0" w:rsidRPr="00766C2B">
        <w:t xml:space="preserve"> assisted by an intern</w:t>
      </w:r>
      <w:r w:rsidR="00D90AC6" w:rsidRPr="00766C2B">
        <w:t xml:space="preserve">, </w:t>
      </w:r>
      <w:r w:rsidR="00AC5DB0" w:rsidRPr="00766C2B">
        <w:t xml:space="preserve">all </w:t>
      </w:r>
      <w:r w:rsidR="00D90AC6" w:rsidRPr="00766C2B">
        <w:t>blind to allocation, scored the statements</w:t>
      </w:r>
      <w:r w:rsidR="00FE7CC8" w:rsidRPr="00766C2B">
        <w:t xml:space="preserve">. </w:t>
      </w:r>
      <w:r w:rsidR="005307CE" w:rsidRPr="00766C2B">
        <w:t xml:space="preserve">Any </w:t>
      </w:r>
      <w:r w:rsidR="00D90AC6" w:rsidRPr="00766C2B">
        <w:t xml:space="preserve">disagreements </w:t>
      </w:r>
      <w:r w:rsidR="005307CE" w:rsidRPr="00766C2B">
        <w:t xml:space="preserve">were resolved </w:t>
      </w:r>
      <w:r w:rsidR="00D90AC6" w:rsidRPr="00766C2B">
        <w:t xml:space="preserve">through discussion. </w:t>
      </w:r>
    </w:p>
    <w:p w14:paraId="56C853F7" w14:textId="2775B90F" w:rsidR="00944374" w:rsidRPr="00766C2B" w:rsidRDefault="00DC1475">
      <w:pPr>
        <w:pStyle w:val="Body1"/>
        <w:spacing w:line="480" w:lineRule="auto"/>
        <w:ind w:firstLine="720"/>
        <w:rPr>
          <w:rFonts w:ascii="Times New Roman" w:hAnsi="Times New Roman"/>
          <w:szCs w:val="24"/>
        </w:rPr>
      </w:pPr>
      <w:r w:rsidRPr="00766C2B">
        <w:rPr>
          <w:rFonts w:ascii="Times New Roman" w:hAnsi="Times New Roman"/>
          <w:szCs w:val="24"/>
        </w:rPr>
        <w:t>W</w:t>
      </w:r>
      <w:r w:rsidR="00944374" w:rsidRPr="00766C2B">
        <w:rPr>
          <w:rFonts w:ascii="Times New Roman" w:hAnsi="Times New Roman"/>
          <w:szCs w:val="24"/>
        </w:rPr>
        <w:t xml:space="preserve">e </w:t>
      </w:r>
      <w:r w:rsidR="00922C1D" w:rsidRPr="00766C2B">
        <w:rPr>
          <w:rFonts w:ascii="Times New Roman" w:hAnsi="Times New Roman"/>
          <w:szCs w:val="24"/>
        </w:rPr>
        <w:t xml:space="preserve">entered the number of </w:t>
      </w:r>
      <w:r w:rsidR="00991C7E" w:rsidRPr="00766C2B">
        <w:rPr>
          <w:rFonts w:ascii="Times New Roman" w:hAnsi="Times New Roman"/>
          <w:szCs w:val="24"/>
        </w:rPr>
        <w:t xml:space="preserve">correctly recalled </w:t>
      </w:r>
      <w:r w:rsidR="00922C1D" w:rsidRPr="00766C2B">
        <w:rPr>
          <w:rFonts w:ascii="Times New Roman" w:hAnsi="Times New Roman"/>
          <w:szCs w:val="24"/>
        </w:rPr>
        <w:t>statements into a 2 (</w:t>
      </w:r>
      <w:r w:rsidR="00B010B1" w:rsidRPr="00766C2B">
        <w:rPr>
          <w:rFonts w:ascii="Times New Roman" w:hAnsi="Times New Roman"/>
          <w:szCs w:val="24"/>
        </w:rPr>
        <w:t xml:space="preserve">statement </w:t>
      </w:r>
      <w:r w:rsidR="00922C1D" w:rsidRPr="00766C2B">
        <w:rPr>
          <w:rFonts w:ascii="Times New Roman" w:hAnsi="Times New Roman"/>
          <w:szCs w:val="24"/>
        </w:rPr>
        <w:t xml:space="preserve">negativity: high, low) </w:t>
      </w:r>
      <w:r w:rsidR="008034C7" w:rsidRPr="00766C2B">
        <w:rPr>
          <w:rFonts w:ascii="Times New Roman" w:hAnsi="Times New Roman"/>
          <w:szCs w:val="24"/>
        </w:rPr>
        <w:sym w:font="Symbol" w:char="F0B4"/>
      </w:r>
      <w:r w:rsidR="00922C1D" w:rsidRPr="00766C2B">
        <w:rPr>
          <w:rFonts w:ascii="Times New Roman" w:hAnsi="Times New Roman"/>
          <w:szCs w:val="24"/>
        </w:rPr>
        <w:t xml:space="preserve"> 2 (referent: self, other) </w:t>
      </w:r>
      <w:r w:rsidR="008034C7" w:rsidRPr="00766C2B">
        <w:rPr>
          <w:rFonts w:ascii="Times New Roman" w:hAnsi="Times New Roman"/>
          <w:szCs w:val="24"/>
        </w:rPr>
        <w:sym w:font="Symbol" w:char="F0B4"/>
      </w:r>
      <w:r w:rsidR="00922C1D" w:rsidRPr="00766C2B">
        <w:rPr>
          <w:rFonts w:ascii="Times New Roman" w:hAnsi="Times New Roman"/>
          <w:szCs w:val="24"/>
        </w:rPr>
        <w:t xml:space="preserve"> 2 (age</w:t>
      </w:r>
      <w:r w:rsidR="00B010B1" w:rsidRPr="00766C2B">
        <w:rPr>
          <w:rFonts w:ascii="Times New Roman" w:hAnsi="Times New Roman"/>
          <w:szCs w:val="24"/>
        </w:rPr>
        <w:t xml:space="preserve"> group</w:t>
      </w:r>
      <w:r w:rsidR="00922C1D" w:rsidRPr="00766C2B">
        <w:rPr>
          <w:rFonts w:ascii="Times New Roman" w:hAnsi="Times New Roman"/>
          <w:szCs w:val="24"/>
        </w:rPr>
        <w:t>: 50 and over, under 50) Analysis of Variance (</w:t>
      </w:r>
      <w:r w:rsidR="00944374" w:rsidRPr="00766C2B">
        <w:rPr>
          <w:rFonts w:ascii="Times New Roman" w:hAnsi="Times New Roman"/>
          <w:szCs w:val="24"/>
        </w:rPr>
        <w:t>ANOVA</w:t>
      </w:r>
      <w:r w:rsidR="00922C1D" w:rsidRPr="00766C2B">
        <w:rPr>
          <w:rFonts w:ascii="Times New Roman" w:hAnsi="Times New Roman"/>
          <w:szCs w:val="24"/>
        </w:rPr>
        <w:t>)</w:t>
      </w:r>
      <w:r w:rsidR="00944374" w:rsidRPr="00766C2B">
        <w:rPr>
          <w:rFonts w:ascii="Times New Roman" w:hAnsi="Times New Roman"/>
          <w:szCs w:val="24"/>
        </w:rPr>
        <w:t xml:space="preserve"> with the first </w:t>
      </w:r>
      <w:r w:rsidR="00B010B1" w:rsidRPr="00766C2B">
        <w:rPr>
          <w:rFonts w:ascii="Times New Roman" w:hAnsi="Times New Roman"/>
          <w:szCs w:val="24"/>
        </w:rPr>
        <w:t xml:space="preserve">independent variable (statement negativity) </w:t>
      </w:r>
      <w:r w:rsidR="00944374" w:rsidRPr="00766C2B">
        <w:rPr>
          <w:rFonts w:ascii="Times New Roman" w:hAnsi="Times New Roman"/>
          <w:szCs w:val="24"/>
        </w:rPr>
        <w:t>being within</w:t>
      </w:r>
      <w:r w:rsidR="00A64379" w:rsidRPr="00766C2B">
        <w:rPr>
          <w:rFonts w:ascii="Times New Roman" w:hAnsi="Times New Roman"/>
          <w:szCs w:val="24"/>
        </w:rPr>
        <w:t>-</w:t>
      </w:r>
      <w:r w:rsidR="00944374" w:rsidRPr="00766C2B">
        <w:rPr>
          <w:rFonts w:ascii="Times New Roman" w:hAnsi="Times New Roman"/>
          <w:szCs w:val="24"/>
        </w:rPr>
        <w:t xml:space="preserve">subjects, and the last two </w:t>
      </w:r>
      <w:r w:rsidR="00D11C2D" w:rsidRPr="00766C2B">
        <w:rPr>
          <w:rFonts w:ascii="Times New Roman" w:hAnsi="Times New Roman"/>
          <w:szCs w:val="24"/>
        </w:rPr>
        <w:t xml:space="preserve">being </w:t>
      </w:r>
      <w:r w:rsidR="00944374" w:rsidRPr="00766C2B">
        <w:rPr>
          <w:rFonts w:ascii="Times New Roman" w:hAnsi="Times New Roman"/>
          <w:szCs w:val="24"/>
        </w:rPr>
        <w:t>between</w:t>
      </w:r>
      <w:r w:rsidR="00A64379" w:rsidRPr="00766C2B">
        <w:rPr>
          <w:rFonts w:ascii="Times New Roman" w:hAnsi="Times New Roman"/>
          <w:szCs w:val="24"/>
        </w:rPr>
        <w:t>-</w:t>
      </w:r>
      <w:r w:rsidR="00944374" w:rsidRPr="00766C2B">
        <w:rPr>
          <w:rFonts w:ascii="Times New Roman" w:hAnsi="Times New Roman"/>
          <w:szCs w:val="24"/>
        </w:rPr>
        <w:t xml:space="preserve">subjects. </w:t>
      </w:r>
      <w:r w:rsidR="00937DCE" w:rsidRPr="00766C2B">
        <w:rPr>
          <w:rFonts w:ascii="Times New Roman" w:hAnsi="Times New Roman"/>
          <w:szCs w:val="24"/>
        </w:rPr>
        <w:t xml:space="preserve">The analysis </w:t>
      </w:r>
      <w:r w:rsidR="000D15BC" w:rsidRPr="00766C2B">
        <w:rPr>
          <w:rFonts w:ascii="Times New Roman" w:hAnsi="Times New Roman"/>
          <w:szCs w:val="24"/>
        </w:rPr>
        <w:t>yielded</w:t>
      </w:r>
      <w:r w:rsidR="00937DCE" w:rsidRPr="00766C2B">
        <w:rPr>
          <w:rFonts w:ascii="Times New Roman" w:hAnsi="Times New Roman"/>
          <w:szCs w:val="24"/>
        </w:rPr>
        <w:t xml:space="preserve"> </w:t>
      </w:r>
      <w:r w:rsidR="003756C6" w:rsidRPr="00766C2B">
        <w:rPr>
          <w:rFonts w:ascii="Times New Roman" w:hAnsi="Times New Roman"/>
          <w:szCs w:val="24"/>
        </w:rPr>
        <w:t xml:space="preserve">a </w:t>
      </w:r>
      <w:r w:rsidR="000D15BC" w:rsidRPr="00766C2B">
        <w:rPr>
          <w:rFonts w:ascii="Times New Roman" w:hAnsi="Times New Roman"/>
          <w:szCs w:val="24"/>
        </w:rPr>
        <w:t xml:space="preserve">Negativity </w:t>
      </w:r>
      <w:r w:rsidR="000D15BC" w:rsidRPr="00766C2B">
        <w:rPr>
          <w:rFonts w:ascii="Times New Roman" w:hAnsi="Times New Roman"/>
          <w:szCs w:val="24"/>
        </w:rPr>
        <w:sym w:font="Symbol" w:char="F0B4"/>
      </w:r>
      <w:r w:rsidR="000D15BC" w:rsidRPr="00766C2B">
        <w:rPr>
          <w:rFonts w:ascii="Times New Roman" w:hAnsi="Times New Roman"/>
          <w:szCs w:val="24"/>
        </w:rPr>
        <w:t xml:space="preserve"> Referent </w:t>
      </w:r>
      <w:r w:rsidR="00937DCE" w:rsidRPr="00766C2B">
        <w:rPr>
          <w:rFonts w:ascii="Times New Roman" w:hAnsi="Times New Roman"/>
        </w:rPr>
        <w:t xml:space="preserve">interaction, </w:t>
      </w:r>
      <w:proofErr w:type="gramStart"/>
      <w:r w:rsidR="00937DCE" w:rsidRPr="00766C2B">
        <w:rPr>
          <w:rFonts w:ascii="Times New Roman" w:hAnsi="Times New Roman"/>
          <w:i/>
          <w:iCs/>
        </w:rPr>
        <w:t>F</w:t>
      </w:r>
      <w:r w:rsidR="00937DCE" w:rsidRPr="00766C2B">
        <w:rPr>
          <w:rFonts w:ascii="Times New Roman" w:hAnsi="Times New Roman"/>
        </w:rPr>
        <w:t>(</w:t>
      </w:r>
      <w:proofErr w:type="gramEnd"/>
      <w:r w:rsidR="00937DCE" w:rsidRPr="00766C2B">
        <w:rPr>
          <w:rFonts w:ascii="Times New Roman" w:hAnsi="Times New Roman"/>
        </w:rPr>
        <w:t>1,</w:t>
      </w:r>
      <w:r w:rsidR="006A04AF" w:rsidRPr="00766C2B">
        <w:rPr>
          <w:rFonts w:ascii="Times New Roman" w:hAnsi="Times New Roman"/>
        </w:rPr>
        <w:t xml:space="preserve"> </w:t>
      </w:r>
      <w:r w:rsidR="00937DCE" w:rsidRPr="00766C2B">
        <w:rPr>
          <w:rFonts w:ascii="Times New Roman" w:hAnsi="Times New Roman"/>
        </w:rPr>
        <w:t xml:space="preserve">99) = 5.55, </w:t>
      </w:r>
      <w:r w:rsidR="00937DCE" w:rsidRPr="00766C2B">
        <w:rPr>
          <w:rFonts w:ascii="Times New Roman" w:hAnsi="Times New Roman"/>
          <w:i/>
          <w:iCs/>
        </w:rPr>
        <w:t>p</w:t>
      </w:r>
      <w:r w:rsidR="00937DCE" w:rsidRPr="00766C2B">
        <w:rPr>
          <w:rFonts w:ascii="Times New Roman" w:hAnsi="Times New Roman"/>
        </w:rPr>
        <w:t xml:space="preserve"> = 0.020</w:t>
      </w:r>
      <w:r w:rsidR="00E30CF9" w:rsidRPr="00766C2B">
        <w:rPr>
          <w:rFonts w:ascii="Times New Roman" w:hAnsi="Times New Roman"/>
        </w:rPr>
        <w:t xml:space="preserve">, </w:t>
      </w:r>
      <w:r w:rsidR="00E30CF9" w:rsidRPr="00766C2B">
        <w:rPr>
          <w:rFonts w:ascii="Symbol" w:hAnsi="Symbol"/>
        </w:rPr>
        <w:t></w:t>
      </w:r>
      <w:r w:rsidR="00E30CF9" w:rsidRPr="00766C2B">
        <w:rPr>
          <w:rFonts w:ascii="Times New Roman" w:hAnsi="Times New Roman"/>
          <w:vertAlign w:val="superscript"/>
        </w:rPr>
        <w:t>2</w:t>
      </w:r>
      <w:r w:rsidR="00E30CF9" w:rsidRPr="00766C2B">
        <w:rPr>
          <w:rFonts w:ascii="Times New Roman" w:hAnsi="Times New Roman"/>
        </w:rPr>
        <w:t xml:space="preserve"> = </w:t>
      </w:r>
      <w:r w:rsidR="008946C9" w:rsidRPr="00766C2B">
        <w:rPr>
          <w:rFonts w:ascii="Times New Roman" w:hAnsi="Times New Roman"/>
        </w:rPr>
        <w:t>0</w:t>
      </w:r>
      <w:r w:rsidR="00E30CF9" w:rsidRPr="00766C2B">
        <w:rPr>
          <w:rFonts w:ascii="Times New Roman" w:hAnsi="Times New Roman"/>
        </w:rPr>
        <w:t>.053</w:t>
      </w:r>
      <w:r w:rsidR="00937DCE" w:rsidRPr="00766C2B">
        <w:rPr>
          <w:rFonts w:ascii="Times New Roman" w:hAnsi="Times New Roman"/>
        </w:rPr>
        <w:t xml:space="preserve">. </w:t>
      </w:r>
      <w:r w:rsidR="00937DCE" w:rsidRPr="00766C2B">
        <w:rPr>
          <w:rFonts w:ascii="Times New Roman" w:hAnsi="Times New Roman"/>
          <w:szCs w:val="24"/>
        </w:rPr>
        <w:t>Importantly, th</w:t>
      </w:r>
      <w:r w:rsidR="000D15BC" w:rsidRPr="00766C2B">
        <w:rPr>
          <w:rFonts w:ascii="Times New Roman" w:hAnsi="Times New Roman"/>
          <w:szCs w:val="24"/>
        </w:rPr>
        <w:t>e</w:t>
      </w:r>
      <w:r w:rsidR="00937DCE" w:rsidRPr="00766C2B">
        <w:rPr>
          <w:rFonts w:ascii="Times New Roman" w:hAnsi="Times New Roman"/>
          <w:szCs w:val="24"/>
        </w:rPr>
        <w:t xml:space="preserve"> interaction was qualified by </w:t>
      </w:r>
      <w:r w:rsidR="000D15BC" w:rsidRPr="00766C2B">
        <w:rPr>
          <w:rFonts w:ascii="Times New Roman" w:hAnsi="Times New Roman"/>
          <w:szCs w:val="24"/>
        </w:rPr>
        <w:t>the</w:t>
      </w:r>
      <w:r w:rsidR="00937DCE" w:rsidRPr="00766C2B">
        <w:rPr>
          <w:rFonts w:ascii="Times New Roman" w:hAnsi="Times New Roman"/>
          <w:szCs w:val="24"/>
        </w:rPr>
        <w:t xml:space="preserve"> </w:t>
      </w:r>
      <w:r w:rsidR="00B010B1" w:rsidRPr="00766C2B">
        <w:rPr>
          <w:rFonts w:ascii="Times New Roman" w:hAnsi="Times New Roman"/>
          <w:szCs w:val="24"/>
        </w:rPr>
        <w:t xml:space="preserve">Negativity </w:t>
      </w:r>
      <w:r w:rsidR="008034C7" w:rsidRPr="00766C2B">
        <w:rPr>
          <w:rFonts w:ascii="Times New Roman" w:hAnsi="Times New Roman"/>
          <w:szCs w:val="24"/>
        </w:rPr>
        <w:sym w:font="Symbol" w:char="F0B4"/>
      </w:r>
      <w:r w:rsidR="00B010B1" w:rsidRPr="00766C2B">
        <w:rPr>
          <w:rFonts w:ascii="Times New Roman" w:hAnsi="Times New Roman"/>
          <w:szCs w:val="24"/>
        </w:rPr>
        <w:t xml:space="preserve"> Referent </w:t>
      </w:r>
      <w:r w:rsidR="008034C7" w:rsidRPr="00766C2B">
        <w:rPr>
          <w:rFonts w:ascii="Times New Roman" w:hAnsi="Times New Roman"/>
          <w:szCs w:val="24"/>
        </w:rPr>
        <w:sym w:font="Symbol" w:char="F0B4"/>
      </w:r>
      <w:r w:rsidR="00B010B1" w:rsidRPr="00766C2B">
        <w:rPr>
          <w:rFonts w:ascii="Times New Roman" w:hAnsi="Times New Roman"/>
          <w:szCs w:val="24"/>
        </w:rPr>
        <w:t xml:space="preserve"> Age </w:t>
      </w:r>
      <w:r w:rsidR="00944374" w:rsidRPr="00766C2B">
        <w:rPr>
          <w:rFonts w:ascii="Times New Roman" w:hAnsi="Times New Roman"/>
          <w:szCs w:val="24"/>
        </w:rPr>
        <w:t>interaction</w:t>
      </w:r>
      <w:r w:rsidR="00A64379" w:rsidRPr="00766C2B">
        <w:rPr>
          <w:rFonts w:ascii="Times New Roman" w:hAnsi="Times New Roman"/>
          <w:szCs w:val="24"/>
        </w:rPr>
        <w:t xml:space="preserve">, </w:t>
      </w:r>
      <w:proofErr w:type="gramStart"/>
      <w:r w:rsidR="00944374" w:rsidRPr="00766C2B">
        <w:rPr>
          <w:rFonts w:ascii="Times New Roman" w:hAnsi="Times New Roman"/>
          <w:i/>
          <w:szCs w:val="24"/>
        </w:rPr>
        <w:t>F</w:t>
      </w:r>
      <w:r w:rsidR="00944374" w:rsidRPr="00766C2B">
        <w:rPr>
          <w:rFonts w:ascii="Times New Roman" w:hAnsi="Times New Roman"/>
          <w:szCs w:val="24"/>
        </w:rPr>
        <w:t>(</w:t>
      </w:r>
      <w:proofErr w:type="gramEnd"/>
      <w:r w:rsidR="00944374" w:rsidRPr="00766C2B">
        <w:rPr>
          <w:rFonts w:ascii="Times New Roman" w:hAnsi="Times New Roman"/>
          <w:szCs w:val="24"/>
        </w:rPr>
        <w:t xml:space="preserve">1, </w:t>
      </w:r>
      <w:r w:rsidR="00F9447D" w:rsidRPr="00766C2B">
        <w:rPr>
          <w:rFonts w:ascii="Times New Roman" w:hAnsi="Times New Roman"/>
          <w:szCs w:val="24"/>
        </w:rPr>
        <w:t>9</w:t>
      </w:r>
      <w:r w:rsidR="008C26F4" w:rsidRPr="00766C2B">
        <w:rPr>
          <w:rFonts w:ascii="Times New Roman" w:hAnsi="Times New Roman"/>
          <w:szCs w:val="24"/>
        </w:rPr>
        <w:t>9</w:t>
      </w:r>
      <w:r w:rsidR="00944374" w:rsidRPr="00766C2B">
        <w:rPr>
          <w:rFonts w:ascii="Times New Roman" w:hAnsi="Times New Roman"/>
          <w:szCs w:val="24"/>
        </w:rPr>
        <w:t xml:space="preserve">) = </w:t>
      </w:r>
      <w:r w:rsidR="008C26F4" w:rsidRPr="00766C2B">
        <w:rPr>
          <w:rFonts w:ascii="Times New Roman" w:hAnsi="Times New Roman"/>
          <w:szCs w:val="24"/>
        </w:rPr>
        <w:t>5</w:t>
      </w:r>
      <w:r w:rsidR="00411F5D" w:rsidRPr="00766C2B">
        <w:rPr>
          <w:rFonts w:ascii="Times New Roman" w:hAnsi="Times New Roman"/>
          <w:szCs w:val="24"/>
        </w:rPr>
        <w:t>.</w:t>
      </w:r>
      <w:r w:rsidR="008C26F4" w:rsidRPr="00766C2B">
        <w:rPr>
          <w:rFonts w:ascii="Times New Roman" w:hAnsi="Times New Roman"/>
          <w:szCs w:val="24"/>
        </w:rPr>
        <w:t>77</w:t>
      </w:r>
      <w:r w:rsidR="00944374" w:rsidRPr="00766C2B">
        <w:rPr>
          <w:rFonts w:ascii="Times New Roman" w:hAnsi="Times New Roman"/>
          <w:szCs w:val="24"/>
        </w:rPr>
        <w:t xml:space="preserve">, </w:t>
      </w:r>
      <w:r w:rsidR="009D7999" w:rsidRPr="00766C2B">
        <w:rPr>
          <w:rFonts w:ascii="Times New Roman" w:hAnsi="Times New Roman"/>
          <w:i/>
          <w:szCs w:val="24"/>
        </w:rPr>
        <w:t>p</w:t>
      </w:r>
      <w:r w:rsidR="00B033B2" w:rsidRPr="00766C2B">
        <w:rPr>
          <w:rFonts w:ascii="Times New Roman" w:hAnsi="Times New Roman"/>
          <w:szCs w:val="24"/>
        </w:rPr>
        <w:t xml:space="preserve"> </w:t>
      </w:r>
      <w:r w:rsidR="00944374" w:rsidRPr="00766C2B">
        <w:rPr>
          <w:rFonts w:ascii="Times New Roman" w:hAnsi="Times New Roman"/>
          <w:szCs w:val="24"/>
        </w:rPr>
        <w:t>= 0.</w:t>
      </w:r>
      <w:r w:rsidR="00407F35" w:rsidRPr="00766C2B">
        <w:rPr>
          <w:rFonts w:ascii="Times New Roman" w:hAnsi="Times New Roman"/>
          <w:szCs w:val="24"/>
        </w:rPr>
        <w:t>0</w:t>
      </w:r>
      <w:r w:rsidR="00F9447D" w:rsidRPr="00766C2B">
        <w:rPr>
          <w:rFonts w:ascii="Times New Roman" w:hAnsi="Times New Roman"/>
          <w:szCs w:val="24"/>
        </w:rPr>
        <w:t>1</w:t>
      </w:r>
      <w:r w:rsidR="008C26F4" w:rsidRPr="00766C2B">
        <w:rPr>
          <w:rFonts w:ascii="Times New Roman" w:hAnsi="Times New Roman"/>
          <w:szCs w:val="24"/>
        </w:rPr>
        <w:t>8</w:t>
      </w:r>
      <w:r w:rsidR="00E30CF9" w:rsidRPr="00766C2B">
        <w:rPr>
          <w:rFonts w:ascii="Times New Roman" w:hAnsi="Times New Roman"/>
          <w:szCs w:val="24"/>
        </w:rPr>
        <w:t xml:space="preserve">, </w:t>
      </w:r>
      <w:r w:rsidR="00E30CF9" w:rsidRPr="00766C2B">
        <w:rPr>
          <w:rFonts w:ascii="Symbol" w:hAnsi="Symbol"/>
        </w:rPr>
        <w:t></w:t>
      </w:r>
      <w:r w:rsidR="00E30CF9" w:rsidRPr="00766C2B">
        <w:rPr>
          <w:rFonts w:ascii="Times New Roman" w:hAnsi="Times New Roman"/>
          <w:vertAlign w:val="superscript"/>
        </w:rPr>
        <w:t>2</w:t>
      </w:r>
      <w:r w:rsidR="00E30CF9" w:rsidRPr="00766C2B">
        <w:rPr>
          <w:rFonts w:ascii="Times New Roman" w:hAnsi="Times New Roman"/>
        </w:rPr>
        <w:t xml:space="preserve"> = </w:t>
      </w:r>
      <w:r w:rsidR="008946C9" w:rsidRPr="00766C2B">
        <w:rPr>
          <w:rFonts w:ascii="Times New Roman" w:hAnsi="Times New Roman"/>
        </w:rPr>
        <w:t>0</w:t>
      </w:r>
      <w:r w:rsidR="00E30CF9" w:rsidRPr="00766C2B">
        <w:rPr>
          <w:rFonts w:ascii="Times New Roman" w:hAnsi="Times New Roman"/>
        </w:rPr>
        <w:t>.055</w:t>
      </w:r>
      <w:r w:rsidR="00944374" w:rsidRPr="00766C2B">
        <w:rPr>
          <w:rFonts w:ascii="Times New Roman" w:hAnsi="Times New Roman"/>
          <w:szCs w:val="24"/>
        </w:rPr>
        <w:t xml:space="preserve">. </w:t>
      </w:r>
      <w:r w:rsidR="007F396D" w:rsidRPr="00766C2B">
        <w:rPr>
          <w:rFonts w:ascii="Times New Roman" w:hAnsi="Times New Roman"/>
          <w:szCs w:val="24"/>
        </w:rPr>
        <w:t>Th</w:t>
      </w:r>
      <w:r w:rsidR="000D15BC" w:rsidRPr="00766C2B">
        <w:rPr>
          <w:rFonts w:ascii="Times New Roman" w:hAnsi="Times New Roman"/>
          <w:szCs w:val="24"/>
        </w:rPr>
        <w:t>e latter</w:t>
      </w:r>
      <w:r w:rsidR="002A5F47" w:rsidRPr="00766C2B">
        <w:rPr>
          <w:rFonts w:ascii="Times New Roman" w:hAnsi="Times New Roman"/>
          <w:szCs w:val="24"/>
        </w:rPr>
        <w:t xml:space="preserve"> interaction remained significant after controlling for </w:t>
      </w:r>
      <w:r w:rsidR="007C7343" w:rsidRPr="00766C2B">
        <w:rPr>
          <w:rFonts w:ascii="Times New Roman" w:hAnsi="Times New Roman"/>
          <w:szCs w:val="24"/>
        </w:rPr>
        <w:t xml:space="preserve">anxiety, </w:t>
      </w:r>
      <w:proofErr w:type="gramStart"/>
      <w:r w:rsidR="007C7343" w:rsidRPr="00766C2B">
        <w:rPr>
          <w:rFonts w:ascii="Times New Roman" w:hAnsi="Times New Roman"/>
          <w:i/>
          <w:szCs w:val="24"/>
        </w:rPr>
        <w:t>F</w:t>
      </w:r>
      <w:r w:rsidR="007C7343" w:rsidRPr="00766C2B">
        <w:rPr>
          <w:rFonts w:ascii="Times New Roman" w:hAnsi="Times New Roman"/>
          <w:szCs w:val="24"/>
        </w:rPr>
        <w:t>(</w:t>
      </w:r>
      <w:proofErr w:type="gramEnd"/>
      <w:r w:rsidR="007C7343" w:rsidRPr="00766C2B">
        <w:rPr>
          <w:rFonts w:ascii="Times New Roman" w:hAnsi="Times New Roman"/>
          <w:szCs w:val="24"/>
        </w:rPr>
        <w:t xml:space="preserve">1, </w:t>
      </w:r>
      <w:r w:rsidR="00424785" w:rsidRPr="00766C2B">
        <w:rPr>
          <w:rFonts w:ascii="Times New Roman" w:hAnsi="Times New Roman"/>
          <w:szCs w:val="24"/>
        </w:rPr>
        <w:t>9</w:t>
      </w:r>
      <w:r w:rsidR="00747BD1" w:rsidRPr="00766C2B">
        <w:rPr>
          <w:rFonts w:ascii="Times New Roman" w:hAnsi="Times New Roman"/>
          <w:szCs w:val="24"/>
        </w:rPr>
        <w:t>8</w:t>
      </w:r>
      <w:r w:rsidR="007C7343" w:rsidRPr="00766C2B">
        <w:rPr>
          <w:rFonts w:ascii="Times New Roman" w:hAnsi="Times New Roman"/>
          <w:szCs w:val="24"/>
        </w:rPr>
        <w:t xml:space="preserve">) = </w:t>
      </w:r>
      <w:r w:rsidR="00747BD1" w:rsidRPr="00766C2B">
        <w:rPr>
          <w:rFonts w:ascii="Times New Roman" w:hAnsi="Times New Roman"/>
          <w:szCs w:val="24"/>
        </w:rPr>
        <w:t>5</w:t>
      </w:r>
      <w:r w:rsidR="007C7343" w:rsidRPr="00766C2B">
        <w:rPr>
          <w:rFonts w:ascii="Times New Roman" w:hAnsi="Times New Roman"/>
          <w:szCs w:val="24"/>
        </w:rPr>
        <w:t>.</w:t>
      </w:r>
      <w:r w:rsidR="00747BD1" w:rsidRPr="00766C2B">
        <w:rPr>
          <w:rFonts w:ascii="Times New Roman" w:hAnsi="Times New Roman"/>
          <w:szCs w:val="24"/>
        </w:rPr>
        <w:t>6</w:t>
      </w:r>
      <w:r w:rsidR="00424785" w:rsidRPr="00766C2B">
        <w:rPr>
          <w:rFonts w:ascii="Times New Roman" w:hAnsi="Times New Roman"/>
          <w:szCs w:val="24"/>
        </w:rPr>
        <w:t>8</w:t>
      </w:r>
      <w:r w:rsidR="007C7343" w:rsidRPr="00766C2B">
        <w:rPr>
          <w:rFonts w:ascii="Times New Roman" w:hAnsi="Times New Roman"/>
          <w:szCs w:val="24"/>
        </w:rPr>
        <w:t xml:space="preserve">, </w:t>
      </w:r>
      <w:r w:rsidR="007C7343" w:rsidRPr="00766C2B">
        <w:rPr>
          <w:rFonts w:ascii="Times New Roman" w:hAnsi="Times New Roman"/>
          <w:i/>
          <w:szCs w:val="24"/>
        </w:rPr>
        <w:t>p</w:t>
      </w:r>
      <w:r w:rsidR="007C7343" w:rsidRPr="00766C2B">
        <w:rPr>
          <w:rFonts w:ascii="Times New Roman" w:hAnsi="Times New Roman"/>
          <w:szCs w:val="24"/>
        </w:rPr>
        <w:t xml:space="preserve"> = 0.01</w:t>
      </w:r>
      <w:r w:rsidR="00747BD1" w:rsidRPr="00766C2B">
        <w:rPr>
          <w:rFonts w:ascii="Times New Roman" w:hAnsi="Times New Roman"/>
          <w:szCs w:val="24"/>
        </w:rPr>
        <w:t>9</w:t>
      </w:r>
      <w:r w:rsidR="00E30CF9" w:rsidRPr="00766C2B">
        <w:rPr>
          <w:rFonts w:ascii="Times New Roman" w:hAnsi="Times New Roman"/>
          <w:szCs w:val="24"/>
        </w:rPr>
        <w:t xml:space="preserve">, </w:t>
      </w:r>
      <w:r w:rsidR="00E30CF9" w:rsidRPr="00766C2B">
        <w:rPr>
          <w:rFonts w:ascii="Symbol" w:hAnsi="Symbol"/>
        </w:rPr>
        <w:t></w:t>
      </w:r>
      <w:r w:rsidR="00E30CF9" w:rsidRPr="00766C2B">
        <w:rPr>
          <w:rFonts w:ascii="Times New Roman" w:hAnsi="Times New Roman"/>
          <w:vertAlign w:val="superscript"/>
        </w:rPr>
        <w:t>2</w:t>
      </w:r>
      <w:r w:rsidR="00E30CF9" w:rsidRPr="00766C2B">
        <w:rPr>
          <w:rFonts w:ascii="Times New Roman" w:hAnsi="Times New Roman"/>
        </w:rPr>
        <w:t xml:space="preserve"> = </w:t>
      </w:r>
      <w:r w:rsidR="008946C9" w:rsidRPr="00766C2B">
        <w:rPr>
          <w:rFonts w:ascii="Times New Roman" w:hAnsi="Times New Roman"/>
        </w:rPr>
        <w:t>0</w:t>
      </w:r>
      <w:r w:rsidR="00E30CF9" w:rsidRPr="00766C2B">
        <w:rPr>
          <w:rFonts w:ascii="Times New Roman" w:hAnsi="Times New Roman"/>
        </w:rPr>
        <w:t>.055</w:t>
      </w:r>
      <w:r w:rsidR="007C7343" w:rsidRPr="00766C2B">
        <w:rPr>
          <w:rFonts w:ascii="Times New Roman" w:hAnsi="Times New Roman"/>
          <w:szCs w:val="24"/>
        </w:rPr>
        <w:t xml:space="preserve">, and </w:t>
      </w:r>
      <w:r w:rsidR="002A5F47" w:rsidRPr="00766C2B">
        <w:rPr>
          <w:rFonts w:ascii="Times New Roman" w:hAnsi="Times New Roman"/>
          <w:szCs w:val="24"/>
        </w:rPr>
        <w:t xml:space="preserve">depression, </w:t>
      </w:r>
      <w:r w:rsidR="002A5F47" w:rsidRPr="00766C2B">
        <w:rPr>
          <w:rFonts w:ascii="Times New Roman" w:hAnsi="Times New Roman"/>
          <w:i/>
          <w:szCs w:val="24"/>
        </w:rPr>
        <w:t>F</w:t>
      </w:r>
      <w:r w:rsidR="00557D67" w:rsidRPr="00766C2B">
        <w:rPr>
          <w:rFonts w:ascii="Times New Roman" w:hAnsi="Times New Roman"/>
          <w:szCs w:val="24"/>
        </w:rPr>
        <w:t xml:space="preserve">(1, </w:t>
      </w:r>
      <w:r w:rsidR="00424785" w:rsidRPr="00766C2B">
        <w:rPr>
          <w:rFonts w:ascii="Times New Roman" w:hAnsi="Times New Roman"/>
          <w:szCs w:val="24"/>
        </w:rPr>
        <w:t>9</w:t>
      </w:r>
      <w:r w:rsidR="00AB0980" w:rsidRPr="00766C2B">
        <w:rPr>
          <w:rFonts w:ascii="Times New Roman" w:hAnsi="Times New Roman"/>
          <w:szCs w:val="24"/>
        </w:rPr>
        <w:t>8</w:t>
      </w:r>
      <w:r w:rsidR="00557D67" w:rsidRPr="00766C2B">
        <w:rPr>
          <w:rFonts w:ascii="Times New Roman" w:hAnsi="Times New Roman"/>
          <w:szCs w:val="24"/>
        </w:rPr>
        <w:t xml:space="preserve">) = </w:t>
      </w:r>
      <w:r w:rsidR="00AB0980" w:rsidRPr="00766C2B">
        <w:rPr>
          <w:rFonts w:ascii="Times New Roman" w:hAnsi="Times New Roman"/>
          <w:szCs w:val="24"/>
        </w:rPr>
        <w:t>5</w:t>
      </w:r>
      <w:r w:rsidR="00411F5D" w:rsidRPr="00766C2B">
        <w:rPr>
          <w:rFonts w:ascii="Times New Roman" w:hAnsi="Times New Roman"/>
          <w:szCs w:val="24"/>
        </w:rPr>
        <w:t>.</w:t>
      </w:r>
      <w:r w:rsidR="00B9016D" w:rsidRPr="00766C2B">
        <w:rPr>
          <w:rFonts w:ascii="Times New Roman" w:hAnsi="Times New Roman"/>
          <w:szCs w:val="24"/>
        </w:rPr>
        <w:t>9</w:t>
      </w:r>
      <w:r w:rsidR="00AB0980" w:rsidRPr="00766C2B">
        <w:rPr>
          <w:rFonts w:ascii="Times New Roman" w:hAnsi="Times New Roman"/>
          <w:szCs w:val="24"/>
        </w:rPr>
        <w:t>6</w:t>
      </w:r>
      <w:r w:rsidR="00557D67" w:rsidRPr="00766C2B">
        <w:rPr>
          <w:rFonts w:ascii="Times New Roman" w:hAnsi="Times New Roman"/>
          <w:szCs w:val="24"/>
        </w:rPr>
        <w:t xml:space="preserve">, </w:t>
      </w:r>
      <w:r w:rsidR="00557D67" w:rsidRPr="00766C2B">
        <w:rPr>
          <w:rFonts w:ascii="Times New Roman" w:hAnsi="Times New Roman"/>
          <w:i/>
          <w:szCs w:val="24"/>
        </w:rPr>
        <w:t>p</w:t>
      </w:r>
      <w:r w:rsidR="00557D67" w:rsidRPr="00766C2B">
        <w:rPr>
          <w:rFonts w:ascii="Times New Roman" w:hAnsi="Times New Roman"/>
          <w:szCs w:val="24"/>
        </w:rPr>
        <w:t xml:space="preserve"> = 0.0</w:t>
      </w:r>
      <w:r w:rsidR="00411F5D" w:rsidRPr="00766C2B">
        <w:rPr>
          <w:rFonts w:ascii="Times New Roman" w:hAnsi="Times New Roman"/>
          <w:szCs w:val="24"/>
        </w:rPr>
        <w:t>1</w:t>
      </w:r>
      <w:r w:rsidR="00AB0980" w:rsidRPr="00766C2B">
        <w:rPr>
          <w:rFonts w:ascii="Times New Roman" w:hAnsi="Times New Roman"/>
          <w:szCs w:val="24"/>
        </w:rPr>
        <w:t>6</w:t>
      </w:r>
      <w:r w:rsidR="00E30CF9" w:rsidRPr="00766C2B">
        <w:rPr>
          <w:rFonts w:ascii="Times New Roman" w:hAnsi="Times New Roman"/>
          <w:szCs w:val="24"/>
        </w:rPr>
        <w:t xml:space="preserve">, </w:t>
      </w:r>
      <w:r w:rsidR="00E30CF9" w:rsidRPr="00766C2B">
        <w:rPr>
          <w:rFonts w:ascii="Symbol" w:hAnsi="Symbol"/>
        </w:rPr>
        <w:t></w:t>
      </w:r>
      <w:r w:rsidR="00E30CF9" w:rsidRPr="00766C2B">
        <w:rPr>
          <w:rFonts w:ascii="Times New Roman" w:hAnsi="Times New Roman"/>
          <w:vertAlign w:val="superscript"/>
        </w:rPr>
        <w:t>2</w:t>
      </w:r>
      <w:r w:rsidR="00E30CF9" w:rsidRPr="00766C2B">
        <w:rPr>
          <w:rFonts w:ascii="Times New Roman" w:hAnsi="Times New Roman"/>
        </w:rPr>
        <w:t xml:space="preserve"> = </w:t>
      </w:r>
      <w:r w:rsidR="008946C9" w:rsidRPr="00766C2B">
        <w:rPr>
          <w:rFonts w:ascii="Times New Roman" w:hAnsi="Times New Roman"/>
        </w:rPr>
        <w:t>0</w:t>
      </w:r>
      <w:r w:rsidR="00E30CF9" w:rsidRPr="00766C2B">
        <w:rPr>
          <w:rFonts w:ascii="Times New Roman" w:hAnsi="Times New Roman"/>
        </w:rPr>
        <w:t>.057</w:t>
      </w:r>
      <w:r w:rsidR="00557D67" w:rsidRPr="00766C2B">
        <w:rPr>
          <w:rFonts w:ascii="Times New Roman" w:hAnsi="Times New Roman"/>
          <w:szCs w:val="24"/>
        </w:rPr>
        <w:t xml:space="preserve">. </w:t>
      </w:r>
      <w:r w:rsidR="00937DCE" w:rsidRPr="00766C2B">
        <w:rPr>
          <w:rFonts w:ascii="Times New Roman" w:hAnsi="Times New Roman"/>
          <w:szCs w:val="24"/>
        </w:rPr>
        <w:t>To probe th</w:t>
      </w:r>
      <w:r w:rsidR="000D15BC" w:rsidRPr="00766C2B">
        <w:rPr>
          <w:rFonts w:ascii="Times New Roman" w:hAnsi="Times New Roman"/>
          <w:szCs w:val="24"/>
        </w:rPr>
        <w:t>is</w:t>
      </w:r>
      <w:r w:rsidR="003756C6" w:rsidRPr="00766C2B">
        <w:rPr>
          <w:rFonts w:ascii="Times New Roman" w:hAnsi="Times New Roman"/>
          <w:szCs w:val="24"/>
        </w:rPr>
        <w:t xml:space="preserve"> three-way</w:t>
      </w:r>
      <w:r w:rsidR="00937DCE" w:rsidRPr="00766C2B">
        <w:rPr>
          <w:rFonts w:ascii="Times New Roman" w:hAnsi="Times New Roman"/>
          <w:szCs w:val="24"/>
        </w:rPr>
        <w:t xml:space="preserve"> interaction, we tested</w:t>
      </w:r>
      <w:r w:rsidR="00944374" w:rsidRPr="00766C2B">
        <w:rPr>
          <w:rFonts w:ascii="Times New Roman" w:hAnsi="Times New Roman"/>
          <w:szCs w:val="24"/>
        </w:rPr>
        <w:t xml:space="preserve"> the </w:t>
      </w:r>
      <w:r w:rsidR="00F07873" w:rsidRPr="00766C2B">
        <w:rPr>
          <w:rFonts w:ascii="Times New Roman" w:hAnsi="Times New Roman"/>
          <w:szCs w:val="24"/>
        </w:rPr>
        <w:t xml:space="preserve">Negativity </w:t>
      </w:r>
      <w:r w:rsidR="008034C7" w:rsidRPr="00766C2B">
        <w:rPr>
          <w:rFonts w:ascii="Times New Roman" w:hAnsi="Times New Roman"/>
          <w:szCs w:val="24"/>
        </w:rPr>
        <w:sym w:font="Symbol" w:char="F0B4"/>
      </w:r>
      <w:r w:rsidR="00F07873" w:rsidRPr="00766C2B">
        <w:rPr>
          <w:rFonts w:ascii="Times New Roman" w:hAnsi="Times New Roman"/>
          <w:szCs w:val="24"/>
        </w:rPr>
        <w:t xml:space="preserve"> Referent interaction</w:t>
      </w:r>
      <w:r w:rsidR="00944374" w:rsidRPr="00766C2B">
        <w:rPr>
          <w:rFonts w:ascii="Times New Roman" w:hAnsi="Times New Roman"/>
          <w:szCs w:val="24"/>
        </w:rPr>
        <w:t xml:space="preserve"> </w:t>
      </w:r>
      <w:r w:rsidR="007F396D" w:rsidRPr="00766C2B">
        <w:rPr>
          <w:rFonts w:ascii="Times New Roman" w:hAnsi="Times New Roman"/>
          <w:szCs w:val="24"/>
        </w:rPr>
        <w:t xml:space="preserve">separately for each </w:t>
      </w:r>
      <w:r w:rsidR="00944374" w:rsidRPr="00766C2B">
        <w:rPr>
          <w:rFonts w:ascii="Times New Roman" w:hAnsi="Times New Roman"/>
          <w:szCs w:val="24"/>
        </w:rPr>
        <w:t xml:space="preserve">age </w:t>
      </w:r>
      <w:r w:rsidR="00944374" w:rsidRPr="00766C2B">
        <w:rPr>
          <w:rFonts w:ascii="Times New Roman" w:hAnsi="Times New Roman"/>
          <w:szCs w:val="24"/>
        </w:rPr>
        <w:lastRenderedPageBreak/>
        <w:t>group</w:t>
      </w:r>
      <w:r w:rsidR="007A5F67" w:rsidRPr="00766C2B">
        <w:rPr>
          <w:rFonts w:ascii="Times New Roman" w:hAnsi="Times New Roman"/>
          <w:szCs w:val="24"/>
        </w:rPr>
        <w:t xml:space="preserve">. </w:t>
      </w:r>
      <w:r w:rsidR="006A04AF" w:rsidRPr="00766C2B">
        <w:rPr>
          <w:rFonts w:ascii="Times New Roman" w:hAnsi="Times New Roman"/>
          <w:szCs w:val="24"/>
        </w:rPr>
        <w:t>We used pooled error terms and degrees of freedom for these follow-up analyses (Howell, 1987).</w:t>
      </w:r>
    </w:p>
    <w:p w14:paraId="5E49FBF4" w14:textId="42C2FAAE" w:rsidR="00FA3E7C" w:rsidRPr="00766C2B" w:rsidRDefault="00944374" w:rsidP="003756C6">
      <w:pPr>
        <w:pStyle w:val="Body1"/>
        <w:spacing w:line="480" w:lineRule="auto"/>
        <w:ind w:firstLine="720"/>
        <w:rPr>
          <w:rFonts w:ascii="Times New Roman" w:hAnsi="Times New Roman"/>
          <w:szCs w:val="24"/>
        </w:rPr>
      </w:pPr>
      <w:r w:rsidRPr="00766C2B">
        <w:rPr>
          <w:rFonts w:ascii="Times New Roman" w:hAnsi="Times New Roman"/>
          <w:i/>
          <w:szCs w:val="24"/>
        </w:rPr>
        <w:t xml:space="preserve">Older </w:t>
      </w:r>
      <w:r w:rsidR="00382C3F" w:rsidRPr="00766C2B">
        <w:rPr>
          <w:rFonts w:ascii="Times New Roman" w:hAnsi="Times New Roman"/>
          <w:i/>
          <w:szCs w:val="24"/>
        </w:rPr>
        <w:t>P</w:t>
      </w:r>
      <w:r w:rsidR="005F3C8C" w:rsidRPr="00766C2B">
        <w:rPr>
          <w:rFonts w:ascii="Times New Roman" w:hAnsi="Times New Roman"/>
          <w:i/>
          <w:szCs w:val="24"/>
        </w:rPr>
        <w:t>articipants</w:t>
      </w:r>
      <w:r w:rsidR="00D952EE" w:rsidRPr="00766C2B">
        <w:rPr>
          <w:rFonts w:ascii="Times New Roman" w:hAnsi="Times New Roman"/>
          <w:i/>
          <w:szCs w:val="24"/>
        </w:rPr>
        <w:t xml:space="preserve">. </w:t>
      </w:r>
      <w:r w:rsidR="00F9447D" w:rsidRPr="00766C2B">
        <w:rPr>
          <w:rFonts w:ascii="Times New Roman" w:hAnsi="Times New Roman"/>
        </w:rPr>
        <w:t xml:space="preserve">The MNE entails a Negativity </w:t>
      </w:r>
      <w:r w:rsidR="00F9447D" w:rsidRPr="00766C2B">
        <w:rPr>
          <w:rFonts w:ascii="Times New Roman" w:hAnsi="Times New Roman"/>
        </w:rPr>
        <w:sym w:font="Symbol" w:char="F0B4"/>
      </w:r>
      <w:r w:rsidR="00F9447D" w:rsidRPr="00766C2B">
        <w:rPr>
          <w:rFonts w:ascii="Times New Roman" w:hAnsi="Times New Roman"/>
        </w:rPr>
        <w:t xml:space="preserve"> Referent interaction: recall is lower when the high-negativity (vs. low-negativity) statements refer to the self rather than other. Older adults evinced the MNE: the Negativity </w:t>
      </w:r>
      <w:r w:rsidR="00F9447D" w:rsidRPr="00766C2B">
        <w:rPr>
          <w:rFonts w:ascii="Times New Roman" w:hAnsi="Times New Roman"/>
        </w:rPr>
        <w:sym w:font="Symbol" w:char="F0B4"/>
      </w:r>
      <w:r w:rsidR="00F9447D" w:rsidRPr="00766C2B">
        <w:rPr>
          <w:rFonts w:ascii="Times New Roman" w:hAnsi="Times New Roman"/>
        </w:rPr>
        <w:t xml:space="preserve"> Referent interaction was significant, </w:t>
      </w:r>
      <w:proofErr w:type="gramStart"/>
      <w:r w:rsidR="00F9447D" w:rsidRPr="00766C2B">
        <w:rPr>
          <w:rFonts w:ascii="Times New Roman" w:hAnsi="Times New Roman"/>
          <w:i/>
        </w:rPr>
        <w:t>F</w:t>
      </w:r>
      <w:r w:rsidR="00F9447D" w:rsidRPr="00766C2B">
        <w:rPr>
          <w:rFonts w:ascii="Times New Roman" w:hAnsi="Times New Roman"/>
        </w:rPr>
        <w:t>(</w:t>
      </w:r>
      <w:proofErr w:type="gramEnd"/>
      <w:r w:rsidR="00F9447D" w:rsidRPr="00766C2B">
        <w:rPr>
          <w:rFonts w:ascii="Times New Roman" w:hAnsi="Times New Roman"/>
        </w:rPr>
        <w:t xml:space="preserve">1, </w:t>
      </w:r>
      <w:r w:rsidR="00AD4CEA" w:rsidRPr="00766C2B">
        <w:rPr>
          <w:rFonts w:ascii="Times New Roman" w:hAnsi="Times New Roman"/>
        </w:rPr>
        <w:t>99</w:t>
      </w:r>
      <w:r w:rsidR="00F9447D" w:rsidRPr="00766C2B">
        <w:rPr>
          <w:rFonts w:ascii="Times New Roman" w:hAnsi="Times New Roman"/>
        </w:rPr>
        <w:t xml:space="preserve">) = </w:t>
      </w:r>
      <w:r w:rsidR="008C26F4" w:rsidRPr="00766C2B">
        <w:rPr>
          <w:rFonts w:ascii="Times New Roman" w:hAnsi="Times New Roman"/>
        </w:rPr>
        <w:t>9</w:t>
      </w:r>
      <w:r w:rsidR="00F9447D" w:rsidRPr="00766C2B">
        <w:rPr>
          <w:rFonts w:ascii="Times New Roman" w:hAnsi="Times New Roman"/>
        </w:rPr>
        <w:t>.</w:t>
      </w:r>
      <w:r w:rsidR="00AD4CEA" w:rsidRPr="00766C2B">
        <w:rPr>
          <w:rFonts w:ascii="Times New Roman" w:hAnsi="Times New Roman"/>
        </w:rPr>
        <w:t>87</w:t>
      </w:r>
      <w:r w:rsidR="00F9447D" w:rsidRPr="00766C2B">
        <w:rPr>
          <w:rFonts w:ascii="Times New Roman" w:hAnsi="Times New Roman"/>
        </w:rPr>
        <w:t xml:space="preserve">, </w:t>
      </w:r>
      <w:r w:rsidR="00F9447D" w:rsidRPr="00766C2B">
        <w:rPr>
          <w:rFonts w:ascii="Times New Roman" w:hAnsi="Times New Roman"/>
          <w:i/>
        </w:rPr>
        <w:t>p</w:t>
      </w:r>
      <w:r w:rsidR="00F9447D" w:rsidRPr="00766C2B">
        <w:rPr>
          <w:rFonts w:ascii="Times New Roman" w:hAnsi="Times New Roman"/>
        </w:rPr>
        <w:t xml:space="preserve"> = 0.</w:t>
      </w:r>
      <w:r w:rsidR="00AD4CEA" w:rsidRPr="00766C2B">
        <w:rPr>
          <w:rFonts w:ascii="Times New Roman" w:hAnsi="Times New Roman"/>
        </w:rPr>
        <w:t>002</w:t>
      </w:r>
      <w:r w:rsidR="00E30CF9" w:rsidRPr="00766C2B">
        <w:rPr>
          <w:rFonts w:ascii="Times New Roman" w:hAnsi="Times New Roman"/>
        </w:rPr>
        <w:t xml:space="preserve">, </w:t>
      </w:r>
      <w:r w:rsidR="00E30CF9" w:rsidRPr="00766C2B">
        <w:rPr>
          <w:rFonts w:ascii="Symbol" w:hAnsi="Symbol"/>
        </w:rPr>
        <w:t></w:t>
      </w:r>
      <w:r w:rsidR="00E30CF9" w:rsidRPr="00766C2B">
        <w:rPr>
          <w:rFonts w:ascii="Times New Roman" w:hAnsi="Times New Roman"/>
          <w:vertAlign w:val="superscript"/>
        </w:rPr>
        <w:t>2</w:t>
      </w:r>
      <w:r w:rsidR="00E30CF9" w:rsidRPr="00766C2B">
        <w:rPr>
          <w:rFonts w:ascii="Times New Roman" w:hAnsi="Times New Roman"/>
        </w:rPr>
        <w:t xml:space="preserve"> = </w:t>
      </w:r>
      <w:r w:rsidR="008946C9" w:rsidRPr="00766C2B">
        <w:rPr>
          <w:rFonts w:ascii="Times New Roman" w:hAnsi="Times New Roman"/>
        </w:rPr>
        <w:t>0</w:t>
      </w:r>
      <w:r w:rsidR="00E30CF9" w:rsidRPr="00766C2B">
        <w:rPr>
          <w:rFonts w:ascii="Times New Roman" w:hAnsi="Times New Roman"/>
        </w:rPr>
        <w:t>.091</w:t>
      </w:r>
      <w:r w:rsidR="00F9447D" w:rsidRPr="00766C2B">
        <w:rPr>
          <w:rFonts w:ascii="Times New Roman" w:hAnsi="Times New Roman"/>
        </w:rPr>
        <w:t xml:space="preserve">. </w:t>
      </w:r>
      <w:r w:rsidR="00FD5FE9" w:rsidRPr="00766C2B">
        <w:rPr>
          <w:rFonts w:ascii="Times New Roman" w:hAnsi="Times New Roman"/>
          <w:szCs w:val="24"/>
        </w:rPr>
        <w:t xml:space="preserve">We </w:t>
      </w:r>
      <w:r w:rsidR="00AD4CEA" w:rsidRPr="00766C2B">
        <w:rPr>
          <w:rFonts w:ascii="Times New Roman" w:hAnsi="Times New Roman"/>
          <w:szCs w:val="24"/>
        </w:rPr>
        <w:t xml:space="preserve">next </w:t>
      </w:r>
      <w:r w:rsidR="008109C3" w:rsidRPr="00766C2B">
        <w:rPr>
          <w:rFonts w:ascii="Times New Roman" w:hAnsi="Times New Roman"/>
          <w:szCs w:val="24"/>
        </w:rPr>
        <w:t xml:space="preserve">probed the Negativity </w:t>
      </w:r>
      <w:r w:rsidR="008109C3" w:rsidRPr="00766C2B">
        <w:rPr>
          <w:rFonts w:ascii="Times New Roman" w:hAnsi="Times New Roman"/>
          <w:szCs w:val="24"/>
        </w:rPr>
        <w:sym w:font="Symbol" w:char="F0B4"/>
      </w:r>
      <w:r w:rsidR="008109C3" w:rsidRPr="00766C2B">
        <w:rPr>
          <w:rFonts w:ascii="Times New Roman" w:hAnsi="Times New Roman"/>
          <w:szCs w:val="24"/>
        </w:rPr>
        <w:t xml:space="preserve"> Referent interaction </w:t>
      </w:r>
      <w:r w:rsidR="00FD5FE9" w:rsidRPr="00766C2B">
        <w:rPr>
          <w:rFonts w:ascii="Times New Roman" w:hAnsi="Times New Roman"/>
          <w:szCs w:val="24"/>
        </w:rPr>
        <w:t xml:space="preserve">with </w:t>
      </w:r>
      <w:r w:rsidR="007B2FC1" w:rsidRPr="00766C2B">
        <w:rPr>
          <w:rFonts w:ascii="Times New Roman" w:hAnsi="Times New Roman"/>
          <w:szCs w:val="24"/>
        </w:rPr>
        <w:t>tests of simple effects</w:t>
      </w:r>
      <w:r w:rsidR="008B73F2" w:rsidRPr="00766C2B">
        <w:rPr>
          <w:rFonts w:ascii="Times New Roman" w:hAnsi="Times New Roman"/>
          <w:szCs w:val="24"/>
        </w:rPr>
        <w:t xml:space="preserve">. </w:t>
      </w:r>
      <w:r w:rsidR="007231DE" w:rsidRPr="00766C2B">
        <w:rPr>
          <w:rFonts w:ascii="Times New Roman" w:hAnsi="Times New Roman"/>
          <w:lang w:val="en-US"/>
        </w:rPr>
        <w:t>Older p</w:t>
      </w:r>
      <w:r w:rsidR="00B45295" w:rsidRPr="00766C2B">
        <w:rPr>
          <w:rFonts w:ascii="Times New Roman" w:hAnsi="Times New Roman"/>
          <w:lang w:val="en-US"/>
        </w:rPr>
        <w:t xml:space="preserve">articipants recalled high‐negativity statements </w:t>
      </w:r>
      <w:r w:rsidR="00C165D8" w:rsidRPr="00766C2B">
        <w:rPr>
          <w:rFonts w:ascii="Times New Roman" w:hAnsi="Times New Roman"/>
          <w:lang w:val="en-US"/>
        </w:rPr>
        <w:t xml:space="preserve">more </w:t>
      </w:r>
      <w:r w:rsidR="00B45295" w:rsidRPr="00766C2B">
        <w:rPr>
          <w:rFonts w:ascii="Times New Roman" w:hAnsi="Times New Roman"/>
          <w:lang w:val="en-US"/>
        </w:rPr>
        <w:t>poorly when the statements referred to them (</w:t>
      </w:r>
      <w:r w:rsidR="00B45295" w:rsidRPr="00766C2B">
        <w:rPr>
          <w:rFonts w:ascii="Times New Roman" w:hAnsi="Times New Roman"/>
          <w:i/>
          <w:iCs/>
          <w:lang w:val="en-US"/>
        </w:rPr>
        <w:t>M</w:t>
      </w:r>
      <w:r w:rsidR="00B45295" w:rsidRPr="00766C2B">
        <w:rPr>
          <w:rFonts w:ascii="Times New Roman" w:hAnsi="Times New Roman"/>
          <w:lang w:val="en-US"/>
        </w:rPr>
        <w:t xml:space="preserve"> = 5.14, </w:t>
      </w:r>
      <w:r w:rsidR="00B45295" w:rsidRPr="00766C2B">
        <w:rPr>
          <w:rFonts w:ascii="Times New Roman" w:hAnsi="Times New Roman"/>
          <w:i/>
          <w:iCs/>
          <w:lang w:val="en-US"/>
        </w:rPr>
        <w:t>SD</w:t>
      </w:r>
      <w:r w:rsidR="00B45295" w:rsidRPr="00766C2B">
        <w:rPr>
          <w:rFonts w:ascii="Times New Roman" w:hAnsi="Times New Roman"/>
          <w:lang w:val="en-US"/>
        </w:rPr>
        <w:t xml:space="preserve"> = 1.6</w:t>
      </w:r>
      <w:r w:rsidR="008C26F4" w:rsidRPr="00766C2B">
        <w:rPr>
          <w:rFonts w:ascii="Times New Roman" w:hAnsi="Times New Roman"/>
          <w:lang w:val="en-US"/>
        </w:rPr>
        <w:t>1</w:t>
      </w:r>
      <w:r w:rsidR="00B45295" w:rsidRPr="00766C2B">
        <w:rPr>
          <w:rFonts w:ascii="Times New Roman" w:hAnsi="Times New Roman"/>
          <w:lang w:val="en-US"/>
        </w:rPr>
        <w:t>) rather than to Chris (</w:t>
      </w:r>
      <w:r w:rsidR="00B45295" w:rsidRPr="00766C2B">
        <w:rPr>
          <w:rFonts w:ascii="Times New Roman" w:hAnsi="Times New Roman"/>
          <w:i/>
          <w:iCs/>
          <w:lang w:val="en-US"/>
        </w:rPr>
        <w:t>M</w:t>
      </w:r>
      <w:r w:rsidR="00B45295" w:rsidRPr="00766C2B">
        <w:rPr>
          <w:rFonts w:ascii="Times New Roman" w:hAnsi="Times New Roman"/>
          <w:lang w:val="en-US"/>
        </w:rPr>
        <w:t xml:space="preserve"> = 6.</w:t>
      </w:r>
      <w:r w:rsidR="008C26F4" w:rsidRPr="00766C2B">
        <w:rPr>
          <w:rFonts w:ascii="Times New Roman" w:hAnsi="Times New Roman"/>
          <w:lang w:val="en-US"/>
        </w:rPr>
        <w:t>45</w:t>
      </w:r>
      <w:r w:rsidR="00B45295" w:rsidRPr="00766C2B">
        <w:rPr>
          <w:rFonts w:ascii="Times New Roman" w:hAnsi="Times New Roman"/>
          <w:lang w:val="en-US"/>
        </w:rPr>
        <w:t xml:space="preserve">, </w:t>
      </w:r>
      <w:r w:rsidR="00B45295" w:rsidRPr="00766C2B">
        <w:rPr>
          <w:rFonts w:ascii="Times New Roman" w:hAnsi="Times New Roman"/>
          <w:i/>
          <w:iCs/>
          <w:lang w:val="en-US"/>
        </w:rPr>
        <w:t>SD</w:t>
      </w:r>
      <w:r w:rsidR="00B45295" w:rsidRPr="00766C2B">
        <w:rPr>
          <w:rFonts w:ascii="Times New Roman" w:hAnsi="Times New Roman"/>
          <w:lang w:val="en-US"/>
        </w:rPr>
        <w:t xml:space="preserve"> = 1.8</w:t>
      </w:r>
      <w:r w:rsidR="008C26F4" w:rsidRPr="00766C2B">
        <w:rPr>
          <w:rFonts w:ascii="Times New Roman" w:hAnsi="Times New Roman"/>
          <w:lang w:val="en-US"/>
        </w:rPr>
        <w:t>1</w:t>
      </w:r>
      <w:r w:rsidR="003756C6" w:rsidRPr="00766C2B">
        <w:rPr>
          <w:rFonts w:ascii="Times New Roman" w:hAnsi="Times New Roman"/>
          <w:lang w:val="en-US"/>
        </w:rPr>
        <w:t>),</w:t>
      </w:r>
      <w:r w:rsidR="00B45295" w:rsidRPr="00766C2B">
        <w:rPr>
          <w:rFonts w:ascii="Times New Roman" w:hAnsi="Times New Roman"/>
          <w:lang w:val="en-US"/>
        </w:rPr>
        <w:t xml:space="preserve"> </w:t>
      </w:r>
      <w:proofErr w:type="gramStart"/>
      <w:r w:rsidR="009A3619" w:rsidRPr="00766C2B">
        <w:rPr>
          <w:rFonts w:ascii="Times New Roman" w:hAnsi="Times New Roman"/>
          <w:i/>
          <w:iCs/>
          <w:lang w:val="en-US"/>
        </w:rPr>
        <w:t>F</w:t>
      </w:r>
      <w:r w:rsidR="003756C6" w:rsidRPr="00766C2B">
        <w:rPr>
          <w:rFonts w:ascii="Times New Roman" w:hAnsi="Times New Roman"/>
          <w:lang w:val="en-US"/>
        </w:rPr>
        <w:t>(</w:t>
      </w:r>
      <w:proofErr w:type="gramEnd"/>
      <w:r w:rsidR="009A3619" w:rsidRPr="00766C2B">
        <w:rPr>
          <w:rFonts w:ascii="Times New Roman" w:hAnsi="Times New Roman"/>
          <w:lang w:val="en-US"/>
        </w:rPr>
        <w:t>1, 99</w:t>
      </w:r>
      <w:r w:rsidR="0029078A" w:rsidRPr="00766C2B">
        <w:rPr>
          <w:rFonts w:ascii="Times New Roman" w:hAnsi="Times New Roman"/>
          <w:lang w:val="en-US"/>
        </w:rPr>
        <w:t>)</w:t>
      </w:r>
      <w:r w:rsidR="00B45295" w:rsidRPr="00766C2B">
        <w:rPr>
          <w:rFonts w:ascii="Times New Roman" w:hAnsi="Times New Roman"/>
          <w:lang w:val="en-US"/>
        </w:rPr>
        <w:t xml:space="preserve"> = </w:t>
      </w:r>
      <w:r w:rsidR="009A3619" w:rsidRPr="00766C2B">
        <w:rPr>
          <w:rFonts w:ascii="Times New Roman" w:hAnsi="Times New Roman"/>
          <w:lang w:val="en-US"/>
        </w:rPr>
        <w:t>5.530</w:t>
      </w:r>
      <w:r w:rsidR="00B45295" w:rsidRPr="00766C2B">
        <w:rPr>
          <w:rFonts w:ascii="Times New Roman" w:hAnsi="Times New Roman"/>
          <w:lang w:val="en-US"/>
        </w:rPr>
        <w:t xml:space="preserve">, </w:t>
      </w:r>
      <w:r w:rsidR="00B45295" w:rsidRPr="00766C2B">
        <w:rPr>
          <w:rFonts w:ascii="Times New Roman" w:hAnsi="Times New Roman"/>
          <w:i/>
          <w:lang w:val="en-US"/>
        </w:rPr>
        <w:t>p</w:t>
      </w:r>
      <w:r w:rsidR="00B45295" w:rsidRPr="00766C2B">
        <w:rPr>
          <w:rFonts w:ascii="Times New Roman" w:hAnsi="Times New Roman"/>
          <w:lang w:val="en-US"/>
        </w:rPr>
        <w:t xml:space="preserve"> = 0.</w:t>
      </w:r>
      <w:r w:rsidR="002547CD" w:rsidRPr="00766C2B">
        <w:rPr>
          <w:rFonts w:ascii="Times New Roman" w:hAnsi="Times New Roman"/>
          <w:lang w:val="en-US"/>
        </w:rPr>
        <w:t>021</w:t>
      </w:r>
      <w:r w:rsidR="00E30CF9" w:rsidRPr="00766C2B">
        <w:rPr>
          <w:rFonts w:ascii="Times New Roman" w:hAnsi="Times New Roman"/>
          <w:lang w:val="en-US"/>
        </w:rPr>
        <w:t xml:space="preserve">, </w:t>
      </w:r>
      <w:r w:rsidR="00E30CF9" w:rsidRPr="00766C2B">
        <w:rPr>
          <w:rFonts w:ascii="Symbol" w:hAnsi="Symbol"/>
        </w:rPr>
        <w:t></w:t>
      </w:r>
      <w:r w:rsidR="00E30CF9" w:rsidRPr="00766C2B">
        <w:rPr>
          <w:rFonts w:ascii="Times New Roman" w:hAnsi="Times New Roman"/>
          <w:vertAlign w:val="superscript"/>
        </w:rPr>
        <w:t>2</w:t>
      </w:r>
      <w:r w:rsidR="00E30CF9" w:rsidRPr="00766C2B">
        <w:rPr>
          <w:rFonts w:ascii="Times New Roman" w:hAnsi="Times New Roman"/>
        </w:rPr>
        <w:t xml:space="preserve"> = </w:t>
      </w:r>
      <w:r w:rsidR="008946C9" w:rsidRPr="00766C2B">
        <w:rPr>
          <w:rFonts w:ascii="Times New Roman" w:hAnsi="Times New Roman"/>
        </w:rPr>
        <w:t>0</w:t>
      </w:r>
      <w:r w:rsidR="00E30CF9" w:rsidRPr="00766C2B">
        <w:rPr>
          <w:rFonts w:ascii="Times New Roman" w:hAnsi="Times New Roman"/>
        </w:rPr>
        <w:t>.053</w:t>
      </w:r>
      <w:r w:rsidR="00B45295" w:rsidRPr="00766C2B">
        <w:rPr>
          <w:rFonts w:ascii="Times New Roman" w:hAnsi="Times New Roman"/>
          <w:lang w:val="en-US"/>
        </w:rPr>
        <w:t xml:space="preserve">. However, </w:t>
      </w:r>
      <w:r w:rsidR="007231DE" w:rsidRPr="00766C2B">
        <w:rPr>
          <w:rFonts w:ascii="Times New Roman" w:hAnsi="Times New Roman"/>
          <w:lang w:val="en-US"/>
        </w:rPr>
        <w:t xml:space="preserve">older </w:t>
      </w:r>
      <w:r w:rsidR="00B45295" w:rsidRPr="00766C2B">
        <w:rPr>
          <w:rFonts w:ascii="Times New Roman" w:hAnsi="Times New Roman"/>
          <w:lang w:val="en-US"/>
        </w:rPr>
        <w:t>participants did not</w:t>
      </w:r>
      <w:r w:rsidR="002547CD" w:rsidRPr="00766C2B">
        <w:rPr>
          <w:rFonts w:ascii="Times New Roman" w:hAnsi="Times New Roman"/>
          <w:lang w:val="en-US"/>
        </w:rPr>
        <w:t xml:space="preserve"> significantly</w:t>
      </w:r>
      <w:r w:rsidR="00B45295" w:rsidRPr="00766C2B">
        <w:rPr>
          <w:rFonts w:ascii="Times New Roman" w:hAnsi="Times New Roman"/>
          <w:lang w:val="en-US"/>
        </w:rPr>
        <w:t xml:space="preserve"> differ in their recall of low‐negativity statements referring either to them (</w:t>
      </w:r>
      <w:r w:rsidR="00B45295" w:rsidRPr="00766C2B">
        <w:rPr>
          <w:rFonts w:ascii="Times New Roman" w:hAnsi="Times New Roman"/>
          <w:i/>
          <w:iCs/>
          <w:lang w:val="en-US"/>
        </w:rPr>
        <w:t>M</w:t>
      </w:r>
      <w:r w:rsidR="00B45295" w:rsidRPr="00766C2B">
        <w:rPr>
          <w:rFonts w:ascii="Times New Roman" w:hAnsi="Times New Roman"/>
          <w:lang w:val="en-US"/>
        </w:rPr>
        <w:t xml:space="preserve"> = 6.</w:t>
      </w:r>
      <w:r w:rsidR="008C26F4" w:rsidRPr="00766C2B">
        <w:rPr>
          <w:rFonts w:ascii="Times New Roman" w:hAnsi="Times New Roman"/>
          <w:lang w:val="en-US"/>
        </w:rPr>
        <w:t>09</w:t>
      </w:r>
      <w:r w:rsidR="00B45295" w:rsidRPr="00766C2B">
        <w:rPr>
          <w:rFonts w:ascii="Times New Roman" w:hAnsi="Times New Roman"/>
          <w:lang w:val="en-US"/>
        </w:rPr>
        <w:t xml:space="preserve">, </w:t>
      </w:r>
      <w:r w:rsidR="00B45295" w:rsidRPr="00766C2B">
        <w:rPr>
          <w:rFonts w:ascii="Times New Roman" w:hAnsi="Times New Roman"/>
          <w:i/>
          <w:iCs/>
          <w:lang w:val="en-US"/>
        </w:rPr>
        <w:t>SD</w:t>
      </w:r>
      <w:r w:rsidR="00B45295" w:rsidRPr="00766C2B">
        <w:rPr>
          <w:rFonts w:ascii="Times New Roman" w:hAnsi="Times New Roman"/>
          <w:lang w:val="en-US"/>
        </w:rPr>
        <w:t xml:space="preserve"> = 2.3</w:t>
      </w:r>
      <w:r w:rsidR="008C26F4" w:rsidRPr="00766C2B">
        <w:rPr>
          <w:rFonts w:ascii="Times New Roman" w:hAnsi="Times New Roman"/>
          <w:lang w:val="en-US"/>
        </w:rPr>
        <w:t>1</w:t>
      </w:r>
      <w:r w:rsidR="00B45295" w:rsidRPr="00766C2B">
        <w:rPr>
          <w:rFonts w:ascii="Times New Roman" w:hAnsi="Times New Roman"/>
          <w:lang w:val="en-US"/>
        </w:rPr>
        <w:t>) or to Chris (</w:t>
      </w:r>
      <w:r w:rsidR="00B45295" w:rsidRPr="00766C2B">
        <w:rPr>
          <w:rFonts w:ascii="Times New Roman" w:hAnsi="Times New Roman"/>
          <w:i/>
          <w:iCs/>
          <w:lang w:val="en-US"/>
        </w:rPr>
        <w:t>M</w:t>
      </w:r>
      <w:r w:rsidR="00B45295" w:rsidRPr="00766C2B">
        <w:rPr>
          <w:rFonts w:ascii="Times New Roman" w:hAnsi="Times New Roman"/>
          <w:lang w:val="en-US"/>
        </w:rPr>
        <w:t xml:space="preserve"> = 5.</w:t>
      </w:r>
      <w:r w:rsidR="008C26F4" w:rsidRPr="00766C2B">
        <w:rPr>
          <w:rFonts w:ascii="Times New Roman" w:hAnsi="Times New Roman"/>
          <w:lang w:val="en-US"/>
        </w:rPr>
        <w:t>23</w:t>
      </w:r>
      <w:r w:rsidR="00B45295" w:rsidRPr="00766C2B">
        <w:rPr>
          <w:rFonts w:ascii="Times New Roman" w:hAnsi="Times New Roman"/>
          <w:lang w:val="en-US"/>
        </w:rPr>
        <w:t xml:space="preserve">, </w:t>
      </w:r>
      <w:r w:rsidR="00B45295" w:rsidRPr="00766C2B">
        <w:rPr>
          <w:rFonts w:ascii="Times New Roman" w:hAnsi="Times New Roman"/>
          <w:i/>
          <w:iCs/>
          <w:lang w:val="en-US"/>
        </w:rPr>
        <w:t>SD</w:t>
      </w:r>
      <w:r w:rsidR="00B45295" w:rsidRPr="00766C2B">
        <w:rPr>
          <w:rFonts w:ascii="Times New Roman" w:hAnsi="Times New Roman"/>
          <w:lang w:val="en-US"/>
        </w:rPr>
        <w:t xml:space="preserve"> = 1.</w:t>
      </w:r>
      <w:r w:rsidR="008C26F4" w:rsidRPr="00766C2B">
        <w:rPr>
          <w:rFonts w:ascii="Times New Roman" w:hAnsi="Times New Roman"/>
          <w:lang w:val="en-US"/>
        </w:rPr>
        <w:t>93</w:t>
      </w:r>
      <w:r w:rsidR="003756C6" w:rsidRPr="00766C2B">
        <w:rPr>
          <w:rFonts w:ascii="Times New Roman" w:hAnsi="Times New Roman"/>
          <w:lang w:val="en-US"/>
        </w:rPr>
        <w:t>),</w:t>
      </w:r>
      <w:r w:rsidR="00B45295" w:rsidRPr="00766C2B">
        <w:rPr>
          <w:rFonts w:ascii="Times New Roman" w:hAnsi="Times New Roman"/>
          <w:lang w:val="en-US"/>
        </w:rPr>
        <w:t xml:space="preserve"> </w:t>
      </w:r>
      <w:proofErr w:type="gramStart"/>
      <w:r w:rsidR="002547CD" w:rsidRPr="00766C2B">
        <w:rPr>
          <w:rFonts w:ascii="Times New Roman" w:hAnsi="Times New Roman"/>
          <w:i/>
          <w:iCs/>
          <w:lang w:val="en-US"/>
        </w:rPr>
        <w:t>F</w:t>
      </w:r>
      <w:r w:rsidR="003756C6" w:rsidRPr="00766C2B">
        <w:rPr>
          <w:rFonts w:ascii="Times New Roman" w:hAnsi="Times New Roman"/>
          <w:lang w:val="en-US"/>
        </w:rPr>
        <w:t>(</w:t>
      </w:r>
      <w:proofErr w:type="gramEnd"/>
      <w:r w:rsidR="002547CD" w:rsidRPr="00766C2B">
        <w:rPr>
          <w:rFonts w:ascii="Times New Roman" w:hAnsi="Times New Roman"/>
          <w:lang w:val="en-US"/>
        </w:rPr>
        <w:t>1, 99</w:t>
      </w:r>
      <w:r w:rsidR="0029078A" w:rsidRPr="00766C2B">
        <w:rPr>
          <w:rFonts w:ascii="Times New Roman" w:hAnsi="Times New Roman"/>
          <w:lang w:val="en-US"/>
        </w:rPr>
        <w:t>)</w:t>
      </w:r>
      <w:r w:rsidR="008C26F4" w:rsidRPr="00766C2B">
        <w:rPr>
          <w:rFonts w:ascii="Times New Roman" w:hAnsi="Times New Roman"/>
          <w:lang w:val="en-US"/>
        </w:rPr>
        <w:t xml:space="preserve"> = 1.</w:t>
      </w:r>
      <w:r w:rsidR="002547CD" w:rsidRPr="00766C2B">
        <w:rPr>
          <w:rFonts w:ascii="Times New Roman" w:hAnsi="Times New Roman"/>
          <w:lang w:val="en-US"/>
        </w:rPr>
        <w:t>94</w:t>
      </w:r>
      <w:r w:rsidR="008C26F4" w:rsidRPr="00766C2B">
        <w:rPr>
          <w:rFonts w:ascii="Times New Roman" w:hAnsi="Times New Roman"/>
          <w:lang w:val="en-US"/>
        </w:rPr>
        <w:t xml:space="preserve">, </w:t>
      </w:r>
      <w:r w:rsidR="008C26F4" w:rsidRPr="00766C2B">
        <w:rPr>
          <w:rFonts w:ascii="Times New Roman" w:hAnsi="Times New Roman"/>
          <w:i/>
          <w:lang w:val="en-US"/>
        </w:rPr>
        <w:t>p</w:t>
      </w:r>
      <w:r w:rsidR="008C26F4" w:rsidRPr="00766C2B">
        <w:rPr>
          <w:rFonts w:ascii="Times New Roman" w:hAnsi="Times New Roman"/>
          <w:lang w:val="en-US"/>
        </w:rPr>
        <w:t xml:space="preserve"> = 0.</w:t>
      </w:r>
      <w:r w:rsidR="002547CD" w:rsidRPr="00766C2B">
        <w:rPr>
          <w:rFonts w:ascii="Times New Roman" w:hAnsi="Times New Roman"/>
          <w:lang w:val="en-US"/>
        </w:rPr>
        <w:t>167</w:t>
      </w:r>
      <w:r w:rsidR="00E30CF9" w:rsidRPr="00766C2B">
        <w:rPr>
          <w:rFonts w:ascii="Times New Roman" w:hAnsi="Times New Roman"/>
          <w:lang w:val="en-US"/>
        </w:rPr>
        <w:t xml:space="preserve">, </w:t>
      </w:r>
      <w:r w:rsidR="00E30CF9" w:rsidRPr="00766C2B">
        <w:rPr>
          <w:rFonts w:ascii="Symbol" w:hAnsi="Symbol"/>
        </w:rPr>
        <w:t></w:t>
      </w:r>
      <w:r w:rsidR="00E30CF9" w:rsidRPr="00766C2B">
        <w:rPr>
          <w:rFonts w:ascii="Times New Roman" w:hAnsi="Times New Roman"/>
          <w:vertAlign w:val="superscript"/>
        </w:rPr>
        <w:t>2</w:t>
      </w:r>
      <w:r w:rsidR="00E30CF9" w:rsidRPr="00766C2B">
        <w:rPr>
          <w:rFonts w:ascii="Times New Roman" w:hAnsi="Times New Roman"/>
        </w:rPr>
        <w:t xml:space="preserve"> = </w:t>
      </w:r>
      <w:r w:rsidR="00AC2BC5" w:rsidRPr="00766C2B">
        <w:rPr>
          <w:rFonts w:ascii="Times New Roman" w:hAnsi="Times New Roman"/>
        </w:rPr>
        <w:t>0</w:t>
      </w:r>
      <w:r w:rsidR="00E30CF9" w:rsidRPr="00766C2B">
        <w:rPr>
          <w:rFonts w:ascii="Times New Roman" w:hAnsi="Times New Roman"/>
        </w:rPr>
        <w:t>.0</w:t>
      </w:r>
      <w:r w:rsidR="00344542" w:rsidRPr="00766C2B">
        <w:rPr>
          <w:rFonts w:ascii="Times New Roman" w:hAnsi="Times New Roman"/>
        </w:rPr>
        <w:t>19</w:t>
      </w:r>
      <w:r w:rsidR="003756C6" w:rsidRPr="00766C2B">
        <w:rPr>
          <w:rFonts w:ascii="Times New Roman" w:hAnsi="Times New Roman"/>
        </w:rPr>
        <w:t xml:space="preserve"> (</w:t>
      </w:r>
      <w:r w:rsidR="00FD7716" w:rsidRPr="00766C2B">
        <w:rPr>
          <w:rFonts w:ascii="Times New Roman" w:hAnsi="Times New Roman"/>
          <w:szCs w:val="24"/>
        </w:rPr>
        <w:t>Tab</w:t>
      </w:r>
      <w:r w:rsidR="009C76EE" w:rsidRPr="00766C2B">
        <w:rPr>
          <w:rFonts w:ascii="Times New Roman" w:hAnsi="Times New Roman"/>
          <w:szCs w:val="24"/>
        </w:rPr>
        <w:t>le 2</w:t>
      </w:r>
      <w:r w:rsidR="00FD7716" w:rsidRPr="00766C2B">
        <w:rPr>
          <w:rFonts w:ascii="Times New Roman" w:hAnsi="Times New Roman"/>
          <w:szCs w:val="24"/>
        </w:rPr>
        <w:t>).</w:t>
      </w:r>
      <w:r w:rsidR="00A05FF7" w:rsidRPr="00766C2B">
        <w:rPr>
          <w:rFonts w:ascii="Times New Roman" w:hAnsi="Times New Roman"/>
          <w:szCs w:val="24"/>
        </w:rPr>
        <w:t xml:space="preserve"> </w:t>
      </w:r>
      <w:r w:rsidR="00FA0708" w:rsidRPr="00766C2B">
        <w:rPr>
          <w:rFonts w:ascii="Times New Roman" w:hAnsi="Times New Roman"/>
          <w:szCs w:val="24"/>
        </w:rPr>
        <w:t>T</w:t>
      </w:r>
      <w:r w:rsidR="003756C6" w:rsidRPr="00766C2B">
        <w:rPr>
          <w:rFonts w:ascii="Times New Roman" w:hAnsi="Times New Roman"/>
        </w:rPr>
        <w:t>his interaction remained significant (</w:t>
      </w:r>
      <w:r w:rsidR="003756C6" w:rsidRPr="00766C2B">
        <w:rPr>
          <w:rFonts w:ascii="Times New Roman" w:hAnsi="Times New Roman"/>
          <w:i/>
          <w:iCs/>
        </w:rPr>
        <w:t xml:space="preserve">p </w:t>
      </w:r>
      <w:r w:rsidR="003756C6" w:rsidRPr="00766C2B">
        <w:rPr>
          <w:rFonts w:ascii="Times New Roman" w:hAnsi="Times New Roman"/>
        </w:rPr>
        <w:t xml:space="preserve">&lt; </w:t>
      </w:r>
      <w:r w:rsidR="00AC2BC5" w:rsidRPr="00766C2B">
        <w:rPr>
          <w:rFonts w:ascii="Times New Roman" w:hAnsi="Times New Roman"/>
        </w:rPr>
        <w:t>0</w:t>
      </w:r>
      <w:r w:rsidR="003756C6" w:rsidRPr="00766C2B">
        <w:rPr>
          <w:rFonts w:ascii="Times New Roman" w:hAnsi="Times New Roman"/>
        </w:rPr>
        <w:t>.005) when we added either anxiety or depression as co-variates</w:t>
      </w:r>
      <w:r w:rsidR="003756C6" w:rsidRPr="00766C2B">
        <w:rPr>
          <w:rFonts w:ascii="Times New Roman" w:hAnsi="Times New Roman"/>
          <w:szCs w:val="24"/>
        </w:rPr>
        <w:t>.</w:t>
      </w:r>
    </w:p>
    <w:p w14:paraId="57539595" w14:textId="77777777" w:rsidR="00E22894" w:rsidRPr="00766C2B" w:rsidRDefault="00E22894" w:rsidP="00CD546C">
      <w:pPr>
        <w:pStyle w:val="Body1"/>
        <w:spacing w:line="480" w:lineRule="auto"/>
        <w:jc w:val="center"/>
        <w:rPr>
          <w:rFonts w:ascii="Times New Roman" w:hAnsi="Times New Roman"/>
          <w:szCs w:val="24"/>
        </w:rPr>
      </w:pPr>
      <w:r w:rsidRPr="00766C2B">
        <w:rPr>
          <w:rFonts w:ascii="Times New Roman" w:hAnsi="Times New Roman"/>
          <w:szCs w:val="24"/>
        </w:rPr>
        <w:t>[Insert Table 2 about here]</w:t>
      </w:r>
    </w:p>
    <w:p w14:paraId="333DA109" w14:textId="3D871620" w:rsidR="00D04B7D" w:rsidRPr="00766C2B" w:rsidRDefault="00944374" w:rsidP="00D04B7D">
      <w:pPr>
        <w:pStyle w:val="Body1"/>
        <w:spacing w:line="480" w:lineRule="auto"/>
        <w:ind w:firstLine="720"/>
        <w:rPr>
          <w:rFonts w:ascii="Times New Roman" w:hAnsi="Times New Roman"/>
          <w:szCs w:val="24"/>
        </w:rPr>
      </w:pPr>
      <w:r w:rsidRPr="00766C2B">
        <w:rPr>
          <w:rFonts w:ascii="Times New Roman" w:hAnsi="Times New Roman"/>
          <w:i/>
          <w:szCs w:val="24"/>
        </w:rPr>
        <w:t xml:space="preserve">Younger </w:t>
      </w:r>
      <w:r w:rsidR="005F3C8C" w:rsidRPr="00766C2B">
        <w:rPr>
          <w:rFonts w:ascii="Times New Roman" w:hAnsi="Times New Roman"/>
          <w:i/>
          <w:szCs w:val="24"/>
        </w:rPr>
        <w:t>Participants</w:t>
      </w:r>
      <w:r w:rsidR="00D952EE" w:rsidRPr="00766C2B">
        <w:rPr>
          <w:rFonts w:ascii="Times New Roman" w:hAnsi="Times New Roman"/>
          <w:i/>
          <w:szCs w:val="24"/>
        </w:rPr>
        <w:t xml:space="preserve">. </w:t>
      </w:r>
      <w:r w:rsidR="00F34A32" w:rsidRPr="00766C2B">
        <w:rPr>
          <w:rFonts w:ascii="Times New Roman" w:hAnsi="Times New Roman"/>
          <w:szCs w:val="24"/>
        </w:rPr>
        <w:t xml:space="preserve">Younger adults did not evince the MNE: </w:t>
      </w:r>
      <w:r w:rsidR="00FA0708" w:rsidRPr="00766C2B">
        <w:rPr>
          <w:rFonts w:ascii="Times New Roman" w:hAnsi="Times New Roman"/>
          <w:szCs w:val="24"/>
        </w:rPr>
        <w:t>t</w:t>
      </w:r>
      <w:r w:rsidR="00F34A32" w:rsidRPr="00766C2B">
        <w:rPr>
          <w:rFonts w:ascii="Times New Roman" w:hAnsi="Times New Roman"/>
          <w:szCs w:val="24"/>
        </w:rPr>
        <w:t xml:space="preserve">he Negativity </w:t>
      </w:r>
      <w:r w:rsidR="005650B6" w:rsidRPr="00766C2B">
        <w:rPr>
          <w:rFonts w:ascii="Times New Roman" w:hAnsi="Times New Roman"/>
          <w:szCs w:val="24"/>
        </w:rPr>
        <w:sym w:font="Symbol" w:char="F0B4"/>
      </w:r>
      <w:r w:rsidR="00F34A32" w:rsidRPr="00766C2B">
        <w:rPr>
          <w:rFonts w:ascii="Times New Roman" w:hAnsi="Times New Roman"/>
          <w:szCs w:val="24"/>
        </w:rPr>
        <w:t xml:space="preserve"> Referent interaction was not significant</w:t>
      </w:r>
      <w:r w:rsidR="00AA3356" w:rsidRPr="00766C2B">
        <w:rPr>
          <w:rFonts w:ascii="Times New Roman" w:hAnsi="Times New Roman"/>
          <w:szCs w:val="24"/>
        </w:rPr>
        <w:t xml:space="preserve">, </w:t>
      </w:r>
      <w:proofErr w:type="gramStart"/>
      <w:r w:rsidRPr="00766C2B">
        <w:rPr>
          <w:rFonts w:ascii="Times New Roman" w:hAnsi="Times New Roman"/>
          <w:i/>
          <w:iCs/>
          <w:szCs w:val="24"/>
        </w:rPr>
        <w:t>F</w:t>
      </w:r>
      <w:r w:rsidRPr="00766C2B">
        <w:rPr>
          <w:rFonts w:ascii="Times New Roman" w:hAnsi="Times New Roman"/>
          <w:szCs w:val="24"/>
        </w:rPr>
        <w:t>(</w:t>
      </w:r>
      <w:proofErr w:type="gramEnd"/>
      <w:r w:rsidRPr="00766C2B">
        <w:rPr>
          <w:rFonts w:ascii="Times New Roman" w:hAnsi="Times New Roman"/>
          <w:szCs w:val="24"/>
        </w:rPr>
        <w:t>1,</w:t>
      </w:r>
      <w:r w:rsidR="00AA3356" w:rsidRPr="00766C2B">
        <w:rPr>
          <w:rFonts w:ascii="Times New Roman" w:hAnsi="Times New Roman"/>
          <w:szCs w:val="24"/>
        </w:rPr>
        <w:t xml:space="preserve"> </w:t>
      </w:r>
      <w:r w:rsidR="00AD4CEA" w:rsidRPr="00766C2B">
        <w:rPr>
          <w:rFonts w:ascii="Times New Roman" w:hAnsi="Times New Roman"/>
          <w:szCs w:val="24"/>
        </w:rPr>
        <w:t>99</w:t>
      </w:r>
      <w:r w:rsidRPr="00766C2B">
        <w:rPr>
          <w:rFonts w:ascii="Times New Roman" w:hAnsi="Times New Roman"/>
          <w:szCs w:val="24"/>
        </w:rPr>
        <w:t xml:space="preserve">) = </w:t>
      </w:r>
      <w:r w:rsidR="00DA334E" w:rsidRPr="00766C2B">
        <w:rPr>
          <w:rFonts w:ascii="Times New Roman" w:hAnsi="Times New Roman"/>
          <w:lang w:val="en-US"/>
        </w:rPr>
        <w:t xml:space="preserve">0.001, </w:t>
      </w:r>
      <w:r w:rsidR="00DA334E" w:rsidRPr="00766C2B">
        <w:rPr>
          <w:rFonts w:ascii="Times New Roman" w:hAnsi="Times New Roman"/>
          <w:i/>
          <w:iCs/>
          <w:lang w:val="en-US"/>
        </w:rPr>
        <w:t>p</w:t>
      </w:r>
      <w:r w:rsidR="00DA334E" w:rsidRPr="00766C2B">
        <w:rPr>
          <w:rFonts w:ascii="Times New Roman" w:hAnsi="Times New Roman"/>
          <w:lang w:val="en-US"/>
        </w:rPr>
        <w:t xml:space="preserve"> = 0.</w:t>
      </w:r>
      <w:r w:rsidR="00AD4CEA" w:rsidRPr="00766C2B">
        <w:rPr>
          <w:rFonts w:ascii="Times New Roman" w:hAnsi="Times New Roman"/>
          <w:lang w:val="en-US"/>
        </w:rPr>
        <w:t>97</w:t>
      </w:r>
      <w:r w:rsidR="009A3619" w:rsidRPr="00766C2B">
        <w:rPr>
          <w:rFonts w:ascii="Times New Roman" w:hAnsi="Times New Roman"/>
          <w:lang w:val="en-US"/>
        </w:rPr>
        <w:t>4</w:t>
      </w:r>
      <w:r w:rsidR="00344542" w:rsidRPr="00766C2B">
        <w:rPr>
          <w:rFonts w:ascii="Times New Roman" w:hAnsi="Times New Roman"/>
          <w:lang w:val="en-US"/>
        </w:rPr>
        <w:t xml:space="preserve">, </w:t>
      </w:r>
      <w:r w:rsidR="00344542" w:rsidRPr="00766C2B">
        <w:rPr>
          <w:rFonts w:ascii="Symbol" w:hAnsi="Symbol"/>
        </w:rPr>
        <w:t></w:t>
      </w:r>
      <w:r w:rsidR="00344542" w:rsidRPr="00766C2B">
        <w:rPr>
          <w:rFonts w:ascii="Times New Roman" w:hAnsi="Times New Roman"/>
          <w:vertAlign w:val="superscript"/>
        </w:rPr>
        <w:t>2</w:t>
      </w:r>
      <w:r w:rsidR="00344542" w:rsidRPr="00766C2B">
        <w:rPr>
          <w:rFonts w:ascii="Times New Roman" w:hAnsi="Times New Roman"/>
        </w:rPr>
        <w:t xml:space="preserve"> = </w:t>
      </w:r>
      <w:r w:rsidR="008946C9" w:rsidRPr="00766C2B">
        <w:rPr>
          <w:rFonts w:ascii="Times New Roman" w:hAnsi="Times New Roman"/>
        </w:rPr>
        <w:t>0</w:t>
      </w:r>
      <w:r w:rsidR="00344542" w:rsidRPr="00766C2B">
        <w:rPr>
          <w:rFonts w:ascii="Times New Roman" w:hAnsi="Times New Roman"/>
        </w:rPr>
        <w:t>.001</w:t>
      </w:r>
      <w:r w:rsidR="00F34A32" w:rsidRPr="00766C2B">
        <w:rPr>
          <w:rFonts w:ascii="Times New Roman" w:hAnsi="Times New Roman"/>
          <w:szCs w:val="24"/>
        </w:rPr>
        <w:t xml:space="preserve">. </w:t>
      </w:r>
    </w:p>
    <w:p w14:paraId="5BA11C64" w14:textId="77777777" w:rsidR="00364E4F" w:rsidRPr="00766C2B" w:rsidRDefault="00364E4F" w:rsidP="00364E4F">
      <w:pPr>
        <w:spacing w:line="480" w:lineRule="auto"/>
        <w:jc w:val="center"/>
        <w:rPr>
          <w:i/>
        </w:rPr>
      </w:pPr>
      <w:r w:rsidRPr="00766C2B">
        <w:rPr>
          <w:i/>
        </w:rPr>
        <w:t xml:space="preserve">Discussion </w:t>
      </w:r>
    </w:p>
    <w:p w14:paraId="0015FC58" w14:textId="0D27EFDC" w:rsidR="00D67743" w:rsidRPr="00766C2B" w:rsidRDefault="00D67743" w:rsidP="00D67743">
      <w:pPr>
        <w:spacing w:line="480" w:lineRule="auto"/>
        <w:ind w:firstLine="720"/>
      </w:pPr>
      <w:r w:rsidRPr="00766C2B">
        <w:rPr>
          <w:noProof/>
        </w:rPr>
        <w:t>We</w:t>
      </w:r>
      <w:r w:rsidRPr="00766C2B">
        <w:t xml:space="preserve"> tested whether older, but not younger, adults would show evidence of impaired recall of highly negative and self-referent dementia-related information, thereby demonstrating the MNE (Cheston et al., 2018; Sedikides et al., 2016). Results were consistent with this hypothesis. Older and younger participants evinced distinct patterns of recall: older participants manifested lower recall of high-negativity (vs. low-negativity) dementia-related statements when these referred to themselves rather </w:t>
      </w:r>
      <w:r w:rsidRPr="00766C2B">
        <w:lastRenderedPageBreak/>
        <w:t>than to another person. Their recall of low-negativity statements did not differ across conditions.</w:t>
      </w:r>
    </w:p>
    <w:p w14:paraId="2E9B7996" w14:textId="0246F003" w:rsidR="00786E54" w:rsidRPr="00766C2B" w:rsidRDefault="00FF177C">
      <w:pPr>
        <w:spacing w:line="480" w:lineRule="auto"/>
        <w:ind w:firstLine="720"/>
        <w:rPr>
          <w:color w:val="000000" w:themeColor="text1"/>
        </w:rPr>
      </w:pPr>
      <w:r w:rsidRPr="00766C2B">
        <w:t xml:space="preserve">These findings are consistent with the psychological literature on self-protective memory (Sedikides, 2012; Sedikides et al., 2016; Zengel et al., 2018) and suggest that older adults selectively forget highly negative information about dementia that is directed at them. </w:t>
      </w:r>
      <w:r w:rsidR="00446D63" w:rsidRPr="00766C2B">
        <w:t>Put otherwise</w:t>
      </w:r>
      <w:r w:rsidRPr="00766C2B">
        <w:t>, the mnemic neglect of highly negative, self-referent dementia-related information may serve a</w:t>
      </w:r>
      <w:r w:rsidR="00446D63" w:rsidRPr="00766C2B">
        <w:t xml:space="preserve"> key</w:t>
      </w:r>
      <w:r w:rsidRPr="00766C2B">
        <w:t xml:space="preserve"> self-protective function for olde</w:t>
      </w:r>
      <w:r w:rsidR="00D67743" w:rsidRPr="00766C2B">
        <w:t>r, but not younger,</w:t>
      </w:r>
      <w:r w:rsidRPr="00766C2B">
        <w:t xml:space="preserve"> adults.</w:t>
      </w:r>
      <w:r w:rsidR="001C7310" w:rsidRPr="00766C2B">
        <w:t xml:space="preserve"> </w:t>
      </w:r>
      <w:bookmarkStart w:id="1" w:name="_Hlk52862534"/>
      <w:r w:rsidR="00315971" w:rsidRPr="00766C2B">
        <w:t xml:space="preserve">Whereas research </w:t>
      </w:r>
      <w:r w:rsidR="00E40276" w:rsidRPr="00766C2B">
        <w:t xml:space="preserve">elsewhere </w:t>
      </w:r>
      <w:r w:rsidR="00315971" w:rsidRPr="00766C2B">
        <w:t xml:space="preserve">has shown that self-referencing information aids recall </w:t>
      </w:r>
      <w:r w:rsidR="00315971" w:rsidRPr="00766C2B">
        <w:rPr>
          <w:color w:val="000000" w:themeColor="text1"/>
        </w:rPr>
        <w:t>(Gutchess et al., 2007; Hamami et al., 2011; Leshikar et al., 2015)</w:t>
      </w:r>
      <w:r w:rsidR="00315971" w:rsidRPr="00766C2B">
        <w:t>, in this study</w:t>
      </w:r>
      <w:r w:rsidR="00786E54" w:rsidRPr="00766C2B">
        <w:rPr>
          <w:color w:val="000000" w:themeColor="text1"/>
        </w:rPr>
        <w:t xml:space="preserve"> self-referencing statements </w:t>
      </w:r>
      <w:r w:rsidR="00315971" w:rsidRPr="00766C2B">
        <w:rPr>
          <w:color w:val="000000" w:themeColor="text1"/>
        </w:rPr>
        <w:t xml:space="preserve">failed to </w:t>
      </w:r>
      <w:r w:rsidR="00786E54" w:rsidRPr="00766C2B">
        <w:rPr>
          <w:color w:val="000000" w:themeColor="text1"/>
        </w:rPr>
        <w:t xml:space="preserve">improve </w:t>
      </w:r>
      <w:r w:rsidR="00315971" w:rsidRPr="00766C2B">
        <w:rPr>
          <w:color w:val="000000" w:themeColor="text1"/>
        </w:rPr>
        <w:t xml:space="preserve">their </w:t>
      </w:r>
      <w:r w:rsidR="00315971" w:rsidRPr="00766C2B">
        <w:t>memorability for older participants</w:t>
      </w:r>
      <w:bookmarkEnd w:id="1"/>
      <w:r w:rsidR="00786E54" w:rsidRPr="00766C2B">
        <w:rPr>
          <w:color w:val="000000" w:themeColor="text1"/>
        </w:rPr>
        <w:t>.</w:t>
      </w:r>
      <w:r w:rsidR="00E40276" w:rsidRPr="00766C2B">
        <w:rPr>
          <w:color w:val="000000" w:themeColor="text1"/>
        </w:rPr>
        <w:t xml:space="preserve"> A</w:t>
      </w:r>
      <w:r w:rsidR="00E50FF6" w:rsidRPr="00766C2B">
        <w:rPr>
          <w:color w:val="000000" w:themeColor="text1"/>
        </w:rPr>
        <w:t xml:space="preserve">t the same time, our </w:t>
      </w:r>
      <w:r w:rsidR="00E40276" w:rsidRPr="00766C2B">
        <w:rPr>
          <w:color w:val="000000" w:themeColor="text1"/>
        </w:rPr>
        <w:t>findings of an age-</w:t>
      </w:r>
      <w:r w:rsidR="00FA0EB3" w:rsidRPr="00766C2B">
        <w:rPr>
          <w:color w:val="000000" w:themeColor="text1"/>
        </w:rPr>
        <w:t xml:space="preserve">related </w:t>
      </w:r>
      <w:r w:rsidR="00E40276" w:rsidRPr="00766C2B">
        <w:rPr>
          <w:color w:val="000000" w:themeColor="text1"/>
        </w:rPr>
        <w:t>recall preference for low-negativity</w:t>
      </w:r>
      <w:r w:rsidR="00FA0EB3" w:rsidRPr="00766C2B">
        <w:rPr>
          <w:color w:val="000000" w:themeColor="text1"/>
        </w:rPr>
        <w:t xml:space="preserve"> and</w:t>
      </w:r>
      <w:r w:rsidR="00F9492C" w:rsidRPr="00766C2B">
        <w:rPr>
          <w:color w:val="000000" w:themeColor="text1"/>
        </w:rPr>
        <w:t xml:space="preserve"> </w:t>
      </w:r>
      <w:r w:rsidR="00E40276" w:rsidRPr="00766C2B">
        <w:rPr>
          <w:color w:val="000000" w:themeColor="text1"/>
        </w:rPr>
        <w:t>relatively positive</w:t>
      </w:r>
      <w:r w:rsidR="00F9492C" w:rsidRPr="00766C2B">
        <w:rPr>
          <w:color w:val="000000" w:themeColor="text1"/>
        </w:rPr>
        <w:t xml:space="preserve"> statements</w:t>
      </w:r>
      <w:r w:rsidR="00E40276" w:rsidRPr="00766C2B">
        <w:rPr>
          <w:color w:val="000000" w:themeColor="text1"/>
        </w:rPr>
        <w:t xml:space="preserve"> over more highly negative statements is </w:t>
      </w:r>
      <w:r w:rsidR="00E50FF6" w:rsidRPr="00766C2B">
        <w:rPr>
          <w:color w:val="000000" w:themeColor="text1"/>
        </w:rPr>
        <w:t>consistent with an age-</w:t>
      </w:r>
      <w:r w:rsidR="00FA0EB3" w:rsidRPr="00766C2B">
        <w:rPr>
          <w:color w:val="000000" w:themeColor="text1"/>
        </w:rPr>
        <w:t xml:space="preserve">related </w:t>
      </w:r>
      <w:r w:rsidR="00E50FF6" w:rsidRPr="00766C2B">
        <w:rPr>
          <w:color w:val="000000" w:themeColor="text1"/>
        </w:rPr>
        <w:t xml:space="preserve">positivity effect (Mather </w:t>
      </w:r>
      <w:r w:rsidR="00DB5EB9" w:rsidRPr="00766C2B">
        <w:rPr>
          <w:color w:val="000000" w:themeColor="text1"/>
        </w:rPr>
        <w:t>&amp;</w:t>
      </w:r>
      <w:r w:rsidR="00E50FF6" w:rsidRPr="00766C2B">
        <w:rPr>
          <w:color w:val="000000" w:themeColor="text1"/>
        </w:rPr>
        <w:t xml:space="preserve"> Carstensen, 2005; Reed &amp; Carstensen, 2012; Reed et al., 2014)</w:t>
      </w:r>
      <w:r w:rsidR="00786E54" w:rsidRPr="00766C2B">
        <w:rPr>
          <w:color w:val="000000" w:themeColor="text1"/>
        </w:rPr>
        <w:t>.</w:t>
      </w:r>
    </w:p>
    <w:p w14:paraId="2A495B48" w14:textId="33BDC955" w:rsidR="001B0235" w:rsidRPr="00766C2B" w:rsidRDefault="00FA0EB3">
      <w:pPr>
        <w:spacing w:line="480" w:lineRule="auto"/>
        <w:ind w:firstLine="720"/>
        <w:rPr>
          <w:color w:val="000000" w:themeColor="text1"/>
        </w:rPr>
      </w:pPr>
      <w:r w:rsidRPr="00766C2B">
        <w:rPr>
          <w:color w:val="000000" w:themeColor="text1"/>
        </w:rPr>
        <w:t xml:space="preserve">Although </w:t>
      </w:r>
      <w:r w:rsidR="001B0235" w:rsidRPr="00766C2B">
        <w:rPr>
          <w:bdr w:val="none" w:sz="0" w:space="0" w:color="auto" w:frame="1"/>
        </w:rPr>
        <w:t>Socioemotional Selectivity Theory</w:t>
      </w:r>
      <w:r w:rsidR="00BD3C43" w:rsidRPr="00766C2B">
        <w:rPr>
          <w:bdr w:val="none" w:sz="0" w:space="0" w:color="auto" w:frame="1"/>
        </w:rPr>
        <w:t>’s</w:t>
      </w:r>
      <w:r w:rsidR="001B0235" w:rsidRPr="00766C2B">
        <w:rPr>
          <w:bdr w:val="none" w:sz="0" w:space="0" w:color="auto" w:frame="1"/>
        </w:rPr>
        <w:t xml:space="preserve"> (Carstensen, 2006) </w:t>
      </w:r>
      <w:r w:rsidR="00BD3C43" w:rsidRPr="00766C2B">
        <w:rPr>
          <w:bdr w:val="none" w:sz="0" w:space="0" w:color="auto" w:frame="1"/>
        </w:rPr>
        <w:t xml:space="preserve">account for </w:t>
      </w:r>
      <w:r w:rsidR="001B0235" w:rsidRPr="00766C2B">
        <w:rPr>
          <w:bdr w:val="none" w:sz="0" w:space="0" w:color="auto" w:frame="1"/>
        </w:rPr>
        <w:t xml:space="preserve">the positivity effect </w:t>
      </w:r>
      <w:r w:rsidR="00BD3C43" w:rsidRPr="00766C2B">
        <w:rPr>
          <w:bdr w:val="none" w:sz="0" w:space="0" w:color="auto" w:frame="1"/>
        </w:rPr>
        <w:t xml:space="preserve">is </w:t>
      </w:r>
      <w:r w:rsidR="001B0235" w:rsidRPr="00766C2B">
        <w:rPr>
          <w:bdr w:val="none" w:sz="0" w:space="0" w:color="auto" w:frame="1"/>
        </w:rPr>
        <w:t xml:space="preserve">mostly motivational, cognitive factors </w:t>
      </w:r>
      <w:r w:rsidR="00BD3C43" w:rsidRPr="00766C2B">
        <w:rPr>
          <w:bdr w:val="none" w:sz="0" w:space="0" w:color="auto" w:frame="1"/>
        </w:rPr>
        <w:t xml:space="preserve">are also relevant. For example, </w:t>
      </w:r>
      <w:r w:rsidR="001B0235" w:rsidRPr="00766C2B">
        <w:rPr>
          <w:bdr w:val="none" w:sz="0" w:space="0" w:color="auto" w:frame="1"/>
        </w:rPr>
        <w:t>older adults who are more cognitively healthy are more likely to exhibit the positivity effect. In th</w:t>
      </w:r>
      <w:r w:rsidR="008E3EBF" w:rsidRPr="00766C2B">
        <w:rPr>
          <w:bdr w:val="none" w:sz="0" w:space="0" w:color="auto" w:frame="1"/>
        </w:rPr>
        <w:t>e current</w:t>
      </w:r>
      <w:r w:rsidR="001B0235" w:rsidRPr="00766C2B">
        <w:rPr>
          <w:bdr w:val="none" w:sz="0" w:space="0" w:color="auto" w:frame="1"/>
        </w:rPr>
        <w:t xml:space="preserve"> study</w:t>
      </w:r>
      <w:r w:rsidR="00BD3C43" w:rsidRPr="00766C2B">
        <w:rPr>
          <w:bdr w:val="none" w:sz="0" w:space="0" w:color="auto" w:frame="1"/>
        </w:rPr>
        <w:t>,</w:t>
      </w:r>
      <w:r w:rsidR="001B0235" w:rsidRPr="00766C2B">
        <w:rPr>
          <w:bdr w:val="none" w:sz="0" w:space="0" w:color="auto" w:frame="1"/>
        </w:rPr>
        <w:t xml:space="preserve"> we were </w:t>
      </w:r>
      <w:r w:rsidR="00BD3C43" w:rsidRPr="00766C2B">
        <w:rPr>
          <w:bdr w:val="none" w:sz="0" w:space="0" w:color="auto" w:frame="1"/>
        </w:rPr>
        <w:t>un</w:t>
      </w:r>
      <w:r w:rsidR="001B0235" w:rsidRPr="00766C2B">
        <w:rPr>
          <w:bdr w:val="none" w:sz="0" w:space="0" w:color="auto" w:frame="1"/>
        </w:rPr>
        <w:t xml:space="preserve">able to </w:t>
      </w:r>
      <w:r w:rsidR="00BD3C43" w:rsidRPr="00766C2B">
        <w:rPr>
          <w:bdr w:val="none" w:sz="0" w:space="0" w:color="auto" w:frame="1"/>
        </w:rPr>
        <w:t xml:space="preserve">test </w:t>
      </w:r>
      <w:r w:rsidR="001B0235" w:rsidRPr="00766C2B">
        <w:rPr>
          <w:bdr w:val="none" w:sz="0" w:space="0" w:color="auto" w:frame="1"/>
        </w:rPr>
        <w:t xml:space="preserve">directly whether cognitive factors </w:t>
      </w:r>
      <w:r w:rsidR="000E7238" w:rsidRPr="00766C2B">
        <w:rPr>
          <w:bdr w:val="none" w:sz="0" w:space="0" w:color="auto" w:frame="1"/>
        </w:rPr>
        <w:t xml:space="preserve">played a role in </w:t>
      </w:r>
      <w:r w:rsidR="001B0235" w:rsidRPr="00766C2B">
        <w:rPr>
          <w:bdr w:val="none" w:sz="0" w:space="0" w:color="auto" w:frame="1"/>
        </w:rPr>
        <w:t>th</w:t>
      </w:r>
      <w:r w:rsidR="00F41E02" w:rsidRPr="00766C2B">
        <w:rPr>
          <w:bdr w:val="none" w:sz="0" w:space="0" w:color="auto" w:frame="1"/>
        </w:rPr>
        <w:t xml:space="preserve">e </w:t>
      </w:r>
      <w:r w:rsidR="00BD3C43" w:rsidRPr="00766C2B">
        <w:rPr>
          <w:bdr w:val="none" w:sz="0" w:space="0" w:color="auto" w:frame="1"/>
        </w:rPr>
        <w:t>MNE,</w:t>
      </w:r>
      <w:r w:rsidR="001B0235" w:rsidRPr="00766C2B">
        <w:rPr>
          <w:bdr w:val="none" w:sz="0" w:space="0" w:color="auto" w:frame="1"/>
        </w:rPr>
        <w:t xml:space="preserve"> as</w:t>
      </w:r>
      <w:r w:rsidR="000E7238" w:rsidRPr="00766C2B">
        <w:rPr>
          <w:bdr w:val="none" w:sz="0" w:space="0" w:color="auto" w:frame="1"/>
        </w:rPr>
        <w:t xml:space="preserve"> participants did not vary enough on cognitive capacity</w:t>
      </w:r>
      <w:r w:rsidR="001B0235" w:rsidRPr="00766C2B">
        <w:rPr>
          <w:bdr w:val="none" w:sz="0" w:space="0" w:color="auto" w:frame="1"/>
        </w:rPr>
        <w:t xml:space="preserve">. However, using the same </w:t>
      </w:r>
      <w:r w:rsidR="00F41E02" w:rsidRPr="00766C2B">
        <w:rPr>
          <w:bdr w:val="none" w:sz="0" w:space="0" w:color="auto" w:frame="1"/>
        </w:rPr>
        <w:t xml:space="preserve">dementia related </w:t>
      </w:r>
      <w:r w:rsidR="001B0235" w:rsidRPr="00766C2B">
        <w:rPr>
          <w:bdr w:val="none" w:sz="0" w:space="0" w:color="auto" w:frame="1"/>
        </w:rPr>
        <w:t>materials</w:t>
      </w:r>
      <w:r w:rsidR="000E7238" w:rsidRPr="00766C2B">
        <w:rPr>
          <w:bdr w:val="none" w:sz="0" w:space="0" w:color="auto" w:frame="1"/>
        </w:rPr>
        <w:t>,</w:t>
      </w:r>
      <w:r w:rsidR="001B0235" w:rsidRPr="00766C2B">
        <w:rPr>
          <w:bdr w:val="none" w:sz="0" w:space="0" w:color="auto" w:frame="1"/>
        </w:rPr>
        <w:t xml:space="preserve"> Cheston et al. (2020)</w:t>
      </w:r>
      <w:r w:rsidR="00F41E02" w:rsidRPr="00766C2B">
        <w:rPr>
          <w:bdr w:val="none" w:sz="0" w:space="0" w:color="auto" w:frame="1"/>
        </w:rPr>
        <w:t xml:space="preserve"> show</w:t>
      </w:r>
      <w:r w:rsidR="008E3EBF" w:rsidRPr="00766C2B">
        <w:rPr>
          <w:bdr w:val="none" w:sz="0" w:space="0" w:color="auto" w:frame="1"/>
        </w:rPr>
        <w:t>ed</w:t>
      </w:r>
      <w:r w:rsidR="00F41E02" w:rsidRPr="00766C2B">
        <w:rPr>
          <w:bdr w:val="none" w:sz="0" w:space="0" w:color="auto" w:frame="1"/>
        </w:rPr>
        <w:t xml:space="preserve"> </w:t>
      </w:r>
      <w:r w:rsidR="000E7238" w:rsidRPr="00766C2B">
        <w:rPr>
          <w:bdr w:val="none" w:sz="0" w:space="0" w:color="auto" w:frame="1"/>
        </w:rPr>
        <w:t xml:space="preserve">that </w:t>
      </w:r>
      <w:r w:rsidR="00F41E02" w:rsidRPr="00766C2B">
        <w:rPr>
          <w:bdr w:val="none" w:sz="0" w:space="0" w:color="auto" w:frame="1"/>
        </w:rPr>
        <w:t>participants with mild to moderate levels of cognitive impairment</w:t>
      </w:r>
      <w:r w:rsidR="008E3EBF" w:rsidRPr="00766C2B">
        <w:rPr>
          <w:bdr w:val="none" w:sz="0" w:space="0" w:color="auto" w:frame="1"/>
        </w:rPr>
        <w:t>,</w:t>
      </w:r>
      <w:r w:rsidR="00F41E02" w:rsidRPr="00766C2B">
        <w:rPr>
          <w:bdr w:val="none" w:sz="0" w:space="0" w:color="auto" w:frame="1"/>
        </w:rPr>
        <w:t xml:space="preserve"> due to dementia</w:t>
      </w:r>
      <w:r w:rsidR="008E3EBF" w:rsidRPr="00766C2B">
        <w:rPr>
          <w:bdr w:val="none" w:sz="0" w:space="0" w:color="auto" w:frame="1"/>
        </w:rPr>
        <w:t>,</w:t>
      </w:r>
      <w:r w:rsidR="000E7238" w:rsidRPr="00766C2B">
        <w:rPr>
          <w:bdr w:val="none" w:sz="0" w:space="0" w:color="auto" w:frame="1"/>
        </w:rPr>
        <w:t xml:space="preserve"> display the MNE</w:t>
      </w:r>
      <w:r w:rsidR="00F41E02" w:rsidRPr="00766C2B">
        <w:rPr>
          <w:bdr w:val="none" w:sz="0" w:space="0" w:color="auto" w:frame="1"/>
        </w:rPr>
        <w:t xml:space="preserve">. </w:t>
      </w:r>
      <w:r w:rsidR="000E7238" w:rsidRPr="00766C2B">
        <w:rPr>
          <w:bdr w:val="none" w:sz="0" w:space="0" w:color="auto" w:frame="1"/>
        </w:rPr>
        <w:t xml:space="preserve">It is possible that the memorial </w:t>
      </w:r>
      <w:r w:rsidR="00F41E02" w:rsidRPr="00766C2B">
        <w:rPr>
          <w:bdr w:val="none" w:sz="0" w:space="0" w:color="auto" w:frame="1"/>
        </w:rPr>
        <w:t>neglect of highly negative self-referent information</w:t>
      </w:r>
      <w:r w:rsidR="000E7238" w:rsidRPr="00766C2B">
        <w:rPr>
          <w:bdr w:val="none" w:sz="0" w:space="0" w:color="auto" w:frame="1"/>
        </w:rPr>
        <w:t xml:space="preserve"> does not require a high level of cognitive abilities</w:t>
      </w:r>
      <w:r w:rsidR="00F41E02" w:rsidRPr="00766C2B">
        <w:rPr>
          <w:bdr w:val="none" w:sz="0" w:space="0" w:color="auto" w:frame="1"/>
        </w:rPr>
        <w:t>.</w:t>
      </w:r>
    </w:p>
    <w:p w14:paraId="31940BF4" w14:textId="236A9C52" w:rsidR="00E03286" w:rsidRPr="00766C2B" w:rsidRDefault="000E7238">
      <w:pPr>
        <w:spacing w:line="480" w:lineRule="auto"/>
        <w:ind w:firstLine="720"/>
        <w:rPr>
          <w:shd w:val="clear" w:color="auto" w:fill="FFFFFF"/>
        </w:rPr>
      </w:pPr>
      <w:r w:rsidRPr="00766C2B">
        <w:rPr>
          <w:lang w:val="en-US"/>
        </w:rPr>
        <w:lastRenderedPageBreak/>
        <w:t>Whereas research on</w:t>
      </w:r>
      <w:r w:rsidR="00E03286" w:rsidRPr="00766C2B">
        <w:rPr>
          <w:lang w:val="en-US"/>
        </w:rPr>
        <w:t xml:space="preserve"> dementia as a threat has been relatively </w:t>
      </w:r>
      <w:r w:rsidR="0074472D" w:rsidRPr="00766C2B">
        <w:rPr>
          <w:lang w:val="en-US"/>
        </w:rPr>
        <w:t>scarce</w:t>
      </w:r>
      <w:r w:rsidR="00E03286" w:rsidRPr="00766C2B">
        <w:rPr>
          <w:lang w:val="en-US"/>
        </w:rPr>
        <w:t>, the construct of dementia worry (</w:t>
      </w:r>
      <w:r w:rsidR="0074472D" w:rsidRPr="00766C2B">
        <w:rPr>
          <w:lang w:val="en-US"/>
        </w:rPr>
        <w:t xml:space="preserve">i.e., </w:t>
      </w:r>
      <w:r w:rsidR="00E03286" w:rsidRPr="00766C2B">
        <w:rPr>
          <w:lang w:val="en-US"/>
        </w:rPr>
        <w:t xml:space="preserve">a person’s fear that they may develop dementia themselves) </w:t>
      </w:r>
      <w:r w:rsidR="00E03286" w:rsidRPr="00766C2B">
        <w:rPr>
          <w:bdr w:val="none" w:sz="0" w:space="0" w:color="auto" w:frame="1"/>
        </w:rPr>
        <w:t>has been discussed in the older adult stereotype</w:t>
      </w:r>
      <w:r w:rsidR="0074472D" w:rsidRPr="00766C2B">
        <w:rPr>
          <w:bdr w:val="none" w:sz="0" w:space="0" w:color="auto" w:frame="1"/>
        </w:rPr>
        <w:t>-</w:t>
      </w:r>
      <w:r w:rsidR="00E03286" w:rsidRPr="00766C2B">
        <w:rPr>
          <w:bdr w:val="none" w:sz="0" w:space="0" w:color="auto" w:frame="1"/>
        </w:rPr>
        <w:t>threat literature (Kessler et al., 2012, 2014</w:t>
      </w:r>
      <w:r w:rsidR="00032B9C" w:rsidRPr="00766C2B">
        <w:rPr>
          <w:bdr w:val="none" w:sz="0" w:space="0" w:color="auto" w:frame="1"/>
        </w:rPr>
        <w:t>; Martin et al., 2020</w:t>
      </w:r>
      <w:r w:rsidR="00E03286" w:rsidRPr="00766C2B">
        <w:rPr>
          <w:bdr w:val="none" w:sz="0" w:space="0" w:color="auto" w:frame="1"/>
        </w:rPr>
        <w:t xml:space="preserve">). There is evidence that </w:t>
      </w:r>
      <w:r w:rsidR="00E03286" w:rsidRPr="00766C2B">
        <w:rPr>
          <w:shd w:val="clear" w:color="auto" w:fill="FFFFFF"/>
        </w:rPr>
        <w:t>levels of dementia threat and fears about developing dementia oneself are separate but overlapping constructs</w:t>
      </w:r>
      <w:r w:rsidR="00E03286" w:rsidRPr="00766C2B">
        <w:rPr>
          <w:bdr w:val="none" w:sz="0" w:space="0" w:color="auto" w:frame="1"/>
        </w:rPr>
        <w:t>. Thus</w:t>
      </w:r>
      <w:r w:rsidR="0074472D" w:rsidRPr="00766C2B">
        <w:rPr>
          <w:bdr w:val="none" w:sz="0" w:space="0" w:color="auto" w:frame="1"/>
        </w:rPr>
        <w:t>,</w:t>
      </w:r>
      <w:r w:rsidR="00E03286" w:rsidRPr="00766C2B">
        <w:rPr>
          <w:bdr w:val="none" w:sz="0" w:space="0" w:color="auto" w:frame="1"/>
        </w:rPr>
        <w:t xml:space="preserve"> </w:t>
      </w:r>
      <w:r w:rsidR="0074472D" w:rsidRPr="00766C2B">
        <w:rPr>
          <w:bdr w:val="none" w:sz="0" w:space="0" w:color="auto" w:frame="1"/>
        </w:rPr>
        <w:t>the</w:t>
      </w:r>
      <w:r w:rsidR="00E03286" w:rsidRPr="00766C2B">
        <w:rPr>
          <w:lang w:val="en-US"/>
        </w:rPr>
        <w:t xml:space="preserve"> positive relationship between </w:t>
      </w:r>
      <w:r w:rsidR="00E03286" w:rsidRPr="00766C2B">
        <w:rPr>
          <w:shd w:val="clear" w:color="auto" w:fill="FFFFFF"/>
        </w:rPr>
        <w:t>dementia threat and dementia worry</w:t>
      </w:r>
      <w:r w:rsidR="0074472D" w:rsidRPr="00766C2B">
        <w:rPr>
          <w:shd w:val="clear" w:color="auto" w:fill="FFFFFF"/>
        </w:rPr>
        <w:t xml:space="preserve"> may be</w:t>
      </w:r>
      <w:r w:rsidR="00E03286" w:rsidRPr="00766C2B">
        <w:rPr>
          <w:shd w:val="clear" w:color="auto" w:fill="FFFFFF"/>
        </w:rPr>
        <w:t xml:space="preserve"> primarily driven by a significant positive correlation between levels of threat and the extent to which the person catastrophizes about the risk of having dementia themselves (Cheston et al., 2020). Contrastingly, other aspects of dementia worry</w:t>
      </w:r>
      <w:r w:rsidR="0074472D" w:rsidRPr="00766C2B">
        <w:rPr>
          <w:shd w:val="clear" w:color="auto" w:fill="FFFFFF"/>
        </w:rPr>
        <w:t>,</w:t>
      </w:r>
      <w:r w:rsidR="00E03286" w:rsidRPr="00766C2B">
        <w:rPr>
          <w:shd w:val="clear" w:color="auto" w:fill="FFFFFF"/>
        </w:rPr>
        <w:t xml:space="preserve"> such as a person’s general fears about dementia or the extent to which thinking about dementia cause them to feel anxious, </w:t>
      </w:r>
      <w:r w:rsidR="0074472D" w:rsidRPr="00766C2B">
        <w:rPr>
          <w:shd w:val="clear" w:color="auto" w:fill="FFFFFF"/>
        </w:rPr>
        <w:t xml:space="preserve">are </w:t>
      </w:r>
      <w:r w:rsidR="00E03286" w:rsidRPr="00766C2B">
        <w:rPr>
          <w:shd w:val="clear" w:color="auto" w:fill="FFFFFF"/>
        </w:rPr>
        <w:t>associated with the person’s overall levels of anxiety rather than the extent to which the self is threatened by dementia (Cheston et al</w:t>
      </w:r>
      <w:r w:rsidR="0074472D" w:rsidRPr="00766C2B">
        <w:rPr>
          <w:shd w:val="clear" w:color="auto" w:fill="FFFFFF"/>
        </w:rPr>
        <w:t>.</w:t>
      </w:r>
      <w:r w:rsidR="00E03286" w:rsidRPr="00766C2B">
        <w:rPr>
          <w:shd w:val="clear" w:color="auto" w:fill="FFFFFF"/>
        </w:rPr>
        <w:t>, 2020).</w:t>
      </w:r>
    </w:p>
    <w:p w14:paraId="19A938F0" w14:textId="2BBBFD10" w:rsidR="00693EFB" w:rsidRPr="00766C2B" w:rsidRDefault="00E03286" w:rsidP="00EC2055">
      <w:pPr>
        <w:spacing w:line="480" w:lineRule="auto"/>
        <w:ind w:firstLine="720"/>
      </w:pPr>
      <w:r w:rsidRPr="00766C2B">
        <w:t>R</w:t>
      </w:r>
      <w:r w:rsidR="00061865" w:rsidRPr="00766C2B">
        <w:t xml:space="preserve">esearch </w:t>
      </w:r>
      <w:r w:rsidRPr="00766C2B">
        <w:t xml:space="preserve">into dementia threat </w:t>
      </w:r>
      <w:r w:rsidR="00446D63" w:rsidRPr="00766C2B">
        <w:t xml:space="preserve">is </w:t>
      </w:r>
      <w:r w:rsidR="00786E54" w:rsidRPr="00766C2B">
        <w:t xml:space="preserve">also </w:t>
      </w:r>
      <w:r w:rsidR="00446D63" w:rsidRPr="00766C2B">
        <w:t>consistent with</w:t>
      </w:r>
      <w:r w:rsidR="00061865" w:rsidRPr="00766C2B">
        <w:t xml:space="preserve"> </w:t>
      </w:r>
      <w:r w:rsidR="00732687" w:rsidRPr="00766C2B">
        <w:t>the possibility that</w:t>
      </w:r>
      <w:r w:rsidR="008723BC" w:rsidRPr="00766C2B">
        <w:t>,</w:t>
      </w:r>
      <w:r w:rsidR="00732687" w:rsidRPr="00766C2B">
        <w:t xml:space="preserve"> for older (but not younger) adults</w:t>
      </w:r>
      <w:r w:rsidR="008723BC" w:rsidRPr="00766C2B">
        <w:t>,</w:t>
      </w:r>
      <w:r w:rsidR="00732687" w:rsidRPr="00766C2B">
        <w:t xml:space="preserve"> dementia</w:t>
      </w:r>
      <w:r w:rsidR="00446D63" w:rsidRPr="00766C2B">
        <w:t xml:space="preserve"> not only</w:t>
      </w:r>
      <w:r w:rsidR="00732687" w:rsidRPr="00766C2B">
        <w:t xml:space="preserve"> </w:t>
      </w:r>
      <w:r w:rsidR="00446D63" w:rsidRPr="00766C2B">
        <w:t>constitutes</w:t>
      </w:r>
      <w:r w:rsidR="00732687" w:rsidRPr="00766C2B">
        <w:t xml:space="preserve"> a threat</w:t>
      </w:r>
      <w:r w:rsidR="00446D63" w:rsidRPr="00766C2B">
        <w:t xml:space="preserve">, but also </w:t>
      </w:r>
      <w:r w:rsidR="00FD7120" w:rsidRPr="00766C2B">
        <w:t xml:space="preserve">that </w:t>
      </w:r>
      <w:r w:rsidR="00446D63" w:rsidRPr="00766C2B">
        <w:t xml:space="preserve">this threat </w:t>
      </w:r>
      <w:r w:rsidR="00732687" w:rsidRPr="00766C2B">
        <w:t>can interfere with cognitive processing</w:t>
      </w:r>
      <w:r w:rsidR="00061865" w:rsidRPr="00766C2B">
        <w:t xml:space="preserve">. </w:t>
      </w:r>
      <w:r w:rsidR="00F85F36" w:rsidRPr="00766C2B">
        <w:t xml:space="preserve">A relevant study (Mazerolle et al., 2016) </w:t>
      </w:r>
      <w:r w:rsidR="00732687" w:rsidRPr="00766C2B">
        <w:t xml:space="preserve">manipulated the conditions </w:t>
      </w:r>
      <w:r w:rsidR="00F85F36" w:rsidRPr="00766C2B">
        <w:t xml:space="preserve">under </w:t>
      </w:r>
      <w:r w:rsidR="00732687" w:rsidRPr="00766C2B">
        <w:t xml:space="preserve">which older adults completed cognitive screening assessments: </w:t>
      </w:r>
      <w:r w:rsidR="00012568" w:rsidRPr="00766C2B">
        <w:t>p</w:t>
      </w:r>
      <w:r w:rsidR="00953831" w:rsidRPr="00766C2B">
        <w:t xml:space="preserve">articipants were allocated </w:t>
      </w:r>
      <w:r w:rsidR="00F85F36" w:rsidRPr="00766C2B">
        <w:t xml:space="preserve">either </w:t>
      </w:r>
      <w:r w:rsidR="00953831" w:rsidRPr="00766C2B">
        <w:t xml:space="preserve">to a reduced-threat condition (in which they </w:t>
      </w:r>
      <w:r w:rsidR="00F85F36" w:rsidRPr="00766C2B">
        <w:t>learned</w:t>
      </w:r>
      <w:r w:rsidR="00953831" w:rsidRPr="00766C2B">
        <w:t xml:space="preserve"> that </w:t>
      </w:r>
      <w:r w:rsidR="003A3198" w:rsidRPr="00766C2B">
        <w:t xml:space="preserve">the assessments were age-fair and </w:t>
      </w:r>
      <w:r w:rsidR="00953831" w:rsidRPr="00766C2B">
        <w:t xml:space="preserve">there were no differences between older and </w:t>
      </w:r>
      <w:r w:rsidR="003A3198" w:rsidRPr="00766C2B">
        <w:t xml:space="preserve">younger </w:t>
      </w:r>
      <w:r w:rsidR="00184237" w:rsidRPr="00766C2B">
        <w:t xml:space="preserve">adults’ </w:t>
      </w:r>
      <w:r w:rsidR="003A3198" w:rsidRPr="00766C2B">
        <w:t>perform</w:t>
      </w:r>
      <w:r w:rsidR="00184237" w:rsidRPr="00766C2B">
        <w:t>ance</w:t>
      </w:r>
      <w:r w:rsidR="003A3198" w:rsidRPr="00766C2B">
        <w:t>) or a threat condition</w:t>
      </w:r>
      <w:r w:rsidR="00F85F36" w:rsidRPr="00766C2B">
        <w:t xml:space="preserve"> (</w:t>
      </w:r>
      <w:r w:rsidR="003A3198" w:rsidRPr="00766C2B">
        <w:t>in which the</w:t>
      </w:r>
      <w:r w:rsidR="00184237" w:rsidRPr="00766C2B">
        <w:t xml:space="preserve">y received no </w:t>
      </w:r>
      <w:r w:rsidR="003A3198" w:rsidRPr="00766C2B">
        <w:t>instructions</w:t>
      </w:r>
      <w:r w:rsidR="00F85F36" w:rsidRPr="00766C2B">
        <w:t>)</w:t>
      </w:r>
      <w:r w:rsidR="003A3198" w:rsidRPr="00766C2B">
        <w:t xml:space="preserve">. Participants </w:t>
      </w:r>
      <w:r w:rsidR="00EC2055" w:rsidRPr="00766C2B">
        <w:t xml:space="preserve">in the threat condition </w:t>
      </w:r>
      <w:r w:rsidR="003A3198" w:rsidRPr="00766C2B">
        <w:t>performed at a lower level</w:t>
      </w:r>
      <w:r w:rsidR="00F85F36" w:rsidRPr="00766C2B">
        <w:t>,</w:t>
      </w:r>
      <w:r w:rsidR="003A3198" w:rsidRPr="00766C2B">
        <w:t xml:space="preserve"> with 40</w:t>
      </w:r>
      <w:r w:rsidR="00F85F36" w:rsidRPr="00766C2B">
        <w:t>%</w:t>
      </w:r>
      <w:r w:rsidR="003A3198" w:rsidRPr="00766C2B">
        <w:t xml:space="preserve"> scoring below the cut-off threshold for Mild Cognitive Impairment. </w:t>
      </w:r>
      <w:r w:rsidR="00F85F36" w:rsidRPr="00766C2B">
        <w:t>However, only 10% of participants i</w:t>
      </w:r>
      <w:r w:rsidR="003A3198" w:rsidRPr="00766C2B">
        <w:t>n the reduced threat condition</w:t>
      </w:r>
      <w:r w:rsidR="00953831" w:rsidRPr="00766C2B">
        <w:t xml:space="preserve"> scored below </w:t>
      </w:r>
      <w:r w:rsidR="00EC2055" w:rsidRPr="00766C2B">
        <w:t xml:space="preserve">this </w:t>
      </w:r>
      <w:r w:rsidR="00953831" w:rsidRPr="00766C2B">
        <w:t>cut-off threshold</w:t>
      </w:r>
      <w:r w:rsidR="00184237" w:rsidRPr="00766C2B">
        <w:t xml:space="preserve"> (see also: Desrichard &amp; K</w:t>
      </w:r>
      <w:r w:rsidR="00184237" w:rsidRPr="00766C2B">
        <w:rPr>
          <w:color w:val="000000"/>
        </w:rPr>
        <w:t>öpetz, 2005; Kang &amp; Chasteen, 2009)</w:t>
      </w:r>
      <w:r w:rsidR="00953831" w:rsidRPr="00766C2B">
        <w:t xml:space="preserve">. </w:t>
      </w:r>
      <w:r w:rsidR="003A3198" w:rsidRPr="00766C2B">
        <w:t>The</w:t>
      </w:r>
      <w:r w:rsidR="00184237" w:rsidRPr="00766C2B">
        <w:t xml:space="preserve"> relative</w:t>
      </w:r>
      <w:r w:rsidR="003A3198" w:rsidRPr="00766C2B">
        <w:t xml:space="preserve"> </w:t>
      </w:r>
      <w:r w:rsidR="00693EFB" w:rsidRPr="00766C2B">
        <w:t>performance deficit</w:t>
      </w:r>
      <w:r w:rsidR="003A3198" w:rsidRPr="00766C2B">
        <w:t xml:space="preserve"> was </w:t>
      </w:r>
      <w:r w:rsidR="00184237" w:rsidRPr="00766C2B">
        <w:t>due to</w:t>
      </w:r>
      <w:r w:rsidR="003A3198" w:rsidRPr="00766C2B">
        <w:t xml:space="preserve"> </w:t>
      </w:r>
      <w:r w:rsidR="00693EFB" w:rsidRPr="00766C2B">
        <w:t>threat</w:t>
      </w:r>
      <w:r w:rsidR="003A3198" w:rsidRPr="00766C2B">
        <w:t xml:space="preserve"> </w:t>
      </w:r>
      <w:r w:rsidR="00693EFB" w:rsidRPr="00766C2B">
        <w:t>aris</w:t>
      </w:r>
      <w:r w:rsidR="003A3198" w:rsidRPr="00766C2B">
        <w:t>ing</w:t>
      </w:r>
      <w:r w:rsidR="00693EFB" w:rsidRPr="00766C2B">
        <w:t xml:space="preserve"> from the activation </w:t>
      </w:r>
      <w:r w:rsidR="00693EFB" w:rsidRPr="00766C2B">
        <w:lastRenderedPageBreak/>
        <w:t>of negative stereotypes of ageing</w:t>
      </w:r>
      <w:r w:rsidR="008D616C" w:rsidRPr="00766C2B">
        <w:t>,</w:t>
      </w:r>
      <w:r w:rsidR="00693EFB" w:rsidRPr="00766C2B">
        <w:t xml:space="preserve"> such as beliefs that ageing inevitably causes severe cognitive decline and Alzheimer’s disease (</w:t>
      </w:r>
      <w:r w:rsidR="00693EFB" w:rsidRPr="00766C2B">
        <w:rPr>
          <w:color w:val="222222"/>
          <w:shd w:val="clear" w:color="auto" w:fill="FFFFFF"/>
        </w:rPr>
        <w:t>Lamont</w:t>
      </w:r>
      <w:r w:rsidR="001C7310" w:rsidRPr="00766C2B">
        <w:rPr>
          <w:color w:val="222222"/>
          <w:shd w:val="clear" w:color="auto" w:fill="FFFFFF"/>
        </w:rPr>
        <w:t xml:space="preserve"> et al.</w:t>
      </w:r>
      <w:r w:rsidR="00693EFB" w:rsidRPr="00766C2B">
        <w:rPr>
          <w:color w:val="222222"/>
          <w:shd w:val="clear" w:color="auto" w:fill="FFFFFF"/>
        </w:rPr>
        <w:t>, 2015</w:t>
      </w:r>
      <w:r w:rsidR="00743C5D" w:rsidRPr="00766C2B">
        <w:rPr>
          <w:color w:val="222222"/>
          <w:shd w:val="clear" w:color="auto" w:fill="FFFFFF"/>
        </w:rPr>
        <w:t>; O’Brien &amp; Hummert, 2006</w:t>
      </w:r>
      <w:r w:rsidR="001C7310" w:rsidRPr="00766C2B">
        <w:rPr>
          <w:color w:val="222222"/>
          <w:shd w:val="clear" w:color="auto" w:fill="FFFFFF"/>
        </w:rPr>
        <w:t>; Weiss &amp; Lang, 2012</w:t>
      </w:r>
      <w:r w:rsidR="00693EFB" w:rsidRPr="00766C2B">
        <w:rPr>
          <w:color w:val="222222"/>
          <w:shd w:val="clear" w:color="auto" w:fill="FFFFFF"/>
        </w:rPr>
        <w:t>)</w:t>
      </w:r>
      <w:r w:rsidR="00693EFB" w:rsidRPr="00766C2B">
        <w:t xml:space="preserve">. </w:t>
      </w:r>
    </w:p>
    <w:p w14:paraId="0BFA0E22" w14:textId="75CADDE3" w:rsidR="00693EFB" w:rsidRPr="00766C2B" w:rsidRDefault="00693EFB" w:rsidP="00693EFB">
      <w:pPr>
        <w:spacing w:line="480" w:lineRule="auto"/>
        <w:rPr>
          <w:b/>
          <w:i/>
        </w:rPr>
      </w:pPr>
      <w:r w:rsidRPr="00766C2B">
        <w:rPr>
          <w:color w:val="222222"/>
          <w:shd w:val="clear" w:color="auto" w:fill="FFFFFF"/>
        </w:rPr>
        <w:tab/>
      </w:r>
      <w:r w:rsidR="004E5810" w:rsidRPr="00766C2B">
        <w:rPr>
          <w:color w:val="222222"/>
          <w:shd w:val="clear" w:color="auto" w:fill="FFFFFF"/>
        </w:rPr>
        <w:t>Nevertheless, t</w:t>
      </w:r>
      <w:r w:rsidRPr="00766C2B">
        <w:rPr>
          <w:color w:val="222222"/>
          <w:shd w:val="clear" w:color="auto" w:fill="FFFFFF"/>
        </w:rPr>
        <w:t>here are differences</w:t>
      </w:r>
      <w:r w:rsidR="004E5810" w:rsidRPr="00766C2B">
        <w:rPr>
          <w:color w:val="222222"/>
          <w:shd w:val="clear" w:color="auto" w:fill="FFFFFF"/>
        </w:rPr>
        <w:t xml:space="preserve"> </w:t>
      </w:r>
      <w:r w:rsidRPr="00766C2B">
        <w:rPr>
          <w:color w:val="222222"/>
          <w:shd w:val="clear" w:color="auto" w:fill="FFFFFF"/>
        </w:rPr>
        <w:t>between</w:t>
      </w:r>
      <w:r w:rsidR="000F7D29" w:rsidRPr="00766C2B">
        <w:rPr>
          <w:color w:val="222222"/>
          <w:shd w:val="clear" w:color="auto" w:fill="FFFFFF"/>
        </w:rPr>
        <w:t xml:space="preserve"> our</w:t>
      </w:r>
      <w:r w:rsidRPr="00766C2B">
        <w:rPr>
          <w:color w:val="222222"/>
          <w:shd w:val="clear" w:color="auto" w:fill="FFFFFF"/>
        </w:rPr>
        <w:t xml:space="preserve"> study and studies o</w:t>
      </w:r>
      <w:r w:rsidR="008D616C" w:rsidRPr="00766C2B">
        <w:rPr>
          <w:color w:val="222222"/>
          <w:shd w:val="clear" w:color="auto" w:fill="FFFFFF"/>
        </w:rPr>
        <w:t>n</w:t>
      </w:r>
      <w:r w:rsidRPr="00766C2B">
        <w:rPr>
          <w:color w:val="222222"/>
          <w:shd w:val="clear" w:color="auto" w:fill="FFFFFF"/>
        </w:rPr>
        <w:t xml:space="preserve"> the effects of ageing stereotypes</w:t>
      </w:r>
      <w:r w:rsidR="001C7310" w:rsidRPr="00766C2B">
        <w:rPr>
          <w:color w:val="222222"/>
          <w:shd w:val="clear" w:color="auto" w:fill="FFFFFF"/>
        </w:rPr>
        <w:t xml:space="preserve"> on memory performance</w:t>
      </w:r>
      <w:r w:rsidRPr="00766C2B">
        <w:rPr>
          <w:color w:val="222222"/>
          <w:shd w:val="clear" w:color="auto" w:fill="FFFFFF"/>
        </w:rPr>
        <w:t>. Within the latter paradigm</w:t>
      </w:r>
      <w:r w:rsidR="008D616C" w:rsidRPr="00766C2B">
        <w:rPr>
          <w:color w:val="222222"/>
          <w:shd w:val="clear" w:color="auto" w:fill="FFFFFF"/>
        </w:rPr>
        <w:t>,</w:t>
      </w:r>
      <w:r w:rsidRPr="00766C2B">
        <w:rPr>
          <w:color w:val="222222"/>
          <w:shd w:val="clear" w:color="auto" w:fill="FFFFFF"/>
        </w:rPr>
        <w:t xml:space="preserve"> the threat to</w:t>
      </w:r>
      <w:r w:rsidR="008D616C" w:rsidRPr="00766C2B">
        <w:rPr>
          <w:color w:val="222222"/>
          <w:shd w:val="clear" w:color="auto" w:fill="FFFFFF"/>
        </w:rPr>
        <w:t xml:space="preserve"> the</w:t>
      </w:r>
      <w:r w:rsidRPr="00766C2B">
        <w:rPr>
          <w:color w:val="222222"/>
          <w:shd w:val="clear" w:color="auto" w:fill="FFFFFF"/>
        </w:rPr>
        <w:t xml:space="preserve"> </w:t>
      </w:r>
      <w:proofErr w:type="spellStart"/>
      <w:r w:rsidRPr="00766C2B">
        <w:rPr>
          <w:color w:val="222222"/>
          <w:shd w:val="clear" w:color="auto" w:fill="FFFFFF"/>
        </w:rPr>
        <w:t>self arises</w:t>
      </w:r>
      <w:proofErr w:type="spellEnd"/>
      <w:r w:rsidRPr="00766C2B">
        <w:rPr>
          <w:color w:val="222222"/>
          <w:shd w:val="clear" w:color="auto" w:fill="FFFFFF"/>
        </w:rPr>
        <w:t xml:space="preserve"> from the context in which individuals are tested</w:t>
      </w:r>
      <w:r w:rsidR="008D616C" w:rsidRPr="00766C2B">
        <w:rPr>
          <w:color w:val="222222"/>
          <w:shd w:val="clear" w:color="auto" w:fill="FFFFFF"/>
        </w:rPr>
        <w:t>,</w:t>
      </w:r>
      <w:r w:rsidRPr="00766C2B">
        <w:rPr>
          <w:color w:val="222222"/>
          <w:shd w:val="clear" w:color="auto" w:fill="FFFFFF"/>
        </w:rPr>
        <w:t xml:space="preserve"> and is assessed through performance on cognitive tasks or assessments. </w:t>
      </w:r>
      <w:r w:rsidR="00CC57A2" w:rsidRPr="00766C2B">
        <w:rPr>
          <w:color w:val="222222"/>
          <w:shd w:val="clear" w:color="auto" w:fill="FFFFFF"/>
        </w:rPr>
        <w:t xml:space="preserve">The performance deficit is believed to arise from an increase in anxiety in response to the threat. </w:t>
      </w:r>
      <w:r w:rsidRPr="00766C2B">
        <w:rPr>
          <w:color w:val="222222"/>
          <w:shd w:val="clear" w:color="auto" w:fill="FFFFFF"/>
        </w:rPr>
        <w:t>In our study,</w:t>
      </w:r>
      <w:r w:rsidR="008D616C" w:rsidRPr="00766C2B">
        <w:rPr>
          <w:color w:val="222222"/>
          <w:shd w:val="clear" w:color="auto" w:fill="FFFFFF"/>
        </w:rPr>
        <w:t xml:space="preserve"> </w:t>
      </w:r>
      <w:r w:rsidRPr="00766C2B">
        <w:rPr>
          <w:color w:val="222222"/>
          <w:shd w:val="clear" w:color="auto" w:fill="FFFFFF"/>
        </w:rPr>
        <w:t xml:space="preserve">the threat to </w:t>
      </w:r>
      <w:r w:rsidR="008D616C" w:rsidRPr="00766C2B">
        <w:rPr>
          <w:color w:val="222222"/>
          <w:shd w:val="clear" w:color="auto" w:fill="FFFFFF"/>
        </w:rPr>
        <w:t xml:space="preserve">the </w:t>
      </w:r>
      <w:r w:rsidRPr="00766C2B">
        <w:rPr>
          <w:color w:val="222222"/>
          <w:shd w:val="clear" w:color="auto" w:fill="FFFFFF"/>
        </w:rPr>
        <w:t>self</w:t>
      </w:r>
      <w:r w:rsidR="008D616C" w:rsidRPr="00766C2B">
        <w:rPr>
          <w:color w:val="222222"/>
          <w:shd w:val="clear" w:color="auto" w:fill="FFFFFF"/>
        </w:rPr>
        <w:t xml:space="preserve"> is thought to</w:t>
      </w:r>
      <w:r w:rsidRPr="00766C2B">
        <w:rPr>
          <w:color w:val="222222"/>
          <w:shd w:val="clear" w:color="auto" w:fill="FFFFFF"/>
        </w:rPr>
        <w:t xml:space="preserve"> emerge from the statements that participants are asked to recall</w:t>
      </w:r>
      <w:r w:rsidR="008D616C" w:rsidRPr="00766C2B">
        <w:rPr>
          <w:color w:val="222222"/>
          <w:shd w:val="clear" w:color="auto" w:fill="FFFFFF"/>
        </w:rPr>
        <w:t>,</w:t>
      </w:r>
      <w:r w:rsidRPr="00766C2B">
        <w:rPr>
          <w:color w:val="222222"/>
          <w:shd w:val="clear" w:color="auto" w:fill="FFFFFF"/>
        </w:rPr>
        <w:t xml:space="preserve"> and is assessed through the selective forgetting of that material.</w:t>
      </w:r>
      <w:r w:rsidR="00CC57A2" w:rsidRPr="00766C2B">
        <w:rPr>
          <w:color w:val="222222"/>
          <w:shd w:val="clear" w:color="auto" w:fill="FFFFFF"/>
        </w:rPr>
        <w:t xml:space="preserve"> Importantly, the performance deficit</w:t>
      </w:r>
      <w:r w:rsidR="008D616C" w:rsidRPr="00766C2B">
        <w:rPr>
          <w:color w:val="222222"/>
          <w:shd w:val="clear" w:color="auto" w:fill="FFFFFF"/>
        </w:rPr>
        <w:t xml:space="preserve"> is purported to</w:t>
      </w:r>
      <w:r w:rsidR="00CC57A2" w:rsidRPr="00766C2B">
        <w:rPr>
          <w:color w:val="222222"/>
          <w:shd w:val="clear" w:color="auto" w:fill="FFFFFF"/>
        </w:rPr>
        <w:t xml:space="preserve"> arise </w:t>
      </w:r>
      <w:r w:rsidR="007C41B0" w:rsidRPr="00766C2B">
        <w:rPr>
          <w:color w:val="222222"/>
          <w:shd w:val="clear" w:color="auto" w:fill="FFFFFF"/>
        </w:rPr>
        <w:t xml:space="preserve">as a defence against anxiety. </w:t>
      </w:r>
      <w:r w:rsidR="008D616C" w:rsidRPr="00766C2B">
        <w:rPr>
          <w:color w:val="222222"/>
          <w:shd w:val="clear" w:color="auto" w:fill="FFFFFF"/>
        </w:rPr>
        <w:t>D</w:t>
      </w:r>
      <w:r w:rsidR="00CC57A2" w:rsidRPr="00766C2B">
        <w:rPr>
          <w:color w:val="222222"/>
          <w:shd w:val="clear" w:color="auto" w:fill="FFFFFF"/>
        </w:rPr>
        <w:t xml:space="preserve">espite </w:t>
      </w:r>
      <w:r w:rsidR="008D616C" w:rsidRPr="00766C2B">
        <w:rPr>
          <w:color w:val="222222"/>
          <w:shd w:val="clear" w:color="auto" w:fill="FFFFFF"/>
        </w:rPr>
        <w:t>such</w:t>
      </w:r>
      <w:r w:rsidR="00CC57A2" w:rsidRPr="00766C2B">
        <w:rPr>
          <w:color w:val="222222"/>
          <w:shd w:val="clear" w:color="auto" w:fill="FFFFFF"/>
        </w:rPr>
        <w:t xml:space="preserve"> differences</w:t>
      </w:r>
      <w:r w:rsidR="008D616C" w:rsidRPr="00766C2B">
        <w:rPr>
          <w:color w:val="222222"/>
          <w:shd w:val="clear" w:color="auto" w:fill="FFFFFF"/>
        </w:rPr>
        <w:t>, however,</w:t>
      </w:r>
      <w:r w:rsidR="00CC57A2" w:rsidRPr="00766C2B">
        <w:rPr>
          <w:color w:val="222222"/>
          <w:shd w:val="clear" w:color="auto" w:fill="FFFFFF"/>
        </w:rPr>
        <w:t xml:space="preserve"> </w:t>
      </w:r>
      <w:r w:rsidR="00EB6888" w:rsidRPr="00766C2B">
        <w:rPr>
          <w:color w:val="222222"/>
          <w:shd w:val="clear" w:color="auto" w:fill="FFFFFF"/>
        </w:rPr>
        <w:t xml:space="preserve">both </w:t>
      </w:r>
      <w:r w:rsidR="000F7D29" w:rsidRPr="00766C2B">
        <w:rPr>
          <w:color w:val="222222"/>
          <w:shd w:val="clear" w:color="auto" w:fill="FFFFFF"/>
        </w:rPr>
        <w:t>literatures</w:t>
      </w:r>
      <w:r w:rsidR="00CC57A2" w:rsidRPr="00766C2B">
        <w:rPr>
          <w:color w:val="222222"/>
          <w:shd w:val="clear" w:color="auto" w:fill="FFFFFF"/>
        </w:rPr>
        <w:t xml:space="preserve"> </w:t>
      </w:r>
      <w:r w:rsidR="008D616C" w:rsidRPr="00766C2B">
        <w:rPr>
          <w:color w:val="222222"/>
          <w:shd w:val="clear" w:color="auto" w:fill="FFFFFF"/>
        </w:rPr>
        <w:t xml:space="preserve">refer to recall discrepancies </w:t>
      </w:r>
      <w:r w:rsidR="007C41B0" w:rsidRPr="00766C2B">
        <w:rPr>
          <w:color w:val="222222"/>
          <w:shd w:val="clear" w:color="auto" w:fill="FFFFFF"/>
        </w:rPr>
        <w:t>occasioned by a threat to self.</w:t>
      </w:r>
      <w:r w:rsidR="00CC57A2" w:rsidRPr="00766C2B">
        <w:rPr>
          <w:color w:val="222222"/>
          <w:shd w:val="clear" w:color="auto" w:fill="FFFFFF"/>
        </w:rPr>
        <w:t xml:space="preserve"> </w:t>
      </w:r>
    </w:p>
    <w:p w14:paraId="6CC39CC7" w14:textId="18023CB2" w:rsidR="00855E62" w:rsidRPr="00766C2B" w:rsidRDefault="001C30E3" w:rsidP="005307CE">
      <w:pPr>
        <w:spacing w:line="480" w:lineRule="auto"/>
        <w:rPr>
          <w:i/>
          <w:iCs/>
          <w:shd w:val="clear" w:color="auto" w:fill="FFFFFF"/>
        </w:rPr>
      </w:pPr>
      <w:r w:rsidRPr="00766C2B">
        <w:rPr>
          <w:i/>
          <w:iCs/>
          <w:shd w:val="clear" w:color="auto" w:fill="FFFFFF"/>
        </w:rPr>
        <w:t>Limitations</w:t>
      </w:r>
    </w:p>
    <w:p w14:paraId="39B5BA67" w14:textId="211AD2C4" w:rsidR="005C2822" w:rsidRPr="00766C2B" w:rsidRDefault="008F0985">
      <w:pPr>
        <w:spacing w:line="480" w:lineRule="auto"/>
        <w:ind w:firstLine="720"/>
        <w:rPr>
          <w:color w:val="201F1E"/>
        </w:rPr>
      </w:pPr>
      <w:r w:rsidRPr="00766C2B">
        <w:rPr>
          <w:shd w:val="clear" w:color="auto" w:fill="FFFFFF"/>
        </w:rPr>
        <w:t xml:space="preserve">Our </w:t>
      </w:r>
      <w:r w:rsidR="00DC296F" w:rsidRPr="00766C2B">
        <w:rPr>
          <w:shd w:val="clear" w:color="auto" w:fill="FFFFFF"/>
        </w:rPr>
        <w:t xml:space="preserve">study adds to the literature </w:t>
      </w:r>
      <w:r w:rsidR="00010DC6" w:rsidRPr="00766C2B">
        <w:rPr>
          <w:shd w:val="clear" w:color="auto" w:fill="FFFFFF"/>
        </w:rPr>
        <w:t xml:space="preserve">on </w:t>
      </w:r>
      <w:r w:rsidR="00DC296F" w:rsidRPr="00766C2B">
        <w:rPr>
          <w:shd w:val="clear" w:color="auto" w:fill="FFFFFF"/>
        </w:rPr>
        <w:t xml:space="preserve">psychological defences </w:t>
      </w:r>
      <w:r w:rsidRPr="00766C2B">
        <w:rPr>
          <w:shd w:val="clear" w:color="auto" w:fill="FFFFFF"/>
        </w:rPr>
        <w:t>against</w:t>
      </w:r>
      <w:r w:rsidR="00DC296F" w:rsidRPr="00766C2B">
        <w:rPr>
          <w:shd w:val="clear" w:color="auto" w:fill="FFFFFF"/>
        </w:rPr>
        <w:t xml:space="preserve"> the threat of dementia </w:t>
      </w:r>
      <w:r w:rsidR="00BF6448" w:rsidRPr="00766C2B">
        <w:rPr>
          <w:lang w:val="en-US"/>
        </w:rPr>
        <w:t>(Martens et al., 2005; McKenzie &amp; Brown, 2017</w:t>
      </w:r>
      <w:r w:rsidR="000E7238" w:rsidRPr="00766C2B">
        <w:rPr>
          <w:lang w:val="en-US"/>
        </w:rPr>
        <w:t>; Nelson, 2011</w:t>
      </w:r>
      <w:r w:rsidR="00BF6448" w:rsidRPr="00766C2B">
        <w:rPr>
          <w:lang w:val="en-US"/>
        </w:rPr>
        <w:t>)</w:t>
      </w:r>
      <w:r w:rsidR="00DC296F" w:rsidRPr="00766C2B">
        <w:rPr>
          <w:shd w:val="clear" w:color="auto" w:fill="FFFFFF"/>
        </w:rPr>
        <w:t xml:space="preserve">. However, </w:t>
      </w:r>
      <w:r w:rsidRPr="00766C2B">
        <w:rPr>
          <w:shd w:val="clear" w:color="auto" w:fill="FFFFFF"/>
        </w:rPr>
        <w:t xml:space="preserve">although </w:t>
      </w:r>
      <w:r w:rsidR="00DC296F" w:rsidRPr="00766C2B">
        <w:rPr>
          <w:shd w:val="clear" w:color="auto" w:fill="FFFFFF"/>
        </w:rPr>
        <w:t xml:space="preserve">we </w:t>
      </w:r>
      <w:r w:rsidRPr="00766C2B">
        <w:rPr>
          <w:shd w:val="clear" w:color="auto" w:fill="FFFFFF"/>
        </w:rPr>
        <w:t>propose</w:t>
      </w:r>
      <w:r w:rsidR="00855E62" w:rsidRPr="00766C2B">
        <w:rPr>
          <w:color w:val="201F1E"/>
        </w:rPr>
        <w:t xml:space="preserve"> that the function of older adults’ selective forgetting of threatening self-referent dementia information </w:t>
      </w:r>
      <w:r w:rsidRPr="00766C2B">
        <w:rPr>
          <w:color w:val="201F1E"/>
        </w:rPr>
        <w:t>is</w:t>
      </w:r>
      <w:r w:rsidR="00855E62" w:rsidRPr="00766C2B">
        <w:rPr>
          <w:color w:val="201F1E"/>
        </w:rPr>
        <w:t xml:space="preserve"> to protect the self, and thus to buffer against anxiety</w:t>
      </w:r>
      <w:r w:rsidR="0000717C" w:rsidRPr="00766C2B">
        <w:rPr>
          <w:color w:val="201F1E"/>
        </w:rPr>
        <w:t>,</w:t>
      </w:r>
      <w:r w:rsidR="00DC296F" w:rsidRPr="00766C2B">
        <w:rPr>
          <w:color w:val="201F1E"/>
        </w:rPr>
        <w:t xml:space="preserve"> further work is required</w:t>
      </w:r>
      <w:r w:rsidR="00855E62" w:rsidRPr="00766C2B">
        <w:rPr>
          <w:color w:val="201F1E"/>
        </w:rPr>
        <w:t xml:space="preserve">. </w:t>
      </w:r>
      <w:r w:rsidR="00EF7BD1" w:rsidRPr="00766C2B">
        <w:rPr>
          <w:color w:val="201F1E"/>
        </w:rPr>
        <w:t xml:space="preserve">For instance, </w:t>
      </w:r>
      <w:r w:rsidR="00AC0FD9" w:rsidRPr="00766C2B">
        <w:rPr>
          <w:color w:val="201F1E"/>
        </w:rPr>
        <w:t>research could examine</w:t>
      </w:r>
      <w:r w:rsidR="00855E62" w:rsidRPr="00766C2B">
        <w:rPr>
          <w:color w:val="201F1E"/>
        </w:rPr>
        <w:t xml:space="preserve"> changes </w:t>
      </w:r>
      <w:r w:rsidR="00C50F63" w:rsidRPr="00766C2B">
        <w:rPr>
          <w:color w:val="201F1E"/>
        </w:rPr>
        <w:t xml:space="preserve">in levels of </w:t>
      </w:r>
      <w:r w:rsidR="00EF7BD1" w:rsidRPr="00766C2B">
        <w:rPr>
          <w:color w:val="201F1E"/>
        </w:rPr>
        <w:t xml:space="preserve">threat (Cheston et al., </w:t>
      </w:r>
      <w:r w:rsidR="001B0235" w:rsidRPr="00766C2B">
        <w:rPr>
          <w:color w:val="201F1E"/>
        </w:rPr>
        <w:t>2020</w:t>
      </w:r>
      <w:r w:rsidR="00EF7BD1" w:rsidRPr="00766C2B">
        <w:rPr>
          <w:color w:val="201F1E"/>
        </w:rPr>
        <w:t xml:space="preserve">) and </w:t>
      </w:r>
      <w:r w:rsidR="00855E62" w:rsidRPr="00766C2B">
        <w:rPr>
          <w:color w:val="201F1E"/>
        </w:rPr>
        <w:t xml:space="preserve">anxiety </w:t>
      </w:r>
      <w:r w:rsidR="00AC0FD9" w:rsidRPr="00766C2B">
        <w:rPr>
          <w:color w:val="201F1E"/>
        </w:rPr>
        <w:t xml:space="preserve">by assessing these variables </w:t>
      </w:r>
      <w:r w:rsidR="00855E62" w:rsidRPr="00766C2B">
        <w:rPr>
          <w:color w:val="201F1E"/>
        </w:rPr>
        <w:t xml:space="preserve">before and after </w:t>
      </w:r>
      <w:r w:rsidR="005C2822" w:rsidRPr="00766C2B">
        <w:rPr>
          <w:color w:val="201F1E"/>
        </w:rPr>
        <w:t>the experimental procedure in order to test more rigorously the self-protective function of the MNE.</w:t>
      </w:r>
      <w:r w:rsidR="00EF7BD1" w:rsidRPr="00766C2B">
        <w:rPr>
          <w:color w:val="201F1E"/>
        </w:rPr>
        <w:t xml:space="preserve"> </w:t>
      </w:r>
      <w:r w:rsidR="00C50F63" w:rsidRPr="00766C2B">
        <w:rPr>
          <w:color w:val="201F1E"/>
        </w:rPr>
        <w:t xml:space="preserve">Additionally, </w:t>
      </w:r>
      <w:r w:rsidRPr="00766C2B">
        <w:rPr>
          <w:color w:val="201F1E"/>
        </w:rPr>
        <w:t xml:space="preserve">whereas </w:t>
      </w:r>
      <w:r w:rsidR="00C50F63" w:rsidRPr="00766C2B">
        <w:rPr>
          <w:color w:val="201F1E"/>
        </w:rPr>
        <w:t xml:space="preserve">our study focused on age differences in the use of MNE, other </w:t>
      </w:r>
      <w:r w:rsidR="00AC0FD9" w:rsidRPr="00766C2B">
        <w:rPr>
          <w:color w:val="201F1E"/>
        </w:rPr>
        <w:t xml:space="preserve">dementia-related </w:t>
      </w:r>
      <w:r w:rsidR="00C50F63" w:rsidRPr="00766C2B">
        <w:t xml:space="preserve">experiences, </w:t>
      </w:r>
      <w:r w:rsidR="00AC0FD9" w:rsidRPr="00766C2B">
        <w:t>such as</w:t>
      </w:r>
      <w:r w:rsidR="00C50F63" w:rsidRPr="00766C2B">
        <w:rPr>
          <w:color w:val="201F1E"/>
        </w:rPr>
        <w:t xml:space="preserve"> </w:t>
      </w:r>
      <w:r w:rsidR="00AC0FD9" w:rsidRPr="00766C2B">
        <w:rPr>
          <w:color w:val="201F1E"/>
        </w:rPr>
        <w:t>caring/having cared for a person with dementia or familial prevalence of dementia</w:t>
      </w:r>
      <w:r w:rsidRPr="00766C2B">
        <w:rPr>
          <w:color w:val="201F1E"/>
        </w:rPr>
        <w:t>,</w:t>
      </w:r>
      <w:r w:rsidR="00C50F63" w:rsidRPr="00766C2B">
        <w:rPr>
          <w:color w:val="201F1E"/>
        </w:rPr>
        <w:t xml:space="preserve"> might influence </w:t>
      </w:r>
      <w:r w:rsidR="000E7238" w:rsidRPr="00766C2B">
        <w:rPr>
          <w:color w:val="201F1E"/>
        </w:rPr>
        <w:t>self-protection</w:t>
      </w:r>
      <w:r w:rsidR="00C50F63" w:rsidRPr="00766C2B">
        <w:rPr>
          <w:color w:val="201F1E"/>
        </w:rPr>
        <w:t xml:space="preserve">. </w:t>
      </w:r>
    </w:p>
    <w:p w14:paraId="276263E6" w14:textId="30E0F4A2" w:rsidR="00855E62" w:rsidRPr="00766C2B" w:rsidRDefault="005C2822">
      <w:pPr>
        <w:spacing w:line="480" w:lineRule="auto"/>
        <w:ind w:firstLine="720"/>
        <w:rPr>
          <w:shd w:val="clear" w:color="auto" w:fill="FFFFFF"/>
        </w:rPr>
      </w:pPr>
      <w:r w:rsidRPr="00766C2B">
        <w:rPr>
          <w:color w:val="201F1E"/>
        </w:rPr>
        <w:lastRenderedPageBreak/>
        <w:t>Last</w:t>
      </w:r>
      <w:r w:rsidR="00C50F63" w:rsidRPr="00766C2B">
        <w:rPr>
          <w:color w:val="201F1E"/>
        </w:rPr>
        <w:t>ly, we acknowledge that the binary division of participants into older (</w:t>
      </w:r>
      <w:r w:rsidR="0000717C" w:rsidRPr="00766C2B">
        <w:rPr>
          <w:color w:val="201F1E"/>
        </w:rPr>
        <w:t xml:space="preserve">those over the age of </w:t>
      </w:r>
      <w:r w:rsidR="00C50F63" w:rsidRPr="00766C2B">
        <w:rPr>
          <w:color w:val="201F1E"/>
        </w:rPr>
        <w:t>50</w:t>
      </w:r>
      <w:proofErr w:type="gramStart"/>
      <w:r w:rsidR="00C50F63" w:rsidRPr="00766C2B">
        <w:rPr>
          <w:color w:val="201F1E"/>
        </w:rPr>
        <w:t xml:space="preserve">) </w:t>
      </w:r>
      <w:r w:rsidR="0000717C" w:rsidRPr="00766C2B">
        <w:rPr>
          <w:color w:val="201F1E"/>
        </w:rPr>
        <w:t xml:space="preserve"> </w:t>
      </w:r>
      <w:r w:rsidR="00C50F63" w:rsidRPr="00766C2B">
        <w:rPr>
          <w:color w:val="201F1E"/>
        </w:rPr>
        <w:t>and</w:t>
      </w:r>
      <w:proofErr w:type="gramEnd"/>
      <w:r w:rsidR="00C50F63" w:rsidRPr="00766C2B">
        <w:rPr>
          <w:color w:val="201F1E"/>
        </w:rPr>
        <w:t xml:space="preserve"> younger (</w:t>
      </w:r>
      <w:r w:rsidR="0000717C" w:rsidRPr="00766C2B">
        <w:rPr>
          <w:color w:val="201F1E"/>
        </w:rPr>
        <w:t xml:space="preserve">those </w:t>
      </w:r>
      <w:r w:rsidR="00C50F63" w:rsidRPr="00766C2B">
        <w:rPr>
          <w:color w:val="201F1E"/>
        </w:rPr>
        <w:t>below 50</w:t>
      </w:r>
      <w:r w:rsidR="008F0985" w:rsidRPr="00766C2B">
        <w:rPr>
          <w:color w:val="201F1E"/>
        </w:rPr>
        <w:t>)</w:t>
      </w:r>
      <w:r w:rsidR="0000717C" w:rsidRPr="00766C2B">
        <w:rPr>
          <w:color w:val="201F1E"/>
        </w:rPr>
        <w:t xml:space="preserve"> does not constitute the conventional young adult versus older adult comparisons in the gerontological literature. </w:t>
      </w:r>
      <w:r w:rsidR="000E7238" w:rsidRPr="00766C2B">
        <w:rPr>
          <w:color w:val="201F1E"/>
        </w:rPr>
        <w:t xml:space="preserve">Despite </w:t>
      </w:r>
      <w:r w:rsidR="0000717C" w:rsidRPr="00766C2B">
        <w:rPr>
          <w:color w:val="201F1E"/>
        </w:rPr>
        <w:t xml:space="preserve">controversy over what constitutes older adulthood, the age of 50 and above </w:t>
      </w:r>
      <w:r w:rsidR="00704A8F" w:rsidRPr="00766C2B">
        <w:rPr>
          <w:color w:val="201F1E"/>
        </w:rPr>
        <w:t xml:space="preserve">generally </w:t>
      </w:r>
      <w:r w:rsidR="0000717C" w:rsidRPr="00766C2B">
        <w:rPr>
          <w:color w:val="201F1E"/>
        </w:rPr>
        <w:t xml:space="preserve">falls short of this (Christopher, 2013). </w:t>
      </w:r>
      <w:r w:rsidRPr="00766C2B">
        <w:rPr>
          <w:color w:val="201F1E"/>
        </w:rPr>
        <w:t>Here</w:t>
      </w:r>
      <w:r w:rsidR="000E7238" w:rsidRPr="00766C2B">
        <w:rPr>
          <w:color w:val="201F1E"/>
        </w:rPr>
        <w:t>,</w:t>
      </w:r>
      <w:r w:rsidRPr="00766C2B">
        <w:rPr>
          <w:color w:val="201F1E"/>
        </w:rPr>
        <w:t xml:space="preserve"> we only </w:t>
      </w:r>
      <w:r w:rsidR="0000717C" w:rsidRPr="00766C2B">
        <w:rPr>
          <w:color w:val="201F1E"/>
        </w:rPr>
        <w:t>use</w:t>
      </w:r>
      <w:r w:rsidRPr="00766C2B">
        <w:rPr>
          <w:color w:val="201F1E"/>
        </w:rPr>
        <w:t>d</w:t>
      </w:r>
      <w:r w:rsidR="0000717C" w:rsidRPr="00766C2B">
        <w:rPr>
          <w:color w:val="201F1E"/>
        </w:rPr>
        <w:t xml:space="preserve"> ‘older’ as a comparator. Having said this, the </w:t>
      </w:r>
      <w:r w:rsidR="008F0985" w:rsidRPr="00766C2B">
        <w:rPr>
          <w:color w:val="201F1E"/>
        </w:rPr>
        <w:t xml:space="preserve">respective </w:t>
      </w:r>
      <w:r w:rsidR="0000717C" w:rsidRPr="00766C2B">
        <w:rPr>
          <w:color w:val="201F1E"/>
        </w:rPr>
        <w:t xml:space="preserve">mean ages </w:t>
      </w:r>
      <w:r w:rsidR="008F0985" w:rsidRPr="00766C2B">
        <w:rPr>
          <w:color w:val="201F1E"/>
        </w:rPr>
        <w:t xml:space="preserve">for the younger and older groups </w:t>
      </w:r>
      <w:r w:rsidR="0000717C" w:rsidRPr="00766C2B">
        <w:rPr>
          <w:color w:val="201F1E"/>
        </w:rPr>
        <w:t xml:space="preserve">were 26 and 64 for the </w:t>
      </w:r>
      <w:proofErr w:type="spellStart"/>
      <w:r w:rsidR="0000717C" w:rsidRPr="00766C2B">
        <w:rPr>
          <w:color w:val="201F1E"/>
        </w:rPr>
        <w:t>self condition</w:t>
      </w:r>
      <w:proofErr w:type="spellEnd"/>
      <w:r w:rsidR="0000717C" w:rsidRPr="00766C2B">
        <w:rPr>
          <w:color w:val="201F1E"/>
        </w:rPr>
        <w:t xml:space="preserve">, and 25 and 62 for the other condition.  </w:t>
      </w:r>
    </w:p>
    <w:p w14:paraId="049F2DB9" w14:textId="4D112CA0" w:rsidR="00855E62" w:rsidRPr="00766C2B" w:rsidRDefault="00855E62" w:rsidP="00ED62F6">
      <w:pPr>
        <w:spacing w:line="480" w:lineRule="auto"/>
        <w:rPr>
          <w:i/>
          <w:iCs/>
        </w:rPr>
      </w:pPr>
      <w:r w:rsidRPr="00766C2B">
        <w:rPr>
          <w:i/>
          <w:iCs/>
        </w:rPr>
        <w:t>Conclusion</w:t>
      </w:r>
    </w:p>
    <w:p w14:paraId="48911AC3" w14:textId="7E355DEB" w:rsidR="009C6145" w:rsidRPr="00766C2B" w:rsidRDefault="005C2822">
      <w:pPr>
        <w:spacing w:line="480" w:lineRule="auto"/>
        <w:ind w:firstLine="720"/>
      </w:pPr>
      <w:r w:rsidRPr="00766C2B">
        <w:t>O</w:t>
      </w:r>
      <w:r w:rsidR="00592349" w:rsidRPr="00766C2B">
        <w:t xml:space="preserve">ur research </w:t>
      </w:r>
      <w:r w:rsidR="00F842BF" w:rsidRPr="00766C2B">
        <w:t xml:space="preserve">points towards differences in how older and younger people </w:t>
      </w:r>
      <w:r w:rsidR="003F553F" w:rsidRPr="00766C2B">
        <w:t xml:space="preserve">remember </w:t>
      </w:r>
      <w:r w:rsidR="009C72AC" w:rsidRPr="00766C2B">
        <w:t>dementia-related</w:t>
      </w:r>
      <w:r w:rsidR="0033667B" w:rsidRPr="00766C2B">
        <w:t xml:space="preserve"> </w:t>
      </w:r>
      <w:r w:rsidR="00592349" w:rsidRPr="00766C2B">
        <w:t>information that is</w:t>
      </w:r>
      <w:r w:rsidR="003F553F" w:rsidRPr="00766C2B">
        <w:t xml:space="preserve"> self-threatening (i.e.,</w:t>
      </w:r>
      <w:r w:rsidR="00592349" w:rsidRPr="00766C2B">
        <w:t xml:space="preserve"> highly negative and self-referent</w:t>
      </w:r>
      <w:r w:rsidR="003F553F" w:rsidRPr="00766C2B">
        <w:t>)</w:t>
      </w:r>
      <w:r w:rsidR="00592349" w:rsidRPr="00766C2B">
        <w:t xml:space="preserve">. </w:t>
      </w:r>
      <w:r w:rsidR="003F553F" w:rsidRPr="00766C2B">
        <w:t>The</w:t>
      </w:r>
      <w:r w:rsidR="001C7310" w:rsidRPr="00766C2B">
        <w:t>se</w:t>
      </w:r>
      <w:r w:rsidR="00592349" w:rsidRPr="00766C2B">
        <w:t xml:space="preserve"> findings contribute to the understanding of psychological mechanisms</w:t>
      </w:r>
      <w:r w:rsidR="003F553F" w:rsidRPr="00766C2B">
        <w:t xml:space="preserve"> that</w:t>
      </w:r>
      <w:r w:rsidR="00592349" w:rsidRPr="00766C2B">
        <w:t xml:space="preserve"> underl</w:t>
      </w:r>
      <w:r w:rsidR="003F553F" w:rsidRPr="00766C2B">
        <w:t>ie</w:t>
      </w:r>
      <w:r w:rsidR="00592349" w:rsidRPr="00766C2B">
        <w:t xml:space="preserve"> </w:t>
      </w:r>
      <w:r w:rsidR="003F553F" w:rsidRPr="00766C2B">
        <w:t xml:space="preserve">the processing of </w:t>
      </w:r>
      <w:r w:rsidR="009C72AC" w:rsidRPr="00766C2B">
        <w:t>information</w:t>
      </w:r>
      <w:r w:rsidR="003F553F" w:rsidRPr="00766C2B">
        <w:t xml:space="preserve"> about dementia</w:t>
      </w:r>
      <w:r w:rsidR="00592349" w:rsidRPr="00766C2B">
        <w:t>.</w:t>
      </w:r>
      <w:r w:rsidR="00592349" w:rsidRPr="00766C2B" w:rsidDel="00485630">
        <w:t xml:space="preserve"> </w:t>
      </w:r>
      <w:r w:rsidR="00D952EE" w:rsidRPr="00766C2B">
        <w:t xml:space="preserve">We hope that </w:t>
      </w:r>
      <w:r w:rsidR="00D9641F" w:rsidRPr="00766C2B">
        <w:t>our findings</w:t>
      </w:r>
      <w:r w:rsidR="00D952EE" w:rsidRPr="00766C2B">
        <w:t xml:space="preserve"> </w:t>
      </w:r>
      <w:r w:rsidR="00592349" w:rsidRPr="00766C2B">
        <w:t xml:space="preserve">spark </w:t>
      </w:r>
      <w:r w:rsidR="00A944E8" w:rsidRPr="00766C2B">
        <w:t xml:space="preserve">further </w:t>
      </w:r>
      <w:r w:rsidR="00592349" w:rsidRPr="00766C2B">
        <w:t xml:space="preserve">investigations </w:t>
      </w:r>
      <w:r w:rsidR="009C72AC" w:rsidRPr="00766C2B">
        <w:t xml:space="preserve">into </w:t>
      </w:r>
      <w:r w:rsidR="00A944E8" w:rsidRPr="00766C2B">
        <w:t xml:space="preserve">this </w:t>
      </w:r>
      <w:r w:rsidR="00592349" w:rsidRPr="00766C2B">
        <w:t>topic.</w:t>
      </w:r>
      <w:r w:rsidR="009C6145" w:rsidRPr="00766C2B">
        <w:br w:type="page"/>
      </w:r>
    </w:p>
    <w:p w14:paraId="2E3CCFB4" w14:textId="4AC781FF" w:rsidR="00574A7A" w:rsidRPr="00766C2B" w:rsidRDefault="00841FC2" w:rsidP="00574A7A">
      <w:pPr>
        <w:spacing w:line="480" w:lineRule="auto"/>
      </w:pPr>
      <w:r w:rsidRPr="00766C2B">
        <w:rPr>
          <w:i/>
        </w:rPr>
        <w:lastRenderedPageBreak/>
        <w:t xml:space="preserve">Disclosure of interest. </w:t>
      </w:r>
      <w:r w:rsidR="00574A7A" w:rsidRPr="00766C2B">
        <w:t xml:space="preserve">This work was supported by the </w:t>
      </w:r>
      <w:r w:rsidR="00574A7A" w:rsidRPr="00766C2B">
        <w:rPr>
          <w:color w:val="000000" w:themeColor="text1"/>
        </w:rPr>
        <w:t>Alzheimer’s Society [Grant ref: 202, AS-PG-2013-13].</w:t>
      </w:r>
      <w:r w:rsidRPr="00766C2B">
        <w:rPr>
          <w:color w:val="000000" w:themeColor="text1"/>
        </w:rPr>
        <w:t xml:space="preserve"> </w:t>
      </w:r>
      <w:r w:rsidR="00574A7A" w:rsidRPr="00766C2B">
        <w:rPr>
          <w:iCs/>
          <w:color w:val="000000" w:themeColor="text1"/>
        </w:rPr>
        <w:t>The authors report no conflict of interest</w:t>
      </w:r>
      <w:r w:rsidR="00574A7A" w:rsidRPr="00766C2B">
        <w:rPr>
          <w:color w:val="000000" w:themeColor="text1"/>
        </w:rPr>
        <w:t>.</w:t>
      </w:r>
    </w:p>
    <w:p w14:paraId="00D85133" w14:textId="77777777" w:rsidR="00175A72" w:rsidRPr="00766C2B" w:rsidRDefault="00175A72" w:rsidP="00574A7A">
      <w:pPr>
        <w:spacing w:line="480" w:lineRule="auto"/>
        <w:rPr>
          <w:i/>
        </w:rPr>
      </w:pPr>
    </w:p>
    <w:p w14:paraId="073E4D81" w14:textId="771B565D" w:rsidR="00625341" w:rsidRPr="00766C2B" w:rsidRDefault="00574A7A" w:rsidP="00E871C5">
      <w:pPr>
        <w:spacing w:line="480" w:lineRule="auto"/>
        <w:rPr>
          <w:b/>
        </w:rPr>
      </w:pPr>
      <w:r w:rsidRPr="00766C2B">
        <w:rPr>
          <w:i/>
        </w:rPr>
        <w:t>Acknowledgements</w:t>
      </w:r>
      <w:r w:rsidR="005F26E6" w:rsidRPr="00766C2B">
        <w:rPr>
          <w:i/>
        </w:rPr>
        <w:t xml:space="preserve"> - </w:t>
      </w:r>
      <w:r w:rsidR="00E871C5" w:rsidRPr="00766C2B">
        <w:rPr>
          <w:lang w:val="en-US"/>
        </w:rPr>
        <w:t>We thank participants in our study. We also thank Lauren Buckley, Aspasia Ftenou, Charlotte Godwin, Tom Ingram, Abbie Jones, Michelle Phillips, and Dani Tingley for their assistance with data collection, India Hart for providing maternity cover of the trial coordinator role, as well as Sanda Ismail and Bettina Zengel for their input. Last but not least, we recognize the contribution of the three Alzheimer Society monitors: Julia Burton, Louise Gillam, and Andra Houchen</w:t>
      </w:r>
      <w:r w:rsidR="00625341" w:rsidRPr="00766C2B">
        <w:rPr>
          <w:b/>
        </w:rPr>
        <w:br w:type="page"/>
      </w:r>
    </w:p>
    <w:p w14:paraId="09211720" w14:textId="16D868EF" w:rsidR="00540D84" w:rsidRPr="00766C2B" w:rsidRDefault="00540D84" w:rsidP="00540D84">
      <w:pPr>
        <w:spacing w:line="480" w:lineRule="auto"/>
        <w:ind w:hanging="709"/>
        <w:jc w:val="center"/>
        <w:rPr>
          <w:b/>
        </w:rPr>
      </w:pPr>
      <w:r w:rsidRPr="00766C2B">
        <w:rPr>
          <w:b/>
        </w:rPr>
        <w:lastRenderedPageBreak/>
        <w:t xml:space="preserve">References </w:t>
      </w:r>
    </w:p>
    <w:p w14:paraId="0F3D0C1C" w14:textId="5DD38F38" w:rsidR="00DE4FF2" w:rsidRPr="00766C2B" w:rsidRDefault="006227F3" w:rsidP="00DE4FF2">
      <w:pPr>
        <w:widowControl w:val="0"/>
        <w:autoSpaceDE w:val="0"/>
        <w:autoSpaceDN w:val="0"/>
        <w:adjustRightInd w:val="0"/>
        <w:spacing w:line="480" w:lineRule="auto"/>
        <w:ind w:left="720" w:hanging="720"/>
        <w:rPr>
          <w:rStyle w:val="Hyperlink"/>
          <w:rFonts w:asciiTheme="majorBidi" w:hAnsiTheme="majorBidi" w:cstheme="majorBidi"/>
          <w:color w:val="000000" w:themeColor="text1"/>
          <w:u w:val="none"/>
        </w:rPr>
      </w:pPr>
      <w:hyperlink r:id="rId17" w:anchor="!" w:history="1">
        <w:r w:rsidR="00DE4FF2" w:rsidRPr="00766C2B">
          <w:rPr>
            <w:rFonts w:asciiTheme="majorBidi" w:hAnsiTheme="majorBidi" w:cstheme="majorBidi"/>
            <w:color w:val="000000" w:themeColor="text1"/>
          </w:rPr>
          <w:t>Brand</w:t>
        </w:r>
      </w:hyperlink>
      <w:r w:rsidR="00DE4FF2" w:rsidRPr="00766C2B">
        <w:rPr>
          <w:rFonts w:asciiTheme="majorBidi" w:hAnsiTheme="majorBidi" w:cstheme="majorBidi"/>
          <w:color w:val="000000" w:themeColor="text1"/>
        </w:rPr>
        <w:t>, A. N., Jolles,</w:t>
      </w:r>
      <w:bookmarkStart w:id="2" w:name="baep-author-id3"/>
      <w:r w:rsidR="00DE4FF2" w:rsidRPr="00766C2B">
        <w:rPr>
          <w:rFonts w:asciiTheme="majorBidi" w:hAnsiTheme="majorBidi" w:cstheme="majorBidi"/>
          <w:color w:val="000000" w:themeColor="text1"/>
        </w:rPr>
        <w:t xml:space="preserve"> &amp;</w:t>
      </w:r>
      <w:hyperlink r:id="rId18" w:anchor="!" w:history="1">
        <w:r w:rsidR="00DE4FF2" w:rsidRPr="00766C2B">
          <w:rPr>
            <w:rFonts w:asciiTheme="majorBidi" w:hAnsiTheme="majorBidi" w:cstheme="majorBidi"/>
            <w:color w:val="000000" w:themeColor="text1"/>
          </w:rPr>
          <w:t xml:space="preserve"> Gispen-de Wied</w:t>
        </w:r>
      </w:hyperlink>
      <w:bookmarkEnd w:id="2"/>
      <w:r w:rsidR="00DE4FF2" w:rsidRPr="00766C2B">
        <w:rPr>
          <w:rFonts w:asciiTheme="majorBidi" w:hAnsiTheme="majorBidi" w:cstheme="majorBidi"/>
          <w:color w:val="000000" w:themeColor="text1"/>
        </w:rPr>
        <w:t xml:space="preserve">, C. (1992). </w:t>
      </w:r>
      <w:r w:rsidR="00DE4FF2" w:rsidRPr="00766C2B">
        <w:rPr>
          <w:rFonts w:asciiTheme="majorBidi" w:hAnsiTheme="majorBidi" w:cstheme="majorBidi"/>
          <w:color w:val="000000" w:themeColor="text1"/>
          <w:kern w:val="36"/>
        </w:rPr>
        <w:t xml:space="preserve">Recall and recognition memory deficits in depression. </w:t>
      </w:r>
      <w:hyperlink r:id="rId19" w:tooltip="Go to Journal of Affective Disorders on ScienceDirect" w:history="1">
        <w:r w:rsidR="00DE4FF2" w:rsidRPr="00766C2B">
          <w:rPr>
            <w:rStyle w:val="Hyperlink"/>
            <w:rFonts w:asciiTheme="majorBidi" w:eastAsia="Calibri" w:hAnsiTheme="majorBidi" w:cstheme="majorBidi"/>
            <w:i/>
            <w:iCs/>
            <w:color w:val="000000" w:themeColor="text1"/>
            <w:u w:val="none"/>
          </w:rPr>
          <w:t>Journal of Affective Disorders</w:t>
        </w:r>
      </w:hyperlink>
      <w:r w:rsidR="00DE4FF2" w:rsidRPr="00766C2B">
        <w:rPr>
          <w:rFonts w:asciiTheme="majorBidi" w:hAnsiTheme="majorBidi" w:cstheme="majorBidi"/>
          <w:i/>
          <w:iCs/>
          <w:color w:val="000000" w:themeColor="text1"/>
        </w:rPr>
        <w:t xml:space="preserve">, </w:t>
      </w:r>
      <w:hyperlink r:id="rId20" w:tooltip="Go to table of contents for this volume/issue" w:history="1">
        <w:r w:rsidR="00DE4FF2" w:rsidRPr="00766C2B">
          <w:rPr>
            <w:rStyle w:val="Hyperlink"/>
            <w:rFonts w:asciiTheme="majorBidi" w:eastAsia="Calibri" w:hAnsiTheme="majorBidi" w:cstheme="majorBidi"/>
            <w:i/>
            <w:iCs/>
            <w:color w:val="000000" w:themeColor="text1"/>
            <w:u w:val="none"/>
          </w:rPr>
          <w:t>25</w:t>
        </w:r>
        <w:r w:rsidR="00DE4FF2" w:rsidRPr="00766C2B">
          <w:rPr>
            <w:rStyle w:val="Hyperlink"/>
            <w:rFonts w:asciiTheme="majorBidi" w:hAnsiTheme="majorBidi" w:cstheme="majorBidi"/>
            <w:color w:val="000000" w:themeColor="text1"/>
            <w:u w:val="none"/>
          </w:rPr>
          <w:t>(1</w:t>
        </w:r>
      </w:hyperlink>
      <w:r w:rsidR="00DE4FF2" w:rsidRPr="00766C2B">
        <w:rPr>
          <w:rFonts w:asciiTheme="majorBidi" w:hAnsiTheme="majorBidi" w:cstheme="majorBidi"/>
          <w:color w:val="000000" w:themeColor="text1"/>
        </w:rPr>
        <w:t xml:space="preserve">), 77-86. </w:t>
      </w:r>
      <w:hyperlink r:id="rId21" w:tgtFrame="_blank" w:tooltip="Persistent link using digital object identifier" w:history="1">
        <w:r w:rsidR="00DE4FF2" w:rsidRPr="00766C2B">
          <w:rPr>
            <w:rStyle w:val="Hyperlink"/>
            <w:rFonts w:asciiTheme="majorBidi" w:hAnsiTheme="majorBidi" w:cstheme="majorBidi"/>
            <w:color w:val="000000" w:themeColor="text1"/>
            <w:u w:val="none"/>
          </w:rPr>
          <w:t>https://doi.org/10.1016/0165-0327(92)90095-N</w:t>
        </w:r>
      </w:hyperlink>
    </w:p>
    <w:p w14:paraId="538A0797" w14:textId="645A2045" w:rsidR="00076318" w:rsidRPr="00766C2B" w:rsidRDefault="00076318" w:rsidP="00DE4FF2">
      <w:pPr>
        <w:widowControl w:val="0"/>
        <w:autoSpaceDE w:val="0"/>
        <w:autoSpaceDN w:val="0"/>
        <w:adjustRightInd w:val="0"/>
        <w:spacing w:line="480" w:lineRule="auto"/>
        <w:ind w:left="720" w:hanging="720"/>
        <w:rPr>
          <w:rFonts w:asciiTheme="majorBidi" w:hAnsiTheme="majorBidi" w:cstheme="majorBidi"/>
          <w:color w:val="000000" w:themeColor="text1"/>
        </w:rPr>
      </w:pPr>
      <w:r w:rsidRPr="00766C2B">
        <w:rPr>
          <w:color w:val="222222"/>
          <w:shd w:val="clear" w:color="auto" w:fill="FFFFFF"/>
        </w:rPr>
        <w:t xml:space="preserve">Carstensen, L. L., &amp; </w:t>
      </w:r>
      <w:proofErr w:type="spellStart"/>
      <w:r w:rsidRPr="00766C2B">
        <w:rPr>
          <w:color w:val="222222"/>
          <w:shd w:val="clear" w:color="auto" w:fill="FFFFFF"/>
        </w:rPr>
        <w:t>DeLiema</w:t>
      </w:r>
      <w:proofErr w:type="spellEnd"/>
      <w:r w:rsidRPr="00766C2B">
        <w:rPr>
          <w:color w:val="222222"/>
          <w:shd w:val="clear" w:color="auto" w:fill="FFFFFF"/>
        </w:rPr>
        <w:t>, M. (2018). The positivity effect: A negativity bias in youth fades with age. </w:t>
      </w:r>
      <w:r w:rsidRPr="00766C2B">
        <w:rPr>
          <w:i/>
          <w:iCs/>
          <w:color w:val="222222"/>
          <w:shd w:val="clear" w:color="auto" w:fill="FFFFFF"/>
        </w:rPr>
        <w:t>Current Opinion in Behavioral Sciences</w:t>
      </w:r>
      <w:r w:rsidRPr="00766C2B">
        <w:rPr>
          <w:color w:val="222222"/>
          <w:shd w:val="clear" w:color="auto" w:fill="FFFFFF"/>
        </w:rPr>
        <w:t>, </w:t>
      </w:r>
      <w:r w:rsidRPr="00766C2B">
        <w:rPr>
          <w:i/>
          <w:iCs/>
          <w:color w:val="222222"/>
          <w:shd w:val="clear" w:color="auto" w:fill="FFFFFF"/>
        </w:rPr>
        <w:t>19</w:t>
      </w:r>
      <w:r w:rsidRPr="00766C2B">
        <w:rPr>
          <w:color w:val="222222"/>
          <w:shd w:val="clear" w:color="auto" w:fill="FFFFFF"/>
        </w:rPr>
        <w:t>, 7-12.</w:t>
      </w:r>
      <w:r w:rsidR="00DB45A8" w:rsidRPr="00766C2B">
        <w:rPr>
          <w:color w:val="222222"/>
          <w:shd w:val="clear" w:color="auto" w:fill="FFFFFF"/>
        </w:rPr>
        <w:t xml:space="preserve"> </w:t>
      </w:r>
      <w:hyperlink r:id="rId22" w:tgtFrame="_blank" w:tooltip="Persistent link using digital object identifier" w:history="1">
        <w:r w:rsidR="00DB45A8" w:rsidRPr="00766C2B">
          <w:rPr>
            <w:rStyle w:val="Hyperlink"/>
            <w:color w:val="000000" w:themeColor="text1"/>
            <w:u w:val="none"/>
          </w:rPr>
          <w:t>https://doi.org/10.1016/j.cobeha.2017.07.009</w:t>
        </w:r>
      </w:hyperlink>
      <w:r w:rsidR="00DB45A8" w:rsidRPr="00766C2B">
        <w:rPr>
          <w:color w:val="000000" w:themeColor="text1"/>
        </w:rPr>
        <w:t>.</w:t>
      </w:r>
      <w:r w:rsidR="00DB45A8" w:rsidRPr="00766C2B">
        <w:rPr>
          <w:color w:val="222222"/>
          <w:shd w:val="clear" w:color="auto" w:fill="FFFFFF"/>
        </w:rPr>
        <w:t xml:space="preserve"> </w:t>
      </w:r>
    </w:p>
    <w:p w14:paraId="771BD44C" w14:textId="3E9A76D2" w:rsidR="007356EF" w:rsidRPr="00766C2B" w:rsidRDefault="007356EF" w:rsidP="00FC5F63">
      <w:pPr>
        <w:spacing w:line="480" w:lineRule="auto"/>
        <w:ind w:left="720" w:hanging="720"/>
      </w:pPr>
      <w:r w:rsidRPr="00766C2B">
        <w:rPr>
          <w:shd w:val="clear" w:color="auto" w:fill="FFFFFF"/>
        </w:rPr>
        <w:t>Charles, S. T., Mather, M., &amp; Carstensen, L. L. (2003). Aging and emotional memory: the forgettable nature of negative images for older adults. </w:t>
      </w:r>
      <w:r w:rsidRPr="00766C2B">
        <w:rPr>
          <w:i/>
          <w:iCs/>
          <w:shd w:val="clear" w:color="auto" w:fill="FFFFFF"/>
        </w:rPr>
        <w:t>Journal of Experimental Psychology: General</w:t>
      </w:r>
      <w:r w:rsidRPr="00766C2B">
        <w:rPr>
          <w:shd w:val="clear" w:color="auto" w:fill="FFFFFF"/>
        </w:rPr>
        <w:t>, </w:t>
      </w:r>
      <w:r w:rsidRPr="00766C2B">
        <w:rPr>
          <w:i/>
          <w:iCs/>
          <w:shd w:val="clear" w:color="auto" w:fill="FFFFFF"/>
        </w:rPr>
        <w:t>132</w:t>
      </w:r>
      <w:r w:rsidRPr="00766C2B">
        <w:rPr>
          <w:shd w:val="clear" w:color="auto" w:fill="FFFFFF"/>
        </w:rPr>
        <w:t>(2), 310</w:t>
      </w:r>
      <w:r w:rsidR="00C965A9" w:rsidRPr="00766C2B">
        <w:rPr>
          <w:shd w:val="clear" w:color="auto" w:fill="FFFFFF"/>
        </w:rPr>
        <w:t>-324</w:t>
      </w:r>
      <w:r w:rsidRPr="00766C2B">
        <w:rPr>
          <w:shd w:val="clear" w:color="auto" w:fill="FFFFFF"/>
        </w:rPr>
        <w:t xml:space="preserve">. </w:t>
      </w:r>
      <w:r w:rsidRPr="00766C2B">
        <w:t>https://doi.org/10.1037/0096-3445.132.2.310</w:t>
      </w:r>
    </w:p>
    <w:p w14:paraId="5D4D40A7" w14:textId="24FF7841" w:rsidR="000D7664" w:rsidRPr="00766C2B" w:rsidRDefault="000D7664" w:rsidP="00FC5F63">
      <w:pPr>
        <w:spacing w:line="480" w:lineRule="auto"/>
        <w:ind w:left="720" w:hanging="720"/>
        <w:rPr>
          <w:color w:val="0000FF"/>
          <w:lang w:val="en-US"/>
        </w:rPr>
      </w:pPr>
      <w:bookmarkStart w:id="3" w:name="_Hlk52868853"/>
      <w:r w:rsidRPr="00766C2B">
        <w:t xml:space="preserve">Cheston, R., Dodd, E., Christopher, G., Jones, C., Wildschut, T. &amp; Sedikides, C. (2018). Selective Forgetting: Mnemic </w:t>
      </w:r>
      <w:r w:rsidR="00C965A9" w:rsidRPr="00766C2B">
        <w:t>n</w:t>
      </w:r>
      <w:r w:rsidRPr="00766C2B">
        <w:t xml:space="preserve">eglect for statements about dementia in </w:t>
      </w:r>
      <w:r w:rsidR="00C965A9" w:rsidRPr="00766C2B">
        <w:t>p</w:t>
      </w:r>
      <w:r w:rsidRPr="00766C2B">
        <w:t xml:space="preserve">eople with </w:t>
      </w:r>
      <w:r w:rsidR="00C965A9" w:rsidRPr="00766C2B">
        <w:t>m</w:t>
      </w:r>
      <w:r w:rsidRPr="00766C2B">
        <w:t xml:space="preserve">ild </w:t>
      </w:r>
      <w:r w:rsidR="00C965A9" w:rsidRPr="00766C2B">
        <w:t>d</w:t>
      </w:r>
      <w:r w:rsidRPr="00766C2B">
        <w:t xml:space="preserve">ementia, </w:t>
      </w:r>
      <w:r w:rsidRPr="00766C2B">
        <w:rPr>
          <w:i/>
        </w:rPr>
        <w:t xml:space="preserve">International Journal of Geriatric Psychiatry, </w:t>
      </w:r>
      <w:r w:rsidRPr="00766C2B">
        <w:t>33 (8), 1065-1073</w:t>
      </w:r>
      <w:r w:rsidRPr="00766C2B">
        <w:rPr>
          <w:color w:val="000000"/>
          <w:lang w:val="en-US"/>
        </w:rPr>
        <w:t xml:space="preserve"> </w:t>
      </w:r>
      <w:hyperlink r:id="rId23" w:history="1">
        <w:r w:rsidRPr="00766C2B">
          <w:rPr>
            <w:rStyle w:val="Hyperlink"/>
            <w:u w:val="none"/>
            <w:lang w:val="en-US"/>
          </w:rPr>
          <w:t>https://doi.org/10.1002/gps.4894</w:t>
        </w:r>
      </w:hyperlink>
      <w:bookmarkEnd w:id="3"/>
      <w:r w:rsidRPr="00766C2B">
        <w:rPr>
          <w:color w:val="0000FF"/>
          <w:lang w:val="en-US"/>
        </w:rPr>
        <w:t>.</w:t>
      </w:r>
    </w:p>
    <w:p w14:paraId="2D4A557C" w14:textId="4C807806" w:rsidR="00821990" w:rsidRPr="00766C2B" w:rsidRDefault="00821990" w:rsidP="00821990">
      <w:pPr>
        <w:spacing w:before="120" w:after="120" w:line="480" w:lineRule="auto"/>
        <w:ind w:left="720" w:hanging="720"/>
        <w:rPr>
          <w:iCs/>
          <w:color w:val="000000"/>
          <w:lang w:eastAsia="en-US"/>
        </w:rPr>
      </w:pPr>
      <w:r w:rsidRPr="00766C2B">
        <w:t>Cheston, R., Dodd, E., Christopher, G., White, P., Wildschut, T. &amp; Sedikides, C. (</w:t>
      </w:r>
      <w:r w:rsidR="00E03286" w:rsidRPr="00766C2B">
        <w:rPr>
          <w:iCs/>
          <w:color w:val="000000"/>
          <w:lang w:eastAsia="en-US"/>
        </w:rPr>
        <w:t>2020</w:t>
      </w:r>
      <w:r w:rsidRPr="00766C2B">
        <w:t>)</w:t>
      </w:r>
      <w:r w:rsidR="00DB5EB9" w:rsidRPr="00766C2B">
        <w:t>.</w:t>
      </w:r>
      <w:r w:rsidRPr="00766C2B">
        <w:t xml:space="preserve"> Development and Validation of the Threat of Dementia Scale, </w:t>
      </w:r>
      <w:r w:rsidR="00E03286" w:rsidRPr="00766C2B">
        <w:rPr>
          <w:i/>
          <w:color w:val="000000"/>
          <w:lang w:eastAsia="en-US"/>
        </w:rPr>
        <w:t xml:space="preserve">The International Journal of Aging and Human Development, </w:t>
      </w:r>
      <w:r w:rsidR="00E03286" w:rsidRPr="00766C2B">
        <w:rPr>
          <w:iCs/>
          <w:color w:val="000000"/>
          <w:lang w:eastAsia="en-US"/>
        </w:rPr>
        <w:t>https://doi.org/</w:t>
      </w:r>
      <w:r w:rsidR="00E03286" w:rsidRPr="00766C2B">
        <w:rPr>
          <w:color w:val="201F1E"/>
          <w:shd w:val="clear" w:color="auto" w:fill="FFFFFF"/>
        </w:rPr>
        <w:t>10.1177/0091415020957388</w:t>
      </w:r>
      <w:r w:rsidRPr="00766C2B">
        <w:rPr>
          <w:iCs/>
          <w:color w:val="000000"/>
          <w:lang w:eastAsia="en-US"/>
        </w:rPr>
        <w:t>.</w:t>
      </w:r>
    </w:p>
    <w:p w14:paraId="50A8067C" w14:textId="6BFE0517" w:rsidR="008B7F20" w:rsidRPr="00766C2B" w:rsidRDefault="008B7F20" w:rsidP="00821990">
      <w:pPr>
        <w:spacing w:before="120" w:after="120" w:line="480" w:lineRule="auto"/>
        <w:ind w:left="720" w:hanging="720"/>
        <w:rPr>
          <w:iCs/>
          <w:color w:val="000000"/>
          <w:lang w:eastAsia="en-US"/>
        </w:rPr>
      </w:pPr>
      <w:r w:rsidRPr="00766C2B">
        <w:rPr>
          <w:color w:val="222222"/>
          <w:shd w:val="clear" w:color="auto" w:fill="F8F8F8"/>
        </w:rPr>
        <w:t>Christopher, G. (2013). </w:t>
      </w:r>
      <w:r w:rsidRPr="00766C2B">
        <w:rPr>
          <w:i/>
          <w:iCs/>
          <w:color w:val="222222"/>
          <w:shd w:val="clear" w:color="auto" w:fill="F8F8F8"/>
        </w:rPr>
        <w:t xml:space="preserve">The </w:t>
      </w:r>
      <w:r w:rsidR="00C965A9" w:rsidRPr="00766C2B">
        <w:rPr>
          <w:i/>
          <w:iCs/>
          <w:color w:val="222222"/>
          <w:shd w:val="clear" w:color="auto" w:fill="F8F8F8"/>
        </w:rPr>
        <w:t>p</w:t>
      </w:r>
      <w:r w:rsidRPr="00766C2B">
        <w:rPr>
          <w:i/>
          <w:iCs/>
          <w:color w:val="222222"/>
          <w:shd w:val="clear" w:color="auto" w:fill="F8F8F8"/>
        </w:rPr>
        <w:t xml:space="preserve">sychology of </w:t>
      </w:r>
      <w:r w:rsidR="00C965A9" w:rsidRPr="00766C2B">
        <w:rPr>
          <w:i/>
          <w:iCs/>
          <w:color w:val="222222"/>
          <w:shd w:val="clear" w:color="auto" w:fill="F8F8F8"/>
        </w:rPr>
        <w:t>a</w:t>
      </w:r>
      <w:r w:rsidRPr="00766C2B">
        <w:rPr>
          <w:i/>
          <w:iCs/>
          <w:color w:val="222222"/>
          <w:shd w:val="clear" w:color="auto" w:fill="F8F8F8"/>
        </w:rPr>
        <w:t xml:space="preserve">geing: </w:t>
      </w:r>
      <w:r w:rsidR="00AB273A" w:rsidRPr="00766C2B">
        <w:rPr>
          <w:i/>
          <w:iCs/>
          <w:color w:val="222222"/>
          <w:shd w:val="clear" w:color="auto" w:fill="F8F8F8"/>
        </w:rPr>
        <w:t>f</w:t>
      </w:r>
      <w:r w:rsidRPr="00766C2B">
        <w:rPr>
          <w:i/>
          <w:iCs/>
          <w:color w:val="222222"/>
          <w:shd w:val="clear" w:color="auto" w:fill="F8F8F8"/>
        </w:rPr>
        <w:t xml:space="preserve">rom </w:t>
      </w:r>
      <w:r w:rsidR="00C965A9" w:rsidRPr="00766C2B">
        <w:rPr>
          <w:i/>
          <w:iCs/>
          <w:color w:val="222222"/>
          <w:shd w:val="clear" w:color="auto" w:fill="F8F8F8"/>
        </w:rPr>
        <w:t>m</w:t>
      </w:r>
      <w:r w:rsidRPr="00766C2B">
        <w:rPr>
          <w:i/>
          <w:iCs/>
          <w:color w:val="222222"/>
          <w:shd w:val="clear" w:color="auto" w:fill="F8F8F8"/>
        </w:rPr>
        <w:t xml:space="preserve">ind to </w:t>
      </w:r>
      <w:r w:rsidR="00C965A9" w:rsidRPr="00766C2B">
        <w:rPr>
          <w:i/>
          <w:iCs/>
          <w:color w:val="222222"/>
          <w:shd w:val="clear" w:color="auto" w:fill="F8F8F8"/>
        </w:rPr>
        <w:t>s</w:t>
      </w:r>
      <w:r w:rsidRPr="00766C2B">
        <w:rPr>
          <w:i/>
          <w:iCs/>
          <w:color w:val="222222"/>
          <w:shd w:val="clear" w:color="auto" w:fill="F8F8F8"/>
        </w:rPr>
        <w:t>ociety</w:t>
      </w:r>
      <w:r w:rsidRPr="00766C2B">
        <w:rPr>
          <w:color w:val="222222"/>
          <w:shd w:val="clear" w:color="auto" w:fill="F8F8F8"/>
        </w:rPr>
        <w:t>. London: Macmillan International Higher Education.</w:t>
      </w:r>
    </w:p>
    <w:p w14:paraId="07FEAA3C" w14:textId="5AA0ACC1" w:rsidR="005F3A88" w:rsidRPr="00766C2B" w:rsidRDefault="00540D84" w:rsidP="00FC5F63">
      <w:pPr>
        <w:spacing w:line="480" w:lineRule="auto"/>
        <w:ind w:left="720" w:hanging="720"/>
        <w:rPr>
          <w:color w:val="222222"/>
          <w:shd w:val="clear" w:color="auto" w:fill="FFFFFF"/>
        </w:rPr>
      </w:pPr>
      <w:r w:rsidRPr="00766C2B">
        <w:rPr>
          <w:lang w:val="en-US"/>
        </w:rPr>
        <w:t xml:space="preserve">Cuddy, A. J. C., Norton, M. I., &amp; Fiske, S. T. (2005). This old stereotype: The pervasiveness and persistence of the elderly stereotype. </w:t>
      </w:r>
      <w:r w:rsidRPr="00766C2B">
        <w:rPr>
          <w:i/>
          <w:iCs/>
          <w:color w:val="222222"/>
          <w:shd w:val="clear" w:color="auto" w:fill="FFFFFF"/>
        </w:rPr>
        <w:t>Journal of Social Issues</w:t>
      </w:r>
      <w:r w:rsidRPr="00766C2B">
        <w:rPr>
          <w:i/>
          <w:lang w:val="en-US"/>
        </w:rPr>
        <w:t>, 61</w:t>
      </w:r>
      <w:r w:rsidRPr="00766C2B">
        <w:rPr>
          <w:lang w:val="en-US"/>
        </w:rPr>
        <w:t xml:space="preserve">(2), 265–283. </w:t>
      </w:r>
      <w:r w:rsidR="00C0480E" w:rsidRPr="00766C2B">
        <w:rPr>
          <w:lang w:val="en-US"/>
        </w:rPr>
        <w:t>https://doi.org/</w:t>
      </w:r>
      <w:r w:rsidRPr="00766C2B">
        <w:rPr>
          <w:lang w:val="en-US"/>
        </w:rPr>
        <w:t>10.1111/j.1540-4560.2005.00405.x</w:t>
      </w:r>
      <w:r w:rsidR="005064A6" w:rsidRPr="00766C2B">
        <w:rPr>
          <w:lang w:val="en-US"/>
        </w:rPr>
        <w:t>.</w:t>
      </w:r>
    </w:p>
    <w:p w14:paraId="7E90F0E8" w14:textId="2852CBE1" w:rsidR="005064A6" w:rsidRPr="00766C2B" w:rsidRDefault="005064A6" w:rsidP="005064A6">
      <w:pPr>
        <w:spacing w:line="480" w:lineRule="auto"/>
        <w:ind w:left="720" w:hanging="720"/>
        <w:rPr>
          <w:color w:val="222222"/>
          <w:shd w:val="clear" w:color="auto" w:fill="FFFFFF"/>
        </w:rPr>
      </w:pPr>
      <w:bookmarkStart w:id="4" w:name="_Hlk52867155"/>
      <w:r w:rsidRPr="00766C2B">
        <w:rPr>
          <w:shd w:val="clear" w:color="auto" w:fill="FFFFFF"/>
        </w:rPr>
        <w:lastRenderedPageBreak/>
        <w:t xml:space="preserve">Cuddy, L. L., </w:t>
      </w:r>
      <w:proofErr w:type="spellStart"/>
      <w:r w:rsidRPr="00766C2B">
        <w:rPr>
          <w:shd w:val="clear" w:color="auto" w:fill="FFFFFF"/>
        </w:rPr>
        <w:t>Sikka</w:t>
      </w:r>
      <w:proofErr w:type="spellEnd"/>
      <w:r w:rsidRPr="00766C2B">
        <w:rPr>
          <w:shd w:val="clear" w:color="auto" w:fill="FFFFFF"/>
        </w:rPr>
        <w:t xml:space="preserve">, R., </w:t>
      </w:r>
      <w:proofErr w:type="spellStart"/>
      <w:r w:rsidRPr="00766C2B">
        <w:rPr>
          <w:shd w:val="clear" w:color="auto" w:fill="FFFFFF"/>
        </w:rPr>
        <w:t>Silveira</w:t>
      </w:r>
      <w:proofErr w:type="spellEnd"/>
      <w:r w:rsidRPr="00766C2B">
        <w:rPr>
          <w:shd w:val="clear" w:color="auto" w:fill="FFFFFF"/>
        </w:rPr>
        <w:t>, K., Bai, S., &amp; Vanstone, A. (2017). Music-evoked autobiographical memories (MEAMs) in Alzheimer disease: Evidence for a positivity effect. </w:t>
      </w:r>
      <w:r w:rsidRPr="00766C2B">
        <w:rPr>
          <w:i/>
          <w:iCs/>
          <w:shd w:val="clear" w:color="auto" w:fill="FFFFFF"/>
        </w:rPr>
        <w:t>Cogent Psychology</w:t>
      </w:r>
      <w:r w:rsidRPr="00766C2B">
        <w:rPr>
          <w:shd w:val="clear" w:color="auto" w:fill="FFFFFF"/>
        </w:rPr>
        <w:t>, </w:t>
      </w:r>
      <w:r w:rsidRPr="00766C2B">
        <w:rPr>
          <w:i/>
          <w:iCs/>
          <w:shd w:val="clear" w:color="auto" w:fill="FFFFFF"/>
        </w:rPr>
        <w:t>4</w:t>
      </w:r>
      <w:r w:rsidRPr="00766C2B">
        <w:rPr>
          <w:shd w:val="clear" w:color="auto" w:fill="FFFFFF"/>
        </w:rPr>
        <w:t xml:space="preserve">(1), 1277578. </w:t>
      </w:r>
      <w:r w:rsidRPr="00766C2B">
        <w:rPr>
          <w:lang w:val="en-US"/>
        </w:rPr>
        <w:t>https://doi.org/</w:t>
      </w:r>
      <w:r w:rsidRPr="00766C2B">
        <w:rPr>
          <w:shd w:val="clear" w:color="auto" w:fill="FFFFFF"/>
        </w:rPr>
        <w:t>10.1080/23311908.2016</w:t>
      </w:r>
    </w:p>
    <w:bookmarkEnd w:id="4"/>
    <w:p w14:paraId="6D0014A2" w14:textId="1A0EA6F3" w:rsidR="00540D84" w:rsidRPr="00766C2B" w:rsidRDefault="00540D84">
      <w:pPr>
        <w:spacing w:line="480" w:lineRule="auto"/>
        <w:ind w:left="720" w:hanging="720"/>
        <w:rPr>
          <w:rStyle w:val="Hyperlink"/>
          <w:color w:val="000000" w:themeColor="text1"/>
          <w:u w:val="none"/>
          <w:shd w:val="clear" w:color="auto" w:fill="FFFFFF"/>
        </w:rPr>
      </w:pPr>
      <w:r w:rsidRPr="00766C2B">
        <w:rPr>
          <w:color w:val="222222"/>
          <w:shd w:val="clear" w:color="auto" w:fill="FFFFFF"/>
        </w:rPr>
        <w:t>Desrichard, O., &amp; Köpetz, C. (2005). A threat in the elder: the impact of task</w:t>
      </w:r>
      <w:r w:rsidRPr="00766C2B">
        <w:rPr>
          <w:rFonts w:ascii="AMERICAN TYPEWRITER CONDENSED" w:hAnsi="AMERICAN TYPEWRITER CONDENSED" w:cs="AMERICAN TYPEWRITER CONDENSED"/>
          <w:color w:val="222222"/>
          <w:shd w:val="clear" w:color="auto" w:fill="FFFFFF"/>
        </w:rPr>
        <w:t>‐</w:t>
      </w:r>
      <w:r w:rsidRPr="00766C2B">
        <w:rPr>
          <w:color w:val="222222"/>
          <w:shd w:val="clear" w:color="auto" w:fill="FFFFFF"/>
        </w:rPr>
        <w:t>instructions, self</w:t>
      </w:r>
      <w:r w:rsidRPr="00766C2B">
        <w:rPr>
          <w:rFonts w:ascii="AMERICAN TYPEWRITER CONDENSED" w:hAnsi="AMERICAN TYPEWRITER CONDENSED" w:cs="AMERICAN TYPEWRITER CONDENSED"/>
          <w:color w:val="222222"/>
          <w:shd w:val="clear" w:color="auto" w:fill="FFFFFF"/>
        </w:rPr>
        <w:t>‐</w:t>
      </w:r>
      <w:r w:rsidRPr="00766C2B">
        <w:rPr>
          <w:color w:val="222222"/>
          <w:shd w:val="clear" w:color="auto" w:fill="FFFFFF"/>
        </w:rPr>
        <w:t>efficacy and performance expectations on memory performance in the elderly. </w:t>
      </w:r>
      <w:r w:rsidRPr="00766C2B">
        <w:rPr>
          <w:i/>
          <w:iCs/>
          <w:color w:val="222222"/>
          <w:shd w:val="clear" w:color="auto" w:fill="FFFFFF"/>
        </w:rPr>
        <w:t>European Journal of Social Psychology</w:t>
      </w:r>
      <w:r w:rsidRPr="00766C2B">
        <w:rPr>
          <w:color w:val="222222"/>
          <w:shd w:val="clear" w:color="auto" w:fill="FFFFFF"/>
        </w:rPr>
        <w:t>, </w:t>
      </w:r>
      <w:r w:rsidRPr="00766C2B">
        <w:rPr>
          <w:i/>
          <w:iCs/>
          <w:color w:val="222222"/>
          <w:shd w:val="clear" w:color="auto" w:fill="FFFFFF"/>
        </w:rPr>
        <w:t>35</w:t>
      </w:r>
      <w:r w:rsidRPr="00766C2B">
        <w:rPr>
          <w:color w:val="222222"/>
          <w:shd w:val="clear" w:color="auto" w:fill="FFFFFF"/>
        </w:rPr>
        <w:t>(4), 537-552.</w:t>
      </w:r>
      <w:r w:rsidR="00425728" w:rsidRPr="00766C2B">
        <w:rPr>
          <w:color w:val="222222"/>
          <w:shd w:val="clear" w:color="auto" w:fill="FFFFFF"/>
        </w:rPr>
        <w:t xml:space="preserve"> </w:t>
      </w:r>
      <w:hyperlink r:id="rId24" w:history="1">
        <w:r w:rsidR="00C0480E" w:rsidRPr="00766C2B">
          <w:rPr>
            <w:rStyle w:val="Hyperlink"/>
            <w:rFonts w:asciiTheme="majorBidi" w:hAnsiTheme="majorBidi" w:cstheme="majorBidi"/>
            <w:color w:val="000000" w:themeColor="text1"/>
            <w:u w:val="none"/>
            <w:shd w:val="clear" w:color="auto" w:fill="FFFFFF"/>
          </w:rPr>
          <w:t>https://doi.org/</w:t>
        </w:r>
        <w:r w:rsidR="00425728" w:rsidRPr="00766C2B">
          <w:rPr>
            <w:rStyle w:val="Hyperlink"/>
            <w:rFonts w:asciiTheme="majorBidi" w:hAnsiTheme="majorBidi" w:cstheme="majorBidi"/>
            <w:color w:val="000000" w:themeColor="text1"/>
            <w:u w:val="none"/>
            <w:shd w:val="clear" w:color="auto" w:fill="FFFFFF"/>
          </w:rPr>
          <w:t>10.1002/ejsp.249</w:t>
        </w:r>
      </w:hyperlink>
      <w:r w:rsidR="00D70592" w:rsidRPr="00766C2B">
        <w:rPr>
          <w:rStyle w:val="Hyperlink"/>
          <w:rFonts w:asciiTheme="majorBidi" w:hAnsiTheme="majorBidi" w:cstheme="majorBidi"/>
          <w:color w:val="000000" w:themeColor="text1"/>
          <w:u w:val="none"/>
          <w:shd w:val="clear" w:color="auto" w:fill="FFFFFF"/>
        </w:rPr>
        <w:t>.</w:t>
      </w:r>
    </w:p>
    <w:p w14:paraId="3F2772CD" w14:textId="676BE7A1" w:rsidR="00D70592" w:rsidRPr="00766C2B" w:rsidRDefault="00D70592">
      <w:pPr>
        <w:spacing w:line="480" w:lineRule="auto"/>
        <w:ind w:left="720" w:hanging="720"/>
        <w:rPr>
          <w:color w:val="000000" w:themeColor="text1"/>
          <w:shd w:val="clear" w:color="auto" w:fill="FFFFFF"/>
        </w:rPr>
      </w:pPr>
      <w:r w:rsidRPr="00766C2B">
        <w:rPr>
          <w:color w:val="222222"/>
          <w:shd w:val="clear" w:color="auto" w:fill="FFFFFF"/>
        </w:rPr>
        <w:t>Ferraro, F. R., &amp; Chelminski, I. (1996). Preliminary normative data on the Geriatric Depression Scale‐Short Form (GDS‐SF) in a young adult sample. </w:t>
      </w:r>
      <w:r w:rsidRPr="00766C2B">
        <w:rPr>
          <w:i/>
          <w:iCs/>
          <w:color w:val="222222"/>
          <w:shd w:val="clear" w:color="auto" w:fill="FFFFFF"/>
        </w:rPr>
        <w:t>Journal of clinical psychology</w:t>
      </w:r>
      <w:r w:rsidRPr="00766C2B">
        <w:rPr>
          <w:color w:val="222222"/>
          <w:shd w:val="clear" w:color="auto" w:fill="FFFFFF"/>
        </w:rPr>
        <w:t>, </w:t>
      </w:r>
      <w:r w:rsidRPr="00766C2B">
        <w:rPr>
          <w:i/>
          <w:iCs/>
          <w:color w:val="222222"/>
          <w:shd w:val="clear" w:color="auto" w:fill="FFFFFF"/>
        </w:rPr>
        <w:t>52</w:t>
      </w:r>
      <w:r w:rsidRPr="00766C2B">
        <w:rPr>
          <w:color w:val="222222"/>
          <w:shd w:val="clear" w:color="auto" w:fill="FFFFFF"/>
        </w:rPr>
        <w:t>(4), 443-447.</w:t>
      </w:r>
    </w:p>
    <w:p w14:paraId="372469C9" w14:textId="6427304E" w:rsidR="00540D84" w:rsidRPr="00766C2B" w:rsidRDefault="00540D84" w:rsidP="00540D84">
      <w:pPr>
        <w:widowControl w:val="0"/>
        <w:autoSpaceDE w:val="0"/>
        <w:autoSpaceDN w:val="0"/>
        <w:adjustRightInd w:val="0"/>
        <w:spacing w:line="480" w:lineRule="auto"/>
        <w:ind w:left="720" w:hanging="720"/>
        <w:rPr>
          <w:color w:val="000000" w:themeColor="text1"/>
          <w:shd w:val="clear" w:color="auto" w:fill="FFFFFF"/>
        </w:rPr>
      </w:pPr>
      <w:r w:rsidRPr="00766C2B">
        <w:rPr>
          <w:lang w:val="en-US"/>
        </w:rPr>
        <w:t xml:space="preserve">Fiske, S. T., Cuddy, A. J., Glick, P., &amp; Xu, J. (2002). A model of (often mixed) stereotype content: Competence and warmth respectively follow from perceived status and competition. </w:t>
      </w:r>
      <w:r w:rsidRPr="00766C2B">
        <w:rPr>
          <w:i/>
          <w:lang w:val="en-US"/>
        </w:rPr>
        <w:t xml:space="preserve">Journal of Personality and Social </w:t>
      </w:r>
      <w:r w:rsidRPr="00766C2B">
        <w:rPr>
          <w:i/>
          <w:color w:val="000000" w:themeColor="text1"/>
          <w:lang w:val="en-US"/>
        </w:rPr>
        <w:t>Psychology</w:t>
      </w:r>
      <w:r w:rsidRPr="00766C2B">
        <w:rPr>
          <w:color w:val="000000" w:themeColor="text1"/>
          <w:lang w:val="en-US"/>
        </w:rPr>
        <w:t xml:space="preserve">, </w:t>
      </w:r>
      <w:r w:rsidRPr="00766C2B">
        <w:rPr>
          <w:i/>
          <w:color w:val="000000" w:themeColor="text1"/>
          <w:lang w:val="en-US"/>
        </w:rPr>
        <w:t>82</w:t>
      </w:r>
      <w:r w:rsidRPr="00766C2B">
        <w:rPr>
          <w:color w:val="000000" w:themeColor="text1"/>
          <w:lang w:val="en-US"/>
        </w:rPr>
        <w:t xml:space="preserve">(6), 878–902. </w:t>
      </w:r>
      <w:r w:rsidR="00C0480E" w:rsidRPr="00766C2B">
        <w:rPr>
          <w:color w:val="000000" w:themeColor="text1"/>
          <w:lang w:val="en-US"/>
        </w:rPr>
        <w:t>https://doi.org/</w:t>
      </w:r>
      <w:r w:rsidRPr="00766C2B">
        <w:rPr>
          <w:color w:val="000000" w:themeColor="text1"/>
          <w:shd w:val="clear" w:color="auto" w:fill="FFFFFF"/>
        </w:rPr>
        <w:t>10.1037//0022-3514.82.6.878</w:t>
      </w:r>
    </w:p>
    <w:p w14:paraId="0AFB2342" w14:textId="4E74FBAC" w:rsidR="00540D84" w:rsidRPr="00766C2B" w:rsidRDefault="00540D84" w:rsidP="00540D84">
      <w:pPr>
        <w:widowControl w:val="0"/>
        <w:autoSpaceDE w:val="0"/>
        <w:autoSpaceDN w:val="0"/>
        <w:adjustRightInd w:val="0"/>
        <w:spacing w:line="480" w:lineRule="auto"/>
        <w:ind w:left="720" w:hanging="720"/>
        <w:rPr>
          <w:bCs/>
          <w:color w:val="000000"/>
        </w:rPr>
      </w:pPr>
      <w:r w:rsidRPr="00766C2B">
        <w:rPr>
          <w:bCs/>
          <w:color w:val="000000"/>
          <w:lang w:val="en-US"/>
        </w:rPr>
        <w:t xml:space="preserve">Green, J. D., &amp; Sedikides, C. (2004). </w:t>
      </w:r>
      <w:r w:rsidRPr="00766C2B">
        <w:rPr>
          <w:bCs/>
          <w:color w:val="000000"/>
        </w:rPr>
        <w:t>Retrieval selectivity in the processing of self-referent information: Testing the boundaries of self-protection</w:t>
      </w:r>
      <w:r w:rsidRPr="00766C2B">
        <w:rPr>
          <w:bCs/>
          <w:color w:val="000000"/>
          <w:lang w:val="en-US"/>
        </w:rPr>
        <w:t xml:space="preserve">. </w:t>
      </w:r>
      <w:r w:rsidRPr="00766C2B">
        <w:rPr>
          <w:bCs/>
          <w:i/>
          <w:color w:val="000000"/>
          <w:lang w:val="en-US"/>
        </w:rPr>
        <w:t>Self and Identity, 3</w:t>
      </w:r>
      <w:r w:rsidR="00425728" w:rsidRPr="00766C2B">
        <w:rPr>
          <w:bCs/>
          <w:iCs/>
          <w:color w:val="000000"/>
          <w:lang w:val="en-US"/>
        </w:rPr>
        <w:t>(1)</w:t>
      </w:r>
      <w:r w:rsidRPr="00766C2B">
        <w:rPr>
          <w:bCs/>
          <w:color w:val="000000"/>
          <w:lang w:val="en-US"/>
        </w:rPr>
        <w:t xml:space="preserve">, 69-80. </w:t>
      </w:r>
      <w:hyperlink r:id="rId25" w:history="1">
        <w:r w:rsidR="00C0480E" w:rsidRPr="00766C2B">
          <w:rPr>
            <w:rStyle w:val="Hyperlink"/>
            <w:bCs/>
            <w:color w:val="000000"/>
            <w:u w:val="none"/>
          </w:rPr>
          <w:t>https://doi.org/</w:t>
        </w:r>
        <w:r w:rsidRPr="00766C2B">
          <w:rPr>
            <w:rStyle w:val="Hyperlink"/>
            <w:bCs/>
            <w:color w:val="000000"/>
            <w:u w:val="none"/>
          </w:rPr>
          <w:t>10.1080/13576500342000059</w:t>
        </w:r>
      </w:hyperlink>
    </w:p>
    <w:p w14:paraId="70FC32BC" w14:textId="47603368" w:rsidR="00540D84" w:rsidRPr="00766C2B" w:rsidRDefault="00540D84" w:rsidP="00540D84">
      <w:pPr>
        <w:widowControl w:val="0"/>
        <w:autoSpaceDE w:val="0"/>
        <w:autoSpaceDN w:val="0"/>
        <w:adjustRightInd w:val="0"/>
        <w:spacing w:line="480" w:lineRule="auto"/>
        <w:ind w:left="720" w:hanging="720"/>
        <w:rPr>
          <w:shd w:val="clear" w:color="auto" w:fill="FFFFFF"/>
        </w:rPr>
      </w:pPr>
      <w:r w:rsidRPr="00766C2B">
        <w:rPr>
          <w:shd w:val="clear" w:color="auto" w:fill="FFFFFF"/>
        </w:rPr>
        <w:t>Green, J. D., Sedikides, C., &amp; Gregg, A. P. (2008)</w:t>
      </w:r>
      <w:r w:rsidR="00DB5EB9" w:rsidRPr="00766C2B">
        <w:rPr>
          <w:shd w:val="clear" w:color="auto" w:fill="FFFFFF"/>
        </w:rPr>
        <w:t>.</w:t>
      </w:r>
      <w:r w:rsidRPr="00766C2B">
        <w:rPr>
          <w:shd w:val="clear" w:color="auto" w:fill="FFFFFF"/>
        </w:rPr>
        <w:t xml:space="preserve"> Forgotten but not gone: The recall and recognition of self-threatening memories. </w:t>
      </w:r>
      <w:r w:rsidRPr="00766C2B">
        <w:rPr>
          <w:bCs/>
          <w:i/>
          <w:shd w:val="clear" w:color="auto" w:fill="FFFFFF"/>
        </w:rPr>
        <w:t>Journal of Experimental and Social Psychology</w:t>
      </w:r>
      <w:r w:rsidRPr="00766C2B">
        <w:rPr>
          <w:i/>
          <w:iCs/>
          <w:shd w:val="clear" w:color="auto" w:fill="FFFFFF"/>
        </w:rPr>
        <w:t>,</w:t>
      </w:r>
      <w:r w:rsidRPr="00766C2B">
        <w:rPr>
          <w:shd w:val="clear" w:color="auto" w:fill="FFFFFF"/>
        </w:rPr>
        <w:t> </w:t>
      </w:r>
      <w:r w:rsidRPr="00766C2B">
        <w:rPr>
          <w:i/>
          <w:iCs/>
          <w:shd w:val="clear" w:color="auto" w:fill="FFFFFF"/>
        </w:rPr>
        <w:t>44</w:t>
      </w:r>
      <w:r w:rsidRPr="00766C2B">
        <w:rPr>
          <w:iCs/>
          <w:shd w:val="clear" w:color="auto" w:fill="FFFFFF"/>
        </w:rPr>
        <w:t>(3)</w:t>
      </w:r>
      <w:r w:rsidRPr="00766C2B">
        <w:rPr>
          <w:shd w:val="clear" w:color="auto" w:fill="FFFFFF"/>
        </w:rPr>
        <w:t xml:space="preserve">, 547-561. </w:t>
      </w:r>
      <w:r w:rsidR="00C0480E" w:rsidRPr="00766C2B">
        <w:rPr>
          <w:shd w:val="clear" w:color="auto" w:fill="FFFFFF"/>
        </w:rPr>
        <w:t>https://doi.org/</w:t>
      </w:r>
      <w:r w:rsidRPr="00766C2B">
        <w:rPr>
          <w:shd w:val="clear" w:color="auto" w:fill="FFFFFF"/>
        </w:rPr>
        <w:t>10.1016/j.jesp.2007.10.006</w:t>
      </w:r>
    </w:p>
    <w:p w14:paraId="20E149EF" w14:textId="0B16261D" w:rsidR="00FA0EB3" w:rsidRPr="00766C2B" w:rsidRDefault="005C2822" w:rsidP="00B77F0B">
      <w:pPr>
        <w:widowControl w:val="0"/>
        <w:autoSpaceDE w:val="0"/>
        <w:autoSpaceDN w:val="0"/>
        <w:adjustRightInd w:val="0"/>
        <w:spacing w:line="480" w:lineRule="auto"/>
        <w:ind w:left="720" w:hanging="720"/>
        <w:rPr>
          <w:lang w:val="it-IT" w:eastAsia="zh-TW"/>
        </w:rPr>
      </w:pPr>
      <w:r w:rsidRPr="00766C2B">
        <w:rPr>
          <w:lang w:val="de-DE"/>
        </w:rPr>
        <w:t xml:space="preserve">Greenberg, J., Schimel, J., &amp; Martens, A. (2002). </w:t>
      </w:r>
      <w:r w:rsidRPr="00766C2B">
        <w:rPr>
          <w:lang w:val="en-US"/>
        </w:rPr>
        <w:t xml:space="preserve">Ageism: Denying the face of the future. In T. D. Nelson (Ed.), </w:t>
      </w:r>
      <w:r w:rsidRPr="00766C2B">
        <w:rPr>
          <w:i/>
          <w:lang w:val="en-US"/>
        </w:rPr>
        <w:t xml:space="preserve">Ageism: Stereotyping and prejudice against older persons </w:t>
      </w:r>
      <w:r w:rsidRPr="00766C2B">
        <w:rPr>
          <w:lang w:val="en-US"/>
        </w:rPr>
        <w:t xml:space="preserve">(pp. 27–48). Cambridge, MA: MIT </w:t>
      </w:r>
      <w:proofErr w:type="spellStart"/>
      <w:r w:rsidRPr="00766C2B">
        <w:rPr>
          <w:lang w:val="en-US"/>
        </w:rPr>
        <w:t>Press.</w:t>
      </w:r>
      <w:r w:rsidR="00FA0EB3" w:rsidRPr="00766C2B">
        <w:rPr>
          <w:lang w:val="en-US"/>
        </w:rPr>
        <w:t>Gregg</w:t>
      </w:r>
      <w:proofErr w:type="spellEnd"/>
      <w:r w:rsidR="00FA0EB3" w:rsidRPr="00766C2B">
        <w:rPr>
          <w:lang w:val="en-US"/>
        </w:rPr>
        <w:t xml:space="preserve">, A. P., Mahadevan, N., &amp; Sedikides, C. (2017). </w:t>
      </w:r>
      <w:r w:rsidR="00FA0EB3" w:rsidRPr="00766C2B">
        <w:rPr>
          <w:lang w:eastAsia="zh-TW"/>
        </w:rPr>
        <w:t xml:space="preserve">The SPOT effect: People </w:t>
      </w:r>
      <w:r w:rsidR="00FA0EB3" w:rsidRPr="00766C2B">
        <w:rPr>
          <w:lang w:eastAsia="zh-TW"/>
        </w:rPr>
        <w:lastRenderedPageBreak/>
        <w:t xml:space="preserve">spontaneously prefer their own theories. </w:t>
      </w:r>
      <w:r w:rsidR="00FA0EB3" w:rsidRPr="00766C2B">
        <w:rPr>
          <w:i/>
          <w:lang w:eastAsia="zh-TW"/>
        </w:rPr>
        <w:t>The Quarterly Journal of Experimental Psychology, 70</w:t>
      </w:r>
      <w:r w:rsidR="00FA0EB3" w:rsidRPr="00766C2B">
        <w:rPr>
          <w:iCs/>
          <w:lang w:eastAsia="zh-TW"/>
        </w:rPr>
        <w:t>(6)</w:t>
      </w:r>
      <w:r w:rsidR="00FA0EB3" w:rsidRPr="00766C2B">
        <w:rPr>
          <w:lang w:eastAsia="zh-TW"/>
        </w:rPr>
        <w:t xml:space="preserve">, 996-1010. </w:t>
      </w:r>
      <w:hyperlink r:id="rId26" w:history="1">
        <w:r w:rsidR="00FA0EB3" w:rsidRPr="00766C2B">
          <w:rPr>
            <w:rStyle w:val="Hyperlink"/>
            <w:u w:val="none"/>
            <w:lang w:val="it-IT" w:eastAsia="zh-TW"/>
          </w:rPr>
          <w:t>https://doi.org/</w:t>
        </w:r>
        <w:r w:rsidR="00FA0EB3" w:rsidRPr="00766C2B">
          <w:rPr>
            <w:rStyle w:val="Hyperlink"/>
            <w:u w:val="none"/>
            <w:lang w:val="it-IT"/>
          </w:rPr>
          <w:t>10.1080/17470218.2015.1099162</w:t>
        </w:r>
      </w:hyperlink>
    </w:p>
    <w:p w14:paraId="512690EA" w14:textId="57F75FC5" w:rsidR="005C2822" w:rsidRPr="00766C2B" w:rsidRDefault="005C2822" w:rsidP="005C2822">
      <w:pPr>
        <w:widowControl w:val="0"/>
        <w:autoSpaceDE w:val="0"/>
        <w:autoSpaceDN w:val="0"/>
        <w:adjustRightInd w:val="0"/>
        <w:spacing w:line="480" w:lineRule="auto"/>
        <w:ind w:left="720" w:hanging="720"/>
        <w:rPr>
          <w:lang w:val="en-US"/>
        </w:rPr>
      </w:pPr>
      <w:r w:rsidRPr="00766C2B">
        <w:rPr>
          <w:color w:val="222222"/>
          <w:shd w:val="clear" w:color="auto" w:fill="FFFFFF"/>
          <w:lang w:val="it-IT"/>
        </w:rPr>
        <w:t xml:space="preserve">Guerin, J. M., Copersino, M. L., &amp; Schretlen, D. J. (2018). </w:t>
      </w:r>
      <w:r w:rsidRPr="00766C2B">
        <w:rPr>
          <w:color w:val="222222"/>
          <w:shd w:val="clear" w:color="auto" w:fill="FFFFFF"/>
        </w:rPr>
        <w:t>Clinical utility of the 15-item geriatric depression scale (GDS-15) for use with young and middle-aged adults. </w:t>
      </w:r>
      <w:r w:rsidRPr="00766C2B">
        <w:rPr>
          <w:i/>
          <w:iCs/>
          <w:color w:val="222222"/>
          <w:shd w:val="clear" w:color="auto" w:fill="FFFFFF"/>
        </w:rPr>
        <w:t>Journal of Affective Disorders</w:t>
      </w:r>
      <w:r w:rsidRPr="00766C2B">
        <w:rPr>
          <w:color w:val="222222"/>
          <w:shd w:val="clear" w:color="auto" w:fill="FFFFFF"/>
        </w:rPr>
        <w:t>, </w:t>
      </w:r>
      <w:r w:rsidRPr="00766C2B">
        <w:rPr>
          <w:i/>
          <w:iCs/>
          <w:color w:val="222222"/>
          <w:shd w:val="clear" w:color="auto" w:fill="FFFFFF"/>
        </w:rPr>
        <w:t>241</w:t>
      </w:r>
      <w:r w:rsidRPr="00766C2B">
        <w:rPr>
          <w:color w:val="222222"/>
          <w:shd w:val="clear" w:color="auto" w:fill="FFFFFF"/>
        </w:rPr>
        <w:t xml:space="preserve">, 59-62. </w:t>
      </w:r>
      <w:hyperlink r:id="rId27" w:tgtFrame="_blank" w:tooltip="Persistent link using digital object identifier" w:history="1">
        <w:r w:rsidRPr="00766C2B">
          <w:rPr>
            <w:rStyle w:val="Hyperlink"/>
            <w:color w:val="000000" w:themeColor="text1"/>
            <w:u w:val="none"/>
          </w:rPr>
          <w:t>https://doi.org/10.1016/j.jad.2018.07.038</w:t>
        </w:r>
      </w:hyperlink>
    </w:p>
    <w:p w14:paraId="07ACE8D3" w14:textId="6CD3C3BD" w:rsidR="00AB6BB2" w:rsidRPr="00766C2B" w:rsidRDefault="00AB6BB2" w:rsidP="003756C6">
      <w:pPr>
        <w:widowControl w:val="0"/>
        <w:autoSpaceDE w:val="0"/>
        <w:autoSpaceDN w:val="0"/>
        <w:adjustRightInd w:val="0"/>
        <w:spacing w:line="480" w:lineRule="auto"/>
        <w:ind w:left="720" w:hanging="720"/>
        <w:rPr>
          <w:color w:val="000000" w:themeColor="text1"/>
          <w:shd w:val="clear" w:color="auto" w:fill="FFFFFF"/>
        </w:rPr>
      </w:pPr>
      <w:r w:rsidRPr="00766C2B">
        <w:rPr>
          <w:color w:val="212121"/>
          <w:shd w:val="clear" w:color="auto" w:fill="FFFFFF"/>
        </w:rPr>
        <w:t xml:space="preserve">Gutchess, A., &amp; Kensinger, E. A. (2018). Shared </w:t>
      </w:r>
      <w:r w:rsidR="00C0480E" w:rsidRPr="00766C2B">
        <w:rPr>
          <w:color w:val="212121"/>
          <w:shd w:val="clear" w:color="auto" w:fill="FFFFFF"/>
        </w:rPr>
        <w:t>m</w:t>
      </w:r>
      <w:r w:rsidRPr="00766C2B">
        <w:rPr>
          <w:color w:val="212121"/>
          <w:shd w:val="clear" w:color="auto" w:fill="FFFFFF"/>
        </w:rPr>
        <w:t xml:space="preserve">echanisms </w:t>
      </w:r>
      <w:r w:rsidR="00C0480E" w:rsidRPr="00766C2B">
        <w:rPr>
          <w:color w:val="212121"/>
          <w:shd w:val="clear" w:color="auto" w:fill="FFFFFF"/>
        </w:rPr>
        <w:t>m</w:t>
      </w:r>
      <w:r w:rsidRPr="00766C2B">
        <w:rPr>
          <w:color w:val="212121"/>
          <w:shd w:val="clear" w:color="auto" w:fill="FFFFFF"/>
        </w:rPr>
        <w:t xml:space="preserve">ay </w:t>
      </w:r>
      <w:r w:rsidR="00C0480E" w:rsidRPr="00766C2B">
        <w:rPr>
          <w:color w:val="212121"/>
          <w:shd w:val="clear" w:color="auto" w:fill="FFFFFF"/>
        </w:rPr>
        <w:t>s</w:t>
      </w:r>
      <w:r w:rsidRPr="00766C2B">
        <w:rPr>
          <w:color w:val="212121"/>
          <w:shd w:val="clear" w:color="auto" w:fill="FFFFFF"/>
        </w:rPr>
        <w:t xml:space="preserve">upport </w:t>
      </w:r>
      <w:r w:rsidR="00C0480E" w:rsidRPr="00766C2B">
        <w:rPr>
          <w:color w:val="212121"/>
          <w:shd w:val="clear" w:color="auto" w:fill="FFFFFF"/>
        </w:rPr>
        <w:t>m</w:t>
      </w:r>
      <w:r w:rsidRPr="00766C2B">
        <w:rPr>
          <w:color w:val="212121"/>
          <w:shd w:val="clear" w:color="auto" w:fill="FFFFFF"/>
        </w:rPr>
        <w:t xml:space="preserve">nemonic </w:t>
      </w:r>
      <w:r w:rsidR="00C0480E" w:rsidRPr="00766C2B">
        <w:rPr>
          <w:color w:val="212121"/>
          <w:shd w:val="clear" w:color="auto" w:fill="FFFFFF"/>
        </w:rPr>
        <w:t>b</w:t>
      </w:r>
      <w:r w:rsidRPr="00766C2B">
        <w:rPr>
          <w:color w:val="212121"/>
          <w:shd w:val="clear" w:color="auto" w:fill="FFFFFF"/>
        </w:rPr>
        <w:t xml:space="preserve">enefits from </w:t>
      </w:r>
      <w:r w:rsidR="00C0480E" w:rsidRPr="00766C2B">
        <w:rPr>
          <w:color w:val="212121"/>
          <w:shd w:val="clear" w:color="auto" w:fill="FFFFFF"/>
        </w:rPr>
        <w:t>s</w:t>
      </w:r>
      <w:r w:rsidRPr="00766C2B">
        <w:rPr>
          <w:color w:val="212121"/>
          <w:shd w:val="clear" w:color="auto" w:fill="FFFFFF"/>
        </w:rPr>
        <w:t>elf-</w:t>
      </w:r>
      <w:r w:rsidR="00C0480E" w:rsidRPr="00766C2B">
        <w:rPr>
          <w:color w:val="212121"/>
          <w:shd w:val="clear" w:color="auto" w:fill="FFFFFF"/>
        </w:rPr>
        <w:t>r</w:t>
      </w:r>
      <w:r w:rsidRPr="00766C2B">
        <w:rPr>
          <w:color w:val="212121"/>
          <w:shd w:val="clear" w:color="auto" w:fill="FFFFFF"/>
        </w:rPr>
        <w:t xml:space="preserve">eferencing and </w:t>
      </w:r>
      <w:r w:rsidR="00C0480E" w:rsidRPr="00766C2B">
        <w:rPr>
          <w:color w:val="212121"/>
          <w:shd w:val="clear" w:color="auto" w:fill="FFFFFF"/>
        </w:rPr>
        <w:t>e</w:t>
      </w:r>
      <w:r w:rsidRPr="00766C2B">
        <w:rPr>
          <w:color w:val="212121"/>
          <w:shd w:val="clear" w:color="auto" w:fill="FFFFFF"/>
        </w:rPr>
        <w:t>motion. </w:t>
      </w:r>
      <w:r w:rsidRPr="00766C2B">
        <w:rPr>
          <w:i/>
          <w:iCs/>
          <w:color w:val="212121"/>
          <w:shd w:val="clear" w:color="auto" w:fill="FFFFFF"/>
        </w:rPr>
        <w:t>Trends in Cognitive Sciences</w:t>
      </w:r>
      <w:r w:rsidRPr="00766C2B">
        <w:rPr>
          <w:color w:val="212121"/>
          <w:shd w:val="clear" w:color="auto" w:fill="FFFFFF"/>
        </w:rPr>
        <w:t>, </w:t>
      </w:r>
      <w:r w:rsidRPr="00766C2B">
        <w:rPr>
          <w:i/>
          <w:iCs/>
          <w:color w:val="212121"/>
          <w:shd w:val="clear" w:color="auto" w:fill="FFFFFF"/>
        </w:rPr>
        <w:t>22</w:t>
      </w:r>
      <w:r w:rsidRPr="00766C2B">
        <w:rPr>
          <w:color w:val="212121"/>
          <w:shd w:val="clear" w:color="auto" w:fill="FFFFFF"/>
        </w:rPr>
        <w:t>(8), 712–</w:t>
      </w:r>
      <w:r w:rsidRPr="00766C2B">
        <w:rPr>
          <w:color w:val="000000" w:themeColor="text1"/>
          <w:shd w:val="clear" w:color="auto" w:fill="FFFFFF"/>
        </w:rPr>
        <w:t xml:space="preserve">724. </w:t>
      </w:r>
      <w:hyperlink r:id="rId28" w:history="1">
        <w:r w:rsidR="00C0480E" w:rsidRPr="00766C2B">
          <w:rPr>
            <w:rStyle w:val="Hyperlink"/>
            <w:color w:val="000000" w:themeColor="text1"/>
            <w:u w:val="none"/>
            <w:shd w:val="clear" w:color="auto" w:fill="FFFFFF"/>
          </w:rPr>
          <w:t>https://doi.org/</w:t>
        </w:r>
        <w:r w:rsidRPr="00766C2B">
          <w:rPr>
            <w:rStyle w:val="Hyperlink"/>
            <w:color w:val="000000" w:themeColor="text1"/>
            <w:u w:val="none"/>
            <w:shd w:val="clear" w:color="auto" w:fill="FFFFFF"/>
          </w:rPr>
          <w:t>10.1016/j.tics.2018.05.001</w:t>
        </w:r>
      </w:hyperlink>
    </w:p>
    <w:p w14:paraId="17BB6725" w14:textId="13090C0B" w:rsidR="00AB6BB2" w:rsidRPr="00766C2B" w:rsidRDefault="00AB6BB2" w:rsidP="00540D84">
      <w:pPr>
        <w:widowControl w:val="0"/>
        <w:autoSpaceDE w:val="0"/>
        <w:autoSpaceDN w:val="0"/>
        <w:adjustRightInd w:val="0"/>
        <w:spacing w:line="480" w:lineRule="auto"/>
        <w:ind w:left="720" w:hanging="720"/>
        <w:rPr>
          <w:color w:val="212121"/>
          <w:shd w:val="clear" w:color="auto" w:fill="FFFFFF"/>
        </w:rPr>
      </w:pPr>
      <w:r w:rsidRPr="00766C2B">
        <w:rPr>
          <w:color w:val="212121"/>
          <w:shd w:val="clear" w:color="auto" w:fill="FFFFFF"/>
        </w:rPr>
        <w:t>Gutchess, A. H., Kensinger, E. A., Yoon, C., &amp; Schacter, D. L. (2007). Ageing and the self-reference effect in memory. </w:t>
      </w:r>
      <w:r w:rsidRPr="00766C2B">
        <w:rPr>
          <w:i/>
          <w:iCs/>
          <w:color w:val="212121"/>
          <w:shd w:val="clear" w:color="auto" w:fill="FFFFFF"/>
        </w:rPr>
        <w:t>Memory</w:t>
      </w:r>
      <w:r w:rsidRPr="00766C2B">
        <w:rPr>
          <w:color w:val="212121"/>
          <w:shd w:val="clear" w:color="auto" w:fill="FFFFFF"/>
        </w:rPr>
        <w:t>, </w:t>
      </w:r>
      <w:r w:rsidRPr="00766C2B">
        <w:rPr>
          <w:i/>
          <w:iCs/>
          <w:color w:val="212121"/>
          <w:shd w:val="clear" w:color="auto" w:fill="FFFFFF"/>
        </w:rPr>
        <w:t>15</w:t>
      </w:r>
      <w:r w:rsidRPr="00766C2B">
        <w:rPr>
          <w:color w:val="212121"/>
          <w:shd w:val="clear" w:color="auto" w:fill="FFFFFF"/>
        </w:rPr>
        <w:t xml:space="preserve">(8), 822–837. </w:t>
      </w:r>
      <w:r w:rsidR="00C0480E" w:rsidRPr="00766C2B">
        <w:rPr>
          <w:color w:val="212121"/>
          <w:shd w:val="clear" w:color="auto" w:fill="FFFFFF"/>
        </w:rPr>
        <w:t>https://doi.org/</w:t>
      </w:r>
      <w:r w:rsidRPr="00766C2B">
        <w:rPr>
          <w:color w:val="212121"/>
          <w:shd w:val="clear" w:color="auto" w:fill="FFFFFF"/>
        </w:rPr>
        <w:t>10.1080/09658210701701394</w:t>
      </w:r>
    </w:p>
    <w:p w14:paraId="2084C19A" w14:textId="50A0E9F5" w:rsidR="00AB6BB2" w:rsidRPr="00766C2B" w:rsidRDefault="00AB6BB2" w:rsidP="003756C6">
      <w:pPr>
        <w:widowControl w:val="0"/>
        <w:autoSpaceDE w:val="0"/>
        <w:autoSpaceDN w:val="0"/>
        <w:adjustRightInd w:val="0"/>
        <w:spacing w:line="480" w:lineRule="auto"/>
        <w:ind w:left="720" w:hanging="720"/>
        <w:rPr>
          <w:lang w:val="en-US"/>
        </w:rPr>
      </w:pPr>
      <w:r w:rsidRPr="00766C2B">
        <w:rPr>
          <w:color w:val="303030"/>
          <w:shd w:val="clear" w:color="auto" w:fill="FFFFFF"/>
          <w:lang w:val="de-DE"/>
        </w:rPr>
        <w:t>Hamami A</w:t>
      </w:r>
      <w:r w:rsidR="00FF165E" w:rsidRPr="00766C2B">
        <w:rPr>
          <w:color w:val="303030"/>
          <w:shd w:val="clear" w:color="auto" w:fill="FFFFFF"/>
          <w:lang w:val="de-DE"/>
        </w:rPr>
        <w:t>.</w:t>
      </w:r>
      <w:r w:rsidRPr="00766C2B">
        <w:rPr>
          <w:color w:val="303030"/>
          <w:shd w:val="clear" w:color="auto" w:fill="FFFFFF"/>
          <w:lang w:val="de-DE"/>
        </w:rPr>
        <w:t>, Serbun</w:t>
      </w:r>
      <w:r w:rsidR="00FF165E" w:rsidRPr="00766C2B">
        <w:rPr>
          <w:color w:val="303030"/>
          <w:shd w:val="clear" w:color="auto" w:fill="FFFFFF"/>
          <w:lang w:val="de-DE"/>
        </w:rPr>
        <w:t>,</w:t>
      </w:r>
      <w:r w:rsidRPr="00766C2B">
        <w:rPr>
          <w:color w:val="303030"/>
          <w:shd w:val="clear" w:color="auto" w:fill="FFFFFF"/>
          <w:lang w:val="de-DE"/>
        </w:rPr>
        <w:t xml:space="preserve"> S</w:t>
      </w:r>
      <w:r w:rsidR="00FF165E" w:rsidRPr="00766C2B">
        <w:rPr>
          <w:color w:val="303030"/>
          <w:shd w:val="clear" w:color="auto" w:fill="FFFFFF"/>
          <w:lang w:val="de-DE"/>
        </w:rPr>
        <w:t xml:space="preserve">. </w:t>
      </w:r>
      <w:r w:rsidRPr="00766C2B">
        <w:rPr>
          <w:color w:val="303030"/>
          <w:shd w:val="clear" w:color="auto" w:fill="FFFFFF"/>
          <w:lang w:val="de-DE"/>
        </w:rPr>
        <w:t>J</w:t>
      </w:r>
      <w:r w:rsidR="00FF165E" w:rsidRPr="00766C2B">
        <w:rPr>
          <w:color w:val="303030"/>
          <w:shd w:val="clear" w:color="auto" w:fill="FFFFFF"/>
          <w:lang w:val="de-DE"/>
        </w:rPr>
        <w:t>.</w:t>
      </w:r>
      <w:r w:rsidRPr="00766C2B">
        <w:rPr>
          <w:color w:val="303030"/>
          <w:shd w:val="clear" w:color="auto" w:fill="FFFFFF"/>
          <w:lang w:val="de-DE"/>
        </w:rPr>
        <w:t>,</w:t>
      </w:r>
      <w:r w:rsidR="00FF165E" w:rsidRPr="00766C2B">
        <w:rPr>
          <w:color w:val="303030"/>
          <w:shd w:val="clear" w:color="auto" w:fill="FFFFFF"/>
          <w:lang w:val="de-DE"/>
        </w:rPr>
        <w:t xml:space="preserve"> &amp; </w:t>
      </w:r>
      <w:r w:rsidRPr="00766C2B">
        <w:rPr>
          <w:color w:val="303030"/>
          <w:shd w:val="clear" w:color="auto" w:fill="FFFFFF"/>
          <w:lang w:val="de-DE"/>
        </w:rPr>
        <w:t>Gutchess</w:t>
      </w:r>
      <w:r w:rsidR="00FF165E" w:rsidRPr="00766C2B">
        <w:rPr>
          <w:color w:val="303030"/>
          <w:shd w:val="clear" w:color="auto" w:fill="FFFFFF"/>
          <w:lang w:val="de-DE"/>
        </w:rPr>
        <w:t>,</w:t>
      </w:r>
      <w:r w:rsidRPr="00766C2B">
        <w:rPr>
          <w:color w:val="303030"/>
          <w:shd w:val="clear" w:color="auto" w:fill="FFFFFF"/>
          <w:lang w:val="de-DE"/>
        </w:rPr>
        <w:t xml:space="preserve"> A</w:t>
      </w:r>
      <w:r w:rsidR="00FF165E" w:rsidRPr="00766C2B">
        <w:rPr>
          <w:color w:val="303030"/>
          <w:shd w:val="clear" w:color="auto" w:fill="FFFFFF"/>
          <w:lang w:val="de-DE"/>
        </w:rPr>
        <w:t xml:space="preserve">. </w:t>
      </w:r>
      <w:r w:rsidRPr="00766C2B">
        <w:rPr>
          <w:color w:val="303030"/>
          <w:shd w:val="clear" w:color="auto" w:fill="FFFFFF"/>
          <w:lang w:val="de-DE"/>
        </w:rPr>
        <w:t>H. (2011)</w:t>
      </w:r>
      <w:r w:rsidR="00DB5EB9" w:rsidRPr="00766C2B">
        <w:rPr>
          <w:color w:val="303030"/>
          <w:shd w:val="clear" w:color="auto" w:fill="FFFFFF"/>
          <w:lang w:val="de-DE"/>
        </w:rPr>
        <w:t>.</w:t>
      </w:r>
      <w:r w:rsidRPr="00766C2B">
        <w:rPr>
          <w:color w:val="303030"/>
          <w:shd w:val="clear" w:color="auto" w:fill="FFFFFF"/>
          <w:lang w:val="de-DE"/>
        </w:rPr>
        <w:t xml:space="preserve"> </w:t>
      </w:r>
      <w:r w:rsidRPr="00766C2B">
        <w:rPr>
          <w:color w:val="303030"/>
          <w:shd w:val="clear" w:color="auto" w:fill="FFFFFF"/>
        </w:rPr>
        <w:t>Self-referencing enhances memory specificity with age. </w:t>
      </w:r>
      <w:r w:rsidRPr="00766C2B">
        <w:rPr>
          <w:i/>
          <w:iCs/>
          <w:color w:val="303030"/>
          <w:shd w:val="clear" w:color="auto" w:fill="FFFFFF"/>
        </w:rPr>
        <w:t>Psychology and Aging</w:t>
      </w:r>
      <w:r w:rsidR="002750B9" w:rsidRPr="00766C2B">
        <w:rPr>
          <w:i/>
          <w:iCs/>
          <w:color w:val="303030"/>
          <w:shd w:val="clear" w:color="auto" w:fill="FFFFFF"/>
        </w:rPr>
        <w:t>,</w:t>
      </w:r>
      <w:r w:rsidRPr="00766C2B">
        <w:rPr>
          <w:color w:val="303030"/>
          <w:shd w:val="clear" w:color="auto" w:fill="FFFFFF"/>
        </w:rPr>
        <w:t xml:space="preserve"> </w:t>
      </w:r>
      <w:r w:rsidRPr="00766C2B">
        <w:rPr>
          <w:i/>
          <w:iCs/>
          <w:color w:val="303030"/>
          <w:shd w:val="clear" w:color="auto" w:fill="FFFFFF"/>
        </w:rPr>
        <w:t>26</w:t>
      </w:r>
      <w:r w:rsidRPr="00766C2B">
        <w:rPr>
          <w:color w:val="303030"/>
          <w:shd w:val="clear" w:color="auto" w:fill="FFFFFF"/>
        </w:rPr>
        <w:t>(3)</w:t>
      </w:r>
      <w:r w:rsidR="002750B9" w:rsidRPr="00766C2B">
        <w:rPr>
          <w:color w:val="303030"/>
          <w:shd w:val="clear" w:color="auto" w:fill="FFFFFF"/>
        </w:rPr>
        <w:t xml:space="preserve">, </w:t>
      </w:r>
      <w:r w:rsidRPr="00766C2B">
        <w:rPr>
          <w:color w:val="303030"/>
          <w:shd w:val="clear" w:color="auto" w:fill="FFFFFF"/>
        </w:rPr>
        <w:t xml:space="preserve">636‐646. </w:t>
      </w:r>
      <w:r w:rsidR="00C0480E" w:rsidRPr="00766C2B">
        <w:rPr>
          <w:color w:val="303030"/>
          <w:shd w:val="clear" w:color="auto" w:fill="FFFFFF"/>
        </w:rPr>
        <w:t>https://doi.org/</w:t>
      </w:r>
      <w:r w:rsidRPr="00766C2B">
        <w:rPr>
          <w:color w:val="303030"/>
          <w:shd w:val="clear" w:color="auto" w:fill="FFFFFF"/>
        </w:rPr>
        <w:t>10.1037/a0022626</w:t>
      </w:r>
    </w:p>
    <w:p w14:paraId="4717C5E0" w14:textId="7B809C3F" w:rsidR="00540D84" w:rsidRPr="00766C2B" w:rsidRDefault="00540D84" w:rsidP="00540D84">
      <w:pPr>
        <w:widowControl w:val="0"/>
        <w:autoSpaceDE w:val="0"/>
        <w:autoSpaceDN w:val="0"/>
        <w:adjustRightInd w:val="0"/>
        <w:spacing w:line="480" w:lineRule="auto"/>
        <w:ind w:left="720" w:hanging="720"/>
      </w:pPr>
      <w:r w:rsidRPr="00766C2B">
        <w:t xml:space="preserve">Howell, D. C. (1987). </w:t>
      </w:r>
      <w:r w:rsidRPr="00766C2B">
        <w:rPr>
          <w:i/>
          <w:iCs/>
        </w:rPr>
        <w:t>Statistical methods for psychology</w:t>
      </w:r>
      <w:r w:rsidRPr="00766C2B">
        <w:t xml:space="preserve">. Boston, MA: PWS Publishers. </w:t>
      </w:r>
    </w:p>
    <w:p w14:paraId="0FF705CA" w14:textId="3CC035D6" w:rsidR="00D70592" w:rsidRPr="00766C2B" w:rsidRDefault="00D70592" w:rsidP="00540D84">
      <w:pPr>
        <w:widowControl w:val="0"/>
        <w:autoSpaceDE w:val="0"/>
        <w:autoSpaceDN w:val="0"/>
        <w:adjustRightInd w:val="0"/>
        <w:spacing w:line="480" w:lineRule="auto"/>
        <w:ind w:left="720" w:hanging="720"/>
      </w:pPr>
      <w:r w:rsidRPr="00766C2B">
        <w:rPr>
          <w:color w:val="222222"/>
          <w:shd w:val="clear" w:color="auto" w:fill="FFFFFF"/>
        </w:rPr>
        <w:t>Johnco, C., Knight, A., Tadic, D., &amp; Wuthrich, V. M. (2015). Psychometric properties of the Geriatric Anxiety Inventory (GAI) and its short-form (GAI-SF) in a clinical and non-clinical sample of older adults. </w:t>
      </w:r>
      <w:r w:rsidRPr="00766C2B">
        <w:rPr>
          <w:i/>
          <w:iCs/>
          <w:color w:val="222222"/>
          <w:shd w:val="clear" w:color="auto" w:fill="FFFFFF"/>
        </w:rPr>
        <w:t>International Psychogeriatrics</w:t>
      </w:r>
      <w:r w:rsidRPr="00766C2B">
        <w:rPr>
          <w:color w:val="222222"/>
          <w:shd w:val="clear" w:color="auto" w:fill="FFFFFF"/>
        </w:rPr>
        <w:t>, </w:t>
      </w:r>
      <w:r w:rsidRPr="00766C2B">
        <w:rPr>
          <w:i/>
          <w:iCs/>
          <w:color w:val="222222"/>
          <w:shd w:val="clear" w:color="auto" w:fill="FFFFFF"/>
        </w:rPr>
        <w:t>27</w:t>
      </w:r>
      <w:r w:rsidRPr="00766C2B">
        <w:rPr>
          <w:color w:val="222222"/>
          <w:shd w:val="clear" w:color="auto" w:fill="FFFFFF"/>
        </w:rPr>
        <w:t xml:space="preserve">(7), 1089-1097. </w:t>
      </w:r>
      <w:r w:rsidRPr="00766C2B">
        <w:t>https://doi.org/10.1017/S1041610214001586</w:t>
      </w:r>
    </w:p>
    <w:p w14:paraId="4BC9BADE" w14:textId="4070D535" w:rsidR="00425728" w:rsidRPr="00766C2B" w:rsidRDefault="00540D84">
      <w:pPr>
        <w:widowControl w:val="0"/>
        <w:autoSpaceDE w:val="0"/>
        <w:autoSpaceDN w:val="0"/>
        <w:adjustRightInd w:val="0"/>
        <w:spacing w:line="480" w:lineRule="auto"/>
        <w:ind w:left="720" w:hanging="720"/>
        <w:rPr>
          <w:color w:val="222222"/>
          <w:shd w:val="clear" w:color="auto" w:fill="FFFFFF"/>
        </w:rPr>
      </w:pPr>
      <w:r w:rsidRPr="00766C2B">
        <w:rPr>
          <w:color w:val="222222"/>
          <w:shd w:val="clear" w:color="auto" w:fill="FFFFFF"/>
        </w:rPr>
        <w:t xml:space="preserve">Kang, S. K., &amp; Chasteen, A. L. (2009). The moderating role of age-group identification and perceived threat on stereotype threat among older </w:t>
      </w:r>
      <w:r w:rsidRPr="00766C2B">
        <w:rPr>
          <w:color w:val="222222"/>
          <w:shd w:val="clear" w:color="auto" w:fill="FFFFFF"/>
        </w:rPr>
        <w:lastRenderedPageBreak/>
        <w:t>adults. </w:t>
      </w:r>
      <w:r w:rsidRPr="00766C2B">
        <w:rPr>
          <w:i/>
          <w:iCs/>
          <w:color w:val="222222"/>
          <w:shd w:val="clear" w:color="auto" w:fill="FFFFFF"/>
        </w:rPr>
        <w:t>The International Journal of Aging and Human Development</w:t>
      </w:r>
      <w:r w:rsidRPr="00766C2B">
        <w:rPr>
          <w:color w:val="222222"/>
          <w:shd w:val="clear" w:color="auto" w:fill="FFFFFF"/>
        </w:rPr>
        <w:t>, </w:t>
      </w:r>
      <w:r w:rsidRPr="00766C2B">
        <w:rPr>
          <w:i/>
          <w:iCs/>
          <w:color w:val="222222"/>
          <w:shd w:val="clear" w:color="auto" w:fill="FFFFFF"/>
        </w:rPr>
        <w:t>69</w:t>
      </w:r>
      <w:r w:rsidRPr="00766C2B">
        <w:rPr>
          <w:color w:val="222222"/>
          <w:shd w:val="clear" w:color="auto" w:fill="FFFFFF"/>
        </w:rPr>
        <w:t>(3), 201-220.</w:t>
      </w:r>
      <w:r w:rsidR="00425728" w:rsidRPr="00766C2B">
        <w:rPr>
          <w:color w:val="222222"/>
          <w:shd w:val="clear" w:color="auto" w:fill="FFFFFF"/>
        </w:rPr>
        <w:t xml:space="preserve"> </w:t>
      </w:r>
      <w:r w:rsidR="00C0480E" w:rsidRPr="00766C2B">
        <w:rPr>
          <w:color w:val="222222"/>
          <w:shd w:val="clear" w:color="auto" w:fill="FFFFFF"/>
        </w:rPr>
        <w:t>https://doi.org/</w:t>
      </w:r>
      <w:hyperlink r:id="rId29" w:tgtFrame="_blank" w:history="1">
        <w:r w:rsidR="00425728" w:rsidRPr="00766C2B">
          <w:rPr>
            <w:rStyle w:val="Hyperlink"/>
            <w:rFonts w:asciiTheme="majorBidi" w:hAnsiTheme="majorBidi" w:cstheme="majorBidi"/>
            <w:color w:val="000000" w:themeColor="text1"/>
            <w:u w:val="none"/>
          </w:rPr>
          <w:t>10.2190/AG.69.3.c</w:t>
        </w:r>
      </w:hyperlink>
    </w:p>
    <w:p w14:paraId="7BD8BE09" w14:textId="33DC6F99" w:rsidR="006017A4" w:rsidRPr="00766C2B" w:rsidRDefault="006017A4">
      <w:pPr>
        <w:spacing w:before="120" w:after="120" w:line="480" w:lineRule="auto"/>
        <w:ind w:left="720" w:hanging="720"/>
        <w:rPr>
          <w:color w:val="222222"/>
          <w:shd w:val="clear" w:color="auto" w:fill="FFFFFF"/>
        </w:rPr>
      </w:pPr>
      <w:r w:rsidRPr="00766C2B">
        <w:rPr>
          <w:color w:val="222222"/>
          <w:shd w:val="clear" w:color="auto" w:fill="FFFFFF"/>
          <w:lang w:val="de-DE"/>
        </w:rPr>
        <w:t xml:space="preserve">Kessler, E. M., Bowen, C. E., Baer, M., Froelich, L., &amp; Wahl, H. W. (2012). </w:t>
      </w:r>
      <w:r w:rsidRPr="00766C2B">
        <w:rPr>
          <w:color w:val="222222"/>
          <w:shd w:val="clear" w:color="auto" w:fill="FFFFFF"/>
        </w:rPr>
        <w:t xml:space="preserve">Dementia worry: </w:t>
      </w:r>
      <w:r w:rsidR="00C965A9" w:rsidRPr="00766C2B">
        <w:rPr>
          <w:color w:val="222222"/>
          <w:shd w:val="clear" w:color="auto" w:fill="FFFFFF"/>
        </w:rPr>
        <w:t>A</w:t>
      </w:r>
      <w:r w:rsidRPr="00766C2B">
        <w:rPr>
          <w:color w:val="222222"/>
          <w:shd w:val="clear" w:color="auto" w:fill="FFFFFF"/>
        </w:rPr>
        <w:t xml:space="preserve"> psychological examination of an unexplored phenomenon. </w:t>
      </w:r>
      <w:r w:rsidRPr="00766C2B">
        <w:rPr>
          <w:i/>
          <w:iCs/>
          <w:color w:val="222222"/>
          <w:shd w:val="clear" w:color="auto" w:fill="FFFFFF"/>
        </w:rPr>
        <w:t>European Journal of Ageing</w:t>
      </w:r>
      <w:r w:rsidRPr="00766C2B">
        <w:rPr>
          <w:color w:val="222222"/>
          <w:shd w:val="clear" w:color="auto" w:fill="FFFFFF"/>
        </w:rPr>
        <w:t>,</w:t>
      </w:r>
      <w:r w:rsidRPr="00766C2B">
        <w:rPr>
          <w:rStyle w:val="apple-converted-space"/>
          <w:color w:val="222222"/>
          <w:shd w:val="clear" w:color="auto" w:fill="FFFFFF"/>
        </w:rPr>
        <w:t> </w:t>
      </w:r>
      <w:r w:rsidRPr="00766C2B">
        <w:rPr>
          <w:i/>
          <w:iCs/>
          <w:color w:val="222222"/>
          <w:shd w:val="clear" w:color="auto" w:fill="FFFFFF"/>
        </w:rPr>
        <w:t>9</w:t>
      </w:r>
      <w:r w:rsidRPr="00766C2B">
        <w:rPr>
          <w:color w:val="222222"/>
          <w:shd w:val="clear" w:color="auto" w:fill="FFFFFF"/>
        </w:rPr>
        <w:t xml:space="preserve">(4), 275-284. </w:t>
      </w:r>
      <w:r w:rsidRPr="00766C2B">
        <w:t>https://doi.org/</w:t>
      </w:r>
      <w:r w:rsidRPr="00766C2B">
        <w:rPr>
          <w:color w:val="000000"/>
          <w:shd w:val="clear" w:color="auto" w:fill="FFFFFF"/>
        </w:rPr>
        <w:t>10.1007/s10433-012-0242-8</w:t>
      </w:r>
    </w:p>
    <w:p w14:paraId="44FF5D13" w14:textId="13631C40" w:rsidR="006017A4" w:rsidRPr="00766C2B" w:rsidRDefault="006017A4" w:rsidP="006017A4">
      <w:pPr>
        <w:spacing w:before="120" w:after="120" w:line="480" w:lineRule="auto"/>
        <w:ind w:left="720" w:hanging="720"/>
        <w:rPr>
          <w:shd w:val="clear" w:color="auto" w:fill="FFFFFF"/>
        </w:rPr>
      </w:pPr>
      <w:r w:rsidRPr="00766C2B">
        <w:rPr>
          <w:shd w:val="clear" w:color="auto" w:fill="FFFFFF"/>
          <w:lang w:val="de-DE"/>
        </w:rPr>
        <w:t xml:space="preserve">Kessler, E. M., Tempel, J., &amp; Wahl, H. W. (2014). </w:t>
      </w:r>
      <w:r w:rsidRPr="00766C2B">
        <w:rPr>
          <w:shd w:val="clear" w:color="auto" w:fill="FFFFFF"/>
        </w:rPr>
        <w:t xml:space="preserve">Concerns about one’s aging. </w:t>
      </w:r>
      <w:proofErr w:type="spellStart"/>
      <w:r w:rsidRPr="00766C2B">
        <w:rPr>
          <w:i/>
          <w:iCs/>
          <w:shd w:val="clear" w:color="auto" w:fill="FFFFFF"/>
        </w:rPr>
        <w:t>Geropsych</w:t>
      </w:r>
      <w:proofErr w:type="spellEnd"/>
      <w:r w:rsidRPr="00766C2B">
        <w:rPr>
          <w:shd w:val="clear" w:color="auto" w:fill="FFFFFF"/>
        </w:rPr>
        <w:t xml:space="preserve">, </w:t>
      </w:r>
      <w:r w:rsidRPr="00766C2B">
        <w:rPr>
          <w:i/>
          <w:iCs/>
          <w:shd w:val="clear" w:color="auto" w:fill="FFFFFF"/>
        </w:rPr>
        <w:t>27</w:t>
      </w:r>
      <w:r w:rsidRPr="00766C2B">
        <w:rPr>
          <w:shd w:val="clear" w:color="auto" w:fill="FFFFFF"/>
        </w:rPr>
        <w:t xml:space="preserve">(2), 81-86. </w:t>
      </w:r>
      <w:r w:rsidRPr="00766C2B">
        <w:t>https://doi.org/</w:t>
      </w:r>
      <w:r w:rsidRPr="00766C2B">
        <w:rPr>
          <w:shd w:val="clear" w:color="auto" w:fill="FFFFFF"/>
        </w:rPr>
        <w:t>10.1024/1662-9647/a000105</w:t>
      </w:r>
    </w:p>
    <w:p w14:paraId="7ECC3D24" w14:textId="27ADC8F2" w:rsidR="002C4914" w:rsidRPr="00766C2B" w:rsidRDefault="00540D84">
      <w:pPr>
        <w:widowControl w:val="0"/>
        <w:autoSpaceDE w:val="0"/>
        <w:autoSpaceDN w:val="0"/>
        <w:adjustRightInd w:val="0"/>
        <w:spacing w:line="480" w:lineRule="auto"/>
        <w:ind w:left="720" w:hanging="720"/>
        <w:rPr>
          <w:rFonts w:asciiTheme="majorBidi" w:hAnsiTheme="majorBidi" w:cstheme="majorBidi"/>
          <w:color w:val="222222"/>
          <w:shd w:val="clear" w:color="auto" w:fill="FFFFFF"/>
        </w:rPr>
      </w:pPr>
      <w:r w:rsidRPr="00766C2B">
        <w:rPr>
          <w:color w:val="222222"/>
          <w:shd w:val="clear" w:color="auto" w:fill="FFFFFF"/>
        </w:rPr>
        <w:t>Lamont, R. A., Swift, H. J., &amp; Abrams, D. (2015). A review and meta-analysis of age-based stereotype threat: Negative stereotypes, not facts, do the damage. </w:t>
      </w:r>
      <w:r w:rsidRPr="00766C2B">
        <w:rPr>
          <w:i/>
          <w:iCs/>
          <w:color w:val="222222"/>
          <w:shd w:val="clear" w:color="auto" w:fill="FFFFFF"/>
        </w:rPr>
        <w:t>Psychology and Aging</w:t>
      </w:r>
      <w:r w:rsidRPr="00766C2B">
        <w:rPr>
          <w:color w:val="222222"/>
          <w:shd w:val="clear" w:color="auto" w:fill="FFFFFF"/>
        </w:rPr>
        <w:t>, </w:t>
      </w:r>
      <w:r w:rsidRPr="00766C2B">
        <w:rPr>
          <w:i/>
          <w:iCs/>
          <w:color w:val="222222"/>
          <w:shd w:val="clear" w:color="auto" w:fill="FFFFFF"/>
        </w:rPr>
        <w:t>30</w:t>
      </w:r>
      <w:r w:rsidRPr="00766C2B">
        <w:rPr>
          <w:color w:val="222222"/>
          <w:shd w:val="clear" w:color="auto" w:fill="FFFFFF"/>
        </w:rPr>
        <w:t>(1), 180</w:t>
      </w:r>
      <w:r w:rsidR="002C4914" w:rsidRPr="00766C2B">
        <w:rPr>
          <w:color w:val="222222"/>
          <w:shd w:val="clear" w:color="auto" w:fill="FFFFFF"/>
        </w:rPr>
        <w:t>-193</w:t>
      </w:r>
      <w:r w:rsidRPr="00766C2B">
        <w:rPr>
          <w:color w:val="222222"/>
          <w:shd w:val="clear" w:color="auto" w:fill="FFFFFF"/>
        </w:rPr>
        <w:t>.</w:t>
      </w:r>
      <w:r w:rsidR="002C4914" w:rsidRPr="00766C2B">
        <w:rPr>
          <w:color w:val="222222"/>
          <w:shd w:val="clear" w:color="auto" w:fill="FFFFFF"/>
        </w:rPr>
        <w:t xml:space="preserve"> </w:t>
      </w:r>
      <w:r w:rsidR="00C0480E" w:rsidRPr="00766C2B">
        <w:rPr>
          <w:rFonts w:asciiTheme="majorBidi" w:hAnsiTheme="majorBidi" w:cstheme="majorBidi"/>
          <w:color w:val="000000"/>
          <w:shd w:val="clear" w:color="auto" w:fill="FFFFFF"/>
        </w:rPr>
        <w:t>https://doi.org/</w:t>
      </w:r>
      <w:r w:rsidR="002C4914" w:rsidRPr="00766C2B">
        <w:rPr>
          <w:rFonts w:asciiTheme="majorBidi" w:hAnsiTheme="majorBidi" w:cstheme="majorBidi"/>
          <w:color w:val="000000"/>
          <w:shd w:val="clear" w:color="auto" w:fill="FFFFFF"/>
        </w:rPr>
        <w:t>10.1037/a0038586</w:t>
      </w:r>
    </w:p>
    <w:p w14:paraId="0869194A" w14:textId="3B4F05C1" w:rsidR="00C0480E" w:rsidRPr="00766C2B" w:rsidRDefault="00AB6BB2" w:rsidP="003756C6">
      <w:pPr>
        <w:widowControl w:val="0"/>
        <w:autoSpaceDE w:val="0"/>
        <w:autoSpaceDN w:val="0"/>
        <w:adjustRightInd w:val="0"/>
        <w:spacing w:line="480" w:lineRule="auto"/>
        <w:ind w:left="720" w:hanging="720"/>
        <w:rPr>
          <w:rFonts w:asciiTheme="majorBidi" w:hAnsiTheme="majorBidi" w:cstheme="majorBidi"/>
          <w:color w:val="000000" w:themeColor="text1"/>
          <w:shd w:val="clear" w:color="auto" w:fill="FFFFFF"/>
        </w:rPr>
      </w:pPr>
      <w:r w:rsidRPr="00766C2B">
        <w:rPr>
          <w:color w:val="222222"/>
          <w:shd w:val="clear" w:color="auto" w:fill="FFFFFF"/>
        </w:rPr>
        <w:t>Leshikar, E. D., Dulas, M. R., &amp; Duarte, A. (2015). Self-referencing enhances recollection in both young and older adults. </w:t>
      </w:r>
      <w:r w:rsidRPr="00766C2B">
        <w:rPr>
          <w:i/>
          <w:iCs/>
          <w:color w:val="222222"/>
          <w:shd w:val="clear" w:color="auto" w:fill="FFFFFF"/>
        </w:rPr>
        <w:t>Aging, Neuropsychology, and Cognition</w:t>
      </w:r>
      <w:r w:rsidRPr="00766C2B">
        <w:rPr>
          <w:color w:val="222222"/>
          <w:shd w:val="clear" w:color="auto" w:fill="FFFFFF"/>
        </w:rPr>
        <w:t>, </w:t>
      </w:r>
      <w:r w:rsidRPr="00766C2B">
        <w:rPr>
          <w:i/>
          <w:iCs/>
          <w:color w:val="222222"/>
          <w:shd w:val="clear" w:color="auto" w:fill="FFFFFF"/>
        </w:rPr>
        <w:t>22</w:t>
      </w:r>
      <w:r w:rsidRPr="00766C2B">
        <w:rPr>
          <w:color w:val="222222"/>
          <w:shd w:val="clear" w:color="auto" w:fill="FFFFFF"/>
        </w:rPr>
        <w:t>(4), 388-412.</w:t>
      </w:r>
      <w:r w:rsidR="00C0480E" w:rsidRPr="00766C2B">
        <w:rPr>
          <w:color w:val="222222"/>
          <w:shd w:val="clear" w:color="auto" w:fill="FFFFFF"/>
        </w:rPr>
        <w:t xml:space="preserve"> </w:t>
      </w:r>
      <w:r w:rsidR="00C0480E" w:rsidRPr="00766C2B">
        <w:rPr>
          <w:rFonts w:asciiTheme="majorBidi" w:hAnsiTheme="majorBidi" w:cstheme="majorBidi"/>
          <w:color w:val="000000" w:themeColor="text1"/>
          <w:shd w:val="clear" w:color="auto" w:fill="FFFFFF"/>
        </w:rPr>
        <w:t>https://doi.org/10.1080/13825585.2014.957150</w:t>
      </w:r>
    </w:p>
    <w:p w14:paraId="4A4C81BE" w14:textId="41DF3046" w:rsidR="002C4914" w:rsidRPr="006227F3" w:rsidRDefault="00891286">
      <w:pPr>
        <w:widowControl w:val="0"/>
        <w:autoSpaceDE w:val="0"/>
        <w:autoSpaceDN w:val="0"/>
        <w:adjustRightInd w:val="0"/>
        <w:spacing w:line="480" w:lineRule="auto"/>
        <w:ind w:left="720" w:hanging="720"/>
        <w:rPr>
          <w:rFonts w:asciiTheme="majorBidi" w:hAnsiTheme="majorBidi" w:cstheme="majorBidi"/>
          <w:color w:val="000000" w:themeColor="text1"/>
          <w:shd w:val="clear" w:color="auto" w:fill="FFFFFF"/>
          <w:lang w:val="it-IT"/>
        </w:rPr>
      </w:pPr>
      <w:r w:rsidRPr="00766C2B">
        <w:rPr>
          <w:lang w:val="en-US"/>
        </w:rPr>
        <w:t>Lincoln, P., Fenton, K., Alessi, C., Prince, M., Brayne, C., Wortmann, M</w:t>
      </w:r>
      <w:proofErr w:type="gramStart"/>
      <w:r w:rsidRPr="00766C2B">
        <w:rPr>
          <w:lang w:val="en-US"/>
        </w:rPr>
        <w:t xml:space="preserve">., </w:t>
      </w:r>
      <w:r w:rsidR="005F3A88" w:rsidRPr="00766C2B">
        <w:rPr>
          <w:lang w:val="en-US"/>
        </w:rPr>
        <w:t>…</w:t>
      </w:r>
      <w:proofErr w:type="gramEnd"/>
      <w:r w:rsidRPr="00766C2B">
        <w:rPr>
          <w:lang w:val="en-US"/>
        </w:rPr>
        <w:t xml:space="preserve"> &amp; Mwatsama, M. (2014). The Blackfriars Consensus on brain health and</w:t>
      </w:r>
      <w:r w:rsidRPr="00766C2B">
        <w:rPr>
          <w:color w:val="000000"/>
          <w:shd w:val="clear" w:color="auto" w:fill="FFFFFF"/>
        </w:rPr>
        <w:t xml:space="preserve"> </w:t>
      </w:r>
      <w:r w:rsidRPr="00766C2B">
        <w:rPr>
          <w:rFonts w:asciiTheme="majorBidi" w:hAnsiTheme="majorBidi" w:cstheme="majorBidi"/>
          <w:color w:val="000000" w:themeColor="text1"/>
          <w:lang w:val="en-US"/>
        </w:rPr>
        <w:t>dementia</w:t>
      </w:r>
      <w:r w:rsidR="002C4914" w:rsidRPr="00766C2B">
        <w:rPr>
          <w:rFonts w:asciiTheme="majorBidi" w:hAnsiTheme="majorBidi" w:cstheme="majorBidi"/>
          <w:color w:val="000000" w:themeColor="text1"/>
          <w:lang w:val="en-US"/>
        </w:rPr>
        <w:t>.</w:t>
      </w:r>
      <w:r w:rsidRPr="00766C2B">
        <w:rPr>
          <w:rFonts w:asciiTheme="majorBidi" w:hAnsiTheme="majorBidi" w:cstheme="majorBidi"/>
          <w:color w:val="000000" w:themeColor="text1"/>
          <w:lang w:val="en-US"/>
        </w:rPr>
        <w:t xml:space="preserve"> </w:t>
      </w:r>
      <w:r w:rsidRPr="006227F3">
        <w:rPr>
          <w:rFonts w:asciiTheme="majorBidi" w:hAnsiTheme="majorBidi" w:cstheme="majorBidi"/>
          <w:i/>
          <w:color w:val="000000" w:themeColor="text1"/>
          <w:lang w:val="it-IT"/>
        </w:rPr>
        <w:t>The Lancet, 383</w:t>
      </w:r>
      <w:r w:rsidRPr="006227F3">
        <w:rPr>
          <w:rFonts w:asciiTheme="majorBidi" w:hAnsiTheme="majorBidi" w:cstheme="majorBidi"/>
          <w:color w:val="000000" w:themeColor="text1"/>
          <w:lang w:val="it-IT"/>
        </w:rPr>
        <w:t>(9931), 1805–1806.</w:t>
      </w:r>
      <w:r w:rsidR="002C4914" w:rsidRPr="006227F3">
        <w:rPr>
          <w:rFonts w:asciiTheme="majorBidi" w:hAnsiTheme="majorBidi" w:cstheme="majorBidi"/>
          <w:color w:val="000000" w:themeColor="text1"/>
          <w:lang w:val="it-IT"/>
        </w:rPr>
        <w:t xml:space="preserve"> </w:t>
      </w:r>
      <w:r w:rsidR="00C0480E" w:rsidRPr="006227F3">
        <w:rPr>
          <w:rFonts w:asciiTheme="majorBidi" w:hAnsiTheme="majorBidi" w:cstheme="majorBidi"/>
          <w:color w:val="000000" w:themeColor="text1"/>
          <w:shd w:val="clear" w:color="auto" w:fill="FFFFFF"/>
          <w:lang w:val="it-IT"/>
        </w:rPr>
        <w:t>https://doi.org/</w:t>
      </w:r>
      <w:r w:rsidR="002C4914" w:rsidRPr="006227F3">
        <w:rPr>
          <w:rFonts w:asciiTheme="majorBidi" w:hAnsiTheme="majorBidi" w:cstheme="majorBidi"/>
          <w:color w:val="000000" w:themeColor="text1"/>
          <w:shd w:val="clear" w:color="auto" w:fill="FFFFFF"/>
          <w:lang w:val="it-IT"/>
        </w:rPr>
        <w:t>10.1016/S0140-6736(14)60758-3</w:t>
      </w:r>
      <w:r w:rsidR="006C7C17" w:rsidRPr="006227F3">
        <w:rPr>
          <w:rFonts w:asciiTheme="majorBidi" w:hAnsiTheme="majorBidi" w:cstheme="majorBidi"/>
          <w:color w:val="000000" w:themeColor="text1"/>
          <w:shd w:val="clear" w:color="auto" w:fill="FFFFFF"/>
          <w:lang w:val="it-IT"/>
        </w:rPr>
        <w:t>.</w:t>
      </w:r>
    </w:p>
    <w:p w14:paraId="73073AAC" w14:textId="7D4FCB7C" w:rsidR="006C7C17" w:rsidRPr="00766C2B" w:rsidRDefault="006C7C17" w:rsidP="00540D84">
      <w:pPr>
        <w:spacing w:line="480" w:lineRule="auto"/>
        <w:ind w:left="720" w:hanging="720"/>
        <w:rPr>
          <w:lang w:val="de-DE"/>
        </w:rPr>
      </w:pPr>
      <w:r w:rsidRPr="00766C2B">
        <w:rPr>
          <w:shd w:val="clear" w:color="auto" w:fill="FFFFFF"/>
          <w:lang w:val="it-IT"/>
        </w:rPr>
        <w:t xml:space="preserve">Mammarella, N., Di Domenico, A., Palumbo, R., &amp; Fairfield, B. (2016). </w:t>
      </w:r>
      <w:r w:rsidRPr="00766C2B">
        <w:rPr>
          <w:shd w:val="clear" w:color="auto" w:fill="FFFFFF"/>
        </w:rPr>
        <w:t>When green is positive and red is negative: aging and the influence of color on emotional memories. </w:t>
      </w:r>
      <w:r w:rsidRPr="00766C2B">
        <w:rPr>
          <w:i/>
          <w:iCs/>
          <w:shd w:val="clear" w:color="auto" w:fill="FFFFFF"/>
          <w:lang w:val="de-DE"/>
        </w:rPr>
        <w:t>Psychology and Aging</w:t>
      </w:r>
      <w:r w:rsidRPr="00766C2B">
        <w:rPr>
          <w:shd w:val="clear" w:color="auto" w:fill="FFFFFF"/>
          <w:lang w:val="de-DE"/>
        </w:rPr>
        <w:t>, </w:t>
      </w:r>
      <w:r w:rsidRPr="00766C2B">
        <w:rPr>
          <w:i/>
          <w:iCs/>
          <w:shd w:val="clear" w:color="auto" w:fill="FFFFFF"/>
          <w:lang w:val="de-DE"/>
        </w:rPr>
        <w:t>31</w:t>
      </w:r>
      <w:r w:rsidRPr="00766C2B">
        <w:rPr>
          <w:shd w:val="clear" w:color="auto" w:fill="FFFFFF"/>
          <w:lang w:val="de-DE"/>
        </w:rPr>
        <w:t>(8), 914</w:t>
      </w:r>
      <w:r w:rsidR="00C965A9" w:rsidRPr="00766C2B">
        <w:rPr>
          <w:shd w:val="clear" w:color="auto" w:fill="FFFFFF"/>
          <w:lang w:val="de-DE"/>
        </w:rPr>
        <w:t>-926</w:t>
      </w:r>
      <w:r w:rsidRPr="00766C2B">
        <w:rPr>
          <w:shd w:val="clear" w:color="auto" w:fill="FFFFFF"/>
          <w:lang w:val="de-DE"/>
        </w:rPr>
        <w:t xml:space="preserve">. </w:t>
      </w:r>
      <w:r w:rsidRPr="00766C2B">
        <w:rPr>
          <w:lang w:val="de-DE"/>
        </w:rPr>
        <w:t>http://dx.doi.org/10.1037/pag0000122</w:t>
      </w:r>
    </w:p>
    <w:p w14:paraId="52027538" w14:textId="7D885A90" w:rsidR="00540D84" w:rsidRPr="00766C2B" w:rsidRDefault="00540D84" w:rsidP="00540D84">
      <w:pPr>
        <w:spacing w:line="480" w:lineRule="auto"/>
        <w:ind w:left="720" w:hanging="720"/>
        <w:rPr>
          <w:color w:val="222222"/>
          <w:shd w:val="clear" w:color="auto" w:fill="FFFFFF"/>
        </w:rPr>
      </w:pPr>
      <w:r w:rsidRPr="00766C2B">
        <w:rPr>
          <w:color w:val="222222"/>
          <w:shd w:val="clear" w:color="auto" w:fill="FFFFFF"/>
          <w:lang w:val="de-DE"/>
        </w:rPr>
        <w:lastRenderedPageBreak/>
        <w:t xml:space="preserve">Martens, A., Goldenberg, J. L., &amp; Greenberg, J. (2005). </w:t>
      </w:r>
      <w:r w:rsidRPr="00766C2B">
        <w:rPr>
          <w:color w:val="222222"/>
          <w:shd w:val="clear" w:color="auto" w:fill="FFFFFF"/>
        </w:rPr>
        <w:t>A terror management perspective on ageism. </w:t>
      </w:r>
      <w:r w:rsidRPr="00766C2B">
        <w:rPr>
          <w:i/>
          <w:iCs/>
          <w:color w:val="222222"/>
          <w:shd w:val="clear" w:color="auto" w:fill="FFFFFF"/>
        </w:rPr>
        <w:t>Journal of Social Issues</w:t>
      </w:r>
      <w:r w:rsidRPr="00766C2B">
        <w:rPr>
          <w:color w:val="222222"/>
          <w:shd w:val="clear" w:color="auto" w:fill="FFFFFF"/>
        </w:rPr>
        <w:t>, </w:t>
      </w:r>
      <w:r w:rsidRPr="00766C2B">
        <w:rPr>
          <w:i/>
          <w:iCs/>
          <w:color w:val="222222"/>
          <w:shd w:val="clear" w:color="auto" w:fill="FFFFFF"/>
        </w:rPr>
        <w:t>61</w:t>
      </w:r>
      <w:r w:rsidRPr="00766C2B">
        <w:rPr>
          <w:color w:val="222222"/>
          <w:shd w:val="clear" w:color="auto" w:fill="FFFFFF"/>
        </w:rPr>
        <w:t xml:space="preserve">(2), 223-239. </w:t>
      </w:r>
      <w:r w:rsidR="00C0480E" w:rsidRPr="00766C2B">
        <w:rPr>
          <w:color w:val="222222"/>
          <w:shd w:val="clear" w:color="auto" w:fill="FFFFFF"/>
        </w:rPr>
        <w:t>https://doi.org/</w:t>
      </w:r>
      <w:r w:rsidRPr="00766C2B">
        <w:rPr>
          <w:color w:val="222222"/>
          <w:shd w:val="clear" w:color="auto" w:fill="FFFFFF"/>
        </w:rPr>
        <w:t>10.1111/j.1540-4560.2005.00403.x</w:t>
      </w:r>
    </w:p>
    <w:p w14:paraId="3A6954A1" w14:textId="5A9EB4F4" w:rsidR="00032B9C" w:rsidRPr="00766C2B" w:rsidRDefault="00032B9C">
      <w:pPr>
        <w:shd w:val="clear" w:color="auto" w:fill="FFFFFF"/>
        <w:spacing w:before="120" w:after="120" w:line="480" w:lineRule="auto"/>
        <w:ind w:left="720" w:hanging="720"/>
        <w:rPr>
          <w:color w:val="222222"/>
          <w:shd w:val="clear" w:color="auto" w:fill="FFFFFF"/>
        </w:rPr>
      </w:pPr>
      <w:r w:rsidRPr="00766C2B">
        <w:rPr>
          <w:color w:val="000000"/>
        </w:rPr>
        <w:t xml:space="preserve">Martin, K., Lang, F.R. Rupprecht, R. &amp; </w:t>
      </w:r>
      <w:hyperlink r:id="rId30" w:history="1">
        <w:r w:rsidRPr="00766C2B">
          <w:rPr>
            <w:color w:val="000000"/>
          </w:rPr>
          <w:t>Nömer, J. (2020) </w:t>
        </w:r>
      </w:hyperlink>
      <w:r w:rsidRPr="00766C2B">
        <w:rPr>
          <w:color w:val="000000"/>
          <w:kern w:val="36"/>
        </w:rPr>
        <w:t xml:space="preserve">Dementia </w:t>
      </w:r>
      <w:r w:rsidR="00C965A9" w:rsidRPr="00766C2B">
        <w:rPr>
          <w:color w:val="000000"/>
          <w:kern w:val="36"/>
        </w:rPr>
        <w:t>w</w:t>
      </w:r>
      <w:r w:rsidRPr="00766C2B">
        <w:rPr>
          <w:color w:val="000000"/>
          <w:kern w:val="36"/>
        </w:rPr>
        <w:t xml:space="preserve">orry and the </w:t>
      </w:r>
      <w:r w:rsidR="00C965A9" w:rsidRPr="00766C2B">
        <w:rPr>
          <w:color w:val="000000"/>
          <w:kern w:val="36"/>
        </w:rPr>
        <w:t>p</w:t>
      </w:r>
      <w:r w:rsidRPr="00766C2B">
        <w:rPr>
          <w:color w:val="000000"/>
          <w:kern w:val="36"/>
        </w:rPr>
        <w:t xml:space="preserve">erception of </w:t>
      </w:r>
      <w:r w:rsidR="00C965A9" w:rsidRPr="00766C2B">
        <w:rPr>
          <w:color w:val="000000"/>
          <w:kern w:val="36"/>
        </w:rPr>
        <w:t>p</w:t>
      </w:r>
      <w:r w:rsidRPr="00766C2B">
        <w:rPr>
          <w:color w:val="000000"/>
          <w:kern w:val="36"/>
        </w:rPr>
        <w:t xml:space="preserve">ersonal </w:t>
      </w:r>
      <w:r w:rsidR="00C965A9" w:rsidRPr="00766C2B">
        <w:rPr>
          <w:color w:val="000000"/>
          <w:kern w:val="36"/>
        </w:rPr>
        <w:t>r</w:t>
      </w:r>
      <w:r w:rsidRPr="00766C2B">
        <w:rPr>
          <w:color w:val="000000"/>
          <w:kern w:val="36"/>
        </w:rPr>
        <w:t xml:space="preserve">isk: A </w:t>
      </w:r>
      <w:r w:rsidR="00C965A9" w:rsidRPr="00766C2B">
        <w:rPr>
          <w:color w:val="000000"/>
          <w:kern w:val="36"/>
        </w:rPr>
        <w:t>l</w:t>
      </w:r>
      <w:r w:rsidRPr="00766C2B">
        <w:rPr>
          <w:color w:val="000000"/>
          <w:kern w:val="36"/>
        </w:rPr>
        <w:t xml:space="preserve">ongitudinal </w:t>
      </w:r>
      <w:r w:rsidR="00C965A9" w:rsidRPr="00766C2B">
        <w:rPr>
          <w:color w:val="000000"/>
          <w:kern w:val="36"/>
        </w:rPr>
        <w:t>s</w:t>
      </w:r>
      <w:r w:rsidRPr="00766C2B">
        <w:rPr>
          <w:color w:val="000000"/>
          <w:kern w:val="36"/>
        </w:rPr>
        <w:t xml:space="preserve">tudy, </w:t>
      </w:r>
      <w:proofErr w:type="spellStart"/>
      <w:r w:rsidRPr="00766C2B">
        <w:rPr>
          <w:i/>
          <w:iCs/>
          <w:color w:val="000000"/>
          <w:kern w:val="36"/>
        </w:rPr>
        <w:t>GeroPsych</w:t>
      </w:r>
      <w:proofErr w:type="spellEnd"/>
      <w:r w:rsidR="00123808" w:rsidRPr="00766C2B">
        <w:rPr>
          <w:i/>
          <w:iCs/>
          <w:color w:val="000000"/>
          <w:kern w:val="36"/>
        </w:rPr>
        <w:t xml:space="preserve"> </w:t>
      </w:r>
      <w:proofErr w:type="gramStart"/>
      <w:r w:rsidR="00123808" w:rsidRPr="00766C2B">
        <w:rPr>
          <w:i/>
          <w:iCs/>
          <w:color w:val="000000"/>
          <w:kern w:val="36"/>
        </w:rPr>
        <w:t>The</w:t>
      </w:r>
      <w:proofErr w:type="gramEnd"/>
      <w:r w:rsidR="00123808" w:rsidRPr="00766C2B">
        <w:rPr>
          <w:i/>
          <w:iCs/>
          <w:color w:val="000000"/>
          <w:kern w:val="36"/>
        </w:rPr>
        <w:t xml:space="preserve"> Journal of </w:t>
      </w:r>
      <w:proofErr w:type="spellStart"/>
      <w:r w:rsidR="00123808" w:rsidRPr="00766C2B">
        <w:rPr>
          <w:i/>
          <w:iCs/>
          <w:color w:val="000000"/>
          <w:kern w:val="36"/>
        </w:rPr>
        <w:t>Gerontopsychology</w:t>
      </w:r>
      <w:proofErr w:type="spellEnd"/>
      <w:r w:rsidR="00123808" w:rsidRPr="00766C2B">
        <w:rPr>
          <w:i/>
          <w:iCs/>
          <w:color w:val="000000"/>
          <w:kern w:val="36"/>
        </w:rPr>
        <w:t xml:space="preserve"> and Geriatric Psychiatry.</w:t>
      </w:r>
      <w:r w:rsidR="00123808" w:rsidRPr="00766C2B">
        <w:rPr>
          <w:color w:val="000000"/>
          <w:kern w:val="36"/>
        </w:rPr>
        <w:t xml:space="preserve"> Advance online publication.</w:t>
      </w:r>
      <w:r w:rsidR="00123808" w:rsidRPr="00766C2B">
        <w:rPr>
          <w:rFonts w:asciiTheme="majorBidi" w:hAnsiTheme="majorBidi" w:cstheme="majorBidi"/>
          <w:color w:val="555555"/>
        </w:rPr>
        <w:t xml:space="preserve">  </w:t>
      </w:r>
      <w:hyperlink r:id="rId31" w:history="1">
        <w:r w:rsidRPr="00766C2B">
          <w:rPr>
            <w:rFonts w:asciiTheme="majorBidi" w:hAnsiTheme="majorBidi" w:cstheme="majorBidi"/>
            <w:color w:val="000000"/>
          </w:rPr>
          <w:t>https://doi.org/10.1024/1662-9647/a000247</w:t>
        </w:r>
      </w:hyperlink>
      <w:r w:rsidRPr="00766C2B">
        <w:rPr>
          <w:color w:val="000000"/>
        </w:rPr>
        <w:t>.</w:t>
      </w:r>
    </w:p>
    <w:p w14:paraId="1CCC50D3" w14:textId="3A62C654" w:rsidR="00656490" w:rsidRPr="00766C2B" w:rsidRDefault="00AB6BB2">
      <w:pPr>
        <w:spacing w:line="480" w:lineRule="auto"/>
        <w:ind w:left="720" w:hanging="720"/>
        <w:rPr>
          <w:rFonts w:asciiTheme="majorBidi" w:hAnsiTheme="majorBidi" w:cstheme="majorBidi"/>
          <w:color w:val="222222"/>
          <w:shd w:val="clear" w:color="auto" w:fill="FFFFFF"/>
        </w:rPr>
      </w:pPr>
      <w:r w:rsidRPr="00766C2B">
        <w:rPr>
          <w:color w:val="222222"/>
          <w:shd w:val="clear" w:color="auto" w:fill="FFFFFF"/>
        </w:rPr>
        <w:t>Mather, M., &amp; Carstensen, L. L. (2005). Aging and motivated cognition: The positivity effect in attention and memory. </w:t>
      </w:r>
      <w:r w:rsidRPr="00766C2B">
        <w:rPr>
          <w:i/>
          <w:iCs/>
          <w:color w:val="222222"/>
          <w:shd w:val="clear" w:color="auto" w:fill="FFFFFF"/>
        </w:rPr>
        <w:t>Trends in Cognitive Sciences</w:t>
      </w:r>
      <w:r w:rsidRPr="00766C2B">
        <w:rPr>
          <w:color w:val="222222"/>
          <w:shd w:val="clear" w:color="auto" w:fill="FFFFFF"/>
        </w:rPr>
        <w:t>, </w:t>
      </w:r>
      <w:r w:rsidRPr="00766C2B">
        <w:rPr>
          <w:i/>
          <w:iCs/>
          <w:color w:val="222222"/>
          <w:shd w:val="clear" w:color="auto" w:fill="FFFFFF"/>
        </w:rPr>
        <w:t>9</w:t>
      </w:r>
      <w:r w:rsidRPr="00766C2B">
        <w:rPr>
          <w:color w:val="222222"/>
          <w:shd w:val="clear" w:color="auto" w:fill="FFFFFF"/>
        </w:rPr>
        <w:t>(10), 496-502.</w:t>
      </w:r>
      <w:r w:rsidR="00656490" w:rsidRPr="00766C2B">
        <w:rPr>
          <w:color w:val="222222"/>
          <w:shd w:val="clear" w:color="auto" w:fill="FFFFFF"/>
        </w:rPr>
        <w:t xml:space="preserve"> </w:t>
      </w:r>
      <w:r w:rsidR="00656490" w:rsidRPr="00766C2B">
        <w:rPr>
          <w:rFonts w:asciiTheme="majorBidi" w:hAnsiTheme="majorBidi" w:cstheme="majorBidi"/>
          <w:color w:val="000000"/>
          <w:shd w:val="clear" w:color="auto" w:fill="FFFFFF"/>
        </w:rPr>
        <w:t>https://doi.org/</w:t>
      </w:r>
      <w:hyperlink r:id="rId32" w:tgtFrame="_blank" w:history="1">
        <w:r w:rsidR="00656490" w:rsidRPr="00766C2B">
          <w:rPr>
            <w:rStyle w:val="Hyperlink"/>
            <w:rFonts w:asciiTheme="majorBidi" w:hAnsiTheme="majorBidi" w:cstheme="majorBidi"/>
            <w:u w:val="none"/>
            <w:bdr w:val="none" w:sz="0" w:space="0" w:color="auto" w:frame="1"/>
            <w:shd w:val="clear" w:color="auto" w:fill="FFFFFF"/>
          </w:rPr>
          <w:t>10.1016/j.tics.2005.08.005</w:t>
        </w:r>
      </w:hyperlink>
    </w:p>
    <w:p w14:paraId="68C7D0EF" w14:textId="6D0280E1" w:rsidR="002C4914" w:rsidRPr="00766C2B" w:rsidRDefault="00DF330E">
      <w:pPr>
        <w:spacing w:line="480" w:lineRule="auto"/>
        <w:ind w:left="720" w:hanging="720"/>
        <w:rPr>
          <w:rFonts w:asciiTheme="majorBidi" w:hAnsiTheme="majorBidi" w:cstheme="majorBidi"/>
          <w:color w:val="222222"/>
          <w:shd w:val="clear" w:color="auto" w:fill="FFFFFF"/>
        </w:rPr>
      </w:pPr>
      <w:r w:rsidRPr="00766C2B">
        <w:rPr>
          <w:color w:val="222222"/>
          <w:szCs w:val="20"/>
          <w:shd w:val="clear" w:color="auto" w:fill="FFFFFF"/>
        </w:rPr>
        <w:t>Matthews, F.</w:t>
      </w:r>
      <w:r w:rsidR="00FF165E" w:rsidRPr="00766C2B">
        <w:rPr>
          <w:color w:val="222222"/>
          <w:szCs w:val="20"/>
          <w:shd w:val="clear" w:color="auto" w:fill="FFFFFF"/>
        </w:rPr>
        <w:t xml:space="preserve"> </w:t>
      </w:r>
      <w:r w:rsidRPr="00766C2B">
        <w:rPr>
          <w:color w:val="222222"/>
          <w:szCs w:val="20"/>
          <w:shd w:val="clear" w:color="auto" w:fill="FFFFFF"/>
        </w:rPr>
        <w:t>E., Arthur, A., Barnes, L.</w:t>
      </w:r>
      <w:r w:rsidR="00FF165E" w:rsidRPr="00766C2B">
        <w:rPr>
          <w:color w:val="222222"/>
          <w:szCs w:val="20"/>
          <w:shd w:val="clear" w:color="auto" w:fill="FFFFFF"/>
        </w:rPr>
        <w:t xml:space="preserve"> </w:t>
      </w:r>
      <w:r w:rsidRPr="00766C2B">
        <w:rPr>
          <w:color w:val="222222"/>
          <w:szCs w:val="20"/>
          <w:shd w:val="clear" w:color="auto" w:fill="FFFFFF"/>
        </w:rPr>
        <w:t>E., Bond, J., Jagger, C., Robinson, L., Brayne, C.</w:t>
      </w:r>
      <w:r w:rsidR="005F3A88" w:rsidRPr="00766C2B">
        <w:rPr>
          <w:color w:val="222222"/>
          <w:szCs w:val="20"/>
          <w:shd w:val="clear" w:color="auto" w:fill="FFFFFF"/>
        </w:rPr>
        <w:t>,</w:t>
      </w:r>
      <w:r w:rsidRPr="00766C2B">
        <w:rPr>
          <w:color w:val="222222"/>
          <w:szCs w:val="20"/>
          <w:shd w:val="clear" w:color="auto" w:fill="FFFFFF"/>
        </w:rPr>
        <w:t xml:space="preserve"> and Medical Research Council Cognitive Function and Ageing Collaboration (2013). A two-decade comparison of prevalence of dementia in individuals aged 65 years and older from three geographical areas of England: results of the Cognitive Function and Ageing Study I and II. </w:t>
      </w:r>
      <w:r w:rsidRPr="00766C2B">
        <w:rPr>
          <w:i/>
          <w:iCs/>
          <w:color w:val="222222"/>
          <w:szCs w:val="20"/>
          <w:shd w:val="clear" w:color="auto" w:fill="FFFFFF"/>
        </w:rPr>
        <w:t>The Lancet</w:t>
      </w:r>
      <w:r w:rsidRPr="00766C2B">
        <w:rPr>
          <w:color w:val="222222"/>
          <w:szCs w:val="20"/>
          <w:shd w:val="clear" w:color="auto" w:fill="FFFFFF"/>
        </w:rPr>
        <w:t>, </w:t>
      </w:r>
      <w:r w:rsidRPr="00766C2B">
        <w:rPr>
          <w:i/>
          <w:iCs/>
          <w:color w:val="222222"/>
          <w:szCs w:val="20"/>
          <w:shd w:val="clear" w:color="auto" w:fill="FFFFFF"/>
        </w:rPr>
        <w:t>382</w:t>
      </w:r>
      <w:r w:rsidRPr="00766C2B">
        <w:rPr>
          <w:color w:val="222222"/>
          <w:szCs w:val="20"/>
          <w:shd w:val="clear" w:color="auto" w:fill="FFFFFF"/>
        </w:rPr>
        <w:t>(9902), 1405-1412.</w:t>
      </w:r>
      <w:r w:rsidR="002C4914" w:rsidRPr="00766C2B">
        <w:rPr>
          <w:color w:val="222222"/>
          <w:szCs w:val="20"/>
          <w:shd w:val="clear" w:color="auto" w:fill="FFFFFF"/>
        </w:rPr>
        <w:t xml:space="preserve"> </w:t>
      </w:r>
      <w:r w:rsidR="00C0480E" w:rsidRPr="00766C2B">
        <w:rPr>
          <w:rFonts w:asciiTheme="majorBidi" w:hAnsiTheme="majorBidi" w:cstheme="majorBidi"/>
          <w:color w:val="000000"/>
          <w:shd w:val="clear" w:color="auto" w:fill="FFFFFF"/>
        </w:rPr>
        <w:t>https://doi.org/</w:t>
      </w:r>
      <w:r w:rsidR="002C4914" w:rsidRPr="00766C2B">
        <w:rPr>
          <w:rFonts w:asciiTheme="majorBidi" w:hAnsiTheme="majorBidi" w:cstheme="majorBidi"/>
          <w:color w:val="000000"/>
          <w:shd w:val="clear" w:color="auto" w:fill="FFFFFF"/>
        </w:rPr>
        <w:t>10.1016/S0140-</w:t>
      </w:r>
      <w:proofErr w:type="gramStart"/>
      <w:r w:rsidR="002C4914" w:rsidRPr="00766C2B">
        <w:rPr>
          <w:rFonts w:asciiTheme="majorBidi" w:hAnsiTheme="majorBidi" w:cstheme="majorBidi"/>
          <w:color w:val="000000"/>
          <w:shd w:val="clear" w:color="auto" w:fill="FFFFFF"/>
        </w:rPr>
        <w:t>6736(</w:t>
      </w:r>
      <w:proofErr w:type="gramEnd"/>
      <w:r w:rsidR="002C4914" w:rsidRPr="00766C2B">
        <w:rPr>
          <w:rFonts w:asciiTheme="majorBidi" w:hAnsiTheme="majorBidi" w:cstheme="majorBidi"/>
          <w:color w:val="000000"/>
          <w:shd w:val="clear" w:color="auto" w:fill="FFFFFF"/>
        </w:rPr>
        <w:t>13)61570-6</w:t>
      </w:r>
    </w:p>
    <w:p w14:paraId="7482F143" w14:textId="141726EF" w:rsidR="002C4914" w:rsidRPr="00766C2B" w:rsidRDefault="00540D84">
      <w:pPr>
        <w:spacing w:line="480" w:lineRule="auto"/>
        <w:ind w:left="720" w:hanging="720"/>
        <w:rPr>
          <w:rFonts w:asciiTheme="majorBidi" w:hAnsiTheme="majorBidi" w:cstheme="majorBidi"/>
          <w:color w:val="222222"/>
          <w:shd w:val="clear" w:color="auto" w:fill="FFFFFF"/>
        </w:rPr>
      </w:pPr>
      <w:r w:rsidRPr="00766C2B">
        <w:rPr>
          <w:color w:val="222222"/>
          <w:shd w:val="clear" w:color="auto" w:fill="FFFFFF"/>
        </w:rPr>
        <w:t>Mazerolle, M., Régner, I., Barber, S. J., Paccalin, M., Miazola, A. C., Huguet, P., &amp; Rigalleau, F. (2016). Negative aging stereotypes impair performance on brief cognitive tests used to screen for predementia. </w:t>
      </w:r>
      <w:r w:rsidRPr="00766C2B">
        <w:rPr>
          <w:i/>
          <w:iCs/>
          <w:color w:val="222222"/>
          <w:shd w:val="clear" w:color="auto" w:fill="FFFFFF"/>
        </w:rPr>
        <w:t>Journals of Gerontology Series B: Psychological Sciences and Social Sciences</w:t>
      </w:r>
      <w:r w:rsidRPr="00766C2B">
        <w:rPr>
          <w:color w:val="222222"/>
          <w:shd w:val="clear" w:color="auto" w:fill="FFFFFF"/>
        </w:rPr>
        <w:t>, </w:t>
      </w:r>
      <w:r w:rsidRPr="00766C2B">
        <w:rPr>
          <w:i/>
          <w:iCs/>
          <w:color w:val="222222"/>
          <w:shd w:val="clear" w:color="auto" w:fill="FFFFFF"/>
        </w:rPr>
        <w:t>72</w:t>
      </w:r>
      <w:r w:rsidRPr="00766C2B">
        <w:rPr>
          <w:color w:val="222222"/>
          <w:shd w:val="clear" w:color="auto" w:fill="FFFFFF"/>
        </w:rPr>
        <w:t>(6), 932-936.</w:t>
      </w:r>
      <w:r w:rsidR="002C4914" w:rsidRPr="00766C2B">
        <w:rPr>
          <w:color w:val="222222"/>
          <w:shd w:val="clear" w:color="auto" w:fill="FFFFFF"/>
        </w:rPr>
        <w:t xml:space="preserve"> </w:t>
      </w:r>
      <w:r w:rsidR="00C0480E" w:rsidRPr="00766C2B">
        <w:rPr>
          <w:rFonts w:asciiTheme="majorBidi" w:hAnsiTheme="majorBidi" w:cstheme="majorBidi"/>
          <w:color w:val="000000"/>
          <w:shd w:val="clear" w:color="auto" w:fill="FFFFFF"/>
        </w:rPr>
        <w:t>https://doi.org/</w:t>
      </w:r>
      <w:r w:rsidR="002C4914" w:rsidRPr="00766C2B">
        <w:rPr>
          <w:rFonts w:asciiTheme="majorBidi" w:hAnsiTheme="majorBidi" w:cstheme="majorBidi"/>
          <w:color w:val="000000"/>
          <w:shd w:val="clear" w:color="auto" w:fill="FFFFFF"/>
        </w:rPr>
        <w:t>10.1093/geronb/gbw083</w:t>
      </w:r>
    </w:p>
    <w:p w14:paraId="30376EC8" w14:textId="77777777" w:rsidR="005C2822" w:rsidRPr="00766C2B" w:rsidRDefault="005C2822" w:rsidP="005C2822">
      <w:pPr>
        <w:spacing w:line="480" w:lineRule="auto"/>
        <w:ind w:left="720" w:hanging="720"/>
        <w:rPr>
          <w:rFonts w:asciiTheme="majorBidi" w:hAnsiTheme="majorBidi" w:cstheme="majorBidi"/>
          <w:color w:val="000000" w:themeColor="text1"/>
          <w:shd w:val="clear" w:color="auto" w:fill="FFFFFF"/>
        </w:rPr>
      </w:pPr>
      <w:r w:rsidRPr="00766C2B">
        <w:rPr>
          <w:color w:val="222222"/>
          <w:shd w:val="clear" w:color="auto" w:fill="FFFFFF"/>
          <w:lang w:val="de-DE"/>
        </w:rPr>
        <w:t xml:space="preserve">McKenzie, E. L., &amp; Brown, P. M. (2017). </w:t>
      </w:r>
      <w:r w:rsidRPr="00766C2B">
        <w:rPr>
          <w:color w:val="222222"/>
          <w:shd w:val="clear" w:color="auto" w:fill="FFFFFF"/>
        </w:rPr>
        <w:t>Nursing students’ death anxiety and fear towards dementia patients. </w:t>
      </w:r>
      <w:r w:rsidRPr="00766C2B">
        <w:rPr>
          <w:i/>
          <w:iCs/>
          <w:color w:val="222222"/>
          <w:shd w:val="clear" w:color="auto" w:fill="FFFFFF"/>
        </w:rPr>
        <w:t>Australasian Journal on Ageing</w:t>
      </w:r>
      <w:r w:rsidRPr="00766C2B">
        <w:rPr>
          <w:color w:val="222222"/>
          <w:shd w:val="clear" w:color="auto" w:fill="FFFFFF"/>
        </w:rPr>
        <w:t>, </w:t>
      </w:r>
      <w:r w:rsidRPr="00766C2B">
        <w:rPr>
          <w:i/>
          <w:iCs/>
          <w:color w:val="222222"/>
          <w:shd w:val="clear" w:color="auto" w:fill="FFFFFF"/>
        </w:rPr>
        <w:t>36</w:t>
      </w:r>
      <w:r w:rsidRPr="00766C2B">
        <w:rPr>
          <w:color w:val="222222"/>
          <w:shd w:val="clear" w:color="auto" w:fill="FFFFFF"/>
        </w:rPr>
        <w:t xml:space="preserve">(3), E32-E35. </w:t>
      </w:r>
      <w:r w:rsidRPr="00766C2B">
        <w:rPr>
          <w:rFonts w:asciiTheme="majorBidi" w:hAnsiTheme="majorBidi" w:cstheme="majorBidi"/>
          <w:color w:val="000000" w:themeColor="text1"/>
          <w:shd w:val="clear" w:color="auto" w:fill="FFFFFF"/>
        </w:rPr>
        <w:t>https://doi.org/10.1111/ajag.12414.</w:t>
      </w:r>
    </w:p>
    <w:p w14:paraId="7A36108F" w14:textId="6147407D" w:rsidR="006C7C17" w:rsidRPr="00766C2B" w:rsidRDefault="002E2FBA">
      <w:pPr>
        <w:spacing w:line="480" w:lineRule="auto"/>
        <w:ind w:left="720" w:hanging="720"/>
        <w:rPr>
          <w:color w:val="303030"/>
          <w:shd w:val="clear" w:color="auto" w:fill="FFFFFF"/>
        </w:rPr>
      </w:pPr>
      <w:r w:rsidRPr="00766C2B">
        <w:rPr>
          <w:color w:val="222222"/>
          <w:shd w:val="clear" w:color="auto" w:fill="FFFFFF"/>
        </w:rPr>
        <w:lastRenderedPageBreak/>
        <w:t xml:space="preserve">Mikels, J. A., Larkin, G. R., Reuter-Lorenz, P. A., &amp; Carstensen, L. L. (2005). Divergent </w:t>
      </w:r>
      <w:r w:rsidRPr="00766C2B">
        <w:rPr>
          <w:shd w:val="clear" w:color="auto" w:fill="FFFFFF"/>
        </w:rPr>
        <w:t>trajectories in the aging mind: Changes in working memory for affective versus visual information with age. </w:t>
      </w:r>
      <w:r w:rsidRPr="00766C2B">
        <w:rPr>
          <w:i/>
          <w:iCs/>
          <w:shd w:val="clear" w:color="auto" w:fill="FFFFFF"/>
        </w:rPr>
        <w:t>Psychology and Aging</w:t>
      </w:r>
      <w:r w:rsidR="00656490" w:rsidRPr="00766C2B">
        <w:rPr>
          <w:i/>
          <w:iCs/>
          <w:shd w:val="clear" w:color="auto" w:fill="FFFFFF"/>
        </w:rPr>
        <w:t>,</w:t>
      </w:r>
      <w:r w:rsidRPr="00766C2B">
        <w:rPr>
          <w:shd w:val="clear" w:color="auto" w:fill="FFFFFF"/>
        </w:rPr>
        <w:t> </w:t>
      </w:r>
      <w:r w:rsidRPr="00766C2B">
        <w:rPr>
          <w:i/>
          <w:iCs/>
          <w:shd w:val="clear" w:color="auto" w:fill="FFFFFF"/>
        </w:rPr>
        <w:t>20</w:t>
      </w:r>
      <w:r w:rsidRPr="00766C2B">
        <w:rPr>
          <w:shd w:val="clear" w:color="auto" w:fill="FFFFFF"/>
        </w:rPr>
        <w:t>(4), 542.</w:t>
      </w:r>
      <w:r w:rsidR="006C7C17" w:rsidRPr="00766C2B">
        <w:rPr>
          <w:shd w:val="clear" w:color="auto" w:fill="FFFFFF"/>
        </w:rPr>
        <w:t xml:space="preserve"> </w:t>
      </w:r>
      <w:r w:rsidR="006C7C17" w:rsidRPr="00766C2B">
        <w:rPr>
          <w:rFonts w:asciiTheme="majorBidi" w:hAnsiTheme="majorBidi" w:cstheme="majorBidi"/>
          <w:color w:val="000000" w:themeColor="text1"/>
          <w:shd w:val="clear" w:color="auto" w:fill="FFFFFF"/>
        </w:rPr>
        <w:t>https://doi.org/</w:t>
      </w:r>
      <w:r w:rsidR="006C7C17" w:rsidRPr="00766C2B">
        <w:rPr>
          <w:shd w:val="clear" w:color="auto" w:fill="FFFFFF"/>
        </w:rPr>
        <w:t>10.1037/0882-7974.20.4.542.</w:t>
      </w:r>
    </w:p>
    <w:p w14:paraId="4F76886B" w14:textId="1590DD2B" w:rsidR="00945F99" w:rsidRPr="00766C2B" w:rsidRDefault="00945F99">
      <w:pPr>
        <w:spacing w:line="480" w:lineRule="auto"/>
        <w:ind w:left="720" w:hanging="720"/>
        <w:rPr>
          <w:color w:val="000000" w:themeColor="text1"/>
          <w:shd w:val="clear" w:color="auto" w:fill="FFFFFF"/>
        </w:rPr>
      </w:pPr>
      <w:r w:rsidRPr="00766C2B">
        <w:rPr>
          <w:color w:val="303030"/>
          <w:shd w:val="clear" w:color="auto" w:fill="FFFFFF"/>
        </w:rPr>
        <w:t xml:space="preserve">Milani, S. A., Marsiske, M., Cottler, L. B., Chen, X., &amp; Striley, C. W. (2018). Optimal </w:t>
      </w:r>
      <w:proofErr w:type="spellStart"/>
      <w:r w:rsidRPr="00766C2B">
        <w:rPr>
          <w:color w:val="303030"/>
          <w:shd w:val="clear" w:color="auto" w:fill="FFFFFF"/>
        </w:rPr>
        <w:t>cutoffs</w:t>
      </w:r>
      <w:proofErr w:type="spellEnd"/>
      <w:r w:rsidRPr="00766C2B">
        <w:rPr>
          <w:color w:val="303030"/>
          <w:shd w:val="clear" w:color="auto" w:fill="FFFFFF"/>
        </w:rPr>
        <w:t xml:space="preserve"> for the Montreal Cognitive Assessment vary by race and ethnicity. </w:t>
      </w:r>
      <w:r w:rsidRPr="00766C2B">
        <w:rPr>
          <w:i/>
          <w:iCs/>
          <w:color w:val="303030"/>
          <w:shd w:val="clear" w:color="auto" w:fill="FFFFFF"/>
        </w:rPr>
        <w:t>Alzheimer's &amp; Dementia</w:t>
      </w:r>
      <w:r w:rsidRPr="00766C2B">
        <w:rPr>
          <w:color w:val="303030"/>
          <w:shd w:val="clear" w:color="auto" w:fill="FFFFFF"/>
        </w:rPr>
        <w:t>, </w:t>
      </w:r>
      <w:r w:rsidRPr="00766C2B">
        <w:rPr>
          <w:i/>
          <w:iCs/>
          <w:color w:val="303030"/>
          <w:shd w:val="clear" w:color="auto" w:fill="FFFFFF"/>
        </w:rPr>
        <w:t>10</w:t>
      </w:r>
      <w:r w:rsidRPr="00766C2B">
        <w:rPr>
          <w:color w:val="303030"/>
          <w:shd w:val="clear" w:color="auto" w:fill="FFFFFF"/>
        </w:rPr>
        <w:t xml:space="preserve">, 773–781. </w:t>
      </w:r>
      <w:r w:rsidR="00C0480E" w:rsidRPr="00766C2B">
        <w:rPr>
          <w:color w:val="303030"/>
          <w:shd w:val="clear" w:color="auto" w:fill="FFFFFF"/>
        </w:rPr>
        <w:t>https://doi.org/</w:t>
      </w:r>
      <w:r w:rsidRPr="00766C2B">
        <w:rPr>
          <w:color w:val="303030"/>
          <w:shd w:val="clear" w:color="auto" w:fill="FFFFFF"/>
        </w:rPr>
        <w:t>10.1016/j.dadm.2018.09.003</w:t>
      </w:r>
    </w:p>
    <w:p w14:paraId="570DD1E9" w14:textId="0FA58D05" w:rsidR="00460F65" w:rsidRPr="00766C2B" w:rsidRDefault="00460F65">
      <w:pPr>
        <w:spacing w:line="480" w:lineRule="auto"/>
        <w:ind w:left="720" w:hanging="720"/>
        <w:rPr>
          <w:color w:val="000000" w:themeColor="text1"/>
          <w:shd w:val="clear" w:color="auto" w:fill="FFFFFF"/>
        </w:rPr>
      </w:pPr>
      <w:r w:rsidRPr="00766C2B">
        <w:rPr>
          <w:color w:val="000000"/>
          <w:shd w:val="clear" w:color="auto" w:fill="FFFFFF"/>
        </w:rPr>
        <w:t>Nasreddine Z.</w:t>
      </w:r>
      <w:r w:rsidR="00FF165E" w:rsidRPr="00766C2B">
        <w:rPr>
          <w:color w:val="000000"/>
          <w:shd w:val="clear" w:color="auto" w:fill="FFFFFF"/>
        </w:rPr>
        <w:t xml:space="preserve"> </w:t>
      </w:r>
      <w:r w:rsidRPr="00766C2B">
        <w:rPr>
          <w:color w:val="000000"/>
          <w:shd w:val="clear" w:color="auto" w:fill="FFFFFF"/>
        </w:rPr>
        <w:t>S., Phillips N.</w:t>
      </w:r>
      <w:r w:rsidR="00FF165E" w:rsidRPr="00766C2B">
        <w:rPr>
          <w:color w:val="000000"/>
          <w:shd w:val="clear" w:color="auto" w:fill="FFFFFF"/>
        </w:rPr>
        <w:t xml:space="preserve"> </w:t>
      </w:r>
      <w:r w:rsidRPr="00766C2B">
        <w:rPr>
          <w:color w:val="000000"/>
          <w:shd w:val="clear" w:color="auto" w:fill="FFFFFF"/>
        </w:rPr>
        <w:t>A., Bédirian V., Charbonneau S., Whitehead V., Collin I. (2005)</w:t>
      </w:r>
      <w:r w:rsidR="00DB5EB9" w:rsidRPr="00766C2B">
        <w:rPr>
          <w:color w:val="000000"/>
          <w:shd w:val="clear" w:color="auto" w:fill="FFFFFF"/>
        </w:rPr>
        <w:t>.</w:t>
      </w:r>
      <w:r w:rsidRPr="00766C2B">
        <w:rPr>
          <w:color w:val="000000"/>
          <w:shd w:val="clear" w:color="auto" w:fill="FFFFFF"/>
        </w:rPr>
        <w:t xml:space="preserve"> The Montreal Cognitive Assessment, MoCA: </w:t>
      </w:r>
      <w:r w:rsidR="00656490" w:rsidRPr="00766C2B">
        <w:rPr>
          <w:color w:val="000000"/>
          <w:shd w:val="clear" w:color="auto" w:fill="FFFFFF"/>
        </w:rPr>
        <w:t>A</w:t>
      </w:r>
      <w:r w:rsidRPr="00766C2B">
        <w:rPr>
          <w:color w:val="000000"/>
          <w:shd w:val="clear" w:color="auto" w:fill="FFFFFF"/>
        </w:rPr>
        <w:t xml:space="preserve"> brief screening tool for mild cognitive impairment. </w:t>
      </w:r>
      <w:r w:rsidRPr="00766C2B">
        <w:rPr>
          <w:rStyle w:val="ref-journal"/>
          <w:i/>
          <w:iCs/>
          <w:color w:val="000000"/>
          <w:shd w:val="clear" w:color="auto" w:fill="FFFFFF"/>
        </w:rPr>
        <w:t xml:space="preserve">Journal of the American Geriatric Society, </w:t>
      </w:r>
      <w:r w:rsidRPr="00766C2B">
        <w:rPr>
          <w:rStyle w:val="ref-vol"/>
          <w:i/>
          <w:iCs/>
          <w:color w:val="000000"/>
          <w:shd w:val="clear" w:color="auto" w:fill="FFFFFF"/>
        </w:rPr>
        <w:t>53</w:t>
      </w:r>
      <w:r w:rsidR="00656490" w:rsidRPr="00766C2B">
        <w:rPr>
          <w:rStyle w:val="ref-vol"/>
          <w:color w:val="000000"/>
          <w:shd w:val="clear" w:color="auto" w:fill="FFFFFF"/>
        </w:rPr>
        <w:t>(4),</w:t>
      </w:r>
      <w:r w:rsidRPr="00766C2B">
        <w:rPr>
          <w:color w:val="000000"/>
          <w:shd w:val="clear" w:color="auto" w:fill="FFFFFF"/>
        </w:rPr>
        <w:t xml:space="preserve"> 695–699.</w:t>
      </w:r>
    </w:p>
    <w:p w14:paraId="17096E5D" w14:textId="594D7D47" w:rsidR="00540D84" w:rsidRPr="00766C2B" w:rsidRDefault="00540D84" w:rsidP="00540D84">
      <w:pPr>
        <w:widowControl w:val="0"/>
        <w:autoSpaceDE w:val="0"/>
        <w:autoSpaceDN w:val="0"/>
        <w:adjustRightInd w:val="0"/>
        <w:spacing w:line="480" w:lineRule="auto"/>
        <w:ind w:left="720" w:hanging="720"/>
        <w:rPr>
          <w:lang w:val="en-US"/>
        </w:rPr>
      </w:pPr>
      <w:r w:rsidRPr="00766C2B">
        <w:rPr>
          <w:lang w:val="en-US"/>
        </w:rPr>
        <w:t xml:space="preserve">Nelson, T. D. (2005). Ageism: Prejudice against our feared future self. </w:t>
      </w:r>
      <w:r w:rsidRPr="00766C2B">
        <w:rPr>
          <w:i/>
          <w:iCs/>
          <w:color w:val="222222"/>
          <w:shd w:val="clear" w:color="auto" w:fill="FFFFFF"/>
        </w:rPr>
        <w:t>Journal of Social Issues,</w:t>
      </w:r>
      <w:r w:rsidRPr="00766C2B">
        <w:rPr>
          <w:lang w:val="en-US"/>
        </w:rPr>
        <w:t xml:space="preserve"> </w:t>
      </w:r>
      <w:r w:rsidRPr="00766C2B">
        <w:rPr>
          <w:i/>
          <w:lang w:val="en-US"/>
        </w:rPr>
        <w:t>61</w:t>
      </w:r>
      <w:r w:rsidRPr="00766C2B">
        <w:rPr>
          <w:lang w:val="en-US"/>
        </w:rPr>
        <w:t xml:space="preserve">(2), 207–221. </w:t>
      </w:r>
      <w:r w:rsidR="00C0480E" w:rsidRPr="00766C2B">
        <w:rPr>
          <w:lang w:val="en-US"/>
        </w:rPr>
        <w:t>https://doi.org/</w:t>
      </w:r>
      <w:r w:rsidRPr="00766C2B">
        <w:rPr>
          <w:lang w:val="en-US"/>
        </w:rPr>
        <w:t>10.1111/j.1540-4560.2005.00402</w:t>
      </w:r>
    </w:p>
    <w:p w14:paraId="5F69A20F" w14:textId="77777777" w:rsidR="005C2822" w:rsidRPr="00766C2B" w:rsidRDefault="005C2822" w:rsidP="005C2822">
      <w:pPr>
        <w:widowControl w:val="0"/>
        <w:autoSpaceDE w:val="0"/>
        <w:autoSpaceDN w:val="0"/>
        <w:adjustRightInd w:val="0"/>
        <w:spacing w:line="480" w:lineRule="auto"/>
        <w:ind w:left="720" w:hanging="720"/>
      </w:pPr>
      <w:r w:rsidRPr="00766C2B">
        <w:rPr>
          <w:lang w:val="en-US"/>
        </w:rPr>
        <w:t xml:space="preserve">North, M. S., &amp; Fiske, S. T. (2012). An inconvenienced youth? Ageism and its potential intergenerational roots. </w:t>
      </w:r>
      <w:r w:rsidRPr="00766C2B">
        <w:rPr>
          <w:i/>
        </w:rPr>
        <w:t>Psychological Bulletin, 138</w:t>
      </w:r>
      <w:r w:rsidRPr="00766C2B">
        <w:t>(5), 982–997. https://doi.org/10.1037/a0027843</w:t>
      </w:r>
    </w:p>
    <w:p w14:paraId="6D7A9F66" w14:textId="77777777" w:rsidR="005C2822" w:rsidRPr="00766C2B" w:rsidRDefault="005C2822" w:rsidP="005C2822">
      <w:pPr>
        <w:spacing w:line="480" w:lineRule="auto"/>
        <w:ind w:left="720" w:hanging="720"/>
        <w:rPr>
          <w:rFonts w:asciiTheme="majorBidi" w:hAnsiTheme="majorBidi" w:cstheme="majorBidi"/>
          <w:color w:val="000000" w:themeColor="text1"/>
          <w:shd w:val="clear" w:color="auto" w:fill="FFFFFF"/>
        </w:rPr>
      </w:pPr>
      <w:r w:rsidRPr="00766C2B">
        <w:rPr>
          <w:color w:val="222222"/>
          <w:shd w:val="clear" w:color="auto" w:fill="FFFFFF"/>
        </w:rPr>
        <w:t>O’Brien, L. T., &amp; Hummert, M. L. (2006). Memory performance of late middle–aged adults: Contrasting self–stereotyping and stereotype threat accounts of assimilation to age stereotypes. </w:t>
      </w:r>
      <w:r w:rsidRPr="00766C2B">
        <w:rPr>
          <w:i/>
          <w:iCs/>
          <w:color w:val="222222"/>
          <w:shd w:val="clear" w:color="auto" w:fill="FFFFFF"/>
        </w:rPr>
        <w:t>Social Cognition</w:t>
      </w:r>
      <w:r w:rsidRPr="00766C2B">
        <w:rPr>
          <w:color w:val="222222"/>
          <w:shd w:val="clear" w:color="auto" w:fill="FFFFFF"/>
        </w:rPr>
        <w:t>, </w:t>
      </w:r>
      <w:r w:rsidRPr="00766C2B">
        <w:rPr>
          <w:i/>
          <w:iCs/>
          <w:color w:val="222222"/>
          <w:shd w:val="clear" w:color="auto" w:fill="FFFFFF"/>
        </w:rPr>
        <w:t>24</w:t>
      </w:r>
      <w:r w:rsidRPr="00766C2B">
        <w:rPr>
          <w:color w:val="222222"/>
          <w:shd w:val="clear" w:color="auto" w:fill="FFFFFF"/>
        </w:rPr>
        <w:t xml:space="preserve">(3), 338-358. </w:t>
      </w:r>
      <w:hyperlink r:id="rId33" w:tgtFrame="_blank" w:history="1">
        <w:r w:rsidRPr="00766C2B">
          <w:rPr>
            <w:rStyle w:val="Hyperlink"/>
            <w:rFonts w:asciiTheme="majorBidi" w:hAnsiTheme="majorBidi" w:cstheme="majorBidi"/>
            <w:color w:val="000000" w:themeColor="text1"/>
            <w:u w:val="none"/>
            <w:shd w:val="clear" w:color="auto" w:fill="FFFFFF"/>
          </w:rPr>
          <w:t>https://doi.org/10.1521/soco.2006.24.3.338</w:t>
        </w:r>
      </w:hyperlink>
    </w:p>
    <w:p w14:paraId="61443C5F" w14:textId="2CB4CDA2" w:rsidR="00540D84" w:rsidRPr="00766C2B" w:rsidRDefault="00540D84" w:rsidP="00540D84">
      <w:pPr>
        <w:spacing w:line="480" w:lineRule="auto"/>
        <w:ind w:left="720" w:hanging="720"/>
      </w:pPr>
      <w:r w:rsidRPr="00766C2B">
        <w:rPr>
          <w:color w:val="222222"/>
          <w:shd w:val="clear" w:color="auto" w:fill="FFFFFF"/>
        </w:rPr>
        <w:t>O’Connor, M. L., &amp; McFadden, S. H. (2012). A terror management perspective on young adults’ ageism and attitudes toward dementia. </w:t>
      </w:r>
      <w:r w:rsidRPr="00766C2B">
        <w:rPr>
          <w:i/>
          <w:iCs/>
          <w:color w:val="222222"/>
          <w:shd w:val="clear" w:color="auto" w:fill="FFFFFF"/>
        </w:rPr>
        <w:t>Educational Gerontology</w:t>
      </w:r>
      <w:r w:rsidRPr="00766C2B">
        <w:rPr>
          <w:color w:val="222222"/>
          <w:shd w:val="clear" w:color="auto" w:fill="FFFFFF"/>
        </w:rPr>
        <w:t>, </w:t>
      </w:r>
      <w:r w:rsidRPr="00766C2B">
        <w:rPr>
          <w:i/>
          <w:iCs/>
          <w:color w:val="222222"/>
          <w:shd w:val="clear" w:color="auto" w:fill="FFFFFF"/>
        </w:rPr>
        <w:t>38</w:t>
      </w:r>
      <w:r w:rsidRPr="00766C2B">
        <w:rPr>
          <w:color w:val="222222"/>
          <w:shd w:val="clear" w:color="auto" w:fill="FFFFFF"/>
        </w:rPr>
        <w:t xml:space="preserve">(9), 627-643. </w:t>
      </w:r>
      <w:r w:rsidR="00C0480E" w:rsidRPr="00766C2B">
        <w:rPr>
          <w:color w:val="222222"/>
          <w:shd w:val="clear" w:color="auto" w:fill="FFFFFF"/>
        </w:rPr>
        <w:t>https://doi.org/</w:t>
      </w:r>
      <w:r w:rsidRPr="00766C2B">
        <w:rPr>
          <w:color w:val="222222"/>
          <w:shd w:val="clear" w:color="auto" w:fill="FFFFFF"/>
        </w:rPr>
        <w:t>10.1080/03601277.2011.595335</w:t>
      </w:r>
    </w:p>
    <w:p w14:paraId="11CCEF17" w14:textId="2F4186F6" w:rsidR="00540D84" w:rsidRPr="00766C2B" w:rsidRDefault="00540D84" w:rsidP="00540D84">
      <w:pPr>
        <w:widowControl w:val="0"/>
        <w:autoSpaceDE w:val="0"/>
        <w:autoSpaceDN w:val="0"/>
        <w:adjustRightInd w:val="0"/>
        <w:spacing w:line="480" w:lineRule="auto"/>
        <w:ind w:left="720" w:hanging="720"/>
        <w:rPr>
          <w:color w:val="222222"/>
          <w:shd w:val="clear" w:color="auto" w:fill="FFFFFF"/>
        </w:rPr>
      </w:pPr>
      <w:r w:rsidRPr="00766C2B">
        <w:rPr>
          <w:color w:val="222222"/>
          <w:shd w:val="clear" w:color="auto" w:fill="FFFFFF"/>
        </w:rPr>
        <w:lastRenderedPageBreak/>
        <w:t>Pachana N.</w:t>
      </w:r>
      <w:r w:rsidR="00FF165E" w:rsidRPr="00766C2B">
        <w:rPr>
          <w:color w:val="222222"/>
          <w:shd w:val="clear" w:color="auto" w:fill="FFFFFF"/>
        </w:rPr>
        <w:t xml:space="preserve"> </w:t>
      </w:r>
      <w:r w:rsidRPr="00766C2B">
        <w:rPr>
          <w:color w:val="222222"/>
          <w:shd w:val="clear" w:color="auto" w:fill="FFFFFF"/>
        </w:rPr>
        <w:t>A., Byrne G. J., Siddle, H., Koloski, N., Harley, E., &amp; Arnold E. (2007). Development and validation of the Geriatric Anxiety Inventory. </w:t>
      </w:r>
      <w:r w:rsidRPr="00766C2B">
        <w:rPr>
          <w:i/>
          <w:iCs/>
          <w:color w:val="222222"/>
          <w:shd w:val="clear" w:color="auto" w:fill="FFFFFF"/>
        </w:rPr>
        <w:t>International Psychogeriatrics,</w:t>
      </w:r>
      <w:r w:rsidRPr="00766C2B">
        <w:rPr>
          <w:color w:val="222222"/>
          <w:shd w:val="clear" w:color="auto" w:fill="FFFFFF"/>
        </w:rPr>
        <w:t> </w:t>
      </w:r>
      <w:r w:rsidRPr="00766C2B">
        <w:rPr>
          <w:i/>
          <w:iCs/>
          <w:color w:val="222222"/>
          <w:shd w:val="clear" w:color="auto" w:fill="FFFFFF"/>
        </w:rPr>
        <w:t>19</w:t>
      </w:r>
      <w:r w:rsidRPr="00766C2B">
        <w:rPr>
          <w:iCs/>
          <w:color w:val="222222"/>
          <w:shd w:val="clear" w:color="auto" w:fill="FFFFFF"/>
        </w:rPr>
        <w:t>(1)</w:t>
      </w:r>
      <w:r w:rsidRPr="00766C2B">
        <w:rPr>
          <w:color w:val="222222"/>
          <w:shd w:val="clear" w:color="auto" w:fill="FFFFFF"/>
        </w:rPr>
        <w:t xml:space="preserve">, 103-114. </w:t>
      </w:r>
      <w:r w:rsidR="00C0480E" w:rsidRPr="00766C2B">
        <w:rPr>
          <w:color w:val="222222"/>
          <w:shd w:val="clear" w:color="auto" w:fill="FFFFFF"/>
        </w:rPr>
        <w:t>https://doi.org/</w:t>
      </w:r>
      <w:r w:rsidRPr="00766C2B">
        <w:rPr>
          <w:color w:val="222222"/>
          <w:shd w:val="clear" w:color="auto" w:fill="FFFFFF"/>
        </w:rPr>
        <w:t>10.1017/S1041610206003504</w:t>
      </w:r>
    </w:p>
    <w:p w14:paraId="682F9A02" w14:textId="7FE34D4D" w:rsidR="00E6641F" w:rsidRPr="00766C2B" w:rsidRDefault="00540D84" w:rsidP="00D04B7D">
      <w:pPr>
        <w:widowControl w:val="0"/>
        <w:autoSpaceDE w:val="0"/>
        <w:autoSpaceDN w:val="0"/>
        <w:adjustRightInd w:val="0"/>
        <w:spacing w:line="480" w:lineRule="auto"/>
        <w:ind w:left="720" w:hanging="720"/>
        <w:rPr>
          <w:rStyle w:val="Hyperlink"/>
          <w:bCs/>
          <w:color w:val="000000"/>
          <w:u w:val="none"/>
        </w:rPr>
      </w:pPr>
      <w:r w:rsidRPr="00766C2B">
        <w:rPr>
          <w:bCs/>
          <w:color w:val="000000"/>
        </w:rPr>
        <w:t xml:space="preserve">Pinter, B., Green, J. D., Sedikides, C., &amp; Gregg, A. P. (2011). </w:t>
      </w:r>
      <w:r w:rsidRPr="00766C2B">
        <w:rPr>
          <w:bCs/>
          <w:color w:val="000000"/>
          <w:lang w:val="en-US"/>
        </w:rPr>
        <w:t xml:space="preserve">Self-protective memory: Separation/integration as a mechanism for mnemic neglect. </w:t>
      </w:r>
      <w:r w:rsidRPr="00766C2B">
        <w:rPr>
          <w:bCs/>
          <w:i/>
          <w:color w:val="000000"/>
        </w:rPr>
        <w:t>Social Cognition</w:t>
      </w:r>
      <w:r w:rsidRPr="00766C2B">
        <w:rPr>
          <w:bCs/>
          <w:i/>
          <w:iCs/>
          <w:color w:val="000000"/>
        </w:rPr>
        <w:t>, 29</w:t>
      </w:r>
      <w:r w:rsidR="005F3A88" w:rsidRPr="00766C2B">
        <w:rPr>
          <w:bCs/>
          <w:iCs/>
          <w:color w:val="000000"/>
        </w:rPr>
        <w:t>(5)</w:t>
      </w:r>
      <w:r w:rsidRPr="00766C2B">
        <w:rPr>
          <w:bCs/>
          <w:color w:val="000000"/>
        </w:rPr>
        <w:t xml:space="preserve">, 612-624. </w:t>
      </w:r>
      <w:hyperlink r:id="rId34" w:history="1">
        <w:r w:rsidR="00C0480E" w:rsidRPr="00766C2B">
          <w:rPr>
            <w:rStyle w:val="Hyperlink"/>
            <w:bCs/>
            <w:color w:val="000000"/>
            <w:u w:val="none"/>
          </w:rPr>
          <w:t>https://doi.org/</w:t>
        </w:r>
        <w:r w:rsidRPr="00766C2B">
          <w:rPr>
            <w:rStyle w:val="Hyperlink"/>
            <w:bCs/>
            <w:color w:val="000000"/>
            <w:u w:val="none"/>
          </w:rPr>
          <w:t>10.1521/soco.2011.29.5.612</w:t>
        </w:r>
      </w:hyperlink>
    </w:p>
    <w:p w14:paraId="335CF575" w14:textId="77777777" w:rsidR="005C2822" w:rsidRPr="00766C2B" w:rsidRDefault="005C2822" w:rsidP="005C2822">
      <w:pPr>
        <w:widowControl w:val="0"/>
        <w:autoSpaceDE w:val="0"/>
        <w:autoSpaceDN w:val="0"/>
        <w:adjustRightInd w:val="0"/>
        <w:spacing w:line="480" w:lineRule="auto"/>
        <w:ind w:left="720" w:hanging="720"/>
        <w:rPr>
          <w:rFonts w:asciiTheme="majorBidi" w:hAnsiTheme="majorBidi" w:cstheme="majorBidi"/>
          <w:color w:val="000000" w:themeColor="text1"/>
          <w:shd w:val="clear" w:color="auto" w:fill="FFFFFF"/>
          <w:lang w:val="de-DE"/>
        </w:rPr>
      </w:pPr>
      <w:bookmarkStart w:id="5" w:name="baep-author-id1"/>
      <w:r w:rsidRPr="00766C2B">
        <w:rPr>
          <w:color w:val="222222"/>
          <w:shd w:val="clear" w:color="auto" w:fill="FFFFFF"/>
        </w:rPr>
        <w:t>Reed, A. E., &amp; Carstensen, L. L. (2012). The theory behind the age-related positivity effect. </w:t>
      </w:r>
      <w:r w:rsidRPr="00766C2B">
        <w:rPr>
          <w:i/>
          <w:iCs/>
          <w:color w:val="222222"/>
          <w:shd w:val="clear" w:color="auto" w:fill="FFFFFF"/>
          <w:lang w:val="de-DE"/>
        </w:rPr>
        <w:t>Frontiers in Psychology</w:t>
      </w:r>
      <w:r w:rsidRPr="00766C2B">
        <w:rPr>
          <w:color w:val="222222"/>
          <w:shd w:val="clear" w:color="auto" w:fill="FFFFFF"/>
          <w:lang w:val="de-DE"/>
        </w:rPr>
        <w:t>, </w:t>
      </w:r>
      <w:r w:rsidRPr="00766C2B">
        <w:rPr>
          <w:i/>
          <w:iCs/>
          <w:color w:val="222222"/>
          <w:shd w:val="clear" w:color="auto" w:fill="FFFFFF"/>
          <w:lang w:val="de-DE"/>
        </w:rPr>
        <w:t>3</w:t>
      </w:r>
      <w:r w:rsidRPr="00766C2B">
        <w:rPr>
          <w:color w:val="222222"/>
          <w:shd w:val="clear" w:color="auto" w:fill="FFFFFF"/>
          <w:lang w:val="de-DE"/>
        </w:rPr>
        <w:t>, 339. https://doi.org/</w:t>
      </w:r>
      <w:r w:rsidRPr="00766C2B">
        <w:rPr>
          <w:rFonts w:asciiTheme="majorBidi" w:hAnsiTheme="majorBidi" w:cstheme="majorBidi"/>
          <w:color w:val="000000" w:themeColor="text1"/>
          <w:shd w:val="clear" w:color="auto" w:fill="FFFFFF"/>
          <w:lang w:val="de-DE"/>
        </w:rPr>
        <w:t>10.3389/fpsyg.2012.00339</w:t>
      </w:r>
    </w:p>
    <w:p w14:paraId="104157F5" w14:textId="77777777" w:rsidR="005C2822" w:rsidRPr="00766C2B" w:rsidRDefault="005C2822" w:rsidP="005C2822">
      <w:pPr>
        <w:widowControl w:val="0"/>
        <w:autoSpaceDE w:val="0"/>
        <w:autoSpaceDN w:val="0"/>
        <w:adjustRightInd w:val="0"/>
        <w:spacing w:line="480" w:lineRule="auto"/>
        <w:ind w:left="720" w:hanging="720"/>
        <w:rPr>
          <w:rStyle w:val="doi"/>
          <w:rFonts w:asciiTheme="majorBidi" w:hAnsiTheme="majorBidi" w:cstheme="majorBidi"/>
          <w:bCs/>
          <w:color w:val="000000" w:themeColor="text1"/>
        </w:rPr>
      </w:pPr>
      <w:r w:rsidRPr="00766C2B">
        <w:rPr>
          <w:color w:val="000000" w:themeColor="text1"/>
          <w:shd w:val="clear" w:color="auto" w:fill="FFFFFF"/>
          <w:lang w:val="de-DE"/>
        </w:rPr>
        <w:t xml:space="preserve">Reed, A. E., Chan, L., &amp; Mikels, J. A. (2014). </w:t>
      </w:r>
      <w:r w:rsidRPr="00766C2B">
        <w:rPr>
          <w:color w:val="000000" w:themeColor="text1"/>
          <w:shd w:val="clear" w:color="auto" w:fill="FFFFFF"/>
        </w:rPr>
        <w:t>Meta-analysis of the age-related positivity effect: age differences in preferences for positive over negative information. </w:t>
      </w:r>
      <w:r w:rsidRPr="00766C2B">
        <w:rPr>
          <w:i/>
          <w:iCs/>
          <w:color w:val="000000" w:themeColor="text1"/>
          <w:shd w:val="clear" w:color="auto" w:fill="FFFFFF"/>
        </w:rPr>
        <w:t>Psychology and Aging</w:t>
      </w:r>
      <w:r w:rsidRPr="00766C2B">
        <w:rPr>
          <w:color w:val="000000" w:themeColor="text1"/>
          <w:shd w:val="clear" w:color="auto" w:fill="FFFFFF"/>
        </w:rPr>
        <w:t>, </w:t>
      </w:r>
      <w:r w:rsidRPr="00766C2B">
        <w:rPr>
          <w:i/>
          <w:iCs/>
          <w:color w:val="000000" w:themeColor="text1"/>
          <w:shd w:val="clear" w:color="auto" w:fill="FFFFFF"/>
        </w:rPr>
        <w:t>29</w:t>
      </w:r>
      <w:r w:rsidRPr="00766C2B">
        <w:rPr>
          <w:color w:val="000000" w:themeColor="text1"/>
          <w:shd w:val="clear" w:color="auto" w:fill="FFFFFF"/>
        </w:rPr>
        <w:t xml:space="preserve">(1), 1-15. </w:t>
      </w:r>
      <w:r w:rsidRPr="00766C2B">
        <w:rPr>
          <w:color w:val="222222"/>
          <w:shd w:val="clear" w:color="auto" w:fill="FFFFFF"/>
        </w:rPr>
        <w:t>https://doi.org/</w:t>
      </w:r>
      <w:r w:rsidRPr="00766C2B">
        <w:rPr>
          <w:rFonts w:asciiTheme="majorBidi" w:hAnsiTheme="majorBidi" w:cstheme="majorBidi"/>
          <w:color w:val="000000" w:themeColor="text1"/>
          <w:shd w:val="clear" w:color="auto" w:fill="FFFFFF"/>
        </w:rPr>
        <w:t>10.1037/a0035194</w:t>
      </w:r>
    </w:p>
    <w:p w14:paraId="0FCB9773" w14:textId="77777777" w:rsidR="00E6641F" w:rsidRPr="00766C2B" w:rsidRDefault="00E6641F" w:rsidP="00E6641F">
      <w:pPr>
        <w:widowControl w:val="0"/>
        <w:autoSpaceDE w:val="0"/>
        <w:autoSpaceDN w:val="0"/>
        <w:adjustRightInd w:val="0"/>
        <w:spacing w:line="480" w:lineRule="auto"/>
        <w:ind w:left="720" w:hanging="720"/>
        <w:rPr>
          <w:rFonts w:asciiTheme="majorBidi" w:hAnsiTheme="majorBidi" w:cstheme="majorBidi"/>
          <w:color w:val="000000" w:themeColor="text1"/>
        </w:rPr>
      </w:pPr>
      <w:r w:rsidRPr="00766C2B">
        <w:rPr>
          <w:rFonts w:asciiTheme="majorBidi" w:hAnsiTheme="majorBidi" w:cstheme="majorBidi"/>
          <w:color w:val="000000" w:themeColor="text1"/>
        </w:rPr>
        <w:t>Reidy</w:t>
      </w:r>
      <w:bookmarkStart w:id="6" w:name="baep-author-id2"/>
      <w:bookmarkEnd w:id="5"/>
      <w:r w:rsidRPr="00766C2B">
        <w:rPr>
          <w:rFonts w:asciiTheme="majorBidi" w:hAnsiTheme="majorBidi" w:cstheme="majorBidi"/>
          <w:color w:val="000000" w:themeColor="text1"/>
        </w:rPr>
        <w:t xml:space="preserve">, J., &amp; Richard, A. (1997). </w:t>
      </w:r>
      <w:bookmarkEnd w:id="6"/>
      <w:r w:rsidRPr="00766C2B">
        <w:rPr>
          <w:rFonts w:asciiTheme="majorBidi" w:hAnsiTheme="majorBidi" w:cstheme="majorBidi"/>
          <w:color w:val="000000" w:themeColor="text1"/>
          <w:kern w:val="36"/>
        </w:rPr>
        <w:t xml:space="preserve">Anxiety and memory: A recall bias for threatening words in high anxiety. </w:t>
      </w:r>
      <w:hyperlink r:id="rId35" w:tooltip="Go to Behaviour Research and Therapy on ScienceDirect" w:history="1">
        <w:r w:rsidRPr="00766C2B">
          <w:rPr>
            <w:rStyle w:val="Hyperlink"/>
            <w:rFonts w:asciiTheme="majorBidi" w:eastAsia="Calibri" w:hAnsiTheme="majorBidi" w:cstheme="majorBidi"/>
            <w:i/>
            <w:iCs/>
            <w:color w:val="000000" w:themeColor="text1"/>
            <w:u w:val="none"/>
          </w:rPr>
          <w:t>Behaviour Research and Therapy</w:t>
        </w:r>
      </w:hyperlink>
      <w:r w:rsidRPr="00766C2B">
        <w:rPr>
          <w:rFonts w:asciiTheme="majorBidi" w:hAnsiTheme="majorBidi" w:cstheme="majorBidi"/>
          <w:i/>
          <w:iCs/>
          <w:color w:val="000000" w:themeColor="text1"/>
        </w:rPr>
        <w:t xml:space="preserve">, </w:t>
      </w:r>
      <w:hyperlink r:id="rId36" w:tooltip="Go to table of contents for this volume/issue" w:history="1">
        <w:r w:rsidRPr="00766C2B">
          <w:rPr>
            <w:rStyle w:val="Hyperlink"/>
            <w:rFonts w:asciiTheme="majorBidi" w:hAnsiTheme="majorBidi" w:cstheme="majorBidi"/>
            <w:i/>
            <w:iCs/>
            <w:color w:val="000000" w:themeColor="text1"/>
            <w:u w:val="none"/>
          </w:rPr>
          <w:t>35</w:t>
        </w:r>
        <w:r w:rsidRPr="00766C2B">
          <w:rPr>
            <w:rStyle w:val="Hyperlink"/>
            <w:rFonts w:asciiTheme="majorBidi" w:hAnsiTheme="majorBidi" w:cstheme="majorBidi"/>
            <w:color w:val="000000" w:themeColor="text1"/>
            <w:u w:val="none"/>
          </w:rPr>
          <w:t>(</w:t>
        </w:r>
        <w:r w:rsidRPr="00766C2B">
          <w:rPr>
            <w:rStyle w:val="Hyperlink"/>
            <w:rFonts w:asciiTheme="majorBidi" w:eastAsia="Calibri" w:hAnsiTheme="majorBidi" w:cstheme="majorBidi"/>
            <w:color w:val="000000" w:themeColor="text1"/>
            <w:u w:val="none"/>
          </w:rPr>
          <w:t>6</w:t>
        </w:r>
      </w:hyperlink>
      <w:r w:rsidRPr="00766C2B">
        <w:rPr>
          <w:rFonts w:asciiTheme="majorBidi" w:hAnsiTheme="majorBidi" w:cstheme="majorBidi"/>
          <w:color w:val="000000" w:themeColor="text1"/>
        </w:rPr>
        <w:t xml:space="preserve">), 531-542. </w:t>
      </w:r>
      <w:hyperlink r:id="rId37" w:tgtFrame="_blank" w:tooltip="Persistent link using digital object identifier" w:history="1">
        <w:r w:rsidRPr="00766C2B">
          <w:rPr>
            <w:rStyle w:val="Hyperlink"/>
            <w:rFonts w:asciiTheme="majorBidi" w:hAnsiTheme="majorBidi" w:cstheme="majorBidi"/>
            <w:color w:val="000000" w:themeColor="text1"/>
            <w:u w:val="none"/>
          </w:rPr>
          <w:t>https://doi.org/10.1016/S0005-7967(97)00001-6</w:t>
        </w:r>
      </w:hyperlink>
    </w:p>
    <w:p w14:paraId="1C2EF175" w14:textId="77777777" w:rsidR="005C2822" w:rsidRPr="00766C2B" w:rsidRDefault="005C2822" w:rsidP="005C2822">
      <w:pPr>
        <w:widowControl w:val="0"/>
        <w:autoSpaceDE w:val="0"/>
        <w:autoSpaceDN w:val="0"/>
        <w:adjustRightInd w:val="0"/>
        <w:spacing w:line="480" w:lineRule="auto"/>
        <w:ind w:left="720" w:hanging="720"/>
        <w:rPr>
          <w:rFonts w:asciiTheme="majorBidi" w:hAnsiTheme="majorBidi" w:cstheme="majorBidi"/>
          <w:color w:val="000000" w:themeColor="text1"/>
        </w:rPr>
      </w:pPr>
      <w:r w:rsidRPr="00766C2B">
        <w:t xml:space="preserve">Rogers, T. B., Kuiper, N. A., &amp; </w:t>
      </w:r>
      <w:proofErr w:type="spellStart"/>
      <w:r w:rsidRPr="00766C2B">
        <w:t>Kirker</w:t>
      </w:r>
      <w:proofErr w:type="spellEnd"/>
      <w:r w:rsidRPr="00766C2B">
        <w:t xml:space="preserve">, W. S. (1977). Self-reference and the encoding of personal information. </w:t>
      </w:r>
      <w:r w:rsidRPr="00766C2B">
        <w:rPr>
          <w:i/>
          <w:iCs/>
        </w:rPr>
        <w:t>Journal of Personality and Social Psychology, 35</w:t>
      </w:r>
      <w:r w:rsidRPr="00766C2B">
        <w:t xml:space="preserve">(9), 677-688. </w:t>
      </w:r>
      <w:hyperlink r:id="rId38" w:tgtFrame="_blank" w:history="1">
        <w:r w:rsidRPr="00766C2B">
          <w:rPr>
            <w:rStyle w:val="Hyperlink"/>
            <w:rFonts w:asciiTheme="majorBidi" w:hAnsiTheme="majorBidi" w:cstheme="majorBidi"/>
            <w:color w:val="000000" w:themeColor="text1"/>
            <w:u w:val="none"/>
            <w:shd w:val="clear" w:color="auto" w:fill="FFFFFF"/>
          </w:rPr>
          <w:t>https://doi.org/10.1037/0022-3514.35.9.677</w:t>
        </w:r>
      </w:hyperlink>
    </w:p>
    <w:p w14:paraId="3684B8FF" w14:textId="77777777" w:rsidR="005C2822" w:rsidRPr="00766C2B" w:rsidRDefault="005C2822" w:rsidP="005C2822">
      <w:pPr>
        <w:widowControl w:val="0"/>
        <w:autoSpaceDE w:val="0"/>
        <w:autoSpaceDN w:val="0"/>
        <w:adjustRightInd w:val="0"/>
        <w:spacing w:line="480" w:lineRule="auto"/>
        <w:ind w:left="720" w:hanging="720"/>
        <w:rPr>
          <w:bCs/>
          <w:color w:val="000000"/>
        </w:rPr>
      </w:pPr>
      <w:r w:rsidRPr="00766C2B">
        <w:rPr>
          <w:bCs/>
          <w:color w:val="000000"/>
        </w:rPr>
        <w:t xml:space="preserve">Sedikides, C. (2012). Self-protection. In M. R. Leary &amp; J. P. Tangney (Eds.), </w:t>
      </w:r>
      <w:r w:rsidRPr="00766C2B">
        <w:rPr>
          <w:bCs/>
          <w:i/>
          <w:color w:val="000000"/>
        </w:rPr>
        <w:t>Handbook of self and identity</w:t>
      </w:r>
      <w:r w:rsidRPr="00766C2B">
        <w:rPr>
          <w:bCs/>
          <w:color w:val="000000"/>
        </w:rPr>
        <w:t xml:space="preserve"> (2</w:t>
      </w:r>
      <w:r w:rsidRPr="00766C2B">
        <w:rPr>
          <w:bCs/>
          <w:color w:val="000000"/>
          <w:vertAlign w:val="superscript"/>
        </w:rPr>
        <w:t>nd</w:t>
      </w:r>
      <w:r w:rsidRPr="00766C2B">
        <w:rPr>
          <w:bCs/>
          <w:color w:val="000000"/>
        </w:rPr>
        <w:t xml:space="preserve"> ed., pp. 327-353). New York, NY: Guilford Press. </w:t>
      </w:r>
    </w:p>
    <w:p w14:paraId="1CB9EED9" w14:textId="77777777" w:rsidR="005C2822" w:rsidRPr="00766C2B" w:rsidRDefault="005C2822" w:rsidP="005C2822">
      <w:pPr>
        <w:widowControl w:val="0"/>
        <w:autoSpaceDE w:val="0"/>
        <w:autoSpaceDN w:val="0"/>
        <w:adjustRightInd w:val="0"/>
        <w:spacing w:line="480" w:lineRule="auto"/>
        <w:ind w:left="720" w:hanging="720"/>
        <w:rPr>
          <w:bCs/>
          <w:color w:val="000000" w:themeColor="text1"/>
          <w:lang w:val="en-US"/>
        </w:rPr>
      </w:pPr>
      <w:r w:rsidRPr="00766C2B">
        <w:rPr>
          <w:bCs/>
          <w:color w:val="000000"/>
          <w:lang w:val="en-US"/>
        </w:rPr>
        <w:t xml:space="preserve">Sedikides, C., &amp; Green, J. D. (2000). On the self-protective nature of inconsistency/negativity management: Using the person memory paradigm to </w:t>
      </w:r>
      <w:r w:rsidRPr="00766C2B">
        <w:rPr>
          <w:bCs/>
          <w:color w:val="000000"/>
          <w:lang w:val="en-US"/>
        </w:rPr>
        <w:lastRenderedPageBreak/>
        <w:t xml:space="preserve">examine self-referent memory. </w:t>
      </w:r>
      <w:r w:rsidRPr="00766C2B">
        <w:rPr>
          <w:bCs/>
          <w:i/>
          <w:color w:val="000000"/>
          <w:lang w:val="en-US"/>
        </w:rPr>
        <w:t>Journal of Personality and Social Psychology, 79</w:t>
      </w:r>
      <w:r w:rsidRPr="00766C2B">
        <w:rPr>
          <w:bCs/>
          <w:color w:val="000000"/>
          <w:lang w:val="en-US"/>
        </w:rPr>
        <w:t>(6), 906-922. https://doi.org/10.103</w:t>
      </w:r>
      <w:r w:rsidRPr="00766C2B">
        <w:rPr>
          <w:bCs/>
          <w:color w:val="000000" w:themeColor="text1"/>
          <w:lang w:val="en-US"/>
        </w:rPr>
        <w:t>7/0022-3514.79.6.906</w:t>
      </w:r>
    </w:p>
    <w:p w14:paraId="5EDA9762" w14:textId="4E7118D2" w:rsidR="00540D84" w:rsidRPr="00766C2B" w:rsidRDefault="00540D84" w:rsidP="00540D84">
      <w:pPr>
        <w:spacing w:line="480" w:lineRule="auto"/>
        <w:ind w:left="720" w:hanging="720"/>
        <w:outlineLvl w:val="0"/>
        <w:rPr>
          <w:bCs/>
          <w:color w:val="000000"/>
        </w:rPr>
      </w:pPr>
      <w:r w:rsidRPr="00766C2B">
        <w:rPr>
          <w:bCs/>
          <w:color w:val="000000" w:themeColor="text1"/>
        </w:rPr>
        <w:t>Sedikides, C., &amp; Green, J. D. (200</w:t>
      </w:r>
      <w:r w:rsidRPr="00766C2B">
        <w:rPr>
          <w:bCs/>
          <w:color w:val="000000"/>
        </w:rPr>
        <w:t xml:space="preserve">9). Memory as a self-protective mechanism. </w:t>
      </w:r>
      <w:r w:rsidRPr="00766C2B">
        <w:rPr>
          <w:bCs/>
          <w:i/>
          <w:color w:val="000000"/>
        </w:rPr>
        <w:t>Social and Personality Psychology Compass</w:t>
      </w:r>
      <w:r w:rsidRPr="00766C2B">
        <w:rPr>
          <w:bCs/>
          <w:color w:val="000000"/>
        </w:rPr>
        <w:t xml:space="preserve">, </w:t>
      </w:r>
      <w:r w:rsidRPr="00766C2B">
        <w:rPr>
          <w:bCs/>
          <w:i/>
          <w:color w:val="000000"/>
        </w:rPr>
        <w:t>3</w:t>
      </w:r>
      <w:r w:rsidRPr="00766C2B">
        <w:rPr>
          <w:bCs/>
          <w:color w:val="000000"/>
        </w:rPr>
        <w:t xml:space="preserve">(6), 1055-1068. </w:t>
      </w:r>
      <w:r w:rsidR="00C0480E" w:rsidRPr="00766C2B">
        <w:rPr>
          <w:bCs/>
          <w:color w:val="000000"/>
        </w:rPr>
        <w:t>https://doi.org/</w:t>
      </w:r>
      <w:r w:rsidRPr="00766C2B">
        <w:rPr>
          <w:bCs/>
          <w:color w:val="000000"/>
        </w:rPr>
        <w:t>10.1111/j.1751-9004,2009.00220.x</w:t>
      </w:r>
    </w:p>
    <w:p w14:paraId="02EE814B" w14:textId="615D6CC4" w:rsidR="00540D84" w:rsidRPr="00766C2B" w:rsidRDefault="00540D84" w:rsidP="00540D84">
      <w:pPr>
        <w:widowControl w:val="0"/>
        <w:autoSpaceDE w:val="0"/>
        <w:autoSpaceDN w:val="0"/>
        <w:adjustRightInd w:val="0"/>
        <w:spacing w:line="480" w:lineRule="auto"/>
        <w:ind w:left="720" w:hanging="720"/>
      </w:pPr>
      <w:r w:rsidRPr="00766C2B">
        <w:rPr>
          <w:bCs/>
          <w:color w:val="000000"/>
          <w:lang w:val="en-US"/>
        </w:rPr>
        <w:t xml:space="preserve">Sedikides, C., Green, J. D., &amp; Pinter, B. (2004). </w:t>
      </w:r>
      <w:r w:rsidRPr="00766C2B">
        <w:rPr>
          <w:bCs/>
          <w:color w:val="000000"/>
        </w:rPr>
        <w:t xml:space="preserve">Self-protective memory. </w:t>
      </w:r>
      <w:r w:rsidRPr="00766C2B">
        <w:rPr>
          <w:bCs/>
          <w:color w:val="000000"/>
          <w:lang w:val="en-US"/>
        </w:rPr>
        <w:t xml:space="preserve">In D. R. Beike, J. M. Lampinen, &amp; D. A. Behrend (Eds.), </w:t>
      </w:r>
      <w:proofErr w:type="gramStart"/>
      <w:r w:rsidRPr="00766C2B">
        <w:rPr>
          <w:bCs/>
          <w:i/>
          <w:color w:val="000000"/>
          <w:lang w:val="en-US"/>
        </w:rPr>
        <w:t>The</w:t>
      </w:r>
      <w:proofErr w:type="gramEnd"/>
      <w:r w:rsidRPr="00766C2B">
        <w:rPr>
          <w:bCs/>
          <w:i/>
          <w:color w:val="000000"/>
          <w:lang w:val="en-US"/>
        </w:rPr>
        <w:t xml:space="preserve"> self and memory</w:t>
      </w:r>
      <w:r w:rsidRPr="00766C2B">
        <w:rPr>
          <w:bCs/>
          <w:color w:val="000000"/>
          <w:lang w:val="en-US"/>
        </w:rPr>
        <w:t xml:space="preserve"> (pp. 161-179). Philadelphia, PA: Psychology Press.</w:t>
      </w:r>
      <w:r w:rsidR="00A12E17" w:rsidRPr="00766C2B">
        <w:rPr>
          <w:bCs/>
          <w:color w:val="000000"/>
          <w:lang w:val="en-US"/>
        </w:rPr>
        <w:t xml:space="preserve"> </w:t>
      </w:r>
    </w:p>
    <w:p w14:paraId="5F0BF878" w14:textId="63D21969" w:rsidR="00A03C62" w:rsidRPr="00766C2B" w:rsidRDefault="00540D84">
      <w:pPr>
        <w:widowControl w:val="0"/>
        <w:autoSpaceDE w:val="0"/>
        <w:autoSpaceDN w:val="0"/>
        <w:adjustRightInd w:val="0"/>
        <w:spacing w:line="480" w:lineRule="auto"/>
        <w:ind w:left="720" w:hanging="720"/>
      </w:pPr>
      <w:r w:rsidRPr="00766C2B">
        <w:t xml:space="preserve">Sedikides, C., Green, J. D., Saunders, J., Skowronski J. J., &amp; Zengel, B. (2016). Mnemic neglect: Selective amnesia of one’s faults. </w:t>
      </w:r>
      <w:r w:rsidRPr="00766C2B">
        <w:rPr>
          <w:i/>
        </w:rPr>
        <w:t>European Review of Social Psychology, 27</w:t>
      </w:r>
      <w:r w:rsidRPr="00766C2B">
        <w:t xml:space="preserve">(1), 1-62. </w:t>
      </w:r>
      <w:r w:rsidR="00C0480E" w:rsidRPr="00766C2B">
        <w:t>https://doi.org/</w:t>
      </w:r>
      <w:r w:rsidRPr="00766C2B">
        <w:t>10.1080/10463283.2016.1183913</w:t>
      </w:r>
      <w:r w:rsidR="0067696B" w:rsidRPr="00766C2B">
        <w:t>.</w:t>
      </w:r>
    </w:p>
    <w:p w14:paraId="0311FD00" w14:textId="77777777" w:rsidR="005C2822" w:rsidRPr="00766C2B" w:rsidRDefault="005C2822" w:rsidP="005C2822">
      <w:pPr>
        <w:widowControl w:val="0"/>
        <w:autoSpaceDE w:val="0"/>
        <w:autoSpaceDN w:val="0"/>
        <w:adjustRightInd w:val="0"/>
        <w:spacing w:line="480" w:lineRule="auto"/>
        <w:ind w:left="720" w:hanging="720"/>
        <w:rPr>
          <w:color w:val="222222"/>
          <w:shd w:val="clear" w:color="auto" w:fill="FFFFFF"/>
          <w:lang w:val="fr-FR"/>
        </w:rPr>
      </w:pPr>
      <w:r w:rsidRPr="00766C2B">
        <w:rPr>
          <w:lang w:val="fr-FR"/>
        </w:rPr>
        <w:t xml:space="preserve">Sedikides, C., &amp; Skowronski, J. J. (2020). </w:t>
      </w:r>
      <w:r w:rsidRPr="00766C2B">
        <w:t xml:space="preserve">In human memory, good can be stronger than bad. </w:t>
      </w:r>
      <w:r w:rsidRPr="00766C2B">
        <w:rPr>
          <w:i/>
          <w:lang w:val="fr-FR"/>
        </w:rPr>
        <w:t>Current Directions in Psychological Science, 29</w:t>
      </w:r>
      <w:r w:rsidRPr="00766C2B">
        <w:rPr>
          <w:iCs/>
          <w:lang w:val="fr-FR"/>
        </w:rPr>
        <w:t xml:space="preserve">(1), 86-91. </w:t>
      </w:r>
      <w:r w:rsidRPr="00766C2B">
        <w:rPr>
          <w:lang w:val="fr-FR"/>
        </w:rPr>
        <w:t>https://doi.org/</w:t>
      </w:r>
      <w:r w:rsidRPr="00766C2B">
        <w:rPr>
          <w:rFonts w:eastAsia="ITCGaramondStd-Lt"/>
          <w:lang w:val="fr-FR" w:eastAsia="zh-CN"/>
        </w:rPr>
        <w:t>10.1177/0963721419896363</w:t>
      </w:r>
    </w:p>
    <w:p w14:paraId="569FDB20" w14:textId="77777777" w:rsidR="00FA0EB3" w:rsidRPr="00766C2B" w:rsidRDefault="00FA0EB3" w:rsidP="00FA0EB3">
      <w:pPr>
        <w:widowControl w:val="0"/>
        <w:autoSpaceDE w:val="0"/>
        <w:autoSpaceDN w:val="0"/>
        <w:adjustRightInd w:val="0"/>
        <w:spacing w:line="480" w:lineRule="auto"/>
        <w:ind w:left="720" w:hanging="720"/>
        <w:rPr>
          <w:lang w:eastAsia="zh-TW"/>
        </w:rPr>
      </w:pPr>
      <w:r w:rsidRPr="00766C2B">
        <w:rPr>
          <w:lang w:val="fr-FR"/>
        </w:rPr>
        <w:t xml:space="preserve">Shi, Y., Sedikides, C., Cai, H., Liu, Y., &amp; Yang, Z. (2017). </w:t>
      </w:r>
      <w:r w:rsidRPr="00766C2B">
        <w:t xml:space="preserve">Disowning the self: The cultural value of modesty can attenuate self-positivity. </w:t>
      </w:r>
      <w:r w:rsidRPr="00766C2B">
        <w:rPr>
          <w:i/>
        </w:rPr>
        <w:t>The Quarterly Journal of Experimental Psychology, 70</w:t>
      </w:r>
      <w:r w:rsidRPr="00766C2B">
        <w:rPr>
          <w:iCs/>
        </w:rPr>
        <w:t>(6)</w:t>
      </w:r>
      <w:r w:rsidRPr="00766C2B">
        <w:t>, 1023-1032. https://doi.org/10.1080/17470218.2015.1099711</w:t>
      </w:r>
    </w:p>
    <w:p w14:paraId="6423A949" w14:textId="77777777" w:rsidR="005C2822" w:rsidRPr="00766C2B" w:rsidRDefault="005C2822" w:rsidP="005C2822">
      <w:pPr>
        <w:widowControl w:val="0"/>
        <w:autoSpaceDE w:val="0"/>
        <w:autoSpaceDN w:val="0"/>
        <w:adjustRightInd w:val="0"/>
        <w:spacing w:line="480" w:lineRule="auto"/>
        <w:ind w:left="720" w:hanging="720"/>
        <w:rPr>
          <w:rFonts w:asciiTheme="majorBidi" w:hAnsiTheme="majorBidi" w:cstheme="majorBidi"/>
          <w:color w:val="000000" w:themeColor="text1"/>
        </w:rPr>
      </w:pPr>
      <w:r w:rsidRPr="00766C2B">
        <w:t xml:space="preserve">Symons, C. S., &amp; Johnson, B. T. (1997). The self-reference effect in memory: A meta-analysis. </w:t>
      </w:r>
      <w:r w:rsidRPr="00766C2B">
        <w:rPr>
          <w:i/>
          <w:iCs/>
        </w:rPr>
        <w:t>Psychological Bulletin, 121</w:t>
      </w:r>
      <w:r w:rsidRPr="00766C2B">
        <w:t xml:space="preserve">(3), 371-394. </w:t>
      </w:r>
      <w:hyperlink r:id="rId39" w:tgtFrame="_blank" w:history="1">
        <w:r w:rsidRPr="00766C2B">
          <w:rPr>
            <w:rStyle w:val="Hyperlink"/>
            <w:rFonts w:asciiTheme="majorBidi" w:hAnsiTheme="majorBidi" w:cstheme="majorBidi"/>
            <w:color w:val="000000" w:themeColor="text1"/>
            <w:u w:val="none"/>
            <w:shd w:val="clear" w:color="auto" w:fill="FFFFFF"/>
          </w:rPr>
          <w:t>https://doi.org/10.1037/0033-2909.121.3.371</w:t>
        </w:r>
      </w:hyperlink>
    </w:p>
    <w:p w14:paraId="7A09074F" w14:textId="769C36C8" w:rsidR="00AB6BB2" w:rsidRPr="00766C2B" w:rsidRDefault="00AB6BB2">
      <w:pPr>
        <w:widowControl w:val="0"/>
        <w:autoSpaceDE w:val="0"/>
        <w:autoSpaceDN w:val="0"/>
        <w:adjustRightInd w:val="0"/>
        <w:spacing w:line="480" w:lineRule="auto"/>
        <w:ind w:left="720" w:hanging="720"/>
        <w:rPr>
          <w:rFonts w:asciiTheme="majorBidi" w:hAnsiTheme="majorBidi" w:cstheme="majorBidi"/>
          <w:color w:val="000000" w:themeColor="text1"/>
        </w:rPr>
      </w:pPr>
      <w:r w:rsidRPr="00766C2B">
        <w:rPr>
          <w:color w:val="222222"/>
          <w:shd w:val="clear" w:color="auto" w:fill="FFFFFF"/>
        </w:rPr>
        <w:t>Weiss, D., &amp; Lang, F. R. (2012). “They” are old but “I” feel younger: Age-group dissociation as a self-protective strategy in old age. </w:t>
      </w:r>
      <w:r w:rsidRPr="00766C2B">
        <w:rPr>
          <w:i/>
          <w:iCs/>
          <w:color w:val="222222"/>
          <w:shd w:val="clear" w:color="auto" w:fill="FFFFFF"/>
        </w:rPr>
        <w:t>Psychology and Aging</w:t>
      </w:r>
      <w:r w:rsidRPr="00766C2B">
        <w:rPr>
          <w:color w:val="222222"/>
          <w:shd w:val="clear" w:color="auto" w:fill="FFFFFF"/>
        </w:rPr>
        <w:t>, </w:t>
      </w:r>
      <w:r w:rsidRPr="00766C2B">
        <w:rPr>
          <w:i/>
          <w:iCs/>
          <w:color w:val="222222"/>
          <w:shd w:val="clear" w:color="auto" w:fill="FFFFFF"/>
        </w:rPr>
        <w:t>27</w:t>
      </w:r>
      <w:r w:rsidRPr="00766C2B">
        <w:rPr>
          <w:color w:val="222222"/>
          <w:shd w:val="clear" w:color="auto" w:fill="FFFFFF"/>
        </w:rPr>
        <w:t>(1), 153-163</w:t>
      </w:r>
      <w:r w:rsidR="00C0480E" w:rsidRPr="00766C2B">
        <w:rPr>
          <w:color w:val="222222"/>
          <w:shd w:val="clear" w:color="auto" w:fill="FFFFFF"/>
        </w:rPr>
        <w:t xml:space="preserve">. </w:t>
      </w:r>
      <w:r w:rsidR="00C0480E" w:rsidRPr="00766C2B">
        <w:rPr>
          <w:rFonts w:asciiTheme="majorBidi" w:hAnsiTheme="majorBidi" w:cstheme="majorBidi"/>
          <w:color w:val="000000" w:themeColor="text1"/>
        </w:rPr>
        <w:t>https://doi.org/</w:t>
      </w:r>
      <w:r w:rsidR="00C0480E" w:rsidRPr="00766C2B">
        <w:rPr>
          <w:rFonts w:asciiTheme="majorBidi" w:hAnsiTheme="majorBidi" w:cstheme="majorBidi"/>
          <w:color w:val="000000" w:themeColor="text1"/>
          <w:shd w:val="clear" w:color="auto" w:fill="FFFFFF"/>
        </w:rPr>
        <w:t>10.1037/a0024887</w:t>
      </w:r>
    </w:p>
    <w:p w14:paraId="341367A7" w14:textId="77777777" w:rsidR="0067696B" w:rsidRPr="00766C2B" w:rsidRDefault="0067696B" w:rsidP="0067696B">
      <w:pPr>
        <w:spacing w:before="120" w:after="120" w:line="480" w:lineRule="auto"/>
        <w:ind w:left="720" w:hanging="720"/>
      </w:pPr>
      <w:r w:rsidRPr="00766C2B">
        <w:rPr>
          <w:color w:val="222222"/>
          <w:shd w:val="clear" w:color="auto" w:fill="FFFFFF"/>
        </w:rPr>
        <w:lastRenderedPageBreak/>
        <w:t>World Health Organization. (1993). </w:t>
      </w:r>
      <w:r w:rsidRPr="00766C2B">
        <w:rPr>
          <w:i/>
          <w:iCs/>
          <w:color w:val="222222"/>
          <w:shd w:val="clear" w:color="auto" w:fill="FFFFFF"/>
        </w:rPr>
        <w:t>The ICD-10 classification of mental and behavioural disorders: diagnostic criteria for research</w:t>
      </w:r>
      <w:r w:rsidRPr="00766C2B">
        <w:rPr>
          <w:color w:val="222222"/>
          <w:shd w:val="clear" w:color="auto" w:fill="FFFFFF"/>
        </w:rPr>
        <w:t> (Vol. 2). World Health Organization.</w:t>
      </w:r>
    </w:p>
    <w:p w14:paraId="4136F492" w14:textId="0E25CB48" w:rsidR="009C619B" w:rsidRPr="00766C2B" w:rsidRDefault="00540D84" w:rsidP="000936FF">
      <w:pPr>
        <w:widowControl w:val="0"/>
        <w:autoSpaceDE w:val="0"/>
        <w:autoSpaceDN w:val="0"/>
        <w:adjustRightInd w:val="0"/>
        <w:spacing w:line="480" w:lineRule="auto"/>
        <w:ind w:left="720" w:hanging="720"/>
        <w:rPr>
          <w:color w:val="222222"/>
          <w:shd w:val="clear" w:color="auto" w:fill="FFFFFF"/>
        </w:rPr>
      </w:pPr>
      <w:r w:rsidRPr="00766C2B">
        <w:rPr>
          <w:color w:val="222222"/>
          <w:shd w:val="clear" w:color="auto" w:fill="FFFFFF"/>
        </w:rPr>
        <w:t>Yesavage, J. A., Brink, T. L., Rose, T. L., Lum, O., Huang V., Adey M., &amp; Leirer V.O. (1983). Development and validation of a geriatric depression screening scale: a preliminary report. </w:t>
      </w:r>
      <w:r w:rsidRPr="00766C2B">
        <w:rPr>
          <w:i/>
          <w:iCs/>
          <w:color w:val="222222"/>
          <w:shd w:val="clear" w:color="auto" w:fill="FFFFFF"/>
        </w:rPr>
        <w:t>Journal of Psychiatric Research,</w:t>
      </w:r>
      <w:r w:rsidRPr="00766C2B">
        <w:rPr>
          <w:color w:val="222222"/>
          <w:shd w:val="clear" w:color="auto" w:fill="FFFFFF"/>
        </w:rPr>
        <w:t> </w:t>
      </w:r>
      <w:r w:rsidRPr="00766C2B">
        <w:rPr>
          <w:i/>
          <w:iCs/>
          <w:color w:val="222222"/>
          <w:shd w:val="clear" w:color="auto" w:fill="FFFFFF"/>
        </w:rPr>
        <w:t>17</w:t>
      </w:r>
      <w:r w:rsidRPr="00766C2B">
        <w:rPr>
          <w:iCs/>
          <w:color w:val="222222"/>
          <w:shd w:val="clear" w:color="auto" w:fill="FFFFFF"/>
        </w:rPr>
        <w:t>(1)</w:t>
      </w:r>
      <w:r w:rsidRPr="00766C2B">
        <w:rPr>
          <w:color w:val="222222"/>
          <w:shd w:val="clear" w:color="auto" w:fill="FFFFFF"/>
        </w:rPr>
        <w:t xml:space="preserve">, 37-49. </w:t>
      </w:r>
      <w:r w:rsidR="00C0480E" w:rsidRPr="00766C2B">
        <w:rPr>
          <w:color w:val="222222"/>
          <w:shd w:val="clear" w:color="auto" w:fill="FFFFFF"/>
        </w:rPr>
        <w:t>https://doi.org/</w:t>
      </w:r>
      <w:r w:rsidRPr="00766C2B">
        <w:rPr>
          <w:color w:val="222222"/>
          <w:shd w:val="clear" w:color="auto" w:fill="FFFFFF"/>
        </w:rPr>
        <w:t>10.1016/0022-</w:t>
      </w:r>
      <w:proofErr w:type="gramStart"/>
      <w:r w:rsidRPr="00766C2B">
        <w:rPr>
          <w:color w:val="222222"/>
          <w:shd w:val="clear" w:color="auto" w:fill="FFFFFF"/>
        </w:rPr>
        <w:t>3956(</w:t>
      </w:r>
      <w:proofErr w:type="gramEnd"/>
      <w:r w:rsidRPr="00766C2B">
        <w:rPr>
          <w:color w:val="222222"/>
          <w:shd w:val="clear" w:color="auto" w:fill="FFFFFF"/>
        </w:rPr>
        <w:t>82)90033-4</w:t>
      </w:r>
    </w:p>
    <w:p w14:paraId="1E9ECAA4" w14:textId="216446A4" w:rsidR="00766C2B" w:rsidRDefault="009C619B" w:rsidP="00D07834">
      <w:pPr>
        <w:widowControl w:val="0"/>
        <w:autoSpaceDE w:val="0"/>
        <w:autoSpaceDN w:val="0"/>
        <w:adjustRightInd w:val="0"/>
        <w:spacing w:line="480" w:lineRule="auto"/>
        <w:ind w:left="720" w:hanging="720"/>
        <w:rPr>
          <w:rFonts w:eastAsiaTheme="minorHAnsi"/>
        </w:rPr>
      </w:pPr>
      <w:r w:rsidRPr="00766C2B">
        <w:rPr>
          <w:rFonts w:eastAsiaTheme="minorHAnsi"/>
        </w:rPr>
        <w:t xml:space="preserve">Zengel, B., Wells, B. M., &amp; Skowronski, J. J. (2018). The waxing and waning of mnemic neglect. </w:t>
      </w:r>
      <w:r w:rsidRPr="00766C2B">
        <w:rPr>
          <w:rStyle w:val="Hyperlink"/>
          <w:bCs/>
          <w:i/>
          <w:color w:val="000000" w:themeColor="text1"/>
          <w:u w:val="none"/>
        </w:rPr>
        <w:t>Journal of Personality and Social Psychology,</w:t>
      </w:r>
      <w:r w:rsidRPr="00766C2B">
        <w:rPr>
          <w:rStyle w:val="Hyperlink"/>
          <w:bCs/>
          <w:color w:val="000000" w:themeColor="text1"/>
          <w:u w:val="none"/>
        </w:rPr>
        <w:t xml:space="preserve"> </w:t>
      </w:r>
      <w:r w:rsidRPr="00766C2B">
        <w:rPr>
          <w:rFonts w:eastAsiaTheme="minorHAnsi"/>
          <w:i/>
        </w:rPr>
        <w:t>114</w:t>
      </w:r>
      <w:r w:rsidRPr="00766C2B">
        <w:rPr>
          <w:rFonts w:eastAsiaTheme="minorHAnsi"/>
        </w:rPr>
        <w:t xml:space="preserve">(5), 719-734. </w:t>
      </w:r>
      <w:hyperlink r:id="rId40" w:history="1">
        <w:r w:rsidR="00766C2B" w:rsidRPr="009E3442">
          <w:rPr>
            <w:rStyle w:val="Hyperlink"/>
            <w:rFonts w:eastAsiaTheme="minorHAnsi"/>
          </w:rPr>
          <w:t>https://doi.org/10.1037/pspa0000124</w:t>
        </w:r>
      </w:hyperlink>
    </w:p>
    <w:p w14:paraId="5E628A74" w14:textId="77777777" w:rsidR="00766C2B" w:rsidRDefault="00766C2B">
      <w:pPr>
        <w:rPr>
          <w:rFonts w:eastAsiaTheme="minorHAnsi"/>
        </w:rPr>
      </w:pPr>
      <w:r>
        <w:rPr>
          <w:rFonts w:eastAsiaTheme="minorHAnsi"/>
        </w:rPr>
        <w:br w:type="page"/>
      </w:r>
    </w:p>
    <w:p w14:paraId="2927885B" w14:textId="77777777" w:rsidR="00766C2B" w:rsidRPr="00914534" w:rsidRDefault="00766C2B" w:rsidP="00766C2B">
      <w:pPr>
        <w:spacing w:line="480" w:lineRule="auto"/>
        <w:jc w:val="center"/>
        <w:rPr>
          <w:b/>
        </w:rPr>
      </w:pPr>
      <w:r w:rsidRPr="00FC25F2">
        <w:rPr>
          <w:b/>
        </w:rPr>
        <w:lastRenderedPageBreak/>
        <w:t xml:space="preserve">Table 1: Descriptive Data for </w:t>
      </w:r>
      <w:r w:rsidRPr="00BB15FC">
        <w:rPr>
          <w:b/>
        </w:rPr>
        <w:t xml:space="preserve">Participants </w:t>
      </w:r>
    </w:p>
    <w:tbl>
      <w:tblPr>
        <w:tblStyle w:val="TableGrid"/>
        <w:tblW w:w="9039" w:type="dxa"/>
        <w:tblBorders>
          <w:left w:val="none" w:sz="0" w:space="0" w:color="auto"/>
          <w:right w:val="none" w:sz="0" w:space="0" w:color="auto"/>
        </w:tblBorders>
        <w:tblLook w:val="04A0" w:firstRow="1" w:lastRow="0" w:firstColumn="1" w:lastColumn="0" w:noHBand="0" w:noVBand="1"/>
      </w:tblPr>
      <w:tblGrid>
        <w:gridCol w:w="1951"/>
        <w:gridCol w:w="1701"/>
        <w:gridCol w:w="1985"/>
        <w:gridCol w:w="1559"/>
        <w:gridCol w:w="1843"/>
      </w:tblGrid>
      <w:tr w:rsidR="00766C2B" w:rsidRPr="005641EA" w14:paraId="0DDA6869" w14:textId="77777777" w:rsidTr="00E03C61">
        <w:tc>
          <w:tcPr>
            <w:tcW w:w="1951" w:type="dxa"/>
            <w:tcBorders>
              <w:bottom w:val="single" w:sz="4" w:space="0" w:color="auto"/>
              <w:right w:val="nil"/>
            </w:tcBorders>
          </w:tcPr>
          <w:p w14:paraId="6CA6E0A0" w14:textId="77777777" w:rsidR="00766C2B" w:rsidRPr="005641EA" w:rsidRDefault="00766C2B" w:rsidP="00E03C61">
            <w:pPr>
              <w:widowControl w:val="0"/>
              <w:autoSpaceDE w:val="0"/>
              <w:autoSpaceDN w:val="0"/>
              <w:adjustRightInd w:val="0"/>
              <w:spacing w:before="120" w:after="120"/>
              <w:jc w:val="center"/>
              <w:rPr>
                <w:rFonts w:eastAsiaTheme="minorEastAsia"/>
                <w:b/>
              </w:rPr>
            </w:pPr>
          </w:p>
        </w:tc>
        <w:tc>
          <w:tcPr>
            <w:tcW w:w="3686" w:type="dxa"/>
            <w:gridSpan w:val="2"/>
            <w:tcBorders>
              <w:left w:val="nil"/>
              <w:bottom w:val="single" w:sz="4" w:space="0" w:color="auto"/>
              <w:right w:val="nil"/>
            </w:tcBorders>
          </w:tcPr>
          <w:p w14:paraId="59044499"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rPr>
                <w:b/>
              </w:rPr>
              <w:t xml:space="preserve"> Younger (Under 50)</w:t>
            </w:r>
          </w:p>
        </w:tc>
        <w:tc>
          <w:tcPr>
            <w:tcW w:w="3402" w:type="dxa"/>
            <w:gridSpan w:val="2"/>
            <w:tcBorders>
              <w:left w:val="nil"/>
              <w:bottom w:val="single" w:sz="4" w:space="0" w:color="auto"/>
            </w:tcBorders>
          </w:tcPr>
          <w:p w14:paraId="13C87FC5"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rPr>
                <w:b/>
              </w:rPr>
              <w:t>Older (over 50)</w:t>
            </w:r>
          </w:p>
        </w:tc>
      </w:tr>
      <w:tr w:rsidR="00766C2B" w:rsidRPr="005641EA" w14:paraId="1831DA5D" w14:textId="77777777" w:rsidTr="00E03C61">
        <w:tc>
          <w:tcPr>
            <w:tcW w:w="1951" w:type="dxa"/>
            <w:tcBorders>
              <w:bottom w:val="single" w:sz="4" w:space="0" w:color="auto"/>
              <w:right w:val="nil"/>
            </w:tcBorders>
          </w:tcPr>
          <w:p w14:paraId="0EE42E55" w14:textId="77777777" w:rsidR="00766C2B" w:rsidRPr="005641EA" w:rsidRDefault="00766C2B" w:rsidP="00E03C61">
            <w:pPr>
              <w:widowControl w:val="0"/>
              <w:autoSpaceDE w:val="0"/>
              <w:autoSpaceDN w:val="0"/>
              <w:adjustRightInd w:val="0"/>
              <w:spacing w:before="120" w:after="120"/>
              <w:jc w:val="center"/>
              <w:rPr>
                <w:rFonts w:eastAsiaTheme="minorEastAsia"/>
                <w:b/>
              </w:rPr>
            </w:pPr>
          </w:p>
        </w:tc>
        <w:tc>
          <w:tcPr>
            <w:tcW w:w="1701" w:type="dxa"/>
            <w:tcBorders>
              <w:left w:val="nil"/>
              <w:bottom w:val="single" w:sz="4" w:space="0" w:color="auto"/>
              <w:right w:val="nil"/>
            </w:tcBorders>
          </w:tcPr>
          <w:p w14:paraId="62D23078"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rPr>
                <w:b/>
              </w:rPr>
              <w:t>Self</w:t>
            </w:r>
            <w:r>
              <w:rPr>
                <w:b/>
              </w:rPr>
              <w:t>-</w:t>
            </w:r>
            <w:r w:rsidRPr="005641EA">
              <w:rPr>
                <w:b/>
              </w:rPr>
              <w:t>referent</w:t>
            </w:r>
            <w:r>
              <w:rPr>
                <w:b/>
              </w:rPr>
              <w:t xml:space="preserve"> </w:t>
            </w:r>
            <w:r w:rsidRPr="005641EA">
              <w:rPr>
                <w:b/>
              </w:rPr>
              <w:t>(</w:t>
            </w:r>
            <w:r w:rsidRPr="00734886">
              <w:rPr>
                <w:b/>
                <w:i/>
              </w:rPr>
              <w:t>n</w:t>
            </w:r>
            <w:r w:rsidRPr="005641EA">
              <w:rPr>
                <w:b/>
              </w:rPr>
              <w:t xml:space="preserve"> =</w:t>
            </w:r>
            <w:r>
              <w:rPr>
                <w:b/>
              </w:rPr>
              <w:t>30</w:t>
            </w:r>
            <w:r w:rsidRPr="005641EA">
              <w:rPr>
                <w:b/>
              </w:rPr>
              <w:t>)</w:t>
            </w:r>
          </w:p>
          <w:p w14:paraId="349A5146"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rPr>
                <w:b/>
              </w:rPr>
              <w:t>Mean (SD)</w:t>
            </w:r>
          </w:p>
        </w:tc>
        <w:tc>
          <w:tcPr>
            <w:tcW w:w="1985" w:type="dxa"/>
            <w:tcBorders>
              <w:left w:val="nil"/>
              <w:bottom w:val="single" w:sz="4" w:space="0" w:color="auto"/>
              <w:right w:val="nil"/>
            </w:tcBorders>
          </w:tcPr>
          <w:p w14:paraId="1F2CB091" w14:textId="77777777" w:rsidR="00766C2B" w:rsidRPr="005641EA" w:rsidRDefault="00766C2B" w:rsidP="00E03C61">
            <w:pPr>
              <w:spacing w:before="120" w:after="120"/>
              <w:jc w:val="center"/>
              <w:rPr>
                <w:rFonts w:eastAsiaTheme="majorEastAsia"/>
                <w:b/>
                <w:bCs/>
                <w:i/>
                <w:iCs/>
                <w:color w:val="4F81BD" w:themeColor="accent1"/>
              </w:rPr>
            </w:pPr>
            <w:r w:rsidRPr="005641EA">
              <w:rPr>
                <w:b/>
              </w:rPr>
              <w:t>Other</w:t>
            </w:r>
            <w:r>
              <w:rPr>
                <w:b/>
              </w:rPr>
              <w:t>-</w:t>
            </w:r>
            <w:r w:rsidRPr="005641EA">
              <w:rPr>
                <w:b/>
              </w:rPr>
              <w:t>referent (</w:t>
            </w:r>
            <w:r w:rsidRPr="005641EA">
              <w:rPr>
                <w:b/>
                <w:i/>
              </w:rPr>
              <w:t>n</w:t>
            </w:r>
            <w:r w:rsidRPr="005641EA">
              <w:rPr>
                <w:b/>
              </w:rPr>
              <w:t xml:space="preserve"> = </w:t>
            </w:r>
            <w:r>
              <w:rPr>
                <w:b/>
              </w:rPr>
              <w:t>29</w:t>
            </w:r>
            <w:r w:rsidRPr="005641EA">
              <w:rPr>
                <w:b/>
              </w:rPr>
              <w:t>)</w:t>
            </w:r>
          </w:p>
          <w:p w14:paraId="107E5EC1"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rPr>
                <w:b/>
              </w:rPr>
              <w:t>Mean (SD)</w:t>
            </w:r>
          </w:p>
        </w:tc>
        <w:tc>
          <w:tcPr>
            <w:tcW w:w="1559" w:type="dxa"/>
            <w:tcBorders>
              <w:left w:val="nil"/>
              <w:bottom w:val="single" w:sz="4" w:space="0" w:color="auto"/>
              <w:right w:val="nil"/>
            </w:tcBorders>
          </w:tcPr>
          <w:p w14:paraId="5B05CECE"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rPr>
                <w:b/>
              </w:rPr>
              <w:t>Self</w:t>
            </w:r>
            <w:r>
              <w:rPr>
                <w:b/>
              </w:rPr>
              <w:t>-</w:t>
            </w:r>
            <w:r w:rsidRPr="005641EA">
              <w:rPr>
                <w:b/>
              </w:rPr>
              <w:t>referent</w:t>
            </w:r>
            <w:r>
              <w:rPr>
                <w:b/>
              </w:rPr>
              <w:t xml:space="preserve"> </w:t>
            </w:r>
            <w:r w:rsidRPr="005641EA">
              <w:rPr>
                <w:b/>
              </w:rPr>
              <w:t>(</w:t>
            </w:r>
            <w:r w:rsidRPr="005641EA">
              <w:rPr>
                <w:b/>
                <w:i/>
              </w:rPr>
              <w:t>n</w:t>
            </w:r>
            <w:r w:rsidRPr="005641EA">
              <w:rPr>
                <w:b/>
              </w:rPr>
              <w:t xml:space="preserve"> = </w:t>
            </w:r>
            <w:r>
              <w:rPr>
                <w:b/>
              </w:rPr>
              <w:t>22</w:t>
            </w:r>
            <w:r w:rsidRPr="005641EA">
              <w:rPr>
                <w:b/>
              </w:rPr>
              <w:t>)</w:t>
            </w:r>
          </w:p>
          <w:p w14:paraId="08DB93A0"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rPr>
                <w:b/>
              </w:rPr>
              <w:t>Mean (SD)</w:t>
            </w:r>
          </w:p>
        </w:tc>
        <w:tc>
          <w:tcPr>
            <w:tcW w:w="1843" w:type="dxa"/>
            <w:tcBorders>
              <w:left w:val="nil"/>
              <w:bottom w:val="single" w:sz="4" w:space="0" w:color="auto"/>
              <w:right w:val="nil"/>
            </w:tcBorders>
          </w:tcPr>
          <w:p w14:paraId="6ABB0BFB" w14:textId="77777777" w:rsidR="00766C2B" w:rsidRPr="005641EA" w:rsidRDefault="00766C2B" w:rsidP="00E03C61">
            <w:pPr>
              <w:spacing w:before="120" w:after="120"/>
              <w:jc w:val="center"/>
              <w:rPr>
                <w:rFonts w:eastAsiaTheme="majorEastAsia"/>
                <w:b/>
                <w:bCs/>
                <w:i/>
                <w:iCs/>
                <w:color w:val="4F81BD" w:themeColor="accent1"/>
              </w:rPr>
            </w:pPr>
            <w:r w:rsidRPr="005641EA">
              <w:rPr>
                <w:b/>
              </w:rPr>
              <w:t>Other</w:t>
            </w:r>
            <w:r>
              <w:rPr>
                <w:b/>
              </w:rPr>
              <w:t>-</w:t>
            </w:r>
            <w:r w:rsidRPr="005641EA">
              <w:rPr>
                <w:b/>
              </w:rPr>
              <w:t>referent</w:t>
            </w:r>
            <w:r>
              <w:rPr>
                <w:b/>
              </w:rPr>
              <w:t xml:space="preserve"> </w:t>
            </w:r>
            <w:r w:rsidRPr="005641EA">
              <w:rPr>
                <w:b/>
              </w:rPr>
              <w:t>(</w:t>
            </w:r>
            <w:r w:rsidRPr="005641EA">
              <w:rPr>
                <w:b/>
                <w:i/>
              </w:rPr>
              <w:t>n</w:t>
            </w:r>
            <w:r w:rsidRPr="005641EA">
              <w:rPr>
                <w:b/>
              </w:rPr>
              <w:t xml:space="preserve"> = </w:t>
            </w:r>
            <w:r>
              <w:rPr>
                <w:b/>
              </w:rPr>
              <w:t>22)</w:t>
            </w:r>
          </w:p>
          <w:p w14:paraId="24C7987E"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rPr>
                <w:b/>
              </w:rPr>
              <w:t>Mean (SD)</w:t>
            </w:r>
          </w:p>
        </w:tc>
      </w:tr>
      <w:tr w:rsidR="00766C2B" w:rsidRPr="005641EA" w14:paraId="520814FC" w14:textId="77777777" w:rsidTr="00E03C61">
        <w:tc>
          <w:tcPr>
            <w:tcW w:w="1951" w:type="dxa"/>
            <w:tcBorders>
              <w:top w:val="nil"/>
              <w:left w:val="nil"/>
              <w:bottom w:val="nil"/>
              <w:right w:val="nil"/>
            </w:tcBorders>
          </w:tcPr>
          <w:p w14:paraId="4B92EB4A" w14:textId="77777777" w:rsidR="00766C2B" w:rsidRPr="005641EA" w:rsidRDefault="00766C2B" w:rsidP="00E03C61">
            <w:pPr>
              <w:widowControl w:val="0"/>
              <w:autoSpaceDE w:val="0"/>
              <w:autoSpaceDN w:val="0"/>
              <w:adjustRightInd w:val="0"/>
              <w:spacing w:before="120" w:after="120"/>
              <w:rPr>
                <w:rFonts w:eastAsiaTheme="majorEastAsia"/>
                <w:b/>
                <w:bCs/>
                <w:i/>
                <w:iCs/>
                <w:color w:val="4F81BD" w:themeColor="accent1"/>
              </w:rPr>
            </w:pPr>
            <w:r w:rsidRPr="005641EA">
              <w:rPr>
                <w:b/>
              </w:rPr>
              <w:t>Gender</w:t>
            </w:r>
          </w:p>
          <w:p w14:paraId="5E5956FD" w14:textId="77777777" w:rsidR="00766C2B" w:rsidRPr="006741AE" w:rsidRDefault="00766C2B" w:rsidP="00E03C61">
            <w:pPr>
              <w:widowControl w:val="0"/>
              <w:autoSpaceDE w:val="0"/>
              <w:autoSpaceDN w:val="0"/>
              <w:adjustRightInd w:val="0"/>
              <w:spacing w:before="120" w:after="120"/>
              <w:rPr>
                <w:rFonts w:eastAsiaTheme="minorEastAsia"/>
                <w:b/>
                <w:bCs/>
                <w:i/>
                <w:iCs/>
                <w:color w:val="000000" w:themeColor="text1"/>
              </w:rPr>
            </w:pPr>
            <w:r w:rsidRPr="006741AE">
              <w:rPr>
                <w:rFonts w:eastAsiaTheme="minorEastAsia"/>
              </w:rPr>
              <w:t>Men</w:t>
            </w:r>
          </w:p>
          <w:p w14:paraId="246B1156" w14:textId="77777777" w:rsidR="00766C2B" w:rsidRPr="006741AE" w:rsidRDefault="00766C2B" w:rsidP="00E03C61">
            <w:pPr>
              <w:widowControl w:val="0"/>
              <w:autoSpaceDE w:val="0"/>
              <w:autoSpaceDN w:val="0"/>
              <w:adjustRightInd w:val="0"/>
              <w:spacing w:before="120" w:after="120"/>
              <w:rPr>
                <w:b/>
              </w:rPr>
            </w:pPr>
            <w:r w:rsidRPr="006741AE">
              <w:t>Women</w:t>
            </w:r>
          </w:p>
        </w:tc>
        <w:tc>
          <w:tcPr>
            <w:tcW w:w="1701" w:type="dxa"/>
            <w:tcBorders>
              <w:top w:val="nil"/>
              <w:left w:val="nil"/>
              <w:bottom w:val="nil"/>
              <w:right w:val="nil"/>
            </w:tcBorders>
          </w:tcPr>
          <w:p w14:paraId="3A84D986" w14:textId="77777777" w:rsidR="00766C2B" w:rsidRPr="00A7085A" w:rsidRDefault="00766C2B" w:rsidP="00E03C61">
            <w:pPr>
              <w:widowControl w:val="0"/>
              <w:autoSpaceDE w:val="0"/>
              <w:autoSpaceDN w:val="0"/>
              <w:adjustRightInd w:val="0"/>
              <w:spacing w:before="120" w:after="120"/>
              <w:jc w:val="center"/>
              <w:rPr>
                <w:rFonts w:eastAsiaTheme="minorEastAsia"/>
                <w:color w:val="000000" w:themeColor="text1"/>
              </w:rPr>
            </w:pPr>
          </w:p>
          <w:p w14:paraId="1599B5E2" w14:textId="77777777" w:rsidR="00766C2B" w:rsidRPr="00A7085A" w:rsidRDefault="00766C2B" w:rsidP="00E03C61">
            <w:pPr>
              <w:widowControl w:val="0"/>
              <w:autoSpaceDE w:val="0"/>
              <w:autoSpaceDN w:val="0"/>
              <w:adjustRightInd w:val="0"/>
              <w:spacing w:before="120" w:after="120"/>
              <w:jc w:val="center"/>
              <w:rPr>
                <w:rFonts w:eastAsiaTheme="majorEastAsia"/>
                <w:color w:val="000000" w:themeColor="text1"/>
              </w:rPr>
            </w:pPr>
            <w:r w:rsidRPr="00A7085A">
              <w:rPr>
                <w:color w:val="000000" w:themeColor="text1"/>
              </w:rPr>
              <w:t>9</w:t>
            </w:r>
          </w:p>
          <w:p w14:paraId="44E36E87" w14:textId="77777777" w:rsidR="00766C2B" w:rsidRPr="00A7085A" w:rsidRDefault="00766C2B" w:rsidP="00E03C61">
            <w:pPr>
              <w:widowControl w:val="0"/>
              <w:autoSpaceDE w:val="0"/>
              <w:autoSpaceDN w:val="0"/>
              <w:adjustRightInd w:val="0"/>
              <w:spacing w:before="120" w:after="120"/>
              <w:jc w:val="center"/>
              <w:rPr>
                <w:color w:val="000000" w:themeColor="text1"/>
              </w:rPr>
            </w:pPr>
            <w:r w:rsidRPr="00A7085A">
              <w:rPr>
                <w:color w:val="000000" w:themeColor="text1"/>
              </w:rPr>
              <w:t>21</w:t>
            </w:r>
          </w:p>
        </w:tc>
        <w:tc>
          <w:tcPr>
            <w:tcW w:w="1985" w:type="dxa"/>
            <w:tcBorders>
              <w:top w:val="nil"/>
              <w:left w:val="nil"/>
              <w:bottom w:val="nil"/>
              <w:right w:val="nil"/>
            </w:tcBorders>
          </w:tcPr>
          <w:p w14:paraId="6413F932" w14:textId="77777777" w:rsidR="00766C2B" w:rsidRPr="00A7085A" w:rsidRDefault="00766C2B" w:rsidP="00E03C61">
            <w:pPr>
              <w:widowControl w:val="0"/>
              <w:autoSpaceDE w:val="0"/>
              <w:autoSpaceDN w:val="0"/>
              <w:adjustRightInd w:val="0"/>
              <w:spacing w:before="120" w:after="120"/>
              <w:jc w:val="center"/>
              <w:rPr>
                <w:rFonts w:eastAsiaTheme="minorEastAsia"/>
                <w:color w:val="000000" w:themeColor="text1"/>
              </w:rPr>
            </w:pPr>
          </w:p>
          <w:p w14:paraId="6D4BF04B" w14:textId="77777777" w:rsidR="00766C2B" w:rsidRPr="00A7085A" w:rsidRDefault="00766C2B" w:rsidP="00E03C61">
            <w:pPr>
              <w:widowControl w:val="0"/>
              <w:autoSpaceDE w:val="0"/>
              <w:autoSpaceDN w:val="0"/>
              <w:adjustRightInd w:val="0"/>
              <w:spacing w:before="120" w:after="120"/>
              <w:jc w:val="center"/>
              <w:rPr>
                <w:rFonts w:eastAsiaTheme="majorEastAsia"/>
                <w:color w:val="000000" w:themeColor="text1"/>
              </w:rPr>
            </w:pPr>
            <w:r w:rsidRPr="00A7085A">
              <w:rPr>
                <w:rFonts w:eastAsiaTheme="majorEastAsia"/>
                <w:color w:val="000000" w:themeColor="text1"/>
              </w:rPr>
              <w:t>7</w:t>
            </w:r>
          </w:p>
          <w:p w14:paraId="154E5420" w14:textId="77777777" w:rsidR="00766C2B" w:rsidRPr="00A7085A" w:rsidRDefault="00766C2B" w:rsidP="00E03C61">
            <w:pPr>
              <w:widowControl w:val="0"/>
              <w:autoSpaceDE w:val="0"/>
              <w:autoSpaceDN w:val="0"/>
              <w:adjustRightInd w:val="0"/>
              <w:spacing w:before="120" w:after="120"/>
              <w:jc w:val="center"/>
              <w:rPr>
                <w:color w:val="000000" w:themeColor="text1"/>
              </w:rPr>
            </w:pPr>
            <w:r w:rsidRPr="00A7085A">
              <w:rPr>
                <w:color w:val="000000" w:themeColor="text1"/>
              </w:rPr>
              <w:t>22</w:t>
            </w:r>
          </w:p>
        </w:tc>
        <w:tc>
          <w:tcPr>
            <w:tcW w:w="1559" w:type="dxa"/>
            <w:tcBorders>
              <w:top w:val="nil"/>
              <w:left w:val="nil"/>
              <w:bottom w:val="nil"/>
              <w:right w:val="nil"/>
            </w:tcBorders>
          </w:tcPr>
          <w:p w14:paraId="78FE123C" w14:textId="77777777" w:rsidR="00766C2B" w:rsidRPr="00A7085A" w:rsidRDefault="00766C2B" w:rsidP="00E03C61">
            <w:pPr>
              <w:widowControl w:val="0"/>
              <w:autoSpaceDE w:val="0"/>
              <w:autoSpaceDN w:val="0"/>
              <w:adjustRightInd w:val="0"/>
              <w:spacing w:before="120" w:after="120"/>
              <w:jc w:val="center"/>
              <w:rPr>
                <w:rFonts w:eastAsiaTheme="minorEastAsia"/>
                <w:color w:val="000000" w:themeColor="text1"/>
              </w:rPr>
            </w:pPr>
          </w:p>
          <w:p w14:paraId="460E73FE" w14:textId="77777777" w:rsidR="00766C2B" w:rsidRPr="00A7085A" w:rsidRDefault="00766C2B" w:rsidP="00E03C61">
            <w:pPr>
              <w:widowControl w:val="0"/>
              <w:autoSpaceDE w:val="0"/>
              <w:autoSpaceDN w:val="0"/>
              <w:adjustRightInd w:val="0"/>
              <w:spacing w:before="120" w:after="120"/>
              <w:jc w:val="center"/>
              <w:rPr>
                <w:rFonts w:eastAsiaTheme="majorEastAsia"/>
                <w:color w:val="000000" w:themeColor="text1"/>
              </w:rPr>
            </w:pPr>
            <w:r w:rsidRPr="00A7085A">
              <w:rPr>
                <w:color w:val="000000" w:themeColor="text1"/>
              </w:rPr>
              <w:t xml:space="preserve"> </w:t>
            </w:r>
            <w:r>
              <w:rPr>
                <w:color w:val="000000" w:themeColor="text1"/>
              </w:rPr>
              <w:t>6</w:t>
            </w:r>
          </w:p>
          <w:p w14:paraId="3384BC34" w14:textId="77777777" w:rsidR="00766C2B" w:rsidRPr="00A7085A" w:rsidRDefault="00766C2B" w:rsidP="00E03C61">
            <w:pPr>
              <w:widowControl w:val="0"/>
              <w:autoSpaceDE w:val="0"/>
              <w:autoSpaceDN w:val="0"/>
              <w:adjustRightInd w:val="0"/>
              <w:spacing w:before="120" w:after="120"/>
              <w:jc w:val="center"/>
              <w:rPr>
                <w:color w:val="000000" w:themeColor="text1"/>
              </w:rPr>
            </w:pPr>
            <w:r w:rsidRPr="00A7085A">
              <w:rPr>
                <w:color w:val="000000" w:themeColor="text1"/>
              </w:rPr>
              <w:t>16</w:t>
            </w:r>
          </w:p>
        </w:tc>
        <w:tc>
          <w:tcPr>
            <w:tcW w:w="1843" w:type="dxa"/>
            <w:tcBorders>
              <w:top w:val="nil"/>
              <w:left w:val="nil"/>
              <w:bottom w:val="nil"/>
            </w:tcBorders>
          </w:tcPr>
          <w:p w14:paraId="0634E412" w14:textId="77777777" w:rsidR="00766C2B" w:rsidRPr="00A7085A" w:rsidRDefault="00766C2B" w:rsidP="00E03C61">
            <w:pPr>
              <w:widowControl w:val="0"/>
              <w:autoSpaceDE w:val="0"/>
              <w:autoSpaceDN w:val="0"/>
              <w:adjustRightInd w:val="0"/>
              <w:spacing w:before="120" w:after="120"/>
              <w:jc w:val="center"/>
              <w:rPr>
                <w:rFonts w:eastAsiaTheme="minorEastAsia"/>
                <w:color w:val="000000" w:themeColor="text1"/>
              </w:rPr>
            </w:pPr>
          </w:p>
          <w:p w14:paraId="361E3D76" w14:textId="77777777" w:rsidR="00766C2B" w:rsidRPr="00A7085A" w:rsidRDefault="00766C2B" w:rsidP="00E03C61">
            <w:pPr>
              <w:widowControl w:val="0"/>
              <w:autoSpaceDE w:val="0"/>
              <w:autoSpaceDN w:val="0"/>
              <w:adjustRightInd w:val="0"/>
              <w:spacing w:before="120" w:after="120"/>
              <w:jc w:val="center"/>
              <w:rPr>
                <w:rFonts w:eastAsiaTheme="majorEastAsia"/>
                <w:color w:val="000000" w:themeColor="text1"/>
              </w:rPr>
            </w:pPr>
            <w:r w:rsidRPr="00A7085A">
              <w:rPr>
                <w:color w:val="000000" w:themeColor="text1"/>
              </w:rPr>
              <w:t xml:space="preserve"> 6</w:t>
            </w:r>
          </w:p>
          <w:p w14:paraId="4128B72D" w14:textId="77777777" w:rsidR="00766C2B" w:rsidRPr="00A7085A" w:rsidRDefault="00766C2B" w:rsidP="00E03C61">
            <w:pPr>
              <w:widowControl w:val="0"/>
              <w:autoSpaceDE w:val="0"/>
              <w:autoSpaceDN w:val="0"/>
              <w:adjustRightInd w:val="0"/>
              <w:spacing w:before="120" w:after="120"/>
              <w:jc w:val="center"/>
              <w:rPr>
                <w:color w:val="000000" w:themeColor="text1"/>
              </w:rPr>
            </w:pPr>
            <w:r w:rsidRPr="00A7085A">
              <w:rPr>
                <w:color w:val="000000" w:themeColor="text1"/>
              </w:rPr>
              <w:t>1</w:t>
            </w:r>
            <w:r>
              <w:rPr>
                <w:color w:val="000000" w:themeColor="text1"/>
              </w:rPr>
              <w:t>6</w:t>
            </w:r>
          </w:p>
        </w:tc>
      </w:tr>
      <w:tr w:rsidR="00766C2B" w:rsidRPr="005641EA" w14:paraId="1CC6E906" w14:textId="77777777" w:rsidTr="00E03C61">
        <w:tc>
          <w:tcPr>
            <w:tcW w:w="1951" w:type="dxa"/>
            <w:tcBorders>
              <w:top w:val="nil"/>
              <w:left w:val="nil"/>
              <w:bottom w:val="nil"/>
              <w:right w:val="nil"/>
            </w:tcBorders>
          </w:tcPr>
          <w:p w14:paraId="1B19E702" w14:textId="77777777" w:rsidR="00766C2B" w:rsidRPr="005641EA" w:rsidRDefault="00766C2B" w:rsidP="00E03C61">
            <w:pPr>
              <w:widowControl w:val="0"/>
              <w:autoSpaceDE w:val="0"/>
              <w:autoSpaceDN w:val="0"/>
              <w:adjustRightInd w:val="0"/>
              <w:spacing w:before="120" w:after="120"/>
              <w:rPr>
                <w:rFonts w:eastAsiaTheme="majorEastAsia"/>
                <w:b/>
                <w:bCs/>
                <w:i/>
                <w:iCs/>
                <w:color w:val="4F81BD" w:themeColor="accent1"/>
              </w:rPr>
            </w:pPr>
            <w:r w:rsidRPr="005641EA">
              <w:rPr>
                <w:b/>
              </w:rPr>
              <w:t>Age</w:t>
            </w:r>
          </w:p>
        </w:tc>
        <w:tc>
          <w:tcPr>
            <w:tcW w:w="1701" w:type="dxa"/>
            <w:tcBorders>
              <w:top w:val="nil"/>
              <w:left w:val="nil"/>
              <w:bottom w:val="nil"/>
              <w:right w:val="nil"/>
            </w:tcBorders>
          </w:tcPr>
          <w:p w14:paraId="4BBFFAF0"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 xml:space="preserve"> </w:t>
            </w:r>
            <w:r>
              <w:t>26</w:t>
            </w:r>
            <w:r w:rsidRPr="005641EA">
              <w:t>.</w:t>
            </w:r>
            <w:r>
              <w:t>10</w:t>
            </w:r>
          </w:p>
          <w:p w14:paraId="1F0AA068"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w:t>
            </w:r>
            <w:r>
              <w:t>9.25</w:t>
            </w:r>
            <w:r w:rsidRPr="005641EA">
              <w:t>)</w:t>
            </w:r>
          </w:p>
        </w:tc>
        <w:tc>
          <w:tcPr>
            <w:tcW w:w="1985" w:type="dxa"/>
            <w:tcBorders>
              <w:top w:val="nil"/>
              <w:left w:val="nil"/>
              <w:bottom w:val="nil"/>
              <w:right w:val="nil"/>
            </w:tcBorders>
          </w:tcPr>
          <w:p w14:paraId="75B879BD"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 xml:space="preserve"> </w:t>
            </w:r>
            <w:r>
              <w:t>25</w:t>
            </w:r>
            <w:r w:rsidRPr="005641EA">
              <w:t>.</w:t>
            </w:r>
            <w:r>
              <w:t>52</w:t>
            </w:r>
          </w:p>
          <w:p w14:paraId="41233E32"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w:t>
            </w:r>
            <w:r>
              <w:t>9</w:t>
            </w:r>
            <w:r w:rsidRPr="005641EA">
              <w:t>.</w:t>
            </w:r>
            <w:r>
              <w:t>51</w:t>
            </w:r>
            <w:r w:rsidRPr="005641EA">
              <w:t>)</w:t>
            </w:r>
          </w:p>
        </w:tc>
        <w:tc>
          <w:tcPr>
            <w:tcW w:w="1559" w:type="dxa"/>
            <w:tcBorders>
              <w:top w:val="nil"/>
              <w:left w:val="nil"/>
              <w:bottom w:val="nil"/>
              <w:right w:val="nil"/>
            </w:tcBorders>
          </w:tcPr>
          <w:p w14:paraId="0015EBCB"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 xml:space="preserve"> 64.23</w:t>
            </w:r>
          </w:p>
          <w:p w14:paraId="6403863D"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(8.54)</w:t>
            </w:r>
          </w:p>
        </w:tc>
        <w:tc>
          <w:tcPr>
            <w:tcW w:w="1843" w:type="dxa"/>
            <w:tcBorders>
              <w:top w:val="nil"/>
              <w:left w:val="nil"/>
              <w:bottom w:val="nil"/>
            </w:tcBorders>
          </w:tcPr>
          <w:p w14:paraId="7641B48A"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 xml:space="preserve"> 62.10</w:t>
            </w:r>
          </w:p>
          <w:p w14:paraId="51B80C91"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(8.52)</w:t>
            </w:r>
          </w:p>
        </w:tc>
      </w:tr>
      <w:tr w:rsidR="00766C2B" w:rsidRPr="005641EA" w14:paraId="2340BB59" w14:textId="77777777" w:rsidTr="00E03C61">
        <w:tc>
          <w:tcPr>
            <w:tcW w:w="1951" w:type="dxa"/>
            <w:tcBorders>
              <w:top w:val="nil"/>
              <w:left w:val="nil"/>
              <w:bottom w:val="nil"/>
              <w:right w:val="nil"/>
            </w:tcBorders>
          </w:tcPr>
          <w:p w14:paraId="15E6568F" w14:textId="77777777" w:rsidR="00766C2B" w:rsidRPr="005641EA" w:rsidRDefault="00766C2B" w:rsidP="00E03C61">
            <w:pPr>
              <w:widowControl w:val="0"/>
              <w:autoSpaceDE w:val="0"/>
              <w:autoSpaceDN w:val="0"/>
              <w:adjustRightInd w:val="0"/>
              <w:spacing w:before="120" w:after="120"/>
              <w:rPr>
                <w:rFonts w:eastAsiaTheme="majorEastAsia"/>
                <w:b/>
                <w:bCs/>
                <w:i/>
                <w:iCs/>
                <w:color w:val="4F81BD" w:themeColor="accent1"/>
              </w:rPr>
            </w:pPr>
            <w:r w:rsidRPr="005641EA">
              <w:rPr>
                <w:b/>
              </w:rPr>
              <w:t>Cognitive status (MoCA)</w:t>
            </w:r>
          </w:p>
        </w:tc>
        <w:tc>
          <w:tcPr>
            <w:tcW w:w="1701" w:type="dxa"/>
            <w:tcBorders>
              <w:top w:val="nil"/>
              <w:left w:val="nil"/>
              <w:bottom w:val="nil"/>
              <w:right w:val="nil"/>
            </w:tcBorders>
          </w:tcPr>
          <w:p w14:paraId="40937B73"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 xml:space="preserve"> 28.2</w:t>
            </w:r>
            <w:r>
              <w:t>0</w:t>
            </w:r>
          </w:p>
          <w:p w14:paraId="74F3B9E6"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(1.3</w:t>
            </w:r>
            <w:r>
              <w:t>0</w:t>
            </w:r>
            <w:r w:rsidRPr="005641EA">
              <w:t>)</w:t>
            </w:r>
          </w:p>
        </w:tc>
        <w:tc>
          <w:tcPr>
            <w:tcW w:w="1985" w:type="dxa"/>
            <w:tcBorders>
              <w:top w:val="nil"/>
              <w:left w:val="nil"/>
              <w:bottom w:val="nil"/>
              <w:right w:val="nil"/>
            </w:tcBorders>
          </w:tcPr>
          <w:p w14:paraId="452FA590"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 xml:space="preserve"> 2</w:t>
            </w:r>
            <w:r>
              <w:t>8.50</w:t>
            </w:r>
            <w:r w:rsidRPr="005641EA">
              <w:t xml:space="preserve"> </w:t>
            </w:r>
          </w:p>
          <w:p w14:paraId="4FEF6CA3"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w:t>
            </w:r>
            <w:r>
              <w:t>1.11</w:t>
            </w:r>
            <w:r w:rsidRPr="005641EA">
              <w:t>)</w:t>
            </w:r>
            <w:r>
              <w:t xml:space="preserve"> *</w:t>
            </w:r>
          </w:p>
        </w:tc>
        <w:tc>
          <w:tcPr>
            <w:tcW w:w="1559" w:type="dxa"/>
            <w:tcBorders>
              <w:top w:val="nil"/>
              <w:left w:val="nil"/>
              <w:bottom w:val="nil"/>
              <w:right w:val="nil"/>
            </w:tcBorders>
          </w:tcPr>
          <w:p w14:paraId="2F279590"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 xml:space="preserve"> 28.00</w:t>
            </w:r>
          </w:p>
          <w:p w14:paraId="1CA181D1"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(1.57)</w:t>
            </w:r>
          </w:p>
        </w:tc>
        <w:tc>
          <w:tcPr>
            <w:tcW w:w="1843" w:type="dxa"/>
            <w:tcBorders>
              <w:top w:val="nil"/>
              <w:left w:val="nil"/>
              <w:bottom w:val="nil"/>
            </w:tcBorders>
          </w:tcPr>
          <w:p w14:paraId="7AFDF3DB"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 xml:space="preserve"> 28.32</w:t>
            </w:r>
          </w:p>
          <w:p w14:paraId="7B811CF4"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(1.46)</w:t>
            </w:r>
          </w:p>
        </w:tc>
      </w:tr>
      <w:tr w:rsidR="00766C2B" w:rsidRPr="005641EA" w14:paraId="618A9FDB" w14:textId="77777777" w:rsidTr="00E03C61">
        <w:tc>
          <w:tcPr>
            <w:tcW w:w="1951" w:type="dxa"/>
            <w:tcBorders>
              <w:top w:val="nil"/>
              <w:left w:val="nil"/>
              <w:bottom w:val="nil"/>
              <w:right w:val="nil"/>
            </w:tcBorders>
          </w:tcPr>
          <w:p w14:paraId="055FFECE" w14:textId="77777777" w:rsidR="00766C2B" w:rsidRPr="005641EA" w:rsidRDefault="00766C2B" w:rsidP="00E03C61">
            <w:pPr>
              <w:widowControl w:val="0"/>
              <w:autoSpaceDE w:val="0"/>
              <w:autoSpaceDN w:val="0"/>
              <w:adjustRightInd w:val="0"/>
              <w:spacing w:before="120" w:after="120"/>
              <w:rPr>
                <w:rFonts w:eastAsiaTheme="minorEastAsia"/>
                <w:b/>
                <w:bCs/>
                <w:i/>
                <w:iCs/>
                <w:color w:val="404040" w:themeColor="text1" w:themeTint="BF"/>
              </w:rPr>
            </w:pPr>
            <w:r w:rsidRPr="005641EA">
              <w:rPr>
                <w:b/>
              </w:rPr>
              <w:t>Anxiety (GAI)</w:t>
            </w:r>
          </w:p>
        </w:tc>
        <w:tc>
          <w:tcPr>
            <w:tcW w:w="1701" w:type="dxa"/>
            <w:tcBorders>
              <w:top w:val="nil"/>
              <w:left w:val="nil"/>
              <w:bottom w:val="nil"/>
              <w:right w:val="nil"/>
            </w:tcBorders>
          </w:tcPr>
          <w:p w14:paraId="4EBEE486"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 xml:space="preserve"> </w:t>
            </w:r>
            <w:r>
              <w:t>4</w:t>
            </w:r>
            <w:r w:rsidRPr="005641EA">
              <w:t>.</w:t>
            </w:r>
            <w:r>
              <w:t>13</w:t>
            </w:r>
          </w:p>
          <w:p w14:paraId="0C51D1A8"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(3.</w:t>
            </w:r>
            <w:r>
              <w:t>71</w:t>
            </w:r>
            <w:r w:rsidRPr="005641EA">
              <w:t>)</w:t>
            </w:r>
          </w:p>
        </w:tc>
        <w:tc>
          <w:tcPr>
            <w:tcW w:w="1985" w:type="dxa"/>
            <w:tcBorders>
              <w:top w:val="nil"/>
              <w:left w:val="nil"/>
              <w:bottom w:val="nil"/>
              <w:right w:val="nil"/>
            </w:tcBorders>
          </w:tcPr>
          <w:p w14:paraId="39E4DFDD"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 xml:space="preserve"> </w:t>
            </w:r>
            <w:r>
              <w:t>4</w:t>
            </w:r>
            <w:r w:rsidRPr="005641EA">
              <w:t>.</w:t>
            </w:r>
            <w:r>
              <w:t>17</w:t>
            </w:r>
          </w:p>
          <w:p w14:paraId="1C6D0637"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w:t>
            </w:r>
            <w:r>
              <w:t>4</w:t>
            </w:r>
            <w:r w:rsidRPr="005641EA">
              <w:t>.</w:t>
            </w:r>
            <w:r>
              <w:t>13</w:t>
            </w:r>
            <w:r w:rsidRPr="005641EA">
              <w:t>)</w:t>
            </w:r>
          </w:p>
        </w:tc>
        <w:tc>
          <w:tcPr>
            <w:tcW w:w="1559" w:type="dxa"/>
            <w:tcBorders>
              <w:top w:val="nil"/>
              <w:left w:val="nil"/>
              <w:bottom w:val="nil"/>
              <w:right w:val="nil"/>
            </w:tcBorders>
          </w:tcPr>
          <w:p w14:paraId="1D943929"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 xml:space="preserve"> 2.32</w:t>
            </w:r>
          </w:p>
          <w:p w14:paraId="5A6190D1"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(3.01)</w:t>
            </w:r>
          </w:p>
        </w:tc>
        <w:tc>
          <w:tcPr>
            <w:tcW w:w="1843" w:type="dxa"/>
            <w:tcBorders>
              <w:top w:val="nil"/>
              <w:left w:val="nil"/>
              <w:bottom w:val="nil"/>
            </w:tcBorders>
          </w:tcPr>
          <w:p w14:paraId="6BFD813B"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 xml:space="preserve"> 1.95</w:t>
            </w:r>
          </w:p>
          <w:p w14:paraId="7753B66E"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(2.46)</w:t>
            </w:r>
          </w:p>
        </w:tc>
      </w:tr>
      <w:tr w:rsidR="00766C2B" w:rsidRPr="005641EA" w14:paraId="4B753D7C" w14:textId="77777777" w:rsidTr="00E03C61">
        <w:tc>
          <w:tcPr>
            <w:tcW w:w="1951" w:type="dxa"/>
            <w:tcBorders>
              <w:top w:val="nil"/>
              <w:left w:val="nil"/>
              <w:bottom w:val="single" w:sz="4" w:space="0" w:color="auto"/>
              <w:right w:val="nil"/>
            </w:tcBorders>
          </w:tcPr>
          <w:p w14:paraId="1E23852E" w14:textId="77777777" w:rsidR="00766C2B" w:rsidRPr="005641EA" w:rsidRDefault="00766C2B" w:rsidP="00E03C61">
            <w:pPr>
              <w:widowControl w:val="0"/>
              <w:autoSpaceDE w:val="0"/>
              <w:autoSpaceDN w:val="0"/>
              <w:adjustRightInd w:val="0"/>
              <w:spacing w:before="120" w:after="120"/>
              <w:rPr>
                <w:rFonts w:eastAsiaTheme="majorEastAsia"/>
                <w:b/>
                <w:bCs/>
                <w:i/>
                <w:iCs/>
                <w:color w:val="4F81BD" w:themeColor="accent1"/>
              </w:rPr>
            </w:pPr>
            <w:r w:rsidRPr="005641EA">
              <w:rPr>
                <w:b/>
              </w:rPr>
              <w:t>Depression (GDS)</w:t>
            </w:r>
          </w:p>
        </w:tc>
        <w:tc>
          <w:tcPr>
            <w:tcW w:w="1701" w:type="dxa"/>
            <w:tcBorders>
              <w:top w:val="nil"/>
              <w:left w:val="nil"/>
              <w:right w:val="nil"/>
            </w:tcBorders>
          </w:tcPr>
          <w:p w14:paraId="53B8E969"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 xml:space="preserve"> 1.</w:t>
            </w:r>
            <w:r>
              <w:t>93</w:t>
            </w:r>
          </w:p>
          <w:p w14:paraId="77DF47B8"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(1.</w:t>
            </w:r>
            <w:r>
              <w:t>76</w:t>
            </w:r>
            <w:r w:rsidRPr="005641EA">
              <w:t>)</w:t>
            </w:r>
          </w:p>
        </w:tc>
        <w:tc>
          <w:tcPr>
            <w:tcW w:w="1985" w:type="dxa"/>
            <w:tcBorders>
              <w:top w:val="nil"/>
              <w:left w:val="nil"/>
              <w:right w:val="nil"/>
            </w:tcBorders>
          </w:tcPr>
          <w:p w14:paraId="4BCF513C"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 xml:space="preserve"> </w:t>
            </w:r>
            <w:r>
              <w:t>2</w:t>
            </w:r>
            <w:r w:rsidRPr="005641EA">
              <w:t>.</w:t>
            </w:r>
            <w:r>
              <w:t>21</w:t>
            </w:r>
          </w:p>
          <w:p w14:paraId="6B6C3A25" w14:textId="77777777" w:rsidR="00766C2B" w:rsidRPr="005641EA"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5641EA">
              <w:t>(</w:t>
            </w:r>
            <w:r>
              <w:t>2.23</w:t>
            </w:r>
            <w:r w:rsidRPr="005641EA">
              <w:t>)</w:t>
            </w:r>
          </w:p>
        </w:tc>
        <w:tc>
          <w:tcPr>
            <w:tcW w:w="1559" w:type="dxa"/>
            <w:tcBorders>
              <w:top w:val="nil"/>
              <w:left w:val="nil"/>
              <w:right w:val="nil"/>
            </w:tcBorders>
          </w:tcPr>
          <w:p w14:paraId="31FF84FE"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 xml:space="preserve"> 0.64</w:t>
            </w:r>
          </w:p>
          <w:p w14:paraId="329DDF50"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(0.79)</w:t>
            </w:r>
          </w:p>
        </w:tc>
        <w:tc>
          <w:tcPr>
            <w:tcW w:w="1843" w:type="dxa"/>
            <w:tcBorders>
              <w:top w:val="nil"/>
              <w:left w:val="nil"/>
            </w:tcBorders>
          </w:tcPr>
          <w:p w14:paraId="6D8CCE23"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 xml:space="preserve"> 1.23</w:t>
            </w:r>
          </w:p>
          <w:p w14:paraId="4DCCF8E5" w14:textId="77777777" w:rsidR="00766C2B" w:rsidRPr="0065621B" w:rsidRDefault="00766C2B" w:rsidP="00E03C61">
            <w:pPr>
              <w:widowControl w:val="0"/>
              <w:autoSpaceDE w:val="0"/>
              <w:autoSpaceDN w:val="0"/>
              <w:adjustRightInd w:val="0"/>
              <w:spacing w:before="120" w:after="120"/>
              <w:jc w:val="center"/>
              <w:rPr>
                <w:rFonts w:eastAsiaTheme="majorEastAsia"/>
                <w:b/>
                <w:bCs/>
                <w:i/>
                <w:iCs/>
                <w:color w:val="4F81BD" w:themeColor="accent1"/>
              </w:rPr>
            </w:pPr>
            <w:r w:rsidRPr="0065621B">
              <w:t>(1.20)</w:t>
            </w:r>
          </w:p>
        </w:tc>
      </w:tr>
    </w:tbl>
    <w:p w14:paraId="6BC4A525" w14:textId="77777777" w:rsidR="00766C2B" w:rsidRPr="005278C1" w:rsidRDefault="00766C2B" w:rsidP="00766C2B">
      <w:pPr>
        <w:spacing w:line="480" w:lineRule="auto"/>
      </w:pPr>
    </w:p>
    <w:p w14:paraId="72007A3E" w14:textId="300E8018" w:rsidR="00766C2B" w:rsidRDefault="00766C2B" w:rsidP="00766C2B">
      <w:pPr>
        <w:spacing w:before="120" w:after="120" w:line="480" w:lineRule="auto"/>
      </w:pPr>
      <w:r>
        <w:t>* n = 28</w:t>
      </w:r>
    </w:p>
    <w:p w14:paraId="3754D902" w14:textId="77777777" w:rsidR="00766C2B" w:rsidRDefault="00766C2B">
      <w:r>
        <w:br w:type="page"/>
      </w:r>
    </w:p>
    <w:p w14:paraId="357C336B" w14:textId="77777777" w:rsidR="00766C2B" w:rsidRPr="005278C1" w:rsidRDefault="00766C2B" w:rsidP="00766C2B">
      <w:pPr>
        <w:spacing w:before="120" w:after="120" w:line="480" w:lineRule="auto"/>
        <w:jc w:val="center"/>
        <w:rPr>
          <w:b/>
        </w:rPr>
      </w:pPr>
      <w:r w:rsidRPr="00FC25F2">
        <w:rPr>
          <w:b/>
        </w:rPr>
        <w:lastRenderedPageBreak/>
        <w:t>Table 2</w:t>
      </w:r>
      <w:r w:rsidRPr="00BB15FC">
        <w:rPr>
          <w:b/>
        </w:rPr>
        <w:t xml:space="preserve">: Recall </w:t>
      </w:r>
      <w:r w:rsidRPr="005278C1">
        <w:rPr>
          <w:b/>
        </w:rPr>
        <w:t>M</w:t>
      </w:r>
      <w:r>
        <w:rPr>
          <w:b/>
        </w:rPr>
        <w:t>eans and SDs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397"/>
        <w:gridCol w:w="1470"/>
        <w:gridCol w:w="1417"/>
        <w:gridCol w:w="1470"/>
      </w:tblGrid>
      <w:tr w:rsidR="00766C2B" w:rsidRPr="005641EA" w14:paraId="13E9F876" w14:textId="77777777" w:rsidTr="00E03C61">
        <w:tc>
          <w:tcPr>
            <w:tcW w:w="2255" w:type="dxa"/>
            <w:tcBorders>
              <w:top w:val="single" w:sz="4" w:space="0" w:color="auto"/>
              <w:bottom w:val="single" w:sz="4" w:space="0" w:color="auto"/>
            </w:tcBorders>
          </w:tcPr>
          <w:p w14:paraId="78CD6E5A" w14:textId="77777777" w:rsidR="00766C2B" w:rsidRPr="005641EA" w:rsidRDefault="00766C2B" w:rsidP="00E03C61">
            <w:pPr>
              <w:spacing w:before="120" w:after="120" w:line="276" w:lineRule="auto"/>
              <w:rPr>
                <w:rFonts w:eastAsiaTheme="minorEastAsia"/>
                <w:b/>
              </w:rPr>
            </w:pPr>
          </w:p>
        </w:tc>
        <w:tc>
          <w:tcPr>
            <w:tcW w:w="2867" w:type="dxa"/>
            <w:gridSpan w:val="2"/>
            <w:tcBorders>
              <w:top w:val="single" w:sz="4" w:space="0" w:color="auto"/>
              <w:bottom w:val="single" w:sz="4" w:space="0" w:color="auto"/>
            </w:tcBorders>
          </w:tcPr>
          <w:p w14:paraId="7C0F74C4"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rPr>
                <w:b/>
              </w:rPr>
              <w:t>Younger Participants</w:t>
            </w:r>
          </w:p>
          <w:p w14:paraId="77FF8FFE"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rPr>
                <w:b/>
              </w:rPr>
              <w:t xml:space="preserve"> (Under 50)</w:t>
            </w:r>
          </w:p>
        </w:tc>
        <w:tc>
          <w:tcPr>
            <w:tcW w:w="2887" w:type="dxa"/>
            <w:gridSpan w:val="2"/>
            <w:tcBorders>
              <w:top w:val="single" w:sz="4" w:space="0" w:color="auto"/>
              <w:bottom w:val="single" w:sz="4" w:space="0" w:color="auto"/>
            </w:tcBorders>
          </w:tcPr>
          <w:p w14:paraId="2243E8CE"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rPr>
                <w:b/>
              </w:rPr>
              <w:t>Older Participants</w:t>
            </w:r>
          </w:p>
          <w:p w14:paraId="2246DF1C"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rPr>
                <w:b/>
              </w:rPr>
              <w:t>(Over 50)</w:t>
            </w:r>
          </w:p>
        </w:tc>
      </w:tr>
      <w:tr w:rsidR="00766C2B" w:rsidRPr="005641EA" w14:paraId="31EF5C76" w14:textId="77777777" w:rsidTr="00E03C61">
        <w:tc>
          <w:tcPr>
            <w:tcW w:w="2255" w:type="dxa"/>
            <w:tcBorders>
              <w:top w:val="single" w:sz="4" w:space="0" w:color="auto"/>
              <w:bottom w:val="single" w:sz="4" w:space="0" w:color="auto"/>
            </w:tcBorders>
          </w:tcPr>
          <w:p w14:paraId="11ED7EB1" w14:textId="77777777" w:rsidR="00766C2B" w:rsidRPr="005641EA" w:rsidRDefault="00766C2B" w:rsidP="00E03C61">
            <w:pPr>
              <w:spacing w:before="120" w:after="120" w:line="276" w:lineRule="auto"/>
              <w:rPr>
                <w:rFonts w:eastAsiaTheme="minorEastAsia"/>
                <w:b/>
              </w:rPr>
            </w:pPr>
          </w:p>
        </w:tc>
        <w:tc>
          <w:tcPr>
            <w:tcW w:w="1397" w:type="dxa"/>
            <w:tcBorders>
              <w:top w:val="single" w:sz="4" w:space="0" w:color="auto"/>
              <w:bottom w:val="single" w:sz="4" w:space="0" w:color="auto"/>
            </w:tcBorders>
          </w:tcPr>
          <w:p w14:paraId="5F220C23"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rPr>
                <w:b/>
              </w:rPr>
              <w:t>Self</w:t>
            </w:r>
            <w:r>
              <w:rPr>
                <w:b/>
              </w:rPr>
              <w:t>-R</w:t>
            </w:r>
            <w:r w:rsidRPr="005641EA">
              <w:rPr>
                <w:b/>
              </w:rPr>
              <w:t>eferent</w:t>
            </w:r>
          </w:p>
          <w:p w14:paraId="383891A0"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rPr>
                <w:b/>
              </w:rPr>
              <w:t>(</w:t>
            </w:r>
            <w:r w:rsidRPr="00F16EA2">
              <w:rPr>
                <w:b/>
                <w:i/>
              </w:rPr>
              <w:t>n</w:t>
            </w:r>
            <w:r>
              <w:rPr>
                <w:b/>
                <w:i/>
              </w:rPr>
              <w:t xml:space="preserve"> </w:t>
            </w:r>
            <w:r w:rsidRPr="005641EA">
              <w:rPr>
                <w:b/>
              </w:rPr>
              <w:t>=</w:t>
            </w:r>
            <w:r>
              <w:rPr>
                <w:b/>
              </w:rPr>
              <w:t xml:space="preserve"> 30</w:t>
            </w:r>
            <w:r w:rsidRPr="005641EA">
              <w:rPr>
                <w:b/>
              </w:rPr>
              <w:t>)</w:t>
            </w:r>
          </w:p>
        </w:tc>
        <w:tc>
          <w:tcPr>
            <w:tcW w:w="1470" w:type="dxa"/>
            <w:tcBorders>
              <w:top w:val="single" w:sz="4" w:space="0" w:color="auto"/>
              <w:bottom w:val="single" w:sz="4" w:space="0" w:color="auto"/>
            </w:tcBorders>
          </w:tcPr>
          <w:p w14:paraId="6D378B14"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rPr>
                <w:b/>
              </w:rPr>
              <w:t>Other</w:t>
            </w:r>
            <w:r>
              <w:rPr>
                <w:b/>
              </w:rPr>
              <w:t>-R</w:t>
            </w:r>
            <w:r w:rsidRPr="005641EA">
              <w:rPr>
                <w:b/>
              </w:rPr>
              <w:t>eferent</w:t>
            </w:r>
          </w:p>
          <w:p w14:paraId="06DF63F2" w14:textId="77777777" w:rsidR="00766C2B" w:rsidRPr="0067094E" w:rsidRDefault="00766C2B" w:rsidP="00E03C61">
            <w:pPr>
              <w:spacing w:before="120" w:after="120" w:line="276" w:lineRule="auto"/>
              <w:jc w:val="center"/>
              <w:rPr>
                <w:b/>
              </w:rPr>
            </w:pPr>
            <w:r w:rsidRPr="005641EA">
              <w:rPr>
                <w:b/>
              </w:rPr>
              <w:t>(</w:t>
            </w:r>
            <w:r w:rsidRPr="00F16EA2">
              <w:rPr>
                <w:b/>
                <w:i/>
              </w:rPr>
              <w:t>n</w:t>
            </w:r>
            <w:r>
              <w:rPr>
                <w:b/>
              </w:rPr>
              <w:t xml:space="preserve"> </w:t>
            </w:r>
            <w:r w:rsidRPr="005641EA">
              <w:rPr>
                <w:b/>
              </w:rPr>
              <w:t>=</w:t>
            </w:r>
            <w:r>
              <w:rPr>
                <w:b/>
              </w:rPr>
              <w:t xml:space="preserve"> 29</w:t>
            </w:r>
            <w:r w:rsidRPr="005641EA">
              <w:rPr>
                <w:b/>
              </w:rPr>
              <w:t>)</w:t>
            </w:r>
          </w:p>
        </w:tc>
        <w:tc>
          <w:tcPr>
            <w:tcW w:w="1417" w:type="dxa"/>
            <w:tcBorders>
              <w:top w:val="single" w:sz="4" w:space="0" w:color="auto"/>
              <w:bottom w:val="single" w:sz="4" w:space="0" w:color="auto"/>
            </w:tcBorders>
          </w:tcPr>
          <w:p w14:paraId="430A011F" w14:textId="77777777" w:rsidR="00766C2B" w:rsidRDefault="00766C2B" w:rsidP="00E03C61">
            <w:pPr>
              <w:spacing w:before="120" w:after="120" w:line="276" w:lineRule="auto"/>
              <w:jc w:val="center"/>
              <w:rPr>
                <w:b/>
              </w:rPr>
            </w:pPr>
            <w:r w:rsidRPr="005641EA">
              <w:rPr>
                <w:b/>
              </w:rPr>
              <w:t>Self</w:t>
            </w:r>
            <w:r>
              <w:rPr>
                <w:b/>
              </w:rPr>
              <w:t>-R</w:t>
            </w:r>
            <w:r w:rsidRPr="005641EA">
              <w:rPr>
                <w:b/>
              </w:rPr>
              <w:t xml:space="preserve">eferent </w:t>
            </w:r>
          </w:p>
          <w:p w14:paraId="71D9E3AA"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rPr>
                <w:b/>
              </w:rPr>
              <w:t>(</w:t>
            </w:r>
            <w:r w:rsidRPr="00F16EA2">
              <w:rPr>
                <w:b/>
                <w:i/>
              </w:rPr>
              <w:t>n</w:t>
            </w:r>
            <w:r>
              <w:rPr>
                <w:b/>
              </w:rPr>
              <w:t xml:space="preserve"> </w:t>
            </w:r>
            <w:r w:rsidRPr="005641EA">
              <w:rPr>
                <w:b/>
              </w:rPr>
              <w:t>=</w:t>
            </w:r>
            <w:r>
              <w:rPr>
                <w:b/>
              </w:rPr>
              <w:t xml:space="preserve"> 22</w:t>
            </w:r>
            <w:r w:rsidRPr="005641EA">
              <w:rPr>
                <w:b/>
              </w:rPr>
              <w:t>)</w:t>
            </w:r>
          </w:p>
        </w:tc>
        <w:tc>
          <w:tcPr>
            <w:tcW w:w="1470" w:type="dxa"/>
            <w:tcBorders>
              <w:top w:val="single" w:sz="4" w:space="0" w:color="auto"/>
              <w:bottom w:val="single" w:sz="4" w:space="0" w:color="auto"/>
            </w:tcBorders>
          </w:tcPr>
          <w:p w14:paraId="4EFFF60E" w14:textId="77777777" w:rsidR="00766C2B" w:rsidRDefault="00766C2B" w:rsidP="00E03C61">
            <w:pPr>
              <w:spacing w:before="120" w:after="120" w:line="276" w:lineRule="auto"/>
              <w:jc w:val="center"/>
              <w:rPr>
                <w:b/>
              </w:rPr>
            </w:pPr>
            <w:r w:rsidRPr="005641EA">
              <w:rPr>
                <w:b/>
              </w:rPr>
              <w:t>Other</w:t>
            </w:r>
            <w:r>
              <w:rPr>
                <w:b/>
              </w:rPr>
              <w:t>-</w:t>
            </w:r>
            <w:r w:rsidRPr="005641EA">
              <w:rPr>
                <w:b/>
              </w:rPr>
              <w:t xml:space="preserve"> </w:t>
            </w:r>
            <w:r>
              <w:rPr>
                <w:b/>
              </w:rPr>
              <w:t>R</w:t>
            </w:r>
            <w:r w:rsidRPr="005641EA">
              <w:rPr>
                <w:b/>
              </w:rPr>
              <w:t xml:space="preserve">eferent </w:t>
            </w:r>
          </w:p>
          <w:p w14:paraId="4C8F5652" w14:textId="77777777" w:rsidR="00766C2B" w:rsidRPr="0067094E" w:rsidRDefault="00766C2B" w:rsidP="00E03C61">
            <w:pPr>
              <w:spacing w:before="120" w:after="120" w:line="276" w:lineRule="auto"/>
              <w:jc w:val="center"/>
              <w:rPr>
                <w:b/>
              </w:rPr>
            </w:pPr>
            <w:r w:rsidRPr="005641EA">
              <w:rPr>
                <w:b/>
              </w:rPr>
              <w:t>(</w:t>
            </w:r>
            <w:r w:rsidRPr="00F16EA2">
              <w:rPr>
                <w:b/>
                <w:i/>
              </w:rPr>
              <w:t>n</w:t>
            </w:r>
            <w:r>
              <w:rPr>
                <w:b/>
              </w:rPr>
              <w:t xml:space="preserve"> </w:t>
            </w:r>
            <w:r w:rsidRPr="005641EA">
              <w:rPr>
                <w:b/>
              </w:rPr>
              <w:t>=</w:t>
            </w:r>
            <w:r>
              <w:rPr>
                <w:b/>
              </w:rPr>
              <w:t xml:space="preserve"> 22</w:t>
            </w:r>
            <w:r w:rsidRPr="005641EA">
              <w:rPr>
                <w:b/>
              </w:rPr>
              <w:t>)</w:t>
            </w:r>
          </w:p>
        </w:tc>
      </w:tr>
      <w:tr w:rsidR="00766C2B" w:rsidRPr="005641EA" w14:paraId="200BB143" w14:textId="77777777" w:rsidTr="00E03C61">
        <w:tc>
          <w:tcPr>
            <w:tcW w:w="2255" w:type="dxa"/>
            <w:tcBorders>
              <w:top w:val="single" w:sz="4" w:space="0" w:color="auto"/>
            </w:tcBorders>
          </w:tcPr>
          <w:p w14:paraId="46BAD815" w14:textId="77777777" w:rsidR="00766C2B" w:rsidRPr="005641EA" w:rsidRDefault="00766C2B" w:rsidP="00E03C61">
            <w:pPr>
              <w:spacing w:before="120" w:after="120" w:line="276" w:lineRule="auto"/>
              <w:ind w:left="426"/>
              <w:rPr>
                <w:rFonts w:eastAsiaTheme="majorEastAsia"/>
                <w:b/>
                <w:bCs/>
                <w:i/>
                <w:iCs/>
                <w:color w:val="4F81BD" w:themeColor="accent1"/>
              </w:rPr>
            </w:pPr>
            <w:r w:rsidRPr="005641EA">
              <w:t xml:space="preserve">Low </w:t>
            </w:r>
            <w:r>
              <w:t>N</w:t>
            </w:r>
            <w:r w:rsidRPr="005641EA">
              <w:t>egativity</w:t>
            </w:r>
          </w:p>
        </w:tc>
        <w:tc>
          <w:tcPr>
            <w:tcW w:w="1397" w:type="dxa"/>
            <w:tcBorders>
              <w:top w:val="single" w:sz="4" w:space="0" w:color="auto"/>
            </w:tcBorders>
          </w:tcPr>
          <w:p w14:paraId="090086D5" w14:textId="77777777" w:rsidR="00766C2B" w:rsidRPr="005641EA" w:rsidRDefault="00766C2B" w:rsidP="00E03C61">
            <w:pPr>
              <w:spacing w:before="120" w:after="120" w:line="276" w:lineRule="auto"/>
              <w:jc w:val="center"/>
              <w:rPr>
                <w:rFonts w:eastAsiaTheme="majorEastAsia"/>
                <w:b/>
                <w:bCs/>
                <w:i/>
                <w:iCs/>
                <w:color w:val="4F81BD" w:themeColor="accent1"/>
              </w:rPr>
            </w:pPr>
            <w:r>
              <w:t>5</w:t>
            </w:r>
            <w:r w:rsidRPr="005641EA">
              <w:t>.</w:t>
            </w:r>
            <w:r>
              <w:t>90</w:t>
            </w:r>
          </w:p>
          <w:p w14:paraId="74414DC0"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w:t>
            </w:r>
            <w:r>
              <w:t>1.94</w:t>
            </w:r>
            <w:r w:rsidRPr="005641EA">
              <w:t>)</w:t>
            </w:r>
          </w:p>
        </w:tc>
        <w:tc>
          <w:tcPr>
            <w:tcW w:w="1470" w:type="dxa"/>
            <w:tcBorders>
              <w:top w:val="single" w:sz="4" w:space="0" w:color="auto"/>
            </w:tcBorders>
          </w:tcPr>
          <w:p w14:paraId="0850BDAF" w14:textId="77777777" w:rsidR="00766C2B" w:rsidRPr="005641EA" w:rsidRDefault="00766C2B" w:rsidP="00E03C61">
            <w:pPr>
              <w:spacing w:before="120" w:after="120" w:line="276" w:lineRule="auto"/>
              <w:jc w:val="center"/>
              <w:rPr>
                <w:rFonts w:eastAsiaTheme="majorEastAsia"/>
                <w:b/>
                <w:bCs/>
                <w:i/>
                <w:iCs/>
                <w:color w:val="4F81BD" w:themeColor="accent1"/>
              </w:rPr>
            </w:pPr>
            <w:r>
              <w:t>5</w:t>
            </w:r>
            <w:r w:rsidRPr="005641EA">
              <w:t>.</w:t>
            </w:r>
            <w:r>
              <w:t xml:space="preserve">90 </w:t>
            </w:r>
          </w:p>
          <w:p w14:paraId="1C898AAA"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w:t>
            </w:r>
            <w:r>
              <w:t>2.08</w:t>
            </w:r>
            <w:r w:rsidRPr="005641EA">
              <w:t>)</w:t>
            </w:r>
          </w:p>
        </w:tc>
        <w:tc>
          <w:tcPr>
            <w:tcW w:w="1417" w:type="dxa"/>
            <w:tcBorders>
              <w:top w:val="single" w:sz="4" w:space="0" w:color="auto"/>
            </w:tcBorders>
          </w:tcPr>
          <w:p w14:paraId="6399560D" w14:textId="77777777" w:rsidR="00766C2B" w:rsidRPr="005641EA" w:rsidRDefault="00766C2B" w:rsidP="00E03C61">
            <w:pPr>
              <w:spacing w:before="120" w:after="120" w:line="276" w:lineRule="auto"/>
              <w:jc w:val="center"/>
              <w:rPr>
                <w:rFonts w:eastAsiaTheme="majorEastAsia"/>
                <w:b/>
                <w:bCs/>
                <w:i/>
                <w:iCs/>
                <w:color w:val="4F81BD" w:themeColor="accent1"/>
              </w:rPr>
            </w:pPr>
            <w:r>
              <w:t>6</w:t>
            </w:r>
            <w:r w:rsidRPr="005641EA">
              <w:t>.</w:t>
            </w:r>
            <w:r>
              <w:t>09</w:t>
            </w:r>
          </w:p>
          <w:p w14:paraId="0C8716B4"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(2.</w:t>
            </w:r>
            <w:r>
              <w:t>31</w:t>
            </w:r>
            <w:r w:rsidRPr="005641EA">
              <w:t>)</w:t>
            </w:r>
          </w:p>
        </w:tc>
        <w:tc>
          <w:tcPr>
            <w:tcW w:w="1470" w:type="dxa"/>
            <w:tcBorders>
              <w:top w:val="single" w:sz="4" w:space="0" w:color="auto"/>
            </w:tcBorders>
          </w:tcPr>
          <w:p w14:paraId="357EB309" w14:textId="77777777" w:rsidR="00766C2B" w:rsidRPr="005641EA" w:rsidRDefault="00766C2B" w:rsidP="00E03C61">
            <w:pPr>
              <w:spacing w:before="120" w:after="120" w:line="276" w:lineRule="auto"/>
              <w:jc w:val="center"/>
              <w:rPr>
                <w:rFonts w:eastAsiaTheme="majorEastAsia"/>
                <w:b/>
                <w:bCs/>
                <w:i/>
                <w:iCs/>
                <w:color w:val="4F81BD" w:themeColor="accent1"/>
              </w:rPr>
            </w:pPr>
            <w:r>
              <w:t>5</w:t>
            </w:r>
            <w:r w:rsidRPr="005641EA">
              <w:t>.</w:t>
            </w:r>
            <w:r>
              <w:t>23</w:t>
            </w:r>
            <w:r w:rsidRPr="005641EA">
              <w:t xml:space="preserve"> </w:t>
            </w:r>
          </w:p>
          <w:p w14:paraId="58A72A39"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(1.</w:t>
            </w:r>
            <w:r>
              <w:t>9</w:t>
            </w:r>
            <w:r w:rsidRPr="005641EA">
              <w:t>3)</w:t>
            </w:r>
          </w:p>
        </w:tc>
      </w:tr>
      <w:tr w:rsidR="00766C2B" w:rsidRPr="005641EA" w14:paraId="6D503622" w14:textId="77777777" w:rsidTr="00E03C61">
        <w:tc>
          <w:tcPr>
            <w:tcW w:w="2255" w:type="dxa"/>
            <w:tcBorders>
              <w:bottom w:val="single" w:sz="4" w:space="0" w:color="auto"/>
            </w:tcBorders>
          </w:tcPr>
          <w:p w14:paraId="7B9C2809" w14:textId="77777777" w:rsidR="00766C2B" w:rsidRPr="005641EA" w:rsidRDefault="00766C2B" w:rsidP="00E03C61">
            <w:pPr>
              <w:spacing w:before="120" w:after="120" w:line="276" w:lineRule="auto"/>
              <w:ind w:left="426"/>
              <w:rPr>
                <w:rFonts w:eastAsiaTheme="majorEastAsia"/>
                <w:b/>
                <w:bCs/>
                <w:i/>
                <w:iCs/>
                <w:color w:val="4F81BD" w:themeColor="accent1"/>
              </w:rPr>
            </w:pPr>
            <w:r w:rsidRPr="005641EA">
              <w:t xml:space="preserve">High </w:t>
            </w:r>
            <w:r>
              <w:t>N</w:t>
            </w:r>
            <w:r w:rsidRPr="005641EA">
              <w:t>egativity</w:t>
            </w:r>
          </w:p>
        </w:tc>
        <w:tc>
          <w:tcPr>
            <w:tcW w:w="1397" w:type="dxa"/>
            <w:tcBorders>
              <w:bottom w:val="single" w:sz="4" w:space="0" w:color="auto"/>
            </w:tcBorders>
          </w:tcPr>
          <w:p w14:paraId="30B8D329"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6.</w:t>
            </w:r>
            <w:r>
              <w:t>30</w:t>
            </w:r>
          </w:p>
          <w:p w14:paraId="3D89A955"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(2.</w:t>
            </w:r>
            <w:r>
              <w:t>02</w:t>
            </w:r>
            <w:r w:rsidRPr="005641EA">
              <w:t>)</w:t>
            </w:r>
          </w:p>
        </w:tc>
        <w:tc>
          <w:tcPr>
            <w:tcW w:w="1470" w:type="dxa"/>
            <w:tcBorders>
              <w:bottom w:val="single" w:sz="4" w:space="0" w:color="auto"/>
            </w:tcBorders>
          </w:tcPr>
          <w:p w14:paraId="6531E8C2"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6.</w:t>
            </w:r>
            <w:r>
              <w:t xml:space="preserve">28  </w:t>
            </w:r>
          </w:p>
          <w:p w14:paraId="46BB543C"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(1.</w:t>
            </w:r>
            <w:r>
              <w:t>89</w:t>
            </w:r>
            <w:r w:rsidRPr="005641EA">
              <w:t>)</w:t>
            </w:r>
          </w:p>
        </w:tc>
        <w:tc>
          <w:tcPr>
            <w:tcW w:w="1417" w:type="dxa"/>
            <w:tcBorders>
              <w:bottom w:val="single" w:sz="4" w:space="0" w:color="auto"/>
            </w:tcBorders>
          </w:tcPr>
          <w:p w14:paraId="1B9B6202"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5.</w:t>
            </w:r>
            <w:r>
              <w:t>14</w:t>
            </w:r>
            <w:r w:rsidRPr="005641EA">
              <w:t xml:space="preserve"> </w:t>
            </w:r>
          </w:p>
          <w:p w14:paraId="330BA2E5"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(1.6</w:t>
            </w:r>
            <w:r>
              <w:t>1</w:t>
            </w:r>
            <w:r w:rsidRPr="005641EA">
              <w:t>)</w:t>
            </w:r>
          </w:p>
        </w:tc>
        <w:tc>
          <w:tcPr>
            <w:tcW w:w="1470" w:type="dxa"/>
            <w:tcBorders>
              <w:bottom w:val="single" w:sz="4" w:space="0" w:color="auto"/>
            </w:tcBorders>
          </w:tcPr>
          <w:p w14:paraId="6074FF8F"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6.</w:t>
            </w:r>
            <w:r>
              <w:t>45</w:t>
            </w:r>
            <w:r w:rsidRPr="005641EA">
              <w:t xml:space="preserve"> </w:t>
            </w:r>
          </w:p>
          <w:p w14:paraId="037CFF06" w14:textId="77777777" w:rsidR="00766C2B" w:rsidRPr="005641EA" w:rsidRDefault="00766C2B" w:rsidP="00E03C61">
            <w:pPr>
              <w:spacing w:before="120" w:after="120" w:line="276" w:lineRule="auto"/>
              <w:jc w:val="center"/>
              <w:rPr>
                <w:rFonts w:eastAsiaTheme="majorEastAsia"/>
                <w:b/>
                <w:bCs/>
                <w:i/>
                <w:iCs/>
                <w:color w:val="4F81BD" w:themeColor="accent1"/>
              </w:rPr>
            </w:pPr>
            <w:r w:rsidRPr="005641EA">
              <w:t>(1.8</w:t>
            </w:r>
            <w:r>
              <w:t>1</w:t>
            </w:r>
            <w:r w:rsidRPr="005641EA">
              <w:t>)</w:t>
            </w:r>
          </w:p>
        </w:tc>
      </w:tr>
    </w:tbl>
    <w:p w14:paraId="3939B5F5" w14:textId="3DA36E89" w:rsidR="00B60235" w:rsidRDefault="00B60235" w:rsidP="00766C2B">
      <w:pPr>
        <w:spacing w:before="120" w:after="120" w:line="480" w:lineRule="auto"/>
        <w:rPr>
          <w:b/>
        </w:rPr>
      </w:pPr>
    </w:p>
    <w:p w14:paraId="41D45E0D" w14:textId="77777777" w:rsidR="00B60235" w:rsidRDefault="00B60235">
      <w:pPr>
        <w:rPr>
          <w:b/>
        </w:rPr>
      </w:pPr>
      <w:r>
        <w:rPr>
          <w:b/>
        </w:rPr>
        <w:br w:type="page"/>
      </w:r>
    </w:p>
    <w:p w14:paraId="00DD20B6" w14:textId="77777777" w:rsidR="00B60235" w:rsidRDefault="00B60235" w:rsidP="00B60235">
      <w:pPr>
        <w:autoSpaceDE w:val="0"/>
        <w:autoSpaceDN w:val="0"/>
        <w:adjustRightInd w:val="0"/>
        <w:spacing w:before="120" w:after="120" w:line="276" w:lineRule="auto"/>
        <w:jc w:val="center"/>
        <w:rPr>
          <w:b/>
        </w:rPr>
      </w:pPr>
      <w:r>
        <w:rPr>
          <w:rFonts w:eastAsiaTheme="minorHAnsi"/>
          <w:b/>
          <w:bCs/>
        </w:rPr>
        <w:lastRenderedPageBreak/>
        <w:t>Appendix 1</w:t>
      </w:r>
      <w:r w:rsidRPr="00BD4F99">
        <w:rPr>
          <w:rFonts w:eastAsiaTheme="minorHAnsi"/>
          <w:b/>
          <w:bCs/>
        </w:rPr>
        <w:t>:</w:t>
      </w:r>
      <w:r>
        <w:rPr>
          <w:rFonts w:eastAsiaTheme="minorHAnsi"/>
          <w:b/>
          <w:bCs/>
        </w:rPr>
        <w:t xml:space="preserve"> Dementia-Related </w:t>
      </w:r>
      <w:r w:rsidRPr="00BD4F99">
        <w:rPr>
          <w:b/>
        </w:rPr>
        <w:t>Statements</w:t>
      </w:r>
      <w:r>
        <w:rPr>
          <w:b/>
        </w:rPr>
        <w:t xml:space="preserve"> (from Cheston et al., 2018)</w:t>
      </w:r>
    </w:p>
    <w:p w14:paraId="3E3C9626" w14:textId="77777777" w:rsidR="00B60235" w:rsidRPr="007C039A" w:rsidRDefault="00B60235" w:rsidP="00B60235">
      <w:pPr>
        <w:spacing w:before="120" w:after="120" w:line="276" w:lineRule="auto"/>
        <w:ind w:left="142"/>
        <w:textAlignment w:val="center"/>
        <w:rPr>
          <w:b/>
          <w:color w:val="000000"/>
        </w:rPr>
      </w:pPr>
      <w:r w:rsidRPr="007C039A">
        <w:rPr>
          <w:b/>
          <w:color w:val="000000"/>
        </w:rPr>
        <w:t>High Negativity</w:t>
      </w:r>
    </w:p>
    <w:p w14:paraId="3558F3D7" w14:textId="77777777" w:rsidR="00B60235" w:rsidRPr="007C039A" w:rsidRDefault="00B60235" w:rsidP="00B60235">
      <w:pPr>
        <w:pStyle w:val="ListParagraph"/>
        <w:numPr>
          <w:ilvl w:val="0"/>
          <w:numId w:val="44"/>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The symptoms that X may experience can include loss of memory </w:t>
      </w:r>
    </w:p>
    <w:p w14:paraId="308F61B6" w14:textId="77777777" w:rsidR="00B60235" w:rsidRPr="007C039A" w:rsidRDefault="00B60235" w:rsidP="00B60235">
      <w:pPr>
        <w:pStyle w:val="ListParagraph"/>
        <w:numPr>
          <w:ilvl w:val="0"/>
          <w:numId w:val="44"/>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X’s illness is a progressive disease </w:t>
      </w:r>
    </w:p>
    <w:p w14:paraId="07A45E75" w14:textId="77777777" w:rsidR="00B60235" w:rsidRPr="007C039A" w:rsidRDefault="00B60235" w:rsidP="00B60235">
      <w:pPr>
        <w:pStyle w:val="ListParagraph"/>
        <w:numPr>
          <w:ilvl w:val="0"/>
          <w:numId w:val="44"/>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lang w:val="en-US"/>
        </w:rPr>
        <w:t xml:space="preserve">The illness means that X may forget the names of friends or family </w:t>
      </w:r>
    </w:p>
    <w:p w14:paraId="47C87217" w14:textId="77777777" w:rsidR="00B60235" w:rsidRPr="007C039A" w:rsidRDefault="00B60235" w:rsidP="00B60235">
      <w:pPr>
        <w:pStyle w:val="ListParagraph"/>
        <w:numPr>
          <w:ilvl w:val="0"/>
          <w:numId w:val="44"/>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As the illness gets worse, so X will increasingly come to rely on others </w:t>
      </w:r>
    </w:p>
    <w:p w14:paraId="6FCDB00C" w14:textId="77777777" w:rsidR="00B60235" w:rsidRPr="007C039A" w:rsidRDefault="00B60235" w:rsidP="00B60235">
      <w:pPr>
        <w:pStyle w:val="ListParagraph"/>
        <w:numPr>
          <w:ilvl w:val="0"/>
          <w:numId w:val="44"/>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The illness means that X’s symptoms will tend to become more severe </w:t>
      </w:r>
    </w:p>
    <w:p w14:paraId="40E7B871" w14:textId="77777777" w:rsidR="00B60235" w:rsidRPr="007C039A" w:rsidRDefault="00B60235" w:rsidP="00B60235">
      <w:pPr>
        <w:pStyle w:val="ListParagraph"/>
        <w:numPr>
          <w:ilvl w:val="0"/>
          <w:numId w:val="44"/>
        </w:numPr>
        <w:spacing w:before="120" w:after="120"/>
        <w:contextualSpacing w:val="0"/>
        <w:textAlignment w:val="center"/>
        <w:rPr>
          <w:rFonts w:eastAsia="Times New Roman"/>
          <w:b/>
          <w:color w:val="000000"/>
          <w:sz w:val="24"/>
          <w:szCs w:val="24"/>
        </w:rPr>
      </w:pPr>
      <w:r w:rsidRPr="007C039A">
        <w:rPr>
          <w:rFonts w:eastAsia="Times New Roman"/>
          <w:color w:val="000000"/>
          <w:sz w:val="24"/>
          <w:szCs w:val="24"/>
        </w:rPr>
        <w:t xml:space="preserve">The symptoms that X may experience can include problems with communication </w:t>
      </w:r>
    </w:p>
    <w:p w14:paraId="149B991A" w14:textId="77777777" w:rsidR="00B60235" w:rsidRPr="007C039A" w:rsidRDefault="00B60235" w:rsidP="00B60235">
      <w:pPr>
        <w:pStyle w:val="ListParagraph"/>
        <w:numPr>
          <w:ilvl w:val="0"/>
          <w:numId w:val="44"/>
        </w:numPr>
        <w:spacing w:before="120" w:after="120"/>
        <w:contextualSpacing w:val="0"/>
        <w:textAlignment w:val="center"/>
        <w:rPr>
          <w:rFonts w:eastAsia="Times New Roman"/>
          <w:color w:val="000000"/>
          <w:sz w:val="24"/>
          <w:szCs w:val="24"/>
        </w:rPr>
      </w:pPr>
      <w:r w:rsidRPr="007C039A">
        <w:rPr>
          <w:rFonts w:eastAsia="Times New Roman"/>
          <w:sz w:val="24"/>
          <w:szCs w:val="24"/>
          <w:lang w:val="en-US"/>
        </w:rPr>
        <w:t>The illness may make X feel confused at times</w:t>
      </w:r>
    </w:p>
    <w:p w14:paraId="304D29F3" w14:textId="77777777" w:rsidR="00B60235" w:rsidRPr="001F51B5" w:rsidRDefault="00B60235" w:rsidP="00B60235">
      <w:pPr>
        <w:pStyle w:val="ListParagraph"/>
        <w:numPr>
          <w:ilvl w:val="0"/>
          <w:numId w:val="44"/>
        </w:numPr>
        <w:spacing w:before="120" w:after="120"/>
        <w:contextualSpacing w:val="0"/>
        <w:textAlignment w:val="center"/>
        <w:rPr>
          <w:rFonts w:eastAsia="Times New Roman"/>
          <w:color w:val="000000"/>
          <w:sz w:val="24"/>
          <w:szCs w:val="24"/>
          <w:lang w:val="en-US"/>
        </w:rPr>
      </w:pPr>
      <w:r w:rsidRPr="007C039A">
        <w:rPr>
          <w:rFonts w:eastAsia="Times New Roman"/>
          <w:color w:val="000000"/>
          <w:sz w:val="24"/>
          <w:szCs w:val="24"/>
        </w:rPr>
        <w:t xml:space="preserve">The illness can make X feel depressed </w:t>
      </w:r>
    </w:p>
    <w:p w14:paraId="1B4F2F43" w14:textId="77777777" w:rsidR="00B60235" w:rsidRPr="001F51B5" w:rsidRDefault="00B60235" w:rsidP="00B60235">
      <w:pPr>
        <w:pStyle w:val="ListParagraph"/>
        <w:numPr>
          <w:ilvl w:val="0"/>
          <w:numId w:val="44"/>
        </w:numPr>
        <w:spacing w:before="120" w:after="120"/>
        <w:contextualSpacing w:val="0"/>
        <w:textAlignment w:val="center"/>
        <w:rPr>
          <w:rFonts w:eastAsia="Times New Roman"/>
          <w:color w:val="000000"/>
          <w:sz w:val="24"/>
          <w:szCs w:val="24"/>
          <w:lang w:val="en-US"/>
        </w:rPr>
      </w:pPr>
      <w:r w:rsidRPr="001F51B5">
        <w:rPr>
          <w:rFonts w:eastAsia="Times New Roman"/>
          <w:color w:val="000000"/>
          <w:sz w:val="24"/>
          <w:szCs w:val="24"/>
          <w:lang w:val="en-US"/>
        </w:rPr>
        <w:t xml:space="preserve">The illness may make X feel insecure </w:t>
      </w:r>
    </w:p>
    <w:p w14:paraId="47D4EAF7" w14:textId="77777777" w:rsidR="00B60235" w:rsidRPr="001F51B5" w:rsidRDefault="00B60235" w:rsidP="00B60235">
      <w:pPr>
        <w:pStyle w:val="ListParagraph"/>
        <w:numPr>
          <w:ilvl w:val="0"/>
          <w:numId w:val="44"/>
        </w:numPr>
        <w:spacing w:before="120" w:after="120"/>
        <w:contextualSpacing w:val="0"/>
        <w:textAlignment w:val="center"/>
        <w:rPr>
          <w:rFonts w:eastAsia="Times New Roman"/>
          <w:color w:val="000000"/>
          <w:sz w:val="24"/>
          <w:szCs w:val="24"/>
          <w:lang w:val="en-US"/>
        </w:rPr>
      </w:pPr>
      <w:r w:rsidRPr="001F51B5">
        <w:rPr>
          <w:rFonts w:eastAsia="Times New Roman"/>
          <w:color w:val="000000"/>
          <w:sz w:val="24"/>
          <w:szCs w:val="24"/>
          <w:lang w:val="en-US"/>
        </w:rPr>
        <w:t xml:space="preserve">The illness will mean that X cannot always remember things you/they have heard </w:t>
      </w:r>
    </w:p>
    <w:p w14:paraId="4E46E676" w14:textId="77777777" w:rsidR="00B60235" w:rsidRPr="001F51B5" w:rsidRDefault="00B60235" w:rsidP="00B60235">
      <w:pPr>
        <w:pStyle w:val="ListParagraph"/>
        <w:numPr>
          <w:ilvl w:val="0"/>
          <w:numId w:val="44"/>
        </w:numPr>
        <w:spacing w:before="120" w:after="120"/>
        <w:contextualSpacing w:val="0"/>
        <w:textAlignment w:val="center"/>
        <w:rPr>
          <w:rFonts w:eastAsia="Times New Roman"/>
          <w:color w:val="000000"/>
          <w:sz w:val="24"/>
          <w:szCs w:val="24"/>
          <w:lang w:val="en-US"/>
        </w:rPr>
      </w:pPr>
      <w:r w:rsidRPr="001F51B5">
        <w:rPr>
          <w:rFonts w:eastAsia="Times New Roman"/>
          <w:color w:val="000000"/>
          <w:sz w:val="24"/>
          <w:szCs w:val="24"/>
        </w:rPr>
        <w:t xml:space="preserve">As a result of the illness X may misinterpret the world around you/them </w:t>
      </w:r>
    </w:p>
    <w:p w14:paraId="110429D1" w14:textId="77777777" w:rsidR="00B60235" w:rsidRPr="001F51B5" w:rsidRDefault="00B60235" w:rsidP="00B60235">
      <w:pPr>
        <w:pStyle w:val="ListParagraph"/>
        <w:numPr>
          <w:ilvl w:val="0"/>
          <w:numId w:val="44"/>
        </w:numPr>
        <w:spacing w:before="120" w:after="120"/>
        <w:contextualSpacing w:val="0"/>
        <w:textAlignment w:val="center"/>
        <w:rPr>
          <w:rFonts w:eastAsia="Times New Roman"/>
          <w:color w:val="000000"/>
          <w:sz w:val="24"/>
          <w:szCs w:val="24"/>
          <w:lang w:val="en-US"/>
        </w:rPr>
      </w:pPr>
      <w:r w:rsidRPr="001F51B5">
        <w:rPr>
          <w:rFonts w:eastAsia="Times New Roman"/>
          <w:color w:val="000000"/>
          <w:sz w:val="24"/>
          <w:szCs w:val="24"/>
          <w:lang w:val="en-US"/>
        </w:rPr>
        <w:t>As a result of the illness X may have problems reasoning</w:t>
      </w:r>
    </w:p>
    <w:p w14:paraId="67C4EE72" w14:textId="77777777" w:rsidR="00B60235" w:rsidRDefault="00B60235" w:rsidP="00B60235">
      <w:pPr>
        <w:spacing w:before="120" w:after="120" w:line="276" w:lineRule="auto"/>
        <w:textAlignment w:val="center"/>
        <w:rPr>
          <w:color w:val="000000"/>
          <w:lang w:val="en-US"/>
        </w:rPr>
      </w:pPr>
    </w:p>
    <w:p w14:paraId="08FC7C1C" w14:textId="77777777" w:rsidR="00B60235" w:rsidRDefault="00B60235" w:rsidP="00B60235">
      <w:pPr>
        <w:spacing w:before="120" w:after="120" w:line="276" w:lineRule="auto"/>
        <w:textAlignment w:val="center"/>
        <w:rPr>
          <w:color w:val="000000"/>
          <w:lang w:val="en-US"/>
        </w:rPr>
      </w:pPr>
      <w:r w:rsidRPr="007C039A">
        <w:rPr>
          <w:b/>
        </w:rPr>
        <w:t>Low Negativity</w:t>
      </w:r>
    </w:p>
    <w:p w14:paraId="5931F8D7"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The illness doesn’t mean that X has to stop doing the things that X enjoys </w:t>
      </w:r>
    </w:p>
    <w:p w14:paraId="6D24328F"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People with X’s illness can be distracted away from their problems </w:t>
      </w:r>
    </w:p>
    <w:p w14:paraId="20B48BB7"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lang w:val="en-US"/>
        </w:rPr>
        <w:t xml:space="preserve">Even with the illness X can be reassured </w:t>
      </w:r>
    </w:p>
    <w:p w14:paraId="4960B762"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The illness develops when the arteries in X’s brain become blocked </w:t>
      </w:r>
    </w:p>
    <w:p w14:paraId="1E680485"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The illness doesn't change who you are/X is </w:t>
      </w:r>
    </w:p>
    <w:p w14:paraId="17821499"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In the illness proteins can gradually build-up inside X’s brain</w:t>
      </w:r>
      <w:r>
        <w:rPr>
          <w:rFonts w:eastAsia="Times New Roman"/>
          <w:color w:val="000000"/>
          <w:sz w:val="24"/>
          <w:szCs w:val="24"/>
        </w:rPr>
        <w:t xml:space="preserve"> </w:t>
      </w:r>
    </w:p>
    <w:p w14:paraId="745CE07C"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When diagnosed with the illness it helps if X has a high quality of life </w:t>
      </w:r>
    </w:p>
    <w:p w14:paraId="2A1CEA03" w14:textId="77777777" w:rsidR="00B60235" w:rsidRPr="007C039A" w:rsidRDefault="00B60235" w:rsidP="00B60235">
      <w:pPr>
        <w:pStyle w:val="ListParagraph"/>
        <w:numPr>
          <w:ilvl w:val="0"/>
          <w:numId w:val="46"/>
        </w:numPr>
        <w:spacing w:before="120" w:after="120"/>
        <w:contextualSpacing w:val="0"/>
        <w:textAlignment w:val="center"/>
        <w:rPr>
          <w:rFonts w:eastAsia="Times New Roman"/>
          <w:sz w:val="24"/>
          <w:szCs w:val="24"/>
          <w:lang w:val="en-US"/>
        </w:rPr>
      </w:pPr>
      <w:r w:rsidRPr="007C039A">
        <w:rPr>
          <w:rFonts w:eastAsia="Times New Roman"/>
          <w:color w:val="000000"/>
          <w:sz w:val="24"/>
          <w:szCs w:val="24"/>
        </w:rPr>
        <w:t xml:space="preserve">The illness is caused by a shortage of important chemicals in X’s brain </w:t>
      </w:r>
    </w:p>
    <w:p w14:paraId="324A3D66"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sz w:val="24"/>
          <w:szCs w:val="24"/>
          <w:lang w:val="en-US"/>
        </w:rPr>
        <w:t xml:space="preserve">With the illness, X will still be able to find answers for yourself/ themselves </w:t>
      </w:r>
    </w:p>
    <w:p w14:paraId="65223065"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The illness means X will still able to learn to do new activities </w:t>
      </w:r>
    </w:p>
    <w:p w14:paraId="6BA77153"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rPr>
        <w:t xml:space="preserve">The impact of the illness depends on X’s emotional resilience </w:t>
      </w:r>
    </w:p>
    <w:p w14:paraId="11B366CE" w14:textId="77777777" w:rsidR="00B60235" w:rsidRPr="007C039A" w:rsidRDefault="00B60235" w:rsidP="00B60235">
      <w:pPr>
        <w:pStyle w:val="ListParagraph"/>
        <w:numPr>
          <w:ilvl w:val="0"/>
          <w:numId w:val="46"/>
        </w:numPr>
        <w:spacing w:before="120" w:after="120"/>
        <w:contextualSpacing w:val="0"/>
        <w:textAlignment w:val="center"/>
        <w:rPr>
          <w:rFonts w:eastAsia="Times New Roman"/>
          <w:color w:val="000000"/>
          <w:sz w:val="24"/>
          <w:szCs w:val="24"/>
        </w:rPr>
      </w:pPr>
      <w:r w:rsidRPr="007C039A">
        <w:rPr>
          <w:rFonts w:eastAsia="Times New Roman"/>
          <w:color w:val="000000"/>
          <w:sz w:val="24"/>
          <w:szCs w:val="24"/>
          <w:lang w:val="en-US"/>
        </w:rPr>
        <w:t xml:space="preserve">The illness may make X fidget constantly </w:t>
      </w:r>
    </w:p>
    <w:p w14:paraId="2A7BA4CF" w14:textId="77777777" w:rsidR="00B60235" w:rsidRPr="007C039A" w:rsidRDefault="00B60235" w:rsidP="00B60235">
      <w:pPr>
        <w:spacing w:before="120" w:after="120" w:line="276" w:lineRule="auto"/>
        <w:textAlignment w:val="center"/>
        <w:rPr>
          <w:color w:val="000000"/>
          <w:lang w:val="en-US"/>
        </w:rPr>
      </w:pPr>
    </w:p>
    <w:p w14:paraId="47DE7E63" w14:textId="351B353B" w:rsidR="00766C2B" w:rsidRPr="00B60235" w:rsidRDefault="00B60235" w:rsidP="00B60235">
      <w:pPr>
        <w:autoSpaceDE w:val="0"/>
        <w:autoSpaceDN w:val="0"/>
        <w:adjustRightInd w:val="0"/>
        <w:spacing w:before="120" w:after="120" w:line="276" w:lineRule="auto"/>
      </w:pPr>
      <w:r w:rsidRPr="00580877">
        <w:rPr>
          <w:i/>
        </w:rPr>
        <w:t>Note</w:t>
      </w:r>
      <w:r>
        <w:t>: X refers to either self (i.e., “You”) or other (i.e., “Chris”).</w:t>
      </w:r>
    </w:p>
    <w:p w14:paraId="7606385D" w14:textId="77777777" w:rsidR="00766C2B" w:rsidRDefault="00766C2B" w:rsidP="00766C2B"/>
    <w:p w14:paraId="5B38E0A2" w14:textId="78CA3754" w:rsidR="00B60235" w:rsidRDefault="00B60235">
      <w:r>
        <w:lastRenderedPageBreak/>
        <w:br w:type="page"/>
      </w:r>
    </w:p>
    <w:p w14:paraId="507EFF53" w14:textId="4A5E4BFE" w:rsidR="00F546E9" w:rsidRDefault="00F546E9">
      <w:pPr>
        <w:rPr>
          <w:rFonts w:eastAsiaTheme="minorHAnsi"/>
        </w:rPr>
      </w:pPr>
    </w:p>
    <w:sectPr w:rsidR="00F546E9" w:rsidSect="009847B9">
      <w:headerReference w:type="even" r:id="rId41"/>
      <w:headerReference w:type="default" r:id="rId42"/>
      <w:footerReference w:type="even" r:id="rId43"/>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1D0AE" w14:textId="77777777" w:rsidR="00C7258A" w:rsidRDefault="00C7258A" w:rsidP="009D2D17">
      <w:r>
        <w:separator/>
      </w:r>
    </w:p>
  </w:endnote>
  <w:endnote w:type="continuationSeparator" w:id="0">
    <w:p w14:paraId="79358076" w14:textId="77777777" w:rsidR="00C7258A" w:rsidRDefault="00C7258A" w:rsidP="009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MERICAN TYPEWRITER CONDENSED">
    <w:altName w:val="Courier New"/>
    <w:charset w:val="4D"/>
    <w:family w:val="roman"/>
    <w:pitch w:val="variable"/>
    <w:sig w:usb0="A000006F" w:usb1="00000019" w:usb2="00000000" w:usb3="00000000" w:csb0="00000111" w:csb1="00000000"/>
  </w:font>
  <w:font w:name="ITCGaramondStd-L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73A4C" w14:textId="77777777" w:rsidR="002C76FD" w:rsidRDefault="002C76FD" w:rsidP="00A345D6">
    <w:pPr>
      <w:pStyle w:val="Footer"/>
      <w:framePr w:wrap="around" w:vAnchor="text" w:hAnchor="margin" w:xAlign="right" w:y="1"/>
      <w:rPr>
        <w:rStyle w:val="PageNumber"/>
      </w:rPr>
    </w:pPr>
  </w:p>
  <w:p w14:paraId="3EE43D9E" w14:textId="77777777" w:rsidR="002C76FD" w:rsidRDefault="002C76FD" w:rsidP="00A345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4BE68" w14:textId="77777777" w:rsidR="00C7258A" w:rsidRDefault="00C7258A" w:rsidP="009D2D17">
      <w:r>
        <w:separator/>
      </w:r>
    </w:p>
  </w:footnote>
  <w:footnote w:type="continuationSeparator" w:id="0">
    <w:p w14:paraId="3CFA5A39" w14:textId="77777777" w:rsidR="00C7258A" w:rsidRDefault="00C7258A" w:rsidP="009D2D17">
      <w:r>
        <w:continuationSeparator/>
      </w:r>
    </w:p>
  </w:footnote>
  <w:footnote w:id="1">
    <w:p w14:paraId="4A5D5AE1" w14:textId="21DFCF1F" w:rsidR="002C76FD" w:rsidRPr="00681086" w:rsidRDefault="002C76FD">
      <w:pPr>
        <w:pStyle w:val="FootnoteText"/>
        <w:rPr>
          <w:lang w:val="en-US"/>
        </w:rPr>
      </w:pPr>
      <w:r>
        <w:rPr>
          <w:rStyle w:val="FootnoteReference"/>
        </w:rPr>
        <w:footnoteRef/>
      </w:r>
      <w:r>
        <w:t xml:space="preserve"> </w:t>
      </w:r>
      <w:hyperlink r:id="rId1" w:history="1">
        <w:r w:rsidRPr="00F851A3">
          <w:rPr>
            <w:rStyle w:val="Hyperlink"/>
            <w:sz w:val="22"/>
            <w:szCs w:val="22"/>
            <w:u w:val="none"/>
            <w:lang w:val="en-US"/>
          </w:rPr>
          <w:t>http://cdn.yougov.com/today_uk_import/yg-archives-life-cancerresearch-diseases-150811.pdf</w:t>
        </w:r>
      </w:hyperlink>
      <w:r w:rsidRPr="00F851A3">
        <w:rPr>
          <w:rStyle w:val="Hyperlink"/>
          <w:sz w:val="22"/>
          <w:szCs w:val="22"/>
          <w:u w:val="none"/>
          <w:lang w:val="en-US"/>
        </w:rPr>
        <w:t>, accessed on the 22</w:t>
      </w:r>
      <w:r w:rsidRPr="00F851A3">
        <w:rPr>
          <w:rStyle w:val="Hyperlink"/>
          <w:sz w:val="22"/>
          <w:szCs w:val="22"/>
          <w:u w:val="none"/>
          <w:vertAlign w:val="superscript"/>
          <w:lang w:val="en-US"/>
        </w:rPr>
        <w:t>nd</w:t>
      </w:r>
      <w:r w:rsidRPr="00F851A3">
        <w:rPr>
          <w:rStyle w:val="Hyperlink"/>
          <w:sz w:val="22"/>
          <w:szCs w:val="22"/>
          <w:u w:val="none"/>
          <w:lang w:val="en-US"/>
        </w:rPr>
        <w:t xml:space="preserve"> of May, 2018.</w:t>
      </w:r>
    </w:p>
  </w:footnote>
  <w:footnote w:id="2">
    <w:p w14:paraId="1D8B22AE" w14:textId="4951E07D" w:rsidR="002C76FD" w:rsidRPr="00F21BAD" w:rsidRDefault="002C76FD" w:rsidP="009870B9">
      <w:pPr>
        <w:pStyle w:val="FootnoteText"/>
        <w:rPr>
          <w:sz w:val="24"/>
          <w:szCs w:val="24"/>
          <w:lang w:val="en-US"/>
        </w:rPr>
      </w:pPr>
      <w:r w:rsidRPr="00DF031E">
        <w:rPr>
          <w:rStyle w:val="FootnoteReference"/>
          <w:sz w:val="24"/>
          <w:szCs w:val="24"/>
        </w:rPr>
        <w:footnoteRef/>
      </w:r>
      <w:r>
        <w:rPr>
          <w:sz w:val="24"/>
          <w:szCs w:val="24"/>
        </w:rPr>
        <w:t xml:space="preserve"> </w:t>
      </w:r>
      <w:r w:rsidRPr="00761C56">
        <w:rPr>
          <w:sz w:val="22"/>
          <w:szCs w:val="22"/>
        </w:rPr>
        <w:t>The study received approval from University of the West of England Faculty of Health and Social Sciences ethics committee on the 14</w:t>
      </w:r>
      <w:r w:rsidRPr="00761C56">
        <w:rPr>
          <w:sz w:val="22"/>
          <w:szCs w:val="22"/>
          <w:vertAlign w:val="superscript"/>
        </w:rPr>
        <w:t>th</w:t>
      </w:r>
      <w:r w:rsidRPr="00761C56">
        <w:rPr>
          <w:sz w:val="22"/>
          <w:szCs w:val="22"/>
        </w:rPr>
        <w:t xml:space="preserve"> of January 2016 (HAS/15/12/065). Amendment to allow additional recruitment of family and friends was approved on the 7</w:t>
      </w:r>
      <w:r w:rsidRPr="00761C56">
        <w:rPr>
          <w:sz w:val="22"/>
          <w:szCs w:val="22"/>
          <w:vertAlign w:val="superscript"/>
        </w:rPr>
        <w:t>th</w:t>
      </w:r>
      <w:r w:rsidRPr="00761C56">
        <w:rPr>
          <w:sz w:val="22"/>
          <w:szCs w:val="22"/>
        </w:rPr>
        <w:t xml:space="preserve"> of April 2017.</w:t>
      </w:r>
    </w:p>
  </w:footnote>
  <w:footnote w:id="3">
    <w:p w14:paraId="3A65AE56" w14:textId="3D4B7351" w:rsidR="002C76FD" w:rsidRPr="00F21BAD" w:rsidRDefault="002C76FD" w:rsidP="00DE2109">
      <w:pPr>
        <w:pStyle w:val="FootnoteText"/>
        <w:rPr>
          <w:sz w:val="24"/>
          <w:szCs w:val="24"/>
          <w:lang w:val="en-US"/>
        </w:rPr>
      </w:pPr>
      <w:r w:rsidRPr="00F21BAD">
        <w:rPr>
          <w:rStyle w:val="FootnoteReference"/>
          <w:sz w:val="24"/>
          <w:szCs w:val="24"/>
        </w:rPr>
        <w:footnoteRef/>
      </w:r>
      <w:r>
        <w:rPr>
          <w:sz w:val="24"/>
          <w:szCs w:val="24"/>
        </w:rPr>
        <w:t xml:space="preserve"> </w:t>
      </w:r>
      <w:r w:rsidRPr="00761C56">
        <w:rPr>
          <w:sz w:val="22"/>
          <w:szCs w:val="22"/>
        </w:rPr>
        <w:t xml:space="preserve">The Join Dementia Research Register is a UK based database that allows people to register their interest in taking part in research on dementia, and which researchers can use to contact potential participants. It is open to people </w:t>
      </w:r>
      <w:r>
        <w:rPr>
          <w:sz w:val="22"/>
          <w:szCs w:val="22"/>
        </w:rPr>
        <w:t xml:space="preserve">both </w:t>
      </w:r>
      <w:r w:rsidRPr="00761C56">
        <w:rPr>
          <w:sz w:val="22"/>
          <w:szCs w:val="22"/>
        </w:rPr>
        <w:t>with and without a diagnosis of dementia (</w:t>
      </w:r>
      <w:hyperlink r:id="rId2" w:history="1">
        <w:r w:rsidRPr="00761C56">
          <w:rPr>
            <w:rStyle w:val="Hyperlink"/>
            <w:sz w:val="22"/>
            <w:szCs w:val="22"/>
            <w:u w:val="none"/>
          </w:rPr>
          <w:t>https://www.joindementiaresearch.nihr.ac.uk</w:t>
        </w:r>
      </w:hyperlink>
      <w:r w:rsidRPr="00761C56">
        <w:rPr>
          <w:sz w:val="22"/>
          <w:szCs w:val="22"/>
        </w:rPr>
        <w:t>)</w:t>
      </w:r>
    </w:p>
  </w:footnote>
  <w:footnote w:id="4">
    <w:p w14:paraId="3031E4E2" w14:textId="3E00CB7A" w:rsidR="002C76FD" w:rsidRPr="00F01D08" w:rsidRDefault="002C76FD" w:rsidP="00AC3B02">
      <w:pPr>
        <w:pStyle w:val="FootnoteText"/>
        <w:rPr>
          <w:sz w:val="24"/>
          <w:szCs w:val="24"/>
        </w:rPr>
      </w:pPr>
      <w:r w:rsidRPr="00823CCA">
        <w:rPr>
          <w:rStyle w:val="FootnoteReference"/>
          <w:sz w:val="22"/>
          <w:szCs w:val="22"/>
        </w:rPr>
        <w:footnoteRef/>
      </w:r>
      <w:r w:rsidRPr="00823CCA">
        <w:rPr>
          <w:sz w:val="22"/>
          <w:szCs w:val="22"/>
        </w:rPr>
        <w:t xml:space="preserve"> </w:t>
      </w:r>
      <w:r w:rsidR="00AC3B02">
        <w:rPr>
          <w:sz w:val="22"/>
          <w:szCs w:val="22"/>
          <w:highlight w:val="yellow"/>
        </w:rPr>
        <w:t>Given</w:t>
      </w:r>
      <w:r w:rsidR="00823CCA" w:rsidRPr="00A54716">
        <w:rPr>
          <w:sz w:val="22"/>
          <w:szCs w:val="22"/>
          <w:highlight w:val="yellow"/>
        </w:rPr>
        <w:t xml:space="preserve"> some evidence for gender-consistent recall (</w:t>
      </w:r>
      <w:proofErr w:type="spellStart"/>
      <w:r w:rsidR="00823CCA" w:rsidRPr="00A54716">
        <w:rPr>
          <w:sz w:val="22"/>
          <w:szCs w:val="22"/>
          <w:highlight w:val="yellow"/>
        </w:rPr>
        <w:t>Frawley</w:t>
      </w:r>
      <w:proofErr w:type="spellEnd"/>
      <w:r w:rsidR="00823CCA" w:rsidRPr="00A54716">
        <w:rPr>
          <w:sz w:val="22"/>
          <w:szCs w:val="22"/>
          <w:highlight w:val="yellow"/>
        </w:rPr>
        <w:t xml:space="preserve">, 2008), we followed previous practice in the literature by </w:t>
      </w:r>
      <w:r w:rsidRPr="00A54716">
        <w:rPr>
          <w:sz w:val="22"/>
          <w:szCs w:val="22"/>
          <w:highlight w:val="yellow"/>
        </w:rPr>
        <w:t>select</w:t>
      </w:r>
      <w:r w:rsidR="00823CCA" w:rsidRPr="00A54716">
        <w:rPr>
          <w:sz w:val="22"/>
          <w:szCs w:val="22"/>
          <w:highlight w:val="yellow"/>
        </w:rPr>
        <w:t>ing</w:t>
      </w:r>
      <w:r w:rsidRPr="00823CCA">
        <w:rPr>
          <w:sz w:val="22"/>
          <w:szCs w:val="22"/>
        </w:rPr>
        <w:t xml:space="preserve"> “Chris”</w:t>
      </w:r>
      <w:r w:rsidR="00AC3B02">
        <w:rPr>
          <w:sz w:val="22"/>
          <w:szCs w:val="22"/>
        </w:rPr>
        <w:t>,</w:t>
      </w:r>
      <w:r w:rsidRPr="00823CCA">
        <w:rPr>
          <w:sz w:val="22"/>
          <w:szCs w:val="22"/>
        </w:rPr>
        <w:t xml:space="preserve"> </w:t>
      </w:r>
      <w:r w:rsidRPr="00761C56">
        <w:rPr>
          <w:sz w:val="22"/>
          <w:szCs w:val="22"/>
        </w:rPr>
        <w:t>a gender-neutral name.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51753762"/>
      <w:docPartObj>
        <w:docPartGallery w:val="Page Numbers (Top of Page)"/>
        <w:docPartUnique/>
      </w:docPartObj>
    </w:sdtPr>
    <w:sdtEndPr>
      <w:rPr>
        <w:rStyle w:val="PageNumber"/>
      </w:rPr>
    </w:sdtEndPr>
    <w:sdtContent>
      <w:p w14:paraId="69AE27B8" w14:textId="226AF7F3" w:rsidR="00BA537A" w:rsidRDefault="00BA537A" w:rsidP="00D953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719AA" w14:textId="77777777" w:rsidR="00BA537A" w:rsidRDefault="00BA537A" w:rsidP="00381E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9896227"/>
      <w:docPartObj>
        <w:docPartGallery w:val="Page Numbers (Top of Page)"/>
        <w:docPartUnique/>
      </w:docPartObj>
    </w:sdtPr>
    <w:sdtEndPr>
      <w:rPr>
        <w:rStyle w:val="PageNumber"/>
      </w:rPr>
    </w:sdtEndPr>
    <w:sdtContent>
      <w:p w14:paraId="09CBADA4" w14:textId="5AA231AA" w:rsidR="00BA537A" w:rsidRDefault="00BA537A" w:rsidP="00D953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227F3">
          <w:rPr>
            <w:rStyle w:val="PageNumber"/>
            <w:noProof/>
          </w:rPr>
          <w:t>30</w:t>
        </w:r>
        <w:r>
          <w:rPr>
            <w:rStyle w:val="PageNumber"/>
          </w:rPr>
          <w:fldChar w:fldCharType="end"/>
        </w:r>
      </w:p>
    </w:sdtContent>
  </w:sdt>
  <w:p w14:paraId="4ED0D052" w14:textId="13837662" w:rsidR="002C76FD" w:rsidRDefault="002C76FD" w:rsidP="00DD315F">
    <w:pPr>
      <w:pStyle w:val="Header"/>
      <w:ind w:right="360"/>
      <w:jc w:val="right"/>
    </w:pPr>
    <w:r w:rsidRPr="00176751">
      <w:t>Age Differences in MNE for Dementia Information</w:t>
    </w:r>
    <w:r>
      <w:tab/>
      <w:t xml:space="preserve"> </w:t>
    </w:r>
  </w:p>
  <w:p w14:paraId="3BD4AAB6" w14:textId="77777777" w:rsidR="002C76FD" w:rsidRPr="00BD4F99" w:rsidRDefault="002C76FD" w:rsidP="00BD4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9D5"/>
    <w:multiLevelType w:val="multilevel"/>
    <w:tmpl w:val="C5E09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C1645"/>
    <w:multiLevelType w:val="multilevel"/>
    <w:tmpl w:val="327C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55626"/>
    <w:multiLevelType w:val="hybridMultilevel"/>
    <w:tmpl w:val="5E707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0584D"/>
    <w:multiLevelType w:val="hybridMultilevel"/>
    <w:tmpl w:val="81CE31A2"/>
    <w:lvl w:ilvl="0" w:tplc="F32A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A05DF"/>
    <w:multiLevelType w:val="hybridMultilevel"/>
    <w:tmpl w:val="B79A4810"/>
    <w:lvl w:ilvl="0" w:tplc="132E2930">
      <w:start w:val="1"/>
      <w:numFmt w:val="decimal"/>
      <w:lvlText w:val="%1."/>
      <w:lvlJc w:val="left"/>
      <w:pPr>
        <w:ind w:left="720" w:hanging="360"/>
      </w:pPr>
      <w:rPr>
        <w:rFonts w:hint="default"/>
        <w:b/>
      </w:rPr>
    </w:lvl>
    <w:lvl w:ilvl="1" w:tplc="C27C84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810693"/>
    <w:multiLevelType w:val="hybridMultilevel"/>
    <w:tmpl w:val="C7F8173A"/>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36470D"/>
    <w:multiLevelType w:val="hybridMultilevel"/>
    <w:tmpl w:val="F4B20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DB2815"/>
    <w:multiLevelType w:val="hybridMultilevel"/>
    <w:tmpl w:val="B0DA40A6"/>
    <w:lvl w:ilvl="0" w:tplc="F32A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9465C"/>
    <w:multiLevelType w:val="hybridMultilevel"/>
    <w:tmpl w:val="E0162F9C"/>
    <w:lvl w:ilvl="0" w:tplc="ABFC5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54A93"/>
    <w:multiLevelType w:val="hybridMultilevel"/>
    <w:tmpl w:val="5E545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7763BB"/>
    <w:multiLevelType w:val="hybridMultilevel"/>
    <w:tmpl w:val="C05650BE"/>
    <w:lvl w:ilvl="0" w:tplc="ABFC5AB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1B0D2E"/>
    <w:multiLevelType w:val="hybridMultilevel"/>
    <w:tmpl w:val="C39E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B076C"/>
    <w:multiLevelType w:val="hybridMultilevel"/>
    <w:tmpl w:val="50C61F0C"/>
    <w:lvl w:ilvl="0" w:tplc="B4549A1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FA779F"/>
    <w:multiLevelType w:val="hybridMultilevel"/>
    <w:tmpl w:val="92D81400"/>
    <w:lvl w:ilvl="0" w:tplc="3BA818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E559E"/>
    <w:multiLevelType w:val="multilevel"/>
    <w:tmpl w:val="B98E1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F75C1C"/>
    <w:multiLevelType w:val="multilevel"/>
    <w:tmpl w:val="C776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227B5"/>
    <w:multiLevelType w:val="hybridMultilevel"/>
    <w:tmpl w:val="1EE0EA8A"/>
    <w:lvl w:ilvl="0" w:tplc="346EE0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401D9A"/>
    <w:multiLevelType w:val="hybridMultilevel"/>
    <w:tmpl w:val="C9707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28297A"/>
    <w:multiLevelType w:val="hybridMultilevel"/>
    <w:tmpl w:val="AE0CA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145721"/>
    <w:multiLevelType w:val="hybridMultilevel"/>
    <w:tmpl w:val="DC565B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3E5B67C7"/>
    <w:multiLevelType w:val="hybridMultilevel"/>
    <w:tmpl w:val="1FA4372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F3047A7"/>
    <w:multiLevelType w:val="hybridMultilevel"/>
    <w:tmpl w:val="0874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C3CDB"/>
    <w:multiLevelType w:val="hybridMultilevel"/>
    <w:tmpl w:val="9EF499D6"/>
    <w:lvl w:ilvl="0" w:tplc="F32A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417AE"/>
    <w:multiLevelType w:val="hybridMultilevel"/>
    <w:tmpl w:val="521A3A0C"/>
    <w:lvl w:ilvl="0" w:tplc="F32A1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D726EE"/>
    <w:multiLevelType w:val="hybridMultilevel"/>
    <w:tmpl w:val="47061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8D0B9F"/>
    <w:multiLevelType w:val="hybridMultilevel"/>
    <w:tmpl w:val="1016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D31E4"/>
    <w:multiLevelType w:val="hybridMultilevel"/>
    <w:tmpl w:val="77D484F8"/>
    <w:lvl w:ilvl="0" w:tplc="8B7A608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2B183E"/>
    <w:multiLevelType w:val="hybridMultilevel"/>
    <w:tmpl w:val="7226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D962C1"/>
    <w:multiLevelType w:val="multilevel"/>
    <w:tmpl w:val="B7C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5367C"/>
    <w:multiLevelType w:val="hybridMultilevel"/>
    <w:tmpl w:val="FCF03CB2"/>
    <w:lvl w:ilvl="0" w:tplc="ABFC5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6963C8"/>
    <w:multiLevelType w:val="hybridMultilevel"/>
    <w:tmpl w:val="702E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3207C6"/>
    <w:multiLevelType w:val="hybridMultilevel"/>
    <w:tmpl w:val="C346E57C"/>
    <w:lvl w:ilvl="0" w:tplc="ED00DD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B2597"/>
    <w:multiLevelType w:val="hybridMultilevel"/>
    <w:tmpl w:val="5C128F16"/>
    <w:lvl w:ilvl="0" w:tplc="0809000F">
      <w:start w:val="1"/>
      <w:numFmt w:val="decimal"/>
      <w:lvlText w:val="%1."/>
      <w:lvlJc w:val="left"/>
      <w:pPr>
        <w:ind w:left="720" w:hanging="360"/>
      </w:pPr>
      <w:rPr>
        <w:rFonts w:hint="default"/>
      </w:rPr>
    </w:lvl>
    <w:lvl w:ilvl="1" w:tplc="C27C84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C23F09"/>
    <w:multiLevelType w:val="hybridMultilevel"/>
    <w:tmpl w:val="FAA4F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923680"/>
    <w:multiLevelType w:val="hybridMultilevel"/>
    <w:tmpl w:val="0316AC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AC7D71"/>
    <w:multiLevelType w:val="hybridMultilevel"/>
    <w:tmpl w:val="8CD8C64A"/>
    <w:lvl w:ilvl="0" w:tplc="B4BAED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1965F9"/>
    <w:multiLevelType w:val="hybridMultilevel"/>
    <w:tmpl w:val="D9E25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CC02A1"/>
    <w:multiLevelType w:val="hybridMultilevel"/>
    <w:tmpl w:val="ED5EC978"/>
    <w:lvl w:ilvl="0" w:tplc="BE2E6D5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EC48BB"/>
    <w:multiLevelType w:val="hybridMultilevel"/>
    <w:tmpl w:val="C1D21970"/>
    <w:lvl w:ilvl="0" w:tplc="DF208E90">
      <w:start w:val="1"/>
      <w:numFmt w:val="decimal"/>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FC5F17"/>
    <w:multiLevelType w:val="hybridMultilevel"/>
    <w:tmpl w:val="327C3214"/>
    <w:lvl w:ilvl="0" w:tplc="8D6023FE">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00012"/>
    <w:multiLevelType w:val="hybridMultilevel"/>
    <w:tmpl w:val="ABF8E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01FA0"/>
    <w:multiLevelType w:val="hybridMultilevel"/>
    <w:tmpl w:val="FADC4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8F6309"/>
    <w:multiLevelType w:val="hybridMultilevel"/>
    <w:tmpl w:val="BC7092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5EA75B4"/>
    <w:multiLevelType w:val="hybridMultilevel"/>
    <w:tmpl w:val="7638C1F2"/>
    <w:lvl w:ilvl="0" w:tplc="8D6023FE">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CF6010"/>
    <w:multiLevelType w:val="hybridMultilevel"/>
    <w:tmpl w:val="398C2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AF162C"/>
    <w:multiLevelType w:val="hybridMultilevel"/>
    <w:tmpl w:val="2EEED01C"/>
    <w:lvl w:ilvl="0" w:tplc="2CE482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45148F"/>
    <w:multiLevelType w:val="hybridMultilevel"/>
    <w:tmpl w:val="BE9CE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937CCF"/>
    <w:multiLevelType w:val="hybridMultilevel"/>
    <w:tmpl w:val="BC78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16"/>
  </w:num>
  <w:num w:numId="4">
    <w:abstractNumId w:val="31"/>
  </w:num>
  <w:num w:numId="5">
    <w:abstractNumId w:val="39"/>
  </w:num>
  <w:num w:numId="6">
    <w:abstractNumId w:val="43"/>
  </w:num>
  <w:num w:numId="7">
    <w:abstractNumId w:val="37"/>
  </w:num>
  <w:num w:numId="8">
    <w:abstractNumId w:val="4"/>
  </w:num>
  <w:num w:numId="9">
    <w:abstractNumId w:val="22"/>
  </w:num>
  <w:num w:numId="10">
    <w:abstractNumId w:val="23"/>
  </w:num>
  <w:num w:numId="11">
    <w:abstractNumId w:val="3"/>
  </w:num>
  <w:num w:numId="12">
    <w:abstractNumId w:val="7"/>
  </w:num>
  <w:num w:numId="13">
    <w:abstractNumId w:val="1"/>
  </w:num>
  <w:num w:numId="14">
    <w:abstractNumId w:val="34"/>
  </w:num>
  <w:num w:numId="15">
    <w:abstractNumId w:val="20"/>
  </w:num>
  <w:num w:numId="16">
    <w:abstractNumId w:val="10"/>
  </w:num>
  <w:num w:numId="17">
    <w:abstractNumId w:val="8"/>
  </w:num>
  <w:num w:numId="18">
    <w:abstractNumId w:val="29"/>
  </w:num>
  <w:num w:numId="19">
    <w:abstractNumId w:val="12"/>
  </w:num>
  <w:num w:numId="20">
    <w:abstractNumId w:val="41"/>
  </w:num>
  <w:num w:numId="21">
    <w:abstractNumId w:val="46"/>
  </w:num>
  <w:num w:numId="22">
    <w:abstractNumId w:val="33"/>
  </w:num>
  <w:num w:numId="23">
    <w:abstractNumId w:val="2"/>
  </w:num>
  <w:num w:numId="24">
    <w:abstractNumId w:val="6"/>
  </w:num>
  <w:num w:numId="25">
    <w:abstractNumId w:val="30"/>
  </w:num>
  <w:num w:numId="26">
    <w:abstractNumId w:val="25"/>
  </w:num>
  <w:num w:numId="27">
    <w:abstractNumId w:val="47"/>
  </w:num>
  <w:num w:numId="28">
    <w:abstractNumId w:val="11"/>
  </w:num>
  <w:num w:numId="29">
    <w:abstractNumId w:val="13"/>
  </w:num>
  <w:num w:numId="30">
    <w:abstractNumId w:val="45"/>
  </w:num>
  <w:num w:numId="31">
    <w:abstractNumId w:val="26"/>
  </w:num>
  <w:num w:numId="32">
    <w:abstractNumId w:val="40"/>
  </w:num>
  <w:num w:numId="33">
    <w:abstractNumId w:val="18"/>
  </w:num>
  <w:num w:numId="34">
    <w:abstractNumId w:val="9"/>
  </w:num>
  <w:num w:numId="35">
    <w:abstractNumId w:val="42"/>
  </w:num>
  <w:num w:numId="36">
    <w:abstractNumId w:val="27"/>
  </w:num>
  <w:num w:numId="37">
    <w:abstractNumId w:val="28"/>
  </w:num>
  <w:num w:numId="38">
    <w:abstractNumId w:val="36"/>
  </w:num>
  <w:num w:numId="39">
    <w:abstractNumId w:val="38"/>
  </w:num>
  <w:num w:numId="40">
    <w:abstractNumId w:val="21"/>
  </w:num>
  <w:num w:numId="41">
    <w:abstractNumId w:val="24"/>
  </w:num>
  <w:num w:numId="42">
    <w:abstractNumId w:val="14"/>
  </w:num>
  <w:num w:numId="43">
    <w:abstractNumId w:val="0"/>
  </w:num>
  <w:num w:numId="44">
    <w:abstractNumId w:val="19"/>
  </w:num>
  <w:num w:numId="45">
    <w:abstractNumId w:val="17"/>
  </w:num>
  <w:num w:numId="46">
    <w:abstractNumId w:val="5"/>
  </w:num>
  <w:num w:numId="47">
    <w:abstractNumId w:val="4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zMDMzMTcztTS2sLBU0lEKTi0uzszPAykwrAUAdcnU1SwAAAA="/>
  </w:docVars>
  <w:rsids>
    <w:rsidRoot w:val="00EE262B"/>
    <w:rsid w:val="0000006C"/>
    <w:rsid w:val="0000040A"/>
    <w:rsid w:val="00003889"/>
    <w:rsid w:val="0000477F"/>
    <w:rsid w:val="00004B6E"/>
    <w:rsid w:val="000051D6"/>
    <w:rsid w:val="0000717C"/>
    <w:rsid w:val="000104C3"/>
    <w:rsid w:val="00010675"/>
    <w:rsid w:val="00010DC6"/>
    <w:rsid w:val="000110CB"/>
    <w:rsid w:val="00012568"/>
    <w:rsid w:val="00012C41"/>
    <w:rsid w:val="00014F51"/>
    <w:rsid w:val="00025E7D"/>
    <w:rsid w:val="00026430"/>
    <w:rsid w:val="00026848"/>
    <w:rsid w:val="00026E2C"/>
    <w:rsid w:val="000276F5"/>
    <w:rsid w:val="00032B9C"/>
    <w:rsid w:val="00034C29"/>
    <w:rsid w:val="00036A20"/>
    <w:rsid w:val="0004095F"/>
    <w:rsid w:val="000413C2"/>
    <w:rsid w:val="0004515B"/>
    <w:rsid w:val="00046462"/>
    <w:rsid w:val="0004766D"/>
    <w:rsid w:val="00047D53"/>
    <w:rsid w:val="00051D09"/>
    <w:rsid w:val="00055267"/>
    <w:rsid w:val="00057438"/>
    <w:rsid w:val="00061865"/>
    <w:rsid w:val="000640B0"/>
    <w:rsid w:val="00066464"/>
    <w:rsid w:val="000678DD"/>
    <w:rsid w:val="00071780"/>
    <w:rsid w:val="00071A51"/>
    <w:rsid w:val="00073A1B"/>
    <w:rsid w:val="00073CBF"/>
    <w:rsid w:val="00075459"/>
    <w:rsid w:val="00076318"/>
    <w:rsid w:val="000765EC"/>
    <w:rsid w:val="00077334"/>
    <w:rsid w:val="00077F18"/>
    <w:rsid w:val="00080D89"/>
    <w:rsid w:val="00085425"/>
    <w:rsid w:val="000918D4"/>
    <w:rsid w:val="000936B7"/>
    <w:rsid w:val="000936FF"/>
    <w:rsid w:val="00093CC2"/>
    <w:rsid w:val="00095174"/>
    <w:rsid w:val="00095CA5"/>
    <w:rsid w:val="0009646E"/>
    <w:rsid w:val="00097536"/>
    <w:rsid w:val="000A0615"/>
    <w:rsid w:val="000A06C6"/>
    <w:rsid w:val="000A1359"/>
    <w:rsid w:val="000A3763"/>
    <w:rsid w:val="000A387B"/>
    <w:rsid w:val="000A3EFB"/>
    <w:rsid w:val="000A4AA3"/>
    <w:rsid w:val="000A5032"/>
    <w:rsid w:val="000A7739"/>
    <w:rsid w:val="000B1CB5"/>
    <w:rsid w:val="000B1F11"/>
    <w:rsid w:val="000B2807"/>
    <w:rsid w:val="000B42DF"/>
    <w:rsid w:val="000B45BB"/>
    <w:rsid w:val="000B5961"/>
    <w:rsid w:val="000B5C5E"/>
    <w:rsid w:val="000B5F4C"/>
    <w:rsid w:val="000B69C3"/>
    <w:rsid w:val="000C1F06"/>
    <w:rsid w:val="000C2B42"/>
    <w:rsid w:val="000C4500"/>
    <w:rsid w:val="000C4C6B"/>
    <w:rsid w:val="000C528D"/>
    <w:rsid w:val="000C59C1"/>
    <w:rsid w:val="000D0645"/>
    <w:rsid w:val="000D1542"/>
    <w:rsid w:val="000D15BC"/>
    <w:rsid w:val="000D1966"/>
    <w:rsid w:val="000D3274"/>
    <w:rsid w:val="000D3BCD"/>
    <w:rsid w:val="000D3C38"/>
    <w:rsid w:val="000D3F3D"/>
    <w:rsid w:val="000D5428"/>
    <w:rsid w:val="000D57D1"/>
    <w:rsid w:val="000D5E03"/>
    <w:rsid w:val="000D7664"/>
    <w:rsid w:val="000D7CBA"/>
    <w:rsid w:val="000E2224"/>
    <w:rsid w:val="000E2AFA"/>
    <w:rsid w:val="000E336F"/>
    <w:rsid w:val="000E42D6"/>
    <w:rsid w:val="000E44E9"/>
    <w:rsid w:val="000E5F99"/>
    <w:rsid w:val="000E6A6E"/>
    <w:rsid w:val="000E6DC8"/>
    <w:rsid w:val="000E7238"/>
    <w:rsid w:val="000E7E8C"/>
    <w:rsid w:val="000F130E"/>
    <w:rsid w:val="000F23F6"/>
    <w:rsid w:val="000F33B1"/>
    <w:rsid w:val="000F5C4B"/>
    <w:rsid w:val="000F5DF6"/>
    <w:rsid w:val="000F6D31"/>
    <w:rsid w:val="000F7D29"/>
    <w:rsid w:val="00102F22"/>
    <w:rsid w:val="0010310A"/>
    <w:rsid w:val="001035A1"/>
    <w:rsid w:val="00103BF5"/>
    <w:rsid w:val="00107D60"/>
    <w:rsid w:val="00110937"/>
    <w:rsid w:val="0011117B"/>
    <w:rsid w:val="0011465B"/>
    <w:rsid w:val="00116F9B"/>
    <w:rsid w:val="001178FE"/>
    <w:rsid w:val="00122272"/>
    <w:rsid w:val="00122E99"/>
    <w:rsid w:val="0012360A"/>
    <w:rsid w:val="00123808"/>
    <w:rsid w:val="0012417F"/>
    <w:rsid w:val="00125093"/>
    <w:rsid w:val="00126E1D"/>
    <w:rsid w:val="0012729E"/>
    <w:rsid w:val="00130AF4"/>
    <w:rsid w:val="001318A3"/>
    <w:rsid w:val="00131FC4"/>
    <w:rsid w:val="001364BB"/>
    <w:rsid w:val="0013791C"/>
    <w:rsid w:val="001409F7"/>
    <w:rsid w:val="00140CA5"/>
    <w:rsid w:val="00140D9C"/>
    <w:rsid w:val="00142458"/>
    <w:rsid w:val="00142971"/>
    <w:rsid w:val="001432F2"/>
    <w:rsid w:val="001443DC"/>
    <w:rsid w:val="00145965"/>
    <w:rsid w:val="00146999"/>
    <w:rsid w:val="001470CE"/>
    <w:rsid w:val="0015047C"/>
    <w:rsid w:val="00150CD0"/>
    <w:rsid w:val="00153C77"/>
    <w:rsid w:val="00161AB5"/>
    <w:rsid w:val="0016213A"/>
    <w:rsid w:val="001629AD"/>
    <w:rsid w:val="00164DB0"/>
    <w:rsid w:val="0016683C"/>
    <w:rsid w:val="001713A5"/>
    <w:rsid w:val="00175A72"/>
    <w:rsid w:val="00176ECC"/>
    <w:rsid w:val="00180BB7"/>
    <w:rsid w:val="00181886"/>
    <w:rsid w:val="00182322"/>
    <w:rsid w:val="00183700"/>
    <w:rsid w:val="00184237"/>
    <w:rsid w:val="001869AA"/>
    <w:rsid w:val="0018711A"/>
    <w:rsid w:val="001878D8"/>
    <w:rsid w:val="00187AEE"/>
    <w:rsid w:val="001903FD"/>
    <w:rsid w:val="00190DEC"/>
    <w:rsid w:val="00191D34"/>
    <w:rsid w:val="00192CAE"/>
    <w:rsid w:val="00195590"/>
    <w:rsid w:val="0019691D"/>
    <w:rsid w:val="00196FA3"/>
    <w:rsid w:val="0019712A"/>
    <w:rsid w:val="001978CF"/>
    <w:rsid w:val="001A0565"/>
    <w:rsid w:val="001A0A4F"/>
    <w:rsid w:val="001A1669"/>
    <w:rsid w:val="001A1CD3"/>
    <w:rsid w:val="001A3135"/>
    <w:rsid w:val="001A3B7C"/>
    <w:rsid w:val="001A4304"/>
    <w:rsid w:val="001A4A0C"/>
    <w:rsid w:val="001A7464"/>
    <w:rsid w:val="001B0235"/>
    <w:rsid w:val="001B0FBB"/>
    <w:rsid w:val="001B3007"/>
    <w:rsid w:val="001B3835"/>
    <w:rsid w:val="001B4545"/>
    <w:rsid w:val="001B762F"/>
    <w:rsid w:val="001C072F"/>
    <w:rsid w:val="001C23B2"/>
    <w:rsid w:val="001C30E3"/>
    <w:rsid w:val="001C3577"/>
    <w:rsid w:val="001C5C68"/>
    <w:rsid w:val="001C7310"/>
    <w:rsid w:val="001C77CC"/>
    <w:rsid w:val="001D05DB"/>
    <w:rsid w:val="001D16B5"/>
    <w:rsid w:val="001D1EB2"/>
    <w:rsid w:val="001D262E"/>
    <w:rsid w:val="001D41E1"/>
    <w:rsid w:val="001D6050"/>
    <w:rsid w:val="001D60E2"/>
    <w:rsid w:val="001E0FB2"/>
    <w:rsid w:val="001E4571"/>
    <w:rsid w:val="001E55A4"/>
    <w:rsid w:val="001E57CE"/>
    <w:rsid w:val="001E7FF4"/>
    <w:rsid w:val="001F1F15"/>
    <w:rsid w:val="001F2121"/>
    <w:rsid w:val="001F3F20"/>
    <w:rsid w:val="001F51B5"/>
    <w:rsid w:val="001F5BA2"/>
    <w:rsid w:val="001F7CF1"/>
    <w:rsid w:val="001F7D2C"/>
    <w:rsid w:val="0020170D"/>
    <w:rsid w:val="0020524C"/>
    <w:rsid w:val="0021022F"/>
    <w:rsid w:val="002106CB"/>
    <w:rsid w:val="00210967"/>
    <w:rsid w:val="00212698"/>
    <w:rsid w:val="00212808"/>
    <w:rsid w:val="0021331A"/>
    <w:rsid w:val="002135D6"/>
    <w:rsid w:val="002143E3"/>
    <w:rsid w:val="00217962"/>
    <w:rsid w:val="002206EE"/>
    <w:rsid w:val="00220B18"/>
    <w:rsid w:val="00223E51"/>
    <w:rsid w:val="0022401A"/>
    <w:rsid w:val="00226EC3"/>
    <w:rsid w:val="00227C24"/>
    <w:rsid w:val="0023003A"/>
    <w:rsid w:val="002301B7"/>
    <w:rsid w:val="002305DA"/>
    <w:rsid w:val="0023171A"/>
    <w:rsid w:val="00234212"/>
    <w:rsid w:val="00235C7C"/>
    <w:rsid w:val="00236FC4"/>
    <w:rsid w:val="00240201"/>
    <w:rsid w:val="0024157C"/>
    <w:rsid w:val="00241B3F"/>
    <w:rsid w:val="002432B6"/>
    <w:rsid w:val="0024434C"/>
    <w:rsid w:val="00244D7F"/>
    <w:rsid w:val="00245ED2"/>
    <w:rsid w:val="00247720"/>
    <w:rsid w:val="00253132"/>
    <w:rsid w:val="00253CC0"/>
    <w:rsid w:val="00253DD0"/>
    <w:rsid w:val="002547CD"/>
    <w:rsid w:val="00254B47"/>
    <w:rsid w:val="00255451"/>
    <w:rsid w:val="00255C88"/>
    <w:rsid w:val="00255F8E"/>
    <w:rsid w:val="00255FB0"/>
    <w:rsid w:val="002560A4"/>
    <w:rsid w:val="0025762C"/>
    <w:rsid w:val="002606CB"/>
    <w:rsid w:val="00260918"/>
    <w:rsid w:val="00260DA1"/>
    <w:rsid w:val="00261304"/>
    <w:rsid w:val="00261C1E"/>
    <w:rsid w:val="0026214D"/>
    <w:rsid w:val="00263482"/>
    <w:rsid w:val="00263793"/>
    <w:rsid w:val="00264D99"/>
    <w:rsid w:val="00264E86"/>
    <w:rsid w:val="00270EF0"/>
    <w:rsid w:val="0027103F"/>
    <w:rsid w:val="002731AC"/>
    <w:rsid w:val="00275001"/>
    <w:rsid w:val="002750B9"/>
    <w:rsid w:val="00275788"/>
    <w:rsid w:val="00277775"/>
    <w:rsid w:val="00281331"/>
    <w:rsid w:val="00281FEE"/>
    <w:rsid w:val="0028304F"/>
    <w:rsid w:val="002840AF"/>
    <w:rsid w:val="00284E54"/>
    <w:rsid w:val="00284F89"/>
    <w:rsid w:val="00285938"/>
    <w:rsid w:val="002867EC"/>
    <w:rsid w:val="00286BB6"/>
    <w:rsid w:val="002871F7"/>
    <w:rsid w:val="0029078A"/>
    <w:rsid w:val="00290F53"/>
    <w:rsid w:val="002935CF"/>
    <w:rsid w:val="00293CA8"/>
    <w:rsid w:val="0029502F"/>
    <w:rsid w:val="0029534E"/>
    <w:rsid w:val="0029573F"/>
    <w:rsid w:val="002977DE"/>
    <w:rsid w:val="002A23C0"/>
    <w:rsid w:val="002A3569"/>
    <w:rsid w:val="002A36D6"/>
    <w:rsid w:val="002A37AA"/>
    <w:rsid w:val="002A4DED"/>
    <w:rsid w:val="002A5F47"/>
    <w:rsid w:val="002B5146"/>
    <w:rsid w:val="002C1928"/>
    <w:rsid w:val="002C27BC"/>
    <w:rsid w:val="002C2DF3"/>
    <w:rsid w:val="002C4914"/>
    <w:rsid w:val="002C4BFA"/>
    <w:rsid w:val="002C6422"/>
    <w:rsid w:val="002C6630"/>
    <w:rsid w:val="002C76FD"/>
    <w:rsid w:val="002D1849"/>
    <w:rsid w:val="002D1890"/>
    <w:rsid w:val="002D1E44"/>
    <w:rsid w:val="002D249F"/>
    <w:rsid w:val="002D29E8"/>
    <w:rsid w:val="002D447E"/>
    <w:rsid w:val="002D5E0A"/>
    <w:rsid w:val="002D74F9"/>
    <w:rsid w:val="002E0E93"/>
    <w:rsid w:val="002E1032"/>
    <w:rsid w:val="002E2FBA"/>
    <w:rsid w:val="002E34F1"/>
    <w:rsid w:val="002E79FA"/>
    <w:rsid w:val="002F0C39"/>
    <w:rsid w:val="002F61EB"/>
    <w:rsid w:val="0030087A"/>
    <w:rsid w:val="003028DE"/>
    <w:rsid w:val="003036C6"/>
    <w:rsid w:val="0030434B"/>
    <w:rsid w:val="0030445D"/>
    <w:rsid w:val="00304540"/>
    <w:rsid w:val="00304A34"/>
    <w:rsid w:val="00304E93"/>
    <w:rsid w:val="00305596"/>
    <w:rsid w:val="00307D6D"/>
    <w:rsid w:val="00314F97"/>
    <w:rsid w:val="00315971"/>
    <w:rsid w:val="00316294"/>
    <w:rsid w:val="00320A1F"/>
    <w:rsid w:val="00322D3B"/>
    <w:rsid w:val="003245E6"/>
    <w:rsid w:val="00324DE8"/>
    <w:rsid w:val="00324E20"/>
    <w:rsid w:val="00331223"/>
    <w:rsid w:val="003327DA"/>
    <w:rsid w:val="00333581"/>
    <w:rsid w:val="00335295"/>
    <w:rsid w:val="003359B2"/>
    <w:rsid w:val="0033667B"/>
    <w:rsid w:val="003368FD"/>
    <w:rsid w:val="0033748A"/>
    <w:rsid w:val="00341480"/>
    <w:rsid w:val="0034253E"/>
    <w:rsid w:val="00343742"/>
    <w:rsid w:val="00344542"/>
    <w:rsid w:val="003467ED"/>
    <w:rsid w:val="00346BA7"/>
    <w:rsid w:val="00346FB3"/>
    <w:rsid w:val="00347E63"/>
    <w:rsid w:val="00351608"/>
    <w:rsid w:val="00352EC2"/>
    <w:rsid w:val="00355290"/>
    <w:rsid w:val="00356653"/>
    <w:rsid w:val="003574B1"/>
    <w:rsid w:val="003600AA"/>
    <w:rsid w:val="00360468"/>
    <w:rsid w:val="00360A5C"/>
    <w:rsid w:val="00362544"/>
    <w:rsid w:val="00363ACD"/>
    <w:rsid w:val="00364E4F"/>
    <w:rsid w:val="00365C2A"/>
    <w:rsid w:val="003669B0"/>
    <w:rsid w:val="00370611"/>
    <w:rsid w:val="00370BD7"/>
    <w:rsid w:val="0037164A"/>
    <w:rsid w:val="00373240"/>
    <w:rsid w:val="003752A4"/>
    <w:rsid w:val="003756C6"/>
    <w:rsid w:val="00376728"/>
    <w:rsid w:val="00380817"/>
    <w:rsid w:val="00380CD5"/>
    <w:rsid w:val="00380E53"/>
    <w:rsid w:val="00380FAF"/>
    <w:rsid w:val="0038128D"/>
    <w:rsid w:val="00381E57"/>
    <w:rsid w:val="00382023"/>
    <w:rsid w:val="00382C3F"/>
    <w:rsid w:val="00383D54"/>
    <w:rsid w:val="00383D87"/>
    <w:rsid w:val="00384A67"/>
    <w:rsid w:val="003907FB"/>
    <w:rsid w:val="00390BC6"/>
    <w:rsid w:val="00392507"/>
    <w:rsid w:val="003A1318"/>
    <w:rsid w:val="003A2140"/>
    <w:rsid w:val="003A2895"/>
    <w:rsid w:val="003A3198"/>
    <w:rsid w:val="003A3277"/>
    <w:rsid w:val="003A63FC"/>
    <w:rsid w:val="003B3938"/>
    <w:rsid w:val="003B4D26"/>
    <w:rsid w:val="003B6B37"/>
    <w:rsid w:val="003B74CD"/>
    <w:rsid w:val="003C1A41"/>
    <w:rsid w:val="003C4DF4"/>
    <w:rsid w:val="003C53A3"/>
    <w:rsid w:val="003C58B0"/>
    <w:rsid w:val="003C7825"/>
    <w:rsid w:val="003D0A30"/>
    <w:rsid w:val="003D238A"/>
    <w:rsid w:val="003D2908"/>
    <w:rsid w:val="003D2C91"/>
    <w:rsid w:val="003D3B7C"/>
    <w:rsid w:val="003D42FA"/>
    <w:rsid w:val="003D5149"/>
    <w:rsid w:val="003E011C"/>
    <w:rsid w:val="003E043D"/>
    <w:rsid w:val="003E0B5D"/>
    <w:rsid w:val="003E167E"/>
    <w:rsid w:val="003E21BA"/>
    <w:rsid w:val="003E3952"/>
    <w:rsid w:val="003E6A98"/>
    <w:rsid w:val="003F52F3"/>
    <w:rsid w:val="003F553F"/>
    <w:rsid w:val="003F6631"/>
    <w:rsid w:val="003F6642"/>
    <w:rsid w:val="00401414"/>
    <w:rsid w:val="004023A4"/>
    <w:rsid w:val="004024E6"/>
    <w:rsid w:val="00402E33"/>
    <w:rsid w:val="00407F35"/>
    <w:rsid w:val="00411F5D"/>
    <w:rsid w:val="00412EC8"/>
    <w:rsid w:val="0041302D"/>
    <w:rsid w:val="004139F0"/>
    <w:rsid w:val="0041495E"/>
    <w:rsid w:val="00416A18"/>
    <w:rsid w:val="0042148F"/>
    <w:rsid w:val="00424785"/>
    <w:rsid w:val="00424CD4"/>
    <w:rsid w:val="00425728"/>
    <w:rsid w:val="00426D8F"/>
    <w:rsid w:val="004273F8"/>
    <w:rsid w:val="00427D34"/>
    <w:rsid w:val="00430DA0"/>
    <w:rsid w:val="00430DE6"/>
    <w:rsid w:val="0043134A"/>
    <w:rsid w:val="00434EAD"/>
    <w:rsid w:val="00442CBD"/>
    <w:rsid w:val="0044386B"/>
    <w:rsid w:val="00444721"/>
    <w:rsid w:val="00446D63"/>
    <w:rsid w:val="00447068"/>
    <w:rsid w:val="00447148"/>
    <w:rsid w:val="004506FE"/>
    <w:rsid w:val="00454329"/>
    <w:rsid w:val="004544D3"/>
    <w:rsid w:val="00454BE9"/>
    <w:rsid w:val="004572D3"/>
    <w:rsid w:val="00460A27"/>
    <w:rsid w:val="00460F65"/>
    <w:rsid w:val="0046171E"/>
    <w:rsid w:val="00461F81"/>
    <w:rsid w:val="00463257"/>
    <w:rsid w:val="00463809"/>
    <w:rsid w:val="004658CB"/>
    <w:rsid w:val="00465A1F"/>
    <w:rsid w:val="004678B0"/>
    <w:rsid w:val="00470036"/>
    <w:rsid w:val="0047215E"/>
    <w:rsid w:val="00474ECA"/>
    <w:rsid w:val="00474F79"/>
    <w:rsid w:val="0047683E"/>
    <w:rsid w:val="00477134"/>
    <w:rsid w:val="00477277"/>
    <w:rsid w:val="004817C1"/>
    <w:rsid w:val="00481B73"/>
    <w:rsid w:val="00483E18"/>
    <w:rsid w:val="004850DD"/>
    <w:rsid w:val="00485793"/>
    <w:rsid w:val="004870DD"/>
    <w:rsid w:val="0048728A"/>
    <w:rsid w:val="00487CAA"/>
    <w:rsid w:val="00487F6D"/>
    <w:rsid w:val="004947BA"/>
    <w:rsid w:val="00495C87"/>
    <w:rsid w:val="004A23A1"/>
    <w:rsid w:val="004A4F5D"/>
    <w:rsid w:val="004A58AE"/>
    <w:rsid w:val="004A5D1E"/>
    <w:rsid w:val="004A7787"/>
    <w:rsid w:val="004B2A94"/>
    <w:rsid w:val="004B4C09"/>
    <w:rsid w:val="004B4FBE"/>
    <w:rsid w:val="004B6203"/>
    <w:rsid w:val="004B7600"/>
    <w:rsid w:val="004C065C"/>
    <w:rsid w:val="004C17B6"/>
    <w:rsid w:val="004C20FE"/>
    <w:rsid w:val="004C2626"/>
    <w:rsid w:val="004C384F"/>
    <w:rsid w:val="004C482D"/>
    <w:rsid w:val="004C6710"/>
    <w:rsid w:val="004C6F38"/>
    <w:rsid w:val="004D1C72"/>
    <w:rsid w:val="004D259E"/>
    <w:rsid w:val="004D433F"/>
    <w:rsid w:val="004D4904"/>
    <w:rsid w:val="004D7B08"/>
    <w:rsid w:val="004E3630"/>
    <w:rsid w:val="004E3B5D"/>
    <w:rsid w:val="004E4B08"/>
    <w:rsid w:val="004E5450"/>
    <w:rsid w:val="004E5810"/>
    <w:rsid w:val="004E637B"/>
    <w:rsid w:val="004E676B"/>
    <w:rsid w:val="004E6E54"/>
    <w:rsid w:val="004E7CF6"/>
    <w:rsid w:val="004F01AD"/>
    <w:rsid w:val="004F3A66"/>
    <w:rsid w:val="004F3BE8"/>
    <w:rsid w:val="004F492B"/>
    <w:rsid w:val="004F52B4"/>
    <w:rsid w:val="004F7F8B"/>
    <w:rsid w:val="00500A69"/>
    <w:rsid w:val="005018AC"/>
    <w:rsid w:val="00502693"/>
    <w:rsid w:val="00502A17"/>
    <w:rsid w:val="0050337E"/>
    <w:rsid w:val="005064A6"/>
    <w:rsid w:val="0051097F"/>
    <w:rsid w:val="00513370"/>
    <w:rsid w:val="005145C5"/>
    <w:rsid w:val="005150C0"/>
    <w:rsid w:val="00515C11"/>
    <w:rsid w:val="005176DA"/>
    <w:rsid w:val="0052039E"/>
    <w:rsid w:val="00522F86"/>
    <w:rsid w:val="005235E7"/>
    <w:rsid w:val="00523A52"/>
    <w:rsid w:val="00523F06"/>
    <w:rsid w:val="00526E23"/>
    <w:rsid w:val="005278C1"/>
    <w:rsid w:val="005307CE"/>
    <w:rsid w:val="005348B3"/>
    <w:rsid w:val="00534FC7"/>
    <w:rsid w:val="005358B0"/>
    <w:rsid w:val="00535F7A"/>
    <w:rsid w:val="00540D84"/>
    <w:rsid w:val="005431DF"/>
    <w:rsid w:val="005439C4"/>
    <w:rsid w:val="0054505B"/>
    <w:rsid w:val="0054551C"/>
    <w:rsid w:val="00546439"/>
    <w:rsid w:val="005472D7"/>
    <w:rsid w:val="00547378"/>
    <w:rsid w:val="00550467"/>
    <w:rsid w:val="00551AD5"/>
    <w:rsid w:val="0055363C"/>
    <w:rsid w:val="0055390C"/>
    <w:rsid w:val="00554D06"/>
    <w:rsid w:val="005575E9"/>
    <w:rsid w:val="00557CE4"/>
    <w:rsid w:val="00557D67"/>
    <w:rsid w:val="00560159"/>
    <w:rsid w:val="00560762"/>
    <w:rsid w:val="00560D30"/>
    <w:rsid w:val="005641EA"/>
    <w:rsid w:val="005650B6"/>
    <w:rsid w:val="00570388"/>
    <w:rsid w:val="00574A7A"/>
    <w:rsid w:val="00575857"/>
    <w:rsid w:val="005765AF"/>
    <w:rsid w:val="0057709E"/>
    <w:rsid w:val="00580877"/>
    <w:rsid w:val="005868AE"/>
    <w:rsid w:val="00586CD7"/>
    <w:rsid w:val="00586FE7"/>
    <w:rsid w:val="00590757"/>
    <w:rsid w:val="005910AC"/>
    <w:rsid w:val="005915A8"/>
    <w:rsid w:val="00591AD9"/>
    <w:rsid w:val="00592349"/>
    <w:rsid w:val="005926F5"/>
    <w:rsid w:val="005927FC"/>
    <w:rsid w:val="00592B53"/>
    <w:rsid w:val="005941DA"/>
    <w:rsid w:val="00595C0B"/>
    <w:rsid w:val="00596534"/>
    <w:rsid w:val="0059697F"/>
    <w:rsid w:val="00596F0B"/>
    <w:rsid w:val="005977F0"/>
    <w:rsid w:val="005A1449"/>
    <w:rsid w:val="005A1601"/>
    <w:rsid w:val="005A2F9D"/>
    <w:rsid w:val="005A411F"/>
    <w:rsid w:val="005A4524"/>
    <w:rsid w:val="005A4B0C"/>
    <w:rsid w:val="005A64AF"/>
    <w:rsid w:val="005B0715"/>
    <w:rsid w:val="005B137D"/>
    <w:rsid w:val="005B2099"/>
    <w:rsid w:val="005B275D"/>
    <w:rsid w:val="005B784C"/>
    <w:rsid w:val="005C11EB"/>
    <w:rsid w:val="005C2822"/>
    <w:rsid w:val="005C36D1"/>
    <w:rsid w:val="005C4796"/>
    <w:rsid w:val="005C498F"/>
    <w:rsid w:val="005C6A0E"/>
    <w:rsid w:val="005C7B73"/>
    <w:rsid w:val="005C7D26"/>
    <w:rsid w:val="005D0976"/>
    <w:rsid w:val="005D0D43"/>
    <w:rsid w:val="005D1555"/>
    <w:rsid w:val="005D2432"/>
    <w:rsid w:val="005D2D04"/>
    <w:rsid w:val="005D3357"/>
    <w:rsid w:val="005D6981"/>
    <w:rsid w:val="005E049C"/>
    <w:rsid w:val="005E12AB"/>
    <w:rsid w:val="005E2FA3"/>
    <w:rsid w:val="005E4A1B"/>
    <w:rsid w:val="005E6B08"/>
    <w:rsid w:val="005F0D62"/>
    <w:rsid w:val="005F26E6"/>
    <w:rsid w:val="005F3087"/>
    <w:rsid w:val="005F3A88"/>
    <w:rsid w:val="005F3C8C"/>
    <w:rsid w:val="005F5226"/>
    <w:rsid w:val="005F5B7B"/>
    <w:rsid w:val="005F5D09"/>
    <w:rsid w:val="0060135C"/>
    <w:rsid w:val="006017A4"/>
    <w:rsid w:val="0060192A"/>
    <w:rsid w:val="00601C01"/>
    <w:rsid w:val="006027DE"/>
    <w:rsid w:val="00605146"/>
    <w:rsid w:val="00605F8D"/>
    <w:rsid w:val="00606595"/>
    <w:rsid w:val="0061049C"/>
    <w:rsid w:val="006108D9"/>
    <w:rsid w:val="006115AE"/>
    <w:rsid w:val="00613C5F"/>
    <w:rsid w:val="00613D6A"/>
    <w:rsid w:val="00615722"/>
    <w:rsid w:val="00617A63"/>
    <w:rsid w:val="00620085"/>
    <w:rsid w:val="00621BD2"/>
    <w:rsid w:val="006227F3"/>
    <w:rsid w:val="00623674"/>
    <w:rsid w:val="006242C8"/>
    <w:rsid w:val="00625341"/>
    <w:rsid w:val="006261C6"/>
    <w:rsid w:val="00626B66"/>
    <w:rsid w:val="00633118"/>
    <w:rsid w:val="006339A8"/>
    <w:rsid w:val="006372D4"/>
    <w:rsid w:val="00646368"/>
    <w:rsid w:val="006468FE"/>
    <w:rsid w:val="006503FC"/>
    <w:rsid w:val="00651C7F"/>
    <w:rsid w:val="0065477E"/>
    <w:rsid w:val="00654D3C"/>
    <w:rsid w:val="00656490"/>
    <w:rsid w:val="006565A9"/>
    <w:rsid w:val="00656753"/>
    <w:rsid w:val="00656F00"/>
    <w:rsid w:val="0065705E"/>
    <w:rsid w:val="006570E5"/>
    <w:rsid w:val="00663DAF"/>
    <w:rsid w:val="0066530E"/>
    <w:rsid w:val="00667309"/>
    <w:rsid w:val="006704CD"/>
    <w:rsid w:val="00670BED"/>
    <w:rsid w:val="00673132"/>
    <w:rsid w:val="006735FB"/>
    <w:rsid w:val="00673A9D"/>
    <w:rsid w:val="0067696B"/>
    <w:rsid w:val="006771AD"/>
    <w:rsid w:val="00680A76"/>
    <w:rsid w:val="00681086"/>
    <w:rsid w:val="006810A2"/>
    <w:rsid w:val="0068138D"/>
    <w:rsid w:val="006813F5"/>
    <w:rsid w:val="00682513"/>
    <w:rsid w:val="00682520"/>
    <w:rsid w:val="006827A8"/>
    <w:rsid w:val="00683445"/>
    <w:rsid w:val="00686064"/>
    <w:rsid w:val="006869A0"/>
    <w:rsid w:val="006916CE"/>
    <w:rsid w:val="00691ADA"/>
    <w:rsid w:val="00692A76"/>
    <w:rsid w:val="006931F4"/>
    <w:rsid w:val="00693EFB"/>
    <w:rsid w:val="00696D0A"/>
    <w:rsid w:val="00696F36"/>
    <w:rsid w:val="006A04AF"/>
    <w:rsid w:val="006A11AD"/>
    <w:rsid w:val="006A1D44"/>
    <w:rsid w:val="006A25C5"/>
    <w:rsid w:val="006A3984"/>
    <w:rsid w:val="006A7E94"/>
    <w:rsid w:val="006B12F6"/>
    <w:rsid w:val="006B34F2"/>
    <w:rsid w:val="006B3D38"/>
    <w:rsid w:val="006C1B29"/>
    <w:rsid w:val="006C2F39"/>
    <w:rsid w:val="006C3A75"/>
    <w:rsid w:val="006C3C9B"/>
    <w:rsid w:val="006C59A5"/>
    <w:rsid w:val="006C6163"/>
    <w:rsid w:val="006C6E3F"/>
    <w:rsid w:val="006C7C17"/>
    <w:rsid w:val="006D01F5"/>
    <w:rsid w:val="006D189B"/>
    <w:rsid w:val="006D34A9"/>
    <w:rsid w:val="006E0D46"/>
    <w:rsid w:val="006E0E24"/>
    <w:rsid w:val="006E2A4E"/>
    <w:rsid w:val="006E2D1D"/>
    <w:rsid w:val="006E31D3"/>
    <w:rsid w:val="006E3AA0"/>
    <w:rsid w:val="006E3ABD"/>
    <w:rsid w:val="006E4B5A"/>
    <w:rsid w:val="006E4F74"/>
    <w:rsid w:val="006E5039"/>
    <w:rsid w:val="006E60F2"/>
    <w:rsid w:val="006E6E71"/>
    <w:rsid w:val="006F0C85"/>
    <w:rsid w:val="006F13D7"/>
    <w:rsid w:val="006F50DA"/>
    <w:rsid w:val="006F568C"/>
    <w:rsid w:val="006F648D"/>
    <w:rsid w:val="006F6F68"/>
    <w:rsid w:val="006F74E3"/>
    <w:rsid w:val="006F7673"/>
    <w:rsid w:val="00700557"/>
    <w:rsid w:val="00702367"/>
    <w:rsid w:val="007033CC"/>
    <w:rsid w:val="007044A3"/>
    <w:rsid w:val="00704A8F"/>
    <w:rsid w:val="00707659"/>
    <w:rsid w:val="0071438A"/>
    <w:rsid w:val="007165FB"/>
    <w:rsid w:val="00717BBC"/>
    <w:rsid w:val="00720F74"/>
    <w:rsid w:val="00721443"/>
    <w:rsid w:val="007217BD"/>
    <w:rsid w:val="007231D2"/>
    <w:rsid w:val="007231DE"/>
    <w:rsid w:val="00724607"/>
    <w:rsid w:val="00726D1F"/>
    <w:rsid w:val="00727F11"/>
    <w:rsid w:val="007319A3"/>
    <w:rsid w:val="0073219A"/>
    <w:rsid w:val="00732482"/>
    <w:rsid w:val="00732687"/>
    <w:rsid w:val="00732B66"/>
    <w:rsid w:val="0073313F"/>
    <w:rsid w:val="00734886"/>
    <w:rsid w:val="007356EF"/>
    <w:rsid w:val="00737B56"/>
    <w:rsid w:val="007409DD"/>
    <w:rsid w:val="00743C5D"/>
    <w:rsid w:val="0074472D"/>
    <w:rsid w:val="00744A1B"/>
    <w:rsid w:val="0074578E"/>
    <w:rsid w:val="007458DF"/>
    <w:rsid w:val="00745D2E"/>
    <w:rsid w:val="00746970"/>
    <w:rsid w:val="00746D9A"/>
    <w:rsid w:val="00747BD1"/>
    <w:rsid w:val="00750258"/>
    <w:rsid w:val="00753A11"/>
    <w:rsid w:val="00755215"/>
    <w:rsid w:val="00755507"/>
    <w:rsid w:val="0075763E"/>
    <w:rsid w:val="00760474"/>
    <w:rsid w:val="00760871"/>
    <w:rsid w:val="00761C56"/>
    <w:rsid w:val="007644EC"/>
    <w:rsid w:val="007653B7"/>
    <w:rsid w:val="00766C2B"/>
    <w:rsid w:val="00767D86"/>
    <w:rsid w:val="00767DC6"/>
    <w:rsid w:val="00770C0F"/>
    <w:rsid w:val="00772404"/>
    <w:rsid w:val="00775B0B"/>
    <w:rsid w:val="00776595"/>
    <w:rsid w:val="00776F25"/>
    <w:rsid w:val="00780C71"/>
    <w:rsid w:val="00781EE8"/>
    <w:rsid w:val="00782766"/>
    <w:rsid w:val="00782D4B"/>
    <w:rsid w:val="007856DF"/>
    <w:rsid w:val="00786E54"/>
    <w:rsid w:val="00790067"/>
    <w:rsid w:val="007916CA"/>
    <w:rsid w:val="00792A6A"/>
    <w:rsid w:val="00794476"/>
    <w:rsid w:val="007944EE"/>
    <w:rsid w:val="007962BE"/>
    <w:rsid w:val="007A0FBE"/>
    <w:rsid w:val="007A3280"/>
    <w:rsid w:val="007A351C"/>
    <w:rsid w:val="007A3DFA"/>
    <w:rsid w:val="007A57EA"/>
    <w:rsid w:val="007A5AE1"/>
    <w:rsid w:val="007A5F67"/>
    <w:rsid w:val="007B0659"/>
    <w:rsid w:val="007B165D"/>
    <w:rsid w:val="007B1B50"/>
    <w:rsid w:val="007B2FC1"/>
    <w:rsid w:val="007B44C4"/>
    <w:rsid w:val="007B4882"/>
    <w:rsid w:val="007B5427"/>
    <w:rsid w:val="007C185B"/>
    <w:rsid w:val="007C21A8"/>
    <w:rsid w:val="007C2476"/>
    <w:rsid w:val="007C2769"/>
    <w:rsid w:val="007C397F"/>
    <w:rsid w:val="007C41B0"/>
    <w:rsid w:val="007C4D85"/>
    <w:rsid w:val="007C6768"/>
    <w:rsid w:val="007C6B82"/>
    <w:rsid w:val="007C6E6B"/>
    <w:rsid w:val="007C7343"/>
    <w:rsid w:val="007D1BCC"/>
    <w:rsid w:val="007D2483"/>
    <w:rsid w:val="007D257D"/>
    <w:rsid w:val="007D6661"/>
    <w:rsid w:val="007D6B72"/>
    <w:rsid w:val="007E0085"/>
    <w:rsid w:val="007E0471"/>
    <w:rsid w:val="007E1BC8"/>
    <w:rsid w:val="007E245D"/>
    <w:rsid w:val="007E24AE"/>
    <w:rsid w:val="007E5360"/>
    <w:rsid w:val="007E7FDA"/>
    <w:rsid w:val="007F1D10"/>
    <w:rsid w:val="007F38B9"/>
    <w:rsid w:val="007F396D"/>
    <w:rsid w:val="007F53BD"/>
    <w:rsid w:val="007F5FB4"/>
    <w:rsid w:val="007F6962"/>
    <w:rsid w:val="007F6F7A"/>
    <w:rsid w:val="00801A3B"/>
    <w:rsid w:val="0080284B"/>
    <w:rsid w:val="00802DF8"/>
    <w:rsid w:val="008034C7"/>
    <w:rsid w:val="00803B1F"/>
    <w:rsid w:val="00804701"/>
    <w:rsid w:val="00804C5E"/>
    <w:rsid w:val="00807DA9"/>
    <w:rsid w:val="008109C3"/>
    <w:rsid w:val="00810C03"/>
    <w:rsid w:val="00811177"/>
    <w:rsid w:val="008113C2"/>
    <w:rsid w:val="00811A25"/>
    <w:rsid w:val="008128EA"/>
    <w:rsid w:val="0081300B"/>
    <w:rsid w:val="0081695E"/>
    <w:rsid w:val="00821990"/>
    <w:rsid w:val="00823C23"/>
    <w:rsid w:val="00823CCA"/>
    <w:rsid w:val="00824B8C"/>
    <w:rsid w:val="008262D9"/>
    <w:rsid w:val="0082663C"/>
    <w:rsid w:val="00835EE5"/>
    <w:rsid w:val="00836476"/>
    <w:rsid w:val="008375AA"/>
    <w:rsid w:val="008406B1"/>
    <w:rsid w:val="008418BD"/>
    <w:rsid w:val="00841FC2"/>
    <w:rsid w:val="00844E25"/>
    <w:rsid w:val="008465C6"/>
    <w:rsid w:val="00846AA2"/>
    <w:rsid w:val="00846E06"/>
    <w:rsid w:val="00847975"/>
    <w:rsid w:val="00850AB4"/>
    <w:rsid w:val="008522FF"/>
    <w:rsid w:val="008525F8"/>
    <w:rsid w:val="008529CF"/>
    <w:rsid w:val="00853B76"/>
    <w:rsid w:val="00854230"/>
    <w:rsid w:val="00855E62"/>
    <w:rsid w:val="00855E6F"/>
    <w:rsid w:val="008604B8"/>
    <w:rsid w:val="00860BD3"/>
    <w:rsid w:val="00861A35"/>
    <w:rsid w:val="00863D42"/>
    <w:rsid w:val="008649E9"/>
    <w:rsid w:val="008723BC"/>
    <w:rsid w:val="00873541"/>
    <w:rsid w:val="00874BA5"/>
    <w:rsid w:val="008759A0"/>
    <w:rsid w:val="00881748"/>
    <w:rsid w:val="0088354E"/>
    <w:rsid w:val="008853DE"/>
    <w:rsid w:val="008879E6"/>
    <w:rsid w:val="0089081C"/>
    <w:rsid w:val="00891286"/>
    <w:rsid w:val="00891BF3"/>
    <w:rsid w:val="008946C9"/>
    <w:rsid w:val="00895773"/>
    <w:rsid w:val="00895843"/>
    <w:rsid w:val="00897FDF"/>
    <w:rsid w:val="008A0A53"/>
    <w:rsid w:val="008A1709"/>
    <w:rsid w:val="008A23AB"/>
    <w:rsid w:val="008A31C3"/>
    <w:rsid w:val="008A3246"/>
    <w:rsid w:val="008A5D09"/>
    <w:rsid w:val="008B0B96"/>
    <w:rsid w:val="008B10A2"/>
    <w:rsid w:val="008B1AAE"/>
    <w:rsid w:val="008B1FDA"/>
    <w:rsid w:val="008B2A4C"/>
    <w:rsid w:val="008B3017"/>
    <w:rsid w:val="008B73F2"/>
    <w:rsid w:val="008B7F20"/>
    <w:rsid w:val="008C26F4"/>
    <w:rsid w:val="008C2B24"/>
    <w:rsid w:val="008D1296"/>
    <w:rsid w:val="008D13B0"/>
    <w:rsid w:val="008D2064"/>
    <w:rsid w:val="008D616C"/>
    <w:rsid w:val="008D66F4"/>
    <w:rsid w:val="008D72AC"/>
    <w:rsid w:val="008D7CA3"/>
    <w:rsid w:val="008E2ECB"/>
    <w:rsid w:val="008E3438"/>
    <w:rsid w:val="008E39D6"/>
    <w:rsid w:val="008E3CC7"/>
    <w:rsid w:val="008E3EBF"/>
    <w:rsid w:val="008E4417"/>
    <w:rsid w:val="008E7CB1"/>
    <w:rsid w:val="008F0985"/>
    <w:rsid w:val="008F0B43"/>
    <w:rsid w:val="008F46FD"/>
    <w:rsid w:val="008F578E"/>
    <w:rsid w:val="008F6A81"/>
    <w:rsid w:val="008F6D84"/>
    <w:rsid w:val="008F7A87"/>
    <w:rsid w:val="008F7B78"/>
    <w:rsid w:val="009015F6"/>
    <w:rsid w:val="00906574"/>
    <w:rsid w:val="009069E7"/>
    <w:rsid w:val="00906E78"/>
    <w:rsid w:val="009070D3"/>
    <w:rsid w:val="00907103"/>
    <w:rsid w:val="0091119B"/>
    <w:rsid w:val="0091171F"/>
    <w:rsid w:val="00912358"/>
    <w:rsid w:val="0091274D"/>
    <w:rsid w:val="00914534"/>
    <w:rsid w:val="009162E4"/>
    <w:rsid w:val="009164BF"/>
    <w:rsid w:val="00917376"/>
    <w:rsid w:val="0092188E"/>
    <w:rsid w:val="00922051"/>
    <w:rsid w:val="00922AC7"/>
    <w:rsid w:val="00922C1D"/>
    <w:rsid w:val="00924850"/>
    <w:rsid w:val="0092556B"/>
    <w:rsid w:val="00925FF0"/>
    <w:rsid w:val="00926F67"/>
    <w:rsid w:val="0092705A"/>
    <w:rsid w:val="0092746F"/>
    <w:rsid w:val="00932393"/>
    <w:rsid w:val="00932711"/>
    <w:rsid w:val="009346D6"/>
    <w:rsid w:val="00934A48"/>
    <w:rsid w:val="009359C3"/>
    <w:rsid w:val="00936072"/>
    <w:rsid w:val="00937C1A"/>
    <w:rsid w:val="00937DCE"/>
    <w:rsid w:val="0094239E"/>
    <w:rsid w:val="00942CBA"/>
    <w:rsid w:val="00943E34"/>
    <w:rsid w:val="00944374"/>
    <w:rsid w:val="009456E4"/>
    <w:rsid w:val="00945AC6"/>
    <w:rsid w:val="00945F99"/>
    <w:rsid w:val="0095159B"/>
    <w:rsid w:val="009515E9"/>
    <w:rsid w:val="00951CA0"/>
    <w:rsid w:val="00953831"/>
    <w:rsid w:val="00953FC8"/>
    <w:rsid w:val="00954BE8"/>
    <w:rsid w:val="00955262"/>
    <w:rsid w:val="00955B18"/>
    <w:rsid w:val="009561B7"/>
    <w:rsid w:val="00957212"/>
    <w:rsid w:val="0095755B"/>
    <w:rsid w:val="009577F7"/>
    <w:rsid w:val="0096043B"/>
    <w:rsid w:val="00960815"/>
    <w:rsid w:val="0096163A"/>
    <w:rsid w:val="00970744"/>
    <w:rsid w:val="009737FA"/>
    <w:rsid w:val="009747E9"/>
    <w:rsid w:val="00975B37"/>
    <w:rsid w:val="009766E1"/>
    <w:rsid w:val="00977BE4"/>
    <w:rsid w:val="00980213"/>
    <w:rsid w:val="0098162D"/>
    <w:rsid w:val="0098256B"/>
    <w:rsid w:val="009847B9"/>
    <w:rsid w:val="0098547C"/>
    <w:rsid w:val="009870B9"/>
    <w:rsid w:val="00991B47"/>
    <w:rsid w:val="00991C7E"/>
    <w:rsid w:val="00993BEF"/>
    <w:rsid w:val="009956EE"/>
    <w:rsid w:val="00995E53"/>
    <w:rsid w:val="00997F2D"/>
    <w:rsid w:val="009A0470"/>
    <w:rsid w:val="009A3619"/>
    <w:rsid w:val="009A3B75"/>
    <w:rsid w:val="009A4500"/>
    <w:rsid w:val="009A4DD1"/>
    <w:rsid w:val="009A55EC"/>
    <w:rsid w:val="009A778D"/>
    <w:rsid w:val="009A7DE3"/>
    <w:rsid w:val="009B1F66"/>
    <w:rsid w:val="009B2C32"/>
    <w:rsid w:val="009B2C5A"/>
    <w:rsid w:val="009B353A"/>
    <w:rsid w:val="009B3EDE"/>
    <w:rsid w:val="009B534C"/>
    <w:rsid w:val="009B6D3C"/>
    <w:rsid w:val="009C092E"/>
    <w:rsid w:val="009C0CEE"/>
    <w:rsid w:val="009C199D"/>
    <w:rsid w:val="009C3BF1"/>
    <w:rsid w:val="009C6145"/>
    <w:rsid w:val="009C619B"/>
    <w:rsid w:val="009C69E7"/>
    <w:rsid w:val="009C6E21"/>
    <w:rsid w:val="009C72AC"/>
    <w:rsid w:val="009C76EE"/>
    <w:rsid w:val="009D0FBF"/>
    <w:rsid w:val="009D23D3"/>
    <w:rsid w:val="009D2D17"/>
    <w:rsid w:val="009D31B9"/>
    <w:rsid w:val="009D3AED"/>
    <w:rsid w:val="009D4097"/>
    <w:rsid w:val="009D4BFB"/>
    <w:rsid w:val="009D4F50"/>
    <w:rsid w:val="009D7999"/>
    <w:rsid w:val="009E0F50"/>
    <w:rsid w:val="009E2A53"/>
    <w:rsid w:val="009E2BAF"/>
    <w:rsid w:val="009E2C01"/>
    <w:rsid w:val="009E4E76"/>
    <w:rsid w:val="009E682D"/>
    <w:rsid w:val="009E75AA"/>
    <w:rsid w:val="009E7A65"/>
    <w:rsid w:val="009F2072"/>
    <w:rsid w:val="009F5FC6"/>
    <w:rsid w:val="009F7824"/>
    <w:rsid w:val="00A000E0"/>
    <w:rsid w:val="00A00DCD"/>
    <w:rsid w:val="00A01519"/>
    <w:rsid w:val="00A019AE"/>
    <w:rsid w:val="00A01D5E"/>
    <w:rsid w:val="00A02D61"/>
    <w:rsid w:val="00A03C62"/>
    <w:rsid w:val="00A044B2"/>
    <w:rsid w:val="00A05FF7"/>
    <w:rsid w:val="00A0710D"/>
    <w:rsid w:val="00A10ED5"/>
    <w:rsid w:val="00A12E17"/>
    <w:rsid w:val="00A14F66"/>
    <w:rsid w:val="00A214B8"/>
    <w:rsid w:val="00A218E9"/>
    <w:rsid w:val="00A23989"/>
    <w:rsid w:val="00A24D3F"/>
    <w:rsid w:val="00A2602C"/>
    <w:rsid w:val="00A26129"/>
    <w:rsid w:val="00A27A4E"/>
    <w:rsid w:val="00A27EDC"/>
    <w:rsid w:val="00A30380"/>
    <w:rsid w:val="00A3065B"/>
    <w:rsid w:val="00A30A4D"/>
    <w:rsid w:val="00A31F64"/>
    <w:rsid w:val="00A32FE0"/>
    <w:rsid w:val="00A345D6"/>
    <w:rsid w:val="00A35544"/>
    <w:rsid w:val="00A360D4"/>
    <w:rsid w:val="00A36713"/>
    <w:rsid w:val="00A37480"/>
    <w:rsid w:val="00A41966"/>
    <w:rsid w:val="00A424C0"/>
    <w:rsid w:val="00A448CD"/>
    <w:rsid w:val="00A45090"/>
    <w:rsid w:val="00A45BF5"/>
    <w:rsid w:val="00A46EBB"/>
    <w:rsid w:val="00A5003F"/>
    <w:rsid w:val="00A50528"/>
    <w:rsid w:val="00A5077E"/>
    <w:rsid w:val="00A51FB0"/>
    <w:rsid w:val="00A52B20"/>
    <w:rsid w:val="00A54716"/>
    <w:rsid w:val="00A54AB8"/>
    <w:rsid w:val="00A55E9A"/>
    <w:rsid w:val="00A579E9"/>
    <w:rsid w:val="00A57B37"/>
    <w:rsid w:val="00A6088B"/>
    <w:rsid w:val="00A62FCD"/>
    <w:rsid w:val="00A64379"/>
    <w:rsid w:val="00A650E3"/>
    <w:rsid w:val="00A65D57"/>
    <w:rsid w:val="00A66119"/>
    <w:rsid w:val="00A66538"/>
    <w:rsid w:val="00A66C8C"/>
    <w:rsid w:val="00A67468"/>
    <w:rsid w:val="00A704CF"/>
    <w:rsid w:val="00A714F3"/>
    <w:rsid w:val="00A7250C"/>
    <w:rsid w:val="00A76EFC"/>
    <w:rsid w:val="00A8026E"/>
    <w:rsid w:val="00A82799"/>
    <w:rsid w:val="00A83627"/>
    <w:rsid w:val="00A84772"/>
    <w:rsid w:val="00A85F2F"/>
    <w:rsid w:val="00A868D1"/>
    <w:rsid w:val="00A8728A"/>
    <w:rsid w:val="00A933A5"/>
    <w:rsid w:val="00A944E8"/>
    <w:rsid w:val="00A94691"/>
    <w:rsid w:val="00A94C59"/>
    <w:rsid w:val="00A95EC8"/>
    <w:rsid w:val="00A97433"/>
    <w:rsid w:val="00A97F1E"/>
    <w:rsid w:val="00AA2605"/>
    <w:rsid w:val="00AA3356"/>
    <w:rsid w:val="00AA69F6"/>
    <w:rsid w:val="00AA7126"/>
    <w:rsid w:val="00AA7F0E"/>
    <w:rsid w:val="00AA7F8D"/>
    <w:rsid w:val="00AB0980"/>
    <w:rsid w:val="00AB273A"/>
    <w:rsid w:val="00AB31B4"/>
    <w:rsid w:val="00AB4C1F"/>
    <w:rsid w:val="00AB4CD2"/>
    <w:rsid w:val="00AB5D40"/>
    <w:rsid w:val="00AB6B27"/>
    <w:rsid w:val="00AB6BB2"/>
    <w:rsid w:val="00AB75CE"/>
    <w:rsid w:val="00AC0FD9"/>
    <w:rsid w:val="00AC1DA8"/>
    <w:rsid w:val="00AC2BC5"/>
    <w:rsid w:val="00AC39DE"/>
    <w:rsid w:val="00AC3B02"/>
    <w:rsid w:val="00AC40E7"/>
    <w:rsid w:val="00AC412A"/>
    <w:rsid w:val="00AC4F07"/>
    <w:rsid w:val="00AC5DB0"/>
    <w:rsid w:val="00AC72DA"/>
    <w:rsid w:val="00AD17F5"/>
    <w:rsid w:val="00AD2544"/>
    <w:rsid w:val="00AD31C8"/>
    <w:rsid w:val="00AD4CEA"/>
    <w:rsid w:val="00AD546A"/>
    <w:rsid w:val="00AE0739"/>
    <w:rsid w:val="00AE1F84"/>
    <w:rsid w:val="00AE4114"/>
    <w:rsid w:val="00AE6CB9"/>
    <w:rsid w:val="00AF1040"/>
    <w:rsid w:val="00AF5770"/>
    <w:rsid w:val="00AF66BA"/>
    <w:rsid w:val="00AF6C36"/>
    <w:rsid w:val="00AF715E"/>
    <w:rsid w:val="00AF7291"/>
    <w:rsid w:val="00AF7888"/>
    <w:rsid w:val="00B010B1"/>
    <w:rsid w:val="00B010DE"/>
    <w:rsid w:val="00B02170"/>
    <w:rsid w:val="00B02A0F"/>
    <w:rsid w:val="00B033B2"/>
    <w:rsid w:val="00B0378C"/>
    <w:rsid w:val="00B10258"/>
    <w:rsid w:val="00B11D12"/>
    <w:rsid w:val="00B125A3"/>
    <w:rsid w:val="00B150DA"/>
    <w:rsid w:val="00B16284"/>
    <w:rsid w:val="00B214A3"/>
    <w:rsid w:val="00B215BA"/>
    <w:rsid w:val="00B2263D"/>
    <w:rsid w:val="00B26476"/>
    <w:rsid w:val="00B272ED"/>
    <w:rsid w:val="00B32C03"/>
    <w:rsid w:val="00B3324B"/>
    <w:rsid w:val="00B354F7"/>
    <w:rsid w:val="00B3627A"/>
    <w:rsid w:val="00B36B43"/>
    <w:rsid w:val="00B41C99"/>
    <w:rsid w:val="00B45295"/>
    <w:rsid w:val="00B45C52"/>
    <w:rsid w:val="00B46945"/>
    <w:rsid w:val="00B56E01"/>
    <w:rsid w:val="00B60235"/>
    <w:rsid w:val="00B654E9"/>
    <w:rsid w:val="00B659FD"/>
    <w:rsid w:val="00B65E57"/>
    <w:rsid w:val="00B67720"/>
    <w:rsid w:val="00B70D1A"/>
    <w:rsid w:val="00B7198C"/>
    <w:rsid w:val="00B729D5"/>
    <w:rsid w:val="00B744B0"/>
    <w:rsid w:val="00B75570"/>
    <w:rsid w:val="00B75F80"/>
    <w:rsid w:val="00B76657"/>
    <w:rsid w:val="00B77F0B"/>
    <w:rsid w:val="00B802E0"/>
    <w:rsid w:val="00B82A83"/>
    <w:rsid w:val="00B84E50"/>
    <w:rsid w:val="00B87181"/>
    <w:rsid w:val="00B87DE1"/>
    <w:rsid w:val="00B87DE8"/>
    <w:rsid w:val="00B9016D"/>
    <w:rsid w:val="00B90C44"/>
    <w:rsid w:val="00B92457"/>
    <w:rsid w:val="00B926BF"/>
    <w:rsid w:val="00B9328F"/>
    <w:rsid w:val="00B93A49"/>
    <w:rsid w:val="00B93D54"/>
    <w:rsid w:val="00B940E8"/>
    <w:rsid w:val="00B95D87"/>
    <w:rsid w:val="00BA00F5"/>
    <w:rsid w:val="00BA4D9E"/>
    <w:rsid w:val="00BA537A"/>
    <w:rsid w:val="00BB15FC"/>
    <w:rsid w:val="00BB1D32"/>
    <w:rsid w:val="00BB49B1"/>
    <w:rsid w:val="00BB4ACF"/>
    <w:rsid w:val="00BB4EDE"/>
    <w:rsid w:val="00BB69C1"/>
    <w:rsid w:val="00BC062A"/>
    <w:rsid w:val="00BC1270"/>
    <w:rsid w:val="00BC1755"/>
    <w:rsid w:val="00BC3027"/>
    <w:rsid w:val="00BC3E32"/>
    <w:rsid w:val="00BC3F20"/>
    <w:rsid w:val="00BC50AF"/>
    <w:rsid w:val="00BC5706"/>
    <w:rsid w:val="00BC6338"/>
    <w:rsid w:val="00BD02BA"/>
    <w:rsid w:val="00BD3C43"/>
    <w:rsid w:val="00BD3ED7"/>
    <w:rsid w:val="00BD4F99"/>
    <w:rsid w:val="00BD6AED"/>
    <w:rsid w:val="00BD6E69"/>
    <w:rsid w:val="00BD6FE6"/>
    <w:rsid w:val="00BD7020"/>
    <w:rsid w:val="00BE39B3"/>
    <w:rsid w:val="00BE3BFC"/>
    <w:rsid w:val="00BE45A9"/>
    <w:rsid w:val="00BE7810"/>
    <w:rsid w:val="00BF0859"/>
    <w:rsid w:val="00BF267B"/>
    <w:rsid w:val="00BF2979"/>
    <w:rsid w:val="00BF38D4"/>
    <w:rsid w:val="00BF6448"/>
    <w:rsid w:val="00C00C7A"/>
    <w:rsid w:val="00C02198"/>
    <w:rsid w:val="00C02F27"/>
    <w:rsid w:val="00C0312F"/>
    <w:rsid w:val="00C03838"/>
    <w:rsid w:val="00C03C4D"/>
    <w:rsid w:val="00C0480E"/>
    <w:rsid w:val="00C05A0B"/>
    <w:rsid w:val="00C06173"/>
    <w:rsid w:val="00C07CC4"/>
    <w:rsid w:val="00C11E9A"/>
    <w:rsid w:val="00C12431"/>
    <w:rsid w:val="00C12C1E"/>
    <w:rsid w:val="00C13053"/>
    <w:rsid w:val="00C13CE1"/>
    <w:rsid w:val="00C154A8"/>
    <w:rsid w:val="00C15839"/>
    <w:rsid w:val="00C16452"/>
    <w:rsid w:val="00C165D8"/>
    <w:rsid w:val="00C21E21"/>
    <w:rsid w:val="00C22A78"/>
    <w:rsid w:val="00C2473C"/>
    <w:rsid w:val="00C24E0A"/>
    <w:rsid w:val="00C252B9"/>
    <w:rsid w:val="00C25EFB"/>
    <w:rsid w:val="00C26483"/>
    <w:rsid w:val="00C30598"/>
    <w:rsid w:val="00C325BA"/>
    <w:rsid w:val="00C32AA6"/>
    <w:rsid w:val="00C32ECF"/>
    <w:rsid w:val="00C34EE3"/>
    <w:rsid w:val="00C3702B"/>
    <w:rsid w:val="00C37FBF"/>
    <w:rsid w:val="00C43797"/>
    <w:rsid w:val="00C43801"/>
    <w:rsid w:val="00C43B6E"/>
    <w:rsid w:val="00C43CA8"/>
    <w:rsid w:val="00C46936"/>
    <w:rsid w:val="00C4718C"/>
    <w:rsid w:val="00C47EDD"/>
    <w:rsid w:val="00C5002C"/>
    <w:rsid w:val="00C50F63"/>
    <w:rsid w:val="00C51799"/>
    <w:rsid w:val="00C53EC7"/>
    <w:rsid w:val="00C54918"/>
    <w:rsid w:val="00C556EF"/>
    <w:rsid w:val="00C55B5D"/>
    <w:rsid w:val="00C57249"/>
    <w:rsid w:val="00C61A4E"/>
    <w:rsid w:val="00C62AF8"/>
    <w:rsid w:val="00C64906"/>
    <w:rsid w:val="00C65191"/>
    <w:rsid w:val="00C65BBF"/>
    <w:rsid w:val="00C70EB4"/>
    <w:rsid w:val="00C7258A"/>
    <w:rsid w:val="00C72CDA"/>
    <w:rsid w:val="00C72F5E"/>
    <w:rsid w:val="00C73BD8"/>
    <w:rsid w:val="00C7434D"/>
    <w:rsid w:val="00C74AFA"/>
    <w:rsid w:val="00C7501D"/>
    <w:rsid w:val="00C75290"/>
    <w:rsid w:val="00C7549C"/>
    <w:rsid w:val="00C75DF9"/>
    <w:rsid w:val="00C7674B"/>
    <w:rsid w:val="00C76C29"/>
    <w:rsid w:val="00C76E37"/>
    <w:rsid w:val="00C77552"/>
    <w:rsid w:val="00C777D3"/>
    <w:rsid w:val="00C817C8"/>
    <w:rsid w:val="00C81CB4"/>
    <w:rsid w:val="00C83DD6"/>
    <w:rsid w:val="00C84B74"/>
    <w:rsid w:val="00C85ADD"/>
    <w:rsid w:val="00C85CCB"/>
    <w:rsid w:val="00C87ED5"/>
    <w:rsid w:val="00C94FCB"/>
    <w:rsid w:val="00C965A9"/>
    <w:rsid w:val="00C977FE"/>
    <w:rsid w:val="00CA2C04"/>
    <w:rsid w:val="00CA331B"/>
    <w:rsid w:val="00CA3E62"/>
    <w:rsid w:val="00CA4AF0"/>
    <w:rsid w:val="00CA70BF"/>
    <w:rsid w:val="00CA7604"/>
    <w:rsid w:val="00CB0BCF"/>
    <w:rsid w:val="00CB2079"/>
    <w:rsid w:val="00CB24C4"/>
    <w:rsid w:val="00CB3542"/>
    <w:rsid w:val="00CB5AA4"/>
    <w:rsid w:val="00CB5CF7"/>
    <w:rsid w:val="00CB6F5A"/>
    <w:rsid w:val="00CB74FE"/>
    <w:rsid w:val="00CC06DC"/>
    <w:rsid w:val="00CC2C69"/>
    <w:rsid w:val="00CC367F"/>
    <w:rsid w:val="00CC4968"/>
    <w:rsid w:val="00CC4BCC"/>
    <w:rsid w:val="00CC57A2"/>
    <w:rsid w:val="00CC7348"/>
    <w:rsid w:val="00CD0EEE"/>
    <w:rsid w:val="00CD1A35"/>
    <w:rsid w:val="00CD2BDD"/>
    <w:rsid w:val="00CD3250"/>
    <w:rsid w:val="00CD505D"/>
    <w:rsid w:val="00CD546C"/>
    <w:rsid w:val="00CD681C"/>
    <w:rsid w:val="00CE0106"/>
    <w:rsid w:val="00CE046A"/>
    <w:rsid w:val="00CE21C7"/>
    <w:rsid w:val="00CE423A"/>
    <w:rsid w:val="00CE6A17"/>
    <w:rsid w:val="00CE7707"/>
    <w:rsid w:val="00CE796B"/>
    <w:rsid w:val="00CF013A"/>
    <w:rsid w:val="00CF0BDE"/>
    <w:rsid w:val="00CF148A"/>
    <w:rsid w:val="00CF3032"/>
    <w:rsid w:val="00CF62E8"/>
    <w:rsid w:val="00CF6DD5"/>
    <w:rsid w:val="00CF7116"/>
    <w:rsid w:val="00D00050"/>
    <w:rsid w:val="00D02302"/>
    <w:rsid w:val="00D049E8"/>
    <w:rsid w:val="00D04B7D"/>
    <w:rsid w:val="00D04F9B"/>
    <w:rsid w:val="00D0648A"/>
    <w:rsid w:val="00D07834"/>
    <w:rsid w:val="00D10A04"/>
    <w:rsid w:val="00D11C2D"/>
    <w:rsid w:val="00D12224"/>
    <w:rsid w:val="00D12B9A"/>
    <w:rsid w:val="00D12DA8"/>
    <w:rsid w:val="00D12E4D"/>
    <w:rsid w:val="00D13AEA"/>
    <w:rsid w:val="00D141DE"/>
    <w:rsid w:val="00D1463C"/>
    <w:rsid w:val="00D14C37"/>
    <w:rsid w:val="00D14DED"/>
    <w:rsid w:val="00D1505A"/>
    <w:rsid w:val="00D150A6"/>
    <w:rsid w:val="00D1622C"/>
    <w:rsid w:val="00D178F1"/>
    <w:rsid w:val="00D20051"/>
    <w:rsid w:val="00D200A3"/>
    <w:rsid w:val="00D20DDC"/>
    <w:rsid w:val="00D21039"/>
    <w:rsid w:val="00D24845"/>
    <w:rsid w:val="00D262B5"/>
    <w:rsid w:val="00D27A59"/>
    <w:rsid w:val="00D31C6F"/>
    <w:rsid w:val="00D320F7"/>
    <w:rsid w:val="00D33417"/>
    <w:rsid w:val="00D33C31"/>
    <w:rsid w:val="00D33EE4"/>
    <w:rsid w:val="00D343F2"/>
    <w:rsid w:val="00D359C6"/>
    <w:rsid w:val="00D35C65"/>
    <w:rsid w:val="00D371FD"/>
    <w:rsid w:val="00D376E6"/>
    <w:rsid w:val="00D40481"/>
    <w:rsid w:val="00D41B3B"/>
    <w:rsid w:val="00D435D5"/>
    <w:rsid w:val="00D4739A"/>
    <w:rsid w:val="00D54E5B"/>
    <w:rsid w:val="00D602D1"/>
    <w:rsid w:val="00D65B60"/>
    <w:rsid w:val="00D65CE9"/>
    <w:rsid w:val="00D665FE"/>
    <w:rsid w:val="00D67743"/>
    <w:rsid w:val="00D70250"/>
    <w:rsid w:val="00D70592"/>
    <w:rsid w:val="00D712BD"/>
    <w:rsid w:val="00D71390"/>
    <w:rsid w:val="00D71F08"/>
    <w:rsid w:val="00D73DE5"/>
    <w:rsid w:val="00D7531D"/>
    <w:rsid w:val="00D756CA"/>
    <w:rsid w:val="00D761C4"/>
    <w:rsid w:val="00D771CD"/>
    <w:rsid w:val="00D772C5"/>
    <w:rsid w:val="00D851F3"/>
    <w:rsid w:val="00D85442"/>
    <w:rsid w:val="00D85542"/>
    <w:rsid w:val="00D85E48"/>
    <w:rsid w:val="00D86553"/>
    <w:rsid w:val="00D90AC6"/>
    <w:rsid w:val="00D920E0"/>
    <w:rsid w:val="00D94A86"/>
    <w:rsid w:val="00D952EE"/>
    <w:rsid w:val="00D9641F"/>
    <w:rsid w:val="00D9739D"/>
    <w:rsid w:val="00DA334E"/>
    <w:rsid w:val="00DA4CB9"/>
    <w:rsid w:val="00DB1637"/>
    <w:rsid w:val="00DB3005"/>
    <w:rsid w:val="00DB37ED"/>
    <w:rsid w:val="00DB45A8"/>
    <w:rsid w:val="00DB4E8F"/>
    <w:rsid w:val="00DB54B8"/>
    <w:rsid w:val="00DB5EB9"/>
    <w:rsid w:val="00DB6DED"/>
    <w:rsid w:val="00DB78F0"/>
    <w:rsid w:val="00DC11D4"/>
    <w:rsid w:val="00DC1224"/>
    <w:rsid w:val="00DC130E"/>
    <w:rsid w:val="00DC1475"/>
    <w:rsid w:val="00DC296F"/>
    <w:rsid w:val="00DC40A2"/>
    <w:rsid w:val="00DC42E1"/>
    <w:rsid w:val="00DC4CB0"/>
    <w:rsid w:val="00DC51B0"/>
    <w:rsid w:val="00DC7E3A"/>
    <w:rsid w:val="00DD315F"/>
    <w:rsid w:val="00DD46D0"/>
    <w:rsid w:val="00DD5D2B"/>
    <w:rsid w:val="00DD78C4"/>
    <w:rsid w:val="00DE0318"/>
    <w:rsid w:val="00DE09FA"/>
    <w:rsid w:val="00DE1712"/>
    <w:rsid w:val="00DE2109"/>
    <w:rsid w:val="00DE2F9C"/>
    <w:rsid w:val="00DE3106"/>
    <w:rsid w:val="00DE4FF2"/>
    <w:rsid w:val="00DE5CBF"/>
    <w:rsid w:val="00DE7526"/>
    <w:rsid w:val="00DE75B5"/>
    <w:rsid w:val="00DF031E"/>
    <w:rsid w:val="00DF330E"/>
    <w:rsid w:val="00DF3F9A"/>
    <w:rsid w:val="00DF70D5"/>
    <w:rsid w:val="00DF7137"/>
    <w:rsid w:val="00E0023F"/>
    <w:rsid w:val="00E01F02"/>
    <w:rsid w:val="00E03286"/>
    <w:rsid w:val="00E03BD2"/>
    <w:rsid w:val="00E04145"/>
    <w:rsid w:val="00E0539A"/>
    <w:rsid w:val="00E07D76"/>
    <w:rsid w:val="00E1011B"/>
    <w:rsid w:val="00E1088F"/>
    <w:rsid w:val="00E11A09"/>
    <w:rsid w:val="00E131D9"/>
    <w:rsid w:val="00E16133"/>
    <w:rsid w:val="00E166CD"/>
    <w:rsid w:val="00E16FEA"/>
    <w:rsid w:val="00E20741"/>
    <w:rsid w:val="00E20E2D"/>
    <w:rsid w:val="00E21862"/>
    <w:rsid w:val="00E220F7"/>
    <w:rsid w:val="00E22894"/>
    <w:rsid w:val="00E30CF9"/>
    <w:rsid w:val="00E34075"/>
    <w:rsid w:val="00E343BD"/>
    <w:rsid w:val="00E3697A"/>
    <w:rsid w:val="00E40276"/>
    <w:rsid w:val="00E408BE"/>
    <w:rsid w:val="00E40D69"/>
    <w:rsid w:val="00E41F67"/>
    <w:rsid w:val="00E421C3"/>
    <w:rsid w:val="00E44BF4"/>
    <w:rsid w:val="00E50EE0"/>
    <w:rsid w:val="00E50FF6"/>
    <w:rsid w:val="00E55A7F"/>
    <w:rsid w:val="00E5650C"/>
    <w:rsid w:val="00E57B85"/>
    <w:rsid w:val="00E62674"/>
    <w:rsid w:val="00E6451F"/>
    <w:rsid w:val="00E658F0"/>
    <w:rsid w:val="00E65BA6"/>
    <w:rsid w:val="00E6641F"/>
    <w:rsid w:val="00E66C13"/>
    <w:rsid w:val="00E70BC5"/>
    <w:rsid w:val="00E71D91"/>
    <w:rsid w:val="00E751BA"/>
    <w:rsid w:val="00E813B2"/>
    <w:rsid w:val="00E81E0E"/>
    <w:rsid w:val="00E837B1"/>
    <w:rsid w:val="00E839AB"/>
    <w:rsid w:val="00E83A81"/>
    <w:rsid w:val="00E865C9"/>
    <w:rsid w:val="00E871C5"/>
    <w:rsid w:val="00E9155C"/>
    <w:rsid w:val="00E915F0"/>
    <w:rsid w:val="00E9386F"/>
    <w:rsid w:val="00E93D46"/>
    <w:rsid w:val="00E94342"/>
    <w:rsid w:val="00E966DA"/>
    <w:rsid w:val="00E97CF5"/>
    <w:rsid w:val="00E97EA8"/>
    <w:rsid w:val="00EA1319"/>
    <w:rsid w:val="00EA153F"/>
    <w:rsid w:val="00EA24CD"/>
    <w:rsid w:val="00EA300C"/>
    <w:rsid w:val="00EA4CBD"/>
    <w:rsid w:val="00EA5C50"/>
    <w:rsid w:val="00EB1CB4"/>
    <w:rsid w:val="00EB5407"/>
    <w:rsid w:val="00EB6888"/>
    <w:rsid w:val="00EB6918"/>
    <w:rsid w:val="00EB6AFD"/>
    <w:rsid w:val="00EB78CA"/>
    <w:rsid w:val="00EC0873"/>
    <w:rsid w:val="00EC14A3"/>
    <w:rsid w:val="00EC2055"/>
    <w:rsid w:val="00EC3B42"/>
    <w:rsid w:val="00EC3D06"/>
    <w:rsid w:val="00EC4B19"/>
    <w:rsid w:val="00EC6704"/>
    <w:rsid w:val="00EC685A"/>
    <w:rsid w:val="00ED0A65"/>
    <w:rsid w:val="00ED1279"/>
    <w:rsid w:val="00ED12B7"/>
    <w:rsid w:val="00ED62F6"/>
    <w:rsid w:val="00ED7907"/>
    <w:rsid w:val="00EE0F29"/>
    <w:rsid w:val="00EE160F"/>
    <w:rsid w:val="00EE1713"/>
    <w:rsid w:val="00EE172C"/>
    <w:rsid w:val="00EE262B"/>
    <w:rsid w:val="00EE3AB9"/>
    <w:rsid w:val="00EE66F1"/>
    <w:rsid w:val="00EE674D"/>
    <w:rsid w:val="00EE718C"/>
    <w:rsid w:val="00EE77D8"/>
    <w:rsid w:val="00EE7843"/>
    <w:rsid w:val="00EF37FB"/>
    <w:rsid w:val="00EF3C74"/>
    <w:rsid w:val="00EF3DA9"/>
    <w:rsid w:val="00EF49AE"/>
    <w:rsid w:val="00EF6B07"/>
    <w:rsid w:val="00EF7BD1"/>
    <w:rsid w:val="00EF7F4F"/>
    <w:rsid w:val="00F00E84"/>
    <w:rsid w:val="00F01AFD"/>
    <w:rsid w:val="00F01D08"/>
    <w:rsid w:val="00F03AB4"/>
    <w:rsid w:val="00F03F94"/>
    <w:rsid w:val="00F04A2C"/>
    <w:rsid w:val="00F04A78"/>
    <w:rsid w:val="00F06869"/>
    <w:rsid w:val="00F06964"/>
    <w:rsid w:val="00F07873"/>
    <w:rsid w:val="00F07C0A"/>
    <w:rsid w:val="00F110D8"/>
    <w:rsid w:val="00F1176F"/>
    <w:rsid w:val="00F158A0"/>
    <w:rsid w:val="00F163BD"/>
    <w:rsid w:val="00F16BB1"/>
    <w:rsid w:val="00F16EA2"/>
    <w:rsid w:val="00F17B2A"/>
    <w:rsid w:val="00F21BAD"/>
    <w:rsid w:val="00F26C51"/>
    <w:rsid w:val="00F30475"/>
    <w:rsid w:val="00F31438"/>
    <w:rsid w:val="00F315E6"/>
    <w:rsid w:val="00F339CD"/>
    <w:rsid w:val="00F3483C"/>
    <w:rsid w:val="00F34A32"/>
    <w:rsid w:val="00F34A9D"/>
    <w:rsid w:val="00F357EE"/>
    <w:rsid w:val="00F35E76"/>
    <w:rsid w:val="00F3777F"/>
    <w:rsid w:val="00F41E02"/>
    <w:rsid w:val="00F447ED"/>
    <w:rsid w:val="00F4535A"/>
    <w:rsid w:val="00F47426"/>
    <w:rsid w:val="00F47EB6"/>
    <w:rsid w:val="00F50A4B"/>
    <w:rsid w:val="00F51A82"/>
    <w:rsid w:val="00F53404"/>
    <w:rsid w:val="00F54569"/>
    <w:rsid w:val="00F546E9"/>
    <w:rsid w:val="00F54EAD"/>
    <w:rsid w:val="00F56BC5"/>
    <w:rsid w:val="00F56CCB"/>
    <w:rsid w:val="00F57587"/>
    <w:rsid w:val="00F61394"/>
    <w:rsid w:val="00F6189C"/>
    <w:rsid w:val="00F63CA0"/>
    <w:rsid w:val="00F64316"/>
    <w:rsid w:val="00F647CD"/>
    <w:rsid w:val="00F64A9D"/>
    <w:rsid w:val="00F65D87"/>
    <w:rsid w:val="00F66AAC"/>
    <w:rsid w:val="00F71088"/>
    <w:rsid w:val="00F76CD3"/>
    <w:rsid w:val="00F801DB"/>
    <w:rsid w:val="00F80E78"/>
    <w:rsid w:val="00F81BC3"/>
    <w:rsid w:val="00F828C6"/>
    <w:rsid w:val="00F842BF"/>
    <w:rsid w:val="00F851A3"/>
    <w:rsid w:val="00F85718"/>
    <w:rsid w:val="00F859B6"/>
    <w:rsid w:val="00F859C8"/>
    <w:rsid w:val="00F85F17"/>
    <w:rsid w:val="00F85F36"/>
    <w:rsid w:val="00F85FA1"/>
    <w:rsid w:val="00F86A50"/>
    <w:rsid w:val="00F86EA1"/>
    <w:rsid w:val="00F870BA"/>
    <w:rsid w:val="00F87443"/>
    <w:rsid w:val="00F905C8"/>
    <w:rsid w:val="00F9447D"/>
    <w:rsid w:val="00F9492C"/>
    <w:rsid w:val="00F955E3"/>
    <w:rsid w:val="00F96B78"/>
    <w:rsid w:val="00F96CC8"/>
    <w:rsid w:val="00F972E4"/>
    <w:rsid w:val="00FA0708"/>
    <w:rsid w:val="00FA0EB3"/>
    <w:rsid w:val="00FA2E39"/>
    <w:rsid w:val="00FA3E7C"/>
    <w:rsid w:val="00FA3F90"/>
    <w:rsid w:val="00FA60C8"/>
    <w:rsid w:val="00FA646C"/>
    <w:rsid w:val="00FA69D3"/>
    <w:rsid w:val="00FA6EE5"/>
    <w:rsid w:val="00FA72B8"/>
    <w:rsid w:val="00FB06ED"/>
    <w:rsid w:val="00FB1684"/>
    <w:rsid w:val="00FB20CE"/>
    <w:rsid w:val="00FB24DF"/>
    <w:rsid w:val="00FB464E"/>
    <w:rsid w:val="00FB59F0"/>
    <w:rsid w:val="00FB6765"/>
    <w:rsid w:val="00FC1426"/>
    <w:rsid w:val="00FC25F2"/>
    <w:rsid w:val="00FC5177"/>
    <w:rsid w:val="00FC5F63"/>
    <w:rsid w:val="00FC7ADF"/>
    <w:rsid w:val="00FD386B"/>
    <w:rsid w:val="00FD5FE9"/>
    <w:rsid w:val="00FD5FFB"/>
    <w:rsid w:val="00FD7120"/>
    <w:rsid w:val="00FD7716"/>
    <w:rsid w:val="00FD7B6E"/>
    <w:rsid w:val="00FE0322"/>
    <w:rsid w:val="00FE04CE"/>
    <w:rsid w:val="00FE2269"/>
    <w:rsid w:val="00FE404F"/>
    <w:rsid w:val="00FE5041"/>
    <w:rsid w:val="00FE5C86"/>
    <w:rsid w:val="00FE6566"/>
    <w:rsid w:val="00FE7CC8"/>
    <w:rsid w:val="00FF165E"/>
    <w:rsid w:val="00FF177C"/>
    <w:rsid w:val="00FF1973"/>
    <w:rsid w:val="00FF1F12"/>
    <w:rsid w:val="00FF296E"/>
    <w:rsid w:val="00FF5EED"/>
    <w:rsid w:val="00FF6AB7"/>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A00B685"/>
  <w15:docId w15:val="{DD26DBB8-9244-A14B-B69A-10255241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6C"/>
    <w:rPr>
      <w:rFonts w:ascii="Times New Roman" w:eastAsia="Times New Roman" w:hAnsi="Times New Roman" w:cs="Times New Roman"/>
      <w:lang w:eastAsia="en-GB"/>
    </w:rPr>
  </w:style>
  <w:style w:type="paragraph" w:styleId="Heading1">
    <w:name w:val="heading 1"/>
    <w:basedOn w:val="Normal"/>
    <w:link w:val="Heading1Char"/>
    <w:uiPriority w:val="9"/>
    <w:qFormat/>
    <w:rsid w:val="00EE262B"/>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uiPriority w:val="9"/>
    <w:semiHidden/>
    <w:unhideWhenUsed/>
    <w:qFormat/>
    <w:rsid w:val="0063311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EE262B"/>
    <w:rPr>
      <w:rFonts w:ascii="Helvetica" w:eastAsia="Arial Unicode MS" w:hAnsi="Helvetica" w:cs="Times New Roman"/>
      <w:color w:val="000000"/>
      <w:szCs w:val="20"/>
      <w:lang w:eastAsia="en-GB"/>
    </w:rPr>
  </w:style>
  <w:style w:type="paragraph" w:styleId="PlainText">
    <w:name w:val="Plain Text"/>
    <w:basedOn w:val="Normal"/>
    <w:link w:val="PlainTextChar"/>
    <w:uiPriority w:val="99"/>
    <w:rsid w:val="00EE262B"/>
    <w:rPr>
      <w:rFonts w:ascii="Consolas" w:eastAsia="Calibri" w:hAnsi="Consolas" w:cs="Consolas"/>
      <w:sz w:val="21"/>
      <w:szCs w:val="21"/>
    </w:rPr>
  </w:style>
  <w:style w:type="character" w:customStyle="1" w:styleId="PlainTextChar">
    <w:name w:val="Plain Text Char"/>
    <w:basedOn w:val="DefaultParagraphFont"/>
    <w:link w:val="PlainText"/>
    <w:uiPriority w:val="99"/>
    <w:rsid w:val="00EE262B"/>
    <w:rPr>
      <w:rFonts w:ascii="Consolas" w:eastAsia="Calibri" w:hAnsi="Consolas" w:cs="Consolas"/>
      <w:sz w:val="21"/>
      <w:szCs w:val="21"/>
    </w:rPr>
  </w:style>
  <w:style w:type="character" w:customStyle="1" w:styleId="Heading1Char">
    <w:name w:val="Heading 1 Char"/>
    <w:basedOn w:val="DefaultParagraphFont"/>
    <w:link w:val="Heading1"/>
    <w:uiPriority w:val="9"/>
    <w:rsid w:val="00EE262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E262B"/>
    <w:pPr>
      <w:spacing w:before="100" w:beforeAutospacing="1" w:after="100" w:afterAutospacing="1"/>
    </w:pPr>
  </w:style>
  <w:style w:type="character" w:customStyle="1" w:styleId="apple-converted-space">
    <w:name w:val="apple-converted-space"/>
    <w:basedOn w:val="DefaultParagraphFont"/>
    <w:rsid w:val="00EE262B"/>
  </w:style>
  <w:style w:type="character" w:customStyle="1" w:styleId="slug-pub-date">
    <w:name w:val="slug-pub-date"/>
    <w:basedOn w:val="DefaultParagraphFont"/>
    <w:rsid w:val="00EE262B"/>
  </w:style>
  <w:style w:type="character" w:customStyle="1" w:styleId="slug-vol">
    <w:name w:val="slug-vol"/>
    <w:basedOn w:val="DefaultParagraphFont"/>
    <w:rsid w:val="00EE262B"/>
  </w:style>
  <w:style w:type="character" w:customStyle="1" w:styleId="slug-issue">
    <w:name w:val="slug-issue"/>
    <w:basedOn w:val="DefaultParagraphFont"/>
    <w:rsid w:val="00EE262B"/>
  </w:style>
  <w:style w:type="character" w:customStyle="1" w:styleId="slug-pages">
    <w:name w:val="slug-pages"/>
    <w:basedOn w:val="DefaultParagraphFont"/>
    <w:rsid w:val="00EE262B"/>
  </w:style>
  <w:style w:type="character" w:styleId="Hyperlink">
    <w:name w:val="Hyperlink"/>
    <w:rsid w:val="00EE262B"/>
    <w:rPr>
      <w:u w:val="single"/>
    </w:rPr>
  </w:style>
  <w:style w:type="table" w:styleId="TableGrid">
    <w:name w:val="Table Grid"/>
    <w:basedOn w:val="TableNormal"/>
    <w:uiPriority w:val="59"/>
    <w:rsid w:val="00EE262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62B"/>
    <w:pPr>
      <w:spacing w:after="200" w:line="276" w:lineRule="auto"/>
      <w:ind w:left="720"/>
      <w:contextualSpacing/>
    </w:pPr>
    <w:rPr>
      <w:rFonts w:eastAsiaTheme="minorHAnsi"/>
      <w:sz w:val="22"/>
      <w:szCs w:val="22"/>
    </w:rPr>
  </w:style>
  <w:style w:type="paragraph" w:styleId="CommentText">
    <w:name w:val="annotation text"/>
    <w:basedOn w:val="Normal"/>
    <w:link w:val="CommentTextChar"/>
    <w:uiPriority w:val="99"/>
    <w:unhideWhenUsed/>
    <w:rsid w:val="00C57249"/>
    <w:rPr>
      <w:sz w:val="20"/>
      <w:szCs w:val="20"/>
      <w:lang w:val="en-US"/>
    </w:rPr>
  </w:style>
  <w:style w:type="character" w:customStyle="1" w:styleId="CommentTextChar">
    <w:name w:val="Comment Text Char"/>
    <w:basedOn w:val="DefaultParagraphFont"/>
    <w:link w:val="CommentText"/>
    <w:uiPriority w:val="99"/>
    <w:rsid w:val="00C57249"/>
    <w:rPr>
      <w:rFonts w:ascii="Times New Roman" w:eastAsia="Times New Roman" w:hAnsi="Times New Roman" w:cs="Times New Roman"/>
      <w:sz w:val="20"/>
      <w:szCs w:val="20"/>
      <w:lang w:val="en-US" w:eastAsia="en-GB"/>
    </w:rPr>
  </w:style>
  <w:style w:type="character" w:styleId="CommentReference">
    <w:name w:val="annotation reference"/>
    <w:basedOn w:val="DefaultParagraphFont"/>
    <w:uiPriority w:val="99"/>
    <w:semiHidden/>
    <w:unhideWhenUsed/>
    <w:rsid w:val="00C57249"/>
    <w:rPr>
      <w:sz w:val="16"/>
      <w:szCs w:val="16"/>
    </w:rPr>
  </w:style>
  <w:style w:type="paragraph" w:styleId="BalloonText">
    <w:name w:val="Balloon Text"/>
    <w:basedOn w:val="Normal"/>
    <w:link w:val="BalloonTextChar"/>
    <w:uiPriority w:val="99"/>
    <w:semiHidden/>
    <w:unhideWhenUsed/>
    <w:rsid w:val="00C57249"/>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249"/>
    <w:rPr>
      <w:rFonts w:ascii="Lucida Grande" w:hAnsi="Lucida Grande"/>
      <w:sz w:val="18"/>
      <w:szCs w:val="18"/>
    </w:rPr>
  </w:style>
  <w:style w:type="paragraph" w:styleId="FootnoteText">
    <w:name w:val="footnote text"/>
    <w:basedOn w:val="Normal"/>
    <w:link w:val="FootnoteTextChar"/>
    <w:uiPriority w:val="99"/>
    <w:unhideWhenUsed/>
    <w:rsid w:val="009D2D17"/>
    <w:rPr>
      <w:rFonts w:eastAsiaTheme="minorHAnsi"/>
      <w:sz w:val="20"/>
      <w:szCs w:val="20"/>
    </w:rPr>
  </w:style>
  <w:style w:type="character" w:customStyle="1" w:styleId="FootnoteTextChar">
    <w:name w:val="Footnote Text Char"/>
    <w:basedOn w:val="DefaultParagraphFont"/>
    <w:link w:val="FootnoteText"/>
    <w:uiPriority w:val="99"/>
    <w:rsid w:val="009D2D17"/>
    <w:rPr>
      <w:rFonts w:eastAsiaTheme="minorHAnsi"/>
      <w:sz w:val="20"/>
      <w:szCs w:val="20"/>
    </w:rPr>
  </w:style>
  <w:style w:type="character" w:styleId="FootnoteReference">
    <w:name w:val="footnote reference"/>
    <w:basedOn w:val="DefaultParagraphFont"/>
    <w:uiPriority w:val="99"/>
    <w:unhideWhenUsed/>
    <w:rsid w:val="009D2D17"/>
    <w:rPr>
      <w:vertAlign w:val="superscript"/>
    </w:rPr>
  </w:style>
  <w:style w:type="paragraph" w:styleId="Header">
    <w:name w:val="header"/>
    <w:basedOn w:val="Normal"/>
    <w:link w:val="HeaderChar"/>
    <w:uiPriority w:val="99"/>
    <w:unhideWhenUsed/>
    <w:rsid w:val="00182322"/>
    <w:pPr>
      <w:tabs>
        <w:tab w:val="center" w:pos="4320"/>
        <w:tab w:val="right" w:pos="8640"/>
      </w:tabs>
    </w:pPr>
  </w:style>
  <w:style w:type="character" w:customStyle="1" w:styleId="HeaderChar">
    <w:name w:val="Header Char"/>
    <w:basedOn w:val="DefaultParagraphFont"/>
    <w:link w:val="Header"/>
    <w:uiPriority w:val="99"/>
    <w:rsid w:val="00182322"/>
  </w:style>
  <w:style w:type="paragraph" w:styleId="Footer">
    <w:name w:val="footer"/>
    <w:basedOn w:val="Normal"/>
    <w:link w:val="FooterChar"/>
    <w:uiPriority w:val="99"/>
    <w:unhideWhenUsed/>
    <w:rsid w:val="00182322"/>
    <w:pPr>
      <w:tabs>
        <w:tab w:val="center" w:pos="4320"/>
        <w:tab w:val="right" w:pos="8640"/>
      </w:tabs>
    </w:pPr>
  </w:style>
  <w:style w:type="character" w:customStyle="1" w:styleId="FooterChar">
    <w:name w:val="Footer Char"/>
    <w:basedOn w:val="DefaultParagraphFont"/>
    <w:link w:val="Footer"/>
    <w:uiPriority w:val="99"/>
    <w:rsid w:val="00182322"/>
  </w:style>
  <w:style w:type="character" w:styleId="PageNumber">
    <w:name w:val="page number"/>
    <w:basedOn w:val="DefaultParagraphFont"/>
    <w:uiPriority w:val="99"/>
    <w:semiHidden/>
    <w:unhideWhenUsed/>
    <w:rsid w:val="00673132"/>
  </w:style>
  <w:style w:type="character" w:styleId="FollowedHyperlink">
    <w:name w:val="FollowedHyperlink"/>
    <w:basedOn w:val="DefaultParagraphFont"/>
    <w:uiPriority w:val="99"/>
    <w:semiHidden/>
    <w:unhideWhenUsed/>
    <w:rsid w:val="00C85CC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66464"/>
    <w:rPr>
      <w:rFonts w:asciiTheme="minorHAnsi" w:eastAsiaTheme="minorEastAsia"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066464"/>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8465C6"/>
  </w:style>
  <w:style w:type="character" w:customStyle="1" w:styleId="citation-volume">
    <w:name w:val="citation-volume"/>
    <w:basedOn w:val="DefaultParagraphFont"/>
    <w:rsid w:val="006242C8"/>
  </w:style>
  <w:style w:type="character" w:styleId="Emphasis">
    <w:name w:val="Emphasis"/>
    <w:basedOn w:val="DefaultParagraphFont"/>
    <w:uiPriority w:val="20"/>
    <w:qFormat/>
    <w:rsid w:val="001D16B5"/>
    <w:rPr>
      <w:i/>
      <w:iCs/>
      <w:sz w:val="24"/>
      <w:szCs w:val="24"/>
      <w:bdr w:val="none" w:sz="0" w:space="0" w:color="auto" w:frame="1"/>
      <w:vertAlign w:val="baseline"/>
    </w:rPr>
  </w:style>
  <w:style w:type="character" w:styleId="Strong">
    <w:name w:val="Strong"/>
    <w:basedOn w:val="DefaultParagraphFont"/>
    <w:uiPriority w:val="22"/>
    <w:qFormat/>
    <w:rsid w:val="001D16B5"/>
    <w:rPr>
      <w:b/>
      <w:bCs/>
      <w:sz w:val="24"/>
      <w:szCs w:val="24"/>
      <w:bdr w:val="none" w:sz="0" w:space="0" w:color="auto" w:frame="1"/>
      <w:vertAlign w:val="baseline"/>
    </w:rPr>
  </w:style>
  <w:style w:type="character" w:customStyle="1" w:styleId="doi">
    <w:name w:val="doi"/>
    <w:basedOn w:val="DefaultParagraphFont"/>
    <w:rsid w:val="00633118"/>
  </w:style>
  <w:style w:type="character" w:customStyle="1" w:styleId="Heading8Char">
    <w:name w:val="Heading 8 Char"/>
    <w:basedOn w:val="DefaultParagraphFont"/>
    <w:link w:val="Heading8"/>
    <w:rsid w:val="00633118"/>
    <w:rPr>
      <w:rFonts w:asciiTheme="majorHAnsi" w:eastAsiaTheme="majorEastAsia" w:hAnsiTheme="majorHAnsi" w:cstheme="majorBidi"/>
      <w:color w:val="272727" w:themeColor="text1" w:themeTint="D8"/>
      <w:sz w:val="21"/>
      <w:szCs w:val="21"/>
    </w:rPr>
  </w:style>
  <w:style w:type="paragraph" w:customStyle="1" w:styleId="level1">
    <w:name w:val="_level1"/>
    <w:rsid w:val="00F04A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cs="Times New Roman"/>
      <w:szCs w:val="20"/>
      <w:lang w:eastAsia="en-GB"/>
    </w:rPr>
  </w:style>
  <w:style w:type="paragraph" w:customStyle="1" w:styleId="Level10">
    <w:name w:val="Level 1"/>
    <w:rsid w:val="00F04A78"/>
    <w:pPr>
      <w:widowControl w:val="0"/>
      <w:ind w:left="720"/>
      <w:jc w:val="both"/>
    </w:pPr>
    <w:rPr>
      <w:rFonts w:ascii="Times New Roman" w:eastAsia="Times New Roman" w:hAnsi="Times New Roman" w:cs="Times New Roman"/>
      <w:szCs w:val="20"/>
      <w:lang w:eastAsia="en-GB"/>
    </w:rPr>
  </w:style>
  <w:style w:type="character" w:customStyle="1" w:styleId="ref-journal">
    <w:name w:val="ref-journal"/>
    <w:basedOn w:val="DefaultParagraphFont"/>
    <w:rsid w:val="00460F65"/>
  </w:style>
  <w:style w:type="character" w:customStyle="1" w:styleId="ref-vol">
    <w:name w:val="ref-vol"/>
    <w:basedOn w:val="DefaultParagraphFont"/>
    <w:rsid w:val="00460F65"/>
  </w:style>
  <w:style w:type="character" w:customStyle="1" w:styleId="UnresolvedMention1">
    <w:name w:val="Unresolved Mention1"/>
    <w:basedOn w:val="DefaultParagraphFont"/>
    <w:uiPriority w:val="99"/>
    <w:semiHidden/>
    <w:unhideWhenUsed/>
    <w:rsid w:val="004F492B"/>
    <w:rPr>
      <w:color w:val="605E5C"/>
      <w:shd w:val="clear" w:color="auto" w:fill="E1DFDD"/>
    </w:rPr>
  </w:style>
  <w:style w:type="character" w:customStyle="1" w:styleId="UnresolvedMention2">
    <w:name w:val="Unresolved Mention2"/>
    <w:basedOn w:val="DefaultParagraphFont"/>
    <w:uiPriority w:val="99"/>
    <w:semiHidden/>
    <w:unhideWhenUsed/>
    <w:rsid w:val="00506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1206">
      <w:bodyDiv w:val="1"/>
      <w:marLeft w:val="0"/>
      <w:marRight w:val="0"/>
      <w:marTop w:val="0"/>
      <w:marBottom w:val="0"/>
      <w:divBdr>
        <w:top w:val="none" w:sz="0" w:space="0" w:color="auto"/>
        <w:left w:val="none" w:sz="0" w:space="0" w:color="auto"/>
        <w:bottom w:val="none" w:sz="0" w:space="0" w:color="auto"/>
        <w:right w:val="none" w:sz="0" w:space="0" w:color="auto"/>
      </w:divBdr>
      <w:divsChild>
        <w:div w:id="1701933741">
          <w:marLeft w:val="0"/>
          <w:marRight w:val="0"/>
          <w:marTop w:val="0"/>
          <w:marBottom w:val="0"/>
          <w:divBdr>
            <w:top w:val="none" w:sz="0" w:space="0" w:color="auto"/>
            <w:left w:val="none" w:sz="0" w:space="0" w:color="auto"/>
            <w:bottom w:val="none" w:sz="0" w:space="0" w:color="auto"/>
            <w:right w:val="none" w:sz="0" w:space="0" w:color="auto"/>
          </w:divBdr>
          <w:divsChild>
            <w:div w:id="1868981524">
              <w:marLeft w:val="0"/>
              <w:marRight w:val="0"/>
              <w:marTop w:val="0"/>
              <w:marBottom w:val="0"/>
              <w:divBdr>
                <w:top w:val="none" w:sz="0" w:space="0" w:color="auto"/>
                <w:left w:val="none" w:sz="0" w:space="0" w:color="auto"/>
                <w:bottom w:val="none" w:sz="0" w:space="0" w:color="auto"/>
                <w:right w:val="none" w:sz="0" w:space="0" w:color="auto"/>
              </w:divBdr>
              <w:divsChild>
                <w:div w:id="17496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0788">
      <w:bodyDiv w:val="1"/>
      <w:marLeft w:val="0"/>
      <w:marRight w:val="0"/>
      <w:marTop w:val="0"/>
      <w:marBottom w:val="0"/>
      <w:divBdr>
        <w:top w:val="none" w:sz="0" w:space="0" w:color="auto"/>
        <w:left w:val="none" w:sz="0" w:space="0" w:color="auto"/>
        <w:bottom w:val="none" w:sz="0" w:space="0" w:color="auto"/>
        <w:right w:val="none" w:sz="0" w:space="0" w:color="auto"/>
      </w:divBdr>
    </w:div>
    <w:div w:id="161164569">
      <w:bodyDiv w:val="1"/>
      <w:marLeft w:val="0"/>
      <w:marRight w:val="0"/>
      <w:marTop w:val="0"/>
      <w:marBottom w:val="0"/>
      <w:divBdr>
        <w:top w:val="none" w:sz="0" w:space="0" w:color="auto"/>
        <w:left w:val="none" w:sz="0" w:space="0" w:color="auto"/>
        <w:bottom w:val="none" w:sz="0" w:space="0" w:color="auto"/>
        <w:right w:val="none" w:sz="0" w:space="0" w:color="auto"/>
      </w:divBdr>
    </w:div>
    <w:div w:id="268195737">
      <w:bodyDiv w:val="1"/>
      <w:marLeft w:val="0"/>
      <w:marRight w:val="0"/>
      <w:marTop w:val="0"/>
      <w:marBottom w:val="0"/>
      <w:divBdr>
        <w:top w:val="none" w:sz="0" w:space="0" w:color="auto"/>
        <w:left w:val="none" w:sz="0" w:space="0" w:color="auto"/>
        <w:bottom w:val="none" w:sz="0" w:space="0" w:color="auto"/>
        <w:right w:val="none" w:sz="0" w:space="0" w:color="auto"/>
      </w:divBdr>
    </w:div>
    <w:div w:id="286813476">
      <w:bodyDiv w:val="1"/>
      <w:marLeft w:val="0"/>
      <w:marRight w:val="0"/>
      <w:marTop w:val="0"/>
      <w:marBottom w:val="0"/>
      <w:divBdr>
        <w:top w:val="none" w:sz="0" w:space="0" w:color="auto"/>
        <w:left w:val="none" w:sz="0" w:space="0" w:color="auto"/>
        <w:bottom w:val="none" w:sz="0" w:space="0" w:color="auto"/>
        <w:right w:val="none" w:sz="0" w:space="0" w:color="auto"/>
      </w:divBdr>
    </w:div>
    <w:div w:id="343557859">
      <w:bodyDiv w:val="1"/>
      <w:marLeft w:val="0"/>
      <w:marRight w:val="0"/>
      <w:marTop w:val="0"/>
      <w:marBottom w:val="0"/>
      <w:divBdr>
        <w:top w:val="none" w:sz="0" w:space="0" w:color="auto"/>
        <w:left w:val="none" w:sz="0" w:space="0" w:color="auto"/>
        <w:bottom w:val="none" w:sz="0" w:space="0" w:color="auto"/>
        <w:right w:val="none" w:sz="0" w:space="0" w:color="auto"/>
      </w:divBdr>
    </w:div>
    <w:div w:id="363605334">
      <w:bodyDiv w:val="1"/>
      <w:marLeft w:val="0"/>
      <w:marRight w:val="0"/>
      <w:marTop w:val="0"/>
      <w:marBottom w:val="0"/>
      <w:divBdr>
        <w:top w:val="none" w:sz="0" w:space="0" w:color="auto"/>
        <w:left w:val="none" w:sz="0" w:space="0" w:color="auto"/>
        <w:bottom w:val="none" w:sz="0" w:space="0" w:color="auto"/>
        <w:right w:val="none" w:sz="0" w:space="0" w:color="auto"/>
      </w:divBdr>
    </w:div>
    <w:div w:id="379324051">
      <w:bodyDiv w:val="1"/>
      <w:marLeft w:val="0"/>
      <w:marRight w:val="0"/>
      <w:marTop w:val="0"/>
      <w:marBottom w:val="0"/>
      <w:divBdr>
        <w:top w:val="none" w:sz="0" w:space="0" w:color="auto"/>
        <w:left w:val="none" w:sz="0" w:space="0" w:color="auto"/>
        <w:bottom w:val="none" w:sz="0" w:space="0" w:color="auto"/>
        <w:right w:val="none" w:sz="0" w:space="0" w:color="auto"/>
      </w:divBdr>
    </w:div>
    <w:div w:id="423454692">
      <w:bodyDiv w:val="1"/>
      <w:marLeft w:val="0"/>
      <w:marRight w:val="0"/>
      <w:marTop w:val="0"/>
      <w:marBottom w:val="0"/>
      <w:divBdr>
        <w:top w:val="none" w:sz="0" w:space="0" w:color="auto"/>
        <w:left w:val="none" w:sz="0" w:space="0" w:color="auto"/>
        <w:bottom w:val="none" w:sz="0" w:space="0" w:color="auto"/>
        <w:right w:val="none" w:sz="0" w:space="0" w:color="auto"/>
      </w:divBdr>
    </w:div>
    <w:div w:id="447625576">
      <w:bodyDiv w:val="1"/>
      <w:marLeft w:val="0"/>
      <w:marRight w:val="0"/>
      <w:marTop w:val="0"/>
      <w:marBottom w:val="0"/>
      <w:divBdr>
        <w:top w:val="none" w:sz="0" w:space="0" w:color="auto"/>
        <w:left w:val="none" w:sz="0" w:space="0" w:color="auto"/>
        <w:bottom w:val="none" w:sz="0" w:space="0" w:color="auto"/>
        <w:right w:val="none" w:sz="0" w:space="0" w:color="auto"/>
      </w:divBdr>
    </w:div>
    <w:div w:id="461313606">
      <w:bodyDiv w:val="1"/>
      <w:marLeft w:val="0"/>
      <w:marRight w:val="0"/>
      <w:marTop w:val="0"/>
      <w:marBottom w:val="0"/>
      <w:divBdr>
        <w:top w:val="none" w:sz="0" w:space="0" w:color="auto"/>
        <w:left w:val="none" w:sz="0" w:space="0" w:color="auto"/>
        <w:bottom w:val="none" w:sz="0" w:space="0" w:color="auto"/>
        <w:right w:val="none" w:sz="0" w:space="0" w:color="auto"/>
      </w:divBdr>
    </w:div>
    <w:div w:id="506092277">
      <w:bodyDiv w:val="1"/>
      <w:marLeft w:val="0"/>
      <w:marRight w:val="0"/>
      <w:marTop w:val="0"/>
      <w:marBottom w:val="0"/>
      <w:divBdr>
        <w:top w:val="none" w:sz="0" w:space="0" w:color="auto"/>
        <w:left w:val="none" w:sz="0" w:space="0" w:color="auto"/>
        <w:bottom w:val="none" w:sz="0" w:space="0" w:color="auto"/>
        <w:right w:val="none" w:sz="0" w:space="0" w:color="auto"/>
      </w:divBdr>
    </w:div>
    <w:div w:id="506990604">
      <w:bodyDiv w:val="1"/>
      <w:marLeft w:val="0"/>
      <w:marRight w:val="0"/>
      <w:marTop w:val="0"/>
      <w:marBottom w:val="0"/>
      <w:divBdr>
        <w:top w:val="none" w:sz="0" w:space="0" w:color="auto"/>
        <w:left w:val="none" w:sz="0" w:space="0" w:color="auto"/>
        <w:bottom w:val="none" w:sz="0" w:space="0" w:color="auto"/>
        <w:right w:val="none" w:sz="0" w:space="0" w:color="auto"/>
      </w:divBdr>
    </w:div>
    <w:div w:id="522330861">
      <w:bodyDiv w:val="1"/>
      <w:marLeft w:val="0"/>
      <w:marRight w:val="0"/>
      <w:marTop w:val="0"/>
      <w:marBottom w:val="0"/>
      <w:divBdr>
        <w:top w:val="none" w:sz="0" w:space="0" w:color="auto"/>
        <w:left w:val="none" w:sz="0" w:space="0" w:color="auto"/>
        <w:bottom w:val="none" w:sz="0" w:space="0" w:color="auto"/>
        <w:right w:val="none" w:sz="0" w:space="0" w:color="auto"/>
      </w:divBdr>
    </w:div>
    <w:div w:id="582446182">
      <w:bodyDiv w:val="1"/>
      <w:marLeft w:val="0"/>
      <w:marRight w:val="0"/>
      <w:marTop w:val="0"/>
      <w:marBottom w:val="0"/>
      <w:divBdr>
        <w:top w:val="none" w:sz="0" w:space="0" w:color="auto"/>
        <w:left w:val="none" w:sz="0" w:space="0" w:color="auto"/>
        <w:bottom w:val="none" w:sz="0" w:space="0" w:color="auto"/>
        <w:right w:val="none" w:sz="0" w:space="0" w:color="auto"/>
      </w:divBdr>
    </w:div>
    <w:div w:id="740179717">
      <w:bodyDiv w:val="1"/>
      <w:marLeft w:val="0"/>
      <w:marRight w:val="0"/>
      <w:marTop w:val="0"/>
      <w:marBottom w:val="0"/>
      <w:divBdr>
        <w:top w:val="none" w:sz="0" w:space="0" w:color="auto"/>
        <w:left w:val="none" w:sz="0" w:space="0" w:color="auto"/>
        <w:bottom w:val="none" w:sz="0" w:space="0" w:color="auto"/>
        <w:right w:val="none" w:sz="0" w:space="0" w:color="auto"/>
      </w:divBdr>
    </w:div>
    <w:div w:id="756753295">
      <w:bodyDiv w:val="1"/>
      <w:marLeft w:val="0"/>
      <w:marRight w:val="0"/>
      <w:marTop w:val="0"/>
      <w:marBottom w:val="0"/>
      <w:divBdr>
        <w:top w:val="none" w:sz="0" w:space="0" w:color="auto"/>
        <w:left w:val="none" w:sz="0" w:space="0" w:color="auto"/>
        <w:bottom w:val="none" w:sz="0" w:space="0" w:color="auto"/>
        <w:right w:val="none" w:sz="0" w:space="0" w:color="auto"/>
      </w:divBdr>
    </w:div>
    <w:div w:id="885487040">
      <w:bodyDiv w:val="1"/>
      <w:marLeft w:val="0"/>
      <w:marRight w:val="0"/>
      <w:marTop w:val="0"/>
      <w:marBottom w:val="0"/>
      <w:divBdr>
        <w:top w:val="none" w:sz="0" w:space="0" w:color="auto"/>
        <w:left w:val="none" w:sz="0" w:space="0" w:color="auto"/>
        <w:bottom w:val="none" w:sz="0" w:space="0" w:color="auto"/>
        <w:right w:val="none" w:sz="0" w:space="0" w:color="auto"/>
      </w:divBdr>
    </w:div>
    <w:div w:id="926424128">
      <w:bodyDiv w:val="1"/>
      <w:marLeft w:val="0"/>
      <w:marRight w:val="0"/>
      <w:marTop w:val="0"/>
      <w:marBottom w:val="0"/>
      <w:divBdr>
        <w:top w:val="none" w:sz="0" w:space="0" w:color="auto"/>
        <w:left w:val="none" w:sz="0" w:space="0" w:color="auto"/>
        <w:bottom w:val="none" w:sz="0" w:space="0" w:color="auto"/>
        <w:right w:val="none" w:sz="0" w:space="0" w:color="auto"/>
      </w:divBdr>
    </w:div>
    <w:div w:id="977076837">
      <w:bodyDiv w:val="1"/>
      <w:marLeft w:val="0"/>
      <w:marRight w:val="0"/>
      <w:marTop w:val="0"/>
      <w:marBottom w:val="0"/>
      <w:divBdr>
        <w:top w:val="none" w:sz="0" w:space="0" w:color="auto"/>
        <w:left w:val="none" w:sz="0" w:space="0" w:color="auto"/>
        <w:bottom w:val="none" w:sz="0" w:space="0" w:color="auto"/>
        <w:right w:val="none" w:sz="0" w:space="0" w:color="auto"/>
      </w:divBdr>
    </w:div>
    <w:div w:id="1038628960">
      <w:bodyDiv w:val="1"/>
      <w:marLeft w:val="0"/>
      <w:marRight w:val="0"/>
      <w:marTop w:val="0"/>
      <w:marBottom w:val="0"/>
      <w:divBdr>
        <w:top w:val="none" w:sz="0" w:space="0" w:color="auto"/>
        <w:left w:val="none" w:sz="0" w:space="0" w:color="auto"/>
        <w:bottom w:val="none" w:sz="0" w:space="0" w:color="auto"/>
        <w:right w:val="none" w:sz="0" w:space="0" w:color="auto"/>
      </w:divBdr>
    </w:div>
    <w:div w:id="1067454434">
      <w:bodyDiv w:val="1"/>
      <w:marLeft w:val="0"/>
      <w:marRight w:val="0"/>
      <w:marTop w:val="0"/>
      <w:marBottom w:val="0"/>
      <w:divBdr>
        <w:top w:val="none" w:sz="0" w:space="0" w:color="auto"/>
        <w:left w:val="none" w:sz="0" w:space="0" w:color="auto"/>
        <w:bottom w:val="none" w:sz="0" w:space="0" w:color="auto"/>
        <w:right w:val="none" w:sz="0" w:space="0" w:color="auto"/>
      </w:divBdr>
    </w:div>
    <w:div w:id="1087727572">
      <w:bodyDiv w:val="1"/>
      <w:marLeft w:val="0"/>
      <w:marRight w:val="0"/>
      <w:marTop w:val="0"/>
      <w:marBottom w:val="0"/>
      <w:divBdr>
        <w:top w:val="none" w:sz="0" w:space="0" w:color="auto"/>
        <w:left w:val="none" w:sz="0" w:space="0" w:color="auto"/>
        <w:bottom w:val="none" w:sz="0" w:space="0" w:color="auto"/>
        <w:right w:val="none" w:sz="0" w:space="0" w:color="auto"/>
      </w:divBdr>
    </w:div>
    <w:div w:id="1131365499">
      <w:bodyDiv w:val="1"/>
      <w:marLeft w:val="0"/>
      <w:marRight w:val="0"/>
      <w:marTop w:val="0"/>
      <w:marBottom w:val="0"/>
      <w:divBdr>
        <w:top w:val="none" w:sz="0" w:space="0" w:color="auto"/>
        <w:left w:val="none" w:sz="0" w:space="0" w:color="auto"/>
        <w:bottom w:val="none" w:sz="0" w:space="0" w:color="auto"/>
        <w:right w:val="none" w:sz="0" w:space="0" w:color="auto"/>
      </w:divBdr>
      <w:divsChild>
        <w:div w:id="1370447437">
          <w:marLeft w:val="90"/>
          <w:marRight w:val="90"/>
          <w:marTop w:val="0"/>
          <w:marBottom w:val="0"/>
          <w:divBdr>
            <w:top w:val="none" w:sz="0" w:space="0" w:color="auto"/>
            <w:left w:val="none" w:sz="0" w:space="0" w:color="auto"/>
            <w:bottom w:val="none" w:sz="0" w:space="0" w:color="auto"/>
            <w:right w:val="none" w:sz="0" w:space="0" w:color="auto"/>
          </w:divBdr>
          <w:divsChild>
            <w:div w:id="1509950860">
              <w:marLeft w:val="0"/>
              <w:marRight w:val="0"/>
              <w:marTop w:val="0"/>
              <w:marBottom w:val="0"/>
              <w:divBdr>
                <w:top w:val="none" w:sz="0" w:space="0" w:color="auto"/>
                <w:left w:val="none" w:sz="0" w:space="0" w:color="auto"/>
                <w:bottom w:val="none" w:sz="0" w:space="0" w:color="auto"/>
                <w:right w:val="none" w:sz="0" w:space="0" w:color="auto"/>
              </w:divBdr>
              <w:divsChild>
                <w:div w:id="1512796434">
                  <w:marLeft w:val="0"/>
                  <w:marRight w:val="0"/>
                  <w:marTop w:val="0"/>
                  <w:marBottom w:val="0"/>
                  <w:divBdr>
                    <w:top w:val="none" w:sz="0" w:space="0" w:color="auto"/>
                    <w:left w:val="none" w:sz="0" w:space="0" w:color="auto"/>
                    <w:bottom w:val="none" w:sz="0" w:space="0" w:color="auto"/>
                    <w:right w:val="none" w:sz="0" w:space="0" w:color="auto"/>
                  </w:divBdr>
                  <w:divsChild>
                    <w:div w:id="1982809589">
                      <w:marLeft w:val="0"/>
                      <w:marRight w:val="0"/>
                      <w:marTop w:val="0"/>
                      <w:marBottom w:val="0"/>
                      <w:divBdr>
                        <w:top w:val="none" w:sz="0" w:space="0" w:color="auto"/>
                        <w:left w:val="none" w:sz="0" w:space="0" w:color="auto"/>
                        <w:bottom w:val="none" w:sz="0" w:space="0" w:color="auto"/>
                        <w:right w:val="none" w:sz="0" w:space="0" w:color="auto"/>
                      </w:divBdr>
                      <w:divsChild>
                        <w:div w:id="954825660">
                          <w:marLeft w:val="0"/>
                          <w:marRight w:val="0"/>
                          <w:marTop w:val="0"/>
                          <w:marBottom w:val="0"/>
                          <w:divBdr>
                            <w:top w:val="none" w:sz="0" w:space="0" w:color="auto"/>
                            <w:left w:val="none" w:sz="0" w:space="0" w:color="auto"/>
                            <w:bottom w:val="none" w:sz="0" w:space="0" w:color="auto"/>
                            <w:right w:val="none" w:sz="0" w:space="0" w:color="auto"/>
                          </w:divBdr>
                          <w:divsChild>
                            <w:div w:id="289626433">
                              <w:marLeft w:val="0"/>
                              <w:marRight w:val="0"/>
                              <w:marTop w:val="0"/>
                              <w:marBottom w:val="0"/>
                              <w:divBdr>
                                <w:top w:val="none" w:sz="0" w:space="0" w:color="auto"/>
                                <w:left w:val="none" w:sz="0" w:space="0" w:color="auto"/>
                                <w:bottom w:val="none" w:sz="0" w:space="0" w:color="auto"/>
                                <w:right w:val="none" w:sz="0" w:space="0" w:color="auto"/>
                              </w:divBdr>
                              <w:divsChild>
                                <w:div w:id="737745388">
                                  <w:marLeft w:val="0"/>
                                  <w:marRight w:val="0"/>
                                  <w:marTop w:val="0"/>
                                  <w:marBottom w:val="0"/>
                                  <w:divBdr>
                                    <w:top w:val="none" w:sz="0" w:space="0" w:color="auto"/>
                                    <w:left w:val="none" w:sz="0" w:space="0" w:color="auto"/>
                                    <w:bottom w:val="none" w:sz="0" w:space="0" w:color="auto"/>
                                    <w:right w:val="none" w:sz="0" w:space="0" w:color="auto"/>
                                  </w:divBdr>
                                  <w:divsChild>
                                    <w:div w:id="1671328627">
                                      <w:marLeft w:val="0"/>
                                      <w:marRight w:val="0"/>
                                      <w:marTop w:val="0"/>
                                      <w:marBottom w:val="0"/>
                                      <w:divBdr>
                                        <w:top w:val="none" w:sz="0" w:space="0" w:color="auto"/>
                                        <w:left w:val="none" w:sz="0" w:space="0" w:color="auto"/>
                                        <w:bottom w:val="none" w:sz="0" w:space="0" w:color="auto"/>
                                        <w:right w:val="none" w:sz="0" w:space="0" w:color="auto"/>
                                      </w:divBdr>
                                      <w:divsChild>
                                        <w:div w:id="143473320">
                                          <w:marLeft w:val="0"/>
                                          <w:marRight w:val="0"/>
                                          <w:marTop w:val="0"/>
                                          <w:marBottom w:val="0"/>
                                          <w:divBdr>
                                            <w:top w:val="none" w:sz="0" w:space="0" w:color="auto"/>
                                            <w:left w:val="none" w:sz="0" w:space="0" w:color="auto"/>
                                            <w:bottom w:val="none" w:sz="0" w:space="0" w:color="auto"/>
                                            <w:right w:val="none" w:sz="0" w:space="0" w:color="auto"/>
                                          </w:divBdr>
                                          <w:divsChild>
                                            <w:div w:id="2057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0977">
          <w:marLeft w:val="90"/>
          <w:marRight w:val="90"/>
          <w:marTop w:val="0"/>
          <w:marBottom w:val="0"/>
          <w:divBdr>
            <w:top w:val="none" w:sz="0" w:space="0" w:color="auto"/>
            <w:left w:val="none" w:sz="0" w:space="0" w:color="auto"/>
            <w:bottom w:val="none" w:sz="0" w:space="0" w:color="auto"/>
            <w:right w:val="none" w:sz="0" w:space="0" w:color="auto"/>
          </w:divBdr>
          <w:divsChild>
            <w:div w:id="433863667">
              <w:marLeft w:val="0"/>
              <w:marRight w:val="0"/>
              <w:marTop w:val="0"/>
              <w:marBottom w:val="0"/>
              <w:divBdr>
                <w:top w:val="none" w:sz="0" w:space="0" w:color="auto"/>
                <w:left w:val="none" w:sz="0" w:space="0" w:color="auto"/>
                <w:bottom w:val="none" w:sz="0" w:space="0" w:color="auto"/>
                <w:right w:val="none" w:sz="0" w:space="0" w:color="auto"/>
              </w:divBdr>
              <w:divsChild>
                <w:div w:id="1882088313">
                  <w:marLeft w:val="0"/>
                  <w:marRight w:val="0"/>
                  <w:marTop w:val="0"/>
                  <w:marBottom w:val="0"/>
                  <w:divBdr>
                    <w:top w:val="none" w:sz="0" w:space="0" w:color="auto"/>
                    <w:left w:val="none" w:sz="0" w:space="0" w:color="auto"/>
                    <w:bottom w:val="none" w:sz="0" w:space="0" w:color="auto"/>
                    <w:right w:val="none" w:sz="0" w:space="0" w:color="auto"/>
                  </w:divBdr>
                  <w:divsChild>
                    <w:div w:id="2083218288">
                      <w:marLeft w:val="0"/>
                      <w:marRight w:val="0"/>
                      <w:marTop w:val="0"/>
                      <w:marBottom w:val="0"/>
                      <w:divBdr>
                        <w:top w:val="none" w:sz="0" w:space="0" w:color="auto"/>
                        <w:left w:val="none" w:sz="0" w:space="0" w:color="auto"/>
                        <w:bottom w:val="none" w:sz="0" w:space="0" w:color="auto"/>
                        <w:right w:val="none" w:sz="0" w:space="0" w:color="auto"/>
                      </w:divBdr>
                    </w:div>
                  </w:divsChild>
                </w:div>
                <w:div w:id="1751073620">
                  <w:marLeft w:val="105"/>
                  <w:marRight w:val="105"/>
                  <w:marTop w:val="105"/>
                  <w:marBottom w:val="105"/>
                  <w:divBdr>
                    <w:top w:val="none" w:sz="0" w:space="0" w:color="auto"/>
                    <w:left w:val="none" w:sz="0" w:space="0" w:color="auto"/>
                    <w:bottom w:val="none" w:sz="0" w:space="0" w:color="auto"/>
                    <w:right w:val="none" w:sz="0" w:space="0" w:color="auto"/>
                  </w:divBdr>
                  <w:divsChild>
                    <w:div w:id="903417373">
                      <w:marLeft w:val="0"/>
                      <w:marRight w:val="0"/>
                      <w:marTop w:val="0"/>
                      <w:marBottom w:val="0"/>
                      <w:divBdr>
                        <w:top w:val="none" w:sz="0" w:space="0" w:color="auto"/>
                        <w:left w:val="none" w:sz="0" w:space="0" w:color="auto"/>
                        <w:bottom w:val="none" w:sz="0" w:space="0" w:color="auto"/>
                        <w:right w:val="none" w:sz="0" w:space="0" w:color="auto"/>
                      </w:divBdr>
                    </w:div>
                  </w:divsChild>
                </w:div>
                <w:div w:id="201137378">
                  <w:marLeft w:val="105"/>
                  <w:marRight w:val="105"/>
                  <w:marTop w:val="0"/>
                  <w:marBottom w:val="0"/>
                  <w:divBdr>
                    <w:top w:val="none" w:sz="0" w:space="0" w:color="auto"/>
                    <w:left w:val="none" w:sz="0" w:space="0" w:color="auto"/>
                    <w:bottom w:val="none" w:sz="0" w:space="0" w:color="auto"/>
                    <w:right w:val="none" w:sz="0" w:space="0" w:color="auto"/>
                  </w:divBdr>
                  <w:divsChild>
                    <w:div w:id="3959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364">
      <w:bodyDiv w:val="1"/>
      <w:marLeft w:val="0"/>
      <w:marRight w:val="0"/>
      <w:marTop w:val="0"/>
      <w:marBottom w:val="0"/>
      <w:divBdr>
        <w:top w:val="none" w:sz="0" w:space="0" w:color="auto"/>
        <w:left w:val="none" w:sz="0" w:space="0" w:color="auto"/>
        <w:bottom w:val="none" w:sz="0" w:space="0" w:color="auto"/>
        <w:right w:val="none" w:sz="0" w:space="0" w:color="auto"/>
      </w:divBdr>
    </w:div>
    <w:div w:id="1195772105">
      <w:bodyDiv w:val="1"/>
      <w:marLeft w:val="0"/>
      <w:marRight w:val="0"/>
      <w:marTop w:val="0"/>
      <w:marBottom w:val="0"/>
      <w:divBdr>
        <w:top w:val="none" w:sz="0" w:space="0" w:color="auto"/>
        <w:left w:val="none" w:sz="0" w:space="0" w:color="auto"/>
        <w:bottom w:val="none" w:sz="0" w:space="0" w:color="auto"/>
        <w:right w:val="none" w:sz="0" w:space="0" w:color="auto"/>
      </w:divBdr>
      <w:divsChild>
        <w:div w:id="765921589">
          <w:marLeft w:val="0"/>
          <w:marRight w:val="0"/>
          <w:marTop w:val="0"/>
          <w:marBottom w:val="0"/>
          <w:divBdr>
            <w:top w:val="none" w:sz="0" w:space="0" w:color="auto"/>
            <w:left w:val="none" w:sz="0" w:space="0" w:color="auto"/>
            <w:bottom w:val="none" w:sz="0" w:space="0" w:color="auto"/>
            <w:right w:val="none" w:sz="0" w:space="0" w:color="auto"/>
          </w:divBdr>
          <w:divsChild>
            <w:div w:id="2084840248">
              <w:marLeft w:val="0"/>
              <w:marRight w:val="0"/>
              <w:marTop w:val="0"/>
              <w:marBottom w:val="0"/>
              <w:divBdr>
                <w:top w:val="none" w:sz="0" w:space="0" w:color="auto"/>
                <w:left w:val="none" w:sz="0" w:space="0" w:color="auto"/>
                <w:bottom w:val="none" w:sz="0" w:space="0" w:color="auto"/>
                <w:right w:val="none" w:sz="0" w:space="0" w:color="auto"/>
              </w:divBdr>
              <w:divsChild>
                <w:div w:id="6790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5596">
      <w:bodyDiv w:val="1"/>
      <w:marLeft w:val="0"/>
      <w:marRight w:val="0"/>
      <w:marTop w:val="0"/>
      <w:marBottom w:val="0"/>
      <w:divBdr>
        <w:top w:val="none" w:sz="0" w:space="0" w:color="auto"/>
        <w:left w:val="none" w:sz="0" w:space="0" w:color="auto"/>
        <w:bottom w:val="none" w:sz="0" w:space="0" w:color="auto"/>
        <w:right w:val="none" w:sz="0" w:space="0" w:color="auto"/>
      </w:divBdr>
      <w:divsChild>
        <w:div w:id="1317608312">
          <w:marLeft w:val="0"/>
          <w:marRight w:val="0"/>
          <w:marTop w:val="0"/>
          <w:marBottom w:val="75"/>
          <w:divBdr>
            <w:top w:val="none" w:sz="0" w:space="0" w:color="auto"/>
            <w:left w:val="none" w:sz="0" w:space="0" w:color="auto"/>
            <w:bottom w:val="none" w:sz="0" w:space="0" w:color="auto"/>
            <w:right w:val="none" w:sz="0" w:space="0" w:color="auto"/>
          </w:divBdr>
        </w:div>
        <w:div w:id="1478182382">
          <w:marLeft w:val="0"/>
          <w:marRight w:val="0"/>
          <w:marTop w:val="0"/>
          <w:marBottom w:val="75"/>
          <w:divBdr>
            <w:top w:val="none" w:sz="0" w:space="0" w:color="auto"/>
            <w:left w:val="none" w:sz="0" w:space="0" w:color="auto"/>
            <w:bottom w:val="none" w:sz="0" w:space="0" w:color="auto"/>
            <w:right w:val="none" w:sz="0" w:space="0" w:color="auto"/>
          </w:divBdr>
        </w:div>
      </w:divsChild>
    </w:div>
    <w:div w:id="1322587903">
      <w:bodyDiv w:val="1"/>
      <w:marLeft w:val="0"/>
      <w:marRight w:val="0"/>
      <w:marTop w:val="0"/>
      <w:marBottom w:val="0"/>
      <w:divBdr>
        <w:top w:val="none" w:sz="0" w:space="0" w:color="auto"/>
        <w:left w:val="none" w:sz="0" w:space="0" w:color="auto"/>
        <w:bottom w:val="none" w:sz="0" w:space="0" w:color="auto"/>
        <w:right w:val="none" w:sz="0" w:space="0" w:color="auto"/>
      </w:divBdr>
    </w:div>
    <w:div w:id="1372805177">
      <w:bodyDiv w:val="1"/>
      <w:marLeft w:val="0"/>
      <w:marRight w:val="0"/>
      <w:marTop w:val="0"/>
      <w:marBottom w:val="0"/>
      <w:divBdr>
        <w:top w:val="none" w:sz="0" w:space="0" w:color="auto"/>
        <w:left w:val="none" w:sz="0" w:space="0" w:color="auto"/>
        <w:bottom w:val="none" w:sz="0" w:space="0" w:color="auto"/>
        <w:right w:val="none" w:sz="0" w:space="0" w:color="auto"/>
      </w:divBdr>
    </w:div>
    <w:div w:id="1417896990">
      <w:bodyDiv w:val="1"/>
      <w:marLeft w:val="0"/>
      <w:marRight w:val="0"/>
      <w:marTop w:val="0"/>
      <w:marBottom w:val="0"/>
      <w:divBdr>
        <w:top w:val="none" w:sz="0" w:space="0" w:color="auto"/>
        <w:left w:val="none" w:sz="0" w:space="0" w:color="auto"/>
        <w:bottom w:val="none" w:sz="0" w:space="0" w:color="auto"/>
        <w:right w:val="none" w:sz="0" w:space="0" w:color="auto"/>
      </w:divBdr>
    </w:div>
    <w:div w:id="1425106148">
      <w:bodyDiv w:val="1"/>
      <w:marLeft w:val="0"/>
      <w:marRight w:val="0"/>
      <w:marTop w:val="0"/>
      <w:marBottom w:val="0"/>
      <w:divBdr>
        <w:top w:val="none" w:sz="0" w:space="0" w:color="auto"/>
        <w:left w:val="none" w:sz="0" w:space="0" w:color="auto"/>
        <w:bottom w:val="none" w:sz="0" w:space="0" w:color="auto"/>
        <w:right w:val="none" w:sz="0" w:space="0" w:color="auto"/>
      </w:divBdr>
    </w:div>
    <w:div w:id="1432554076">
      <w:bodyDiv w:val="1"/>
      <w:marLeft w:val="0"/>
      <w:marRight w:val="0"/>
      <w:marTop w:val="0"/>
      <w:marBottom w:val="0"/>
      <w:divBdr>
        <w:top w:val="none" w:sz="0" w:space="0" w:color="auto"/>
        <w:left w:val="none" w:sz="0" w:space="0" w:color="auto"/>
        <w:bottom w:val="none" w:sz="0" w:space="0" w:color="auto"/>
        <w:right w:val="none" w:sz="0" w:space="0" w:color="auto"/>
      </w:divBdr>
    </w:div>
    <w:div w:id="1475871140">
      <w:bodyDiv w:val="1"/>
      <w:marLeft w:val="0"/>
      <w:marRight w:val="0"/>
      <w:marTop w:val="0"/>
      <w:marBottom w:val="0"/>
      <w:divBdr>
        <w:top w:val="none" w:sz="0" w:space="0" w:color="auto"/>
        <w:left w:val="none" w:sz="0" w:space="0" w:color="auto"/>
        <w:bottom w:val="none" w:sz="0" w:space="0" w:color="auto"/>
        <w:right w:val="none" w:sz="0" w:space="0" w:color="auto"/>
      </w:divBdr>
      <w:divsChild>
        <w:div w:id="1045910313">
          <w:marLeft w:val="0"/>
          <w:marRight w:val="0"/>
          <w:marTop w:val="0"/>
          <w:marBottom w:val="0"/>
          <w:divBdr>
            <w:top w:val="none" w:sz="0" w:space="0" w:color="auto"/>
            <w:left w:val="none" w:sz="0" w:space="0" w:color="auto"/>
            <w:bottom w:val="none" w:sz="0" w:space="0" w:color="auto"/>
            <w:right w:val="none" w:sz="0" w:space="0" w:color="auto"/>
          </w:divBdr>
        </w:div>
      </w:divsChild>
    </w:div>
    <w:div w:id="1493109353">
      <w:bodyDiv w:val="1"/>
      <w:marLeft w:val="0"/>
      <w:marRight w:val="0"/>
      <w:marTop w:val="0"/>
      <w:marBottom w:val="0"/>
      <w:divBdr>
        <w:top w:val="none" w:sz="0" w:space="0" w:color="auto"/>
        <w:left w:val="none" w:sz="0" w:space="0" w:color="auto"/>
        <w:bottom w:val="none" w:sz="0" w:space="0" w:color="auto"/>
        <w:right w:val="none" w:sz="0" w:space="0" w:color="auto"/>
      </w:divBdr>
    </w:div>
    <w:div w:id="1535994483">
      <w:bodyDiv w:val="1"/>
      <w:marLeft w:val="0"/>
      <w:marRight w:val="0"/>
      <w:marTop w:val="0"/>
      <w:marBottom w:val="0"/>
      <w:divBdr>
        <w:top w:val="none" w:sz="0" w:space="0" w:color="auto"/>
        <w:left w:val="none" w:sz="0" w:space="0" w:color="auto"/>
        <w:bottom w:val="none" w:sz="0" w:space="0" w:color="auto"/>
        <w:right w:val="none" w:sz="0" w:space="0" w:color="auto"/>
      </w:divBdr>
      <w:divsChild>
        <w:div w:id="1058937173">
          <w:marLeft w:val="0"/>
          <w:marRight w:val="0"/>
          <w:marTop w:val="0"/>
          <w:marBottom w:val="0"/>
          <w:divBdr>
            <w:top w:val="none" w:sz="0" w:space="0" w:color="auto"/>
            <w:left w:val="none" w:sz="0" w:space="0" w:color="auto"/>
            <w:bottom w:val="none" w:sz="0" w:space="0" w:color="auto"/>
            <w:right w:val="none" w:sz="0" w:space="0" w:color="auto"/>
          </w:divBdr>
          <w:divsChild>
            <w:div w:id="1499153798">
              <w:marLeft w:val="0"/>
              <w:marRight w:val="0"/>
              <w:marTop w:val="0"/>
              <w:marBottom w:val="0"/>
              <w:divBdr>
                <w:top w:val="none" w:sz="0" w:space="0" w:color="auto"/>
                <w:left w:val="none" w:sz="0" w:space="0" w:color="auto"/>
                <w:bottom w:val="none" w:sz="0" w:space="0" w:color="auto"/>
                <w:right w:val="none" w:sz="0" w:space="0" w:color="auto"/>
              </w:divBdr>
              <w:divsChild>
                <w:div w:id="6318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8633">
      <w:bodyDiv w:val="1"/>
      <w:marLeft w:val="0"/>
      <w:marRight w:val="0"/>
      <w:marTop w:val="0"/>
      <w:marBottom w:val="0"/>
      <w:divBdr>
        <w:top w:val="none" w:sz="0" w:space="0" w:color="auto"/>
        <w:left w:val="none" w:sz="0" w:space="0" w:color="auto"/>
        <w:bottom w:val="none" w:sz="0" w:space="0" w:color="auto"/>
        <w:right w:val="none" w:sz="0" w:space="0" w:color="auto"/>
      </w:divBdr>
    </w:div>
    <w:div w:id="1741518634">
      <w:bodyDiv w:val="1"/>
      <w:marLeft w:val="0"/>
      <w:marRight w:val="0"/>
      <w:marTop w:val="0"/>
      <w:marBottom w:val="0"/>
      <w:divBdr>
        <w:top w:val="none" w:sz="0" w:space="0" w:color="auto"/>
        <w:left w:val="none" w:sz="0" w:space="0" w:color="auto"/>
        <w:bottom w:val="none" w:sz="0" w:space="0" w:color="auto"/>
        <w:right w:val="none" w:sz="0" w:space="0" w:color="auto"/>
      </w:divBdr>
    </w:div>
    <w:div w:id="1748307733">
      <w:bodyDiv w:val="1"/>
      <w:marLeft w:val="0"/>
      <w:marRight w:val="0"/>
      <w:marTop w:val="0"/>
      <w:marBottom w:val="0"/>
      <w:divBdr>
        <w:top w:val="none" w:sz="0" w:space="0" w:color="auto"/>
        <w:left w:val="none" w:sz="0" w:space="0" w:color="auto"/>
        <w:bottom w:val="none" w:sz="0" w:space="0" w:color="auto"/>
        <w:right w:val="none" w:sz="0" w:space="0" w:color="auto"/>
      </w:divBdr>
      <w:divsChild>
        <w:div w:id="1559588984">
          <w:marLeft w:val="0"/>
          <w:marRight w:val="0"/>
          <w:marTop w:val="0"/>
          <w:marBottom w:val="0"/>
          <w:divBdr>
            <w:top w:val="none" w:sz="0" w:space="0" w:color="auto"/>
            <w:left w:val="none" w:sz="0" w:space="0" w:color="auto"/>
            <w:bottom w:val="none" w:sz="0" w:space="0" w:color="auto"/>
            <w:right w:val="none" w:sz="0" w:space="0" w:color="auto"/>
          </w:divBdr>
          <w:divsChild>
            <w:div w:id="1680887959">
              <w:marLeft w:val="0"/>
              <w:marRight w:val="0"/>
              <w:marTop w:val="0"/>
              <w:marBottom w:val="0"/>
              <w:divBdr>
                <w:top w:val="none" w:sz="0" w:space="0" w:color="auto"/>
                <w:left w:val="none" w:sz="0" w:space="0" w:color="auto"/>
                <w:bottom w:val="none" w:sz="0" w:space="0" w:color="auto"/>
                <w:right w:val="none" w:sz="0" w:space="0" w:color="auto"/>
              </w:divBdr>
              <w:divsChild>
                <w:div w:id="21286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3701">
      <w:bodyDiv w:val="1"/>
      <w:marLeft w:val="0"/>
      <w:marRight w:val="0"/>
      <w:marTop w:val="0"/>
      <w:marBottom w:val="0"/>
      <w:divBdr>
        <w:top w:val="none" w:sz="0" w:space="0" w:color="auto"/>
        <w:left w:val="none" w:sz="0" w:space="0" w:color="auto"/>
        <w:bottom w:val="none" w:sz="0" w:space="0" w:color="auto"/>
        <w:right w:val="none" w:sz="0" w:space="0" w:color="auto"/>
      </w:divBdr>
      <w:divsChild>
        <w:div w:id="199781453">
          <w:marLeft w:val="0"/>
          <w:marRight w:val="0"/>
          <w:marTop w:val="0"/>
          <w:marBottom w:val="0"/>
          <w:divBdr>
            <w:top w:val="none" w:sz="0" w:space="0" w:color="auto"/>
            <w:left w:val="none" w:sz="0" w:space="0" w:color="auto"/>
            <w:bottom w:val="none" w:sz="0" w:space="0" w:color="auto"/>
            <w:right w:val="none" w:sz="0" w:space="0" w:color="auto"/>
          </w:divBdr>
          <w:divsChild>
            <w:div w:id="988365125">
              <w:marLeft w:val="0"/>
              <w:marRight w:val="0"/>
              <w:marTop w:val="0"/>
              <w:marBottom w:val="0"/>
              <w:divBdr>
                <w:top w:val="none" w:sz="0" w:space="0" w:color="auto"/>
                <w:left w:val="none" w:sz="0" w:space="0" w:color="auto"/>
                <w:bottom w:val="none" w:sz="0" w:space="0" w:color="auto"/>
                <w:right w:val="none" w:sz="0" w:space="0" w:color="auto"/>
              </w:divBdr>
              <w:divsChild>
                <w:div w:id="5095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94681">
      <w:bodyDiv w:val="1"/>
      <w:marLeft w:val="0"/>
      <w:marRight w:val="0"/>
      <w:marTop w:val="0"/>
      <w:marBottom w:val="0"/>
      <w:divBdr>
        <w:top w:val="none" w:sz="0" w:space="0" w:color="auto"/>
        <w:left w:val="none" w:sz="0" w:space="0" w:color="auto"/>
        <w:bottom w:val="none" w:sz="0" w:space="0" w:color="auto"/>
        <w:right w:val="none" w:sz="0" w:space="0" w:color="auto"/>
      </w:divBdr>
    </w:div>
    <w:div w:id="1802452724">
      <w:bodyDiv w:val="1"/>
      <w:marLeft w:val="0"/>
      <w:marRight w:val="0"/>
      <w:marTop w:val="0"/>
      <w:marBottom w:val="0"/>
      <w:divBdr>
        <w:top w:val="none" w:sz="0" w:space="0" w:color="auto"/>
        <w:left w:val="none" w:sz="0" w:space="0" w:color="auto"/>
        <w:bottom w:val="none" w:sz="0" w:space="0" w:color="auto"/>
        <w:right w:val="none" w:sz="0" w:space="0" w:color="auto"/>
      </w:divBdr>
    </w:div>
    <w:div w:id="1807352549">
      <w:bodyDiv w:val="1"/>
      <w:marLeft w:val="0"/>
      <w:marRight w:val="0"/>
      <w:marTop w:val="0"/>
      <w:marBottom w:val="0"/>
      <w:divBdr>
        <w:top w:val="none" w:sz="0" w:space="0" w:color="auto"/>
        <w:left w:val="none" w:sz="0" w:space="0" w:color="auto"/>
        <w:bottom w:val="none" w:sz="0" w:space="0" w:color="auto"/>
        <w:right w:val="none" w:sz="0" w:space="0" w:color="auto"/>
      </w:divBdr>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933850080">
      <w:bodyDiv w:val="1"/>
      <w:marLeft w:val="0"/>
      <w:marRight w:val="0"/>
      <w:marTop w:val="0"/>
      <w:marBottom w:val="0"/>
      <w:divBdr>
        <w:top w:val="none" w:sz="0" w:space="0" w:color="auto"/>
        <w:left w:val="none" w:sz="0" w:space="0" w:color="auto"/>
        <w:bottom w:val="none" w:sz="0" w:space="0" w:color="auto"/>
        <w:right w:val="none" w:sz="0" w:space="0" w:color="auto"/>
      </w:divBdr>
    </w:div>
    <w:div w:id="1936816701">
      <w:bodyDiv w:val="1"/>
      <w:marLeft w:val="0"/>
      <w:marRight w:val="0"/>
      <w:marTop w:val="0"/>
      <w:marBottom w:val="0"/>
      <w:divBdr>
        <w:top w:val="none" w:sz="0" w:space="0" w:color="auto"/>
        <w:left w:val="none" w:sz="0" w:space="0" w:color="auto"/>
        <w:bottom w:val="none" w:sz="0" w:space="0" w:color="auto"/>
        <w:right w:val="none" w:sz="0" w:space="0" w:color="auto"/>
      </w:divBdr>
    </w:div>
    <w:div w:id="1995328596">
      <w:bodyDiv w:val="1"/>
      <w:marLeft w:val="0"/>
      <w:marRight w:val="0"/>
      <w:marTop w:val="0"/>
      <w:marBottom w:val="0"/>
      <w:divBdr>
        <w:top w:val="none" w:sz="0" w:space="0" w:color="auto"/>
        <w:left w:val="none" w:sz="0" w:space="0" w:color="auto"/>
        <w:bottom w:val="none" w:sz="0" w:space="0" w:color="auto"/>
        <w:right w:val="none" w:sz="0" w:space="0" w:color="auto"/>
      </w:divBdr>
      <w:divsChild>
        <w:div w:id="1471366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6242">
              <w:marLeft w:val="0"/>
              <w:marRight w:val="0"/>
              <w:marTop w:val="0"/>
              <w:marBottom w:val="0"/>
              <w:divBdr>
                <w:top w:val="none" w:sz="0" w:space="0" w:color="auto"/>
                <w:left w:val="none" w:sz="0" w:space="0" w:color="auto"/>
                <w:bottom w:val="none" w:sz="0" w:space="0" w:color="auto"/>
                <w:right w:val="none" w:sz="0" w:space="0" w:color="auto"/>
              </w:divBdr>
              <w:divsChild>
                <w:div w:id="704839733">
                  <w:marLeft w:val="0"/>
                  <w:marRight w:val="0"/>
                  <w:marTop w:val="0"/>
                  <w:marBottom w:val="0"/>
                  <w:divBdr>
                    <w:top w:val="none" w:sz="0" w:space="0" w:color="auto"/>
                    <w:left w:val="none" w:sz="0" w:space="0" w:color="auto"/>
                    <w:bottom w:val="none" w:sz="0" w:space="0" w:color="auto"/>
                    <w:right w:val="none" w:sz="0" w:space="0" w:color="auto"/>
                  </w:divBdr>
                  <w:divsChild>
                    <w:div w:id="730428385">
                      <w:marLeft w:val="0"/>
                      <w:marRight w:val="0"/>
                      <w:marTop w:val="0"/>
                      <w:marBottom w:val="0"/>
                      <w:divBdr>
                        <w:top w:val="none" w:sz="0" w:space="0" w:color="auto"/>
                        <w:left w:val="none" w:sz="0" w:space="0" w:color="auto"/>
                        <w:bottom w:val="none" w:sz="0" w:space="0" w:color="auto"/>
                        <w:right w:val="none" w:sz="0" w:space="0" w:color="auto"/>
                      </w:divBdr>
                      <w:divsChild>
                        <w:div w:id="763190506">
                          <w:marLeft w:val="0"/>
                          <w:marRight w:val="0"/>
                          <w:marTop w:val="0"/>
                          <w:marBottom w:val="0"/>
                          <w:divBdr>
                            <w:top w:val="none" w:sz="0" w:space="0" w:color="auto"/>
                            <w:left w:val="none" w:sz="0" w:space="0" w:color="auto"/>
                            <w:bottom w:val="none" w:sz="0" w:space="0" w:color="auto"/>
                            <w:right w:val="none" w:sz="0" w:space="0" w:color="auto"/>
                          </w:divBdr>
                          <w:divsChild>
                            <w:div w:id="167716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851529">
                                  <w:marLeft w:val="0"/>
                                  <w:marRight w:val="0"/>
                                  <w:marTop w:val="0"/>
                                  <w:marBottom w:val="0"/>
                                  <w:divBdr>
                                    <w:top w:val="none" w:sz="0" w:space="0" w:color="auto"/>
                                    <w:left w:val="none" w:sz="0" w:space="0" w:color="auto"/>
                                    <w:bottom w:val="none" w:sz="0" w:space="0" w:color="auto"/>
                                    <w:right w:val="none" w:sz="0" w:space="0" w:color="auto"/>
                                  </w:divBdr>
                                  <w:divsChild>
                                    <w:div w:id="5974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10117">
      <w:bodyDiv w:val="1"/>
      <w:marLeft w:val="0"/>
      <w:marRight w:val="0"/>
      <w:marTop w:val="0"/>
      <w:marBottom w:val="0"/>
      <w:divBdr>
        <w:top w:val="none" w:sz="0" w:space="0" w:color="auto"/>
        <w:left w:val="none" w:sz="0" w:space="0" w:color="auto"/>
        <w:bottom w:val="none" w:sz="0" w:space="0" w:color="auto"/>
        <w:right w:val="none" w:sz="0" w:space="0" w:color="auto"/>
      </w:divBdr>
    </w:div>
    <w:div w:id="2014257148">
      <w:bodyDiv w:val="1"/>
      <w:marLeft w:val="0"/>
      <w:marRight w:val="0"/>
      <w:marTop w:val="0"/>
      <w:marBottom w:val="0"/>
      <w:divBdr>
        <w:top w:val="none" w:sz="0" w:space="0" w:color="auto"/>
        <w:left w:val="none" w:sz="0" w:space="0" w:color="auto"/>
        <w:bottom w:val="none" w:sz="0" w:space="0" w:color="auto"/>
        <w:right w:val="none" w:sz="0" w:space="0" w:color="auto"/>
      </w:divBdr>
    </w:div>
    <w:div w:id="2014524121">
      <w:bodyDiv w:val="1"/>
      <w:marLeft w:val="0"/>
      <w:marRight w:val="0"/>
      <w:marTop w:val="0"/>
      <w:marBottom w:val="0"/>
      <w:divBdr>
        <w:top w:val="none" w:sz="0" w:space="0" w:color="auto"/>
        <w:left w:val="none" w:sz="0" w:space="0" w:color="auto"/>
        <w:bottom w:val="none" w:sz="0" w:space="0" w:color="auto"/>
        <w:right w:val="none" w:sz="0" w:space="0" w:color="auto"/>
      </w:divBdr>
    </w:div>
    <w:div w:id="2075348279">
      <w:bodyDiv w:val="1"/>
      <w:marLeft w:val="0"/>
      <w:marRight w:val="0"/>
      <w:marTop w:val="0"/>
      <w:marBottom w:val="0"/>
      <w:divBdr>
        <w:top w:val="none" w:sz="0" w:space="0" w:color="auto"/>
        <w:left w:val="none" w:sz="0" w:space="0" w:color="auto"/>
        <w:bottom w:val="none" w:sz="0" w:space="0" w:color="auto"/>
        <w:right w:val="none" w:sz="0" w:space="0" w:color="auto"/>
      </w:divBdr>
      <w:divsChild>
        <w:div w:id="1393768342">
          <w:marLeft w:val="0"/>
          <w:marRight w:val="0"/>
          <w:marTop w:val="0"/>
          <w:marBottom w:val="0"/>
          <w:divBdr>
            <w:top w:val="none" w:sz="0" w:space="0" w:color="auto"/>
            <w:left w:val="none" w:sz="0" w:space="0" w:color="auto"/>
            <w:bottom w:val="none" w:sz="0" w:space="0" w:color="auto"/>
            <w:right w:val="none" w:sz="0" w:space="0" w:color="auto"/>
          </w:divBdr>
          <w:divsChild>
            <w:div w:id="85078912">
              <w:marLeft w:val="0"/>
              <w:marRight w:val="0"/>
              <w:marTop w:val="0"/>
              <w:marBottom w:val="0"/>
              <w:divBdr>
                <w:top w:val="none" w:sz="0" w:space="0" w:color="auto"/>
                <w:left w:val="none" w:sz="0" w:space="0" w:color="auto"/>
                <w:bottom w:val="none" w:sz="0" w:space="0" w:color="auto"/>
                <w:right w:val="none" w:sz="0" w:space="0" w:color="auto"/>
              </w:divBdr>
              <w:divsChild>
                <w:div w:id="6235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50106">
      <w:bodyDiv w:val="1"/>
      <w:marLeft w:val="0"/>
      <w:marRight w:val="0"/>
      <w:marTop w:val="0"/>
      <w:marBottom w:val="0"/>
      <w:divBdr>
        <w:top w:val="none" w:sz="0" w:space="0" w:color="auto"/>
        <w:left w:val="none" w:sz="0" w:space="0" w:color="auto"/>
        <w:bottom w:val="none" w:sz="0" w:space="0" w:color="auto"/>
        <w:right w:val="none" w:sz="0" w:space="0" w:color="auto"/>
      </w:divBdr>
    </w:div>
    <w:div w:id="2132049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https://doi.org/10.1080/17470218.2015.1099162" TargetMode="External"/><Relationship Id="rId39" Type="http://schemas.openxmlformats.org/officeDocument/2006/relationships/hyperlink" Target="https://psycnet.apa.org/doi/10.1037/0033-2909.121.3.371"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https://psycnet.apa.org/doi/10.1037/0022-3514.35.9.677"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www.researchgate.net/deref/http%3A%2F%2Fdx.doi.org%2F10.1016%2Fj.tics.2005.08.005" TargetMode="External"/><Relationship Id="rId37" Type="http://schemas.openxmlformats.org/officeDocument/2006/relationships/hyperlink" Target="about:blank" TargetMode="External"/><Relationship Id="rId40" Type="http://schemas.openxmlformats.org/officeDocument/2006/relationships/hyperlink" Target="https://doi.org/10.1037/pspa0000124"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https://doi.org/10.1024/1662-9647/a000247"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doi.org/10.1016/j.cobeha.2017.07.009" TargetMode="External"/><Relationship Id="rId27" Type="http://schemas.openxmlformats.org/officeDocument/2006/relationships/hyperlink" Target="about:blank" TargetMode="External"/><Relationship Id="rId30" Type="http://schemas.openxmlformats.org/officeDocument/2006/relationships/hyperlink" Target="https://econtent.hogrefe.com/author/N%C3%B6mer%2C+Jessica" TargetMode="External"/><Relationship Id="rId35" Type="http://schemas.openxmlformats.org/officeDocument/2006/relationships/hyperlink" Target="about:blank"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994BC6845224E851A76146A5E2259" ma:contentTypeVersion="13" ma:contentTypeDescription="Create a new document." ma:contentTypeScope="" ma:versionID="dcb18474842300ec7fc7796f71b8305a">
  <xsd:schema xmlns:xsd="http://www.w3.org/2001/XMLSchema" xmlns:xs="http://www.w3.org/2001/XMLSchema" xmlns:p="http://schemas.microsoft.com/office/2006/metadata/properties" xmlns:ns3="1bc57a51-45ef-4abd-aff0-78887ca703f2" xmlns:ns4="4d2dc6e2-5def-404b-ba41-92ddd7ccf230" targetNamespace="http://schemas.microsoft.com/office/2006/metadata/properties" ma:root="true" ma:fieldsID="1afc1c3b6bc640d55dfe202b8a0a160b" ns3:_="" ns4:_="">
    <xsd:import namespace="1bc57a51-45ef-4abd-aff0-78887ca703f2"/>
    <xsd:import namespace="4d2dc6e2-5def-404b-ba41-92ddd7ccf2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57a51-45ef-4abd-aff0-78887ca70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2dc6e2-5def-404b-ba41-92ddd7ccf2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19D0-A598-4287-9250-F4EB09FD3764}">
  <ds:schemaRefs>
    <ds:schemaRef ds:uri="http://schemas.microsoft.com/sharepoint/v3/contenttype/forms"/>
  </ds:schemaRefs>
</ds:datastoreItem>
</file>

<file path=customXml/itemProps2.xml><?xml version="1.0" encoding="utf-8"?>
<ds:datastoreItem xmlns:ds="http://schemas.openxmlformats.org/officeDocument/2006/customXml" ds:itemID="{B774AE2D-2F8E-444B-97BE-8B80B923C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57a51-45ef-4abd-aff0-78887ca703f2"/>
    <ds:schemaRef ds:uri="4d2dc6e2-5def-404b-ba41-92ddd7cc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B8409-5D10-46E4-8268-675FA4215071}">
  <ds:schemaRefs>
    <ds:schemaRef ds:uri="http://schemas.microsoft.com/office/2006/documentManagement/types"/>
    <ds:schemaRef ds:uri="http://schemas.microsoft.com/office/infopath/2007/PartnerControls"/>
    <ds:schemaRef ds:uri="1bc57a51-45ef-4abd-aff0-78887ca703f2"/>
    <ds:schemaRef ds:uri="http://purl.org/dc/elements/1.1/"/>
    <ds:schemaRef ds:uri="http://schemas.microsoft.com/office/2006/metadata/properties"/>
    <ds:schemaRef ds:uri="4d2dc6e2-5def-404b-ba41-92ddd7ccf230"/>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A7D711A-113A-4A01-9A4E-EF506676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6533</Words>
  <Characters>37243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Cheston</dc:creator>
  <cp:lastModifiedBy>Constantine Sedikides</cp:lastModifiedBy>
  <cp:revision>6</cp:revision>
  <dcterms:created xsi:type="dcterms:W3CDTF">2020-10-09T08:53:00Z</dcterms:created>
  <dcterms:modified xsi:type="dcterms:W3CDTF">2020-10-24T07:08:00Z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0x01010043C994BC6845224E851A76146A5E2259</vt:lpwstr>
  </property>
</Properties>
</file>