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59911" w14:textId="24F9F534" w:rsidR="00433AEC" w:rsidRPr="00601245" w:rsidRDefault="00433AEC" w:rsidP="00433AEC">
      <w:pPr>
        <w:spacing w:line="48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15D2C068" w14:textId="77777777" w:rsidR="00601245" w:rsidRPr="00601245" w:rsidRDefault="00601245" w:rsidP="00433AEC">
      <w:pPr>
        <w:spacing w:after="0" w:line="48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01245">
        <w:rPr>
          <w:rFonts w:cstheme="minorHAnsi"/>
          <w:b/>
          <w:sz w:val="24"/>
          <w:szCs w:val="24"/>
        </w:rPr>
        <w:t>Next Generation Sequencing’ as a diagnostic tool in Paediatrics</w:t>
      </w:r>
      <w:r w:rsidRPr="00601245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</w:p>
    <w:p w14:paraId="20F636F5" w14:textId="20A70E7A" w:rsidR="00601245" w:rsidRPr="00601245" w:rsidRDefault="00601245" w:rsidP="00433AEC">
      <w:pPr>
        <w:spacing w:after="0" w:line="48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3E31E02" w14:textId="5FBF068B" w:rsidR="00601245" w:rsidRDefault="00601245" w:rsidP="00433AEC">
      <w:pPr>
        <w:spacing w:after="0" w:line="48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01245">
        <w:rPr>
          <w:rFonts w:eastAsia="Times New Roman" w:cstheme="minorHAnsi"/>
          <w:color w:val="000000"/>
          <w:sz w:val="24"/>
          <w:szCs w:val="24"/>
          <w:lang w:eastAsia="en-GB"/>
        </w:rPr>
        <w:t>Corresponding author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7C0A14BF" w14:textId="474DE2DB" w:rsidR="00601245" w:rsidRPr="00601245" w:rsidRDefault="00601245" w:rsidP="00433AEC">
      <w:pPr>
        <w:spacing w:after="0" w:line="48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601245">
        <w:rPr>
          <w:rFonts w:eastAsia="Times New Roman" w:cstheme="minorHAnsi"/>
          <w:color w:val="000000"/>
          <w:sz w:val="24"/>
          <w:szCs w:val="24"/>
          <w:lang w:eastAsia="en-GB"/>
        </w:rPr>
        <w:t>Prof. Diana Baralle</w:t>
      </w:r>
    </w:p>
    <w:p w14:paraId="1204D882" w14:textId="1430D6FF" w:rsidR="00601245" w:rsidRPr="00315BCC" w:rsidRDefault="00601245" w:rsidP="00433AEC">
      <w:pPr>
        <w:spacing w:after="0" w:line="480" w:lineRule="auto"/>
        <w:rPr>
          <w:rFonts w:eastAsiaTheme="minorEastAsia" w:cstheme="minorHAnsi"/>
          <w:noProof/>
          <w:color w:val="000000"/>
          <w:sz w:val="24"/>
          <w:szCs w:val="24"/>
          <w:lang w:eastAsia="en-GB"/>
        </w:rPr>
      </w:pPr>
      <w:r w:rsidRPr="00601245"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>Faculty of Medicine | University of Southampton | Human Development and Health, Duthie Building, Southampton General Hospital, Tremona Road, Southampton, SO16 6YD</w:t>
      </w:r>
      <w:r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 xml:space="preserve">, </w:t>
      </w:r>
      <w:r w:rsidRPr="00315BCC"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>UK</w:t>
      </w:r>
    </w:p>
    <w:p w14:paraId="26D754B0" w14:textId="77D98032" w:rsidR="00601245" w:rsidRPr="00315BCC" w:rsidRDefault="00601245" w:rsidP="00433AEC">
      <w:pPr>
        <w:spacing w:after="0" w:line="480" w:lineRule="auto"/>
        <w:rPr>
          <w:rFonts w:eastAsiaTheme="minorEastAsia" w:cstheme="minorHAnsi"/>
          <w:noProof/>
          <w:color w:val="000000"/>
          <w:sz w:val="24"/>
          <w:szCs w:val="24"/>
          <w:lang w:eastAsia="en-GB"/>
        </w:rPr>
      </w:pPr>
      <w:r w:rsidRPr="00315BCC"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>+44 (0)23 8120 4264</w:t>
      </w:r>
    </w:p>
    <w:p w14:paraId="6E17FFDD" w14:textId="3056BDAC" w:rsidR="00601245" w:rsidRPr="00315BCC" w:rsidRDefault="00601245" w:rsidP="00433AEC">
      <w:pPr>
        <w:spacing w:after="0" w:line="480" w:lineRule="auto"/>
        <w:rPr>
          <w:rFonts w:eastAsiaTheme="minorEastAsia" w:cstheme="minorHAnsi"/>
          <w:noProof/>
          <w:color w:val="000000"/>
          <w:sz w:val="24"/>
          <w:szCs w:val="24"/>
          <w:lang w:eastAsia="en-GB"/>
        </w:rPr>
      </w:pPr>
      <w:r w:rsidRPr="00315BCC"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 xml:space="preserve">email: </w:t>
      </w:r>
      <w:hyperlink r:id="rId5" w:history="1">
        <w:r w:rsidRPr="00315BCC">
          <w:rPr>
            <w:rStyle w:val="Hyperlink"/>
            <w:rFonts w:eastAsiaTheme="minorEastAsia" w:cstheme="minorHAnsi"/>
            <w:noProof/>
            <w:sz w:val="24"/>
            <w:szCs w:val="24"/>
            <w:lang w:eastAsia="en-GB"/>
          </w:rPr>
          <w:t>d.baralle@soton.ac.uk</w:t>
        </w:r>
      </w:hyperlink>
    </w:p>
    <w:p w14:paraId="53E0A95B" w14:textId="26768B30" w:rsidR="00601245" w:rsidRPr="00315BCC" w:rsidRDefault="00601245" w:rsidP="00433AEC">
      <w:pPr>
        <w:spacing w:after="0" w:line="480" w:lineRule="auto"/>
        <w:rPr>
          <w:rFonts w:eastAsiaTheme="minorEastAsia" w:cstheme="minorHAnsi"/>
          <w:noProof/>
          <w:color w:val="000000"/>
          <w:sz w:val="24"/>
          <w:szCs w:val="24"/>
          <w:lang w:eastAsia="en-GB"/>
        </w:rPr>
      </w:pPr>
      <w:r w:rsidRPr="00315BCC"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>Co-author:</w:t>
      </w:r>
    </w:p>
    <w:p w14:paraId="29408C3F" w14:textId="77777777" w:rsidR="00601245" w:rsidRPr="00315BCC" w:rsidRDefault="00601245" w:rsidP="00433AEC">
      <w:pPr>
        <w:spacing w:after="0" w:line="480" w:lineRule="auto"/>
        <w:rPr>
          <w:rFonts w:eastAsiaTheme="minorEastAsia" w:cstheme="minorHAnsi"/>
          <w:noProof/>
          <w:color w:val="000000"/>
          <w:sz w:val="24"/>
          <w:szCs w:val="24"/>
          <w:lang w:eastAsia="en-GB"/>
        </w:rPr>
      </w:pPr>
      <w:r w:rsidRPr="00315BCC"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 xml:space="preserve">Dr Vardha ISMAIL, </w:t>
      </w:r>
    </w:p>
    <w:p w14:paraId="2057704D" w14:textId="34739863" w:rsidR="00601245" w:rsidRPr="00315BCC" w:rsidRDefault="00601245" w:rsidP="00433AEC">
      <w:pPr>
        <w:spacing w:after="0" w:line="480" w:lineRule="auto"/>
        <w:rPr>
          <w:rFonts w:eastAsiaTheme="minorEastAsia" w:cstheme="minorHAnsi"/>
          <w:noProof/>
          <w:color w:val="000000"/>
          <w:sz w:val="24"/>
          <w:szCs w:val="24"/>
          <w:lang w:eastAsia="en-GB"/>
        </w:rPr>
      </w:pPr>
      <w:r w:rsidRPr="00315BCC"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>UNIVERSITY HOSPITAL SOUTHAMPTON NHS FOUNDATION TRUST, Southampton, UK</w:t>
      </w:r>
    </w:p>
    <w:p w14:paraId="4070B65A" w14:textId="39A8D1B2" w:rsidR="00601245" w:rsidRPr="00315BCC" w:rsidRDefault="00315BCC" w:rsidP="00433AEC">
      <w:pPr>
        <w:spacing w:after="0" w:line="480" w:lineRule="auto"/>
        <w:rPr>
          <w:rFonts w:eastAsiaTheme="minorEastAsia" w:cstheme="minorHAnsi"/>
          <w:noProof/>
          <w:color w:val="000000"/>
          <w:sz w:val="24"/>
          <w:szCs w:val="24"/>
          <w:lang w:eastAsia="en-GB"/>
        </w:rPr>
      </w:pPr>
      <w:r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 xml:space="preserve">email: </w:t>
      </w:r>
      <w:r w:rsidR="00601245" w:rsidRPr="00315BCC">
        <w:rPr>
          <w:rFonts w:eastAsiaTheme="minorEastAsia" w:cstheme="minorHAnsi"/>
          <w:noProof/>
          <w:color w:val="000000"/>
          <w:sz w:val="24"/>
          <w:szCs w:val="24"/>
          <w:lang w:eastAsia="en-GB"/>
        </w:rPr>
        <w:t>vardha.ismail1@nhs.net</w:t>
      </w:r>
    </w:p>
    <w:p w14:paraId="41B1DED9" w14:textId="77777777" w:rsidR="00601245" w:rsidRPr="00315BCC" w:rsidRDefault="00601245" w:rsidP="00433AEC">
      <w:pPr>
        <w:spacing w:after="0" w:line="480" w:lineRule="auto"/>
        <w:rPr>
          <w:rFonts w:eastAsiaTheme="minorEastAsia" w:cstheme="minorHAnsi"/>
          <w:noProof/>
          <w:color w:val="000000"/>
          <w:sz w:val="24"/>
          <w:szCs w:val="24"/>
          <w:lang w:eastAsia="en-GB"/>
        </w:rPr>
      </w:pPr>
    </w:p>
    <w:p w14:paraId="2D1AE13C" w14:textId="4E216D34" w:rsidR="00601245" w:rsidRPr="00433AEC" w:rsidRDefault="00601245" w:rsidP="00433AEC">
      <w:pPr>
        <w:spacing w:after="0" w:line="48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15BC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Keywords: Genetics, genomics, next generation 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sequencing, molecular biology</w:t>
      </w:r>
    </w:p>
    <w:p w14:paraId="1E8A4513" w14:textId="2618FDBB" w:rsidR="00433AEC" w:rsidRPr="00433AEC" w:rsidRDefault="00433AEC" w:rsidP="00433AEC">
      <w:pPr>
        <w:spacing w:after="0" w:line="48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433AE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Word count - </w:t>
      </w:r>
      <w:r w:rsidR="00601245">
        <w:rPr>
          <w:rFonts w:eastAsia="Times New Roman" w:cstheme="minorHAnsi"/>
          <w:color w:val="000000"/>
          <w:sz w:val="24"/>
          <w:szCs w:val="24"/>
          <w:lang w:eastAsia="en-GB"/>
        </w:rPr>
        <w:t>1351</w:t>
      </w:r>
    </w:p>
    <w:p w14:paraId="3988B08F" w14:textId="77777777" w:rsidR="00433AEC" w:rsidRPr="00433AEC" w:rsidRDefault="00433AEC" w:rsidP="00433AEC">
      <w:pPr>
        <w:spacing w:after="0" w:line="480" w:lineRule="auto"/>
        <w:rPr>
          <w:rFonts w:ascii="-webkit-standard" w:eastAsia="Times New Roman" w:hAnsi="-webkit-standard" w:cs="Times New Roman"/>
          <w:color w:val="000000"/>
          <w:sz w:val="24"/>
          <w:szCs w:val="24"/>
          <w:lang w:eastAsia="en-GB"/>
        </w:rPr>
      </w:pPr>
    </w:p>
    <w:p w14:paraId="3E5797C8" w14:textId="77777777" w:rsidR="00433AEC" w:rsidRDefault="00433AEC" w:rsidP="00433AEC">
      <w:pPr>
        <w:spacing w:line="480" w:lineRule="auto"/>
        <w:jc w:val="center"/>
        <w:rPr>
          <w:rFonts w:cstheme="minorHAnsi"/>
          <w:b/>
        </w:rPr>
      </w:pPr>
    </w:p>
    <w:p w14:paraId="0127BF60" w14:textId="77777777" w:rsidR="00433AEC" w:rsidRDefault="00433AEC" w:rsidP="00433AEC">
      <w:pPr>
        <w:spacing w:line="480" w:lineRule="auto"/>
        <w:jc w:val="center"/>
        <w:rPr>
          <w:rFonts w:cstheme="minorHAnsi"/>
          <w:b/>
        </w:rPr>
      </w:pPr>
    </w:p>
    <w:p w14:paraId="3A000849" w14:textId="77777777" w:rsidR="00433AEC" w:rsidRDefault="00433AEC" w:rsidP="00433AEC">
      <w:pPr>
        <w:spacing w:line="480" w:lineRule="auto"/>
        <w:jc w:val="center"/>
        <w:rPr>
          <w:rFonts w:cstheme="minorHAnsi"/>
          <w:b/>
        </w:rPr>
      </w:pPr>
    </w:p>
    <w:p w14:paraId="7F0BAEBC" w14:textId="77777777" w:rsidR="00433AEC" w:rsidRDefault="00433AEC" w:rsidP="00433AEC">
      <w:pPr>
        <w:spacing w:line="480" w:lineRule="auto"/>
        <w:jc w:val="center"/>
        <w:rPr>
          <w:rFonts w:cstheme="minorHAnsi"/>
          <w:b/>
        </w:rPr>
      </w:pPr>
    </w:p>
    <w:p w14:paraId="44D1B62E" w14:textId="77777777" w:rsidR="00433AEC" w:rsidRDefault="00433AEC" w:rsidP="00433AEC">
      <w:pPr>
        <w:spacing w:line="480" w:lineRule="auto"/>
        <w:jc w:val="center"/>
        <w:rPr>
          <w:rFonts w:cstheme="minorHAnsi"/>
          <w:b/>
        </w:rPr>
      </w:pPr>
    </w:p>
    <w:p w14:paraId="07AFC611" w14:textId="77777777" w:rsidR="00433AEC" w:rsidRDefault="00433AEC" w:rsidP="00433AEC">
      <w:pPr>
        <w:spacing w:line="480" w:lineRule="auto"/>
        <w:jc w:val="center"/>
        <w:rPr>
          <w:rFonts w:cstheme="minorHAnsi"/>
          <w:b/>
        </w:rPr>
      </w:pPr>
    </w:p>
    <w:p w14:paraId="50359BDC" w14:textId="62C23FAB" w:rsidR="005C7123" w:rsidRPr="003D7774" w:rsidRDefault="00A374C5" w:rsidP="00601245">
      <w:pPr>
        <w:spacing w:line="480" w:lineRule="auto"/>
        <w:ind w:firstLine="720"/>
        <w:rPr>
          <w:rFonts w:cstheme="minorHAnsi"/>
          <w:b/>
        </w:rPr>
      </w:pPr>
      <w:r w:rsidRPr="003D7774">
        <w:rPr>
          <w:rFonts w:cstheme="minorHAnsi"/>
          <w:b/>
        </w:rPr>
        <w:t>‘</w:t>
      </w:r>
      <w:r w:rsidR="004D3DCD" w:rsidRPr="003D7774">
        <w:rPr>
          <w:rFonts w:cstheme="minorHAnsi"/>
          <w:b/>
        </w:rPr>
        <w:t>Next Generation Sequencing</w:t>
      </w:r>
      <w:r w:rsidRPr="003D7774">
        <w:rPr>
          <w:rFonts w:cstheme="minorHAnsi"/>
          <w:b/>
        </w:rPr>
        <w:t>’</w:t>
      </w:r>
      <w:r w:rsidR="004D3DCD" w:rsidRPr="003D7774">
        <w:rPr>
          <w:rFonts w:cstheme="minorHAnsi"/>
          <w:b/>
        </w:rPr>
        <w:t xml:space="preserve"> </w:t>
      </w:r>
      <w:r w:rsidRPr="003D7774">
        <w:rPr>
          <w:rFonts w:cstheme="minorHAnsi"/>
          <w:b/>
        </w:rPr>
        <w:t>a</w:t>
      </w:r>
      <w:r w:rsidR="003058A7" w:rsidRPr="003D7774">
        <w:rPr>
          <w:rFonts w:cstheme="minorHAnsi"/>
          <w:b/>
        </w:rPr>
        <w:t>s a</w:t>
      </w:r>
      <w:r w:rsidRPr="003D7774">
        <w:rPr>
          <w:rFonts w:cstheme="minorHAnsi"/>
          <w:b/>
        </w:rPr>
        <w:t xml:space="preserve"> diagnostic tool in Paediatrics</w:t>
      </w:r>
    </w:p>
    <w:p w14:paraId="33A9246F" w14:textId="0DE3E19A" w:rsidR="002B1154" w:rsidRPr="004910AD" w:rsidRDefault="002B1154" w:rsidP="00433AEC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>
        <w:rPr>
          <w:rFonts w:ascii="Calibri" w:hAnsi="Calibri" w:cs="Calibri"/>
          <w:color w:val="000000"/>
        </w:rPr>
        <w:t>Two recent studies in Asia illustrate the potential of Next Generation sequencing (NGS)</w:t>
      </w:r>
      <w:r w:rsidR="00F902A4">
        <w:rPr>
          <w:rFonts w:ascii="Calibri" w:hAnsi="Calibri" w:cs="Calibri"/>
          <w:color w:val="000000"/>
        </w:rPr>
        <w:t xml:space="preserve"> and </w:t>
      </w:r>
      <w:r w:rsidR="002F722B">
        <w:rPr>
          <w:rFonts w:cstheme="minorHAnsi"/>
        </w:rPr>
        <w:t xml:space="preserve">the </w:t>
      </w:r>
      <w:r w:rsidR="00AF6184">
        <w:rPr>
          <w:rFonts w:cstheme="minorHAnsi"/>
        </w:rPr>
        <w:t>value</w:t>
      </w:r>
      <w:r w:rsidR="00F902A4">
        <w:rPr>
          <w:rFonts w:cstheme="minorHAnsi"/>
        </w:rPr>
        <w:t xml:space="preserve"> of large</w:t>
      </w:r>
      <w:r w:rsidR="00601245">
        <w:rPr>
          <w:rFonts w:cstheme="minorHAnsi"/>
        </w:rPr>
        <w:t>-</w:t>
      </w:r>
      <w:r w:rsidR="00F902A4">
        <w:rPr>
          <w:rFonts w:cstheme="minorHAnsi"/>
        </w:rPr>
        <w:t xml:space="preserve">scale studies in </w:t>
      </w:r>
      <w:r w:rsidR="004910AD">
        <w:rPr>
          <w:rFonts w:cstheme="minorHAnsi"/>
        </w:rPr>
        <w:t>Asian cohorts</w:t>
      </w:r>
      <w:r w:rsidR="00F902A4">
        <w:rPr>
          <w:rFonts w:cstheme="minorHAnsi"/>
        </w:rPr>
        <w:t xml:space="preserve"> to represent variation in the reference genome</w:t>
      </w:r>
      <w:r>
        <w:rPr>
          <w:rFonts w:cstheme="minorHAnsi"/>
        </w:rPr>
        <w:t xml:space="preserve">. </w:t>
      </w:r>
      <w:r w:rsidR="004910AD">
        <w:rPr>
          <w:rFonts w:cstheme="minorHAnsi"/>
        </w:rPr>
        <w:t xml:space="preserve"> The United Kingdom itself, has a diverse population and acknowledging the genetic variation that exists within differing ethnic groups is important to deliver a high</w:t>
      </w:r>
      <w:r w:rsidR="00601245">
        <w:rPr>
          <w:rFonts w:cstheme="minorHAnsi"/>
        </w:rPr>
        <w:t>-</w:t>
      </w:r>
      <w:r w:rsidR="004910AD">
        <w:rPr>
          <w:rFonts w:cstheme="minorHAnsi"/>
        </w:rPr>
        <w:t xml:space="preserve">quality Genomic service for all. </w:t>
      </w:r>
      <w:r w:rsidR="00B42EF5">
        <w:rPr>
          <w:rFonts w:cstheme="minorHAnsi"/>
        </w:rPr>
        <w:t xml:space="preserve">The </w:t>
      </w:r>
      <w:r w:rsidRPr="003D7774">
        <w:rPr>
          <w:rFonts w:cstheme="minorHAnsi"/>
        </w:rPr>
        <w:t>paper from Heming et al</w:t>
      </w:r>
      <w:r w:rsidR="00422AAD">
        <w:rPr>
          <w:rFonts w:cstheme="minorHAnsi"/>
          <w:vertAlign w:val="superscript"/>
        </w:rPr>
        <w:t>1</w:t>
      </w:r>
      <w:r w:rsidR="00B42EF5">
        <w:rPr>
          <w:rFonts w:cstheme="minorHAnsi"/>
        </w:rPr>
        <w:t xml:space="preserve"> </w:t>
      </w:r>
      <w:r w:rsidR="00AA7D62">
        <w:rPr>
          <w:rFonts w:cstheme="minorHAnsi"/>
        </w:rPr>
        <w:t>demonstrate</w:t>
      </w:r>
      <w:r w:rsidR="002F722B">
        <w:rPr>
          <w:rFonts w:cstheme="minorHAnsi"/>
        </w:rPr>
        <w:t>s</w:t>
      </w:r>
      <w:r w:rsidR="00AA7D62">
        <w:rPr>
          <w:rFonts w:cstheme="minorHAnsi"/>
        </w:rPr>
        <w:t xml:space="preserve"> that an</w:t>
      </w:r>
      <w:r w:rsidRPr="003D7774">
        <w:rPr>
          <w:rFonts w:cstheme="minorHAnsi"/>
          <w:bCs/>
        </w:rPr>
        <w:t xml:space="preserve"> understanding of what each NGS test provides </w:t>
      </w:r>
      <w:r>
        <w:rPr>
          <w:rFonts w:cstheme="minorHAnsi"/>
          <w:bCs/>
        </w:rPr>
        <w:t>allowed for the use of</w:t>
      </w:r>
      <w:r w:rsidRPr="003D7774">
        <w:rPr>
          <w:rFonts w:cstheme="minorHAnsi"/>
          <w:bCs/>
        </w:rPr>
        <w:t xml:space="preserve"> a </w:t>
      </w:r>
      <w:r w:rsidRPr="003D7774">
        <w:rPr>
          <w:rFonts w:cstheme="minorHAnsi"/>
        </w:rPr>
        <w:t>large exome gene panel rather than whole exome sequencing</w:t>
      </w:r>
      <w:r>
        <w:rPr>
          <w:rFonts w:cstheme="minorHAnsi"/>
        </w:rPr>
        <w:t>. This</w:t>
      </w:r>
      <w:r w:rsidRPr="003D7774">
        <w:rPr>
          <w:rFonts w:cstheme="minorHAnsi"/>
        </w:rPr>
        <w:t xml:space="preserve"> still increased</w:t>
      </w:r>
      <w:r>
        <w:rPr>
          <w:rFonts w:cstheme="minorHAnsi"/>
        </w:rPr>
        <w:t xml:space="preserve"> the </w:t>
      </w:r>
      <w:r w:rsidRPr="003D7774">
        <w:rPr>
          <w:rFonts w:cstheme="minorHAnsi"/>
        </w:rPr>
        <w:t>diagnostic yield to almost 40%</w:t>
      </w:r>
      <w:r>
        <w:rPr>
          <w:rFonts w:cstheme="minorHAnsi"/>
        </w:rPr>
        <w:t xml:space="preserve"> in Mendelian disorders</w:t>
      </w:r>
      <w:r w:rsidRPr="003D7774">
        <w:rPr>
          <w:rFonts w:cstheme="minorHAnsi"/>
        </w:rPr>
        <w:t>.</w:t>
      </w:r>
      <w:r>
        <w:rPr>
          <w:rFonts w:cstheme="minorHAnsi"/>
        </w:rPr>
        <w:t xml:space="preserve">  Bhatia et al</w:t>
      </w:r>
      <w:r w:rsidR="00422AAD"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further </w:t>
      </w:r>
      <w:r w:rsidR="00AA7D62">
        <w:rPr>
          <w:rFonts w:cstheme="minorHAnsi"/>
        </w:rPr>
        <w:t xml:space="preserve">showed </w:t>
      </w:r>
      <w:r>
        <w:rPr>
          <w:rFonts w:cstheme="minorHAnsi"/>
        </w:rPr>
        <w:t>that utilising whole exome and whole genome sequencing led to a diagnostic yield of 38% and 33% respectively in their Asian cohort. Particularly in children with neuromuscular and skeletal dysplasia phenotypes</w:t>
      </w:r>
      <w:r w:rsidR="002F722B">
        <w:rPr>
          <w:rFonts w:cstheme="minorHAnsi"/>
        </w:rPr>
        <w:t xml:space="preserve"> where</w:t>
      </w:r>
      <w:r w:rsidR="00AF6184">
        <w:rPr>
          <w:rFonts w:cstheme="minorHAnsi"/>
        </w:rPr>
        <w:t xml:space="preserve"> </w:t>
      </w:r>
      <w:r>
        <w:rPr>
          <w:rFonts w:cstheme="minorHAnsi"/>
        </w:rPr>
        <w:t>performing a ‘trio exome’ also contributed to a higher diagnostic yield. Bhatia et al additionally</w:t>
      </w:r>
      <w:r w:rsidR="00F902A4">
        <w:rPr>
          <w:rFonts w:cstheme="minorHAnsi"/>
        </w:rPr>
        <w:t xml:space="preserve"> </w:t>
      </w:r>
      <w:r w:rsidR="00AF6184">
        <w:rPr>
          <w:rFonts w:cstheme="minorHAnsi"/>
          <w:color w:val="333333"/>
          <w:shd w:val="clear" w:color="auto" w:fill="FFFFFF"/>
        </w:rPr>
        <w:t>demonstrate that 61% of the variants found in the</w:t>
      </w:r>
      <w:r w:rsidR="002C19B2">
        <w:rPr>
          <w:rFonts w:cstheme="minorHAnsi"/>
          <w:color w:val="333333"/>
          <w:shd w:val="clear" w:color="auto" w:fill="FFFFFF"/>
        </w:rPr>
        <w:t>ir</w:t>
      </w:r>
      <w:r w:rsidR="00AF6184">
        <w:rPr>
          <w:rFonts w:cstheme="minorHAnsi"/>
          <w:color w:val="333333"/>
          <w:shd w:val="clear" w:color="auto" w:fill="FFFFFF"/>
        </w:rPr>
        <w:t xml:space="preserve"> multi-ethnic Asian population were n</w:t>
      </w:r>
      <w:r w:rsidR="002C19B2">
        <w:rPr>
          <w:rFonts w:cstheme="minorHAnsi"/>
          <w:color w:val="333333"/>
          <w:shd w:val="clear" w:color="auto" w:fill="FFFFFF"/>
        </w:rPr>
        <w:t xml:space="preserve">ovel. This information is crucial to help collate accurate reference data sets, </w:t>
      </w:r>
      <w:r w:rsidR="00AA7D62">
        <w:rPr>
          <w:rFonts w:cstheme="minorHAnsi"/>
          <w:color w:val="333333"/>
          <w:shd w:val="clear" w:color="auto" w:fill="FFFFFF"/>
        </w:rPr>
        <w:t>which</w:t>
      </w:r>
      <w:r w:rsidR="002C19B2">
        <w:rPr>
          <w:rFonts w:cstheme="minorHAnsi"/>
          <w:color w:val="333333"/>
          <w:shd w:val="clear" w:color="auto" w:fill="FFFFFF"/>
        </w:rPr>
        <w:t xml:space="preserve"> tend to have a European bias</w:t>
      </w:r>
      <w:r w:rsidR="00AA7D62">
        <w:rPr>
          <w:rFonts w:cstheme="minorHAnsi"/>
          <w:color w:val="333333"/>
          <w:shd w:val="clear" w:color="auto" w:fill="FFFFFF"/>
        </w:rPr>
        <w:t>,</w:t>
      </w:r>
      <w:r w:rsidR="002C19B2">
        <w:rPr>
          <w:rFonts w:cstheme="minorHAnsi"/>
          <w:color w:val="333333"/>
          <w:shd w:val="clear" w:color="auto" w:fill="FFFFFF"/>
        </w:rPr>
        <w:t xml:space="preserve"> with Asian ancestry represented by 14% of samples.</w:t>
      </w:r>
      <w:r w:rsidR="00D27C4A">
        <w:rPr>
          <w:rFonts w:cstheme="minorHAnsi"/>
          <w:color w:val="333333"/>
          <w:shd w:val="clear" w:color="auto" w:fill="FFFFFF"/>
          <w:vertAlign w:val="superscript"/>
        </w:rPr>
        <w:t>3</w:t>
      </w:r>
      <w:r w:rsidR="004910AD">
        <w:rPr>
          <w:rFonts w:cstheme="minorHAnsi"/>
          <w:color w:val="333333"/>
          <w:shd w:val="clear" w:color="auto" w:fill="FFFFFF"/>
          <w:vertAlign w:val="superscript"/>
        </w:rPr>
        <w:t xml:space="preserve"> </w:t>
      </w:r>
      <w:r>
        <w:rPr>
          <w:rFonts w:cstheme="minorHAnsi"/>
        </w:rPr>
        <w:t xml:space="preserve"> </w:t>
      </w:r>
      <w:r w:rsidR="00F902A4">
        <w:rPr>
          <w:rFonts w:cstheme="minorHAnsi"/>
        </w:rPr>
        <w:t xml:space="preserve"> </w:t>
      </w:r>
    </w:p>
    <w:p w14:paraId="7AE7842C" w14:textId="77777777" w:rsidR="0006732B" w:rsidRDefault="0006732B" w:rsidP="00433AEC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</w:p>
    <w:p w14:paraId="1EC681A0" w14:textId="77777777" w:rsidR="00E640DB" w:rsidRPr="003D7774" w:rsidRDefault="00363659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</w:rPr>
        <w:t>The human genome was first sequenced in 2003 and helped to unra</w:t>
      </w:r>
      <w:r w:rsidR="00023F27" w:rsidRPr="003D7774">
        <w:rPr>
          <w:rFonts w:cstheme="minorHAnsi"/>
        </w:rPr>
        <w:t xml:space="preserve">vel the </w:t>
      </w:r>
      <w:r w:rsidRPr="003D7774">
        <w:rPr>
          <w:rFonts w:cstheme="minorHAnsi"/>
        </w:rPr>
        <w:t>complexitie</w:t>
      </w:r>
      <w:r w:rsidR="00023F27" w:rsidRPr="003D7774">
        <w:rPr>
          <w:rFonts w:cstheme="minorHAnsi"/>
        </w:rPr>
        <w:t xml:space="preserve">s behind disease causing </w:t>
      </w:r>
      <w:r w:rsidRPr="003D7774">
        <w:rPr>
          <w:rFonts w:cstheme="minorHAnsi"/>
        </w:rPr>
        <w:t>alterations in our DNA.</w:t>
      </w:r>
      <w:r w:rsidR="0056340F" w:rsidRPr="003D7774">
        <w:rPr>
          <w:rFonts w:cstheme="minorHAnsi"/>
        </w:rPr>
        <w:t xml:space="preserve"> </w:t>
      </w:r>
      <w:r w:rsidR="00E640DB" w:rsidRPr="003D7774">
        <w:rPr>
          <w:rFonts w:cstheme="minorHAnsi"/>
        </w:rPr>
        <w:t xml:space="preserve"> Although genetic testing has evolved a great deal since then, the original and</w:t>
      </w:r>
      <w:r w:rsidR="0056340F" w:rsidRPr="003D7774">
        <w:rPr>
          <w:rFonts w:cstheme="minorHAnsi"/>
        </w:rPr>
        <w:t xml:space="preserve"> </w:t>
      </w:r>
      <w:r w:rsidRPr="003D7774">
        <w:rPr>
          <w:rFonts w:cstheme="minorHAnsi"/>
        </w:rPr>
        <w:t xml:space="preserve">‘first generation’ </w:t>
      </w:r>
      <w:r w:rsidR="0056340F" w:rsidRPr="003D7774">
        <w:rPr>
          <w:rFonts w:cstheme="minorHAnsi"/>
        </w:rPr>
        <w:t>method</w:t>
      </w:r>
      <w:r w:rsidRPr="003D7774">
        <w:rPr>
          <w:rFonts w:cstheme="minorHAnsi"/>
        </w:rPr>
        <w:t xml:space="preserve"> </w:t>
      </w:r>
      <w:r w:rsidR="00CF6466">
        <w:rPr>
          <w:rFonts w:cstheme="minorHAnsi"/>
        </w:rPr>
        <w:t>used to sequence the</w:t>
      </w:r>
      <w:r w:rsidR="00E640DB" w:rsidRPr="003D7774">
        <w:rPr>
          <w:rFonts w:cstheme="minorHAnsi"/>
        </w:rPr>
        <w:t xml:space="preserve"> genome was</w:t>
      </w:r>
      <w:r w:rsidR="0056340F" w:rsidRPr="003D7774">
        <w:rPr>
          <w:rFonts w:cstheme="minorHAnsi"/>
        </w:rPr>
        <w:t xml:space="preserve"> </w:t>
      </w:r>
      <w:r w:rsidRPr="003D7774">
        <w:rPr>
          <w:rFonts w:cstheme="minorHAnsi"/>
        </w:rPr>
        <w:t>‘Sanger sequencing</w:t>
      </w:r>
      <w:r w:rsidR="00E640DB" w:rsidRPr="003D7774">
        <w:rPr>
          <w:rFonts w:cstheme="minorHAnsi"/>
        </w:rPr>
        <w:t>.</w:t>
      </w:r>
      <w:r w:rsidRPr="003D7774">
        <w:rPr>
          <w:rFonts w:cstheme="minorHAnsi"/>
        </w:rPr>
        <w:t>’</w:t>
      </w:r>
    </w:p>
    <w:p w14:paraId="4067917F" w14:textId="031CE71F" w:rsidR="00E657DE" w:rsidRPr="003D7774" w:rsidRDefault="000F098A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</w:rPr>
        <w:t>N</w:t>
      </w:r>
      <w:r w:rsidR="00363659" w:rsidRPr="003D7774">
        <w:rPr>
          <w:rFonts w:cstheme="minorHAnsi"/>
        </w:rPr>
        <w:t>amed after Fred Sanger</w:t>
      </w:r>
      <w:r w:rsidR="0056340F" w:rsidRPr="003D7774">
        <w:rPr>
          <w:rFonts w:cstheme="minorHAnsi"/>
        </w:rPr>
        <w:t xml:space="preserve"> who developed this in</w:t>
      </w:r>
      <w:r w:rsidRPr="003D7774">
        <w:rPr>
          <w:rFonts w:cstheme="minorHAnsi"/>
        </w:rPr>
        <w:t xml:space="preserve"> 1975, </w:t>
      </w:r>
      <w:r w:rsidR="00363659" w:rsidRPr="003D7774">
        <w:rPr>
          <w:rFonts w:cstheme="minorHAnsi"/>
        </w:rPr>
        <w:t>involves using DNA as a template to generate a set of fragments that differ in length. The fragments are labelle</w:t>
      </w:r>
      <w:r w:rsidRPr="003D7774">
        <w:rPr>
          <w:rFonts w:cstheme="minorHAnsi"/>
        </w:rPr>
        <w:t xml:space="preserve">d and </w:t>
      </w:r>
      <w:r w:rsidR="00363659" w:rsidRPr="003D7774">
        <w:rPr>
          <w:rFonts w:cstheme="minorHAnsi"/>
        </w:rPr>
        <w:t xml:space="preserve">reassembled into the original sequence of DNA. </w:t>
      </w:r>
      <w:r w:rsidRPr="003D7774">
        <w:rPr>
          <w:rFonts w:cstheme="minorHAnsi"/>
        </w:rPr>
        <w:t xml:space="preserve"> </w:t>
      </w:r>
      <w:r w:rsidR="00363659" w:rsidRPr="003D7774">
        <w:rPr>
          <w:rFonts w:cstheme="minorHAnsi"/>
        </w:rPr>
        <w:t>Although</w:t>
      </w:r>
      <w:r w:rsidR="000A5362" w:rsidRPr="003D7774">
        <w:rPr>
          <w:rFonts w:cstheme="minorHAnsi"/>
        </w:rPr>
        <w:t xml:space="preserve"> this is</w:t>
      </w:r>
      <w:r w:rsidR="00363659" w:rsidRPr="003D7774">
        <w:rPr>
          <w:rFonts w:cstheme="minorHAnsi"/>
        </w:rPr>
        <w:t xml:space="preserve"> </w:t>
      </w:r>
      <w:r w:rsidRPr="003D7774">
        <w:rPr>
          <w:rFonts w:cstheme="minorHAnsi"/>
        </w:rPr>
        <w:t xml:space="preserve">a </w:t>
      </w:r>
      <w:r w:rsidR="00363659" w:rsidRPr="003D7774">
        <w:rPr>
          <w:rFonts w:cstheme="minorHAnsi"/>
        </w:rPr>
        <w:t xml:space="preserve">reliable </w:t>
      </w:r>
      <w:r w:rsidRPr="003D7774">
        <w:rPr>
          <w:rFonts w:cstheme="minorHAnsi"/>
        </w:rPr>
        <w:t>method,</w:t>
      </w:r>
      <w:r w:rsidR="00363659" w:rsidRPr="003D7774">
        <w:rPr>
          <w:rFonts w:cstheme="minorHAnsi"/>
        </w:rPr>
        <w:t xml:space="preserve"> </w:t>
      </w:r>
      <w:r w:rsidRPr="003D7774">
        <w:rPr>
          <w:rFonts w:cstheme="minorHAnsi"/>
        </w:rPr>
        <w:t xml:space="preserve">the </w:t>
      </w:r>
      <w:r w:rsidR="000A5362" w:rsidRPr="003D7774">
        <w:rPr>
          <w:rFonts w:cstheme="minorHAnsi"/>
        </w:rPr>
        <w:t>greatest disadvantage</w:t>
      </w:r>
      <w:r w:rsidRPr="003D7774">
        <w:rPr>
          <w:rFonts w:cstheme="minorHAnsi"/>
        </w:rPr>
        <w:t xml:space="preserve"> </w:t>
      </w:r>
      <w:r w:rsidR="000A5362" w:rsidRPr="003D7774">
        <w:rPr>
          <w:rFonts w:cstheme="minorHAnsi"/>
        </w:rPr>
        <w:t xml:space="preserve">is </w:t>
      </w:r>
      <w:r w:rsidR="00E657DE" w:rsidRPr="003D7774">
        <w:rPr>
          <w:rFonts w:cstheme="minorHAnsi"/>
        </w:rPr>
        <w:t xml:space="preserve">only </w:t>
      </w:r>
      <w:r w:rsidR="00363659" w:rsidRPr="003D7774">
        <w:rPr>
          <w:rFonts w:cstheme="minorHAnsi"/>
        </w:rPr>
        <w:t xml:space="preserve">one </w:t>
      </w:r>
      <w:r w:rsidRPr="003D7774">
        <w:rPr>
          <w:rFonts w:cstheme="minorHAnsi"/>
        </w:rPr>
        <w:t>small fragment of D</w:t>
      </w:r>
      <w:r w:rsidR="00CF6466">
        <w:rPr>
          <w:rFonts w:cstheme="minorHAnsi"/>
        </w:rPr>
        <w:t>NA can be sequenced at a time,</w:t>
      </w:r>
      <w:r w:rsidR="00E657DE" w:rsidRPr="003D7774">
        <w:rPr>
          <w:rFonts w:cstheme="minorHAnsi"/>
        </w:rPr>
        <w:t xml:space="preserve"> which proves to be costly and time consuming.</w:t>
      </w:r>
    </w:p>
    <w:p w14:paraId="60457BB8" w14:textId="7D3425E6" w:rsidR="00E657DE" w:rsidRPr="003D7774" w:rsidRDefault="00B529C9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</w:rPr>
        <w:lastRenderedPageBreak/>
        <w:t xml:space="preserve">Genetic testing </w:t>
      </w:r>
      <w:r w:rsidR="009C68C6">
        <w:rPr>
          <w:rFonts w:cstheme="minorHAnsi"/>
        </w:rPr>
        <w:t>was already</w:t>
      </w:r>
      <w:r w:rsidR="00CF6466">
        <w:rPr>
          <w:rFonts w:cstheme="minorHAnsi"/>
        </w:rPr>
        <w:t xml:space="preserve"> available in the</w:t>
      </w:r>
      <w:r w:rsidR="00875011" w:rsidRPr="003D7774">
        <w:rPr>
          <w:rFonts w:cstheme="minorHAnsi"/>
        </w:rPr>
        <w:t xml:space="preserve"> UK healthcare system however; from March 2017 </w:t>
      </w:r>
      <w:r w:rsidR="00D0091B" w:rsidRPr="003D7774">
        <w:rPr>
          <w:rFonts w:cstheme="minorHAnsi"/>
        </w:rPr>
        <w:t xml:space="preserve">a </w:t>
      </w:r>
      <w:r w:rsidR="00E657DE" w:rsidRPr="003D7774">
        <w:rPr>
          <w:rFonts w:cstheme="minorHAnsi"/>
        </w:rPr>
        <w:t>National Genomic Medicine Service in the UK</w:t>
      </w:r>
      <w:r w:rsidR="00C30C8B" w:rsidRPr="003D7774">
        <w:rPr>
          <w:rFonts w:cstheme="minorHAnsi"/>
        </w:rPr>
        <w:t xml:space="preserve"> </w:t>
      </w:r>
      <w:r w:rsidR="00460847" w:rsidRPr="003D7774">
        <w:rPr>
          <w:rFonts w:cstheme="minorHAnsi"/>
        </w:rPr>
        <w:t>was</w:t>
      </w:r>
      <w:r w:rsidR="00C30C8B" w:rsidRPr="003D7774">
        <w:rPr>
          <w:rFonts w:cstheme="minorHAnsi"/>
        </w:rPr>
        <w:t xml:space="preserve"> </w:t>
      </w:r>
      <w:r w:rsidR="00875011" w:rsidRPr="003D7774">
        <w:rPr>
          <w:rFonts w:cstheme="minorHAnsi"/>
        </w:rPr>
        <w:t xml:space="preserve">formed. The main strategy being to </w:t>
      </w:r>
      <w:r w:rsidR="00C30C8B" w:rsidRPr="003D7774">
        <w:rPr>
          <w:rFonts w:cstheme="minorHAnsi"/>
        </w:rPr>
        <w:t xml:space="preserve">utilise the power genetic testing can have </w:t>
      </w:r>
      <w:r w:rsidR="00875011" w:rsidRPr="003D7774">
        <w:rPr>
          <w:rFonts w:cstheme="minorHAnsi"/>
        </w:rPr>
        <w:t xml:space="preserve">in </w:t>
      </w:r>
      <w:r w:rsidR="00695077">
        <w:rPr>
          <w:rFonts w:cstheme="minorHAnsi"/>
        </w:rPr>
        <w:t>“</w:t>
      </w:r>
      <w:r w:rsidR="00875011" w:rsidRPr="003D7774">
        <w:rPr>
          <w:rFonts w:cstheme="minorHAnsi"/>
        </w:rPr>
        <w:t>predicting and diagnosing inherited and acquired disease, and to personalise tr</w:t>
      </w:r>
      <w:r w:rsidR="00125381" w:rsidRPr="003D7774">
        <w:rPr>
          <w:rFonts w:cstheme="minorHAnsi"/>
        </w:rPr>
        <w:t xml:space="preserve">eatments and </w:t>
      </w:r>
      <w:r w:rsidR="00125381" w:rsidRPr="00422AAD">
        <w:rPr>
          <w:rFonts w:cstheme="minorHAnsi"/>
        </w:rPr>
        <w:t>interventions</w:t>
      </w:r>
      <w:r w:rsidR="00695077" w:rsidRPr="00422AAD">
        <w:rPr>
          <w:rFonts w:cstheme="minorHAnsi"/>
        </w:rPr>
        <w:t>”</w:t>
      </w:r>
      <w:r w:rsidR="00125381" w:rsidRPr="00422AAD">
        <w:rPr>
          <w:rFonts w:cstheme="minorHAnsi"/>
        </w:rPr>
        <w:t xml:space="preserve"> </w:t>
      </w:r>
      <w:r w:rsidR="00B42EF5">
        <w:rPr>
          <w:rFonts w:cstheme="minorHAnsi"/>
          <w:vertAlign w:val="superscript"/>
        </w:rPr>
        <w:t>4</w:t>
      </w:r>
      <w:r w:rsidR="00CA2DF0" w:rsidRPr="00422AAD">
        <w:rPr>
          <w:rFonts w:cstheme="minorHAnsi"/>
        </w:rPr>
        <w:t xml:space="preserve">. This </w:t>
      </w:r>
      <w:r w:rsidR="00875011" w:rsidRPr="00422AAD">
        <w:rPr>
          <w:rFonts w:cstheme="minorHAnsi"/>
        </w:rPr>
        <w:t xml:space="preserve">service </w:t>
      </w:r>
      <w:r w:rsidR="00A621AB" w:rsidRPr="00422AAD">
        <w:rPr>
          <w:rFonts w:cstheme="minorHAnsi"/>
        </w:rPr>
        <w:t>comprise</w:t>
      </w:r>
      <w:r w:rsidR="00CA2DF0" w:rsidRPr="00422AAD">
        <w:rPr>
          <w:rFonts w:cstheme="minorHAnsi"/>
        </w:rPr>
        <w:t>s</w:t>
      </w:r>
      <w:r w:rsidR="00E657DE" w:rsidRPr="00422AAD">
        <w:rPr>
          <w:rFonts w:cstheme="minorHAnsi"/>
        </w:rPr>
        <w:t xml:space="preserve"> of </w:t>
      </w:r>
      <w:r w:rsidR="00A621AB" w:rsidRPr="00422AAD">
        <w:rPr>
          <w:rFonts w:cstheme="minorHAnsi"/>
        </w:rPr>
        <w:t xml:space="preserve">genomic laboratory hubs, a national test directory and </w:t>
      </w:r>
      <w:r w:rsidR="00E657DE" w:rsidRPr="00422AAD">
        <w:rPr>
          <w:rFonts w:cstheme="minorHAnsi"/>
        </w:rPr>
        <w:t xml:space="preserve">Whole Genomic Sequencing </w:t>
      </w:r>
      <w:r w:rsidR="00A621AB" w:rsidRPr="00422AAD">
        <w:rPr>
          <w:rFonts w:cstheme="minorHAnsi"/>
        </w:rPr>
        <w:t xml:space="preserve">(WGS) </w:t>
      </w:r>
      <w:r w:rsidR="00E657DE" w:rsidRPr="00422AAD">
        <w:rPr>
          <w:rFonts w:cstheme="minorHAnsi"/>
        </w:rPr>
        <w:t>provision</w:t>
      </w:r>
      <w:r w:rsidR="00A621AB" w:rsidRPr="00422AAD">
        <w:rPr>
          <w:rFonts w:cstheme="minorHAnsi"/>
        </w:rPr>
        <w:t>.</w:t>
      </w:r>
      <w:r w:rsidR="00AE2FB9" w:rsidRPr="00422AAD">
        <w:rPr>
          <w:rFonts w:cstheme="minorHAnsi"/>
        </w:rPr>
        <w:t xml:space="preserve">  </w:t>
      </w:r>
      <w:r w:rsidR="008E6578" w:rsidRPr="00422AAD">
        <w:rPr>
          <w:rFonts w:cstheme="minorHAnsi"/>
        </w:rPr>
        <w:t>The Royal College of Paediat</w:t>
      </w:r>
      <w:r w:rsidR="00125381" w:rsidRPr="00422AAD">
        <w:rPr>
          <w:rFonts w:cstheme="minorHAnsi"/>
        </w:rPr>
        <w:t>rics also echoes this vision</w:t>
      </w:r>
      <w:r w:rsidR="008E6578" w:rsidRPr="00422AAD">
        <w:rPr>
          <w:rFonts w:cstheme="minorHAnsi"/>
        </w:rPr>
        <w:t xml:space="preserve"> for WGS </w:t>
      </w:r>
      <w:r w:rsidR="008E6578" w:rsidRPr="003D7774">
        <w:rPr>
          <w:rFonts w:cstheme="minorHAnsi"/>
        </w:rPr>
        <w:t xml:space="preserve">provision for </w:t>
      </w:r>
      <w:r w:rsidR="00460847" w:rsidRPr="003D7774">
        <w:rPr>
          <w:rFonts w:cstheme="minorHAnsi"/>
        </w:rPr>
        <w:t xml:space="preserve">paediatric </w:t>
      </w:r>
      <w:r w:rsidR="00875011" w:rsidRPr="003D7774">
        <w:rPr>
          <w:rFonts w:cstheme="minorHAnsi"/>
        </w:rPr>
        <w:t>patients</w:t>
      </w:r>
      <w:r w:rsidR="001B60CB">
        <w:rPr>
          <w:rFonts w:cstheme="minorHAnsi"/>
        </w:rPr>
        <w:t xml:space="preserve"> </w:t>
      </w:r>
      <w:r w:rsidR="0093390B">
        <w:rPr>
          <w:rFonts w:cstheme="minorHAnsi"/>
        </w:rPr>
        <w:t>and is further reiterated in</w:t>
      </w:r>
      <w:r w:rsidR="009C68C6">
        <w:rPr>
          <w:rFonts w:cstheme="minorHAnsi"/>
        </w:rPr>
        <w:t xml:space="preserve"> the new government paper “Genome UK the future of healthcare’</w:t>
      </w:r>
      <w:r w:rsidR="004C1223">
        <w:rPr>
          <w:rFonts w:cstheme="minorHAnsi"/>
          <w:vertAlign w:val="superscript"/>
        </w:rPr>
        <w:t>5</w:t>
      </w:r>
    </w:p>
    <w:p w14:paraId="64A81FBA" w14:textId="77777777" w:rsidR="004D3DCD" w:rsidRPr="003D7774" w:rsidRDefault="004D3DCD" w:rsidP="00433AEC">
      <w:pPr>
        <w:spacing w:line="480" w:lineRule="auto"/>
        <w:rPr>
          <w:rFonts w:cstheme="minorHAnsi"/>
          <w:b/>
        </w:rPr>
      </w:pPr>
      <w:r w:rsidRPr="003D7774">
        <w:rPr>
          <w:rFonts w:cstheme="minorHAnsi"/>
          <w:b/>
        </w:rPr>
        <w:t>What is Next Generation Sequencing</w:t>
      </w:r>
      <w:r w:rsidR="00A374C5" w:rsidRPr="003D7774">
        <w:rPr>
          <w:rFonts w:cstheme="minorHAnsi"/>
          <w:b/>
        </w:rPr>
        <w:t xml:space="preserve"> (NGS)</w:t>
      </w:r>
      <w:r w:rsidRPr="003D7774">
        <w:rPr>
          <w:rFonts w:cstheme="minorHAnsi"/>
          <w:b/>
        </w:rPr>
        <w:t>?</w:t>
      </w:r>
    </w:p>
    <w:p w14:paraId="20D61344" w14:textId="605B5F8F" w:rsidR="009B2639" w:rsidRPr="003D7774" w:rsidRDefault="005C7123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</w:rPr>
        <w:t>N</w:t>
      </w:r>
      <w:r w:rsidR="00DA36BE" w:rsidRPr="003D7774">
        <w:rPr>
          <w:rFonts w:cstheme="minorHAnsi"/>
        </w:rPr>
        <w:t>ext Generation</w:t>
      </w:r>
      <w:r w:rsidR="0070758D" w:rsidRPr="003D7774">
        <w:rPr>
          <w:rFonts w:cstheme="minorHAnsi"/>
        </w:rPr>
        <w:t xml:space="preserve"> Sequencing </w:t>
      </w:r>
      <w:r w:rsidR="00DA36BE" w:rsidRPr="003D7774">
        <w:rPr>
          <w:rFonts w:cstheme="minorHAnsi"/>
        </w:rPr>
        <w:t xml:space="preserve">allows for hundreds of thousands of DNA fragments to be sequenced at the same time. This is known as “massively parallel sequencing.” </w:t>
      </w:r>
      <w:r w:rsidR="00C12709" w:rsidRPr="003D7774">
        <w:rPr>
          <w:rFonts w:cstheme="minorHAnsi"/>
        </w:rPr>
        <w:t xml:space="preserve"> The term NGS does not refer to one single technique as NGS </w:t>
      </w:r>
      <w:r w:rsidR="00DA36BE" w:rsidRPr="003D7774">
        <w:rPr>
          <w:rFonts w:cstheme="minorHAnsi"/>
        </w:rPr>
        <w:t>utilises a number of different platforms</w:t>
      </w:r>
      <w:r w:rsidR="0018471E" w:rsidRPr="003D7774">
        <w:rPr>
          <w:rFonts w:cstheme="minorHAnsi"/>
        </w:rPr>
        <w:t xml:space="preserve"> </w:t>
      </w:r>
      <w:r w:rsidR="00C12709" w:rsidRPr="003D7774">
        <w:rPr>
          <w:rFonts w:cstheme="minorHAnsi"/>
        </w:rPr>
        <w:t>such</w:t>
      </w:r>
      <w:r w:rsidR="0018471E" w:rsidRPr="003D7774">
        <w:rPr>
          <w:rFonts w:cstheme="minorHAnsi"/>
        </w:rPr>
        <w:t xml:space="preserve"> as </w:t>
      </w:r>
      <w:r w:rsidR="00154393" w:rsidRPr="003D7774">
        <w:rPr>
          <w:rFonts w:cstheme="minorHAnsi"/>
        </w:rPr>
        <w:t xml:space="preserve">sequencing by synthesis, </w:t>
      </w:r>
      <w:r w:rsidR="0018471E" w:rsidRPr="003D7774">
        <w:rPr>
          <w:rFonts w:cstheme="minorHAnsi"/>
        </w:rPr>
        <w:t xml:space="preserve">pyrosequencing, ion semi-conductor sequencing or </w:t>
      </w:r>
      <w:r w:rsidR="00154393" w:rsidRPr="003D7774">
        <w:rPr>
          <w:rFonts w:cstheme="minorHAnsi"/>
        </w:rPr>
        <w:t xml:space="preserve">sequencing by </w:t>
      </w:r>
      <w:r w:rsidR="0018471E" w:rsidRPr="003D7774">
        <w:rPr>
          <w:rFonts w:cstheme="minorHAnsi"/>
        </w:rPr>
        <w:t>ligation</w:t>
      </w:r>
      <w:r w:rsidR="00154393" w:rsidRPr="003D7774">
        <w:rPr>
          <w:rFonts w:cstheme="minorHAnsi"/>
        </w:rPr>
        <w:t xml:space="preserve">. These </w:t>
      </w:r>
      <w:r w:rsidR="0018471E" w:rsidRPr="003D7774">
        <w:rPr>
          <w:rFonts w:cstheme="minorHAnsi"/>
        </w:rPr>
        <w:t xml:space="preserve">vary in how the </w:t>
      </w:r>
      <w:r w:rsidR="0074160A" w:rsidRPr="003D7774">
        <w:rPr>
          <w:rFonts w:cstheme="minorHAnsi"/>
        </w:rPr>
        <w:t xml:space="preserve">multiple DNA </w:t>
      </w:r>
      <w:r w:rsidR="0018471E" w:rsidRPr="003D7774">
        <w:rPr>
          <w:rFonts w:cstheme="minorHAnsi"/>
        </w:rPr>
        <w:t xml:space="preserve">fragments are </w:t>
      </w:r>
      <w:r w:rsidR="0074160A" w:rsidRPr="003D7774">
        <w:rPr>
          <w:rFonts w:cstheme="minorHAnsi"/>
        </w:rPr>
        <w:t>all separated, but still</w:t>
      </w:r>
      <w:r w:rsidR="0018471E" w:rsidRPr="003D7774">
        <w:rPr>
          <w:rFonts w:cstheme="minorHAnsi"/>
        </w:rPr>
        <w:t xml:space="preserve"> </w:t>
      </w:r>
      <w:r w:rsidR="0074160A" w:rsidRPr="003D7774">
        <w:rPr>
          <w:rFonts w:cstheme="minorHAnsi"/>
        </w:rPr>
        <w:t>utilise the principle of massively parallel sequencing</w:t>
      </w:r>
      <w:r w:rsidR="0018471E" w:rsidRPr="003D7774">
        <w:rPr>
          <w:rFonts w:cstheme="minorHAnsi"/>
        </w:rPr>
        <w:t>.</w:t>
      </w:r>
      <w:r w:rsidR="00154393" w:rsidRPr="003D7774">
        <w:rPr>
          <w:rFonts w:cstheme="minorHAnsi"/>
        </w:rPr>
        <w:t xml:space="preserve"> The most commonly used method is </w:t>
      </w:r>
      <w:r w:rsidR="0074160A" w:rsidRPr="003D7774">
        <w:rPr>
          <w:rFonts w:cstheme="minorHAnsi"/>
        </w:rPr>
        <w:t>‘</w:t>
      </w:r>
      <w:r w:rsidR="00154393" w:rsidRPr="003D7774">
        <w:rPr>
          <w:rFonts w:cstheme="minorHAnsi"/>
        </w:rPr>
        <w:t>sequencing by synthesis</w:t>
      </w:r>
      <w:r w:rsidR="00125381" w:rsidRPr="003D7774">
        <w:rPr>
          <w:rFonts w:cstheme="minorHAnsi"/>
        </w:rPr>
        <w:t>’</w:t>
      </w:r>
      <w:r w:rsidR="00F179FB" w:rsidRPr="003D7774">
        <w:rPr>
          <w:rFonts w:cstheme="minorHAnsi"/>
        </w:rPr>
        <w:t xml:space="preserve"> as summarised</w:t>
      </w:r>
      <w:r w:rsidR="00695077">
        <w:rPr>
          <w:rFonts w:cstheme="minorHAnsi"/>
        </w:rPr>
        <w:t>:</w:t>
      </w:r>
      <w:r w:rsidR="00F179FB" w:rsidRPr="003D7774">
        <w:rPr>
          <w:rFonts w:cstheme="minorHAnsi"/>
        </w:rPr>
        <w:t xml:space="preserve"> </w:t>
      </w:r>
      <w:r w:rsidR="000D628A">
        <w:rPr>
          <w:rFonts w:cstheme="minorHAnsi"/>
          <w:vertAlign w:val="superscript"/>
        </w:rPr>
        <w:t>6</w:t>
      </w:r>
    </w:p>
    <w:p w14:paraId="4FADD25F" w14:textId="77777777" w:rsidR="00154393" w:rsidRPr="003D7774" w:rsidRDefault="00154393" w:rsidP="00433AEC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</w:rPr>
      </w:pPr>
      <w:r w:rsidRPr="003D7774">
        <w:rPr>
          <w:rFonts w:cstheme="minorHAnsi"/>
          <w:b/>
        </w:rPr>
        <w:t>Library Preparation:</w:t>
      </w:r>
    </w:p>
    <w:p w14:paraId="5A6C68F7" w14:textId="2C6DDB59" w:rsidR="00154393" w:rsidRPr="003D7774" w:rsidRDefault="00154393" w:rsidP="00433AEC">
      <w:pPr>
        <w:pStyle w:val="ListParagraph"/>
        <w:spacing w:line="480" w:lineRule="auto"/>
        <w:rPr>
          <w:rFonts w:cstheme="minorHAnsi"/>
        </w:rPr>
      </w:pPr>
      <w:r w:rsidRPr="003D7774">
        <w:rPr>
          <w:rFonts w:cstheme="minorHAnsi"/>
        </w:rPr>
        <w:t>DNA</w:t>
      </w:r>
      <w:r w:rsidR="00B42EF5">
        <w:rPr>
          <w:rFonts w:cstheme="minorHAnsi"/>
        </w:rPr>
        <w:t xml:space="preserve"> is randomly fragmented</w:t>
      </w:r>
      <w:r w:rsidRPr="003D7774">
        <w:rPr>
          <w:rFonts w:cstheme="minorHAnsi"/>
        </w:rPr>
        <w:t xml:space="preserve"> </w:t>
      </w:r>
      <w:r w:rsidR="0074160A" w:rsidRPr="003D7774">
        <w:rPr>
          <w:rFonts w:cstheme="minorHAnsi"/>
        </w:rPr>
        <w:t xml:space="preserve">by </w:t>
      </w:r>
      <w:r w:rsidR="00291323" w:rsidRPr="003D7774">
        <w:rPr>
          <w:rFonts w:cstheme="minorHAnsi"/>
        </w:rPr>
        <w:t xml:space="preserve">an </w:t>
      </w:r>
      <w:r w:rsidRPr="003D7774">
        <w:rPr>
          <w:rFonts w:cstheme="minorHAnsi"/>
        </w:rPr>
        <w:t xml:space="preserve">enzyme </w:t>
      </w:r>
      <w:r w:rsidR="00430FEC" w:rsidRPr="003D7774">
        <w:rPr>
          <w:rFonts w:cstheme="minorHAnsi"/>
        </w:rPr>
        <w:t xml:space="preserve">into smaller pieces </w:t>
      </w:r>
      <w:r w:rsidRPr="003D7774">
        <w:rPr>
          <w:rFonts w:cstheme="minorHAnsi"/>
        </w:rPr>
        <w:t xml:space="preserve">and </w:t>
      </w:r>
      <w:r w:rsidR="00765D25" w:rsidRPr="003D7774">
        <w:rPr>
          <w:rFonts w:cstheme="minorHAnsi"/>
        </w:rPr>
        <w:t>adding</w:t>
      </w:r>
      <w:r w:rsidR="00695077">
        <w:rPr>
          <w:rFonts w:cstheme="minorHAnsi"/>
        </w:rPr>
        <w:t xml:space="preserve"> an </w:t>
      </w:r>
      <w:r w:rsidRPr="003D7774">
        <w:rPr>
          <w:rFonts w:cstheme="minorHAnsi"/>
        </w:rPr>
        <w:t xml:space="preserve">‘adaptor’ to both ends of the fragment. </w:t>
      </w:r>
    </w:p>
    <w:p w14:paraId="0C03BF80" w14:textId="77777777" w:rsidR="00154393" w:rsidRPr="003D7774" w:rsidRDefault="00154393" w:rsidP="00433AEC">
      <w:pPr>
        <w:pStyle w:val="ListParagraph"/>
        <w:spacing w:line="480" w:lineRule="auto"/>
        <w:rPr>
          <w:rFonts w:cstheme="minorHAnsi"/>
        </w:rPr>
      </w:pPr>
    </w:p>
    <w:p w14:paraId="06D636F8" w14:textId="77777777" w:rsidR="00A62A4A" w:rsidRPr="003D7774" w:rsidRDefault="00154393" w:rsidP="00433AEC">
      <w:pPr>
        <w:pStyle w:val="ListParagraph"/>
        <w:numPr>
          <w:ilvl w:val="0"/>
          <w:numId w:val="3"/>
        </w:numPr>
        <w:spacing w:line="480" w:lineRule="auto"/>
        <w:rPr>
          <w:rFonts w:cstheme="minorHAnsi"/>
        </w:rPr>
      </w:pPr>
      <w:r w:rsidRPr="003D7774">
        <w:rPr>
          <w:rFonts w:cstheme="minorHAnsi"/>
          <w:b/>
        </w:rPr>
        <w:t>Cluster Generation:</w:t>
      </w:r>
      <w:r w:rsidRPr="003D7774">
        <w:rPr>
          <w:rFonts w:cstheme="minorHAnsi"/>
        </w:rPr>
        <w:t xml:space="preserve"> </w:t>
      </w:r>
    </w:p>
    <w:p w14:paraId="630774AD" w14:textId="0D84BC7A" w:rsidR="00A62A4A" w:rsidRPr="003D7774" w:rsidRDefault="00695077" w:rsidP="00433AEC">
      <w:pPr>
        <w:pStyle w:val="ListParagraph"/>
        <w:spacing w:line="480" w:lineRule="auto"/>
        <w:rPr>
          <w:rFonts w:cstheme="minorHAnsi"/>
        </w:rPr>
      </w:pPr>
      <w:r>
        <w:rPr>
          <w:rFonts w:cstheme="minorHAnsi"/>
        </w:rPr>
        <w:t>Each</w:t>
      </w:r>
      <w:r w:rsidR="00154393" w:rsidRPr="003D7774">
        <w:rPr>
          <w:rFonts w:cstheme="minorHAnsi"/>
        </w:rPr>
        <w:t xml:space="preserve"> fragment is </w:t>
      </w:r>
      <w:r w:rsidR="00430FEC" w:rsidRPr="003D7774">
        <w:rPr>
          <w:rFonts w:cstheme="minorHAnsi"/>
        </w:rPr>
        <w:t>loaded onto a glass slide called a “flow cell”. This has oligonuc</w:t>
      </w:r>
      <w:r w:rsidR="00765D25" w:rsidRPr="003D7774">
        <w:rPr>
          <w:rFonts w:cstheme="minorHAnsi"/>
        </w:rPr>
        <w:t xml:space="preserve">leotides attached that </w:t>
      </w:r>
      <w:r w:rsidR="00430FEC" w:rsidRPr="003D7774">
        <w:rPr>
          <w:rFonts w:cstheme="minorHAnsi"/>
        </w:rPr>
        <w:t xml:space="preserve">anchor the fragment to the flow cell. Each fragment is </w:t>
      </w:r>
      <w:r w:rsidR="00154393" w:rsidRPr="003D7774">
        <w:rPr>
          <w:rFonts w:cstheme="minorHAnsi"/>
        </w:rPr>
        <w:t>amplified into</w:t>
      </w:r>
      <w:r w:rsidR="0074160A" w:rsidRPr="003D7774">
        <w:rPr>
          <w:rFonts w:cstheme="minorHAnsi"/>
        </w:rPr>
        <w:t xml:space="preserve"> multiple copies to form different</w:t>
      </w:r>
      <w:r w:rsidR="00154393" w:rsidRPr="003D7774">
        <w:rPr>
          <w:rFonts w:cstheme="minorHAnsi"/>
        </w:rPr>
        <w:t xml:space="preserve"> </w:t>
      </w:r>
      <w:r w:rsidR="00F179FB" w:rsidRPr="003D7774">
        <w:rPr>
          <w:rFonts w:cstheme="minorHAnsi"/>
        </w:rPr>
        <w:t>“clusters” which</w:t>
      </w:r>
      <w:r w:rsidR="0074160A" w:rsidRPr="003D7774">
        <w:rPr>
          <w:rFonts w:cstheme="minorHAnsi"/>
        </w:rPr>
        <w:t xml:space="preserve"> o</w:t>
      </w:r>
      <w:r w:rsidR="00765D25" w:rsidRPr="003D7774">
        <w:rPr>
          <w:rFonts w:cstheme="minorHAnsi"/>
        </w:rPr>
        <w:t>riginate from one fragment. The a</w:t>
      </w:r>
      <w:r w:rsidR="0074160A" w:rsidRPr="003D7774">
        <w:rPr>
          <w:rFonts w:cstheme="minorHAnsi"/>
        </w:rPr>
        <w:t>mplificati</w:t>
      </w:r>
      <w:r w:rsidR="00F179FB" w:rsidRPr="003D7774">
        <w:rPr>
          <w:rFonts w:cstheme="minorHAnsi"/>
        </w:rPr>
        <w:t>on of each fragment allows for better detection</w:t>
      </w:r>
      <w:r w:rsidR="009B2639" w:rsidRPr="003D7774">
        <w:rPr>
          <w:rFonts w:cstheme="minorHAnsi"/>
        </w:rPr>
        <w:t xml:space="preserve"> during sequencing.</w:t>
      </w:r>
    </w:p>
    <w:p w14:paraId="3013ED9C" w14:textId="77777777" w:rsidR="009B2639" w:rsidRPr="003D7774" w:rsidRDefault="009B2639" w:rsidP="00433AEC">
      <w:pPr>
        <w:pStyle w:val="ListParagraph"/>
        <w:spacing w:line="480" w:lineRule="auto"/>
        <w:rPr>
          <w:rFonts w:cstheme="minorHAnsi"/>
        </w:rPr>
      </w:pPr>
    </w:p>
    <w:p w14:paraId="078F4E92" w14:textId="77777777" w:rsidR="00EE1663" w:rsidRPr="003D7774" w:rsidRDefault="00154393" w:rsidP="00433AEC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</w:rPr>
      </w:pPr>
      <w:r w:rsidRPr="003D7774">
        <w:rPr>
          <w:rFonts w:cstheme="minorHAnsi"/>
          <w:b/>
        </w:rPr>
        <w:t>Sequencing</w:t>
      </w:r>
      <w:r w:rsidR="00EE1663" w:rsidRPr="003D7774">
        <w:rPr>
          <w:rFonts w:cstheme="minorHAnsi"/>
          <w:b/>
        </w:rPr>
        <w:t>:</w:t>
      </w:r>
    </w:p>
    <w:p w14:paraId="1FC5E2CD" w14:textId="77777777" w:rsidR="000B25D4" w:rsidRPr="003D7774" w:rsidRDefault="000B25D4" w:rsidP="00433AEC">
      <w:pPr>
        <w:pStyle w:val="ListParagraph"/>
        <w:spacing w:line="480" w:lineRule="auto"/>
        <w:rPr>
          <w:rFonts w:cstheme="minorHAnsi"/>
        </w:rPr>
      </w:pPr>
      <w:r w:rsidRPr="003D7774">
        <w:rPr>
          <w:rFonts w:cstheme="minorHAnsi"/>
        </w:rPr>
        <w:lastRenderedPageBreak/>
        <w:t>Modified nucleotides</w:t>
      </w:r>
      <w:r w:rsidR="00A62A4A" w:rsidRPr="003D7774">
        <w:rPr>
          <w:rFonts w:cstheme="minorHAnsi"/>
        </w:rPr>
        <w:t xml:space="preserve"> (A,C,T,G)</w:t>
      </w:r>
      <w:r w:rsidRPr="003D7774">
        <w:rPr>
          <w:rFonts w:cstheme="minorHAnsi"/>
        </w:rPr>
        <w:t xml:space="preserve"> </w:t>
      </w:r>
      <w:r w:rsidR="00A62A4A" w:rsidRPr="003D7774">
        <w:rPr>
          <w:rFonts w:cstheme="minorHAnsi"/>
        </w:rPr>
        <w:t>are</w:t>
      </w:r>
      <w:r w:rsidRPr="003D7774">
        <w:rPr>
          <w:rFonts w:cstheme="minorHAnsi"/>
        </w:rPr>
        <w:t xml:space="preserve"> fluorescent</w:t>
      </w:r>
      <w:r w:rsidR="00A62A4A" w:rsidRPr="003D7774">
        <w:rPr>
          <w:rFonts w:cstheme="minorHAnsi"/>
        </w:rPr>
        <w:t>ly</w:t>
      </w:r>
      <w:r w:rsidRPr="003D7774">
        <w:rPr>
          <w:rFonts w:cstheme="minorHAnsi"/>
        </w:rPr>
        <w:t xml:space="preserve"> </w:t>
      </w:r>
      <w:r w:rsidR="00460847" w:rsidRPr="003D7774">
        <w:rPr>
          <w:rFonts w:cstheme="minorHAnsi"/>
        </w:rPr>
        <w:t>labelled with</w:t>
      </w:r>
      <w:r w:rsidR="00765D25" w:rsidRPr="003D7774">
        <w:rPr>
          <w:rFonts w:cstheme="minorHAnsi"/>
        </w:rPr>
        <w:t xml:space="preserve"> different colours </w:t>
      </w:r>
      <w:r w:rsidR="00A62A4A" w:rsidRPr="003D7774">
        <w:rPr>
          <w:rFonts w:cstheme="minorHAnsi"/>
        </w:rPr>
        <w:t>and</w:t>
      </w:r>
      <w:r w:rsidRPr="003D7774">
        <w:rPr>
          <w:rFonts w:cstheme="minorHAnsi"/>
        </w:rPr>
        <w:t xml:space="preserve"> added to the flow cell. The corresponding nucleotide will bind to the </w:t>
      </w:r>
      <w:r w:rsidR="00F179FB" w:rsidRPr="003D7774">
        <w:rPr>
          <w:rFonts w:cstheme="minorHAnsi"/>
        </w:rPr>
        <w:t>fragment</w:t>
      </w:r>
      <w:r w:rsidRPr="003D7774">
        <w:rPr>
          <w:rFonts w:cstheme="minorHAnsi"/>
        </w:rPr>
        <w:t>. A laser is used to identify which nucleotide was bound. This cycle continues to be repeated</w:t>
      </w:r>
      <w:r w:rsidR="00DF1638" w:rsidRPr="003D7774">
        <w:rPr>
          <w:rFonts w:cstheme="minorHAnsi"/>
        </w:rPr>
        <w:t xml:space="preserve"> on each cluster</w:t>
      </w:r>
      <w:r w:rsidRPr="003D7774">
        <w:rPr>
          <w:rFonts w:cstheme="minorHAnsi"/>
        </w:rPr>
        <w:t xml:space="preserve"> and</w:t>
      </w:r>
      <w:r w:rsidR="00FE66F1" w:rsidRPr="003D7774">
        <w:rPr>
          <w:rFonts w:cstheme="minorHAnsi"/>
        </w:rPr>
        <w:t xml:space="preserve"> the number of</w:t>
      </w:r>
      <w:r w:rsidRPr="003D7774">
        <w:rPr>
          <w:rFonts w:cstheme="minorHAnsi"/>
        </w:rPr>
        <w:t xml:space="preserve"> </w:t>
      </w:r>
      <w:r w:rsidR="00FE66F1" w:rsidRPr="003D7774">
        <w:rPr>
          <w:rFonts w:cstheme="minorHAnsi"/>
        </w:rPr>
        <w:t>cycles performed to sequence the DNA is known as a “read.”</w:t>
      </w:r>
    </w:p>
    <w:p w14:paraId="059A88F3" w14:textId="77777777" w:rsidR="00EE1663" w:rsidRDefault="00EE1663" w:rsidP="00433AEC">
      <w:pPr>
        <w:pStyle w:val="ListParagraph"/>
        <w:spacing w:line="480" w:lineRule="auto"/>
        <w:rPr>
          <w:rFonts w:cstheme="minorHAnsi"/>
          <w:b/>
        </w:rPr>
      </w:pPr>
    </w:p>
    <w:p w14:paraId="148487C7" w14:textId="77777777" w:rsidR="00695077" w:rsidRPr="003D7774" w:rsidRDefault="00695077" w:rsidP="00433AEC">
      <w:pPr>
        <w:pStyle w:val="ListParagraph"/>
        <w:spacing w:line="480" w:lineRule="auto"/>
        <w:rPr>
          <w:rFonts w:cstheme="minorHAnsi"/>
          <w:b/>
        </w:rPr>
      </w:pPr>
    </w:p>
    <w:p w14:paraId="3B59AB4B" w14:textId="77777777" w:rsidR="004B56B5" w:rsidRPr="003D7774" w:rsidRDefault="004B56B5" w:rsidP="00433AEC">
      <w:pPr>
        <w:pStyle w:val="ListParagraph"/>
        <w:numPr>
          <w:ilvl w:val="0"/>
          <w:numId w:val="3"/>
        </w:numPr>
        <w:spacing w:line="480" w:lineRule="auto"/>
        <w:rPr>
          <w:rFonts w:cstheme="minorHAnsi"/>
          <w:b/>
        </w:rPr>
      </w:pPr>
      <w:r w:rsidRPr="003D7774">
        <w:rPr>
          <w:rFonts w:cstheme="minorHAnsi"/>
          <w:b/>
        </w:rPr>
        <w:t>Data Analysis:</w:t>
      </w:r>
    </w:p>
    <w:p w14:paraId="7A0D3974" w14:textId="77777777" w:rsidR="00125381" w:rsidRPr="003D7774" w:rsidRDefault="004B56B5" w:rsidP="00433AEC">
      <w:pPr>
        <w:pStyle w:val="ListParagraph"/>
        <w:spacing w:line="480" w:lineRule="auto"/>
        <w:rPr>
          <w:rFonts w:cstheme="minorHAnsi"/>
        </w:rPr>
      </w:pPr>
      <w:r w:rsidRPr="003D7774">
        <w:rPr>
          <w:rFonts w:cstheme="minorHAnsi"/>
        </w:rPr>
        <w:t xml:space="preserve">The </w:t>
      </w:r>
      <w:r w:rsidR="00597F0D" w:rsidRPr="003D7774">
        <w:rPr>
          <w:rFonts w:cstheme="minorHAnsi"/>
        </w:rPr>
        <w:t xml:space="preserve">sequence “reads” are aligned against </w:t>
      </w:r>
      <w:r w:rsidRPr="003D7774">
        <w:rPr>
          <w:rFonts w:cstheme="minorHAnsi"/>
        </w:rPr>
        <w:t xml:space="preserve">a reference genome </w:t>
      </w:r>
      <w:r w:rsidR="00780379" w:rsidRPr="003D7774">
        <w:rPr>
          <w:rFonts w:cstheme="minorHAnsi"/>
        </w:rPr>
        <w:t xml:space="preserve">with computer software </w:t>
      </w:r>
      <w:r w:rsidRPr="003D7774">
        <w:rPr>
          <w:rFonts w:cstheme="minorHAnsi"/>
        </w:rPr>
        <w:t xml:space="preserve">and any </w:t>
      </w:r>
      <w:r w:rsidR="00087DF8" w:rsidRPr="003D7774">
        <w:rPr>
          <w:rFonts w:cstheme="minorHAnsi"/>
        </w:rPr>
        <w:t>variation</w:t>
      </w:r>
      <w:r w:rsidR="00597F0D" w:rsidRPr="003D7774">
        <w:rPr>
          <w:rFonts w:cstheme="minorHAnsi"/>
        </w:rPr>
        <w:t xml:space="preserve"> </w:t>
      </w:r>
      <w:r w:rsidR="00780379" w:rsidRPr="003D7774">
        <w:rPr>
          <w:rFonts w:cstheme="minorHAnsi"/>
        </w:rPr>
        <w:t xml:space="preserve">is detected. </w:t>
      </w:r>
    </w:p>
    <w:p w14:paraId="686215D8" w14:textId="77777777" w:rsidR="00291323" w:rsidRPr="003D7774" w:rsidRDefault="00173D5D" w:rsidP="00433AEC">
      <w:pPr>
        <w:spacing w:line="480" w:lineRule="auto"/>
        <w:rPr>
          <w:rFonts w:cstheme="minorHAnsi"/>
          <w:b/>
        </w:rPr>
      </w:pPr>
      <w:r w:rsidRPr="003D7774">
        <w:rPr>
          <w:rFonts w:cstheme="minorHAnsi"/>
          <w:b/>
        </w:rPr>
        <w:t>How can NGS be used?</w:t>
      </w:r>
    </w:p>
    <w:p w14:paraId="15ECDF4E" w14:textId="77777777" w:rsidR="00173D5D" w:rsidRPr="003D7774" w:rsidRDefault="00173D5D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</w:rPr>
        <w:t xml:space="preserve">Depending on the phenotype and index of suspicion a targeted or a broad approach can be taken. </w:t>
      </w:r>
      <w:r w:rsidR="006E47FB" w:rsidRPr="003D7774">
        <w:rPr>
          <w:rFonts w:cstheme="minorHAnsi"/>
        </w:rPr>
        <w:t>A</w:t>
      </w:r>
      <w:r w:rsidRPr="003D7774">
        <w:rPr>
          <w:rFonts w:cstheme="minorHAnsi"/>
        </w:rPr>
        <w:t xml:space="preserve"> targeted approach would involve sequencing a single gene</w:t>
      </w:r>
      <w:r w:rsidR="00A92C30" w:rsidRPr="003D7774">
        <w:rPr>
          <w:rFonts w:cstheme="minorHAnsi"/>
        </w:rPr>
        <w:t xml:space="preserve"> associated with the suspected genetic condition</w:t>
      </w:r>
      <w:r w:rsidR="00695077">
        <w:rPr>
          <w:rFonts w:cstheme="minorHAnsi"/>
        </w:rPr>
        <w:t>,</w:t>
      </w:r>
      <w:r w:rsidR="00687CE6" w:rsidRPr="003D7774">
        <w:rPr>
          <w:rFonts w:cstheme="minorHAnsi"/>
        </w:rPr>
        <w:t xml:space="preserve"> or</w:t>
      </w:r>
      <w:r w:rsidR="00A92C30" w:rsidRPr="003D7774">
        <w:rPr>
          <w:rFonts w:cstheme="minorHAnsi"/>
        </w:rPr>
        <w:t xml:space="preserve"> using</w:t>
      </w:r>
      <w:r w:rsidR="00460847" w:rsidRPr="003D7774">
        <w:rPr>
          <w:rFonts w:cstheme="minorHAnsi"/>
        </w:rPr>
        <w:t xml:space="preserve"> a</w:t>
      </w:r>
      <w:r w:rsidR="00687CE6" w:rsidRPr="003D7774">
        <w:rPr>
          <w:rFonts w:cstheme="minorHAnsi"/>
        </w:rPr>
        <w:t xml:space="preserve"> ‘gene panel’ </w:t>
      </w:r>
      <w:r w:rsidR="00A92C30" w:rsidRPr="003D7774">
        <w:rPr>
          <w:rFonts w:cstheme="minorHAnsi"/>
        </w:rPr>
        <w:t>where a</w:t>
      </w:r>
      <w:r w:rsidR="00687CE6" w:rsidRPr="003D7774">
        <w:rPr>
          <w:rFonts w:cstheme="minorHAnsi"/>
        </w:rPr>
        <w:t xml:space="preserve"> group of genes</w:t>
      </w:r>
      <w:r w:rsidRPr="003D7774">
        <w:rPr>
          <w:rFonts w:cstheme="minorHAnsi"/>
        </w:rPr>
        <w:t xml:space="preserve"> associated with the </w:t>
      </w:r>
      <w:r w:rsidR="00460847" w:rsidRPr="003D7774">
        <w:rPr>
          <w:rFonts w:cstheme="minorHAnsi"/>
        </w:rPr>
        <w:t>phenotype</w:t>
      </w:r>
      <w:r w:rsidR="00A92C30" w:rsidRPr="003D7774">
        <w:rPr>
          <w:rFonts w:cstheme="minorHAnsi"/>
        </w:rPr>
        <w:t xml:space="preserve"> are sequenced</w:t>
      </w:r>
      <w:r w:rsidR="00762325" w:rsidRPr="003D7774">
        <w:rPr>
          <w:rFonts w:cstheme="minorHAnsi"/>
        </w:rPr>
        <w:t>.</w:t>
      </w:r>
      <w:r w:rsidR="006E47FB" w:rsidRPr="003D7774">
        <w:rPr>
          <w:rFonts w:cstheme="minorHAnsi"/>
        </w:rPr>
        <w:t xml:space="preserve"> </w:t>
      </w:r>
      <w:r w:rsidRPr="003D7774">
        <w:rPr>
          <w:rFonts w:cstheme="minorHAnsi"/>
        </w:rPr>
        <w:t xml:space="preserve">If </w:t>
      </w:r>
      <w:r w:rsidR="00076BA5" w:rsidRPr="003D7774">
        <w:rPr>
          <w:rFonts w:cstheme="minorHAnsi"/>
        </w:rPr>
        <w:t>a broader approach is needed a ‘clinical exome’</w:t>
      </w:r>
      <w:r w:rsidRPr="003D7774">
        <w:rPr>
          <w:rFonts w:cstheme="minorHAnsi"/>
        </w:rPr>
        <w:t xml:space="preserve"> can </w:t>
      </w:r>
      <w:r w:rsidR="00076BA5" w:rsidRPr="003D7774">
        <w:rPr>
          <w:rFonts w:cstheme="minorHAnsi"/>
        </w:rPr>
        <w:t>sequence</w:t>
      </w:r>
      <w:r w:rsidR="00762325" w:rsidRPr="003D7774">
        <w:rPr>
          <w:rFonts w:cstheme="minorHAnsi"/>
        </w:rPr>
        <w:t xml:space="preserve"> all of </w:t>
      </w:r>
      <w:r w:rsidRPr="003D7774">
        <w:rPr>
          <w:rFonts w:cstheme="minorHAnsi"/>
        </w:rPr>
        <w:t>the genes known to be associate</w:t>
      </w:r>
      <w:r w:rsidR="00076BA5" w:rsidRPr="003D7774">
        <w:rPr>
          <w:rFonts w:cstheme="minorHAnsi"/>
        </w:rPr>
        <w:t xml:space="preserve">d with human disease. Broader still, would be </w:t>
      </w:r>
      <w:r w:rsidR="00460847" w:rsidRPr="003D7774">
        <w:rPr>
          <w:rFonts w:cstheme="minorHAnsi"/>
        </w:rPr>
        <w:t xml:space="preserve">‘whole exome sequencing’ (WES) which sequences </w:t>
      </w:r>
      <w:r w:rsidR="00076BA5" w:rsidRPr="003D7774">
        <w:rPr>
          <w:rFonts w:cstheme="minorHAnsi"/>
        </w:rPr>
        <w:t xml:space="preserve">all the known coding regions (exons) in the genome which </w:t>
      </w:r>
      <w:r w:rsidR="00965F58" w:rsidRPr="003D7774">
        <w:rPr>
          <w:rFonts w:cstheme="minorHAnsi"/>
        </w:rPr>
        <w:t>is</w:t>
      </w:r>
      <w:r w:rsidR="00460847" w:rsidRPr="003D7774">
        <w:rPr>
          <w:rFonts w:cstheme="minorHAnsi"/>
        </w:rPr>
        <w:t xml:space="preserve"> almost 20,000 genes</w:t>
      </w:r>
      <w:r w:rsidR="001C665C" w:rsidRPr="003D7774">
        <w:rPr>
          <w:rFonts w:cstheme="minorHAnsi"/>
        </w:rPr>
        <w:t>.</w:t>
      </w:r>
      <w:r w:rsidR="006C72A8" w:rsidRPr="003D7774">
        <w:rPr>
          <w:rFonts w:cstheme="minorHAnsi"/>
        </w:rPr>
        <w:t xml:space="preserve"> </w:t>
      </w:r>
      <w:r w:rsidR="0041028F" w:rsidRPr="003D7774">
        <w:rPr>
          <w:rFonts w:cstheme="minorHAnsi"/>
        </w:rPr>
        <w:t>Beyond this,</w:t>
      </w:r>
      <w:r w:rsidR="006C72A8" w:rsidRPr="003D7774">
        <w:rPr>
          <w:rFonts w:cstheme="minorHAnsi"/>
        </w:rPr>
        <w:t xml:space="preserve"> </w:t>
      </w:r>
      <w:r w:rsidR="0039073E">
        <w:rPr>
          <w:rFonts w:cstheme="minorHAnsi"/>
        </w:rPr>
        <w:t>WGS</w:t>
      </w:r>
      <w:r w:rsidR="006C72A8" w:rsidRPr="003D7774">
        <w:rPr>
          <w:rFonts w:cstheme="minorHAnsi"/>
        </w:rPr>
        <w:t xml:space="preserve"> </w:t>
      </w:r>
      <w:r w:rsidR="00460847" w:rsidRPr="003D7774">
        <w:rPr>
          <w:rFonts w:cstheme="minorHAnsi"/>
        </w:rPr>
        <w:t xml:space="preserve">can be utilised </w:t>
      </w:r>
      <w:r w:rsidR="006C72A8" w:rsidRPr="003D7774">
        <w:rPr>
          <w:rFonts w:cstheme="minorHAnsi"/>
        </w:rPr>
        <w:t xml:space="preserve">where </w:t>
      </w:r>
      <w:r w:rsidR="00965F58" w:rsidRPr="003D7774">
        <w:rPr>
          <w:rFonts w:cstheme="minorHAnsi"/>
        </w:rPr>
        <w:t>all the</w:t>
      </w:r>
      <w:r w:rsidR="00695077">
        <w:rPr>
          <w:rFonts w:cstheme="minorHAnsi"/>
        </w:rPr>
        <w:t xml:space="preserve"> exons</w:t>
      </w:r>
      <w:r w:rsidR="006C72A8" w:rsidRPr="003D7774">
        <w:rPr>
          <w:rFonts w:cstheme="minorHAnsi"/>
        </w:rPr>
        <w:t xml:space="preserve"> and non-coding (introns) regions are </w:t>
      </w:r>
      <w:r w:rsidR="00460847" w:rsidRPr="003D7774">
        <w:rPr>
          <w:rFonts w:cstheme="minorHAnsi"/>
        </w:rPr>
        <w:t>sequenced</w:t>
      </w:r>
      <w:r w:rsidR="00D4194F" w:rsidRPr="003D7774">
        <w:rPr>
          <w:rFonts w:cstheme="minorHAnsi"/>
        </w:rPr>
        <w:t>.</w:t>
      </w:r>
      <w:r w:rsidR="00687CE6" w:rsidRPr="003D7774">
        <w:rPr>
          <w:rFonts w:cstheme="minorHAnsi"/>
        </w:rPr>
        <w:t xml:space="preserve"> </w:t>
      </w:r>
    </w:p>
    <w:p w14:paraId="3B3F7307" w14:textId="77777777" w:rsidR="004D3DCD" w:rsidRPr="003D7774" w:rsidRDefault="004D3DCD" w:rsidP="00433AEC">
      <w:pPr>
        <w:spacing w:line="480" w:lineRule="auto"/>
        <w:rPr>
          <w:rFonts w:cstheme="minorHAnsi"/>
          <w:b/>
        </w:rPr>
      </w:pPr>
      <w:r w:rsidRPr="003D7774">
        <w:rPr>
          <w:rFonts w:cstheme="minorHAnsi"/>
          <w:b/>
        </w:rPr>
        <w:t>What</w:t>
      </w:r>
      <w:r w:rsidR="00A374C5" w:rsidRPr="003D7774">
        <w:rPr>
          <w:rFonts w:cstheme="minorHAnsi"/>
          <w:b/>
        </w:rPr>
        <w:t xml:space="preserve"> are the </w:t>
      </w:r>
      <w:r w:rsidR="005C7123" w:rsidRPr="003D7774">
        <w:rPr>
          <w:rFonts w:cstheme="minorHAnsi"/>
          <w:b/>
        </w:rPr>
        <w:t>benefits of NGS?</w:t>
      </w:r>
    </w:p>
    <w:p w14:paraId="0C2C9628" w14:textId="77777777" w:rsidR="00797FBC" w:rsidRPr="003D7774" w:rsidRDefault="00797FBC" w:rsidP="00433AEC">
      <w:pPr>
        <w:spacing w:line="480" w:lineRule="auto"/>
        <w:rPr>
          <w:rFonts w:cstheme="minorHAnsi"/>
          <w:i/>
        </w:rPr>
      </w:pPr>
      <w:r w:rsidRPr="003D7774">
        <w:rPr>
          <w:rFonts w:cstheme="minorHAnsi"/>
          <w:i/>
        </w:rPr>
        <w:t>Diagnostic yield</w:t>
      </w:r>
    </w:p>
    <w:p w14:paraId="41809A1A" w14:textId="7910C35B" w:rsidR="00CF7F75" w:rsidRPr="003D7774" w:rsidRDefault="00493E3E" w:rsidP="00433AEC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3D7774">
        <w:rPr>
          <w:rFonts w:cstheme="minorHAnsi"/>
        </w:rPr>
        <w:t>For the targeted approach where perhaps a diagnosis is already in mind</w:t>
      </w:r>
      <w:r w:rsidR="0085595F" w:rsidRPr="003D7774">
        <w:rPr>
          <w:rFonts w:cstheme="minorHAnsi"/>
        </w:rPr>
        <w:t xml:space="preserve">, using large gene panels </w:t>
      </w:r>
      <w:r w:rsidR="00597F0D" w:rsidRPr="003D7774">
        <w:rPr>
          <w:rFonts w:cstheme="minorHAnsi"/>
        </w:rPr>
        <w:t xml:space="preserve">can improve the diagnostic yield. However, </w:t>
      </w:r>
      <w:r w:rsidR="0085595F" w:rsidRPr="003D7774">
        <w:rPr>
          <w:rFonts w:cstheme="minorHAnsi"/>
        </w:rPr>
        <w:t>the importance of accurate phenotyping c</w:t>
      </w:r>
      <w:r w:rsidR="0060416F" w:rsidRPr="003D7774">
        <w:rPr>
          <w:rFonts w:cstheme="minorHAnsi"/>
        </w:rPr>
        <w:t>annot be underestimated. T</w:t>
      </w:r>
      <w:r w:rsidR="0085595F" w:rsidRPr="003D7774">
        <w:rPr>
          <w:rFonts w:cstheme="minorHAnsi"/>
        </w:rPr>
        <w:t xml:space="preserve">he clinical assessment </w:t>
      </w:r>
      <w:r w:rsidR="0060416F" w:rsidRPr="003D7774">
        <w:rPr>
          <w:rFonts w:cstheme="minorHAnsi"/>
        </w:rPr>
        <w:t>will provide</w:t>
      </w:r>
      <w:r w:rsidR="0039073E">
        <w:rPr>
          <w:rFonts w:cstheme="minorHAnsi"/>
        </w:rPr>
        <w:t xml:space="preserve"> clarity for</w:t>
      </w:r>
      <w:r w:rsidR="0085595F" w:rsidRPr="003D7774">
        <w:rPr>
          <w:rFonts w:cstheme="minorHAnsi"/>
        </w:rPr>
        <w:t xml:space="preserve"> which gene panel is most likely to yield a positive diagnosis. For the broader NGS testing such as </w:t>
      </w:r>
      <w:r w:rsidR="0060416F" w:rsidRPr="003D7774">
        <w:rPr>
          <w:rFonts w:cstheme="minorHAnsi"/>
        </w:rPr>
        <w:t xml:space="preserve">WES </w:t>
      </w:r>
      <w:r w:rsidR="0085595F" w:rsidRPr="003D7774">
        <w:rPr>
          <w:rFonts w:cstheme="minorHAnsi"/>
        </w:rPr>
        <w:t xml:space="preserve">and WGS </w:t>
      </w:r>
      <w:r w:rsidR="00FC25D7" w:rsidRPr="003D7774">
        <w:rPr>
          <w:rFonts w:cstheme="minorHAnsi"/>
        </w:rPr>
        <w:t xml:space="preserve">the benefits lie in being </w:t>
      </w:r>
      <w:r w:rsidR="00FC25D7" w:rsidRPr="003D7774">
        <w:rPr>
          <w:rFonts w:cstheme="minorHAnsi"/>
        </w:rPr>
        <w:lastRenderedPageBreak/>
        <w:t>able to cast the net wider</w:t>
      </w:r>
      <w:r w:rsidR="00653B87">
        <w:rPr>
          <w:rFonts w:cstheme="minorHAnsi"/>
        </w:rPr>
        <w:t xml:space="preserve"> which can capture </w:t>
      </w:r>
      <w:r w:rsidR="00FC25D7" w:rsidRPr="003D7774">
        <w:rPr>
          <w:rFonts w:cstheme="minorHAnsi"/>
        </w:rPr>
        <w:t xml:space="preserve">genetic changes </w:t>
      </w:r>
      <w:r w:rsidR="00653B87">
        <w:rPr>
          <w:rFonts w:cstheme="minorHAnsi"/>
        </w:rPr>
        <w:t>such as structural variants or variants of uncertain significance. WGS in particular can deeply interrogate the genome which</w:t>
      </w:r>
      <w:r w:rsidR="001472A1">
        <w:rPr>
          <w:rFonts w:cstheme="minorHAnsi"/>
        </w:rPr>
        <w:t xml:space="preserve"> may</w:t>
      </w:r>
      <w:r w:rsidR="00653B87">
        <w:rPr>
          <w:rFonts w:cstheme="minorHAnsi"/>
        </w:rPr>
        <w:t xml:space="preserve"> yield deep intronic changes</w:t>
      </w:r>
      <w:r w:rsidR="001472A1">
        <w:rPr>
          <w:rFonts w:cstheme="minorHAnsi"/>
        </w:rPr>
        <w:t xml:space="preserve"> that</w:t>
      </w:r>
      <w:r w:rsidR="00D96754">
        <w:rPr>
          <w:rFonts w:cstheme="minorHAnsi"/>
        </w:rPr>
        <w:t xml:space="preserve"> can</w:t>
      </w:r>
      <w:r w:rsidR="00653B87">
        <w:rPr>
          <w:rFonts w:cstheme="minorHAnsi"/>
        </w:rPr>
        <w:t xml:space="preserve"> affect gene regulation. The </w:t>
      </w:r>
      <w:r w:rsidR="001472A1">
        <w:rPr>
          <w:rFonts w:cstheme="minorHAnsi"/>
        </w:rPr>
        <w:t>adaptation of the bioinformatics pipelines to detect these kinds of complex changes require</w:t>
      </w:r>
      <w:r w:rsidR="00CF7F75">
        <w:rPr>
          <w:rFonts w:cstheme="minorHAnsi"/>
        </w:rPr>
        <w:t>s</w:t>
      </w:r>
      <w:r w:rsidR="001472A1">
        <w:rPr>
          <w:rFonts w:cstheme="minorHAnsi"/>
        </w:rPr>
        <w:t xml:space="preserve"> a significant amount of work</w:t>
      </w:r>
      <w:r w:rsidR="00CF7F75">
        <w:rPr>
          <w:rFonts w:cstheme="minorHAnsi"/>
        </w:rPr>
        <w:t>.</w:t>
      </w:r>
    </w:p>
    <w:p w14:paraId="1DC3CEB7" w14:textId="77777777" w:rsidR="00597F0D" w:rsidRPr="003D7774" w:rsidRDefault="00597F0D" w:rsidP="00433AEC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</w:p>
    <w:p w14:paraId="7BDE0FA7" w14:textId="77777777" w:rsidR="000937EB" w:rsidRPr="003D7774" w:rsidRDefault="00D67FB7" w:rsidP="00433AEC">
      <w:pPr>
        <w:spacing w:line="480" w:lineRule="auto"/>
        <w:rPr>
          <w:rFonts w:cstheme="minorHAnsi"/>
          <w:i/>
        </w:rPr>
      </w:pPr>
      <w:r w:rsidRPr="003D7774">
        <w:rPr>
          <w:rFonts w:cstheme="minorHAnsi"/>
          <w:i/>
        </w:rPr>
        <w:t>Testing efficiency</w:t>
      </w:r>
    </w:p>
    <w:p w14:paraId="110B7D52" w14:textId="13238055" w:rsidR="00D67FB7" w:rsidRPr="003D7774" w:rsidRDefault="00D67FB7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</w:rPr>
        <w:t xml:space="preserve">Owing to the multiple ’reads’ NGS can </w:t>
      </w:r>
      <w:r w:rsidR="0086739B" w:rsidRPr="003D7774">
        <w:rPr>
          <w:rFonts w:cstheme="minorHAnsi"/>
        </w:rPr>
        <w:t>provide</w:t>
      </w:r>
      <w:r w:rsidR="0086739B">
        <w:rPr>
          <w:rFonts w:cstheme="minorHAnsi"/>
        </w:rPr>
        <w:t>,</w:t>
      </w:r>
      <w:r w:rsidR="0086739B" w:rsidRPr="003D7774">
        <w:rPr>
          <w:rFonts w:cstheme="minorHAnsi"/>
        </w:rPr>
        <w:t xml:space="preserve"> it</w:t>
      </w:r>
      <w:r w:rsidRPr="003D7774">
        <w:rPr>
          <w:rFonts w:cstheme="minorHAnsi"/>
        </w:rPr>
        <w:t xml:space="preserve"> can detect </w:t>
      </w:r>
      <w:r w:rsidR="0028557B">
        <w:rPr>
          <w:rFonts w:cstheme="minorHAnsi"/>
        </w:rPr>
        <w:t xml:space="preserve">low level </w:t>
      </w:r>
      <w:r w:rsidR="0086739B">
        <w:rPr>
          <w:rFonts w:cstheme="minorHAnsi"/>
        </w:rPr>
        <w:t>mosaicism</w:t>
      </w:r>
      <w:r w:rsidR="0028557B">
        <w:rPr>
          <w:rFonts w:cstheme="minorHAnsi"/>
        </w:rPr>
        <w:t>,</w:t>
      </w:r>
      <w:r w:rsidR="00A12AA3">
        <w:rPr>
          <w:rFonts w:cstheme="minorHAnsi"/>
        </w:rPr>
        <w:t xml:space="preserve"> previously undetected on Sanger </w:t>
      </w:r>
      <w:r w:rsidR="00255F9D">
        <w:rPr>
          <w:rFonts w:cstheme="minorHAnsi"/>
        </w:rPr>
        <w:t xml:space="preserve">sequencing. </w:t>
      </w:r>
      <w:r w:rsidR="00A12AA3">
        <w:rPr>
          <w:rFonts w:cstheme="minorHAnsi"/>
        </w:rPr>
        <w:t xml:space="preserve">It can also detect </w:t>
      </w:r>
      <w:r w:rsidRPr="003D7774">
        <w:rPr>
          <w:rFonts w:cstheme="minorHAnsi"/>
        </w:rPr>
        <w:t>small base changes (substitutions), insertions and deletions of DNA, large genomic deletions of exons or whole genes.</w:t>
      </w:r>
      <w:r w:rsidR="00255F9D">
        <w:rPr>
          <w:rFonts w:cstheme="minorHAnsi"/>
        </w:rPr>
        <w:t xml:space="preserve">  This is helpful in genetically heterogeneous conditions such as early infantile epileptic encephalopathy (EIEE) which can be due to sequence variants, translocations, deletions or duplications.</w:t>
      </w:r>
      <w:r w:rsidR="000D628A">
        <w:rPr>
          <w:rFonts w:cstheme="minorHAnsi"/>
          <w:vertAlign w:val="superscript"/>
        </w:rPr>
        <w:t>7</w:t>
      </w:r>
      <w:r w:rsidRPr="003D7774">
        <w:rPr>
          <w:rFonts w:cstheme="minorHAnsi"/>
        </w:rPr>
        <w:t xml:space="preserve"> </w:t>
      </w:r>
      <w:r w:rsidR="0028557B">
        <w:rPr>
          <w:rFonts w:cstheme="minorHAnsi"/>
        </w:rPr>
        <w:t xml:space="preserve"> </w:t>
      </w:r>
      <w:r w:rsidRPr="003D7774">
        <w:rPr>
          <w:rFonts w:cstheme="minorHAnsi"/>
        </w:rPr>
        <w:t xml:space="preserve">This is </w:t>
      </w:r>
      <w:r w:rsidR="00255F9D">
        <w:rPr>
          <w:rFonts w:cstheme="minorHAnsi"/>
        </w:rPr>
        <w:t xml:space="preserve">also </w:t>
      </w:r>
      <w:r w:rsidRPr="003D7774">
        <w:rPr>
          <w:rFonts w:cstheme="minorHAnsi"/>
        </w:rPr>
        <w:t>useful in terms of maximising the testing utility, as Sanger sequencing often requires other assays or tes</w:t>
      </w:r>
      <w:r w:rsidR="0039073E">
        <w:rPr>
          <w:rFonts w:cstheme="minorHAnsi"/>
        </w:rPr>
        <w:t xml:space="preserve">ts to confirm larger insertions, </w:t>
      </w:r>
      <w:r w:rsidR="00125381" w:rsidRPr="003D7774">
        <w:rPr>
          <w:rFonts w:cstheme="minorHAnsi"/>
        </w:rPr>
        <w:t>deletions or DNA rearrangements.</w:t>
      </w:r>
      <w:r w:rsidR="000D628A">
        <w:rPr>
          <w:rFonts w:cstheme="minorHAnsi"/>
          <w:vertAlign w:val="superscript"/>
        </w:rPr>
        <w:t>8</w:t>
      </w:r>
      <w:r w:rsidRPr="003D7774">
        <w:rPr>
          <w:rFonts w:cstheme="minorHAnsi"/>
          <w:vertAlign w:val="superscript"/>
        </w:rPr>
        <w:t xml:space="preserve"> </w:t>
      </w:r>
    </w:p>
    <w:p w14:paraId="00D36BD0" w14:textId="77777777" w:rsidR="0018471E" w:rsidRPr="003D7774" w:rsidRDefault="0018471E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  <w:b/>
        </w:rPr>
        <w:t>What are the limitations of NGS?</w:t>
      </w:r>
    </w:p>
    <w:p w14:paraId="49DBC6CE" w14:textId="77777777" w:rsidR="000937EB" w:rsidRPr="003D7774" w:rsidRDefault="000937EB" w:rsidP="00433AEC">
      <w:pPr>
        <w:spacing w:line="480" w:lineRule="auto"/>
        <w:rPr>
          <w:rFonts w:cstheme="minorHAnsi"/>
          <w:i/>
        </w:rPr>
      </w:pPr>
      <w:r w:rsidRPr="003D7774">
        <w:rPr>
          <w:rFonts w:cstheme="minorHAnsi"/>
          <w:i/>
        </w:rPr>
        <w:t>Low read depth</w:t>
      </w:r>
    </w:p>
    <w:p w14:paraId="0F66A82E" w14:textId="53FF0389" w:rsidR="0039073E" w:rsidRDefault="0060416F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</w:rPr>
        <w:t>When reviewing any results from NGS it is important to assess how well the gene or region of interest was sequenced</w:t>
      </w:r>
      <w:r w:rsidR="00657986" w:rsidRPr="003D7774">
        <w:rPr>
          <w:rFonts w:cstheme="minorHAnsi"/>
        </w:rPr>
        <w:t>.</w:t>
      </w:r>
      <w:r w:rsidR="00657986">
        <w:rPr>
          <w:rFonts w:cstheme="minorHAnsi"/>
        </w:rPr>
        <w:t xml:space="preserve"> Most clinical labs used a read depth of 30x and can </w:t>
      </w:r>
      <w:r w:rsidR="00A12AA3">
        <w:rPr>
          <w:rFonts w:cstheme="minorHAnsi"/>
        </w:rPr>
        <w:t>increase this further in</w:t>
      </w:r>
      <w:r w:rsidR="00657986">
        <w:rPr>
          <w:rFonts w:cstheme="minorHAnsi"/>
        </w:rPr>
        <w:t xml:space="preserve"> conditions known to be mosaic. </w:t>
      </w:r>
      <w:r w:rsidRPr="003D7774">
        <w:rPr>
          <w:rFonts w:cstheme="minorHAnsi"/>
        </w:rPr>
        <w:t xml:space="preserve">If the ‘read’ depth is low owing to poor gene coverage </w:t>
      </w:r>
      <w:r w:rsidR="000937EB" w:rsidRPr="003D7774">
        <w:rPr>
          <w:rFonts w:cstheme="minorHAnsi"/>
        </w:rPr>
        <w:t xml:space="preserve">this would be important </w:t>
      </w:r>
      <w:r w:rsidRPr="003D7774">
        <w:rPr>
          <w:rFonts w:cstheme="minorHAnsi"/>
        </w:rPr>
        <w:t>as further Sanger sequencing of that region may be required</w:t>
      </w:r>
      <w:r w:rsidR="0039073E">
        <w:rPr>
          <w:rFonts w:cstheme="minorHAnsi"/>
        </w:rPr>
        <w:t>.</w:t>
      </w:r>
    </w:p>
    <w:p w14:paraId="704E9565" w14:textId="77777777" w:rsidR="000937EB" w:rsidRPr="003D7774" w:rsidRDefault="000937EB" w:rsidP="00433AEC">
      <w:pPr>
        <w:spacing w:line="480" w:lineRule="auto"/>
        <w:rPr>
          <w:rFonts w:cstheme="minorHAnsi"/>
          <w:i/>
        </w:rPr>
      </w:pPr>
      <w:r w:rsidRPr="003D7774">
        <w:rPr>
          <w:rFonts w:cstheme="minorHAnsi"/>
          <w:i/>
        </w:rPr>
        <w:t>Variants of uncertain significance</w:t>
      </w:r>
    </w:p>
    <w:p w14:paraId="11C635BC" w14:textId="27E56453" w:rsidR="0060416F" w:rsidRPr="003D7774" w:rsidRDefault="00421F26" w:rsidP="00433AEC">
      <w:pPr>
        <w:spacing w:line="480" w:lineRule="auto"/>
        <w:rPr>
          <w:rFonts w:cstheme="minorHAnsi"/>
        </w:rPr>
      </w:pPr>
      <w:r w:rsidRPr="003D7774">
        <w:rPr>
          <w:rFonts w:cstheme="minorHAnsi"/>
        </w:rPr>
        <w:t>NGS</w:t>
      </w:r>
      <w:r w:rsidR="0060416F" w:rsidRPr="003D7774">
        <w:rPr>
          <w:rFonts w:cstheme="minorHAnsi"/>
        </w:rPr>
        <w:t xml:space="preserve"> </w:t>
      </w:r>
      <w:r w:rsidRPr="003D7774">
        <w:rPr>
          <w:rFonts w:cstheme="minorHAnsi"/>
        </w:rPr>
        <w:t xml:space="preserve">yields </w:t>
      </w:r>
      <w:r w:rsidR="00E41007" w:rsidRPr="003D7774">
        <w:rPr>
          <w:rFonts w:cstheme="minorHAnsi"/>
        </w:rPr>
        <w:t xml:space="preserve">genetic </w:t>
      </w:r>
      <w:r w:rsidRPr="003D7774">
        <w:rPr>
          <w:rFonts w:cstheme="minorHAnsi"/>
        </w:rPr>
        <w:t xml:space="preserve">variants </w:t>
      </w:r>
      <w:r w:rsidR="00E41007" w:rsidRPr="003D7774">
        <w:rPr>
          <w:rFonts w:cstheme="minorHAnsi"/>
        </w:rPr>
        <w:t xml:space="preserve">that are interpreted and </w:t>
      </w:r>
      <w:r w:rsidR="000937EB" w:rsidRPr="003D7774">
        <w:rPr>
          <w:rFonts w:cstheme="minorHAnsi"/>
        </w:rPr>
        <w:t xml:space="preserve">tiered </w:t>
      </w:r>
      <w:r w:rsidR="00125381" w:rsidRPr="003D7774">
        <w:rPr>
          <w:rFonts w:cstheme="minorHAnsi"/>
        </w:rPr>
        <w:t xml:space="preserve">as ‘pathogenic’, ‘likely pathogenic’, ‘uncertain significance’, ‘likely benign’ or ‘benign’ </w:t>
      </w:r>
      <w:r w:rsidR="000D628A">
        <w:rPr>
          <w:rFonts w:cstheme="minorHAnsi"/>
          <w:vertAlign w:val="superscript"/>
        </w:rPr>
        <w:t>9</w:t>
      </w:r>
      <w:r w:rsidR="00125381" w:rsidRPr="003D7774">
        <w:rPr>
          <w:rFonts w:cstheme="minorHAnsi"/>
        </w:rPr>
        <w:t xml:space="preserve">. </w:t>
      </w:r>
      <w:r w:rsidRPr="003D7774">
        <w:rPr>
          <w:rFonts w:cstheme="minorHAnsi"/>
        </w:rPr>
        <w:t>However,</w:t>
      </w:r>
      <w:r w:rsidR="000F6AA7">
        <w:rPr>
          <w:rFonts w:cstheme="minorHAnsi"/>
        </w:rPr>
        <w:t xml:space="preserve"> </w:t>
      </w:r>
      <w:r w:rsidRPr="003D7774">
        <w:rPr>
          <w:rFonts w:cstheme="minorHAnsi"/>
        </w:rPr>
        <w:t>difficult</w:t>
      </w:r>
      <w:r w:rsidR="000F6AA7">
        <w:rPr>
          <w:rFonts w:cstheme="minorHAnsi"/>
        </w:rPr>
        <w:t>ies</w:t>
      </w:r>
      <w:r w:rsidRPr="003D7774">
        <w:rPr>
          <w:rFonts w:cstheme="minorHAnsi"/>
        </w:rPr>
        <w:t xml:space="preserve"> can</w:t>
      </w:r>
      <w:r w:rsidR="000F6AA7">
        <w:rPr>
          <w:rFonts w:cstheme="minorHAnsi"/>
        </w:rPr>
        <w:t xml:space="preserve"> arise</w:t>
      </w:r>
      <w:r w:rsidRPr="003D7774">
        <w:rPr>
          <w:rFonts w:cstheme="minorHAnsi"/>
        </w:rPr>
        <w:t xml:space="preserve"> when novel genetic variants which may not have been seen before are found. </w:t>
      </w:r>
      <w:r w:rsidR="00E41007" w:rsidRPr="003D7774">
        <w:rPr>
          <w:rFonts w:cstheme="minorHAnsi"/>
        </w:rPr>
        <w:t>These are known as</w:t>
      </w:r>
      <w:r w:rsidRPr="003D7774">
        <w:rPr>
          <w:rFonts w:cstheme="minorHAnsi"/>
        </w:rPr>
        <w:t xml:space="preserve"> ‘variants of uncertain significance’ (VUS).  T</w:t>
      </w:r>
      <w:r w:rsidR="00C30C8B" w:rsidRPr="003D7774">
        <w:rPr>
          <w:rFonts w:cstheme="minorHAnsi"/>
        </w:rPr>
        <w:t>he interpretation of a VUS</w:t>
      </w:r>
      <w:r w:rsidRPr="003D7774">
        <w:rPr>
          <w:rFonts w:cstheme="minorHAnsi"/>
        </w:rPr>
        <w:t xml:space="preserve"> is an evolving aspect of Clinical Genetics. </w:t>
      </w:r>
      <w:r w:rsidRPr="003D7774">
        <w:rPr>
          <w:rFonts w:cstheme="minorHAnsi"/>
        </w:rPr>
        <w:lastRenderedPageBreak/>
        <w:t xml:space="preserve">This involves </w:t>
      </w:r>
      <w:r w:rsidR="00C30C8B" w:rsidRPr="003D7774">
        <w:rPr>
          <w:rFonts w:cstheme="minorHAnsi"/>
        </w:rPr>
        <w:t xml:space="preserve">reviewing </w:t>
      </w:r>
      <w:r w:rsidR="00976F8F" w:rsidRPr="003D7774">
        <w:rPr>
          <w:rFonts w:cstheme="minorHAnsi"/>
        </w:rPr>
        <w:t xml:space="preserve">control population databases, understanding the functional impact of the VUS on protein production and </w:t>
      </w:r>
      <w:r w:rsidR="00E02972" w:rsidRPr="003D7774">
        <w:rPr>
          <w:rFonts w:cstheme="minorHAnsi"/>
        </w:rPr>
        <w:t xml:space="preserve">clinical assessment in determining </w:t>
      </w:r>
      <w:r w:rsidR="00976F8F" w:rsidRPr="003D7774">
        <w:rPr>
          <w:rFonts w:cstheme="minorHAnsi"/>
        </w:rPr>
        <w:t>how convincing the phenotype is for the genetic</w:t>
      </w:r>
      <w:r w:rsidR="00E41007" w:rsidRPr="003D7774">
        <w:rPr>
          <w:rFonts w:cstheme="minorHAnsi"/>
        </w:rPr>
        <w:t xml:space="preserve"> condition</w:t>
      </w:r>
      <w:r w:rsidR="00976F8F" w:rsidRPr="003D7774">
        <w:rPr>
          <w:rFonts w:cstheme="minorHAnsi"/>
        </w:rPr>
        <w:t>.</w:t>
      </w:r>
      <w:r w:rsidR="00C30C8B" w:rsidRPr="003D7774">
        <w:rPr>
          <w:rFonts w:cstheme="minorHAnsi"/>
        </w:rPr>
        <w:t xml:space="preserve"> This information may change how a variant </w:t>
      </w:r>
      <w:r w:rsidR="00E41007" w:rsidRPr="003D7774">
        <w:rPr>
          <w:rFonts w:cstheme="minorHAnsi"/>
        </w:rPr>
        <w:t>is tiered, moving it</w:t>
      </w:r>
      <w:r w:rsidR="00C30C8B" w:rsidRPr="003D7774">
        <w:rPr>
          <w:rFonts w:cstheme="minorHAnsi"/>
        </w:rPr>
        <w:t xml:space="preserve"> from a VUS to </w:t>
      </w:r>
      <w:r w:rsidR="00E02972" w:rsidRPr="003D7774">
        <w:rPr>
          <w:rFonts w:cstheme="minorHAnsi"/>
        </w:rPr>
        <w:t>pathogenic</w:t>
      </w:r>
      <w:r w:rsidR="00C30C8B" w:rsidRPr="003D7774">
        <w:rPr>
          <w:rFonts w:cstheme="minorHAnsi"/>
        </w:rPr>
        <w:t>.</w:t>
      </w:r>
      <w:r w:rsidR="00976F8F" w:rsidRPr="003D7774">
        <w:rPr>
          <w:rFonts w:cstheme="minorHAnsi"/>
        </w:rPr>
        <w:t xml:space="preserve"> </w:t>
      </w:r>
      <w:r w:rsidR="00E02972" w:rsidRPr="003D7774">
        <w:rPr>
          <w:rFonts w:cstheme="minorHAnsi"/>
        </w:rPr>
        <w:t xml:space="preserve"> For this reason,</w:t>
      </w:r>
      <w:r w:rsidR="00C30C8B" w:rsidRPr="003D7774">
        <w:rPr>
          <w:rFonts w:cstheme="minorHAnsi"/>
        </w:rPr>
        <w:t xml:space="preserve"> </w:t>
      </w:r>
      <w:r w:rsidR="00976F8F" w:rsidRPr="003D7774">
        <w:rPr>
          <w:rFonts w:cstheme="minorHAnsi"/>
        </w:rPr>
        <w:t>communication around the patient phenotype between specialities and Clinical Genetics is incredibly important.</w:t>
      </w:r>
    </w:p>
    <w:p w14:paraId="7C083274" w14:textId="77777777" w:rsidR="00E41007" w:rsidRPr="003D7774" w:rsidRDefault="00E41007" w:rsidP="00433AEC">
      <w:pPr>
        <w:spacing w:line="480" w:lineRule="auto"/>
        <w:rPr>
          <w:rFonts w:cstheme="minorHAnsi"/>
          <w:i/>
        </w:rPr>
      </w:pPr>
      <w:r w:rsidRPr="003D7774">
        <w:rPr>
          <w:rFonts w:cstheme="minorHAnsi"/>
          <w:i/>
        </w:rPr>
        <w:t>Ethnic diversity</w:t>
      </w:r>
    </w:p>
    <w:p w14:paraId="61847F14" w14:textId="7E11598B" w:rsidR="00840719" w:rsidRPr="003D7774" w:rsidRDefault="006652F5" w:rsidP="00433AEC">
      <w:pPr>
        <w:spacing w:line="480" w:lineRule="auto"/>
        <w:rPr>
          <w:rFonts w:cstheme="minorHAnsi"/>
        </w:rPr>
      </w:pPr>
      <w:r>
        <w:rPr>
          <w:rFonts w:cstheme="minorHAnsi"/>
        </w:rPr>
        <w:t>The</w:t>
      </w:r>
      <w:r w:rsidR="0064253B" w:rsidRPr="003D7774">
        <w:rPr>
          <w:rFonts w:cstheme="minorHAnsi"/>
        </w:rPr>
        <w:t xml:space="preserve"> reference genome used t</w:t>
      </w:r>
      <w:r w:rsidR="001F0D9F" w:rsidRPr="003D7774">
        <w:rPr>
          <w:rFonts w:cstheme="minorHAnsi"/>
        </w:rPr>
        <w:t xml:space="preserve">o compare sequenced DNA against, </w:t>
      </w:r>
      <w:r w:rsidR="0064253B" w:rsidRPr="003D7774">
        <w:rPr>
          <w:rFonts w:cstheme="minorHAnsi"/>
        </w:rPr>
        <w:t xml:space="preserve">has a strong European bias. For ethnic groups out of this European framework, </w:t>
      </w:r>
      <w:r w:rsidR="00E41007" w:rsidRPr="003D7774">
        <w:rPr>
          <w:rFonts w:cstheme="minorHAnsi"/>
        </w:rPr>
        <w:t>how reliable is the</w:t>
      </w:r>
      <w:r w:rsidR="0064253B" w:rsidRPr="003D7774">
        <w:rPr>
          <w:rFonts w:cstheme="minorHAnsi"/>
        </w:rPr>
        <w:t xml:space="preserve"> ref</w:t>
      </w:r>
      <w:r w:rsidR="00E41007" w:rsidRPr="003D7774">
        <w:rPr>
          <w:rFonts w:cstheme="minorHAnsi"/>
        </w:rPr>
        <w:t>erence genome to make sense of</w:t>
      </w:r>
      <w:r w:rsidR="001F0D9F" w:rsidRPr="003D7774">
        <w:rPr>
          <w:rFonts w:cstheme="minorHAnsi"/>
        </w:rPr>
        <w:t xml:space="preserve"> genetic variation?  Conducting further studies</w:t>
      </w:r>
      <w:r w:rsidR="001B588A">
        <w:rPr>
          <w:rFonts w:cstheme="minorHAnsi"/>
        </w:rPr>
        <w:t xml:space="preserve"> of</w:t>
      </w:r>
      <w:r w:rsidR="001F0D9F" w:rsidRPr="003D7774">
        <w:rPr>
          <w:rFonts w:cstheme="minorHAnsi"/>
        </w:rPr>
        <w:t xml:space="preserve"> l</w:t>
      </w:r>
      <w:r w:rsidR="0064253B" w:rsidRPr="003D7774">
        <w:rPr>
          <w:rFonts w:cstheme="minorHAnsi"/>
        </w:rPr>
        <w:t xml:space="preserve">arge WES or </w:t>
      </w:r>
      <w:r w:rsidR="001F0D9F" w:rsidRPr="003D7774">
        <w:rPr>
          <w:rFonts w:cstheme="minorHAnsi"/>
        </w:rPr>
        <w:t xml:space="preserve">WGS of multiple ethnic </w:t>
      </w:r>
      <w:proofErr w:type="gramStart"/>
      <w:r w:rsidR="001F0D9F" w:rsidRPr="003D7774">
        <w:rPr>
          <w:rFonts w:cstheme="minorHAnsi"/>
        </w:rPr>
        <w:t xml:space="preserve">groups </w:t>
      </w:r>
      <w:r w:rsidR="00EE6DB7">
        <w:rPr>
          <w:rFonts w:cstheme="minorHAnsi"/>
        </w:rPr>
        <w:t xml:space="preserve"> is</w:t>
      </w:r>
      <w:proofErr w:type="gramEnd"/>
      <w:r w:rsidR="001F0D9F" w:rsidRPr="003D7774">
        <w:rPr>
          <w:rFonts w:cstheme="minorHAnsi"/>
        </w:rPr>
        <w:t xml:space="preserve"> important to </w:t>
      </w:r>
      <w:r w:rsidR="00EE6DB7">
        <w:rPr>
          <w:rFonts w:cstheme="minorHAnsi"/>
        </w:rPr>
        <w:t xml:space="preserve"> better reflect the</w:t>
      </w:r>
      <w:r w:rsidR="00E41007" w:rsidRPr="003D7774">
        <w:rPr>
          <w:rFonts w:cstheme="minorHAnsi"/>
        </w:rPr>
        <w:t xml:space="preserve"> genetic variation of</w:t>
      </w:r>
      <w:r w:rsidR="0064253B" w:rsidRPr="003D7774">
        <w:rPr>
          <w:rFonts w:cstheme="minorHAnsi"/>
        </w:rPr>
        <w:t xml:space="preserve"> populations </w:t>
      </w:r>
      <w:r w:rsidR="00EE6DB7">
        <w:rPr>
          <w:rFonts w:cstheme="minorHAnsi"/>
        </w:rPr>
        <w:t>in</w:t>
      </w:r>
      <w:r w:rsidR="00EE6DB7" w:rsidRPr="003D7774">
        <w:rPr>
          <w:rFonts w:cstheme="minorHAnsi"/>
        </w:rPr>
        <w:t xml:space="preserve"> </w:t>
      </w:r>
      <w:r w:rsidR="0064253B" w:rsidRPr="003D7774">
        <w:rPr>
          <w:rFonts w:cstheme="minorHAnsi"/>
        </w:rPr>
        <w:t>the reference genome.</w:t>
      </w:r>
    </w:p>
    <w:p w14:paraId="330C14AF" w14:textId="77777777" w:rsidR="00C47449" w:rsidRPr="002B1154" w:rsidRDefault="00840719" w:rsidP="00433AEC">
      <w:pPr>
        <w:spacing w:line="480" w:lineRule="auto"/>
        <w:rPr>
          <w:rFonts w:cstheme="minorHAnsi"/>
          <w:b/>
        </w:rPr>
      </w:pPr>
      <w:r w:rsidRPr="003D7774">
        <w:rPr>
          <w:rFonts w:cstheme="minorHAnsi"/>
          <w:b/>
        </w:rPr>
        <w:t>NGS and the future</w:t>
      </w:r>
    </w:p>
    <w:p w14:paraId="71823F0F" w14:textId="77777777" w:rsidR="00B90329" w:rsidRDefault="0048538B" w:rsidP="00433AEC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3D7774">
        <w:rPr>
          <w:rFonts w:cstheme="minorHAnsi"/>
        </w:rPr>
        <w:t xml:space="preserve">As NGS can increase diagnostic yield, it is growing to have a vital role in healthcare.  Particularly in paediatric patients, where earlier diagnosis can end the ‘diagnostic odyssey’ families endure, impact on the immediate care and greater inform reproductive counselling.  </w:t>
      </w:r>
      <w:r w:rsidR="00E47EE8" w:rsidRPr="003D7774">
        <w:rPr>
          <w:rFonts w:cstheme="minorHAnsi"/>
        </w:rPr>
        <w:t>It may</w:t>
      </w:r>
      <w:r>
        <w:rPr>
          <w:rFonts w:cstheme="minorHAnsi"/>
        </w:rPr>
        <w:t xml:space="preserve"> also</w:t>
      </w:r>
      <w:r w:rsidR="00C47449">
        <w:rPr>
          <w:rFonts w:cstheme="minorHAnsi"/>
        </w:rPr>
        <w:t xml:space="preserve"> </w:t>
      </w:r>
      <w:r w:rsidR="00E47EE8" w:rsidRPr="003D7774">
        <w:rPr>
          <w:rFonts w:cstheme="minorHAnsi"/>
        </w:rPr>
        <w:t xml:space="preserve">be that </w:t>
      </w:r>
      <w:r w:rsidR="00847F45" w:rsidRPr="003D7774">
        <w:rPr>
          <w:rFonts w:cstheme="minorHAnsi"/>
        </w:rPr>
        <w:t xml:space="preserve">tests such as WGS become </w:t>
      </w:r>
      <w:r w:rsidR="00E47EE8" w:rsidRPr="003D7774">
        <w:rPr>
          <w:rFonts w:cstheme="minorHAnsi"/>
        </w:rPr>
        <w:t>a routine part of Neonatal care in the future.</w:t>
      </w:r>
      <w:r w:rsidR="00847F45" w:rsidRPr="003D7774">
        <w:rPr>
          <w:rFonts w:cstheme="minorHAnsi"/>
        </w:rPr>
        <w:t xml:space="preserve"> </w:t>
      </w:r>
      <w:r w:rsidR="00D67FB7" w:rsidRPr="003D7774">
        <w:rPr>
          <w:rFonts w:cstheme="minorHAnsi"/>
        </w:rPr>
        <w:t>For these</w:t>
      </w:r>
      <w:r w:rsidR="00E47EE8" w:rsidRPr="003D7774">
        <w:rPr>
          <w:rFonts w:cstheme="minorHAnsi"/>
        </w:rPr>
        <w:t xml:space="preserve"> reason</w:t>
      </w:r>
      <w:r w:rsidR="00D67FB7" w:rsidRPr="003D7774">
        <w:rPr>
          <w:rFonts w:cstheme="minorHAnsi"/>
        </w:rPr>
        <w:t>s</w:t>
      </w:r>
      <w:r w:rsidR="00CC476F">
        <w:rPr>
          <w:rFonts w:cstheme="minorHAnsi"/>
        </w:rPr>
        <w:t xml:space="preserve">, </w:t>
      </w:r>
      <w:r w:rsidR="00E47EE8" w:rsidRPr="003D7774">
        <w:rPr>
          <w:rFonts w:cstheme="minorHAnsi"/>
        </w:rPr>
        <w:t>a</w:t>
      </w:r>
      <w:r w:rsidR="00840719" w:rsidRPr="003D7774">
        <w:rPr>
          <w:rFonts w:cstheme="minorHAnsi"/>
        </w:rPr>
        <w:t xml:space="preserve">s NGS becomes more </w:t>
      </w:r>
      <w:r>
        <w:rPr>
          <w:rFonts w:cstheme="minorHAnsi"/>
        </w:rPr>
        <w:t>accessible</w:t>
      </w:r>
      <w:r w:rsidR="00840719" w:rsidRPr="003D7774">
        <w:rPr>
          <w:rFonts w:cstheme="minorHAnsi"/>
        </w:rPr>
        <w:t xml:space="preserve"> both in the </w:t>
      </w:r>
      <w:r w:rsidR="00D67FB7" w:rsidRPr="003D7774">
        <w:rPr>
          <w:rFonts w:cstheme="minorHAnsi"/>
        </w:rPr>
        <w:t>UK</w:t>
      </w:r>
      <w:r w:rsidR="00840719" w:rsidRPr="003D7774">
        <w:rPr>
          <w:rFonts w:cstheme="minorHAnsi"/>
        </w:rPr>
        <w:t xml:space="preserve"> and globally </w:t>
      </w:r>
      <w:r w:rsidR="00847F45" w:rsidRPr="003D7774">
        <w:rPr>
          <w:rFonts w:cstheme="minorHAnsi"/>
        </w:rPr>
        <w:t xml:space="preserve">it is important for non-geneticists </w:t>
      </w:r>
      <w:r w:rsidR="00840719" w:rsidRPr="003D7774">
        <w:rPr>
          <w:rFonts w:cstheme="minorHAnsi"/>
        </w:rPr>
        <w:t xml:space="preserve">to feel comfortable with when to consider </w:t>
      </w:r>
      <w:r w:rsidR="00CC476F">
        <w:rPr>
          <w:rFonts w:cstheme="minorHAnsi"/>
        </w:rPr>
        <w:t>NGS</w:t>
      </w:r>
      <w:r w:rsidR="00840719" w:rsidRPr="003D7774">
        <w:rPr>
          <w:rFonts w:cstheme="minorHAnsi"/>
        </w:rPr>
        <w:t xml:space="preserve"> and what the</w:t>
      </w:r>
      <w:r>
        <w:rPr>
          <w:rFonts w:cstheme="minorHAnsi"/>
        </w:rPr>
        <w:t xml:space="preserve"> potential</w:t>
      </w:r>
      <w:r w:rsidR="00840719" w:rsidRPr="003D7774">
        <w:rPr>
          <w:rFonts w:cstheme="minorHAnsi"/>
        </w:rPr>
        <w:t xml:space="preserve"> benefits and limitations are.  </w:t>
      </w:r>
    </w:p>
    <w:p w14:paraId="2CBA1936" w14:textId="77777777" w:rsidR="0048538B" w:rsidRPr="00E6682E" w:rsidRDefault="0048538B" w:rsidP="00433AEC">
      <w:pPr>
        <w:autoSpaceDE w:val="0"/>
        <w:autoSpaceDN w:val="0"/>
        <w:adjustRightInd w:val="0"/>
        <w:spacing w:after="0" w:line="480" w:lineRule="auto"/>
        <w:rPr>
          <w:rFonts w:cstheme="minorHAnsi"/>
          <w:b/>
        </w:rPr>
      </w:pPr>
    </w:p>
    <w:p w14:paraId="7A6602B5" w14:textId="77777777" w:rsidR="00291323" w:rsidRPr="00E6682E" w:rsidRDefault="00291323" w:rsidP="00433AEC">
      <w:pPr>
        <w:spacing w:line="480" w:lineRule="auto"/>
        <w:rPr>
          <w:rFonts w:cstheme="minorHAnsi"/>
          <w:b/>
        </w:rPr>
      </w:pPr>
      <w:r w:rsidRPr="00E6682E">
        <w:rPr>
          <w:rFonts w:cstheme="minorHAnsi"/>
          <w:b/>
        </w:rPr>
        <w:t>References</w:t>
      </w:r>
    </w:p>
    <w:p w14:paraId="3682CEA5" w14:textId="77777777" w:rsidR="00422AAD" w:rsidRPr="00C246F5" w:rsidRDefault="00546C37" w:rsidP="00433A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bCs/>
          <w:i/>
        </w:rPr>
      </w:pPr>
      <w:r w:rsidRPr="00C246F5">
        <w:rPr>
          <w:rFonts w:cstheme="minorHAnsi"/>
          <w:i/>
        </w:rPr>
        <w:t xml:space="preserve">Heming </w:t>
      </w:r>
      <w:r w:rsidR="00E6682E" w:rsidRPr="00C246F5">
        <w:rPr>
          <w:rFonts w:cstheme="minorHAnsi"/>
          <w:i/>
        </w:rPr>
        <w:t xml:space="preserve">W, </w:t>
      </w:r>
      <w:r w:rsidRPr="00C246F5">
        <w:rPr>
          <w:rFonts w:cstheme="minorHAnsi"/>
          <w:i/>
        </w:rPr>
        <w:t xml:space="preserve">Angeline LHM, </w:t>
      </w:r>
      <w:proofErr w:type="spellStart"/>
      <w:r w:rsidRPr="00C246F5">
        <w:rPr>
          <w:rFonts w:cstheme="minorHAnsi"/>
          <w:i/>
        </w:rPr>
        <w:t>Ee-Shien</w:t>
      </w:r>
      <w:proofErr w:type="spellEnd"/>
      <w:r w:rsidRPr="00C246F5">
        <w:rPr>
          <w:rFonts w:cstheme="minorHAnsi"/>
          <w:i/>
        </w:rPr>
        <w:t xml:space="preserve"> T, Mark KJA, Ivy N, Teck WT, et al. </w:t>
      </w:r>
      <w:r w:rsidRPr="00C246F5">
        <w:rPr>
          <w:rFonts w:cstheme="minorHAnsi"/>
          <w:bCs/>
          <w:i/>
        </w:rPr>
        <w:t xml:space="preserve">Genetic Landscape of Congenital Disorders in Patients from Southeast Asia: Results from Sequencing Using a Gene Panel for Mendelian Phenotypes. </w:t>
      </w:r>
      <w:r w:rsidRPr="00C246F5">
        <w:rPr>
          <w:rFonts w:cstheme="minorHAnsi"/>
          <w:i/>
        </w:rPr>
        <w:t>Arch Dis Child</w:t>
      </w:r>
      <w:r w:rsidR="00E6682E" w:rsidRPr="00C246F5">
        <w:rPr>
          <w:rFonts w:cstheme="minorHAnsi"/>
          <w:i/>
        </w:rPr>
        <w:t xml:space="preserve"> 2020.</w:t>
      </w:r>
      <w:r w:rsidR="00422AAD" w:rsidRPr="00C246F5">
        <w:rPr>
          <w:rFonts w:cstheme="minorHAnsi"/>
          <w:i/>
        </w:rPr>
        <w:t xml:space="preserve"> </w:t>
      </w:r>
    </w:p>
    <w:p w14:paraId="533E5134" w14:textId="77777777" w:rsidR="00422AAD" w:rsidRPr="0086739B" w:rsidRDefault="00E6682E" w:rsidP="00433A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bCs/>
        </w:rPr>
      </w:pPr>
      <w:r w:rsidRPr="00C246F5">
        <w:rPr>
          <w:rFonts w:cstheme="minorHAnsi"/>
          <w:i/>
        </w:rPr>
        <w:lastRenderedPageBreak/>
        <w:t xml:space="preserve">Bhatia NS, Lim JY, Bonnard C, </w:t>
      </w:r>
      <w:proofErr w:type="spellStart"/>
      <w:r w:rsidRPr="00C246F5">
        <w:rPr>
          <w:rFonts w:cstheme="minorHAnsi"/>
          <w:i/>
        </w:rPr>
        <w:t>Kuan</w:t>
      </w:r>
      <w:proofErr w:type="spellEnd"/>
      <w:r w:rsidRPr="00C246F5">
        <w:rPr>
          <w:rFonts w:cstheme="minorHAnsi"/>
          <w:i/>
        </w:rPr>
        <w:t xml:space="preserve"> JL, Brett M, Wei H, et al. </w:t>
      </w:r>
      <w:r w:rsidR="00422AAD" w:rsidRPr="00C246F5">
        <w:rPr>
          <w:rFonts w:cstheme="minorHAnsi"/>
          <w:bCs/>
          <w:i/>
        </w:rPr>
        <w:t xml:space="preserve">The Singapore Undiagnosed Disease Program: Genomic Analysis Aids Diagnosis and Clinical Management. </w:t>
      </w:r>
      <w:r w:rsidR="00422AAD" w:rsidRPr="00C246F5">
        <w:rPr>
          <w:rFonts w:cstheme="minorHAnsi"/>
          <w:i/>
        </w:rPr>
        <w:t xml:space="preserve">Arch Dis Child </w:t>
      </w:r>
      <w:r w:rsidR="00422AAD" w:rsidRPr="0086739B">
        <w:rPr>
          <w:rFonts w:cstheme="minorHAnsi"/>
        </w:rPr>
        <w:t>2020.</w:t>
      </w:r>
    </w:p>
    <w:p w14:paraId="18BE19C0" w14:textId="77777777" w:rsidR="002C19B2" w:rsidRPr="002C19B2" w:rsidRDefault="002C19B2" w:rsidP="00433A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</w:rPr>
      </w:pPr>
      <w:proofErr w:type="spellStart"/>
      <w:r w:rsidRPr="0086739B">
        <w:rPr>
          <w:rFonts w:cstheme="minorHAnsi"/>
        </w:rPr>
        <w:t>P</w:t>
      </w:r>
      <w:r w:rsidRPr="0086739B">
        <w:rPr>
          <w:rFonts w:cstheme="minorHAnsi"/>
          <w:i/>
        </w:rPr>
        <w:t>opejoy</w:t>
      </w:r>
      <w:proofErr w:type="spellEnd"/>
      <w:r w:rsidRPr="0086739B">
        <w:rPr>
          <w:rFonts w:cstheme="minorHAnsi"/>
          <w:i/>
        </w:rPr>
        <w:t xml:space="preserve"> AB, Fullerton SM. Genomics is failing on diversity. Nature. 2016;</w:t>
      </w:r>
      <w:r w:rsidR="00D27C4A">
        <w:rPr>
          <w:rFonts w:cstheme="minorHAnsi"/>
          <w:i/>
        </w:rPr>
        <w:t xml:space="preserve"> </w:t>
      </w:r>
      <w:r w:rsidRPr="0086739B">
        <w:rPr>
          <w:rFonts w:cstheme="minorHAnsi"/>
          <w:i/>
        </w:rPr>
        <w:t>538</w:t>
      </w:r>
      <w:r w:rsidR="00D27C4A">
        <w:rPr>
          <w:rFonts w:cstheme="minorHAnsi"/>
          <w:i/>
        </w:rPr>
        <w:t xml:space="preserve"> </w:t>
      </w:r>
      <w:r w:rsidRPr="0086739B">
        <w:rPr>
          <w:rFonts w:cstheme="minorHAnsi"/>
          <w:i/>
        </w:rPr>
        <w:t>(7624):161-4.</w:t>
      </w:r>
    </w:p>
    <w:p w14:paraId="4FEE96C4" w14:textId="77777777" w:rsidR="00422AAD" w:rsidRPr="004C1223" w:rsidRDefault="00905353" w:rsidP="00433A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bCs/>
          <w:i/>
        </w:rPr>
      </w:pPr>
      <w:r w:rsidRPr="00C246F5">
        <w:rPr>
          <w:rFonts w:cstheme="minorHAnsi"/>
          <w:i/>
        </w:rPr>
        <w:t xml:space="preserve">NHS England. NHS Genomic Medicine Service. Available from: </w:t>
      </w:r>
      <w:hyperlink r:id="rId6" w:history="1">
        <w:r w:rsidRPr="00C246F5">
          <w:rPr>
            <w:rStyle w:val="Hyperlink"/>
            <w:rFonts w:cstheme="minorHAnsi"/>
            <w:i/>
            <w:color w:val="auto"/>
            <w:u w:val="none"/>
          </w:rPr>
          <w:t>https://www.england.nhs.uk/genomics/nhs-genomic-med-service/</w:t>
        </w:r>
      </w:hyperlink>
      <w:r w:rsidRPr="00C246F5">
        <w:rPr>
          <w:rFonts w:cstheme="minorHAnsi"/>
          <w:i/>
        </w:rPr>
        <w:t xml:space="preserve"> [Accessed 1</w:t>
      </w:r>
      <w:r w:rsidRPr="00C246F5">
        <w:rPr>
          <w:rFonts w:cstheme="minorHAnsi"/>
          <w:i/>
          <w:vertAlign w:val="superscript"/>
        </w:rPr>
        <w:t>st</w:t>
      </w:r>
      <w:r w:rsidRPr="00C246F5">
        <w:rPr>
          <w:rFonts w:cstheme="minorHAnsi"/>
          <w:i/>
        </w:rPr>
        <w:t xml:space="preserve"> August 2020].</w:t>
      </w:r>
    </w:p>
    <w:p w14:paraId="16F97D82" w14:textId="6C48AB7D" w:rsidR="004C1223" w:rsidRPr="0086739B" w:rsidRDefault="004C1223" w:rsidP="00433A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bCs/>
          <w:i/>
        </w:rPr>
      </w:pPr>
      <w:r>
        <w:rPr>
          <w:rFonts w:cstheme="minorHAnsi"/>
          <w:bCs/>
          <w:i/>
        </w:rPr>
        <w:t xml:space="preserve">Genome UK: The Future of Healthcare. Available from: </w:t>
      </w:r>
      <w:hyperlink r:id="rId7" w:history="1">
        <w:r w:rsidRPr="00C220EC">
          <w:rPr>
            <w:rStyle w:val="Hyperlink"/>
            <w:rFonts w:cstheme="minorHAnsi"/>
            <w:bCs/>
            <w:i/>
          </w:rPr>
          <w:t>https://assets.publishing.service.gov.uk/government/uploads/system/uploads/attachment_data/file/920378/Genome_UK_-_the_future_of_healthcare.pdf</w:t>
        </w:r>
      </w:hyperlink>
      <w:r>
        <w:rPr>
          <w:rFonts w:cstheme="minorHAnsi"/>
          <w:bCs/>
          <w:i/>
        </w:rPr>
        <w:t xml:space="preserve"> </w:t>
      </w:r>
      <w:r w:rsidRPr="00C246F5">
        <w:rPr>
          <w:rFonts w:cstheme="minorHAnsi"/>
          <w:i/>
        </w:rPr>
        <w:t xml:space="preserve">[Accessed </w:t>
      </w:r>
      <w:r>
        <w:rPr>
          <w:rFonts w:cstheme="minorHAnsi"/>
          <w:i/>
        </w:rPr>
        <w:t>4th October</w:t>
      </w:r>
      <w:r w:rsidRPr="00C246F5">
        <w:rPr>
          <w:rFonts w:cstheme="minorHAnsi"/>
          <w:i/>
        </w:rPr>
        <w:t xml:space="preserve"> 2020].</w:t>
      </w:r>
    </w:p>
    <w:p w14:paraId="0F1ACA01" w14:textId="77777777" w:rsidR="00422AAD" w:rsidRPr="00852CBE" w:rsidRDefault="00905353" w:rsidP="00433A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bCs/>
          <w:i/>
        </w:rPr>
      </w:pPr>
      <w:r w:rsidRPr="00C246F5">
        <w:rPr>
          <w:rFonts w:cstheme="minorHAnsi"/>
          <w:i/>
        </w:rPr>
        <w:t xml:space="preserve">Illumina. </w:t>
      </w:r>
      <w:r w:rsidR="00493E3E" w:rsidRPr="00C246F5">
        <w:rPr>
          <w:rFonts w:cstheme="minorHAnsi"/>
          <w:i/>
        </w:rPr>
        <w:t xml:space="preserve">An introduction to Next-Generation Sequencing Technology. </w:t>
      </w:r>
      <w:r w:rsidRPr="00C246F5">
        <w:rPr>
          <w:rFonts w:cstheme="minorHAnsi"/>
          <w:i/>
        </w:rPr>
        <w:t>Available from</w:t>
      </w:r>
      <w:r w:rsidR="00493E3E" w:rsidRPr="00C246F5">
        <w:rPr>
          <w:rFonts w:cstheme="minorHAnsi"/>
          <w:i/>
        </w:rPr>
        <w:t xml:space="preserve">: </w:t>
      </w:r>
      <w:r w:rsidR="00357B56" w:rsidRPr="00C246F5">
        <w:rPr>
          <w:rFonts w:cstheme="minorHAnsi"/>
          <w:i/>
        </w:rPr>
        <w:t>https://emea.illumina.com/content/dam/illumina-marketing/documents/products/illumina_sequencing_introduction.pdf</w:t>
      </w:r>
      <w:r w:rsidRPr="00C246F5">
        <w:rPr>
          <w:rFonts w:cstheme="minorHAnsi"/>
          <w:i/>
        </w:rPr>
        <w:t xml:space="preserve"> [Accessed 1</w:t>
      </w:r>
      <w:r w:rsidRPr="00C246F5">
        <w:rPr>
          <w:rFonts w:cstheme="minorHAnsi"/>
          <w:i/>
          <w:vertAlign w:val="superscript"/>
        </w:rPr>
        <w:t>st</w:t>
      </w:r>
      <w:r w:rsidRPr="00C246F5">
        <w:rPr>
          <w:rFonts w:cstheme="minorHAnsi"/>
          <w:i/>
        </w:rPr>
        <w:t xml:space="preserve"> August 2020].</w:t>
      </w:r>
    </w:p>
    <w:p w14:paraId="11C431F4" w14:textId="77777777" w:rsidR="00852CBE" w:rsidRPr="0086739B" w:rsidRDefault="00852CBE" w:rsidP="00433AEC">
      <w:pPr>
        <w:pStyle w:val="ListParagraph"/>
        <w:numPr>
          <w:ilvl w:val="0"/>
          <w:numId w:val="6"/>
        </w:numPr>
        <w:spacing w:line="480" w:lineRule="auto"/>
        <w:rPr>
          <w:rFonts w:cstheme="minorHAnsi"/>
          <w:i/>
          <w:color w:val="00B050"/>
        </w:rPr>
      </w:pPr>
      <w:r w:rsidRPr="00852CBE">
        <w:rPr>
          <w:rFonts w:cstheme="minorHAnsi"/>
          <w:color w:val="000000"/>
          <w:shd w:val="clear" w:color="auto" w:fill="FFFFFF"/>
        </w:rPr>
        <w:t xml:space="preserve">Ostrander BEP, Butterfield RJ, Pedersen BS, Farrell AJ, Layer RM, Ward A, Miller C, </w:t>
      </w:r>
      <w:proofErr w:type="spellStart"/>
      <w:r w:rsidRPr="00852CBE">
        <w:rPr>
          <w:rFonts w:cstheme="minorHAnsi"/>
          <w:color w:val="000000"/>
          <w:shd w:val="clear" w:color="auto" w:fill="FFFFFF"/>
        </w:rPr>
        <w:t>DiSera</w:t>
      </w:r>
      <w:proofErr w:type="spellEnd"/>
      <w:r w:rsidRPr="00852CBE">
        <w:rPr>
          <w:rFonts w:cstheme="minorHAnsi"/>
          <w:color w:val="000000"/>
          <w:shd w:val="clear" w:color="auto" w:fill="FFFFFF"/>
        </w:rPr>
        <w:t xml:space="preserve"> T, </w:t>
      </w:r>
      <w:proofErr w:type="spellStart"/>
      <w:r w:rsidRPr="00852CBE">
        <w:rPr>
          <w:rFonts w:cstheme="minorHAnsi"/>
          <w:color w:val="000000"/>
          <w:shd w:val="clear" w:color="auto" w:fill="FFFFFF"/>
        </w:rPr>
        <w:t>Filloux</w:t>
      </w:r>
      <w:proofErr w:type="spellEnd"/>
      <w:r w:rsidRPr="00852CBE">
        <w:rPr>
          <w:rFonts w:cstheme="minorHAnsi"/>
          <w:color w:val="000000"/>
          <w:shd w:val="clear" w:color="auto" w:fill="FFFFFF"/>
        </w:rPr>
        <w:t xml:space="preserve"> FM, </w:t>
      </w:r>
      <w:proofErr w:type="spellStart"/>
      <w:r w:rsidRPr="00852CBE">
        <w:rPr>
          <w:rFonts w:cstheme="minorHAnsi"/>
          <w:color w:val="000000"/>
          <w:shd w:val="clear" w:color="auto" w:fill="FFFFFF"/>
        </w:rPr>
        <w:t>Candee</w:t>
      </w:r>
      <w:proofErr w:type="spellEnd"/>
      <w:r w:rsidRPr="00852CBE">
        <w:rPr>
          <w:rFonts w:cstheme="minorHAnsi"/>
          <w:color w:val="000000"/>
          <w:shd w:val="clear" w:color="auto" w:fill="FFFFFF"/>
        </w:rPr>
        <w:t xml:space="preserve"> MS, Newcomb T, </w:t>
      </w:r>
      <w:proofErr w:type="spellStart"/>
      <w:r w:rsidRPr="00852CBE">
        <w:rPr>
          <w:rFonts w:cstheme="minorHAnsi"/>
          <w:color w:val="000000"/>
          <w:shd w:val="clear" w:color="auto" w:fill="FFFFFF"/>
        </w:rPr>
        <w:t>Bonkowsky</w:t>
      </w:r>
      <w:proofErr w:type="spellEnd"/>
      <w:r w:rsidRPr="00852CBE">
        <w:rPr>
          <w:rFonts w:cstheme="minorHAnsi"/>
          <w:color w:val="000000"/>
          <w:shd w:val="clear" w:color="auto" w:fill="FFFFFF"/>
        </w:rPr>
        <w:t xml:space="preserve"> JL, Marth GT, Quinlan AR. Whole-genome analysis for effective clinical diagnosis and gene discovery in early infantile epileptic encephal</w:t>
      </w:r>
      <w:r>
        <w:rPr>
          <w:rFonts w:cstheme="minorHAnsi"/>
          <w:color w:val="000000"/>
          <w:shd w:val="clear" w:color="auto" w:fill="FFFFFF"/>
        </w:rPr>
        <w:t xml:space="preserve">opathy. NPJ </w:t>
      </w:r>
      <w:proofErr w:type="spellStart"/>
      <w:r>
        <w:rPr>
          <w:rFonts w:cstheme="minorHAnsi"/>
          <w:color w:val="000000"/>
          <w:shd w:val="clear" w:color="auto" w:fill="FFFFFF"/>
        </w:rPr>
        <w:t>Genom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Med. 2018; </w:t>
      </w:r>
      <w:r w:rsidR="0028557B">
        <w:rPr>
          <w:rFonts w:cstheme="minorHAnsi"/>
          <w:color w:val="000000"/>
          <w:shd w:val="clear" w:color="auto" w:fill="FFFFFF"/>
        </w:rPr>
        <w:t>1</w:t>
      </w:r>
      <w:r>
        <w:rPr>
          <w:rFonts w:cstheme="minorHAnsi"/>
          <w:color w:val="000000"/>
          <w:shd w:val="clear" w:color="auto" w:fill="FFFFFF"/>
        </w:rPr>
        <w:t>(3):</w:t>
      </w:r>
      <w:r w:rsidRPr="00852CBE">
        <w:rPr>
          <w:rFonts w:cstheme="minorHAnsi"/>
          <w:color w:val="000000"/>
          <w:shd w:val="clear" w:color="auto" w:fill="FFFFFF"/>
        </w:rPr>
        <w:t xml:space="preserve">22. </w:t>
      </w:r>
    </w:p>
    <w:p w14:paraId="2EBD09DA" w14:textId="77777777" w:rsidR="00422AAD" w:rsidRPr="00C246F5" w:rsidRDefault="00905353" w:rsidP="00433A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Style w:val="element-citation"/>
          <w:rFonts w:cstheme="minorHAnsi"/>
          <w:bCs/>
          <w:i/>
        </w:rPr>
      </w:pPr>
      <w:proofErr w:type="spellStart"/>
      <w:r w:rsidRPr="00C246F5">
        <w:rPr>
          <w:rStyle w:val="element-citation"/>
          <w:rFonts w:cstheme="minorHAnsi"/>
          <w:i/>
          <w:lang w:val="en"/>
        </w:rPr>
        <w:t>Behjati</w:t>
      </w:r>
      <w:proofErr w:type="spellEnd"/>
      <w:r w:rsidRPr="00C246F5">
        <w:rPr>
          <w:rStyle w:val="element-citation"/>
          <w:rFonts w:cstheme="minorHAnsi"/>
          <w:i/>
          <w:lang w:val="en"/>
        </w:rPr>
        <w:t xml:space="preserve"> S, </w:t>
      </w:r>
      <w:proofErr w:type="spellStart"/>
      <w:r w:rsidRPr="00C246F5">
        <w:rPr>
          <w:rStyle w:val="element-citation"/>
          <w:rFonts w:cstheme="minorHAnsi"/>
          <w:i/>
          <w:lang w:val="en"/>
        </w:rPr>
        <w:t>Tarpey</w:t>
      </w:r>
      <w:proofErr w:type="spellEnd"/>
      <w:r w:rsidRPr="00C246F5">
        <w:rPr>
          <w:rStyle w:val="element-citation"/>
          <w:rFonts w:cstheme="minorHAnsi"/>
          <w:i/>
          <w:lang w:val="en"/>
        </w:rPr>
        <w:t xml:space="preserve"> PS. What is next generation sequencing? </w:t>
      </w:r>
      <w:r w:rsidRPr="00C246F5">
        <w:rPr>
          <w:rStyle w:val="ref-journal"/>
          <w:rFonts w:cstheme="minorHAnsi"/>
          <w:i/>
          <w:lang w:val="en"/>
        </w:rPr>
        <w:t xml:space="preserve">Arch. Dis. Child. Educ. Pract. Ed. </w:t>
      </w:r>
      <w:r w:rsidRPr="00C246F5">
        <w:rPr>
          <w:rStyle w:val="element-citation"/>
          <w:rFonts w:cstheme="minorHAnsi"/>
          <w:i/>
          <w:lang w:val="en"/>
        </w:rPr>
        <w:t>2013;</w:t>
      </w:r>
      <w:r w:rsidRPr="00C246F5">
        <w:rPr>
          <w:rStyle w:val="ref-vol"/>
          <w:rFonts w:cstheme="minorHAnsi"/>
          <w:i/>
          <w:lang w:val="en"/>
        </w:rPr>
        <w:t>98</w:t>
      </w:r>
      <w:r w:rsidRPr="00C246F5">
        <w:rPr>
          <w:rStyle w:val="element-citation"/>
          <w:rFonts w:cstheme="minorHAnsi"/>
          <w:i/>
          <w:lang w:val="en"/>
        </w:rPr>
        <w:t>(6):236–8</w:t>
      </w:r>
    </w:p>
    <w:p w14:paraId="252FAA1E" w14:textId="1A13B6E6" w:rsidR="00905353" w:rsidRPr="00C246F5" w:rsidRDefault="008E372D" w:rsidP="00433AE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rPr>
          <w:rFonts w:cstheme="minorHAnsi"/>
          <w:bCs/>
          <w:i/>
        </w:rPr>
      </w:pPr>
      <w:r w:rsidRPr="00C246F5">
        <w:rPr>
          <w:rFonts w:cstheme="minorHAnsi"/>
          <w:bCs/>
          <w:i/>
        </w:rPr>
        <w:t xml:space="preserve">Ellard S, </w:t>
      </w:r>
      <w:r w:rsidR="00421F26" w:rsidRPr="00C246F5">
        <w:rPr>
          <w:rFonts w:cstheme="minorHAnsi"/>
          <w:bCs/>
          <w:i/>
        </w:rPr>
        <w:t>Baple</w:t>
      </w:r>
      <w:r w:rsidRPr="00C246F5">
        <w:rPr>
          <w:rFonts w:cstheme="minorHAnsi"/>
          <w:bCs/>
          <w:i/>
        </w:rPr>
        <w:t xml:space="preserve"> EL, Berry I</w:t>
      </w:r>
      <w:r w:rsidR="00421F26" w:rsidRPr="00C246F5">
        <w:rPr>
          <w:rFonts w:cstheme="minorHAnsi"/>
          <w:bCs/>
          <w:i/>
        </w:rPr>
        <w:t xml:space="preserve">, </w:t>
      </w:r>
      <w:r w:rsidRPr="00C246F5">
        <w:rPr>
          <w:rFonts w:cstheme="minorHAnsi"/>
          <w:bCs/>
          <w:i/>
        </w:rPr>
        <w:t>Forrester N</w:t>
      </w:r>
      <w:r w:rsidR="00421F26" w:rsidRPr="00C246F5">
        <w:rPr>
          <w:rFonts w:cstheme="minorHAnsi"/>
          <w:bCs/>
          <w:i/>
        </w:rPr>
        <w:t>,</w:t>
      </w:r>
      <w:r w:rsidRPr="00C246F5">
        <w:rPr>
          <w:rFonts w:cstheme="minorHAnsi"/>
          <w:bCs/>
          <w:i/>
        </w:rPr>
        <w:t xml:space="preserve"> Turnbull C, Owens M, et al. Association for Clinical </w:t>
      </w:r>
      <w:r w:rsidR="0086739B" w:rsidRPr="00C246F5">
        <w:rPr>
          <w:rFonts w:cstheme="minorHAnsi"/>
          <w:bCs/>
          <w:i/>
        </w:rPr>
        <w:t>Genomic Science</w:t>
      </w:r>
      <w:r w:rsidRPr="00C246F5">
        <w:rPr>
          <w:rFonts w:cstheme="minorHAnsi"/>
          <w:bCs/>
          <w:i/>
        </w:rPr>
        <w:t>. Best Practice Guidelines for Variant Classification 2019.</w:t>
      </w:r>
      <w:r w:rsidR="00B90329" w:rsidRPr="00C246F5">
        <w:rPr>
          <w:rFonts w:cstheme="minorHAnsi"/>
          <w:bCs/>
          <w:i/>
        </w:rPr>
        <w:t xml:space="preserve"> Available from:</w:t>
      </w:r>
      <w:r w:rsidR="00B90329" w:rsidRPr="00C246F5">
        <w:rPr>
          <w:rFonts w:cstheme="minorHAnsi"/>
          <w:i/>
        </w:rPr>
        <w:t xml:space="preserve"> </w:t>
      </w:r>
      <w:hyperlink r:id="rId8" w:history="1">
        <w:r w:rsidR="00B90329" w:rsidRPr="00C246F5">
          <w:rPr>
            <w:rStyle w:val="Hyperlink"/>
            <w:rFonts w:cstheme="minorHAnsi"/>
            <w:bCs/>
            <w:i/>
            <w:color w:val="auto"/>
            <w:u w:val="none"/>
          </w:rPr>
          <w:t>https://www.acgs.uk.com/quality/best-practice-guidelines/</w:t>
        </w:r>
      </w:hyperlink>
      <w:r w:rsidR="00B90329" w:rsidRPr="00C246F5">
        <w:rPr>
          <w:rFonts w:cstheme="minorHAnsi"/>
          <w:bCs/>
          <w:i/>
        </w:rPr>
        <w:t xml:space="preserve"> [Accessed 1</w:t>
      </w:r>
      <w:r w:rsidR="00B90329" w:rsidRPr="00C246F5">
        <w:rPr>
          <w:rFonts w:cstheme="minorHAnsi"/>
          <w:bCs/>
          <w:i/>
          <w:vertAlign w:val="superscript"/>
        </w:rPr>
        <w:t>st</w:t>
      </w:r>
      <w:r w:rsidR="00B90329" w:rsidRPr="00C246F5">
        <w:rPr>
          <w:rFonts w:cstheme="minorHAnsi"/>
          <w:bCs/>
          <w:i/>
        </w:rPr>
        <w:t xml:space="preserve"> August 2020].</w:t>
      </w:r>
    </w:p>
    <w:sectPr w:rsidR="00905353" w:rsidRPr="00C246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478"/>
    <w:multiLevelType w:val="multilevel"/>
    <w:tmpl w:val="546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80EDA"/>
    <w:multiLevelType w:val="hybridMultilevel"/>
    <w:tmpl w:val="BE5A3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10C60"/>
    <w:multiLevelType w:val="hybridMultilevel"/>
    <w:tmpl w:val="2A126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665C9"/>
    <w:multiLevelType w:val="hybridMultilevel"/>
    <w:tmpl w:val="2A126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53844"/>
    <w:multiLevelType w:val="hybridMultilevel"/>
    <w:tmpl w:val="577CA6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44B91"/>
    <w:multiLevelType w:val="hybridMultilevel"/>
    <w:tmpl w:val="82B6F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22D1"/>
    <w:multiLevelType w:val="hybridMultilevel"/>
    <w:tmpl w:val="2A126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818C8"/>
    <w:multiLevelType w:val="hybridMultilevel"/>
    <w:tmpl w:val="FBEC2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05D1B"/>
    <w:multiLevelType w:val="hybridMultilevel"/>
    <w:tmpl w:val="87C40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CD"/>
    <w:rsid w:val="00021570"/>
    <w:rsid w:val="00023F27"/>
    <w:rsid w:val="00037160"/>
    <w:rsid w:val="0006732B"/>
    <w:rsid w:val="00076BA5"/>
    <w:rsid w:val="00087DF8"/>
    <w:rsid w:val="000937EB"/>
    <w:rsid w:val="000A5362"/>
    <w:rsid w:val="000A59C3"/>
    <w:rsid w:val="000B13E8"/>
    <w:rsid w:val="000B25D4"/>
    <w:rsid w:val="000D30C9"/>
    <w:rsid w:val="000D628A"/>
    <w:rsid w:val="000F098A"/>
    <w:rsid w:val="000F6AA7"/>
    <w:rsid w:val="00125381"/>
    <w:rsid w:val="00126094"/>
    <w:rsid w:val="001472A1"/>
    <w:rsid w:val="00154393"/>
    <w:rsid w:val="00173D5D"/>
    <w:rsid w:val="0018471E"/>
    <w:rsid w:val="001B588A"/>
    <w:rsid w:val="001B60CB"/>
    <w:rsid w:val="001C1C43"/>
    <w:rsid w:val="001C665C"/>
    <w:rsid w:val="001F0D9F"/>
    <w:rsid w:val="00246D08"/>
    <w:rsid w:val="00255F9D"/>
    <w:rsid w:val="0026609D"/>
    <w:rsid w:val="00273E04"/>
    <w:rsid w:val="0028557B"/>
    <w:rsid w:val="00291323"/>
    <w:rsid w:val="002B1154"/>
    <w:rsid w:val="002C19B2"/>
    <w:rsid w:val="002E5000"/>
    <w:rsid w:val="002F722B"/>
    <w:rsid w:val="002F74B1"/>
    <w:rsid w:val="003058A7"/>
    <w:rsid w:val="00315BCC"/>
    <w:rsid w:val="00321645"/>
    <w:rsid w:val="00325818"/>
    <w:rsid w:val="00357B56"/>
    <w:rsid w:val="00363659"/>
    <w:rsid w:val="00380B57"/>
    <w:rsid w:val="0039073E"/>
    <w:rsid w:val="003D1ACE"/>
    <w:rsid w:val="003D7774"/>
    <w:rsid w:val="0041028F"/>
    <w:rsid w:val="00421F26"/>
    <w:rsid w:val="00422AAD"/>
    <w:rsid w:val="00430FEC"/>
    <w:rsid w:val="00433AEC"/>
    <w:rsid w:val="00460847"/>
    <w:rsid w:val="004653BB"/>
    <w:rsid w:val="00474220"/>
    <w:rsid w:val="0048023C"/>
    <w:rsid w:val="0048538B"/>
    <w:rsid w:val="004910AD"/>
    <w:rsid w:val="00493E3E"/>
    <w:rsid w:val="004B56B5"/>
    <w:rsid w:val="004C1223"/>
    <w:rsid w:val="004D3DCD"/>
    <w:rsid w:val="00546C37"/>
    <w:rsid w:val="0056340F"/>
    <w:rsid w:val="00567F08"/>
    <w:rsid w:val="00597F0D"/>
    <w:rsid w:val="005C7123"/>
    <w:rsid w:val="00601245"/>
    <w:rsid w:val="0060416F"/>
    <w:rsid w:val="0064253B"/>
    <w:rsid w:val="00653B87"/>
    <w:rsid w:val="00657986"/>
    <w:rsid w:val="006652F5"/>
    <w:rsid w:val="00687CE6"/>
    <w:rsid w:val="00695077"/>
    <w:rsid w:val="006C72A8"/>
    <w:rsid w:val="006E47FB"/>
    <w:rsid w:val="0070758D"/>
    <w:rsid w:val="0074160A"/>
    <w:rsid w:val="00762325"/>
    <w:rsid w:val="00765D25"/>
    <w:rsid w:val="00780379"/>
    <w:rsid w:val="00797FBC"/>
    <w:rsid w:val="007C4DAB"/>
    <w:rsid w:val="007D59CB"/>
    <w:rsid w:val="007F1034"/>
    <w:rsid w:val="00802781"/>
    <w:rsid w:val="008175F4"/>
    <w:rsid w:val="008260C8"/>
    <w:rsid w:val="00840719"/>
    <w:rsid w:val="00847F45"/>
    <w:rsid w:val="00852CBE"/>
    <w:rsid w:val="00853722"/>
    <w:rsid w:val="0085595F"/>
    <w:rsid w:val="0086739B"/>
    <w:rsid w:val="00875011"/>
    <w:rsid w:val="00887F19"/>
    <w:rsid w:val="008D1907"/>
    <w:rsid w:val="008E372D"/>
    <w:rsid w:val="008E6578"/>
    <w:rsid w:val="00905353"/>
    <w:rsid w:val="0093390B"/>
    <w:rsid w:val="00965F58"/>
    <w:rsid w:val="00976F8F"/>
    <w:rsid w:val="00985329"/>
    <w:rsid w:val="009A5B6A"/>
    <w:rsid w:val="009B2639"/>
    <w:rsid w:val="009C68C6"/>
    <w:rsid w:val="00A12AA3"/>
    <w:rsid w:val="00A374C5"/>
    <w:rsid w:val="00A621AB"/>
    <w:rsid w:val="00A62A4A"/>
    <w:rsid w:val="00A92C30"/>
    <w:rsid w:val="00AA7D62"/>
    <w:rsid w:val="00AE2FB9"/>
    <w:rsid w:val="00AF6184"/>
    <w:rsid w:val="00B42EF5"/>
    <w:rsid w:val="00B529C9"/>
    <w:rsid w:val="00B6120E"/>
    <w:rsid w:val="00B65304"/>
    <w:rsid w:val="00B90329"/>
    <w:rsid w:val="00BD673E"/>
    <w:rsid w:val="00BF5111"/>
    <w:rsid w:val="00C12709"/>
    <w:rsid w:val="00C246F5"/>
    <w:rsid w:val="00C30C8B"/>
    <w:rsid w:val="00C45AB8"/>
    <w:rsid w:val="00C47449"/>
    <w:rsid w:val="00C51D58"/>
    <w:rsid w:val="00CA2DF0"/>
    <w:rsid w:val="00CC476F"/>
    <w:rsid w:val="00CF6466"/>
    <w:rsid w:val="00CF7F75"/>
    <w:rsid w:val="00D0091B"/>
    <w:rsid w:val="00D06AE9"/>
    <w:rsid w:val="00D25B07"/>
    <w:rsid w:val="00D27C4A"/>
    <w:rsid w:val="00D4194F"/>
    <w:rsid w:val="00D67FB7"/>
    <w:rsid w:val="00D76AF6"/>
    <w:rsid w:val="00D94F8F"/>
    <w:rsid w:val="00D96754"/>
    <w:rsid w:val="00DA36BE"/>
    <w:rsid w:val="00DB6356"/>
    <w:rsid w:val="00DF1638"/>
    <w:rsid w:val="00E02972"/>
    <w:rsid w:val="00E41007"/>
    <w:rsid w:val="00E47EE8"/>
    <w:rsid w:val="00E640DB"/>
    <w:rsid w:val="00E657DE"/>
    <w:rsid w:val="00E6682E"/>
    <w:rsid w:val="00E774FA"/>
    <w:rsid w:val="00E82818"/>
    <w:rsid w:val="00EE1663"/>
    <w:rsid w:val="00EE6DB7"/>
    <w:rsid w:val="00F1782F"/>
    <w:rsid w:val="00F179FB"/>
    <w:rsid w:val="00F3375C"/>
    <w:rsid w:val="00F902A4"/>
    <w:rsid w:val="00FC25D7"/>
    <w:rsid w:val="00FD24B6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4532"/>
  <w15:docId w15:val="{65D9E168-8C36-284F-BCDE-49EADDBC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3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73D5D"/>
    <w:rPr>
      <w:b/>
      <w:bCs/>
    </w:rPr>
  </w:style>
  <w:style w:type="character" w:styleId="Hyperlink">
    <w:name w:val="Hyperlink"/>
    <w:basedOn w:val="DefaultParagraphFont"/>
    <w:uiPriority w:val="99"/>
    <w:unhideWhenUsed/>
    <w:rsid w:val="00493E3E"/>
    <w:rPr>
      <w:color w:val="0000FF" w:themeColor="hyperlink"/>
      <w:u w:val="single"/>
    </w:rPr>
  </w:style>
  <w:style w:type="paragraph" w:customStyle="1" w:styleId="Default">
    <w:name w:val="Default"/>
    <w:rsid w:val="00421F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05353"/>
    <w:rPr>
      <w:color w:val="800080" w:themeColor="followedHyperlink"/>
      <w:u w:val="single"/>
    </w:rPr>
  </w:style>
  <w:style w:type="character" w:customStyle="1" w:styleId="element-citation">
    <w:name w:val="element-citation"/>
    <w:basedOn w:val="DefaultParagraphFont"/>
    <w:rsid w:val="00905353"/>
  </w:style>
  <w:style w:type="character" w:customStyle="1" w:styleId="ref-journal">
    <w:name w:val="ref-journal"/>
    <w:basedOn w:val="DefaultParagraphFont"/>
    <w:rsid w:val="00905353"/>
  </w:style>
  <w:style w:type="character" w:customStyle="1" w:styleId="ref-vol">
    <w:name w:val="ref-vol"/>
    <w:basedOn w:val="DefaultParagraphFont"/>
    <w:rsid w:val="00905353"/>
  </w:style>
  <w:style w:type="paragraph" w:styleId="BalloonText">
    <w:name w:val="Balloon Text"/>
    <w:basedOn w:val="Normal"/>
    <w:link w:val="BalloonTextChar"/>
    <w:uiPriority w:val="99"/>
    <w:semiHidden/>
    <w:unhideWhenUsed/>
    <w:rsid w:val="0035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B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6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8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gs.uk.com/quality/best-practice-guidelin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sets.publishing.service.gov.uk/government/uploads/system/uploads/attachment_data/file/920378/Genome_UK_-_the_future_of_healthca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genomics/nhs-genomic-med-service/" TargetMode="External"/><Relationship Id="rId5" Type="http://schemas.openxmlformats.org/officeDocument/2006/relationships/hyperlink" Target="mailto:d.baralle@soton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1948</Words>
  <Characters>9492</Characters>
  <Application>Microsoft Office Word</Application>
  <DocSecurity>4</DocSecurity>
  <Lines>263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Ismail, Vardha</dc:creator>
  <cp:lastModifiedBy>Carolyn Wallis</cp:lastModifiedBy>
  <cp:revision>2</cp:revision>
  <dcterms:created xsi:type="dcterms:W3CDTF">2020-10-15T08:22:00Z</dcterms:created>
  <dcterms:modified xsi:type="dcterms:W3CDTF">2020-10-15T08:22:00Z</dcterms:modified>
</cp:coreProperties>
</file>