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2977"/>
        <w:gridCol w:w="3402"/>
        <w:gridCol w:w="3118"/>
        <w:gridCol w:w="3402"/>
      </w:tblGrid>
      <w:tr w:rsidR="00C87CDD" w:rsidRPr="00E17EE0" w14:paraId="63300A04" w14:textId="77777777" w:rsidTr="00265A3C">
        <w:trPr>
          <w:cantSplit/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14:paraId="5390EEA3" w14:textId="77777777" w:rsidR="00C87CDD" w:rsidRPr="00BA3B56" w:rsidRDefault="00C87CDD">
            <w:pPr>
              <w:rPr>
                <w:b/>
              </w:rPr>
            </w:pPr>
            <w:bookmarkStart w:id="0" w:name="_Hlk46738435"/>
            <w:bookmarkStart w:id="1" w:name="_GoBack"/>
            <w:bookmarkEnd w:id="1"/>
            <w:r w:rsidRPr="00BA3B56">
              <w:rPr>
                <w:b/>
              </w:rPr>
              <w:t>Study</w:t>
            </w:r>
          </w:p>
          <w:p w14:paraId="7A1FBFC0" w14:textId="77777777" w:rsidR="00C87CDD" w:rsidRPr="00DE17CB" w:rsidRDefault="00C87CDD">
            <w:pPr>
              <w:rPr>
                <w:sz w:val="18"/>
                <w:szCs w:val="18"/>
              </w:rPr>
            </w:pPr>
            <w:r w:rsidRPr="00DE17CB">
              <w:rPr>
                <w:sz w:val="18"/>
                <w:szCs w:val="18"/>
              </w:rPr>
              <w:t>Setting, sample size, design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0C0F1A" w14:textId="2670F07F" w:rsidR="00C87CDD" w:rsidRPr="00BA3B56" w:rsidRDefault="00C87CDD">
            <w:pPr>
              <w:rPr>
                <w:b/>
              </w:rPr>
            </w:pPr>
            <w:r w:rsidRPr="00BA3B56">
              <w:rPr>
                <w:b/>
              </w:rPr>
              <w:t>Intervention</w:t>
            </w:r>
            <w:r w:rsidR="002606ED">
              <w:rPr>
                <w:b/>
              </w:rPr>
              <w:t xml:space="preserve"> and</w:t>
            </w:r>
            <w:r w:rsidR="00A73BB0">
              <w:rPr>
                <w:b/>
              </w:rPr>
              <w:t xml:space="preserve"> </w:t>
            </w:r>
            <w:r w:rsidR="00AF631A">
              <w:rPr>
                <w:b/>
              </w:rPr>
              <w:t>Comparator</w:t>
            </w:r>
          </w:p>
          <w:p w14:paraId="7CAC3714" w14:textId="7AE02BD4" w:rsidR="00C87CDD" w:rsidRPr="00DE17CB" w:rsidRDefault="00C87CDD">
            <w:pPr>
              <w:rPr>
                <w:sz w:val="18"/>
                <w:szCs w:val="18"/>
              </w:rPr>
            </w:pPr>
            <w:r w:rsidRPr="00DE17CB">
              <w:rPr>
                <w:sz w:val="18"/>
                <w:szCs w:val="18"/>
              </w:rPr>
              <w:t>PROM, training, feedback</w:t>
            </w:r>
            <w:r w:rsidR="00422362">
              <w:rPr>
                <w:sz w:val="18"/>
                <w:szCs w:val="18"/>
              </w:rPr>
              <w:t>, control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5C9E3E9" w14:textId="77777777" w:rsidR="00C87CDD" w:rsidRPr="00BA3B56" w:rsidRDefault="008256D9">
            <w:pPr>
              <w:rPr>
                <w:b/>
              </w:rPr>
            </w:pPr>
            <w:r w:rsidRPr="00BA3B56">
              <w:rPr>
                <w:b/>
              </w:rPr>
              <w:t>Outcomes</w:t>
            </w:r>
          </w:p>
          <w:p w14:paraId="5D396657" w14:textId="77777777" w:rsidR="00BD0C98" w:rsidRPr="00DE17CB" w:rsidRDefault="008256D9" w:rsidP="008256D9">
            <w:pPr>
              <w:rPr>
                <w:sz w:val="18"/>
                <w:szCs w:val="18"/>
              </w:rPr>
            </w:pPr>
            <w:r w:rsidRPr="00DE17CB">
              <w:rPr>
                <w:sz w:val="18"/>
                <w:szCs w:val="18"/>
              </w:rPr>
              <w:t>Measures, time points, precision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180BD1" w14:textId="50335CB3" w:rsidR="00C87CDD" w:rsidRPr="00BA3B56" w:rsidRDefault="002606ED">
            <w:pPr>
              <w:rPr>
                <w:b/>
              </w:rPr>
            </w:pPr>
            <w:r>
              <w:rPr>
                <w:b/>
              </w:rPr>
              <w:t xml:space="preserve">Strengths and </w:t>
            </w:r>
            <w:r w:rsidR="006D72D2" w:rsidRPr="00BA3B56">
              <w:rPr>
                <w:b/>
              </w:rPr>
              <w:t>l</w:t>
            </w:r>
            <w:r w:rsidR="00C87CDD" w:rsidRPr="00BA3B56">
              <w:rPr>
                <w:b/>
              </w:rPr>
              <w:t>imitations</w:t>
            </w:r>
          </w:p>
          <w:p w14:paraId="7B8A468F" w14:textId="06FDB5DF" w:rsidR="008256D9" w:rsidRPr="00DE17CB" w:rsidRDefault="008256D9">
            <w:pPr>
              <w:rPr>
                <w:sz w:val="18"/>
                <w:szCs w:val="18"/>
              </w:rPr>
            </w:pPr>
            <w:r w:rsidRPr="00DE17CB">
              <w:rPr>
                <w:sz w:val="18"/>
                <w:szCs w:val="18"/>
              </w:rPr>
              <w:t>Power, allocation</w:t>
            </w:r>
            <w:r w:rsidR="00496FEF">
              <w:rPr>
                <w:sz w:val="18"/>
                <w:szCs w:val="18"/>
              </w:rPr>
              <w:t xml:space="preserve"> to arm</w:t>
            </w:r>
            <w:r w:rsidRPr="00DE17CB">
              <w:rPr>
                <w:sz w:val="18"/>
                <w:szCs w:val="18"/>
              </w:rPr>
              <w:t xml:space="preserve">, </w:t>
            </w:r>
            <w:r w:rsidR="00D12F4B">
              <w:rPr>
                <w:sz w:val="18"/>
                <w:szCs w:val="18"/>
              </w:rPr>
              <w:t xml:space="preserve">risk of </w:t>
            </w:r>
            <w:r w:rsidRPr="00DE17CB">
              <w:rPr>
                <w:sz w:val="18"/>
                <w:szCs w:val="18"/>
              </w:rPr>
              <w:t>bias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FF2FCF" w14:textId="77777777" w:rsidR="002606ED" w:rsidRDefault="00422362" w:rsidP="00422362">
            <w:pPr>
              <w:rPr>
                <w:b/>
              </w:rPr>
            </w:pPr>
            <w:r>
              <w:rPr>
                <w:b/>
              </w:rPr>
              <w:t xml:space="preserve">Study </w:t>
            </w:r>
            <w:r w:rsidR="00912816">
              <w:rPr>
                <w:b/>
              </w:rPr>
              <w:t xml:space="preserve">summary and </w:t>
            </w:r>
            <w:r>
              <w:rPr>
                <w:b/>
              </w:rPr>
              <w:t>c</w:t>
            </w:r>
            <w:r w:rsidR="00C87CDD" w:rsidRPr="00BA3B56">
              <w:rPr>
                <w:b/>
              </w:rPr>
              <w:t>onclusions</w:t>
            </w:r>
            <w:r w:rsidR="00276E23">
              <w:rPr>
                <w:b/>
              </w:rPr>
              <w:t xml:space="preserve"> </w:t>
            </w:r>
          </w:p>
          <w:p w14:paraId="02C1E30D" w14:textId="765331A4" w:rsidR="00AD72D9" w:rsidRPr="002606ED" w:rsidRDefault="007A665D" w:rsidP="00422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Rating of </w:t>
            </w:r>
            <w:r w:rsidR="00AD72D9">
              <w:rPr>
                <w:sz w:val="18"/>
                <w:szCs w:val="18"/>
              </w:rPr>
              <w:t>study quality</w:t>
            </w:r>
          </w:p>
        </w:tc>
      </w:tr>
      <w:bookmarkEnd w:id="0"/>
      <w:tr w:rsidR="00A6345C" w:rsidRPr="00E17EE0" w14:paraId="1E58E3C2" w14:textId="77777777" w:rsidTr="00265A3C">
        <w:trPr>
          <w:cantSplit/>
        </w:trPr>
        <w:tc>
          <w:tcPr>
            <w:tcW w:w="5524" w:type="dxa"/>
            <w:gridSpan w:val="2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C740DE6" w14:textId="668F17D1" w:rsidR="00A6345C" w:rsidRPr="00BA3B56" w:rsidRDefault="00A6345C">
            <w:pPr>
              <w:rPr>
                <w:b/>
              </w:rPr>
            </w:pPr>
            <w:r>
              <w:rPr>
                <w:b/>
              </w:rPr>
              <w:t>Systematic reviews</w:t>
            </w:r>
            <w:r w:rsidR="00056929">
              <w:rPr>
                <w:b/>
              </w:rPr>
              <w:t>,</w:t>
            </w:r>
            <w:r>
              <w:rPr>
                <w:b/>
              </w:rPr>
              <w:t xml:space="preserve"> meta-analyses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B4614CF" w14:textId="77777777" w:rsidR="00A6345C" w:rsidRPr="00BA3B56" w:rsidRDefault="00A6345C">
            <w:pPr>
              <w:rPr>
                <w:b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A992463" w14:textId="77777777" w:rsidR="00A6345C" w:rsidRDefault="00A6345C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4015C5FA" w14:textId="77777777" w:rsidR="00A6345C" w:rsidRDefault="00A6345C" w:rsidP="00422362">
            <w:pPr>
              <w:rPr>
                <w:b/>
              </w:rPr>
            </w:pPr>
          </w:p>
        </w:tc>
      </w:tr>
      <w:tr w:rsidR="001332E5" w:rsidRPr="00E17EE0" w14:paraId="619DB772" w14:textId="77777777" w:rsidTr="00265A3C">
        <w:trPr>
          <w:cantSplit/>
        </w:trPr>
        <w:tc>
          <w:tcPr>
            <w:tcW w:w="2547" w:type="dxa"/>
            <w:tcBorders>
              <w:right w:val="nil"/>
            </w:tcBorders>
            <w:shd w:val="clear" w:color="auto" w:fill="FFE599" w:themeFill="accent4" w:themeFillTint="66"/>
          </w:tcPr>
          <w:p w14:paraId="2008E71F" w14:textId="1CFAC590" w:rsidR="001332E5" w:rsidRPr="001332E5" w:rsidRDefault="001332E5">
            <w:pPr>
              <w:rPr>
                <w:bCs/>
                <w:i/>
                <w:iCs/>
              </w:rPr>
            </w:pPr>
            <w:r w:rsidRPr="001332E5">
              <w:rPr>
                <w:bCs/>
                <w:i/>
                <w:iCs/>
              </w:rPr>
              <w:t>Any setting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097477D" w14:textId="77777777" w:rsidR="001332E5" w:rsidRPr="00BA3B56" w:rsidRDefault="001332E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69E34DE" w14:textId="77777777" w:rsidR="001332E5" w:rsidRPr="00BA3B56" w:rsidRDefault="001332E5">
            <w:pPr>
              <w:rPr>
                <w:b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E5EF3CD" w14:textId="77777777" w:rsidR="001332E5" w:rsidRDefault="001332E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2BBBE06E" w14:textId="77777777" w:rsidR="001332E5" w:rsidRDefault="001332E5" w:rsidP="00422362">
            <w:pPr>
              <w:rPr>
                <w:b/>
              </w:rPr>
            </w:pPr>
          </w:p>
        </w:tc>
      </w:tr>
      <w:tr w:rsidR="001332E5" w:rsidRPr="00E17EE0" w14:paraId="44865B60" w14:textId="77777777" w:rsidTr="00265A3C">
        <w:trPr>
          <w:cantSplit/>
        </w:trPr>
        <w:tc>
          <w:tcPr>
            <w:tcW w:w="2547" w:type="dxa"/>
          </w:tcPr>
          <w:p w14:paraId="7585D529" w14:textId="159DF851" w:rsidR="001332E5" w:rsidRDefault="00265A3C">
            <w:pPr>
              <w:rPr>
                <w:b/>
              </w:rPr>
            </w:pPr>
            <w:r>
              <w:rPr>
                <w:b/>
              </w:rPr>
              <w:t>Kendrick et al 2016</w:t>
            </w:r>
            <w:r w:rsidR="00324EF3" w:rsidRPr="00324EF3">
              <w:rPr>
                <w:bCs/>
                <w:vertAlign w:val="superscript"/>
              </w:rPr>
              <w:t>2</w:t>
            </w:r>
          </w:p>
          <w:p w14:paraId="1AAF41BE" w14:textId="726373A9" w:rsidR="0093387C" w:rsidRDefault="001154C4" w:rsidP="005B0011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>
              <w:rPr>
                <w:rFonts w:ascii="SourceSansPro-Regular" w:hAnsi="SourceSansPro-Regular" w:cs="SourceSansPro-Regular"/>
                <w:sz w:val="18"/>
                <w:szCs w:val="18"/>
              </w:rPr>
              <w:t>M</w:t>
            </w:r>
            <w:r w:rsidR="0093387C">
              <w:rPr>
                <w:rFonts w:ascii="SourceSansPro-Regular" w:hAnsi="SourceSansPro-Regular" w:cs="SourceSansPro-Regular"/>
                <w:sz w:val="18"/>
                <w:szCs w:val="18"/>
              </w:rPr>
              <w:t>ultidisciplinary mental health care, psychological therapy settings, primary care.</w:t>
            </w:r>
          </w:p>
          <w:p w14:paraId="45237E12" w14:textId="38619F85" w:rsidR="00C81581" w:rsidRPr="005B0011" w:rsidRDefault="0093387C" w:rsidP="005B0011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>
              <w:rPr>
                <w:rFonts w:ascii="SourceSansPro-Regular" w:hAnsi="SourceSansPro-Regular" w:cs="SourceSansPro-Regular"/>
                <w:sz w:val="18"/>
                <w:szCs w:val="18"/>
              </w:rPr>
              <w:t>N=</w:t>
            </w:r>
            <w:r w:rsidR="005B0011">
              <w:rPr>
                <w:rFonts w:ascii="SourceSansPro-Regular" w:hAnsi="SourceSansPro-Regular" w:cs="SourceSansPro-Regular"/>
                <w:sz w:val="18"/>
                <w:szCs w:val="18"/>
              </w:rPr>
              <w:t>17 studies (8787 participants)</w:t>
            </w:r>
          </w:p>
          <w:p w14:paraId="211E6037" w14:textId="39974FE0" w:rsidR="00C81581" w:rsidRPr="005B0011" w:rsidRDefault="00C81581">
            <w:pPr>
              <w:rPr>
                <w:bCs/>
                <w:sz w:val="18"/>
                <w:szCs w:val="18"/>
              </w:rPr>
            </w:pPr>
            <w:r w:rsidRPr="005B0011">
              <w:rPr>
                <w:bCs/>
                <w:sz w:val="18"/>
                <w:szCs w:val="18"/>
              </w:rPr>
              <w:t>Systematic review</w:t>
            </w:r>
            <w:r w:rsidR="0080696D">
              <w:rPr>
                <w:bCs/>
                <w:sz w:val="18"/>
                <w:szCs w:val="18"/>
              </w:rPr>
              <w:t xml:space="preserve"> of </w:t>
            </w:r>
            <w:r w:rsidR="005B0011" w:rsidRPr="005B0011">
              <w:rPr>
                <w:bCs/>
                <w:sz w:val="18"/>
                <w:szCs w:val="18"/>
              </w:rPr>
              <w:t xml:space="preserve">RCTs </w:t>
            </w:r>
            <w:r w:rsidR="005B0011">
              <w:rPr>
                <w:bCs/>
                <w:sz w:val="18"/>
                <w:szCs w:val="18"/>
              </w:rPr>
              <w:t>only in adults with common mental health disorders</w:t>
            </w:r>
            <w:r w:rsidR="001837E3">
              <w:rPr>
                <w:bCs/>
                <w:sz w:val="18"/>
                <w:szCs w:val="18"/>
              </w:rPr>
              <w:t xml:space="preserve"> (excluding </w:t>
            </w:r>
            <w:r w:rsidR="00BA4827">
              <w:rPr>
                <w:bCs/>
                <w:sz w:val="18"/>
                <w:szCs w:val="18"/>
              </w:rPr>
              <w:t xml:space="preserve">studies with &gt;10% </w:t>
            </w:r>
            <w:r w:rsidR="00184AC3">
              <w:rPr>
                <w:bCs/>
                <w:sz w:val="18"/>
                <w:szCs w:val="18"/>
              </w:rPr>
              <w:t xml:space="preserve">participants with </w:t>
            </w:r>
            <w:r w:rsidR="00BA4827">
              <w:rPr>
                <w:bCs/>
                <w:sz w:val="18"/>
                <w:szCs w:val="18"/>
              </w:rPr>
              <w:t xml:space="preserve">psychoses, </w:t>
            </w:r>
            <w:r w:rsidR="001837E3">
              <w:rPr>
                <w:bCs/>
                <w:sz w:val="18"/>
                <w:szCs w:val="18"/>
              </w:rPr>
              <w:t>dementia</w:t>
            </w:r>
            <w:r w:rsidR="00BA4827">
              <w:rPr>
                <w:bCs/>
                <w:sz w:val="18"/>
                <w:szCs w:val="18"/>
              </w:rPr>
              <w:t xml:space="preserve"> or eating disorders</w:t>
            </w:r>
            <w:r w:rsidR="001837E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FED8C81" w14:textId="77777777" w:rsidR="00703228" w:rsidRDefault="00C31902" w:rsidP="00FC20E4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 w:rsidRPr="00AD72D9">
              <w:rPr>
                <w:b/>
                <w:sz w:val="18"/>
                <w:szCs w:val="18"/>
              </w:rPr>
              <w:t>PROM:</w:t>
            </w:r>
            <w:r w:rsidR="00636B25">
              <w:rPr>
                <w:b/>
              </w:rPr>
              <w:t xml:space="preserve"> 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>self</w:t>
            </w:r>
            <w:r w:rsidR="00FC20E4">
              <w:rPr>
                <w:rFonts w:ascii="SourceSansPro-Regular" w:hAnsi="SourceSansPro-Regular" w:cs="SourceSansPro-Regular"/>
                <w:sz w:val="18"/>
                <w:szCs w:val="18"/>
              </w:rPr>
              <w:t>-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>complete</w:t>
            </w:r>
            <w:r w:rsidR="00FC20E4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>or administered measures of:</w:t>
            </w:r>
            <w:r w:rsidR="00703228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</w:p>
          <w:p w14:paraId="44C7AA70" w14:textId="005D02A9" w:rsidR="00703228" w:rsidRDefault="00636B25" w:rsidP="007032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 w:rsidRPr="00703228">
              <w:rPr>
                <w:rFonts w:ascii="SourceSansPro-Regular" w:hAnsi="SourceSansPro-Regular" w:cs="SourceSansPro-Regular"/>
                <w:sz w:val="18"/>
                <w:szCs w:val="18"/>
              </w:rPr>
              <w:t>depressive symptom</w:t>
            </w:r>
            <w:r w:rsidR="00E52E10">
              <w:rPr>
                <w:rFonts w:ascii="SourceSansPro-Regular" w:hAnsi="SourceSansPro-Regular" w:cs="SourceSansPro-Regular"/>
                <w:sz w:val="18"/>
                <w:szCs w:val="18"/>
              </w:rPr>
              <w:t>s</w:t>
            </w:r>
          </w:p>
          <w:p w14:paraId="7D823C41" w14:textId="77777777" w:rsidR="00703228" w:rsidRDefault="00636B25" w:rsidP="007032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 w:rsidRPr="00703228">
              <w:rPr>
                <w:rFonts w:ascii="SourceSansPro-Regular" w:hAnsi="SourceSansPro-Regular" w:cs="SourceSansPro-Regular"/>
                <w:sz w:val="18"/>
                <w:szCs w:val="18"/>
              </w:rPr>
              <w:t>anxiety symptoms</w:t>
            </w:r>
          </w:p>
          <w:p w14:paraId="2E817FB7" w14:textId="77777777" w:rsidR="00703228" w:rsidRDefault="00636B25" w:rsidP="007032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 w:rsidRPr="00703228">
              <w:rPr>
                <w:rFonts w:ascii="SourceSansPro-Regular" w:hAnsi="SourceSansPro-Regular" w:cs="SourceSansPro-Regular"/>
                <w:sz w:val="18"/>
                <w:szCs w:val="18"/>
              </w:rPr>
              <w:t>health-related QoL</w:t>
            </w:r>
          </w:p>
          <w:p w14:paraId="3C82548B" w14:textId="71787062" w:rsidR="00703228" w:rsidRDefault="00E52E10" w:rsidP="007032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 w:rsidRPr="00703228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composite measures 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of </w:t>
            </w:r>
            <w:r w:rsidR="00636B25" w:rsidRPr="00703228">
              <w:rPr>
                <w:rFonts w:ascii="SourceSansPro-Regular" w:hAnsi="SourceSansPro-Regular" w:cs="SourceSansPro-Regular"/>
                <w:sz w:val="18"/>
                <w:szCs w:val="18"/>
              </w:rPr>
              <w:t>symptoms, individual functioning, and social functioning</w:t>
            </w:r>
            <w:r w:rsidR="00FC20E4" w:rsidRPr="00703228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</w:p>
          <w:p w14:paraId="6AAC7214" w14:textId="77777777" w:rsidR="00703228" w:rsidRPr="00703228" w:rsidRDefault="00703228" w:rsidP="0070322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</w:p>
          <w:p w14:paraId="4B2D0862" w14:textId="3E4679AE" w:rsidR="00C31902" w:rsidRPr="00703228" w:rsidRDefault="00410E52" w:rsidP="00703228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 w:rsidRPr="00703228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Meta-analysis was only possible for studies using </w:t>
            </w:r>
            <w:r w:rsidR="00703228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the </w:t>
            </w:r>
            <w:r w:rsidR="00E52E10" w:rsidRPr="00703228">
              <w:rPr>
                <w:rFonts w:ascii="SourceSansPro-Regular" w:hAnsi="SourceSansPro-Regular" w:cs="SourceSansPro-Regular"/>
                <w:sz w:val="18"/>
                <w:szCs w:val="18"/>
              </w:rPr>
              <w:t>OQ-45, and ORS</w:t>
            </w:r>
            <w:r w:rsidR="00E52E10">
              <w:rPr>
                <w:rFonts w:ascii="SourceSansPro-Regular" w:hAnsi="SourceSansPro-Regular" w:cs="SourceSansPro-Regular"/>
                <w:sz w:val="18"/>
                <w:szCs w:val="18"/>
              </w:rPr>
              <w:t>, composite measures</w:t>
            </w:r>
            <w:r w:rsidR="00FC20E4" w:rsidRPr="00703228">
              <w:rPr>
                <w:rFonts w:ascii="SourceSansPro-Regular" w:hAnsi="SourceSansPro-Regular" w:cs="SourceSansPro-Regular"/>
                <w:sz w:val="18"/>
                <w:szCs w:val="18"/>
              </w:rPr>
              <w:t>.</w:t>
            </w:r>
            <w:r w:rsidR="00636B25" w:rsidRPr="00703228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</w:p>
          <w:p w14:paraId="5CBD4A4C" w14:textId="77777777" w:rsidR="00636B25" w:rsidRPr="00AD72D9" w:rsidRDefault="00636B25" w:rsidP="00636B25">
            <w:pPr>
              <w:rPr>
                <w:b/>
                <w:sz w:val="18"/>
                <w:szCs w:val="18"/>
              </w:rPr>
            </w:pPr>
          </w:p>
          <w:p w14:paraId="255DE730" w14:textId="3A59B846" w:rsidR="00C31902" w:rsidRPr="00BA3B56" w:rsidRDefault="00C31902">
            <w:pPr>
              <w:rPr>
                <w:b/>
              </w:rPr>
            </w:pPr>
            <w:r w:rsidRPr="00AD72D9">
              <w:rPr>
                <w:b/>
                <w:sz w:val="18"/>
                <w:szCs w:val="18"/>
              </w:rPr>
              <w:t xml:space="preserve">Comparator: </w:t>
            </w:r>
            <w:r w:rsidRPr="00AD72D9">
              <w:rPr>
                <w:bCs/>
                <w:sz w:val="18"/>
                <w:szCs w:val="18"/>
              </w:rPr>
              <w:t>TAU</w:t>
            </w:r>
          </w:p>
        </w:tc>
        <w:tc>
          <w:tcPr>
            <w:tcW w:w="3402" w:type="dxa"/>
          </w:tcPr>
          <w:p w14:paraId="3A09FC0A" w14:textId="197E2B50" w:rsidR="00636B25" w:rsidRDefault="00410E52" w:rsidP="00636B25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No statistically significant difference 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>between feedback and no-feedback groups</w:t>
            </w:r>
          </w:p>
          <w:p w14:paraId="3F481BAD" w14:textId="1E49A652" w:rsidR="001332E5" w:rsidRDefault="00410E52" w:rsidP="00410E52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>
              <w:rPr>
                <w:rFonts w:ascii="SourceSansPro-Regular" w:hAnsi="SourceSansPro-Regular" w:cs="SourceSansPro-Regular"/>
                <w:sz w:val="18"/>
                <w:szCs w:val="18"/>
              </w:rPr>
              <w:t>as measured on OQ-45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(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>MD -1.14, 95% CI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 w:rsidR="00636B25">
              <w:rPr>
                <w:rFonts w:ascii="SourceSansPro-Regular" w:hAnsi="SourceSansPro-Regular" w:cs="SourceSansPro-Regular"/>
                <w:sz w:val="18"/>
                <w:szCs w:val="18"/>
              </w:rPr>
              <w:t>-3.15 to 0.86</w:t>
            </w:r>
            <w:r w:rsidR="000011F3">
              <w:rPr>
                <w:rFonts w:ascii="SourceSansPro-Regular" w:hAnsi="SourceSansPro-Regular" w:cs="SourceSansPro-Regular"/>
                <w:sz w:val="18"/>
                <w:szCs w:val="18"/>
              </w:rPr>
              <w:t>, 9 studies</w:t>
            </w:r>
            <w:r w:rsidR="00E52E10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) or 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ORS (SMD -0.07, 95% CI-0.16 to 0.01</w:t>
            </w:r>
            <w:r w:rsidR="000011F3">
              <w:rPr>
                <w:rFonts w:ascii="SourceSansPro-Regular" w:hAnsi="SourceSansPro-Regular" w:cs="SourceSansPro-Regular"/>
                <w:sz w:val="18"/>
                <w:szCs w:val="18"/>
              </w:rPr>
              <w:t>, 3 studies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)</w:t>
            </w:r>
            <w:r w:rsidR="000011F3">
              <w:rPr>
                <w:rFonts w:ascii="SourceSansPro-Regular" w:hAnsi="SourceSansPro-Regular" w:cs="SourceSansPro-Regular"/>
                <w:sz w:val="18"/>
                <w:szCs w:val="18"/>
              </w:rPr>
              <w:t>. No study in these analyses was in a primary care setting.</w:t>
            </w:r>
            <w:r w:rsidR="00A02493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</w:p>
          <w:p w14:paraId="4938FD9A" w14:textId="378E1B52" w:rsidR="00410E52" w:rsidRDefault="00410E52" w:rsidP="00636B25">
            <w:pPr>
              <w:rPr>
                <w:b/>
              </w:rPr>
            </w:pPr>
          </w:p>
          <w:p w14:paraId="2652D24C" w14:textId="77777777" w:rsidR="00760A8B" w:rsidRDefault="000011F3" w:rsidP="00760A8B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>
              <w:rPr>
                <w:rFonts w:ascii="SourceSansPro-Regular" w:hAnsi="SourceSansPro-Regular" w:cs="SourceSansPro-Regular"/>
                <w:sz w:val="18"/>
                <w:szCs w:val="18"/>
              </w:rPr>
              <w:t>For</w:t>
            </w:r>
            <w:r w:rsidR="008815A9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the subgroup of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 w:rsidR="008815A9">
              <w:rPr>
                <w:rFonts w:ascii="SourceSansPro-Regular" w:hAnsi="SourceSansPro-Regular" w:cs="SourceSansPro-Regular"/>
                <w:sz w:val="18"/>
                <w:szCs w:val="18"/>
              </w:rPr>
              <w:t>‘not on track (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NOT</w:t>
            </w:r>
            <w:r w:rsidR="008815A9">
              <w:rPr>
                <w:rFonts w:ascii="SourceSansPro-Regular" w:hAnsi="SourceSansPro-Regular" w:cs="SourceSansPro-Regular"/>
                <w:sz w:val="18"/>
                <w:szCs w:val="18"/>
              </w:rPr>
              <w:t>)’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patients, symptom scores were slightly lower in the feedback group compared to the no feedback group (SMD -0.22, 95% CI -0.35 to -0.09, 10 studies)</w:t>
            </w:r>
            <w:r w:rsidR="00AD72D9">
              <w:rPr>
                <w:rFonts w:ascii="SourceSansPro-Regular" w:hAnsi="SourceSansPro-Regular" w:cs="SourceSansPro-Regular"/>
                <w:sz w:val="18"/>
                <w:szCs w:val="18"/>
              </w:rPr>
              <w:t>.</w:t>
            </w:r>
            <w:r w:rsidR="00760A8B" w:rsidRPr="00760A8B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</w:p>
          <w:p w14:paraId="75CEBB29" w14:textId="77777777" w:rsidR="00760A8B" w:rsidRDefault="00760A8B" w:rsidP="00760A8B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</w:p>
          <w:p w14:paraId="61BAFC5E" w14:textId="3DE3CA0F" w:rsidR="000011F3" w:rsidRDefault="00760A8B" w:rsidP="00760A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For the </w:t>
            </w:r>
            <w:r w:rsidRPr="00760A8B">
              <w:rPr>
                <w:rFonts w:ascii="SourceSansPro-Regular" w:hAnsi="SourceSansPro-Regular" w:cs="SourceSansPro-Regular"/>
                <w:sz w:val="18"/>
                <w:szCs w:val="18"/>
              </w:rPr>
              <w:t>subgroup of 'on track (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OT)’ </w:t>
            </w:r>
            <w:r w:rsidRPr="00760A8B">
              <w:rPr>
                <w:rFonts w:ascii="SourceSansPro-Regular" w:hAnsi="SourceSansPro-Regular" w:cs="SourceSansPro-Regular"/>
                <w:sz w:val="18"/>
                <w:szCs w:val="18"/>
              </w:rPr>
              <w:t>pa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tients, the</w:t>
            </w:r>
            <w:r w:rsidRPr="00760A8B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mean number of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 w:rsidRPr="00760A8B">
              <w:rPr>
                <w:rFonts w:ascii="SourceSansPro-Regular" w:hAnsi="SourceSansPro-Regular" w:cs="SourceSansPro-Regular"/>
                <w:sz w:val="18"/>
                <w:szCs w:val="18"/>
              </w:rPr>
              <w:t>treatment sessions was slightly fewer in the feedback group: (MD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 w:rsidRPr="00760A8B">
              <w:rPr>
                <w:rFonts w:ascii="SourceSansPro-Regular" w:hAnsi="SourceSansPro-Regular" w:cs="SourceSansPro-Regular"/>
                <w:sz w:val="18"/>
                <w:szCs w:val="18"/>
              </w:rPr>
              <w:t>-0.69, 95% CI -1.10 to -0.29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, 4 studies</w:t>
            </w:r>
            <w:r w:rsidRPr="00760A8B">
              <w:rPr>
                <w:rFonts w:ascii="SourceSansPro-Regular" w:hAnsi="SourceSansPro-Regular" w:cs="SourceSansPro-Regular"/>
                <w:sz w:val="18"/>
                <w:szCs w:val="18"/>
              </w:rPr>
              <w:t>).</w:t>
            </w:r>
          </w:p>
          <w:p w14:paraId="419EB012" w14:textId="77777777" w:rsidR="000011F3" w:rsidRDefault="000011F3" w:rsidP="00636B25">
            <w:pPr>
              <w:rPr>
                <w:b/>
              </w:rPr>
            </w:pPr>
          </w:p>
          <w:p w14:paraId="1E7AE1AC" w14:textId="747D80FA" w:rsidR="00410E52" w:rsidRPr="00410E52" w:rsidRDefault="00410E52" w:rsidP="00410E52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18"/>
                <w:szCs w:val="18"/>
              </w:rPr>
            </w:pPr>
            <w:r>
              <w:rPr>
                <w:rFonts w:ascii="SourceSansPro-Regular" w:hAnsi="SourceSansPro-Regular" w:cs="SourceSansPro-Regular"/>
                <w:color w:val="000000"/>
                <w:sz w:val="18"/>
                <w:szCs w:val="18"/>
              </w:rPr>
              <w:t>Only one study reported any findings in relation to adverse events</w:t>
            </w:r>
            <w:r w:rsidR="000011F3">
              <w:rPr>
                <w:rFonts w:ascii="SourceSansPro-Regular" w:hAnsi="SourceSansPro-Regular" w:cs="SourceSansPro-Regular"/>
                <w:color w:val="000000"/>
                <w:sz w:val="18"/>
                <w:szCs w:val="18"/>
              </w:rPr>
              <w:t>, with</w:t>
            </w:r>
            <w:r>
              <w:rPr>
                <w:rFonts w:ascii="SourceSansPro-Regular" w:hAnsi="SourceSansPro-Regular" w:cs="SourceSansPro-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no immediate suicide risk</w:t>
            </w:r>
            <w:r w:rsidR="000011F3">
              <w:rPr>
                <w:rFonts w:ascii="SourceSansPro-Regular" w:hAnsi="SourceSansPro-Regular" w:cs="SourceSansPro-Regular"/>
                <w:sz w:val="18"/>
                <w:szCs w:val="18"/>
              </w:rPr>
              <w:t xml:space="preserve"> </w:t>
            </w:r>
            <w:r>
              <w:rPr>
                <w:rFonts w:ascii="SourceSansPro-Regular" w:hAnsi="SourceSansPro-Regular" w:cs="SourceSansPro-Regular"/>
                <w:sz w:val="18"/>
                <w:szCs w:val="18"/>
              </w:rPr>
              <w:t>discerned. Adverse events from prescribed medication were not assessed in any of the included studies.</w:t>
            </w:r>
          </w:p>
        </w:tc>
        <w:tc>
          <w:tcPr>
            <w:tcW w:w="3118" w:type="dxa"/>
          </w:tcPr>
          <w:p w14:paraId="4EDF7708" w14:textId="77777777" w:rsidR="001332E5" w:rsidRPr="00FC20E4" w:rsidRDefault="00A02493">
            <w:pPr>
              <w:rPr>
                <w:b/>
                <w:sz w:val="18"/>
                <w:szCs w:val="18"/>
              </w:rPr>
            </w:pPr>
            <w:r w:rsidRPr="00FC20E4">
              <w:rPr>
                <w:b/>
                <w:sz w:val="18"/>
                <w:szCs w:val="18"/>
              </w:rPr>
              <w:t xml:space="preserve">Strengths: </w:t>
            </w:r>
            <w:r w:rsidRPr="00FC20E4">
              <w:rPr>
                <w:bCs/>
                <w:sz w:val="18"/>
                <w:szCs w:val="18"/>
              </w:rPr>
              <w:t xml:space="preserve">Well conducted review, including formal risk of bias </w:t>
            </w:r>
            <w:r w:rsidR="00FC20E4" w:rsidRPr="00FC20E4">
              <w:rPr>
                <w:bCs/>
                <w:sz w:val="18"/>
                <w:szCs w:val="18"/>
              </w:rPr>
              <w:t>assessment.</w:t>
            </w:r>
          </w:p>
          <w:p w14:paraId="35BA434D" w14:textId="77777777" w:rsidR="00FC20E4" w:rsidRPr="00FC20E4" w:rsidRDefault="00FC20E4">
            <w:pPr>
              <w:rPr>
                <w:b/>
                <w:sz w:val="18"/>
                <w:szCs w:val="18"/>
              </w:rPr>
            </w:pPr>
          </w:p>
          <w:p w14:paraId="6B305707" w14:textId="6B79AA8E" w:rsidR="00FC20E4" w:rsidRDefault="00FC20E4">
            <w:pPr>
              <w:rPr>
                <w:b/>
              </w:rPr>
            </w:pPr>
            <w:r w:rsidRPr="00FC20E4">
              <w:rPr>
                <w:b/>
                <w:sz w:val="18"/>
                <w:szCs w:val="18"/>
              </w:rPr>
              <w:t xml:space="preserve">Limitations: </w:t>
            </w:r>
            <w:r>
              <w:rPr>
                <w:bCs/>
                <w:sz w:val="18"/>
                <w:szCs w:val="18"/>
              </w:rPr>
              <w:t>Evidence from</w:t>
            </w:r>
            <w:r w:rsidR="00C072F3">
              <w:rPr>
                <w:bCs/>
                <w:sz w:val="18"/>
                <w:szCs w:val="18"/>
              </w:rPr>
              <w:t xml:space="preserve"> meta-analyses was</w:t>
            </w:r>
            <w:r w:rsidRPr="00FC20E4">
              <w:rPr>
                <w:bCs/>
                <w:sz w:val="18"/>
                <w:szCs w:val="18"/>
              </w:rPr>
              <w:t xml:space="preserve"> considered low quality</w:t>
            </w:r>
            <w:r>
              <w:rPr>
                <w:bCs/>
                <w:sz w:val="18"/>
                <w:szCs w:val="18"/>
              </w:rPr>
              <w:t xml:space="preserve">, due to </w:t>
            </w:r>
            <w:r w:rsidR="00AD72D9">
              <w:rPr>
                <w:bCs/>
                <w:sz w:val="18"/>
                <w:szCs w:val="18"/>
              </w:rPr>
              <w:t xml:space="preserve">high </w:t>
            </w:r>
            <w:r>
              <w:rPr>
                <w:bCs/>
                <w:sz w:val="18"/>
                <w:szCs w:val="18"/>
              </w:rPr>
              <w:t>risk of bias within included studies</w:t>
            </w:r>
            <w:r w:rsidRPr="00FC20E4">
              <w:rPr>
                <w:bCs/>
                <w:sz w:val="18"/>
                <w:szCs w:val="18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13D3BD69" w14:textId="77777777" w:rsidR="008815A9" w:rsidRDefault="000011F3" w:rsidP="000011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There is </w:t>
            </w:r>
            <w:r w:rsidRPr="000011F3">
              <w:rPr>
                <w:rFonts w:cstheme="minorHAnsi"/>
                <w:bCs/>
                <w:sz w:val="18"/>
                <w:szCs w:val="18"/>
              </w:rPr>
              <w:t xml:space="preserve">insufficient evidence to support the use of routine outcome monitoring using PROMs in the treatment of </w:t>
            </w:r>
            <w:r>
              <w:rPr>
                <w:rFonts w:cstheme="minorHAnsi"/>
                <w:bCs/>
                <w:sz w:val="18"/>
                <w:szCs w:val="18"/>
              </w:rPr>
              <w:t>common mental health disorders</w:t>
            </w:r>
            <w:r w:rsidRPr="000011F3">
              <w:rPr>
                <w:rFonts w:cstheme="minorHAnsi"/>
                <w:bCs/>
                <w:sz w:val="18"/>
                <w:szCs w:val="18"/>
              </w:rPr>
              <w:t>, in terms of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0011F3">
              <w:rPr>
                <w:rFonts w:cstheme="minorHAnsi"/>
                <w:bCs/>
                <w:sz w:val="18"/>
                <w:szCs w:val="18"/>
              </w:rPr>
              <w:t xml:space="preserve">improving patient outcomes or in improving management. </w:t>
            </w:r>
          </w:p>
          <w:p w14:paraId="17D48E3B" w14:textId="77777777" w:rsidR="008815A9" w:rsidRDefault="008815A9" w:rsidP="000011F3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243CE37" w14:textId="3D1633F8" w:rsidR="001332E5" w:rsidRDefault="000011F3" w:rsidP="000011F3">
            <w:pPr>
              <w:rPr>
                <w:rFonts w:cstheme="minorHAnsi"/>
                <w:bCs/>
                <w:sz w:val="18"/>
                <w:szCs w:val="18"/>
              </w:rPr>
            </w:pPr>
            <w:r w:rsidRPr="000011F3">
              <w:rPr>
                <w:rFonts w:cstheme="minorHAnsi"/>
                <w:bCs/>
                <w:sz w:val="18"/>
                <w:szCs w:val="18"/>
              </w:rPr>
              <w:t>The findings are subject to considerable uncertainty however, due to the high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0011F3">
              <w:rPr>
                <w:rFonts w:cstheme="minorHAnsi"/>
                <w:bCs/>
                <w:sz w:val="18"/>
                <w:szCs w:val="18"/>
              </w:rPr>
              <w:t>risk of bias in the large majority of trials meeting the inclusion criteria, which means further research is very likely to have an important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0011F3">
              <w:rPr>
                <w:rFonts w:cstheme="minorHAnsi"/>
                <w:bCs/>
                <w:sz w:val="18"/>
                <w:szCs w:val="18"/>
              </w:rPr>
              <w:t>impact on the estimate of e</w:t>
            </w:r>
            <w:r>
              <w:rPr>
                <w:rFonts w:cstheme="minorHAnsi"/>
                <w:bCs/>
                <w:sz w:val="18"/>
                <w:szCs w:val="18"/>
              </w:rPr>
              <w:t>ffe</w:t>
            </w:r>
            <w:r w:rsidRPr="000011F3">
              <w:rPr>
                <w:rFonts w:cstheme="minorHAnsi"/>
                <w:bCs/>
                <w:sz w:val="18"/>
                <w:szCs w:val="18"/>
              </w:rPr>
              <w:t>ct and is likely to change the estimate.</w:t>
            </w:r>
          </w:p>
          <w:p w14:paraId="0E1C05D0" w14:textId="77777777" w:rsidR="00FC20E4" w:rsidRDefault="00FC20E4" w:rsidP="000011F3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88795B0" w14:textId="0790ECC3" w:rsidR="00FC20E4" w:rsidRPr="000011F3" w:rsidRDefault="00FC20E4" w:rsidP="000011F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High quality study</w:t>
            </w:r>
          </w:p>
        </w:tc>
      </w:tr>
      <w:tr w:rsidR="001332E5" w:rsidRPr="00E17EE0" w14:paraId="6237FE39" w14:textId="77777777" w:rsidTr="00265A3C">
        <w:trPr>
          <w:cantSplit/>
        </w:trPr>
        <w:tc>
          <w:tcPr>
            <w:tcW w:w="2547" w:type="dxa"/>
            <w:tcBorders>
              <w:right w:val="nil"/>
            </w:tcBorders>
            <w:shd w:val="clear" w:color="auto" w:fill="FFE599" w:themeFill="accent4" w:themeFillTint="66"/>
          </w:tcPr>
          <w:p w14:paraId="412764A6" w14:textId="3055BC55" w:rsidR="001332E5" w:rsidRPr="001332E5" w:rsidRDefault="001332E5">
            <w:pPr>
              <w:rPr>
                <w:bCs/>
                <w:i/>
                <w:iCs/>
              </w:rPr>
            </w:pPr>
            <w:r w:rsidRPr="001332E5">
              <w:rPr>
                <w:bCs/>
                <w:i/>
                <w:iCs/>
              </w:rPr>
              <w:t>Specialist mental health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1F4D00CF" w14:textId="77777777" w:rsidR="001332E5" w:rsidRPr="00BA3B56" w:rsidRDefault="001332E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6824CA22" w14:textId="77777777" w:rsidR="001332E5" w:rsidRPr="00BA3B56" w:rsidRDefault="001332E5">
            <w:pPr>
              <w:rPr>
                <w:b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666B5862" w14:textId="77777777" w:rsidR="001332E5" w:rsidRDefault="001332E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3F2AA63B" w14:textId="77777777" w:rsidR="001332E5" w:rsidRDefault="001332E5" w:rsidP="00422362">
            <w:pPr>
              <w:rPr>
                <w:b/>
              </w:rPr>
            </w:pPr>
          </w:p>
        </w:tc>
      </w:tr>
      <w:tr w:rsidR="001332E5" w:rsidRPr="00E17EE0" w14:paraId="5F179D34" w14:textId="77777777" w:rsidTr="00265A3C">
        <w:trPr>
          <w:cantSplit/>
        </w:trPr>
        <w:tc>
          <w:tcPr>
            <w:tcW w:w="2547" w:type="dxa"/>
          </w:tcPr>
          <w:p w14:paraId="7451E812" w14:textId="42E8FB7D" w:rsidR="001332E5" w:rsidRDefault="001837E3">
            <w:pPr>
              <w:rPr>
                <w:b/>
              </w:rPr>
            </w:pPr>
            <w:r>
              <w:rPr>
                <w:b/>
              </w:rPr>
              <w:t>Knaup et al 2009</w:t>
            </w:r>
            <w:r w:rsidR="00324EF3" w:rsidRPr="00324EF3">
              <w:rPr>
                <w:bCs/>
                <w:vertAlign w:val="superscript"/>
              </w:rPr>
              <w:t>4</w:t>
            </w:r>
          </w:p>
          <w:p w14:paraId="2ECDBEFF" w14:textId="21AFC3D7" w:rsidR="0093387C" w:rsidRPr="00BA4827" w:rsidRDefault="0093387C" w:rsidP="0093387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</w:t>
            </w:r>
            <w:r w:rsidRPr="00BA4827">
              <w:rPr>
                <w:rFonts w:cstheme="minorHAnsi"/>
                <w:bCs/>
                <w:sz w:val="18"/>
                <w:szCs w:val="18"/>
              </w:rPr>
              <w:t>ommunity-based mental health services, university</w:t>
            </w:r>
          </w:p>
          <w:p w14:paraId="262517AD" w14:textId="6C5907A3" w:rsidR="0093387C" w:rsidRDefault="0093387C" w:rsidP="0093387C">
            <w:pPr>
              <w:rPr>
                <w:rFonts w:cstheme="minorHAnsi"/>
                <w:bCs/>
                <w:sz w:val="18"/>
                <w:szCs w:val="18"/>
              </w:rPr>
            </w:pPr>
            <w:r w:rsidRPr="00BA4827">
              <w:rPr>
                <w:rFonts w:cstheme="minorHAnsi"/>
                <w:bCs/>
                <w:sz w:val="18"/>
                <w:szCs w:val="18"/>
              </w:rPr>
              <w:t>counselling centres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BA4827">
              <w:rPr>
                <w:rFonts w:cstheme="minorHAnsi"/>
                <w:bCs/>
                <w:sz w:val="18"/>
                <w:szCs w:val="18"/>
              </w:rPr>
              <w:t>specialist mental health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BA4827">
              <w:rPr>
                <w:rFonts w:cstheme="minorHAnsi"/>
                <w:bCs/>
                <w:sz w:val="18"/>
                <w:szCs w:val="18"/>
              </w:rPr>
              <w:t>units</w:t>
            </w:r>
            <w:r>
              <w:rPr>
                <w:rFonts w:cstheme="minorHAnsi"/>
                <w:bCs/>
                <w:sz w:val="18"/>
                <w:szCs w:val="18"/>
              </w:rPr>
              <w:t xml:space="preserve">, inpatient </w:t>
            </w:r>
            <w:r>
              <w:rPr>
                <w:rFonts w:ascii="AdvPS94BA" w:hAnsi="AdvPS94BA" w:cs="AdvPS94BA"/>
                <w:sz w:val="18"/>
                <w:szCs w:val="18"/>
              </w:rPr>
              <w:t>psychotherapeutic clinics</w:t>
            </w:r>
          </w:p>
          <w:p w14:paraId="283C4438" w14:textId="3BA5A4D0" w:rsidR="001837E3" w:rsidRPr="00CE2F42" w:rsidRDefault="0093387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N= </w:t>
            </w:r>
            <w:r w:rsidR="00CE2F42" w:rsidRPr="00CE2F42">
              <w:rPr>
                <w:rFonts w:cstheme="minorHAnsi"/>
                <w:bCs/>
                <w:sz w:val="18"/>
                <w:szCs w:val="18"/>
              </w:rPr>
              <w:t>12 studies</w:t>
            </w:r>
            <w:r w:rsidR="006221E6" w:rsidRPr="006221E6">
              <w:rPr>
                <w:rFonts w:cstheme="minorHAnsi"/>
                <w:bCs/>
                <w:sz w:val="18"/>
                <w:szCs w:val="18"/>
                <w:vertAlign w:val="superscript"/>
              </w:rPr>
              <w:t>a</w:t>
            </w:r>
            <w:r w:rsidR="00CE2F42" w:rsidRPr="00CE2F42">
              <w:rPr>
                <w:rFonts w:cstheme="minorHAnsi"/>
                <w:bCs/>
                <w:sz w:val="18"/>
                <w:szCs w:val="18"/>
              </w:rPr>
              <w:t xml:space="preserve"> (5458 participants)</w:t>
            </w:r>
          </w:p>
          <w:p w14:paraId="1B8372A7" w14:textId="569B64E1" w:rsidR="001837E3" w:rsidRPr="00BA3B56" w:rsidRDefault="001837E3">
            <w:pPr>
              <w:rPr>
                <w:b/>
              </w:rPr>
            </w:pPr>
            <w:r w:rsidRPr="00CE2F42">
              <w:rPr>
                <w:rFonts w:cstheme="minorHAnsi"/>
                <w:bCs/>
                <w:sz w:val="18"/>
                <w:szCs w:val="18"/>
              </w:rPr>
              <w:t xml:space="preserve">Systematic review of controlled </w:t>
            </w:r>
            <w:r w:rsidR="00F14E50">
              <w:rPr>
                <w:rFonts w:cstheme="minorHAnsi"/>
                <w:bCs/>
                <w:sz w:val="18"/>
                <w:szCs w:val="18"/>
              </w:rPr>
              <w:t>studies</w:t>
            </w:r>
            <w:r w:rsidRPr="00CE2F4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BB6AAD">
              <w:rPr>
                <w:rFonts w:cstheme="minorHAnsi"/>
                <w:bCs/>
                <w:sz w:val="18"/>
                <w:szCs w:val="18"/>
              </w:rPr>
              <w:t xml:space="preserve">(including non-randomised) </w:t>
            </w:r>
            <w:r w:rsidRPr="00CE2F42">
              <w:rPr>
                <w:rFonts w:cstheme="minorHAnsi"/>
                <w:bCs/>
                <w:sz w:val="18"/>
                <w:szCs w:val="18"/>
              </w:rPr>
              <w:t xml:space="preserve">in adults with mental health problems (including </w:t>
            </w:r>
            <w:r w:rsidR="00BA4827">
              <w:rPr>
                <w:rFonts w:cstheme="minorHAnsi"/>
                <w:bCs/>
                <w:sz w:val="18"/>
                <w:szCs w:val="18"/>
              </w:rPr>
              <w:t xml:space="preserve">schizophrenia, </w:t>
            </w:r>
            <w:r w:rsidRPr="00CE2F42">
              <w:rPr>
                <w:rFonts w:cstheme="minorHAnsi"/>
                <w:bCs/>
                <w:sz w:val="18"/>
                <w:szCs w:val="18"/>
              </w:rPr>
              <w:t>dementia</w:t>
            </w:r>
            <w:r w:rsidR="00BA4827">
              <w:rPr>
                <w:rFonts w:cstheme="minorHAnsi"/>
                <w:bCs/>
                <w:sz w:val="18"/>
                <w:szCs w:val="18"/>
              </w:rPr>
              <w:t xml:space="preserve"> and eating disorders</w:t>
            </w:r>
            <w:r w:rsidRPr="00CE2F42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2471244C" w14:textId="45CBA7FA" w:rsidR="001332E5" w:rsidRPr="00F14E50" w:rsidRDefault="00F14E50" w:rsidP="002F1A9E">
            <w:pPr>
              <w:rPr>
                <w:bCs/>
                <w:sz w:val="18"/>
                <w:szCs w:val="18"/>
              </w:rPr>
            </w:pPr>
            <w:r w:rsidRPr="005B30AD">
              <w:rPr>
                <w:b/>
                <w:sz w:val="18"/>
                <w:szCs w:val="18"/>
              </w:rPr>
              <w:t>PROM:</w:t>
            </w:r>
            <w:r w:rsidR="002F1A9E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656832">
              <w:rPr>
                <w:rFonts w:ascii="AdvPS94BA" w:hAnsi="AdvPS94BA" w:cs="AdvPS94BA"/>
                <w:sz w:val="18"/>
                <w:szCs w:val="18"/>
              </w:rPr>
              <w:t>fe</w:t>
            </w:r>
            <w:r w:rsidR="002F1A9E">
              <w:rPr>
                <w:rFonts w:ascii="AdvPS94BA" w:hAnsi="AdvPS94BA" w:cs="AdvPS94BA"/>
                <w:sz w:val="18"/>
                <w:szCs w:val="18"/>
              </w:rPr>
              <w:t>edback</w:t>
            </w:r>
            <w:r w:rsidR="00656832">
              <w:rPr>
                <w:rFonts w:ascii="AdvPS94BA" w:hAnsi="AdvPS94BA" w:cs="AdvPS94BA"/>
                <w:sz w:val="18"/>
                <w:szCs w:val="18"/>
              </w:rPr>
              <w:t>,</w:t>
            </w:r>
            <w:r w:rsidR="00BB6041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2F1A9E">
              <w:rPr>
                <w:rFonts w:ascii="AdvPS94BA" w:hAnsi="AdvPS94BA" w:cs="AdvPS94BA"/>
                <w:sz w:val="18"/>
                <w:szCs w:val="18"/>
              </w:rPr>
              <w:t>defined as</w:t>
            </w:r>
            <w:r w:rsidR="00656832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2F1A9E">
              <w:rPr>
                <w:rFonts w:ascii="AdvPS94BA" w:hAnsi="AdvPS94BA" w:cs="AdvPS94BA"/>
                <w:sz w:val="18"/>
                <w:szCs w:val="18"/>
              </w:rPr>
              <w:t>providing mental healthcare professionals and/or patients with</w:t>
            </w:r>
            <w:r w:rsidR="00656832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2F1A9E">
              <w:rPr>
                <w:rFonts w:ascii="AdvPS94BA" w:hAnsi="AdvPS94BA" w:cs="AdvPS94BA"/>
                <w:sz w:val="18"/>
                <w:szCs w:val="18"/>
              </w:rPr>
              <w:t>individual information on treatment outcome based on</w:t>
            </w:r>
            <w:r w:rsidR="00656832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2F1A9E">
              <w:rPr>
                <w:rFonts w:ascii="AdvPS94BA" w:hAnsi="AdvPS94BA" w:cs="AdvPS94BA"/>
                <w:sz w:val="18"/>
                <w:szCs w:val="18"/>
              </w:rPr>
              <w:t>standardised measures</w:t>
            </w:r>
            <w:r w:rsidR="00656832">
              <w:rPr>
                <w:rFonts w:ascii="AdvPS94BA" w:hAnsi="AdvPS94BA" w:cs="AdvPS94BA"/>
                <w:sz w:val="18"/>
                <w:szCs w:val="18"/>
              </w:rPr>
              <w:t xml:space="preserve">. Included studies used: </w:t>
            </w:r>
            <w:r w:rsidR="00557D83">
              <w:rPr>
                <w:rFonts w:ascii="AdvPS94BA" w:hAnsi="AdvPS94BA" w:cs="AdvPS94BA"/>
                <w:sz w:val="18"/>
                <w:szCs w:val="18"/>
              </w:rPr>
              <w:t>CANE,</w:t>
            </w:r>
            <w:r w:rsidR="00DB7248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7918D4">
              <w:rPr>
                <w:rFonts w:ascii="AdvPS94BA" w:hAnsi="AdvPS94BA" w:cs="AdvPS94BA"/>
                <w:sz w:val="18"/>
                <w:szCs w:val="18"/>
              </w:rPr>
              <w:t>CANSAS,</w:t>
            </w:r>
            <w:r w:rsidR="00557D83"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7918D4">
              <w:rPr>
                <w:rFonts w:ascii="AdvPS94BA" w:hAnsi="AdvPS94BA" w:cs="AdvPS94BA"/>
                <w:sz w:val="18"/>
                <w:szCs w:val="18"/>
              </w:rPr>
              <w:t xml:space="preserve">CNS, CSC, FEP, FLZ, </w:t>
            </w:r>
            <w:r w:rsidR="00DB7248">
              <w:rPr>
                <w:rFonts w:ascii="AdvPS94BA" w:hAnsi="AdvPS94BA" w:cs="AdvPS94BA"/>
                <w:sz w:val="18"/>
                <w:szCs w:val="18"/>
              </w:rPr>
              <w:t xml:space="preserve">GBB, </w:t>
            </w:r>
            <w:r w:rsidR="007918D4">
              <w:rPr>
                <w:rFonts w:ascii="AdvPS94BA" w:hAnsi="AdvPS94BA" w:cs="AdvPS94BA"/>
                <w:sz w:val="18"/>
                <w:szCs w:val="18"/>
              </w:rPr>
              <w:t>HADS, HAQ, HAS, ICD-10, MANSA,</w:t>
            </w:r>
            <w:r w:rsidR="00C52CA8">
              <w:rPr>
                <w:rFonts w:ascii="AdvPS94BA" w:hAnsi="AdvPS94BA" w:cs="AdvPS94BA"/>
                <w:sz w:val="18"/>
                <w:szCs w:val="18"/>
              </w:rPr>
              <w:t xml:space="preserve"> MSPSS,</w:t>
            </w:r>
            <w:r w:rsidR="007918D4">
              <w:rPr>
                <w:rFonts w:ascii="AdvPS94BA" w:hAnsi="AdvPS94BA" w:cs="AdvPS94BA"/>
                <w:sz w:val="18"/>
                <w:szCs w:val="18"/>
              </w:rPr>
              <w:t xml:space="preserve"> OQ-45, PAE, SEE</w:t>
            </w:r>
            <w:r w:rsidR="00C52CA8">
              <w:rPr>
                <w:rFonts w:ascii="AdvPS94BA" w:hAnsi="AdvPS94BA" w:cs="AdvPS94BA"/>
                <w:sz w:val="18"/>
                <w:szCs w:val="18"/>
              </w:rPr>
              <w:t>D</w:t>
            </w:r>
            <w:r w:rsidR="007918D4">
              <w:rPr>
                <w:rFonts w:ascii="AdvPS94BA" w:hAnsi="AdvPS94BA" w:cs="AdvPS94BA"/>
                <w:sz w:val="18"/>
                <w:szCs w:val="18"/>
              </w:rPr>
              <w:t>, TREAT-EAT</w:t>
            </w:r>
          </w:p>
          <w:p w14:paraId="08A085C7" w14:textId="77777777" w:rsidR="00F14E50" w:rsidRPr="00F14E50" w:rsidRDefault="00F14E50">
            <w:pPr>
              <w:rPr>
                <w:bCs/>
                <w:sz w:val="18"/>
                <w:szCs w:val="18"/>
              </w:rPr>
            </w:pPr>
          </w:p>
          <w:p w14:paraId="1CD2444A" w14:textId="1D1A89E9" w:rsidR="00F14E50" w:rsidRPr="00BA3B56" w:rsidRDefault="00F14E50">
            <w:pPr>
              <w:rPr>
                <w:b/>
              </w:rPr>
            </w:pPr>
            <w:r w:rsidRPr="005B30AD">
              <w:rPr>
                <w:b/>
                <w:sz w:val="18"/>
                <w:szCs w:val="18"/>
              </w:rPr>
              <w:t>Comparator:</w:t>
            </w:r>
            <w:r w:rsidRPr="00F14E50">
              <w:rPr>
                <w:bCs/>
                <w:sz w:val="18"/>
                <w:szCs w:val="18"/>
              </w:rPr>
              <w:t xml:space="preserve"> Control condition (for 10/12 studies this was TAU)</w:t>
            </w:r>
          </w:p>
        </w:tc>
        <w:tc>
          <w:tcPr>
            <w:tcW w:w="3402" w:type="dxa"/>
          </w:tcPr>
          <w:p w14:paraId="499299A2" w14:textId="6139A10F" w:rsidR="001332E5" w:rsidRPr="00BA3B56" w:rsidRDefault="00984E15" w:rsidP="00984E15">
            <w:pPr>
              <w:rPr>
                <w:b/>
              </w:rPr>
            </w:pPr>
            <w:r w:rsidRPr="00984E15">
              <w:rPr>
                <w:bCs/>
                <w:sz w:val="18"/>
                <w:szCs w:val="18"/>
              </w:rPr>
              <w:t>Feeding back outcome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15">
              <w:rPr>
                <w:bCs/>
                <w:sz w:val="18"/>
                <w:szCs w:val="18"/>
              </w:rPr>
              <w:t>showed a small, but significant (d = 0.10; 95% CI 0.01–0.19</w:t>
            </w:r>
            <w:r w:rsidR="000011F3">
              <w:rPr>
                <w:bCs/>
                <w:sz w:val="18"/>
                <w:szCs w:val="18"/>
              </w:rPr>
              <w:t>, 10 studies</w:t>
            </w:r>
            <w:r w:rsidRPr="00984E15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15">
              <w:rPr>
                <w:bCs/>
                <w:sz w:val="18"/>
                <w:szCs w:val="18"/>
              </w:rPr>
              <w:t>positive short-term effect on the mental health of individuals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15">
              <w:rPr>
                <w:bCs/>
                <w:sz w:val="18"/>
                <w:szCs w:val="18"/>
              </w:rPr>
              <w:t>that did not prevail in the long run. Subgroup analysis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15">
              <w:rPr>
                <w:bCs/>
                <w:sz w:val="18"/>
                <w:szCs w:val="18"/>
              </w:rPr>
              <w:t>revealed no significant differences regarding feedback modalities. Outcome management did not contribute to 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4E15">
              <w:rPr>
                <w:bCs/>
                <w:sz w:val="18"/>
                <w:szCs w:val="18"/>
              </w:rPr>
              <w:t>reduction of treatment duration.</w:t>
            </w:r>
          </w:p>
        </w:tc>
        <w:tc>
          <w:tcPr>
            <w:tcW w:w="3118" w:type="dxa"/>
          </w:tcPr>
          <w:p w14:paraId="5B2D208F" w14:textId="2F4AD6A6" w:rsidR="00FC20E4" w:rsidRDefault="00FC20E4" w:rsidP="00C70B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Strength: </w:t>
            </w:r>
            <w:r w:rsidRPr="00FC20E4">
              <w:rPr>
                <w:bCs/>
                <w:sz w:val="18"/>
                <w:szCs w:val="18"/>
              </w:rPr>
              <w:t>Range of sources searched for relevant trials</w:t>
            </w:r>
          </w:p>
          <w:p w14:paraId="5495DDC9" w14:textId="77777777" w:rsidR="00FC20E4" w:rsidRDefault="00FC20E4" w:rsidP="00C70B1E">
            <w:pPr>
              <w:rPr>
                <w:b/>
                <w:sz w:val="18"/>
                <w:szCs w:val="18"/>
              </w:rPr>
            </w:pPr>
          </w:p>
          <w:p w14:paraId="181CB206" w14:textId="4AA4C42F" w:rsidR="001332E5" w:rsidRPr="00C70B1E" w:rsidRDefault="00C70B1E" w:rsidP="00C70B1E">
            <w:pPr>
              <w:rPr>
                <w:bCs/>
                <w:sz w:val="18"/>
                <w:szCs w:val="18"/>
              </w:rPr>
            </w:pPr>
            <w:r w:rsidRPr="000B2355">
              <w:rPr>
                <w:b/>
                <w:sz w:val="18"/>
                <w:szCs w:val="18"/>
              </w:rPr>
              <w:t>Limitations:</w:t>
            </w:r>
            <w:r>
              <w:rPr>
                <w:b/>
              </w:rPr>
              <w:t xml:space="preserve"> </w:t>
            </w:r>
            <w:r w:rsidR="00FC20E4">
              <w:rPr>
                <w:bCs/>
                <w:sz w:val="18"/>
                <w:szCs w:val="18"/>
              </w:rPr>
              <w:t>Included non -randomised studies.</w:t>
            </w:r>
            <w:r w:rsidR="00FC20E4" w:rsidRPr="005A4A1B">
              <w:rPr>
                <w:bCs/>
                <w:sz w:val="18"/>
                <w:szCs w:val="18"/>
              </w:rPr>
              <w:t xml:space="preserve"> No formal risk of bias assessment. </w:t>
            </w:r>
          </w:p>
        </w:tc>
        <w:tc>
          <w:tcPr>
            <w:tcW w:w="3402" w:type="dxa"/>
          </w:tcPr>
          <w:p w14:paraId="08115127" w14:textId="08D1EB38" w:rsidR="00010B6F" w:rsidRDefault="00010B6F" w:rsidP="005B5DD2">
            <w:pPr>
              <w:autoSpaceDE w:val="0"/>
              <w:autoSpaceDN w:val="0"/>
              <w:adjustRightInd w:val="0"/>
              <w:rPr>
                <w:rFonts w:ascii="AdvPS94BA" w:hAnsi="AdvPS94BA" w:cs="AdvPS94BA"/>
                <w:sz w:val="18"/>
                <w:szCs w:val="18"/>
              </w:rPr>
            </w:pPr>
            <w:r>
              <w:rPr>
                <w:rFonts w:ascii="AdvPS94BA" w:hAnsi="AdvPS94BA" w:cs="AdvPS94BA"/>
                <w:sz w:val="18"/>
                <w:szCs w:val="18"/>
              </w:rPr>
              <w:t>F</w:t>
            </w:r>
            <w:r w:rsidR="005B5DD2">
              <w:rPr>
                <w:rFonts w:ascii="AdvPS94BA" w:hAnsi="AdvPS94BA" w:cs="AdvPS94BA"/>
                <w:sz w:val="18"/>
                <w:szCs w:val="18"/>
              </w:rPr>
              <w:t>eedback of</w:t>
            </w:r>
            <w:r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5B5DD2">
              <w:rPr>
                <w:rFonts w:ascii="AdvPS94BA" w:hAnsi="AdvPS94BA" w:cs="AdvPS94BA"/>
                <w:sz w:val="18"/>
                <w:szCs w:val="18"/>
              </w:rPr>
              <w:t>outcome had a small, albeit statistically significant short-term</w:t>
            </w:r>
            <w:r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5B5DD2">
              <w:rPr>
                <w:rFonts w:ascii="AdvPS94BA" w:hAnsi="AdvPS94BA" w:cs="AdvPS94BA"/>
                <w:sz w:val="18"/>
                <w:szCs w:val="18"/>
              </w:rPr>
              <w:t>effect on improving mental health outcomes. This effect was found to be consistent across a</w:t>
            </w:r>
            <w:r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  <w:r w:rsidR="005B5DD2">
              <w:rPr>
                <w:rFonts w:ascii="AdvPS94BA" w:hAnsi="AdvPS94BA" w:cs="AdvPS94BA"/>
                <w:sz w:val="18"/>
                <w:szCs w:val="18"/>
              </w:rPr>
              <w:t>variety of outcome measures</w:t>
            </w:r>
            <w:r>
              <w:rPr>
                <w:rFonts w:ascii="AdvPS94BA" w:hAnsi="AdvPS94BA" w:cs="AdvPS94BA"/>
                <w:sz w:val="18"/>
                <w:szCs w:val="18"/>
              </w:rPr>
              <w:t xml:space="preserve"> </w:t>
            </w:r>
          </w:p>
          <w:p w14:paraId="4E231862" w14:textId="77777777" w:rsidR="00010B6F" w:rsidRDefault="00010B6F" w:rsidP="005B5DD2">
            <w:pPr>
              <w:autoSpaceDE w:val="0"/>
              <w:autoSpaceDN w:val="0"/>
              <w:adjustRightInd w:val="0"/>
              <w:rPr>
                <w:rFonts w:ascii="AdvPS94BA" w:hAnsi="AdvPS94BA" w:cs="AdvPS94BA"/>
                <w:sz w:val="18"/>
                <w:szCs w:val="18"/>
              </w:rPr>
            </w:pPr>
          </w:p>
          <w:p w14:paraId="1FE63F50" w14:textId="5A3447F7" w:rsidR="005B5DD2" w:rsidRPr="005B5DD2" w:rsidRDefault="00C70B1E" w:rsidP="005B5DD2">
            <w:pPr>
              <w:autoSpaceDE w:val="0"/>
              <w:autoSpaceDN w:val="0"/>
              <w:adjustRightInd w:val="0"/>
              <w:rPr>
                <w:rFonts w:ascii="AdvPS94BA" w:hAnsi="AdvPS94BA" w:cs="AdvPS94BA"/>
                <w:sz w:val="18"/>
                <w:szCs w:val="18"/>
              </w:rPr>
            </w:pPr>
            <w:r>
              <w:rPr>
                <w:rFonts w:ascii="AdvPS94BA" w:hAnsi="AdvPS94BA" w:cs="AdvPS94BA"/>
                <w:sz w:val="18"/>
                <w:szCs w:val="18"/>
              </w:rPr>
              <w:t>Moderate</w:t>
            </w:r>
            <w:r w:rsidR="005B5DD2">
              <w:rPr>
                <w:rFonts w:ascii="AdvPS94BA" w:hAnsi="AdvPS94BA" w:cs="AdvPS94BA"/>
                <w:sz w:val="18"/>
                <w:szCs w:val="18"/>
              </w:rPr>
              <w:t xml:space="preserve"> quality study</w:t>
            </w:r>
          </w:p>
        </w:tc>
      </w:tr>
      <w:tr w:rsidR="001332E5" w:rsidRPr="00E17EE0" w14:paraId="3A49F98C" w14:textId="77777777" w:rsidTr="00265A3C">
        <w:trPr>
          <w:cantSplit/>
        </w:trPr>
        <w:tc>
          <w:tcPr>
            <w:tcW w:w="2547" w:type="dxa"/>
          </w:tcPr>
          <w:p w14:paraId="52E3B198" w14:textId="7F04B675" w:rsidR="001332E5" w:rsidRDefault="00695CCC">
            <w:pPr>
              <w:rPr>
                <w:b/>
              </w:rPr>
            </w:pPr>
            <w:r>
              <w:rPr>
                <w:b/>
              </w:rPr>
              <w:lastRenderedPageBreak/>
              <w:t>Shimokawa et al 2010</w:t>
            </w:r>
            <w:r w:rsidR="00324EF3" w:rsidRPr="00324EF3">
              <w:rPr>
                <w:bCs/>
                <w:vertAlign w:val="superscript"/>
              </w:rPr>
              <w:t>5</w:t>
            </w:r>
          </w:p>
          <w:p w14:paraId="05A0F859" w14:textId="0EB9644D" w:rsidR="0093387C" w:rsidRDefault="0093387C" w:rsidP="00695CC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</w:t>
            </w:r>
            <w:r w:rsidRPr="00695CCC">
              <w:rPr>
                <w:rFonts w:cstheme="minorHAnsi"/>
                <w:bCs/>
                <w:sz w:val="18"/>
                <w:szCs w:val="18"/>
              </w:rPr>
              <w:t>niversity counse</w:t>
            </w:r>
            <w:r>
              <w:rPr>
                <w:rFonts w:cstheme="minorHAnsi"/>
                <w:bCs/>
                <w:sz w:val="18"/>
                <w:szCs w:val="18"/>
              </w:rPr>
              <w:t>l</w:t>
            </w:r>
            <w:r w:rsidRPr="00695CCC">
              <w:rPr>
                <w:rFonts w:cstheme="minorHAnsi"/>
                <w:bCs/>
                <w:sz w:val="18"/>
                <w:szCs w:val="18"/>
              </w:rPr>
              <w:t>ling centre,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5CCC">
              <w:rPr>
                <w:rFonts w:cstheme="minorHAnsi"/>
                <w:bCs/>
                <w:sz w:val="18"/>
                <w:szCs w:val="18"/>
              </w:rPr>
              <w:t>hospital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95CCC">
              <w:rPr>
                <w:rFonts w:cstheme="minorHAnsi"/>
                <w:bCs/>
                <w:sz w:val="18"/>
                <w:szCs w:val="18"/>
              </w:rPr>
              <w:t xml:space="preserve">outpatient </w:t>
            </w:r>
            <w:r w:rsidR="00A817AF">
              <w:rPr>
                <w:rFonts w:cstheme="minorHAnsi"/>
                <w:bCs/>
                <w:sz w:val="18"/>
                <w:szCs w:val="18"/>
              </w:rPr>
              <w:t>setting</w:t>
            </w:r>
          </w:p>
          <w:p w14:paraId="05B76AE9" w14:textId="5CB0816C" w:rsidR="00695CCC" w:rsidRPr="00695CCC" w:rsidRDefault="00A817AF" w:rsidP="00695CCC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N= </w:t>
            </w:r>
            <w:r w:rsidR="00695CCC" w:rsidRPr="00695CCC">
              <w:rPr>
                <w:rFonts w:cstheme="minorHAnsi"/>
                <w:bCs/>
                <w:sz w:val="18"/>
                <w:szCs w:val="18"/>
              </w:rPr>
              <w:t xml:space="preserve">6 </w:t>
            </w:r>
            <w:proofErr w:type="spellStart"/>
            <w:r w:rsidR="00695CCC" w:rsidRPr="00695CCC">
              <w:rPr>
                <w:rFonts w:cstheme="minorHAnsi"/>
                <w:bCs/>
                <w:sz w:val="18"/>
                <w:szCs w:val="18"/>
              </w:rPr>
              <w:t>studies</w:t>
            </w:r>
            <w:r w:rsidR="006221E6" w:rsidRPr="006221E6">
              <w:rPr>
                <w:rFonts w:cstheme="minorHAnsi"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 w:rsidR="00695CCC" w:rsidRPr="00695CCC">
              <w:rPr>
                <w:rFonts w:cstheme="minorHAnsi"/>
                <w:bCs/>
                <w:sz w:val="18"/>
                <w:szCs w:val="18"/>
              </w:rPr>
              <w:t xml:space="preserve"> (6,151 participants)</w:t>
            </w:r>
          </w:p>
          <w:p w14:paraId="6CB07208" w14:textId="67449DD5" w:rsidR="00695CCC" w:rsidRPr="00BA3B56" w:rsidRDefault="00695CCC">
            <w:pPr>
              <w:rPr>
                <w:b/>
              </w:rPr>
            </w:pPr>
            <w:r w:rsidRPr="00695CCC">
              <w:rPr>
                <w:rFonts w:cstheme="minorHAnsi"/>
                <w:bCs/>
                <w:sz w:val="18"/>
                <w:szCs w:val="18"/>
              </w:rPr>
              <w:t>Meta-analysis of randomised and non-randomised trials</w:t>
            </w:r>
            <w:r w:rsidR="00555B9F">
              <w:rPr>
                <w:rFonts w:cstheme="minorHAnsi"/>
                <w:bCs/>
                <w:sz w:val="18"/>
                <w:szCs w:val="18"/>
              </w:rPr>
              <w:t xml:space="preserve"> performed by study authors in in patients receiving psychological therap</w:t>
            </w:r>
            <w:r w:rsidR="00FB3C68">
              <w:rPr>
                <w:rFonts w:cstheme="minorHAnsi"/>
                <w:bCs/>
                <w:sz w:val="18"/>
                <w:szCs w:val="18"/>
              </w:rPr>
              <w:t>y</w:t>
            </w:r>
          </w:p>
        </w:tc>
        <w:tc>
          <w:tcPr>
            <w:tcW w:w="2977" w:type="dxa"/>
          </w:tcPr>
          <w:p w14:paraId="51FD8780" w14:textId="0438E2F3" w:rsidR="001332E5" w:rsidRDefault="00FB3C68" w:rsidP="005627AE">
            <w:pPr>
              <w:rPr>
                <w:bCs/>
                <w:sz w:val="18"/>
                <w:szCs w:val="18"/>
              </w:rPr>
            </w:pPr>
            <w:r w:rsidRPr="00F3071C">
              <w:rPr>
                <w:b/>
                <w:sz w:val="18"/>
                <w:szCs w:val="18"/>
              </w:rPr>
              <w:t xml:space="preserve">PROM: </w:t>
            </w:r>
            <w:r>
              <w:rPr>
                <w:bCs/>
                <w:sz w:val="18"/>
                <w:szCs w:val="18"/>
              </w:rPr>
              <w:t>OQ-4</w:t>
            </w:r>
            <w:r w:rsidR="00F14E50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 3</w:t>
            </w:r>
            <w:r w:rsidR="005627AE" w:rsidRPr="005627AE">
              <w:rPr>
                <w:bCs/>
                <w:sz w:val="18"/>
                <w:szCs w:val="18"/>
              </w:rPr>
              <w:t xml:space="preserve"> types of patient progress feedback interventions</w:t>
            </w:r>
            <w:r w:rsidR="00BB6041">
              <w:rPr>
                <w:bCs/>
                <w:sz w:val="18"/>
                <w:szCs w:val="18"/>
              </w:rPr>
              <w:t xml:space="preserve"> using OQ-45</w:t>
            </w:r>
            <w:r w:rsidR="003F3102">
              <w:rPr>
                <w:bCs/>
                <w:sz w:val="18"/>
                <w:szCs w:val="18"/>
              </w:rPr>
              <w:t xml:space="preserve">: </w:t>
            </w:r>
            <w:r w:rsidR="005627AE" w:rsidRPr="005627AE">
              <w:rPr>
                <w:bCs/>
                <w:sz w:val="18"/>
                <w:szCs w:val="18"/>
              </w:rPr>
              <w:t>progress feedback to therapists</w:t>
            </w:r>
            <w:r>
              <w:rPr>
                <w:bCs/>
                <w:sz w:val="18"/>
                <w:szCs w:val="18"/>
              </w:rPr>
              <w:t xml:space="preserve"> (T-Fb)</w:t>
            </w:r>
            <w:r w:rsidR="005627AE" w:rsidRPr="00562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627AE" w:rsidRPr="005627AE">
              <w:rPr>
                <w:bCs/>
                <w:sz w:val="18"/>
                <w:szCs w:val="18"/>
              </w:rPr>
              <w:t xml:space="preserve">progress feedback to both </w:t>
            </w:r>
            <w:r w:rsidR="00F3071C">
              <w:rPr>
                <w:bCs/>
                <w:sz w:val="18"/>
                <w:szCs w:val="18"/>
              </w:rPr>
              <w:t xml:space="preserve">patients </w:t>
            </w:r>
            <w:r w:rsidR="005627AE" w:rsidRPr="005627AE">
              <w:rPr>
                <w:bCs/>
                <w:sz w:val="18"/>
                <w:szCs w:val="18"/>
              </w:rPr>
              <w:t xml:space="preserve">and </w:t>
            </w:r>
            <w:r w:rsidR="00F3071C">
              <w:rPr>
                <w:bCs/>
                <w:sz w:val="18"/>
                <w:szCs w:val="18"/>
              </w:rPr>
              <w:t>therapist</w:t>
            </w:r>
            <w:r w:rsidR="005627AE" w:rsidRPr="005627AE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 xml:space="preserve"> (</w:t>
            </w:r>
            <w:r w:rsidR="00F3071C">
              <w:rPr>
                <w:bCs/>
                <w:sz w:val="18"/>
                <w:szCs w:val="18"/>
              </w:rPr>
              <w:t>P/</w:t>
            </w:r>
            <w:r>
              <w:rPr>
                <w:bCs/>
                <w:sz w:val="18"/>
                <w:szCs w:val="18"/>
              </w:rPr>
              <w:t>T-Fb)</w:t>
            </w:r>
            <w:r w:rsidR="005627AE" w:rsidRPr="005627AE">
              <w:rPr>
                <w:bCs/>
                <w:sz w:val="18"/>
                <w:szCs w:val="18"/>
              </w:rPr>
              <w:t xml:space="preserve">, and </w:t>
            </w:r>
            <w:r>
              <w:rPr>
                <w:bCs/>
                <w:sz w:val="18"/>
                <w:szCs w:val="18"/>
              </w:rPr>
              <w:t>clinical support tools</w:t>
            </w:r>
            <w:r w:rsidR="005627AE" w:rsidRPr="005627AE">
              <w:rPr>
                <w:bCs/>
                <w:sz w:val="18"/>
                <w:szCs w:val="18"/>
              </w:rPr>
              <w:t xml:space="preserve"> in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627AE" w:rsidRPr="005627AE">
              <w:rPr>
                <w:bCs/>
                <w:sz w:val="18"/>
                <w:szCs w:val="18"/>
              </w:rPr>
              <w:t>addition to progress feedback</w:t>
            </w:r>
            <w:r>
              <w:rPr>
                <w:bCs/>
                <w:sz w:val="18"/>
                <w:szCs w:val="18"/>
              </w:rPr>
              <w:t xml:space="preserve"> (CST T/P-Fb)</w:t>
            </w:r>
          </w:p>
          <w:p w14:paraId="4BE29C95" w14:textId="77777777" w:rsidR="00FB3C68" w:rsidRDefault="00FB3C68" w:rsidP="005627AE">
            <w:pPr>
              <w:rPr>
                <w:bCs/>
                <w:sz w:val="18"/>
                <w:szCs w:val="18"/>
              </w:rPr>
            </w:pPr>
          </w:p>
          <w:p w14:paraId="48137D6A" w14:textId="25006931" w:rsidR="00FB3C68" w:rsidRPr="00FB3C68" w:rsidRDefault="00FB3C68" w:rsidP="005627AE">
            <w:pPr>
              <w:rPr>
                <w:bCs/>
                <w:sz w:val="18"/>
                <w:szCs w:val="18"/>
              </w:rPr>
            </w:pPr>
            <w:r w:rsidRPr="00F3071C">
              <w:rPr>
                <w:b/>
                <w:sz w:val="18"/>
                <w:szCs w:val="18"/>
              </w:rPr>
              <w:t>Comparator:</w:t>
            </w:r>
            <w:r>
              <w:rPr>
                <w:bCs/>
                <w:sz w:val="18"/>
                <w:szCs w:val="18"/>
              </w:rPr>
              <w:t xml:space="preserve"> TAU</w:t>
            </w:r>
            <w:r w:rsidR="00AD72D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 xml:space="preserve">or any of the above interventions </w:t>
            </w:r>
          </w:p>
        </w:tc>
        <w:tc>
          <w:tcPr>
            <w:tcW w:w="3402" w:type="dxa"/>
          </w:tcPr>
          <w:p w14:paraId="2EBF238D" w14:textId="4FAF60EE" w:rsidR="001332E5" w:rsidRPr="001154C4" w:rsidRDefault="001154C4">
            <w:pPr>
              <w:rPr>
                <w:rFonts w:cstheme="minorHAnsi"/>
                <w:bCs/>
                <w:sz w:val="18"/>
                <w:szCs w:val="18"/>
              </w:rPr>
            </w:pPr>
            <w:r w:rsidRPr="001154C4">
              <w:rPr>
                <w:rFonts w:cstheme="minorHAnsi"/>
                <w:sz w:val="18"/>
                <w:szCs w:val="18"/>
              </w:rPr>
              <w:t>In patients at risk of leaving treatment worse off than when</w:t>
            </w:r>
            <w:r w:rsidRPr="001154C4">
              <w:rPr>
                <w:rFonts w:cstheme="minorHAnsi"/>
                <w:bCs/>
                <w:sz w:val="18"/>
                <w:szCs w:val="18"/>
              </w:rPr>
              <w:t xml:space="preserve"> they started, a</w:t>
            </w:r>
            <w:r w:rsidR="00E4419E" w:rsidRPr="001154C4">
              <w:rPr>
                <w:rFonts w:cstheme="minorHAnsi"/>
                <w:bCs/>
                <w:sz w:val="18"/>
                <w:szCs w:val="18"/>
              </w:rPr>
              <w:t xml:space="preserve"> clinically significant improvement was statistically significant more likely with T—Fb versus TAU (OR</w:t>
            </w:r>
            <w:r w:rsidR="00930E10" w:rsidRPr="001154C4">
              <w:rPr>
                <w:rFonts w:cstheme="minorHAnsi"/>
                <w:bCs/>
                <w:sz w:val="18"/>
                <w:szCs w:val="18"/>
              </w:rPr>
              <w:t xml:space="preserve"> 1.70, 95% CI 1.17 to 2.46</w:t>
            </w:r>
            <w:r w:rsidR="00A02493">
              <w:rPr>
                <w:rFonts w:cstheme="minorHAnsi"/>
                <w:bCs/>
                <w:sz w:val="18"/>
                <w:szCs w:val="18"/>
              </w:rPr>
              <w:t>, 4 studies</w:t>
            </w:r>
            <w:r w:rsidR="00930E10" w:rsidRPr="001154C4">
              <w:rPr>
                <w:rFonts w:cstheme="minorHAnsi"/>
                <w:bCs/>
                <w:sz w:val="18"/>
                <w:szCs w:val="18"/>
              </w:rPr>
              <w:t>), and with CST T/P-Fb versus T-Fb (OR 1.43, 95% C</w:t>
            </w:r>
            <w:r w:rsidR="00984E15">
              <w:rPr>
                <w:rFonts w:cstheme="minorHAnsi"/>
                <w:bCs/>
                <w:sz w:val="18"/>
                <w:szCs w:val="18"/>
              </w:rPr>
              <w:t>I</w:t>
            </w:r>
            <w:r w:rsidR="00930E10" w:rsidRPr="001154C4">
              <w:rPr>
                <w:rFonts w:cstheme="minorHAnsi"/>
                <w:bCs/>
                <w:sz w:val="18"/>
                <w:szCs w:val="18"/>
              </w:rPr>
              <w:t xml:space="preserve"> 1.08 to 2.18</w:t>
            </w:r>
            <w:r w:rsidR="00A02493">
              <w:rPr>
                <w:rFonts w:cstheme="minorHAnsi"/>
                <w:bCs/>
                <w:sz w:val="18"/>
                <w:szCs w:val="18"/>
              </w:rPr>
              <w:t>, 3 studies</w:t>
            </w:r>
            <w:r w:rsidR="00930E10" w:rsidRPr="001154C4">
              <w:rPr>
                <w:rFonts w:cstheme="minorHAnsi"/>
                <w:bCs/>
                <w:sz w:val="18"/>
                <w:szCs w:val="18"/>
              </w:rPr>
              <w:t xml:space="preserve">), however there was no difference between P/T-Fb versus T-Fb. </w:t>
            </w:r>
            <w:r w:rsidRPr="001154C4">
              <w:rPr>
                <w:rFonts w:cstheme="minorHAnsi"/>
                <w:bCs/>
                <w:sz w:val="18"/>
                <w:szCs w:val="18"/>
              </w:rPr>
              <w:t>Furthermore, w</w:t>
            </w:r>
            <w:r w:rsidR="00F3071C" w:rsidRPr="001154C4">
              <w:rPr>
                <w:rFonts w:cstheme="minorHAnsi"/>
                <w:bCs/>
                <w:sz w:val="18"/>
                <w:szCs w:val="18"/>
              </w:rPr>
              <w:t>orsening or deterioration of condition was statistically significant less likely with T-Fb versus TAU (OR 0.62 (</w:t>
            </w:r>
            <w:r w:rsidR="00930E10" w:rsidRPr="001154C4">
              <w:rPr>
                <w:rFonts w:cstheme="minorHAnsi"/>
                <w:bCs/>
                <w:sz w:val="18"/>
                <w:szCs w:val="18"/>
              </w:rPr>
              <w:t xml:space="preserve">95% CI </w:t>
            </w:r>
            <w:r w:rsidR="00F3071C" w:rsidRPr="001154C4">
              <w:rPr>
                <w:rFonts w:cstheme="minorHAnsi"/>
                <w:bCs/>
                <w:sz w:val="18"/>
                <w:szCs w:val="18"/>
              </w:rPr>
              <w:t>0.40 to 0.98</w:t>
            </w:r>
            <w:r w:rsidR="00A02493">
              <w:rPr>
                <w:rFonts w:cstheme="minorHAnsi"/>
                <w:bCs/>
                <w:sz w:val="18"/>
                <w:szCs w:val="18"/>
              </w:rPr>
              <w:t>, 4 studies</w:t>
            </w:r>
            <w:r w:rsidR="00F3071C" w:rsidRPr="001154C4">
              <w:rPr>
                <w:rFonts w:cstheme="minorHAnsi"/>
                <w:bCs/>
                <w:sz w:val="18"/>
                <w:szCs w:val="18"/>
              </w:rPr>
              <w:t xml:space="preserve">), </w:t>
            </w:r>
            <w:r w:rsidR="00E4419E" w:rsidRPr="001154C4">
              <w:rPr>
                <w:rFonts w:cstheme="minorHAnsi"/>
                <w:bCs/>
                <w:sz w:val="18"/>
                <w:szCs w:val="18"/>
              </w:rPr>
              <w:t>however</w:t>
            </w:r>
            <w:r w:rsidR="00F3071C" w:rsidRPr="001154C4">
              <w:rPr>
                <w:rFonts w:cstheme="minorHAnsi"/>
                <w:bCs/>
                <w:sz w:val="18"/>
                <w:szCs w:val="18"/>
              </w:rPr>
              <w:t xml:space="preserve"> there was no difference between P/T-Fb versus T-Fb or CST-Fb versus T-Fb</w:t>
            </w:r>
            <w:r w:rsidR="00A02493">
              <w:rPr>
                <w:rFonts w:cstheme="minorHAnsi"/>
                <w:bCs/>
                <w:sz w:val="18"/>
                <w:szCs w:val="18"/>
              </w:rPr>
              <w:t xml:space="preserve"> (3 studies)</w:t>
            </w:r>
            <w:r w:rsidR="00F3071C" w:rsidRPr="001154C4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75C39C1B" w14:textId="6720C1C5" w:rsidR="00F366C3" w:rsidRPr="00984E15" w:rsidRDefault="00F366C3" w:rsidP="00F366C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4419E">
              <w:rPr>
                <w:rFonts w:cstheme="minorHAnsi"/>
                <w:b/>
                <w:sz w:val="18"/>
                <w:szCs w:val="18"/>
              </w:rPr>
              <w:t xml:space="preserve">Limitations: </w:t>
            </w:r>
            <w:r w:rsidR="005A4A1B">
              <w:rPr>
                <w:rFonts w:cstheme="minorHAnsi"/>
                <w:sz w:val="18"/>
                <w:szCs w:val="18"/>
              </w:rPr>
              <w:t>All studies included in the meta-analysis were carried out by the same research team.</w:t>
            </w:r>
            <w:r w:rsidR="005A4A1B" w:rsidRPr="00E4419E">
              <w:rPr>
                <w:rFonts w:cstheme="minorHAnsi"/>
                <w:sz w:val="18"/>
                <w:szCs w:val="18"/>
              </w:rPr>
              <w:t xml:space="preserve"> </w:t>
            </w:r>
            <w:r w:rsidRPr="00E4419E">
              <w:rPr>
                <w:rFonts w:cstheme="minorHAnsi"/>
                <w:sz w:val="18"/>
                <w:szCs w:val="18"/>
              </w:rPr>
              <w:t>Reliability</w:t>
            </w:r>
            <w:r w:rsidR="00984E15">
              <w:rPr>
                <w:rFonts w:cstheme="minorHAnsi"/>
                <w:sz w:val="18"/>
                <w:szCs w:val="18"/>
              </w:rPr>
              <w:t xml:space="preserve"> </w:t>
            </w:r>
            <w:r w:rsidRPr="00E4419E">
              <w:rPr>
                <w:rFonts w:cstheme="minorHAnsi"/>
                <w:sz w:val="18"/>
                <w:szCs w:val="18"/>
              </w:rPr>
              <w:t xml:space="preserve">of treatment implementation may have been an issue in individual studies because the use of feedback interventions by therapists was not closely controlled or monitored. </w:t>
            </w:r>
            <w:r w:rsidR="00930E10">
              <w:rPr>
                <w:rFonts w:cstheme="minorHAnsi"/>
                <w:sz w:val="18"/>
                <w:szCs w:val="18"/>
              </w:rPr>
              <w:t>Two</w:t>
            </w:r>
            <w:r w:rsidRPr="00E4419E">
              <w:rPr>
                <w:rFonts w:cstheme="minorHAnsi"/>
                <w:sz w:val="18"/>
                <w:szCs w:val="18"/>
              </w:rPr>
              <w:t xml:space="preserve"> of the </w:t>
            </w:r>
            <w:r w:rsidR="00984E15">
              <w:rPr>
                <w:rFonts w:cstheme="minorHAnsi"/>
                <w:sz w:val="18"/>
                <w:szCs w:val="18"/>
              </w:rPr>
              <w:t xml:space="preserve">included </w:t>
            </w:r>
            <w:r w:rsidRPr="00E4419E">
              <w:rPr>
                <w:rFonts w:cstheme="minorHAnsi"/>
                <w:sz w:val="18"/>
                <w:szCs w:val="18"/>
              </w:rPr>
              <w:t>studies were non-randomised</w:t>
            </w:r>
            <w:r w:rsidR="00984E15">
              <w:rPr>
                <w:rFonts w:cstheme="minorHAnsi"/>
                <w:sz w:val="18"/>
                <w:szCs w:val="18"/>
              </w:rPr>
              <w:t xml:space="preserve"> trials.</w:t>
            </w:r>
          </w:p>
        </w:tc>
        <w:tc>
          <w:tcPr>
            <w:tcW w:w="3402" w:type="dxa"/>
          </w:tcPr>
          <w:p w14:paraId="68DF90D3" w14:textId="4A53AD1E" w:rsidR="001154C4" w:rsidRPr="00F14E50" w:rsidRDefault="00F14E50" w:rsidP="00F14E50">
            <w:pPr>
              <w:rPr>
                <w:bCs/>
                <w:sz w:val="18"/>
                <w:szCs w:val="18"/>
              </w:rPr>
            </w:pPr>
            <w:r w:rsidRPr="00F14E50">
              <w:rPr>
                <w:bCs/>
                <w:sz w:val="18"/>
                <w:szCs w:val="18"/>
              </w:rPr>
              <w:t>The evidence appears to support the efficacy and effectiveness of feedback interventions in enhancing treatment outcome.</w:t>
            </w:r>
          </w:p>
          <w:p w14:paraId="1016757F" w14:textId="77777777" w:rsidR="00F14E50" w:rsidRPr="00F14E50" w:rsidRDefault="00F14E50" w:rsidP="001154C4">
            <w:pPr>
              <w:rPr>
                <w:bCs/>
                <w:sz w:val="18"/>
                <w:szCs w:val="18"/>
              </w:rPr>
            </w:pPr>
          </w:p>
          <w:p w14:paraId="6C48A760" w14:textId="0D0E1153" w:rsidR="001154C4" w:rsidRPr="001154C4" w:rsidRDefault="005A4A1B" w:rsidP="001154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Low </w:t>
            </w:r>
            <w:r w:rsidR="001154C4" w:rsidRPr="00F14E50">
              <w:rPr>
                <w:bCs/>
                <w:sz w:val="18"/>
                <w:szCs w:val="18"/>
              </w:rPr>
              <w:t>quality study</w:t>
            </w:r>
          </w:p>
        </w:tc>
      </w:tr>
      <w:tr w:rsidR="001332E5" w:rsidRPr="00E17EE0" w14:paraId="6C00B528" w14:textId="77777777" w:rsidTr="00265A3C">
        <w:trPr>
          <w:cantSplit/>
        </w:trPr>
        <w:tc>
          <w:tcPr>
            <w:tcW w:w="2547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361FA4F" w14:textId="4441DBA1" w:rsidR="001332E5" w:rsidRPr="00BA3B56" w:rsidRDefault="001332E5">
            <w:pPr>
              <w:rPr>
                <w:b/>
              </w:rPr>
            </w:pPr>
            <w:r>
              <w:rPr>
                <w:b/>
              </w:rPr>
              <w:t>RCTs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0CC8695" w14:textId="77777777" w:rsidR="001332E5" w:rsidRPr="00BA3B56" w:rsidRDefault="001332E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153F2D2" w14:textId="77777777" w:rsidR="001332E5" w:rsidRPr="00BA3B56" w:rsidRDefault="001332E5">
            <w:pPr>
              <w:rPr>
                <w:b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C974352" w14:textId="77777777" w:rsidR="001332E5" w:rsidRDefault="001332E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11FE8353" w14:textId="77777777" w:rsidR="001332E5" w:rsidRDefault="001332E5" w:rsidP="00422362">
            <w:pPr>
              <w:rPr>
                <w:b/>
              </w:rPr>
            </w:pPr>
          </w:p>
        </w:tc>
      </w:tr>
      <w:tr w:rsidR="007832C9" w:rsidRPr="00E17EE0" w14:paraId="4CF92E99" w14:textId="77777777" w:rsidTr="00265A3C">
        <w:trPr>
          <w:cantSplit/>
        </w:trPr>
        <w:tc>
          <w:tcPr>
            <w:tcW w:w="2547" w:type="dxa"/>
            <w:tcBorders>
              <w:right w:val="nil"/>
            </w:tcBorders>
            <w:shd w:val="clear" w:color="auto" w:fill="FFE599" w:themeFill="accent4" w:themeFillTint="66"/>
          </w:tcPr>
          <w:p w14:paraId="788BD6D3" w14:textId="63D98628" w:rsidR="007832C9" w:rsidRPr="00A6345C" w:rsidRDefault="007832C9">
            <w:pPr>
              <w:rPr>
                <w:bCs/>
                <w:i/>
                <w:iCs/>
              </w:rPr>
            </w:pPr>
            <w:r w:rsidRPr="00A6345C">
              <w:rPr>
                <w:bCs/>
                <w:i/>
                <w:iCs/>
              </w:rPr>
              <w:t>Primary care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7BD6121" w14:textId="77777777" w:rsidR="007832C9" w:rsidRPr="00BA3B56" w:rsidRDefault="007832C9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743E7DC" w14:textId="77777777" w:rsidR="007832C9" w:rsidRPr="00BA3B56" w:rsidRDefault="007832C9">
            <w:pPr>
              <w:rPr>
                <w:b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7322B797" w14:textId="77777777" w:rsidR="007832C9" w:rsidRDefault="007832C9">
            <w:pPr>
              <w:rPr>
                <w:b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15E9FF70" w14:textId="77777777" w:rsidR="007832C9" w:rsidRDefault="007832C9" w:rsidP="00422362">
            <w:pPr>
              <w:rPr>
                <w:b/>
              </w:rPr>
            </w:pPr>
          </w:p>
        </w:tc>
      </w:tr>
      <w:tr w:rsidR="00C87CDD" w:rsidRPr="00986DE4" w14:paraId="066D4032" w14:textId="77777777" w:rsidTr="00912816">
        <w:tc>
          <w:tcPr>
            <w:tcW w:w="2547" w:type="dxa"/>
          </w:tcPr>
          <w:p w14:paraId="44FD204F" w14:textId="627A1022" w:rsidR="00C87CDD" w:rsidRPr="00C50C64" w:rsidRDefault="00C87CDD">
            <w:pPr>
              <w:rPr>
                <w:vertAlign w:val="superscript"/>
              </w:rPr>
            </w:pPr>
            <w:r w:rsidRPr="00986DE4">
              <w:rPr>
                <w:b/>
              </w:rPr>
              <w:t xml:space="preserve">Mathias </w:t>
            </w:r>
            <w:r w:rsidR="00276E23">
              <w:rPr>
                <w:b/>
              </w:rPr>
              <w:t xml:space="preserve">et al </w:t>
            </w:r>
            <w:r w:rsidRPr="00986DE4">
              <w:rPr>
                <w:b/>
              </w:rPr>
              <w:t>1994</w:t>
            </w:r>
            <w:r w:rsidR="00C50C64">
              <w:rPr>
                <w:vertAlign w:val="superscript"/>
              </w:rPr>
              <w:t>9</w:t>
            </w:r>
          </w:p>
          <w:p w14:paraId="3DCD53E9" w14:textId="77777777" w:rsidR="00C87CDD" w:rsidRPr="00986DE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Primary care group practices, USA</w:t>
            </w:r>
            <w:r w:rsidR="007B3B30">
              <w:rPr>
                <w:sz w:val="18"/>
                <w:szCs w:val="18"/>
              </w:rPr>
              <w:t>.</w:t>
            </w:r>
          </w:p>
          <w:p w14:paraId="0918E9FD" w14:textId="6A608210" w:rsidR="00C87CDD" w:rsidRPr="00986DE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N = 618</w:t>
            </w:r>
            <w:r w:rsidR="007E20BF">
              <w:rPr>
                <w:sz w:val="18"/>
                <w:szCs w:val="18"/>
              </w:rPr>
              <w:t xml:space="preserve"> participants</w:t>
            </w:r>
          </w:p>
          <w:p w14:paraId="1BD5484F" w14:textId="77777777" w:rsidR="00C87CDD" w:rsidRPr="00986DE4" w:rsidRDefault="00C87CDD">
            <w:r w:rsidRPr="00986DE4">
              <w:rPr>
                <w:sz w:val="18"/>
                <w:szCs w:val="18"/>
              </w:rPr>
              <w:t>Cluster randomised by practice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6043B76B" w14:textId="77777777" w:rsidR="004D3B5D" w:rsidRPr="004D3B5D" w:rsidRDefault="004D3B5D" w:rsidP="004D3B5D">
            <w:pPr>
              <w:rPr>
                <w:sz w:val="18"/>
                <w:szCs w:val="18"/>
              </w:rPr>
            </w:pPr>
            <w:r w:rsidRPr="001332E5">
              <w:rPr>
                <w:b/>
                <w:sz w:val="18"/>
                <w:szCs w:val="18"/>
              </w:rPr>
              <w:t>PROM:</w:t>
            </w:r>
            <w:r w:rsidRPr="004D3B5D">
              <w:rPr>
                <w:sz w:val="18"/>
                <w:szCs w:val="18"/>
              </w:rPr>
              <w:t xml:space="preserve"> Mental Health Patient Profile, constructed from SCL-90,</w:t>
            </w:r>
            <w:r>
              <w:rPr>
                <w:sz w:val="18"/>
                <w:szCs w:val="18"/>
              </w:rPr>
              <w:t xml:space="preserve"> </w:t>
            </w:r>
            <w:r w:rsidRPr="004D3B5D">
              <w:rPr>
                <w:sz w:val="18"/>
                <w:szCs w:val="18"/>
              </w:rPr>
              <w:t>DIS, and SF-36</w:t>
            </w:r>
            <w:r>
              <w:rPr>
                <w:sz w:val="18"/>
                <w:szCs w:val="18"/>
              </w:rPr>
              <w:t xml:space="preserve">. </w:t>
            </w:r>
            <w:r w:rsidRPr="004D3B5D">
              <w:rPr>
                <w:sz w:val="18"/>
                <w:szCs w:val="18"/>
              </w:rPr>
              <w:t>PROMs administered by researchers outside</w:t>
            </w:r>
            <w:r>
              <w:rPr>
                <w:sz w:val="18"/>
                <w:szCs w:val="18"/>
              </w:rPr>
              <w:t xml:space="preserve"> </w:t>
            </w:r>
            <w:r w:rsidRPr="004D3B5D">
              <w:rPr>
                <w:sz w:val="18"/>
                <w:szCs w:val="18"/>
              </w:rPr>
              <w:t xml:space="preserve">the practice and results summarised for </w:t>
            </w:r>
            <w:r>
              <w:rPr>
                <w:sz w:val="18"/>
                <w:szCs w:val="18"/>
              </w:rPr>
              <w:t>practitioners</w:t>
            </w:r>
            <w:r w:rsidRPr="004D3B5D">
              <w:rPr>
                <w:sz w:val="18"/>
                <w:szCs w:val="18"/>
              </w:rPr>
              <w:t xml:space="preserve">. Feedback to </w:t>
            </w:r>
            <w:r>
              <w:rPr>
                <w:sz w:val="18"/>
                <w:szCs w:val="18"/>
              </w:rPr>
              <w:t xml:space="preserve">practitioners </w:t>
            </w:r>
            <w:r w:rsidRPr="004D3B5D">
              <w:rPr>
                <w:sz w:val="18"/>
                <w:szCs w:val="18"/>
              </w:rPr>
              <w:t>only</w:t>
            </w:r>
            <w:r>
              <w:rPr>
                <w:sz w:val="18"/>
                <w:szCs w:val="18"/>
              </w:rPr>
              <w:t>.</w:t>
            </w:r>
          </w:p>
          <w:p w14:paraId="206271EA" w14:textId="77777777" w:rsidR="00BF19F4" w:rsidRDefault="00BF19F4" w:rsidP="004D3B5D">
            <w:pPr>
              <w:rPr>
                <w:bCs/>
                <w:sz w:val="18"/>
                <w:szCs w:val="18"/>
              </w:rPr>
            </w:pPr>
          </w:p>
          <w:p w14:paraId="20E070F8" w14:textId="5EFC704A" w:rsidR="00C87CDD" w:rsidRPr="00C87CDD" w:rsidRDefault="004D3B5D" w:rsidP="00496FEF">
            <w:pPr>
              <w:rPr>
                <w:sz w:val="18"/>
                <w:szCs w:val="18"/>
              </w:rPr>
            </w:pPr>
            <w:r w:rsidRPr="001332E5">
              <w:rPr>
                <w:b/>
                <w:sz w:val="18"/>
                <w:szCs w:val="18"/>
              </w:rPr>
              <w:t>Control group</w:t>
            </w:r>
            <w:r w:rsidR="00AF631A" w:rsidRPr="001332E5">
              <w:rPr>
                <w:b/>
                <w:sz w:val="18"/>
                <w:szCs w:val="18"/>
              </w:rPr>
              <w:t>:</w:t>
            </w:r>
            <w:r w:rsidRPr="004D3B5D">
              <w:rPr>
                <w:bCs/>
                <w:sz w:val="18"/>
                <w:szCs w:val="18"/>
              </w:rPr>
              <w:t xml:space="preserve"> complete</w:t>
            </w:r>
            <w:r>
              <w:rPr>
                <w:bCs/>
                <w:sz w:val="18"/>
                <w:szCs w:val="18"/>
              </w:rPr>
              <w:t>d</w:t>
            </w:r>
            <w:r w:rsidRPr="004D3B5D">
              <w:rPr>
                <w:bCs/>
                <w:sz w:val="18"/>
                <w:szCs w:val="18"/>
              </w:rPr>
              <w:t xml:space="preserve"> PR</w:t>
            </w:r>
            <w:r>
              <w:rPr>
                <w:bCs/>
                <w:sz w:val="18"/>
                <w:szCs w:val="18"/>
              </w:rPr>
              <w:t>OM</w:t>
            </w:r>
            <w:r w:rsidRPr="004D3B5D">
              <w:rPr>
                <w:bCs/>
                <w:sz w:val="18"/>
                <w:szCs w:val="18"/>
              </w:rPr>
              <w:t xml:space="preserve"> but without feedback of result</w:t>
            </w:r>
            <w:r>
              <w:rPr>
                <w:bCs/>
                <w:sz w:val="18"/>
                <w:szCs w:val="18"/>
              </w:rPr>
              <w:t>s</w:t>
            </w:r>
            <w:r w:rsidRPr="004D3B5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5D5A9F8D" w14:textId="07169F3A" w:rsidR="003B48C4" w:rsidRPr="00C87CDD" w:rsidRDefault="003B48C4" w:rsidP="00422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3B48C4">
              <w:rPr>
                <w:sz w:val="18"/>
                <w:szCs w:val="18"/>
              </w:rPr>
              <w:t xml:space="preserve">o significant differences between </w:t>
            </w:r>
            <w:r>
              <w:rPr>
                <w:sz w:val="18"/>
                <w:szCs w:val="18"/>
              </w:rPr>
              <w:t>arms</w:t>
            </w:r>
            <w:r w:rsidRPr="003B48C4">
              <w:rPr>
                <w:sz w:val="18"/>
                <w:szCs w:val="18"/>
              </w:rPr>
              <w:t xml:space="preserve"> in </w:t>
            </w:r>
            <w:r w:rsidR="000013C3">
              <w:rPr>
                <w:sz w:val="18"/>
                <w:szCs w:val="18"/>
              </w:rPr>
              <w:t xml:space="preserve">SCL-90 derived </w:t>
            </w:r>
            <w:r>
              <w:rPr>
                <w:sz w:val="18"/>
                <w:szCs w:val="18"/>
              </w:rPr>
              <w:t xml:space="preserve">global severity </w:t>
            </w:r>
            <w:r w:rsidR="000013C3">
              <w:rPr>
                <w:sz w:val="18"/>
                <w:szCs w:val="18"/>
              </w:rPr>
              <w:t xml:space="preserve">of symptoms </w:t>
            </w:r>
            <w:r>
              <w:rPr>
                <w:sz w:val="18"/>
                <w:szCs w:val="18"/>
              </w:rPr>
              <w:t>(</w:t>
            </w:r>
            <w:r w:rsidRPr="003B48C4">
              <w:rPr>
                <w:sz w:val="18"/>
                <w:szCs w:val="18"/>
              </w:rPr>
              <w:t xml:space="preserve">GSI </w:t>
            </w:r>
            <w:r>
              <w:rPr>
                <w:sz w:val="18"/>
                <w:szCs w:val="18"/>
              </w:rPr>
              <w:t>59.</w:t>
            </w:r>
            <w:r w:rsidR="004E236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 in intervention arm vs 60.89 in control arm, p = 0.89)</w:t>
            </w:r>
            <w:r w:rsidR="000013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B48C4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anxiety (</w:t>
            </w:r>
            <w:r w:rsidRPr="003B48C4">
              <w:rPr>
                <w:sz w:val="18"/>
                <w:szCs w:val="18"/>
              </w:rPr>
              <w:t>HASS</w:t>
            </w:r>
            <w:r>
              <w:rPr>
                <w:sz w:val="18"/>
                <w:szCs w:val="18"/>
              </w:rPr>
              <w:t xml:space="preserve"> </w:t>
            </w:r>
            <w:r w:rsidRPr="003B48C4">
              <w:rPr>
                <w:sz w:val="18"/>
                <w:szCs w:val="18"/>
              </w:rPr>
              <w:t>64.72</w:t>
            </w:r>
            <w:r>
              <w:rPr>
                <w:sz w:val="18"/>
                <w:szCs w:val="18"/>
              </w:rPr>
              <w:t xml:space="preserve"> vs 68.23, p </w:t>
            </w:r>
            <w:r w:rsidR="000013C3">
              <w:rPr>
                <w:sz w:val="18"/>
                <w:szCs w:val="18"/>
              </w:rPr>
              <w:t>= 0.74)</w:t>
            </w:r>
            <w:r w:rsidR="00587A9A">
              <w:rPr>
                <w:sz w:val="18"/>
                <w:szCs w:val="18"/>
              </w:rPr>
              <w:t xml:space="preserve"> at 12 weeks</w:t>
            </w:r>
            <w:r>
              <w:rPr>
                <w:sz w:val="18"/>
                <w:szCs w:val="18"/>
              </w:rPr>
              <w:t>.</w:t>
            </w:r>
            <w:r w:rsidR="00587A9A">
              <w:rPr>
                <w:sz w:val="18"/>
                <w:szCs w:val="18"/>
              </w:rPr>
              <w:t xml:space="preserve"> N</w:t>
            </w:r>
            <w:r w:rsidR="00587A9A" w:rsidRPr="00587A9A">
              <w:rPr>
                <w:sz w:val="18"/>
                <w:szCs w:val="18"/>
              </w:rPr>
              <w:t>o significant difference in changes in psychotropic</w:t>
            </w:r>
            <w:r w:rsidR="00587A9A">
              <w:rPr>
                <w:sz w:val="18"/>
                <w:szCs w:val="18"/>
              </w:rPr>
              <w:t xml:space="preserve"> </w:t>
            </w:r>
            <w:r w:rsidR="00587A9A" w:rsidRPr="00587A9A">
              <w:rPr>
                <w:sz w:val="18"/>
                <w:szCs w:val="18"/>
              </w:rPr>
              <w:t>medications (OR 1.09, 95% CI 0.</w:t>
            </w:r>
            <w:r w:rsidR="00B41FD8">
              <w:rPr>
                <w:sz w:val="18"/>
                <w:szCs w:val="18"/>
              </w:rPr>
              <w:t>6</w:t>
            </w:r>
            <w:r w:rsidR="00B41FD8" w:rsidRPr="00587A9A">
              <w:rPr>
                <w:sz w:val="18"/>
                <w:szCs w:val="18"/>
              </w:rPr>
              <w:t xml:space="preserve">4 </w:t>
            </w:r>
            <w:r w:rsidR="00587A9A" w:rsidRPr="00587A9A">
              <w:rPr>
                <w:sz w:val="18"/>
                <w:szCs w:val="18"/>
              </w:rPr>
              <w:t>to 1.85)</w:t>
            </w:r>
            <w:r w:rsidR="00587A9A">
              <w:rPr>
                <w:sz w:val="18"/>
                <w:szCs w:val="18"/>
              </w:rPr>
              <w:t xml:space="preserve"> over 5 months</w:t>
            </w:r>
            <w:r w:rsidR="00587A9A" w:rsidRPr="00587A9A">
              <w:rPr>
                <w:sz w:val="18"/>
                <w:szCs w:val="18"/>
              </w:rPr>
              <w:t>.</w:t>
            </w:r>
            <w:r w:rsidR="00587A9A">
              <w:rPr>
                <w:sz w:val="18"/>
                <w:szCs w:val="18"/>
              </w:rPr>
              <w:t xml:space="preserve"> R</w:t>
            </w:r>
            <w:r w:rsidR="00587A9A" w:rsidRPr="00587A9A">
              <w:rPr>
                <w:sz w:val="18"/>
                <w:szCs w:val="18"/>
              </w:rPr>
              <w:t>eferral</w:t>
            </w:r>
            <w:r w:rsidR="00587A9A">
              <w:rPr>
                <w:sz w:val="18"/>
                <w:szCs w:val="18"/>
              </w:rPr>
              <w:t>s</w:t>
            </w:r>
            <w:r w:rsidR="00587A9A" w:rsidRPr="00587A9A">
              <w:rPr>
                <w:sz w:val="18"/>
                <w:szCs w:val="18"/>
              </w:rPr>
              <w:t xml:space="preserve"> to mental health specialists</w:t>
            </w:r>
            <w:r w:rsidR="00587A9A">
              <w:rPr>
                <w:sz w:val="18"/>
                <w:szCs w:val="18"/>
              </w:rPr>
              <w:t xml:space="preserve"> over 5 months </w:t>
            </w:r>
            <w:r w:rsidR="00587A9A" w:rsidRPr="00587A9A">
              <w:rPr>
                <w:sz w:val="18"/>
                <w:szCs w:val="18"/>
              </w:rPr>
              <w:t>significantly more</w:t>
            </w:r>
            <w:r w:rsidR="00587A9A">
              <w:rPr>
                <w:sz w:val="18"/>
                <w:szCs w:val="18"/>
              </w:rPr>
              <w:t xml:space="preserve"> </w:t>
            </w:r>
            <w:r w:rsidR="00587A9A" w:rsidRPr="00587A9A">
              <w:rPr>
                <w:sz w:val="18"/>
                <w:szCs w:val="18"/>
              </w:rPr>
              <w:t>likely in feedback group (OR 1.73, 95% CI 1.11 to 2.70).</w:t>
            </w:r>
            <w:r w:rsidR="00D12F4B">
              <w:rPr>
                <w:sz w:val="18"/>
                <w:szCs w:val="18"/>
              </w:rPr>
              <w:t xml:space="preserve"> N</w:t>
            </w:r>
            <w:r w:rsidR="00D12F4B" w:rsidRPr="00D12F4B">
              <w:rPr>
                <w:sz w:val="18"/>
                <w:szCs w:val="18"/>
              </w:rPr>
              <w:t>o significant differences on the</w:t>
            </w:r>
            <w:r w:rsidR="00D12F4B">
              <w:rPr>
                <w:sz w:val="18"/>
                <w:szCs w:val="18"/>
              </w:rPr>
              <w:t xml:space="preserve"> </w:t>
            </w:r>
            <w:r w:rsidR="00D12F4B" w:rsidRPr="00D12F4B">
              <w:rPr>
                <w:sz w:val="18"/>
                <w:szCs w:val="18"/>
              </w:rPr>
              <w:t>SF-36</w:t>
            </w:r>
            <w:r w:rsidR="00D12F4B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4427DCA0" w14:textId="4936AD97" w:rsidR="00B25F6C" w:rsidRDefault="002606ED" w:rsidP="004C211D">
            <w:pPr>
              <w:rPr>
                <w:sz w:val="18"/>
                <w:szCs w:val="18"/>
              </w:rPr>
            </w:pPr>
            <w:r w:rsidRPr="001332E5">
              <w:rPr>
                <w:b/>
                <w:bCs/>
                <w:sz w:val="18"/>
                <w:szCs w:val="18"/>
              </w:rPr>
              <w:t>Limitations:</w:t>
            </w:r>
            <w:r>
              <w:rPr>
                <w:sz w:val="18"/>
                <w:szCs w:val="18"/>
              </w:rPr>
              <w:t xml:space="preserve"> </w:t>
            </w:r>
            <w:r w:rsidR="00D12F4B">
              <w:rPr>
                <w:sz w:val="18"/>
                <w:szCs w:val="18"/>
              </w:rPr>
              <w:t>Method of allocation to arm not reported in detail (“p</w:t>
            </w:r>
            <w:r w:rsidR="00587A9A" w:rsidRPr="00587A9A">
              <w:rPr>
                <w:sz w:val="18"/>
                <w:szCs w:val="18"/>
              </w:rPr>
              <w:t>hysicians were randomized</w:t>
            </w:r>
            <w:r w:rsidR="00587A9A">
              <w:rPr>
                <w:sz w:val="18"/>
                <w:szCs w:val="18"/>
              </w:rPr>
              <w:t xml:space="preserve"> “</w:t>
            </w:r>
            <w:r w:rsidR="00587A9A" w:rsidRPr="00587A9A">
              <w:rPr>
                <w:sz w:val="18"/>
                <w:szCs w:val="18"/>
              </w:rPr>
              <w:t>by call group</w:t>
            </w:r>
            <w:r w:rsidR="00587A9A">
              <w:rPr>
                <w:sz w:val="18"/>
                <w:szCs w:val="18"/>
              </w:rPr>
              <w:t>”</w:t>
            </w:r>
            <w:r w:rsidR="00587A9A" w:rsidRPr="00587A9A">
              <w:rPr>
                <w:sz w:val="18"/>
                <w:szCs w:val="18"/>
              </w:rPr>
              <w:t xml:space="preserve"> to </w:t>
            </w:r>
            <w:r w:rsidR="00587A9A">
              <w:rPr>
                <w:sz w:val="18"/>
                <w:szCs w:val="18"/>
              </w:rPr>
              <w:t xml:space="preserve">intervention </w:t>
            </w:r>
            <w:r w:rsidR="00587A9A" w:rsidRPr="00587A9A">
              <w:rPr>
                <w:sz w:val="18"/>
                <w:szCs w:val="18"/>
              </w:rPr>
              <w:t>or control arm</w:t>
            </w:r>
            <w:r w:rsidR="00D12F4B">
              <w:rPr>
                <w:sz w:val="18"/>
                <w:szCs w:val="18"/>
              </w:rPr>
              <w:t>”)</w:t>
            </w:r>
            <w:r w:rsidR="00587A9A">
              <w:rPr>
                <w:sz w:val="18"/>
                <w:szCs w:val="18"/>
              </w:rPr>
              <w:t xml:space="preserve">. </w:t>
            </w:r>
          </w:p>
          <w:p w14:paraId="1660A3FB" w14:textId="77777777" w:rsidR="00B25F6C" w:rsidRDefault="00587A9A" w:rsidP="004C211D">
            <w:pPr>
              <w:rPr>
                <w:sz w:val="18"/>
                <w:szCs w:val="18"/>
              </w:rPr>
            </w:pPr>
            <w:r w:rsidRPr="00587A9A">
              <w:rPr>
                <w:sz w:val="18"/>
                <w:szCs w:val="18"/>
              </w:rPr>
              <w:t xml:space="preserve">Not possible to blind </w:t>
            </w:r>
            <w:r>
              <w:rPr>
                <w:sz w:val="18"/>
                <w:szCs w:val="18"/>
              </w:rPr>
              <w:t>practitioner</w:t>
            </w:r>
            <w:r w:rsidRPr="00587A9A">
              <w:rPr>
                <w:sz w:val="18"/>
                <w:szCs w:val="18"/>
              </w:rPr>
              <w:t xml:space="preserve">s and </w:t>
            </w:r>
            <w:r>
              <w:rPr>
                <w:sz w:val="18"/>
                <w:szCs w:val="18"/>
              </w:rPr>
              <w:t xml:space="preserve">researchers </w:t>
            </w:r>
            <w:r w:rsidRPr="00587A9A">
              <w:rPr>
                <w:sz w:val="18"/>
                <w:szCs w:val="18"/>
              </w:rPr>
              <w:t>due to the nature of the intervention</w:t>
            </w:r>
            <w:r>
              <w:rPr>
                <w:sz w:val="18"/>
                <w:szCs w:val="18"/>
              </w:rPr>
              <w:t xml:space="preserve"> and cluster randomi</w:t>
            </w:r>
            <w:r w:rsidR="00326D1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ation.</w:t>
            </w:r>
            <w:r w:rsidR="00D12F4B">
              <w:rPr>
                <w:sz w:val="18"/>
                <w:szCs w:val="18"/>
              </w:rPr>
              <w:t xml:space="preserve"> </w:t>
            </w:r>
          </w:p>
          <w:p w14:paraId="78A7CCAB" w14:textId="54EEE7D3" w:rsidR="00AF631A" w:rsidRPr="00C87CDD" w:rsidRDefault="00D12F4B" w:rsidP="00912816">
            <w:pPr>
              <w:rPr>
                <w:sz w:val="18"/>
                <w:szCs w:val="18"/>
              </w:rPr>
            </w:pPr>
            <w:r w:rsidRPr="00D12F4B">
              <w:rPr>
                <w:sz w:val="18"/>
                <w:szCs w:val="18"/>
              </w:rPr>
              <w:t xml:space="preserve">The 45 participants </w:t>
            </w:r>
            <w:r w:rsidR="004C211D">
              <w:rPr>
                <w:sz w:val="18"/>
                <w:szCs w:val="18"/>
              </w:rPr>
              <w:t>(</w:t>
            </w:r>
            <w:r w:rsidR="00F027BD">
              <w:rPr>
                <w:sz w:val="18"/>
                <w:szCs w:val="18"/>
              </w:rPr>
              <w:t>7.3</w:t>
            </w:r>
            <w:r w:rsidR="004C211D">
              <w:rPr>
                <w:sz w:val="18"/>
                <w:szCs w:val="18"/>
              </w:rPr>
              <w:t xml:space="preserve">%) </w:t>
            </w:r>
            <w:r w:rsidRPr="00D12F4B">
              <w:rPr>
                <w:sz w:val="18"/>
                <w:szCs w:val="18"/>
              </w:rPr>
              <w:t>lost to follow-up had</w:t>
            </w:r>
            <w:r>
              <w:rPr>
                <w:sz w:val="18"/>
                <w:szCs w:val="18"/>
              </w:rPr>
              <w:t xml:space="preserve"> </w:t>
            </w:r>
            <w:r w:rsidRPr="00D12F4B">
              <w:rPr>
                <w:sz w:val="18"/>
                <w:szCs w:val="18"/>
              </w:rPr>
              <w:t xml:space="preserve">higher mean scores for </w:t>
            </w:r>
            <w:r w:rsidR="004C211D">
              <w:rPr>
                <w:sz w:val="18"/>
                <w:szCs w:val="18"/>
              </w:rPr>
              <w:t xml:space="preserve">the </w:t>
            </w:r>
            <w:r w:rsidRPr="00D12F4B">
              <w:rPr>
                <w:sz w:val="18"/>
                <w:szCs w:val="18"/>
              </w:rPr>
              <w:t xml:space="preserve">SF-36 than </w:t>
            </w:r>
            <w:r w:rsidR="00912816">
              <w:rPr>
                <w:sz w:val="18"/>
                <w:szCs w:val="18"/>
              </w:rPr>
              <w:t xml:space="preserve">those </w:t>
            </w:r>
            <w:r w:rsidRPr="00D12F4B">
              <w:rPr>
                <w:sz w:val="18"/>
                <w:szCs w:val="18"/>
              </w:rPr>
              <w:t>followed up</w:t>
            </w:r>
            <w:r w:rsidR="004C211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</w:tcPr>
          <w:p w14:paraId="0B8A52D2" w14:textId="77777777" w:rsidR="002C6379" w:rsidRDefault="00B7615E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Symptom monitoring with feedback to physicians did not improve outcomes of depression treatment in primary care. </w:t>
            </w:r>
          </w:p>
          <w:p w14:paraId="66D2D9D1" w14:textId="77777777" w:rsidR="002C6379" w:rsidRDefault="002C6379" w:rsidP="00276E23">
            <w:pPr>
              <w:rPr>
                <w:sz w:val="18"/>
                <w:szCs w:val="18"/>
              </w:rPr>
            </w:pPr>
          </w:p>
          <w:p w14:paraId="3DF7EB20" w14:textId="549803B3" w:rsidR="00276E23" w:rsidRDefault="00B7615E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to physicians did not result in more changes of psychotropic medication but did result in more referrals to mental health specialists.</w:t>
            </w:r>
            <w:r w:rsidR="00276E23">
              <w:rPr>
                <w:sz w:val="18"/>
                <w:szCs w:val="18"/>
              </w:rPr>
              <w:t xml:space="preserve"> </w:t>
            </w:r>
          </w:p>
          <w:p w14:paraId="06C267F5" w14:textId="77777777" w:rsidR="00912816" w:rsidRDefault="00912816" w:rsidP="00276E23">
            <w:pPr>
              <w:rPr>
                <w:sz w:val="18"/>
                <w:szCs w:val="18"/>
              </w:rPr>
            </w:pPr>
          </w:p>
          <w:p w14:paraId="4D7484AB" w14:textId="52B86332" w:rsidR="00276E23" w:rsidRDefault="00276E23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 quality study.</w:t>
            </w:r>
          </w:p>
          <w:p w14:paraId="5863C444" w14:textId="065EBCA0" w:rsidR="00C87CDD" w:rsidRPr="00C87CDD" w:rsidRDefault="00C87CDD" w:rsidP="00B7615E">
            <w:pPr>
              <w:rPr>
                <w:sz w:val="18"/>
                <w:szCs w:val="18"/>
              </w:rPr>
            </w:pPr>
          </w:p>
        </w:tc>
      </w:tr>
      <w:tr w:rsidR="00C87CDD" w:rsidRPr="00986DE4" w14:paraId="0FC188FD" w14:textId="77777777" w:rsidTr="00912816">
        <w:tc>
          <w:tcPr>
            <w:tcW w:w="2547" w:type="dxa"/>
          </w:tcPr>
          <w:p w14:paraId="28446953" w14:textId="148E95BF" w:rsidR="00C87CDD" w:rsidRPr="00C50C64" w:rsidRDefault="00195525">
            <w:pPr>
              <w:rPr>
                <w:vertAlign w:val="superscript"/>
              </w:rPr>
            </w:pPr>
            <w:r>
              <w:rPr>
                <w:b/>
              </w:rPr>
              <w:t>Yeu</w:t>
            </w:r>
            <w:r w:rsidR="00C87CDD" w:rsidRPr="00986DE4">
              <w:rPr>
                <w:b/>
              </w:rPr>
              <w:t xml:space="preserve">ng </w:t>
            </w:r>
            <w:r w:rsidR="00276E23">
              <w:rPr>
                <w:b/>
              </w:rPr>
              <w:t xml:space="preserve">et al </w:t>
            </w:r>
            <w:r w:rsidR="00C87CDD" w:rsidRPr="00986DE4">
              <w:rPr>
                <w:b/>
              </w:rPr>
              <w:t>2012</w:t>
            </w:r>
            <w:r w:rsidR="00C50C64">
              <w:rPr>
                <w:vertAlign w:val="superscript"/>
              </w:rPr>
              <w:t>10</w:t>
            </w:r>
          </w:p>
          <w:p w14:paraId="6389609A" w14:textId="77777777" w:rsidR="00C87CDD" w:rsidRPr="00986DE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Primary care group practices, USA</w:t>
            </w:r>
          </w:p>
          <w:p w14:paraId="284BF0C7" w14:textId="63DC5903" w:rsidR="00C87CDD" w:rsidRPr="00986DE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N = 915</w:t>
            </w:r>
            <w:r w:rsidR="007E20BF">
              <w:rPr>
                <w:sz w:val="18"/>
                <w:szCs w:val="18"/>
              </w:rPr>
              <w:t xml:space="preserve"> participants</w:t>
            </w:r>
          </w:p>
          <w:p w14:paraId="0460CD4D" w14:textId="3BE75063" w:rsidR="00C87CDD" w:rsidRPr="00986DE4" w:rsidRDefault="00C87CDD">
            <w:r w:rsidRPr="00986DE4">
              <w:rPr>
                <w:sz w:val="18"/>
                <w:szCs w:val="18"/>
              </w:rPr>
              <w:t xml:space="preserve">Cluster </w:t>
            </w:r>
            <w:r w:rsidR="00340AD0">
              <w:rPr>
                <w:sz w:val="18"/>
                <w:szCs w:val="18"/>
              </w:rPr>
              <w:t xml:space="preserve">quasi </w:t>
            </w:r>
            <w:r w:rsidRPr="00986DE4">
              <w:rPr>
                <w:sz w:val="18"/>
                <w:szCs w:val="18"/>
              </w:rPr>
              <w:t>randomised by practice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10B0AFA2" w14:textId="77777777" w:rsidR="00573866" w:rsidRPr="00573866" w:rsidRDefault="00573866" w:rsidP="00573866">
            <w:pPr>
              <w:rPr>
                <w:sz w:val="18"/>
                <w:szCs w:val="18"/>
              </w:rPr>
            </w:pPr>
            <w:r w:rsidRPr="001332E5">
              <w:rPr>
                <w:b/>
                <w:bCs/>
                <w:sz w:val="18"/>
                <w:szCs w:val="18"/>
              </w:rPr>
              <w:t>PROM:</w:t>
            </w:r>
            <w:r>
              <w:rPr>
                <w:sz w:val="18"/>
                <w:szCs w:val="18"/>
              </w:rPr>
              <w:t xml:space="preserve"> </w:t>
            </w:r>
            <w:r w:rsidRPr="00573866">
              <w:rPr>
                <w:sz w:val="18"/>
                <w:szCs w:val="18"/>
              </w:rPr>
              <w:t xml:space="preserve">PHQ-9 </w:t>
            </w:r>
            <w:r w:rsidR="004D3B5D" w:rsidRPr="004D3B5D">
              <w:rPr>
                <w:sz w:val="18"/>
                <w:szCs w:val="18"/>
              </w:rPr>
              <w:t xml:space="preserve">administered by researchers outside the practice and </w:t>
            </w:r>
            <w:r w:rsidRPr="00573866">
              <w:rPr>
                <w:sz w:val="18"/>
                <w:szCs w:val="18"/>
              </w:rPr>
              <w:t>score</w:t>
            </w:r>
            <w:r w:rsidR="004D3B5D">
              <w:rPr>
                <w:sz w:val="18"/>
                <w:szCs w:val="18"/>
              </w:rPr>
              <w:t>s</w:t>
            </w:r>
            <w:r w:rsidRPr="00573866">
              <w:rPr>
                <w:sz w:val="18"/>
                <w:szCs w:val="18"/>
              </w:rPr>
              <w:t xml:space="preserve"> faxed to physicians </w:t>
            </w:r>
            <w:r>
              <w:rPr>
                <w:sz w:val="18"/>
                <w:szCs w:val="18"/>
              </w:rPr>
              <w:t>monthly over 6 months, with %</w:t>
            </w:r>
            <w:r w:rsidRPr="00573866">
              <w:rPr>
                <w:sz w:val="18"/>
                <w:szCs w:val="18"/>
              </w:rPr>
              <w:t xml:space="preserve"> change </w:t>
            </w:r>
            <w:r>
              <w:rPr>
                <w:sz w:val="18"/>
                <w:szCs w:val="18"/>
              </w:rPr>
              <w:t>from</w:t>
            </w:r>
            <w:r w:rsidRPr="00573866">
              <w:rPr>
                <w:sz w:val="18"/>
                <w:szCs w:val="18"/>
              </w:rPr>
              <w:t xml:space="preserve"> baseline, </w:t>
            </w:r>
            <w:r>
              <w:rPr>
                <w:sz w:val="18"/>
                <w:szCs w:val="18"/>
              </w:rPr>
              <w:t xml:space="preserve">interpretation, </w:t>
            </w:r>
            <w:r w:rsidRPr="00573866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 possible treatment adjustment.</w:t>
            </w:r>
          </w:p>
          <w:p w14:paraId="73C9F32B" w14:textId="5743848C" w:rsidR="00AF631A" w:rsidRDefault="00DF0AB8" w:rsidP="0006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Feedback to practitioner </w:t>
            </w:r>
            <w:r w:rsidR="004D3B5D">
              <w:rPr>
                <w:sz w:val="18"/>
                <w:szCs w:val="18"/>
              </w:rPr>
              <w:t xml:space="preserve">and patient. </w:t>
            </w:r>
          </w:p>
          <w:p w14:paraId="01212E07" w14:textId="77777777" w:rsidR="00BF19F4" w:rsidRDefault="00BF19F4" w:rsidP="00062400">
            <w:pPr>
              <w:rPr>
                <w:sz w:val="18"/>
                <w:szCs w:val="18"/>
              </w:rPr>
            </w:pPr>
          </w:p>
          <w:p w14:paraId="654E9737" w14:textId="666F85D3" w:rsidR="00C87CDD" w:rsidRPr="00C87CDD" w:rsidRDefault="00573866" w:rsidP="00062400">
            <w:pPr>
              <w:rPr>
                <w:sz w:val="18"/>
                <w:szCs w:val="18"/>
              </w:rPr>
            </w:pPr>
            <w:r w:rsidRPr="001332E5">
              <w:rPr>
                <w:b/>
                <w:bCs/>
                <w:sz w:val="18"/>
                <w:szCs w:val="18"/>
              </w:rPr>
              <w:t>Control group</w:t>
            </w:r>
            <w:r w:rsidR="00AF631A" w:rsidRPr="001332E5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completed PHQ-9 </w:t>
            </w:r>
            <w:r w:rsidR="00062400">
              <w:rPr>
                <w:sz w:val="18"/>
                <w:szCs w:val="18"/>
              </w:rPr>
              <w:t xml:space="preserve">at 3 and 6 months </w:t>
            </w:r>
            <w:r>
              <w:rPr>
                <w:sz w:val="18"/>
                <w:szCs w:val="18"/>
              </w:rPr>
              <w:t xml:space="preserve">but results not faxed to physician </w:t>
            </w:r>
            <w:r w:rsidR="00062400">
              <w:rPr>
                <w:sz w:val="18"/>
                <w:szCs w:val="18"/>
              </w:rPr>
              <w:t>until 6 months.</w:t>
            </w:r>
          </w:p>
        </w:tc>
        <w:tc>
          <w:tcPr>
            <w:tcW w:w="3402" w:type="dxa"/>
          </w:tcPr>
          <w:p w14:paraId="76F3080F" w14:textId="77777777" w:rsidR="007832C9" w:rsidRDefault="003B48C4" w:rsidP="004C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Statistically s</w:t>
            </w:r>
            <w:r w:rsidRPr="003B48C4">
              <w:rPr>
                <w:sz w:val="18"/>
                <w:szCs w:val="18"/>
              </w:rPr>
              <w:t>ignificantly greater odds of</w:t>
            </w:r>
            <w:r w:rsidR="000013C3">
              <w:rPr>
                <w:sz w:val="18"/>
                <w:szCs w:val="18"/>
              </w:rPr>
              <w:t xml:space="preserve"> </w:t>
            </w:r>
            <w:r w:rsidR="00062400" w:rsidRPr="00062400">
              <w:rPr>
                <w:sz w:val="18"/>
                <w:szCs w:val="18"/>
              </w:rPr>
              <w:t xml:space="preserve">remission </w:t>
            </w:r>
            <w:r w:rsidR="00062400">
              <w:rPr>
                <w:sz w:val="18"/>
                <w:szCs w:val="18"/>
              </w:rPr>
              <w:t>to PHQ-9 &lt;5 (odds ratio [OR], 1.59, 95% CI, 1.07–2.37</w:t>
            </w:r>
            <w:r w:rsidR="00062400" w:rsidRPr="00062400">
              <w:rPr>
                <w:sz w:val="18"/>
                <w:szCs w:val="18"/>
              </w:rPr>
              <w:t xml:space="preserve">) </w:t>
            </w:r>
            <w:r w:rsidR="00062400">
              <w:rPr>
                <w:sz w:val="18"/>
                <w:szCs w:val="18"/>
              </w:rPr>
              <w:t xml:space="preserve">and </w:t>
            </w:r>
            <w:r w:rsidR="004C211D">
              <w:rPr>
                <w:sz w:val="18"/>
                <w:szCs w:val="18"/>
              </w:rPr>
              <w:t>to r</w:t>
            </w:r>
            <w:r w:rsidRPr="003B48C4">
              <w:rPr>
                <w:sz w:val="18"/>
                <w:szCs w:val="18"/>
              </w:rPr>
              <w:t>esponse</w:t>
            </w:r>
            <w:r>
              <w:rPr>
                <w:sz w:val="18"/>
                <w:szCs w:val="18"/>
              </w:rPr>
              <w:t xml:space="preserve"> </w:t>
            </w:r>
            <w:r w:rsidRPr="00573866">
              <w:rPr>
                <w:sz w:val="18"/>
                <w:szCs w:val="18"/>
              </w:rPr>
              <w:t>(PHQ score reduced by at least 25%)</w:t>
            </w:r>
            <w:r>
              <w:rPr>
                <w:sz w:val="18"/>
                <w:szCs w:val="18"/>
              </w:rPr>
              <w:t xml:space="preserve"> </w:t>
            </w:r>
            <w:r w:rsidR="000013C3">
              <w:rPr>
                <w:sz w:val="18"/>
                <w:szCs w:val="18"/>
              </w:rPr>
              <w:t xml:space="preserve">found </w:t>
            </w:r>
            <w:r>
              <w:rPr>
                <w:sz w:val="18"/>
                <w:szCs w:val="18"/>
              </w:rPr>
              <w:t xml:space="preserve">in </w:t>
            </w:r>
            <w:r w:rsidRPr="003B48C4">
              <w:rPr>
                <w:sz w:val="18"/>
                <w:szCs w:val="18"/>
              </w:rPr>
              <w:t xml:space="preserve">feedback </w:t>
            </w:r>
            <w:r>
              <w:rPr>
                <w:sz w:val="18"/>
                <w:szCs w:val="18"/>
              </w:rPr>
              <w:t>group</w:t>
            </w:r>
            <w:r w:rsidRPr="003B48C4">
              <w:rPr>
                <w:sz w:val="18"/>
                <w:szCs w:val="18"/>
              </w:rPr>
              <w:t xml:space="preserve"> (</w:t>
            </w:r>
            <w:r w:rsidR="00062400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Pr="003B48C4">
              <w:rPr>
                <w:sz w:val="18"/>
                <w:szCs w:val="18"/>
              </w:rPr>
              <w:t>2.02, 95% CI 1.36 to 3.02).</w:t>
            </w:r>
            <w:r>
              <w:rPr>
                <w:sz w:val="18"/>
                <w:szCs w:val="18"/>
              </w:rPr>
              <w:t xml:space="preserve"> </w:t>
            </w:r>
            <w:r w:rsidR="000013C3">
              <w:rPr>
                <w:sz w:val="18"/>
                <w:szCs w:val="18"/>
              </w:rPr>
              <w:t>However</w:t>
            </w:r>
            <w:r w:rsidR="00BF19F4">
              <w:rPr>
                <w:sz w:val="18"/>
                <w:szCs w:val="18"/>
              </w:rPr>
              <w:t>,</w:t>
            </w:r>
            <w:r w:rsidR="000013C3">
              <w:rPr>
                <w:sz w:val="18"/>
                <w:szCs w:val="18"/>
              </w:rPr>
              <w:t xml:space="preserve"> proportions</w:t>
            </w:r>
            <w:r w:rsidR="000013C3" w:rsidRPr="000013C3">
              <w:rPr>
                <w:sz w:val="18"/>
                <w:szCs w:val="18"/>
              </w:rPr>
              <w:t xml:space="preserve"> without </w:t>
            </w:r>
            <w:r w:rsidR="004C211D">
              <w:rPr>
                <w:sz w:val="18"/>
                <w:szCs w:val="18"/>
              </w:rPr>
              <w:t xml:space="preserve">a </w:t>
            </w:r>
            <w:r w:rsidR="000013C3" w:rsidRPr="000013C3">
              <w:rPr>
                <w:sz w:val="18"/>
                <w:szCs w:val="18"/>
              </w:rPr>
              <w:t>change in antidepressant therapy did not differ significantly between</w:t>
            </w:r>
            <w:r w:rsidR="000013C3">
              <w:rPr>
                <w:sz w:val="18"/>
                <w:szCs w:val="18"/>
              </w:rPr>
              <w:t xml:space="preserve"> </w:t>
            </w:r>
            <w:r w:rsidR="000013C3" w:rsidRPr="000013C3">
              <w:rPr>
                <w:sz w:val="18"/>
                <w:szCs w:val="18"/>
              </w:rPr>
              <w:t xml:space="preserve">study arms </w:t>
            </w:r>
            <w:r w:rsidR="000013C3">
              <w:rPr>
                <w:sz w:val="18"/>
                <w:szCs w:val="18"/>
              </w:rPr>
              <w:t>(</w:t>
            </w:r>
            <w:r w:rsidR="000013C3" w:rsidRPr="000013C3">
              <w:rPr>
                <w:sz w:val="18"/>
                <w:szCs w:val="18"/>
              </w:rPr>
              <w:t xml:space="preserve">200/352 in feedback </w:t>
            </w:r>
            <w:r w:rsidR="000013C3">
              <w:rPr>
                <w:sz w:val="18"/>
                <w:szCs w:val="18"/>
              </w:rPr>
              <w:t>group vs</w:t>
            </w:r>
            <w:r w:rsidR="000013C3" w:rsidRPr="000013C3">
              <w:rPr>
                <w:sz w:val="18"/>
                <w:szCs w:val="18"/>
              </w:rPr>
              <w:t xml:space="preserve"> 115/252 in no feedback group</w:t>
            </w:r>
            <w:r w:rsidR="000013C3">
              <w:rPr>
                <w:sz w:val="18"/>
                <w:szCs w:val="18"/>
              </w:rPr>
              <w:t xml:space="preserve">, </w:t>
            </w:r>
            <w:r w:rsidR="000013C3" w:rsidRPr="000013C3">
              <w:rPr>
                <w:sz w:val="18"/>
                <w:szCs w:val="18"/>
              </w:rPr>
              <w:t>OR 1.21</w:t>
            </w:r>
            <w:r w:rsidR="000013C3">
              <w:rPr>
                <w:sz w:val="18"/>
                <w:szCs w:val="18"/>
              </w:rPr>
              <w:t>,</w:t>
            </w:r>
            <w:r w:rsidR="000013C3" w:rsidRPr="000013C3">
              <w:rPr>
                <w:sz w:val="18"/>
                <w:szCs w:val="18"/>
              </w:rPr>
              <w:t xml:space="preserve"> 95% CI 0.78 to 1.88; </w:t>
            </w:r>
            <w:r w:rsidR="00340AD0">
              <w:rPr>
                <w:sz w:val="18"/>
                <w:szCs w:val="18"/>
              </w:rPr>
              <w:t>p</w:t>
            </w:r>
            <w:r w:rsidR="00340AD0" w:rsidRPr="000013C3">
              <w:rPr>
                <w:sz w:val="18"/>
                <w:szCs w:val="18"/>
              </w:rPr>
              <w:t xml:space="preserve"> </w:t>
            </w:r>
            <w:r w:rsidR="000013C3" w:rsidRPr="000013C3">
              <w:rPr>
                <w:sz w:val="18"/>
                <w:szCs w:val="18"/>
              </w:rPr>
              <w:t>= 0.06).</w:t>
            </w:r>
            <w:r w:rsidR="00890FFA">
              <w:rPr>
                <w:sz w:val="18"/>
                <w:szCs w:val="18"/>
              </w:rPr>
              <w:t xml:space="preserve"> </w:t>
            </w:r>
          </w:p>
          <w:p w14:paraId="130C101F" w14:textId="709FA37B" w:rsidR="00C87CDD" w:rsidRPr="00C87CDD" w:rsidRDefault="00890FFA" w:rsidP="004C21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90FFA">
              <w:rPr>
                <w:sz w:val="18"/>
                <w:szCs w:val="18"/>
              </w:rPr>
              <w:t xml:space="preserve">o immediate suicide risk </w:t>
            </w:r>
            <w:r>
              <w:rPr>
                <w:sz w:val="18"/>
                <w:szCs w:val="18"/>
              </w:rPr>
              <w:t xml:space="preserve">found </w:t>
            </w:r>
            <w:r w:rsidRPr="00890FFA">
              <w:rPr>
                <w:sz w:val="18"/>
                <w:szCs w:val="18"/>
              </w:rPr>
              <w:t>across</w:t>
            </w:r>
            <w:r>
              <w:rPr>
                <w:sz w:val="18"/>
                <w:szCs w:val="18"/>
              </w:rPr>
              <w:t xml:space="preserve"> </w:t>
            </w:r>
            <w:r w:rsidRPr="00890FFA">
              <w:rPr>
                <w:sz w:val="18"/>
                <w:szCs w:val="18"/>
              </w:rPr>
              <w:t>both feedback and no-feedback groups combined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14:paraId="52D804AF" w14:textId="38EE9279" w:rsidR="00B25F6C" w:rsidRDefault="002606ED" w:rsidP="002606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332E5">
              <w:rPr>
                <w:rFonts w:cstheme="minorHAnsi"/>
                <w:b/>
                <w:bCs/>
                <w:sz w:val="18"/>
                <w:szCs w:val="18"/>
              </w:rPr>
              <w:t>Strength: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3866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articipating p</w:t>
            </w:r>
            <w:r w:rsidRPr="00573866">
              <w:rPr>
                <w:rFonts w:cstheme="minorHAnsi"/>
                <w:sz w:val="18"/>
                <w:szCs w:val="18"/>
              </w:rPr>
              <w:t xml:space="preserve">hysicians </w:t>
            </w:r>
            <w:r>
              <w:rPr>
                <w:rFonts w:cstheme="minorHAnsi"/>
                <w:sz w:val="18"/>
                <w:szCs w:val="18"/>
              </w:rPr>
              <w:t xml:space="preserve">were kept </w:t>
            </w:r>
            <w:r w:rsidRPr="00573866">
              <w:rPr>
                <w:rFonts w:cstheme="minorHAnsi"/>
                <w:sz w:val="18"/>
                <w:szCs w:val="18"/>
              </w:rPr>
              <w:t xml:space="preserve">blind </w:t>
            </w:r>
            <w:r>
              <w:rPr>
                <w:rFonts w:cstheme="minorHAnsi"/>
                <w:sz w:val="18"/>
                <w:szCs w:val="18"/>
              </w:rPr>
              <w:t xml:space="preserve">to their </w:t>
            </w:r>
            <w:r w:rsidRPr="00573866">
              <w:rPr>
                <w:rFonts w:cstheme="minorHAnsi"/>
                <w:sz w:val="18"/>
                <w:szCs w:val="18"/>
              </w:rPr>
              <w:t>assign</w:t>
            </w:r>
            <w:r>
              <w:rPr>
                <w:rFonts w:cstheme="minorHAnsi"/>
                <w:sz w:val="18"/>
                <w:szCs w:val="18"/>
              </w:rPr>
              <w:t>ment to intervention or control arm</w:t>
            </w:r>
            <w:r w:rsidRPr="00573866">
              <w:rPr>
                <w:rFonts w:cstheme="minorHAnsi"/>
                <w:sz w:val="18"/>
                <w:szCs w:val="18"/>
              </w:rPr>
              <w:t xml:space="preserve"> and</w:t>
            </w:r>
            <w:r>
              <w:rPr>
                <w:rFonts w:cstheme="minorHAnsi"/>
                <w:sz w:val="18"/>
                <w:szCs w:val="18"/>
              </w:rPr>
              <w:t xml:space="preserve"> were </w:t>
            </w:r>
            <w:r w:rsidRPr="00573866">
              <w:rPr>
                <w:rFonts w:cstheme="minorHAnsi"/>
                <w:sz w:val="18"/>
                <w:szCs w:val="18"/>
              </w:rPr>
              <w:t>not informed of</w:t>
            </w:r>
            <w:r>
              <w:rPr>
                <w:rFonts w:cstheme="minorHAnsi"/>
                <w:sz w:val="18"/>
                <w:szCs w:val="18"/>
              </w:rPr>
              <w:t xml:space="preserve"> the</w:t>
            </w:r>
            <w:r w:rsidRPr="00573866">
              <w:rPr>
                <w:rFonts w:cstheme="minorHAnsi"/>
                <w:sz w:val="18"/>
                <w:szCs w:val="18"/>
              </w:rPr>
              <w:t xml:space="preserve"> frequency </w:t>
            </w:r>
            <w:r>
              <w:rPr>
                <w:rFonts w:cstheme="minorHAnsi"/>
                <w:sz w:val="18"/>
                <w:szCs w:val="18"/>
              </w:rPr>
              <w:t xml:space="preserve">of feedback of assessment results. </w:t>
            </w:r>
          </w:p>
          <w:p w14:paraId="4760327E" w14:textId="77777777" w:rsidR="00310E60" w:rsidRDefault="00310E60" w:rsidP="002606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9FB4C40" w14:textId="78BEB62F" w:rsidR="00B25F6C" w:rsidRDefault="002606ED" w:rsidP="002606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332E5">
              <w:rPr>
                <w:rFonts w:cstheme="minorHAnsi"/>
                <w:b/>
                <w:bCs/>
                <w:sz w:val="18"/>
                <w:szCs w:val="18"/>
              </w:rPr>
              <w:t>Limitations: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73866">
              <w:rPr>
                <w:rFonts w:cstheme="minorHAnsi"/>
                <w:sz w:val="18"/>
                <w:szCs w:val="18"/>
              </w:rPr>
              <w:t>H</w:t>
            </w:r>
            <w:r w:rsidR="00485D2A">
              <w:rPr>
                <w:rFonts w:cstheme="minorHAnsi"/>
                <w:sz w:val="18"/>
                <w:szCs w:val="18"/>
              </w:rPr>
              <w:t xml:space="preserve">igh risk of bias due to </w:t>
            </w:r>
            <w:r w:rsidR="00573866" w:rsidRPr="00573866">
              <w:rPr>
                <w:rFonts w:cstheme="minorHAnsi"/>
                <w:sz w:val="18"/>
                <w:szCs w:val="18"/>
              </w:rPr>
              <w:t xml:space="preserve">alternate assignment of </w:t>
            </w:r>
            <w:r w:rsidR="00573866">
              <w:rPr>
                <w:rFonts w:cstheme="minorHAnsi"/>
                <w:sz w:val="18"/>
                <w:szCs w:val="18"/>
              </w:rPr>
              <w:t xml:space="preserve">recruited practices to intervention and control arms. </w:t>
            </w:r>
          </w:p>
          <w:p w14:paraId="50D32165" w14:textId="6CE51B09" w:rsidR="00340AD0" w:rsidRPr="00AF631A" w:rsidRDefault="00C50C64" w:rsidP="002606ED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authors performed </w:t>
            </w:r>
            <w:r w:rsidR="00890FFA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er protocol analyse</w:t>
            </w:r>
            <w:r w:rsidR="00485D2A" w:rsidRPr="00485D2A">
              <w:rPr>
                <w:rFonts w:cstheme="minorHAnsi"/>
                <w:sz w:val="18"/>
                <w:szCs w:val="18"/>
              </w:rPr>
              <w:t>s</w:t>
            </w:r>
            <w:r w:rsidR="002606ED">
              <w:rPr>
                <w:rFonts w:cstheme="minorHAnsi"/>
                <w:sz w:val="18"/>
                <w:szCs w:val="18"/>
              </w:rPr>
              <w:t xml:space="preserve"> only, </w:t>
            </w:r>
            <w:r w:rsidR="004D3B5D">
              <w:rPr>
                <w:rFonts w:cstheme="minorHAnsi"/>
                <w:sz w:val="18"/>
                <w:szCs w:val="18"/>
              </w:rPr>
              <w:t xml:space="preserve">and </w:t>
            </w:r>
            <w:r w:rsidR="00485D2A" w:rsidRPr="00485D2A">
              <w:rPr>
                <w:rFonts w:cstheme="minorHAnsi"/>
                <w:sz w:val="18"/>
                <w:szCs w:val="18"/>
              </w:rPr>
              <w:t>273/915</w:t>
            </w:r>
            <w:r w:rsidR="00D12F4B">
              <w:rPr>
                <w:rFonts w:cstheme="minorHAnsi"/>
                <w:sz w:val="18"/>
                <w:szCs w:val="18"/>
              </w:rPr>
              <w:t xml:space="preserve"> </w:t>
            </w:r>
            <w:r w:rsidR="00485D2A" w:rsidRPr="00485D2A">
              <w:rPr>
                <w:rFonts w:cstheme="minorHAnsi"/>
                <w:sz w:val="18"/>
                <w:szCs w:val="18"/>
              </w:rPr>
              <w:t xml:space="preserve">(29.9%) </w:t>
            </w:r>
            <w:r w:rsidR="00890FFA">
              <w:rPr>
                <w:rFonts w:cstheme="minorHAnsi"/>
                <w:sz w:val="18"/>
                <w:szCs w:val="18"/>
              </w:rPr>
              <w:t xml:space="preserve">of </w:t>
            </w:r>
            <w:r w:rsidR="00485D2A" w:rsidRPr="00485D2A">
              <w:rPr>
                <w:rFonts w:cstheme="minorHAnsi"/>
                <w:sz w:val="18"/>
                <w:szCs w:val="18"/>
              </w:rPr>
              <w:t xml:space="preserve">participants </w:t>
            </w:r>
            <w:r w:rsidR="004D3B5D">
              <w:rPr>
                <w:rFonts w:cstheme="minorHAnsi"/>
                <w:sz w:val="18"/>
                <w:szCs w:val="18"/>
              </w:rPr>
              <w:t xml:space="preserve">were </w:t>
            </w:r>
            <w:r w:rsidR="00485D2A" w:rsidRPr="00485D2A">
              <w:rPr>
                <w:rFonts w:cstheme="minorHAnsi"/>
                <w:sz w:val="18"/>
                <w:szCs w:val="18"/>
              </w:rPr>
              <w:t>not included.</w:t>
            </w:r>
          </w:p>
        </w:tc>
        <w:tc>
          <w:tcPr>
            <w:tcW w:w="3402" w:type="dxa"/>
          </w:tcPr>
          <w:p w14:paraId="5B246E24" w14:textId="77777777" w:rsidR="002C6379" w:rsidRDefault="009F340D" w:rsidP="00B2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076AA" w:rsidRPr="00D076AA">
              <w:rPr>
                <w:sz w:val="18"/>
                <w:szCs w:val="18"/>
              </w:rPr>
              <w:t>ymptom monitoring with feedback to physicians improved</w:t>
            </w:r>
            <w:r>
              <w:rPr>
                <w:sz w:val="18"/>
                <w:szCs w:val="18"/>
              </w:rPr>
              <w:t xml:space="preserve"> </w:t>
            </w:r>
            <w:r w:rsidR="00D076AA" w:rsidRPr="00D076AA">
              <w:rPr>
                <w:sz w:val="18"/>
                <w:szCs w:val="18"/>
              </w:rPr>
              <w:t>outcomes</w:t>
            </w:r>
            <w:r>
              <w:rPr>
                <w:sz w:val="18"/>
                <w:szCs w:val="18"/>
              </w:rPr>
              <w:t xml:space="preserve"> of depression treatment,</w:t>
            </w:r>
            <w:r w:rsidR="00D076AA" w:rsidRPr="00D076AA">
              <w:rPr>
                <w:sz w:val="18"/>
                <w:szCs w:val="18"/>
              </w:rPr>
              <w:t xml:space="preserve"> </w:t>
            </w:r>
            <w:r w:rsidR="00D12F4B" w:rsidRPr="00D12F4B">
              <w:rPr>
                <w:sz w:val="18"/>
                <w:szCs w:val="18"/>
              </w:rPr>
              <w:t xml:space="preserve">despite </w:t>
            </w:r>
            <w:r>
              <w:rPr>
                <w:sz w:val="18"/>
                <w:szCs w:val="18"/>
              </w:rPr>
              <w:t xml:space="preserve">a </w:t>
            </w:r>
            <w:r w:rsidR="00D12F4B" w:rsidRPr="00D12F4B">
              <w:rPr>
                <w:sz w:val="18"/>
                <w:szCs w:val="18"/>
              </w:rPr>
              <w:t xml:space="preserve">lack of significant changes in physicians’ management of </w:t>
            </w:r>
            <w:r w:rsidR="00D12F4B">
              <w:rPr>
                <w:sz w:val="18"/>
                <w:szCs w:val="18"/>
              </w:rPr>
              <w:t>patients’ depression</w:t>
            </w:r>
            <w:r w:rsidR="00D12F4B" w:rsidRPr="00D12F4B">
              <w:rPr>
                <w:sz w:val="18"/>
                <w:szCs w:val="18"/>
              </w:rPr>
              <w:t xml:space="preserve">. </w:t>
            </w:r>
          </w:p>
          <w:p w14:paraId="300B080F" w14:textId="77777777" w:rsidR="002C6379" w:rsidRDefault="002C6379" w:rsidP="00B241BE">
            <w:pPr>
              <w:rPr>
                <w:sz w:val="18"/>
                <w:szCs w:val="18"/>
              </w:rPr>
            </w:pPr>
          </w:p>
          <w:p w14:paraId="7D5F99BE" w14:textId="1FA24A59" w:rsidR="00B241BE" w:rsidRDefault="009F340D" w:rsidP="00B2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12F4B" w:rsidRPr="00D12F4B">
              <w:rPr>
                <w:sz w:val="18"/>
                <w:szCs w:val="18"/>
              </w:rPr>
              <w:t xml:space="preserve">ymptom </w:t>
            </w:r>
            <w:r w:rsidR="00D12F4B">
              <w:rPr>
                <w:sz w:val="18"/>
                <w:szCs w:val="18"/>
              </w:rPr>
              <w:t>measurement</w:t>
            </w:r>
            <w:r w:rsidR="00D12F4B" w:rsidRPr="00D12F4B">
              <w:rPr>
                <w:sz w:val="18"/>
                <w:szCs w:val="18"/>
              </w:rPr>
              <w:t xml:space="preserve"> might have increased patients’</w:t>
            </w:r>
            <w:r w:rsidR="00D12F4B">
              <w:rPr>
                <w:sz w:val="18"/>
                <w:szCs w:val="18"/>
              </w:rPr>
              <w:t xml:space="preserve"> awareness and</w:t>
            </w:r>
            <w:r w:rsidR="00D12F4B" w:rsidRPr="00D12F4B">
              <w:rPr>
                <w:sz w:val="18"/>
                <w:szCs w:val="18"/>
              </w:rPr>
              <w:t xml:space="preserve"> ability to report relevant symptoms</w:t>
            </w:r>
            <w:r w:rsidR="00D12F4B">
              <w:rPr>
                <w:sz w:val="18"/>
                <w:szCs w:val="18"/>
              </w:rPr>
              <w:t xml:space="preserve">, </w:t>
            </w:r>
            <w:r w:rsidR="00D12F4B" w:rsidRPr="00D12F4B">
              <w:rPr>
                <w:sz w:val="18"/>
                <w:szCs w:val="18"/>
              </w:rPr>
              <w:t>or made them feel</w:t>
            </w:r>
            <w:r w:rsidR="00D12F4B">
              <w:rPr>
                <w:sz w:val="18"/>
                <w:szCs w:val="18"/>
              </w:rPr>
              <w:t xml:space="preserve"> </w:t>
            </w:r>
            <w:r w:rsidR="00D12F4B" w:rsidRPr="00D12F4B">
              <w:rPr>
                <w:sz w:val="18"/>
                <w:szCs w:val="18"/>
              </w:rPr>
              <w:t>more supported, contributing</w:t>
            </w:r>
            <w:r w:rsidR="00D076AA">
              <w:rPr>
                <w:sz w:val="18"/>
                <w:szCs w:val="18"/>
              </w:rPr>
              <w:t xml:space="preserve"> </w:t>
            </w:r>
            <w:r w:rsidR="00D12F4B" w:rsidRPr="00D12F4B">
              <w:rPr>
                <w:sz w:val="18"/>
                <w:szCs w:val="18"/>
              </w:rPr>
              <w:t>to a lower medication discontinuation rate in the intervention</w:t>
            </w:r>
            <w:r w:rsidR="00D12F4B">
              <w:rPr>
                <w:sz w:val="18"/>
                <w:szCs w:val="18"/>
              </w:rPr>
              <w:t xml:space="preserve"> </w:t>
            </w:r>
            <w:r w:rsidR="00D12F4B" w:rsidRPr="00D12F4B">
              <w:rPr>
                <w:sz w:val="18"/>
                <w:szCs w:val="18"/>
              </w:rPr>
              <w:t>group.</w:t>
            </w:r>
            <w:r w:rsidR="00276E23">
              <w:rPr>
                <w:sz w:val="18"/>
                <w:szCs w:val="18"/>
              </w:rPr>
              <w:t xml:space="preserve"> </w:t>
            </w:r>
          </w:p>
          <w:p w14:paraId="010F0F41" w14:textId="77777777" w:rsidR="00912816" w:rsidRDefault="00912816" w:rsidP="00B241BE">
            <w:pPr>
              <w:rPr>
                <w:sz w:val="18"/>
                <w:szCs w:val="18"/>
              </w:rPr>
            </w:pPr>
          </w:p>
          <w:p w14:paraId="4EB4F901" w14:textId="6B1ADFF8" w:rsidR="00C87CDD" w:rsidRPr="00C87CDD" w:rsidRDefault="00276E23" w:rsidP="00B24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Moderate quality study. </w:t>
            </w:r>
          </w:p>
        </w:tc>
      </w:tr>
      <w:tr w:rsidR="00C87CDD" w:rsidRPr="00986DE4" w14:paraId="251082CA" w14:textId="77777777" w:rsidTr="00912816">
        <w:tc>
          <w:tcPr>
            <w:tcW w:w="2547" w:type="dxa"/>
          </w:tcPr>
          <w:p w14:paraId="0EB0FB6C" w14:textId="1942F063" w:rsidR="00C87CDD" w:rsidRPr="00C50C64" w:rsidRDefault="00C87CDD">
            <w:pPr>
              <w:rPr>
                <w:vertAlign w:val="superscript"/>
              </w:rPr>
            </w:pPr>
            <w:r w:rsidRPr="00986DE4">
              <w:rPr>
                <w:b/>
              </w:rPr>
              <w:lastRenderedPageBreak/>
              <w:t xml:space="preserve">Kendrick </w:t>
            </w:r>
            <w:r w:rsidR="00276E23">
              <w:rPr>
                <w:b/>
              </w:rPr>
              <w:t xml:space="preserve">et al </w:t>
            </w:r>
            <w:r w:rsidRPr="00986DE4">
              <w:rPr>
                <w:b/>
              </w:rPr>
              <w:t>2017</w:t>
            </w:r>
            <w:r w:rsidR="00C50C64">
              <w:rPr>
                <w:vertAlign w:val="superscript"/>
              </w:rPr>
              <w:t>12</w:t>
            </w:r>
          </w:p>
          <w:p w14:paraId="62B4A200" w14:textId="77777777" w:rsidR="00BF19F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Primary care group practices,</w:t>
            </w:r>
          </w:p>
          <w:p w14:paraId="36AA29D7" w14:textId="16050857" w:rsidR="00C87CDD" w:rsidRPr="00986DE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UK</w:t>
            </w:r>
          </w:p>
          <w:p w14:paraId="3913DB26" w14:textId="1A9301DF" w:rsidR="00C87CDD" w:rsidRPr="00986DE4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N = 49</w:t>
            </w:r>
            <w:r w:rsidR="004A4A9D">
              <w:rPr>
                <w:sz w:val="18"/>
                <w:szCs w:val="18"/>
              </w:rPr>
              <w:t xml:space="preserve"> </w:t>
            </w:r>
            <w:r w:rsidR="007E20BF">
              <w:rPr>
                <w:sz w:val="18"/>
                <w:szCs w:val="18"/>
              </w:rPr>
              <w:t>participants</w:t>
            </w:r>
          </w:p>
          <w:p w14:paraId="49CB0391" w14:textId="77777777" w:rsidR="00C87CDD" w:rsidRPr="00986DE4" w:rsidRDefault="00BA3B56" w:rsidP="00BA3B56">
            <w:r>
              <w:rPr>
                <w:sz w:val="18"/>
                <w:szCs w:val="18"/>
              </w:rPr>
              <w:t>Randomisation p</w:t>
            </w:r>
            <w:r w:rsidR="00C87CDD" w:rsidRPr="00986DE4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>ly</w:t>
            </w:r>
            <w:r w:rsidR="00C87CDD" w:rsidRPr="00986DE4">
              <w:rPr>
                <w:sz w:val="18"/>
                <w:szCs w:val="18"/>
              </w:rPr>
              <w:t xml:space="preserve"> cluster</w:t>
            </w:r>
            <w:r>
              <w:rPr>
                <w:sz w:val="18"/>
                <w:szCs w:val="18"/>
              </w:rPr>
              <w:t>ed by</w:t>
            </w:r>
            <w:r w:rsidR="00062292">
              <w:rPr>
                <w:sz w:val="18"/>
                <w:szCs w:val="18"/>
              </w:rPr>
              <w:t xml:space="preserve"> </w:t>
            </w:r>
            <w:r w:rsidR="001C0C0A">
              <w:rPr>
                <w:sz w:val="18"/>
                <w:szCs w:val="18"/>
              </w:rPr>
              <w:t xml:space="preserve">group </w:t>
            </w:r>
            <w:r w:rsidR="00062292">
              <w:rPr>
                <w:sz w:val="18"/>
                <w:szCs w:val="18"/>
              </w:rPr>
              <w:t>practice</w:t>
            </w:r>
            <w:r w:rsidR="00C87CDD" w:rsidRPr="00986DE4">
              <w:rPr>
                <w:sz w:val="18"/>
                <w:szCs w:val="18"/>
              </w:rPr>
              <w:t>, part</w:t>
            </w:r>
            <w:r>
              <w:rPr>
                <w:sz w:val="18"/>
                <w:szCs w:val="18"/>
              </w:rPr>
              <w:t>ly by</w:t>
            </w:r>
            <w:r w:rsidR="00C87CDD" w:rsidRPr="00986DE4">
              <w:rPr>
                <w:sz w:val="18"/>
                <w:szCs w:val="18"/>
              </w:rPr>
              <w:t xml:space="preserve"> individual</w:t>
            </w:r>
            <w:r>
              <w:rPr>
                <w:sz w:val="18"/>
                <w:szCs w:val="18"/>
              </w:rPr>
              <w:t xml:space="preserve"> patients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04B85421" w14:textId="2436CEC4" w:rsidR="00496FEF" w:rsidRDefault="00A66097" w:rsidP="0044345B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PROM:</w:t>
            </w:r>
            <w:r>
              <w:rPr>
                <w:sz w:val="18"/>
                <w:szCs w:val="18"/>
              </w:rPr>
              <w:t xml:space="preserve"> </w:t>
            </w:r>
            <w:r w:rsidR="0044345B">
              <w:rPr>
                <w:sz w:val="18"/>
                <w:szCs w:val="18"/>
              </w:rPr>
              <w:t>PHQ-9</w:t>
            </w:r>
            <w:r w:rsidR="0044345B" w:rsidRPr="0044345B">
              <w:rPr>
                <w:sz w:val="18"/>
                <w:szCs w:val="18"/>
              </w:rPr>
              <w:t>, Distress</w:t>
            </w:r>
            <w:r w:rsidR="0044345B">
              <w:rPr>
                <w:sz w:val="18"/>
                <w:szCs w:val="18"/>
              </w:rPr>
              <w:t xml:space="preserve"> Thermometer, </w:t>
            </w:r>
            <w:r w:rsidR="0044345B" w:rsidRPr="0044345B">
              <w:rPr>
                <w:sz w:val="18"/>
                <w:szCs w:val="18"/>
              </w:rPr>
              <w:t>and PSYCHLOPS</w:t>
            </w:r>
            <w:r w:rsidR="0044345B">
              <w:rPr>
                <w:sz w:val="18"/>
                <w:szCs w:val="18"/>
              </w:rPr>
              <w:t xml:space="preserve"> </w:t>
            </w:r>
            <w:r w:rsidR="0044345B" w:rsidRPr="0044345B">
              <w:rPr>
                <w:sz w:val="18"/>
                <w:szCs w:val="18"/>
              </w:rPr>
              <w:t xml:space="preserve">problem profile, </w:t>
            </w:r>
            <w:r w:rsidR="00D433F1" w:rsidRPr="00D433F1">
              <w:rPr>
                <w:sz w:val="18"/>
                <w:szCs w:val="18"/>
              </w:rPr>
              <w:t>administered by researchers outside the practice</w:t>
            </w:r>
            <w:r w:rsidR="00D433F1">
              <w:rPr>
                <w:sz w:val="18"/>
                <w:szCs w:val="18"/>
              </w:rPr>
              <w:t>,</w:t>
            </w:r>
            <w:r w:rsidR="00D433F1" w:rsidRPr="00D433F1">
              <w:rPr>
                <w:sz w:val="18"/>
                <w:szCs w:val="18"/>
              </w:rPr>
              <w:t xml:space="preserve"> </w:t>
            </w:r>
            <w:r w:rsidR="0044345B" w:rsidRPr="0044345B">
              <w:rPr>
                <w:sz w:val="18"/>
                <w:szCs w:val="18"/>
              </w:rPr>
              <w:t>following</w:t>
            </w:r>
            <w:r w:rsidR="0044345B">
              <w:rPr>
                <w:sz w:val="18"/>
                <w:szCs w:val="18"/>
              </w:rPr>
              <w:t xml:space="preserve"> </w:t>
            </w:r>
            <w:r w:rsidR="0044345B" w:rsidRPr="0044345B">
              <w:rPr>
                <w:sz w:val="18"/>
                <w:szCs w:val="18"/>
              </w:rPr>
              <w:t xml:space="preserve">diagnosis and 10–35 days later. </w:t>
            </w:r>
            <w:r w:rsidR="0044345B" w:rsidRPr="00DE17CB">
              <w:rPr>
                <w:sz w:val="18"/>
                <w:szCs w:val="18"/>
              </w:rPr>
              <w:t>Practitioner training minimal.</w:t>
            </w:r>
            <w:r w:rsidR="0044345B">
              <w:rPr>
                <w:sz w:val="18"/>
                <w:szCs w:val="18"/>
              </w:rPr>
              <w:t xml:space="preserve"> </w:t>
            </w:r>
            <w:r w:rsidR="00422362">
              <w:rPr>
                <w:sz w:val="18"/>
                <w:szCs w:val="18"/>
              </w:rPr>
              <w:t>F</w:t>
            </w:r>
            <w:r w:rsidR="0044345B" w:rsidRPr="0044345B">
              <w:rPr>
                <w:sz w:val="18"/>
                <w:szCs w:val="18"/>
              </w:rPr>
              <w:t xml:space="preserve">eedback </w:t>
            </w:r>
            <w:r w:rsidR="0044345B">
              <w:rPr>
                <w:sz w:val="18"/>
                <w:szCs w:val="18"/>
              </w:rPr>
              <w:t xml:space="preserve">of score </w:t>
            </w:r>
            <w:r w:rsidR="0044345B" w:rsidRPr="0044345B">
              <w:rPr>
                <w:sz w:val="18"/>
                <w:szCs w:val="18"/>
              </w:rPr>
              <w:t xml:space="preserve">to patient </w:t>
            </w:r>
            <w:r w:rsidR="00422362">
              <w:rPr>
                <w:sz w:val="18"/>
                <w:szCs w:val="18"/>
              </w:rPr>
              <w:t xml:space="preserve">by </w:t>
            </w:r>
            <w:r w:rsidR="00DF0AB8">
              <w:rPr>
                <w:sz w:val="18"/>
                <w:szCs w:val="18"/>
              </w:rPr>
              <w:t>practitioner.</w:t>
            </w:r>
          </w:p>
          <w:p w14:paraId="66F9C0D8" w14:textId="77777777" w:rsidR="00422362" w:rsidRDefault="00422362" w:rsidP="0044345B">
            <w:pPr>
              <w:rPr>
                <w:sz w:val="18"/>
                <w:szCs w:val="18"/>
              </w:rPr>
            </w:pPr>
          </w:p>
          <w:p w14:paraId="265BE31A" w14:textId="15C2A327" w:rsidR="004D3B5D" w:rsidRPr="00C87CDD" w:rsidRDefault="004D3B5D" w:rsidP="0044345B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Control group</w:t>
            </w:r>
            <w:r w:rsidR="00AF631A" w:rsidRPr="005B30AD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TAU.</w:t>
            </w:r>
          </w:p>
        </w:tc>
        <w:tc>
          <w:tcPr>
            <w:tcW w:w="3402" w:type="dxa"/>
          </w:tcPr>
          <w:p w14:paraId="2E242A5F" w14:textId="2AE54A86" w:rsidR="00AF631A" w:rsidRPr="00C87CDD" w:rsidRDefault="00C74E97" w:rsidP="0049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3 months,</w:t>
            </w:r>
            <w:r w:rsidRPr="00C74E97">
              <w:rPr>
                <w:sz w:val="18"/>
                <w:szCs w:val="18"/>
              </w:rPr>
              <w:t xml:space="preserve"> mean BDI-II score lower</w:t>
            </w:r>
            <w:r>
              <w:rPr>
                <w:sz w:val="18"/>
                <w:szCs w:val="18"/>
              </w:rPr>
              <w:t xml:space="preserve"> in</w:t>
            </w:r>
            <w:r w:rsidRPr="00C74E97">
              <w:rPr>
                <w:sz w:val="18"/>
                <w:szCs w:val="18"/>
              </w:rPr>
              <w:t xml:space="preserve"> intervention </w:t>
            </w:r>
            <w:r>
              <w:rPr>
                <w:sz w:val="18"/>
                <w:szCs w:val="18"/>
              </w:rPr>
              <w:t xml:space="preserve">arm </w:t>
            </w:r>
            <w:r w:rsidRPr="00C74E97">
              <w:rPr>
                <w:sz w:val="18"/>
                <w:szCs w:val="18"/>
              </w:rPr>
              <w:t>by 5.8</w:t>
            </w:r>
            <w:r>
              <w:rPr>
                <w:sz w:val="18"/>
                <w:szCs w:val="18"/>
              </w:rPr>
              <w:t xml:space="preserve"> </w:t>
            </w:r>
            <w:r w:rsidRPr="00C74E97">
              <w:rPr>
                <w:sz w:val="18"/>
                <w:szCs w:val="18"/>
              </w:rPr>
              <w:t>points (95% CI −11.1 to −</w:t>
            </w:r>
            <w:r>
              <w:rPr>
                <w:sz w:val="18"/>
                <w:szCs w:val="18"/>
              </w:rPr>
              <w:t>0.5). N</w:t>
            </w:r>
            <w:r w:rsidRPr="00C74E9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</w:t>
            </w:r>
            <w:r w:rsidRPr="00C74E97">
              <w:rPr>
                <w:sz w:val="18"/>
                <w:szCs w:val="18"/>
              </w:rPr>
              <w:t>significant differences</w:t>
            </w:r>
            <w:r>
              <w:rPr>
                <w:sz w:val="18"/>
                <w:szCs w:val="18"/>
              </w:rPr>
              <w:t xml:space="preserve"> </w:t>
            </w:r>
            <w:r w:rsidR="00A66097">
              <w:rPr>
                <w:sz w:val="18"/>
                <w:szCs w:val="18"/>
              </w:rPr>
              <w:t xml:space="preserve">found </w:t>
            </w:r>
            <w:r>
              <w:rPr>
                <w:sz w:val="18"/>
                <w:szCs w:val="18"/>
              </w:rPr>
              <w:t xml:space="preserve">in </w:t>
            </w:r>
            <w:r w:rsidR="00A66097">
              <w:rPr>
                <w:sz w:val="18"/>
                <w:szCs w:val="18"/>
              </w:rPr>
              <w:t>depression (</w:t>
            </w:r>
            <w:r>
              <w:rPr>
                <w:sz w:val="18"/>
                <w:szCs w:val="18"/>
              </w:rPr>
              <w:t>BDI-II</w:t>
            </w:r>
            <w:r w:rsidR="00A6609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 w:rsidR="00A66097">
              <w:rPr>
                <w:sz w:val="18"/>
                <w:szCs w:val="18"/>
              </w:rPr>
              <w:t>social function (</w:t>
            </w:r>
            <w:r>
              <w:rPr>
                <w:sz w:val="18"/>
                <w:szCs w:val="18"/>
              </w:rPr>
              <w:t>WSAS</w:t>
            </w:r>
            <w:r w:rsidR="00A66097">
              <w:rPr>
                <w:sz w:val="18"/>
                <w:szCs w:val="18"/>
              </w:rPr>
              <w:t>)</w:t>
            </w:r>
            <w:r w:rsidRPr="00C74E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66097">
              <w:rPr>
                <w:sz w:val="18"/>
                <w:szCs w:val="18"/>
              </w:rPr>
              <w:t>quality of life (</w:t>
            </w:r>
            <w:r>
              <w:rPr>
                <w:sz w:val="18"/>
                <w:szCs w:val="18"/>
              </w:rPr>
              <w:t>EQ-5D</w:t>
            </w:r>
            <w:r w:rsidR="00A6609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C74E97">
              <w:rPr>
                <w:sz w:val="18"/>
                <w:szCs w:val="18"/>
              </w:rPr>
              <w:t xml:space="preserve">or </w:t>
            </w:r>
            <w:r w:rsidR="00A66097">
              <w:rPr>
                <w:sz w:val="18"/>
                <w:szCs w:val="18"/>
              </w:rPr>
              <w:t>service use (</w:t>
            </w:r>
            <w:r>
              <w:rPr>
                <w:sz w:val="18"/>
                <w:szCs w:val="18"/>
              </w:rPr>
              <w:t>CSRI</w:t>
            </w:r>
            <w:r w:rsidR="00A6609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over 6 months. </w:t>
            </w:r>
            <w:r w:rsidR="00DE17CB">
              <w:rPr>
                <w:sz w:val="18"/>
                <w:szCs w:val="18"/>
              </w:rPr>
              <w:t xml:space="preserve">At 6 months, </w:t>
            </w:r>
            <w:r w:rsidR="00A66097">
              <w:rPr>
                <w:sz w:val="18"/>
                <w:szCs w:val="18"/>
              </w:rPr>
              <w:t xml:space="preserve">patient satisfaction (MISS) </w:t>
            </w:r>
            <w:r w:rsidRPr="00C74E97">
              <w:rPr>
                <w:sz w:val="18"/>
                <w:szCs w:val="18"/>
              </w:rPr>
              <w:t xml:space="preserve">score higher </w:t>
            </w:r>
            <w:r w:rsidR="00DE17CB">
              <w:rPr>
                <w:sz w:val="18"/>
                <w:szCs w:val="18"/>
              </w:rPr>
              <w:t>in</w:t>
            </w:r>
            <w:r w:rsidRPr="00C74E97">
              <w:rPr>
                <w:sz w:val="18"/>
                <w:szCs w:val="18"/>
              </w:rPr>
              <w:t xml:space="preserve"> control </w:t>
            </w:r>
            <w:r w:rsidR="00DE17CB">
              <w:rPr>
                <w:sz w:val="18"/>
                <w:szCs w:val="18"/>
              </w:rPr>
              <w:t xml:space="preserve">arm </w:t>
            </w:r>
            <w:r w:rsidRPr="00C74E97">
              <w:rPr>
                <w:sz w:val="18"/>
                <w:szCs w:val="18"/>
              </w:rPr>
              <w:t>by 22.0 points (95% CI −40.7 to</w:t>
            </w:r>
            <w:r>
              <w:rPr>
                <w:sz w:val="18"/>
                <w:szCs w:val="18"/>
              </w:rPr>
              <w:t xml:space="preserve"> </w:t>
            </w:r>
            <w:r w:rsidRPr="00C74E97">
              <w:rPr>
                <w:sz w:val="18"/>
                <w:szCs w:val="18"/>
              </w:rPr>
              <w:t>−3.29).</w:t>
            </w:r>
          </w:p>
        </w:tc>
        <w:tc>
          <w:tcPr>
            <w:tcW w:w="3118" w:type="dxa"/>
          </w:tcPr>
          <w:p w14:paraId="73B0DCB7" w14:textId="28B15E5E" w:rsidR="00B25F6C" w:rsidRDefault="002606ED" w:rsidP="00A66097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Limitations:</w:t>
            </w:r>
            <w:r>
              <w:rPr>
                <w:sz w:val="18"/>
                <w:szCs w:val="18"/>
              </w:rPr>
              <w:t xml:space="preserve"> </w:t>
            </w:r>
            <w:r w:rsidR="00BA3B56">
              <w:rPr>
                <w:sz w:val="18"/>
                <w:szCs w:val="18"/>
              </w:rPr>
              <w:t>Small feasibility trial lack</w:t>
            </w:r>
            <w:r w:rsidR="00C74E97">
              <w:rPr>
                <w:sz w:val="18"/>
                <w:szCs w:val="18"/>
              </w:rPr>
              <w:t>ing</w:t>
            </w:r>
            <w:r w:rsidR="00BA3B56">
              <w:rPr>
                <w:sz w:val="18"/>
                <w:szCs w:val="18"/>
              </w:rPr>
              <w:t xml:space="preserve"> power to detect differences</w:t>
            </w:r>
            <w:r w:rsidR="00C74E97">
              <w:rPr>
                <w:sz w:val="18"/>
                <w:szCs w:val="18"/>
              </w:rPr>
              <w:t xml:space="preserve"> in outcomes</w:t>
            </w:r>
            <w:r w:rsidR="00BA3B56">
              <w:rPr>
                <w:sz w:val="18"/>
                <w:szCs w:val="18"/>
              </w:rPr>
              <w:t xml:space="preserve">. </w:t>
            </w:r>
            <w:r w:rsidR="00422362">
              <w:rPr>
                <w:sz w:val="18"/>
                <w:szCs w:val="18"/>
              </w:rPr>
              <w:t xml:space="preserve"> </w:t>
            </w:r>
            <w:r w:rsidR="00DE17CB">
              <w:rPr>
                <w:sz w:val="18"/>
                <w:szCs w:val="18"/>
              </w:rPr>
              <w:t xml:space="preserve">Contamination </w:t>
            </w:r>
            <w:r w:rsidR="00DB0AB2">
              <w:rPr>
                <w:sz w:val="18"/>
                <w:szCs w:val="18"/>
              </w:rPr>
              <w:t>when</w:t>
            </w:r>
            <w:r w:rsidR="00DE17CB">
              <w:rPr>
                <w:sz w:val="18"/>
                <w:szCs w:val="18"/>
              </w:rPr>
              <w:t xml:space="preserve"> i</w:t>
            </w:r>
            <w:r w:rsidR="00C74E97">
              <w:rPr>
                <w:sz w:val="18"/>
                <w:szCs w:val="18"/>
              </w:rPr>
              <w:t>ndividual randomisation</w:t>
            </w:r>
            <w:r w:rsidR="00DB0AB2">
              <w:rPr>
                <w:sz w:val="18"/>
                <w:szCs w:val="18"/>
              </w:rPr>
              <w:t xml:space="preserve"> used</w:t>
            </w:r>
            <w:r w:rsidR="00C74E97">
              <w:rPr>
                <w:sz w:val="18"/>
                <w:szCs w:val="18"/>
              </w:rPr>
              <w:t>.</w:t>
            </w:r>
            <w:r w:rsidR="00DE17CB">
              <w:rPr>
                <w:sz w:val="18"/>
                <w:szCs w:val="18"/>
              </w:rPr>
              <w:t xml:space="preserve"> </w:t>
            </w:r>
          </w:p>
          <w:p w14:paraId="043B4DEE" w14:textId="77777777" w:rsidR="00B25F6C" w:rsidRDefault="00A66097" w:rsidP="00A6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Unable to blind participants to allocation, but self-rated assessments used to avoid observer bias. </w:t>
            </w:r>
          </w:p>
          <w:p w14:paraId="3C7A54C1" w14:textId="63105289" w:rsidR="00C87CDD" w:rsidRPr="00C87CDD" w:rsidRDefault="00DE17CB" w:rsidP="00A66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Follow-up rate </w:t>
            </w:r>
            <w:r w:rsidR="00A66097">
              <w:rPr>
                <w:sz w:val="18"/>
                <w:szCs w:val="18"/>
              </w:rPr>
              <w:t>82% in intervention arm</w:t>
            </w:r>
            <w:r>
              <w:rPr>
                <w:sz w:val="18"/>
                <w:szCs w:val="18"/>
              </w:rPr>
              <w:t xml:space="preserve"> </w:t>
            </w:r>
            <w:r w:rsidR="00A66097">
              <w:rPr>
                <w:sz w:val="18"/>
                <w:szCs w:val="18"/>
              </w:rPr>
              <w:t xml:space="preserve">but only 72% </w:t>
            </w:r>
            <w:r>
              <w:rPr>
                <w:sz w:val="18"/>
                <w:szCs w:val="18"/>
              </w:rPr>
              <w:t>in control arm</w:t>
            </w:r>
            <w:r w:rsidR="00A660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40A553E0" w14:textId="579A0323" w:rsidR="00276E23" w:rsidRDefault="00831208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benefit </w:t>
            </w:r>
            <w:r w:rsidR="00A66097">
              <w:rPr>
                <w:sz w:val="18"/>
                <w:szCs w:val="18"/>
              </w:rPr>
              <w:t>from monitoring in terms of outcome of</w:t>
            </w:r>
            <w:r w:rsidR="006239D6">
              <w:rPr>
                <w:sz w:val="18"/>
                <w:szCs w:val="18"/>
              </w:rPr>
              <w:t xml:space="preserve"> </w:t>
            </w:r>
            <w:r w:rsidR="00BA3B56">
              <w:rPr>
                <w:sz w:val="18"/>
                <w:szCs w:val="18"/>
              </w:rPr>
              <w:t xml:space="preserve">depression. </w:t>
            </w:r>
            <w:r w:rsidR="00DE17CB">
              <w:rPr>
                <w:sz w:val="18"/>
                <w:szCs w:val="18"/>
              </w:rPr>
              <w:t xml:space="preserve">Patient satisfaction </w:t>
            </w:r>
            <w:r w:rsidR="00A66097">
              <w:rPr>
                <w:sz w:val="18"/>
                <w:szCs w:val="18"/>
              </w:rPr>
              <w:t>may be lower due to</w:t>
            </w:r>
            <w:r w:rsidR="00DE17CB">
              <w:rPr>
                <w:sz w:val="18"/>
                <w:szCs w:val="18"/>
              </w:rPr>
              <w:t xml:space="preserve"> GP</w:t>
            </w:r>
            <w:r w:rsidR="00A66097">
              <w:rPr>
                <w:sz w:val="18"/>
                <w:szCs w:val="18"/>
              </w:rPr>
              <w:t>s</w:t>
            </w:r>
            <w:r w:rsidR="00DE17CB">
              <w:rPr>
                <w:sz w:val="18"/>
                <w:szCs w:val="18"/>
              </w:rPr>
              <w:t xml:space="preserve"> ignor</w:t>
            </w:r>
            <w:r w:rsidR="00A66097">
              <w:rPr>
                <w:sz w:val="18"/>
                <w:szCs w:val="18"/>
              </w:rPr>
              <w:t>ing</w:t>
            </w:r>
            <w:r w:rsidR="00DE17CB">
              <w:rPr>
                <w:sz w:val="18"/>
                <w:szCs w:val="18"/>
              </w:rPr>
              <w:t xml:space="preserve"> </w:t>
            </w:r>
            <w:r w:rsidR="00A66097">
              <w:rPr>
                <w:sz w:val="18"/>
                <w:szCs w:val="18"/>
              </w:rPr>
              <w:t xml:space="preserve">the </w:t>
            </w:r>
            <w:r w:rsidR="00DE17CB">
              <w:rPr>
                <w:sz w:val="18"/>
                <w:szCs w:val="18"/>
              </w:rPr>
              <w:t>PROM result</w:t>
            </w:r>
            <w:r w:rsidR="00A66097">
              <w:rPr>
                <w:sz w:val="18"/>
                <w:szCs w:val="18"/>
              </w:rPr>
              <w:t>s</w:t>
            </w:r>
            <w:r w:rsidR="00DE17C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 f</w:t>
            </w:r>
            <w:r w:rsidR="00BA3B56">
              <w:rPr>
                <w:sz w:val="18"/>
                <w:szCs w:val="18"/>
              </w:rPr>
              <w:t xml:space="preserve">ull trial </w:t>
            </w:r>
            <w:r w:rsidR="00DB0AB2">
              <w:rPr>
                <w:sz w:val="18"/>
                <w:szCs w:val="18"/>
              </w:rPr>
              <w:t>needs better</w:t>
            </w:r>
            <w:r w:rsidR="00DE17CB">
              <w:rPr>
                <w:sz w:val="18"/>
                <w:szCs w:val="18"/>
              </w:rPr>
              <w:t xml:space="preserve"> </w:t>
            </w:r>
            <w:r w:rsidR="00DB0AB2">
              <w:rPr>
                <w:sz w:val="18"/>
                <w:szCs w:val="18"/>
              </w:rPr>
              <w:t xml:space="preserve">GP training and </w:t>
            </w:r>
            <w:r w:rsidR="00A66097">
              <w:rPr>
                <w:sz w:val="18"/>
                <w:szCs w:val="18"/>
              </w:rPr>
              <w:t xml:space="preserve">improved </w:t>
            </w:r>
            <w:r>
              <w:rPr>
                <w:sz w:val="18"/>
                <w:szCs w:val="18"/>
              </w:rPr>
              <w:t xml:space="preserve">patient </w:t>
            </w:r>
            <w:r w:rsidR="00DE17CB">
              <w:rPr>
                <w:sz w:val="18"/>
                <w:szCs w:val="18"/>
              </w:rPr>
              <w:t>follow-up</w:t>
            </w:r>
            <w:r w:rsidR="00BA3B56">
              <w:rPr>
                <w:sz w:val="18"/>
                <w:szCs w:val="18"/>
              </w:rPr>
              <w:t xml:space="preserve">. </w:t>
            </w:r>
            <w:r w:rsidR="00DE17CB">
              <w:rPr>
                <w:sz w:val="18"/>
                <w:szCs w:val="18"/>
              </w:rPr>
              <w:t>Cluster randomisation</w:t>
            </w:r>
            <w:r w:rsidR="006E3461">
              <w:rPr>
                <w:sz w:val="18"/>
                <w:szCs w:val="18"/>
              </w:rPr>
              <w:t xml:space="preserve"> </w:t>
            </w:r>
            <w:r w:rsidR="00A66097">
              <w:rPr>
                <w:sz w:val="18"/>
                <w:szCs w:val="18"/>
              </w:rPr>
              <w:t xml:space="preserve">of practices </w:t>
            </w:r>
            <w:r w:rsidR="00DE17CB">
              <w:rPr>
                <w:sz w:val="18"/>
                <w:szCs w:val="18"/>
              </w:rPr>
              <w:t>preferable</w:t>
            </w:r>
            <w:r w:rsidR="00A66097">
              <w:rPr>
                <w:sz w:val="18"/>
                <w:szCs w:val="18"/>
              </w:rPr>
              <w:t xml:space="preserve"> to avoid contamination between arms</w:t>
            </w:r>
            <w:r w:rsidR="00DE17CB">
              <w:rPr>
                <w:sz w:val="18"/>
                <w:szCs w:val="18"/>
              </w:rPr>
              <w:t xml:space="preserve">. </w:t>
            </w:r>
          </w:p>
          <w:p w14:paraId="6A9E1B21" w14:textId="77777777" w:rsidR="00912816" w:rsidRDefault="00912816" w:rsidP="00276E23">
            <w:pPr>
              <w:rPr>
                <w:sz w:val="18"/>
                <w:szCs w:val="18"/>
              </w:rPr>
            </w:pPr>
          </w:p>
          <w:p w14:paraId="3C124C93" w14:textId="39C8E24B" w:rsidR="00C87CDD" w:rsidRPr="00C87CDD" w:rsidRDefault="00276E23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low to low quality study.</w:t>
            </w:r>
          </w:p>
        </w:tc>
      </w:tr>
      <w:tr w:rsidR="00C87CDD" w14:paraId="3AF03DB9" w14:textId="77777777" w:rsidTr="00EA56D7">
        <w:tc>
          <w:tcPr>
            <w:tcW w:w="2547" w:type="dxa"/>
            <w:tcBorders>
              <w:bottom w:val="single" w:sz="4" w:space="0" w:color="auto"/>
            </w:tcBorders>
          </w:tcPr>
          <w:p w14:paraId="05763BA1" w14:textId="1C3132D5" w:rsidR="00C87CDD" w:rsidRPr="00C50C64" w:rsidRDefault="00C87CDD">
            <w:pPr>
              <w:rPr>
                <w:vertAlign w:val="superscript"/>
              </w:rPr>
            </w:pPr>
            <w:r w:rsidRPr="00E17EE0">
              <w:rPr>
                <w:b/>
              </w:rPr>
              <w:t xml:space="preserve">Wikberg </w:t>
            </w:r>
            <w:r w:rsidR="00276E23">
              <w:rPr>
                <w:b/>
              </w:rPr>
              <w:t xml:space="preserve">et al </w:t>
            </w:r>
            <w:r w:rsidRPr="00E17EE0">
              <w:rPr>
                <w:b/>
              </w:rPr>
              <w:t>2017</w:t>
            </w:r>
            <w:r w:rsidR="00C50C64">
              <w:rPr>
                <w:vertAlign w:val="superscript"/>
              </w:rPr>
              <w:t>13</w:t>
            </w:r>
          </w:p>
          <w:p w14:paraId="23DA4477" w14:textId="77777777" w:rsidR="00C87CDD" w:rsidRDefault="00C8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r w:rsidR="001E626C">
              <w:rPr>
                <w:sz w:val="18"/>
                <w:szCs w:val="18"/>
              </w:rPr>
              <w:t>imary Health Care Centres, Sweden</w:t>
            </w:r>
          </w:p>
          <w:p w14:paraId="07814CD2" w14:textId="4E304A91" w:rsidR="00C87CDD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N = 258</w:t>
            </w:r>
            <w:r w:rsidR="007E20BF">
              <w:rPr>
                <w:sz w:val="18"/>
                <w:szCs w:val="18"/>
              </w:rPr>
              <w:t xml:space="preserve"> participants</w:t>
            </w:r>
          </w:p>
          <w:p w14:paraId="066CC1A0" w14:textId="77777777" w:rsidR="00062292" w:rsidRPr="00986DE4" w:rsidRDefault="001C0C0A" w:rsidP="007B3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 c</w:t>
            </w:r>
            <w:r w:rsidR="00062292">
              <w:rPr>
                <w:sz w:val="18"/>
                <w:szCs w:val="18"/>
              </w:rPr>
              <w:t xml:space="preserve">luster randomised by </w:t>
            </w:r>
            <w:r>
              <w:rPr>
                <w:sz w:val="18"/>
                <w:szCs w:val="18"/>
              </w:rPr>
              <w:t xml:space="preserve">individual </w:t>
            </w:r>
            <w:r w:rsidR="007B3B30">
              <w:rPr>
                <w:sz w:val="18"/>
                <w:szCs w:val="18"/>
              </w:rPr>
              <w:t>practitioner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0EE336" w14:textId="3E7B267E" w:rsidR="00BF19F4" w:rsidRDefault="00A66097" w:rsidP="004B1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PROM: </w:t>
            </w:r>
            <w:r w:rsidR="00AC6CD7" w:rsidRPr="00AC6CD7">
              <w:rPr>
                <w:sz w:val="18"/>
                <w:szCs w:val="18"/>
              </w:rPr>
              <w:t xml:space="preserve">MADRS 4 times </w:t>
            </w:r>
            <w:r w:rsidR="00AC6CD7">
              <w:rPr>
                <w:sz w:val="18"/>
                <w:szCs w:val="18"/>
              </w:rPr>
              <w:t>over</w:t>
            </w:r>
            <w:r w:rsidR="00AC6CD7" w:rsidRPr="00AC6CD7">
              <w:rPr>
                <w:sz w:val="18"/>
                <w:szCs w:val="18"/>
              </w:rPr>
              <w:t xml:space="preserve"> 3 months</w:t>
            </w:r>
            <w:r w:rsidR="00863A6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4B120F">
              <w:rPr>
                <w:sz w:val="18"/>
                <w:szCs w:val="18"/>
              </w:rPr>
              <w:t xml:space="preserve">4 hours </w:t>
            </w:r>
            <w:r w:rsidR="00DE17CB">
              <w:rPr>
                <w:sz w:val="18"/>
                <w:szCs w:val="18"/>
              </w:rPr>
              <w:t xml:space="preserve">of </w:t>
            </w:r>
            <w:r w:rsidR="004B120F">
              <w:rPr>
                <w:sz w:val="18"/>
                <w:szCs w:val="18"/>
              </w:rPr>
              <w:t>practitioner training</w:t>
            </w:r>
            <w:r w:rsidR="00863A63">
              <w:rPr>
                <w:sz w:val="18"/>
                <w:szCs w:val="18"/>
              </w:rPr>
              <w:t>.</w:t>
            </w:r>
            <w:r w:rsidR="004B120F">
              <w:rPr>
                <w:sz w:val="18"/>
                <w:szCs w:val="18"/>
              </w:rPr>
              <w:t xml:space="preserve"> </w:t>
            </w:r>
            <w:r w:rsidR="004B120F" w:rsidRPr="004B120F">
              <w:rPr>
                <w:sz w:val="18"/>
                <w:szCs w:val="18"/>
              </w:rPr>
              <w:t xml:space="preserve">Feedback </w:t>
            </w:r>
            <w:r w:rsidR="00863A63">
              <w:rPr>
                <w:sz w:val="18"/>
                <w:szCs w:val="18"/>
              </w:rPr>
              <w:t xml:space="preserve">of results </w:t>
            </w:r>
            <w:r w:rsidR="004B120F" w:rsidRPr="004B120F">
              <w:rPr>
                <w:sz w:val="18"/>
                <w:szCs w:val="18"/>
              </w:rPr>
              <w:t xml:space="preserve">to </w:t>
            </w:r>
            <w:r w:rsidR="00BD04ED">
              <w:rPr>
                <w:sz w:val="18"/>
                <w:szCs w:val="18"/>
              </w:rPr>
              <w:t xml:space="preserve">both </w:t>
            </w:r>
            <w:r w:rsidR="004B120F" w:rsidRPr="004B120F">
              <w:rPr>
                <w:sz w:val="18"/>
                <w:szCs w:val="18"/>
              </w:rPr>
              <w:t>practitioners and patients</w:t>
            </w:r>
            <w:r w:rsidR="00863A63">
              <w:rPr>
                <w:sz w:val="18"/>
                <w:szCs w:val="18"/>
              </w:rPr>
              <w:t>.</w:t>
            </w:r>
          </w:p>
          <w:p w14:paraId="08362FB7" w14:textId="77777777" w:rsidR="00496FEF" w:rsidRDefault="00496FEF" w:rsidP="004B120F">
            <w:pPr>
              <w:rPr>
                <w:sz w:val="18"/>
                <w:szCs w:val="18"/>
              </w:rPr>
            </w:pPr>
          </w:p>
          <w:p w14:paraId="3D672EBB" w14:textId="2E8039CD" w:rsidR="00C87CDD" w:rsidRPr="00C87CDD" w:rsidRDefault="00AC6CD7" w:rsidP="004B120F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Control group</w:t>
            </w:r>
            <w:r w:rsidR="00BF19F4" w:rsidRPr="000B2355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TAU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7891CD" w14:textId="77777777" w:rsidR="00C87CDD" w:rsidRPr="00C87CDD" w:rsidRDefault="001E626C" w:rsidP="00C74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E626C">
              <w:rPr>
                <w:sz w:val="18"/>
                <w:szCs w:val="18"/>
              </w:rPr>
              <w:t>o significant differences in depression</w:t>
            </w:r>
            <w:r w:rsidR="00777CD1">
              <w:rPr>
                <w:sz w:val="18"/>
                <w:szCs w:val="18"/>
              </w:rPr>
              <w:t xml:space="preserve"> (BDI-II)</w:t>
            </w:r>
            <w:r>
              <w:rPr>
                <w:sz w:val="18"/>
                <w:szCs w:val="18"/>
              </w:rPr>
              <w:t xml:space="preserve">, </w:t>
            </w:r>
            <w:r w:rsidRPr="001E626C">
              <w:rPr>
                <w:sz w:val="18"/>
                <w:szCs w:val="18"/>
              </w:rPr>
              <w:t>quality of life</w:t>
            </w:r>
            <w:r w:rsidR="00777CD1">
              <w:rPr>
                <w:sz w:val="18"/>
                <w:szCs w:val="18"/>
              </w:rPr>
              <w:t xml:space="preserve"> (EQ-5D)</w:t>
            </w:r>
            <w:r w:rsidRPr="001E626C">
              <w:rPr>
                <w:sz w:val="18"/>
                <w:szCs w:val="18"/>
              </w:rPr>
              <w:t>, well-being, prescriptions, or sick leave</w:t>
            </w:r>
            <w:r>
              <w:rPr>
                <w:sz w:val="18"/>
                <w:szCs w:val="18"/>
              </w:rPr>
              <w:t xml:space="preserve"> over</w:t>
            </w:r>
            <w:r w:rsidRPr="001E626C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</w:t>
            </w:r>
            <w:r w:rsidRPr="001E626C">
              <w:rPr>
                <w:sz w:val="18"/>
                <w:szCs w:val="18"/>
              </w:rPr>
              <w:t>month</w:t>
            </w:r>
            <w:r>
              <w:rPr>
                <w:sz w:val="18"/>
                <w:szCs w:val="18"/>
              </w:rPr>
              <w:t>s.</w:t>
            </w:r>
            <w:r w:rsidRPr="001E626C">
              <w:rPr>
                <w:sz w:val="18"/>
                <w:szCs w:val="18"/>
              </w:rPr>
              <w:t xml:space="preserve"> </w:t>
            </w:r>
            <w:r w:rsidR="00691E2D">
              <w:rPr>
                <w:sz w:val="18"/>
                <w:szCs w:val="18"/>
              </w:rPr>
              <w:t>M</w:t>
            </w:r>
            <w:r w:rsidRPr="001E626C">
              <w:rPr>
                <w:sz w:val="18"/>
                <w:szCs w:val="18"/>
              </w:rPr>
              <w:t xml:space="preserve">ore </w:t>
            </w:r>
            <w:r w:rsidR="00691E2D">
              <w:rPr>
                <w:sz w:val="18"/>
                <w:szCs w:val="18"/>
              </w:rPr>
              <w:t xml:space="preserve">intervention arm </w:t>
            </w:r>
            <w:r w:rsidRPr="001E626C">
              <w:rPr>
                <w:sz w:val="18"/>
                <w:szCs w:val="18"/>
              </w:rPr>
              <w:t>patients continued</w:t>
            </w:r>
            <w:r w:rsidR="00AC6CD7">
              <w:rPr>
                <w:sz w:val="18"/>
                <w:szCs w:val="18"/>
              </w:rPr>
              <w:t xml:space="preserve"> </w:t>
            </w:r>
            <w:r w:rsidRPr="001E626C">
              <w:rPr>
                <w:sz w:val="18"/>
                <w:szCs w:val="18"/>
              </w:rPr>
              <w:t xml:space="preserve">antidepressants </w:t>
            </w:r>
            <w:r w:rsidR="00691E2D">
              <w:rPr>
                <w:sz w:val="18"/>
                <w:szCs w:val="18"/>
              </w:rPr>
              <w:t>for</w:t>
            </w:r>
            <w:r w:rsidRPr="001E626C">
              <w:rPr>
                <w:sz w:val="18"/>
                <w:szCs w:val="18"/>
              </w:rPr>
              <w:t xml:space="preserve"> 6 month</w:t>
            </w:r>
            <w:r w:rsidR="00691E2D">
              <w:rPr>
                <w:sz w:val="18"/>
                <w:szCs w:val="18"/>
              </w:rPr>
              <w:t>s</w:t>
            </w:r>
            <w:r w:rsidRPr="001E626C">
              <w:rPr>
                <w:sz w:val="18"/>
                <w:szCs w:val="18"/>
              </w:rPr>
              <w:t xml:space="preserve"> (86/125 vs 78/133</w:t>
            </w:r>
            <w:r w:rsidR="007B3B30">
              <w:rPr>
                <w:sz w:val="18"/>
                <w:szCs w:val="18"/>
              </w:rPr>
              <w:t xml:space="preserve"> among controls</w:t>
            </w:r>
            <w:r w:rsidRPr="001E626C">
              <w:rPr>
                <w:sz w:val="18"/>
                <w:szCs w:val="18"/>
              </w:rPr>
              <w:t>, p &lt; 0.05).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D96848" w14:textId="77777777" w:rsidR="00B25F6C" w:rsidRDefault="002606ED" w:rsidP="00496FEF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Limitations:</w:t>
            </w:r>
            <w:r>
              <w:rPr>
                <w:sz w:val="18"/>
                <w:szCs w:val="18"/>
              </w:rPr>
              <w:t xml:space="preserve"> </w:t>
            </w:r>
            <w:r w:rsidR="00A66097">
              <w:rPr>
                <w:sz w:val="18"/>
                <w:szCs w:val="18"/>
              </w:rPr>
              <w:t xml:space="preserve">Only </w:t>
            </w:r>
            <w:r w:rsidR="007D23B4">
              <w:rPr>
                <w:sz w:val="18"/>
                <w:szCs w:val="18"/>
              </w:rPr>
              <w:t>80% power used for sample size calculation; 3-month follow-up only 7</w:t>
            </w:r>
            <w:r w:rsidR="007B3B30">
              <w:rPr>
                <w:sz w:val="18"/>
                <w:szCs w:val="18"/>
              </w:rPr>
              <w:t>2</w:t>
            </w:r>
            <w:r w:rsidR="007D23B4">
              <w:rPr>
                <w:sz w:val="18"/>
                <w:szCs w:val="18"/>
              </w:rPr>
              <w:t>%</w:t>
            </w:r>
            <w:r w:rsidR="00863A63">
              <w:rPr>
                <w:sz w:val="18"/>
                <w:szCs w:val="18"/>
              </w:rPr>
              <w:t>, so</w:t>
            </w:r>
            <w:r w:rsidR="007D23B4">
              <w:rPr>
                <w:sz w:val="18"/>
                <w:szCs w:val="18"/>
              </w:rPr>
              <w:t xml:space="preserve"> target </w:t>
            </w:r>
            <w:r w:rsidR="007B3B30">
              <w:rPr>
                <w:sz w:val="18"/>
                <w:szCs w:val="18"/>
              </w:rPr>
              <w:t>80% follow-up</w:t>
            </w:r>
            <w:r w:rsidR="007D23B4">
              <w:rPr>
                <w:sz w:val="18"/>
                <w:szCs w:val="18"/>
              </w:rPr>
              <w:t xml:space="preserve"> not achieved.</w:t>
            </w:r>
            <w:r w:rsidR="00A66097">
              <w:rPr>
                <w:sz w:val="18"/>
                <w:szCs w:val="18"/>
              </w:rPr>
              <w:t xml:space="preserve"> </w:t>
            </w:r>
          </w:p>
          <w:p w14:paraId="3E7E4575" w14:textId="7229561C" w:rsidR="007D23B4" w:rsidRPr="00C87CDD" w:rsidRDefault="00811E2E" w:rsidP="0049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bias in a</w:t>
            </w:r>
            <w:r w:rsidR="007D23B4">
              <w:rPr>
                <w:sz w:val="18"/>
                <w:szCs w:val="18"/>
              </w:rPr>
              <w:t xml:space="preserve">llocation </w:t>
            </w:r>
            <w:r w:rsidR="00863A63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GP</w:t>
            </w:r>
            <w:r w:rsidR="00863A63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by </w:t>
            </w:r>
            <w:r w:rsidR="007D23B4">
              <w:rPr>
                <w:sz w:val="18"/>
                <w:szCs w:val="18"/>
              </w:rPr>
              <w:t>drawing slips of paper</w:t>
            </w:r>
            <w:r w:rsidR="00A66097">
              <w:rPr>
                <w:sz w:val="18"/>
                <w:szCs w:val="18"/>
              </w:rPr>
              <w:t xml:space="preserve"> to assign them</w:t>
            </w:r>
            <w:r w:rsidR="007D23B4">
              <w:rPr>
                <w:sz w:val="18"/>
                <w:szCs w:val="18"/>
              </w:rPr>
              <w:t>.</w:t>
            </w:r>
            <w:r w:rsidR="00863A63">
              <w:rPr>
                <w:sz w:val="18"/>
                <w:szCs w:val="18"/>
              </w:rPr>
              <w:t xml:space="preserve"> </w:t>
            </w:r>
            <w:r w:rsidR="004C211D">
              <w:rPr>
                <w:sz w:val="18"/>
                <w:szCs w:val="18"/>
              </w:rPr>
              <w:t xml:space="preserve"> </w:t>
            </w:r>
            <w:r w:rsidR="004C211D" w:rsidRPr="004C211D">
              <w:rPr>
                <w:sz w:val="18"/>
                <w:szCs w:val="18"/>
              </w:rPr>
              <w:t>Not possible to blind practitioners and researchers due to the nature of the intervention.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4C498F" w14:textId="77777777" w:rsidR="00422362" w:rsidRDefault="00DF0AB8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</w:t>
            </w:r>
            <w:r w:rsidR="00831208">
              <w:rPr>
                <w:sz w:val="18"/>
                <w:szCs w:val="18"/>
              </w:rPr>
              <w:t xml:space="preserve"> benefit </w:t>
            </w:r>
            <w:r>
              <w:rPr>
                <w:sz w:val="18"/>
                <w:szCs w:val="18"/>
              </w:rPr>
              <w:t xml:space="preserve">in </w:t>
            </w:r>
            <w:r w:rsidR="00422362">
              <w:rPr>
                <w:sz w:val="18"/>
                <w:szCs w:val="18"/>
              </w:rPr>
              <w:t xml:space="preserve">terms of </w:t>
            </w:r>
            <w:r>
              <w:rPr>
                <w:sz w:val="18"/>
                <w:szCs w:val="18"/>
              </w:rPr>
              <w:t xml:space="preserve">increased </w:t>
            </w:r>
            <w:r w:rsidR="007B3B30">
              <w:rPr>
                <w:sz w:val="18"/>
                <w:szCs w:val="18"/>
              </w:rPr>
              <w:t xml:space="preserve">patient </w:t>
            </w:r>
            <w:r w:rsidR="00863A63">
              <w:rPr>
                <w:sz w:val="18"/>
                <w:szCs w:val="18"/>
              </w:rPr>
              <w:t xml:space="preserve">adherence to </w:t>
            </w:r>
            <w:r w:rsidR="006E3461">
              <w:rPr>
                <w:sz w:val="18"/>
                <w:szCs w:val="18"/>
              </w:rPr>
              <w:t xml:space="preserve">recommended </w:t>
            </w:r>
            <w:r w:rsidR="00422362">
              <w:rPr>
                <w:sz w:val="18"/>
                <w:szCs w:val="18"/>
              </w:rPr>
              <w:t>length of treatment</w:t>
            </w:r>
            <w:r>
              <w:rPr>
                <w:sz w:val="18"/>
                <w:szCs w:val="18"/>
              </w:rPr>
              <w:t>, but outcomes not improved</w:t>
            </w:r>
            <w:r w:rsidR="00863A63">
              <w:rPr>
                <w:sz w:val="18"/>
                <w:szCs w:val="18"/>
              </w:rPr>
              <w:t>.</w:t>
            </w:r>
            <w:r w:rsidR="006E3461">
              <w:rPr>
                <w:sz w:val="18"/>
                <w:szCs w:val="18"/>
              </w:rPr>
              <w:t xml:space="preserve"> The s</w:t>
            </w:r>
            <w:r w:rsidR="007D23B4">
              <w:rPr>
                <w:sz w:val="18"/>
                <w:szCs w:val="18"/>
              </w:rPr>
              <w:t xml:space="preserve">tudy probably </w:t>
            </w:r>
            <w:r w:rsidR="006E3461">
              <w:rPr>
                <w:sz w:val="18"/>
                <w:szCs w:val="18"/>
              </w:rPr>
              <w:t xml:space="preserve">lacked </w:t>
            </w:r>
            <w:r w:rsidR="007D23B4">
              <w:rPr>
                <w:sz w:val="18"/>
                <w:szCs w:val="18"/>
              </w:rPr>
              <w:t xml:space="preserve">power to detect </w:t>
            </w:r>
            <w:r w:rsidR="00863A63">
              <w:rPr>
                <w:sz w:val="18"/>
                <w:szCs w:val="18"/>
              </w:rPr>
              <w:t xml:space="preserve">possible </w:t>
            </w:r>
            <w:r>
              <w:rPr>
                <w:sz w:val="18"/>
                <w:szCs w:val="18"/>
              </w:rPr>
              <w:t xml:space="preserve">clinically meaningful </w:t>
            </w:r>
            <w:r w:rsidR="00863A63">
              <w:rPr>
                <w:sz w:val="18"/>
                <w:szCs w:val="18"/>
              </w:rPr>
              <w:t>effects</w:t>
            </w:r>
            <w:r w:rsidR="007D23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 w:rsidR="007B3B30">
              <w:rPr>
                <w:sz w:val="18"/>
                <w:szCs w:val="18"/>
              </w:rPr>
              <w:t xml:space="preserve"> </w:t>
            </w:r>
            <w:r w:rsidR="00863A63">
              <w:rPr>
                <w:sz w:val="18"/>
                <w:szCs w:val="18"/>
              </w:rPr>
              <w:t>outcome</w:t>
            </w:r>
            <w:r>
              <w:rPr>
                <w:sz w:val="18"/>
                <w:szCs w:val="18"/>
              </w:rPr>
              <w:t>s</w:t>
            </w:r>
            <w:r w:rsidR="00863A63">
              <w:rPr>
                <w:sz w:val="18"/>
                <w:szCs w:val="18"/>
              </w:rPr>
              <w:t xml:space="preserve"> of depression</w:t>
            </w:r>
            <w:r>
              <w:rPr>
                <w:sz w:val="18"/>
                <w:szCs w:val="18"/>
              </w:rPr>
              <w:t xml:space="preserve"> for patients</w:t>
            </w:r>
            <w:r w:rsidR="007D23B4">
              <w:rPr>
                <w:sz w:val="18"/>
                <w:szCs w:val="18"/>
              </w:rPr>
              <w:t>.</w:t>
            </w:r>
            <w:r w:rsidR="00276E23">
              <w:rPr>
                <w:sz w:val="18"/>
                <w:szCs w:val="18"/>
              </w:rPr>
              <w:t xml:space="preserve"> </w:t>
            </w:r>
          </w:p>
          <w:p w14:paraId="2ED0EF66" w14:textId="77777777" w:rsidR="00912816" w:rsidRDefault="00912816" w:rsidP="00276E23">
            <w:pPr>
              <w:rPr>
                <w:sz w:val="18"/>
                <w:szCs w:val="18"/>
              </w:rPr>
            </w:pPr>
          </w:p>
          <w:p w14:paraId="1BBB5820" w14:textId="4E83BC05" w:rsidR="00276E23" w:rsidRDefault="00276E23" w:rsidP="00276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quality study.</w:t>
            </w:r>
          </w:p>
          <w:p w14:paraId="0D3B6722" w14:textId="6B8248B7" w:rsidR="00C87CDD" w:rsidRPr="00C87CDD" w:rsidRDefault="00C87CDD" w:rsidP="006239D6">
            <w:pPr>
              <w:rPr>
                <w:sz w:val="18"/>
                <w:szCs w:val="18"/>
              </w:rPr>
            </w:pPr>
          </w:p>
        </w:tc>
      </w:tr>
      <w:tr w:rsidR="00EA56D7" w14:paraId="60E660CB" w14:textId="77777777" w:rsidTr="00EA56D7">
        <w:tc>
          <w:tcPr>
            <w:tcW w:w="5524" w:type="dxa"/>
            <w:gridSpan w:val="2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5C1BCD40" w14:textId="11B6A288" w:rsidR="00EA56D7" w:rsidRPr="00EA56D7" w:rsidRDefault="00EA56D7" w:rsidP="00EA56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A56D7">
              <w:rPr>
                <w:rFonts w:cstheme="minorHAnsi"/>
                <w:i/>
                <w:iCs/>
              </w:rPr>
              <w:t>Improving Access to Psychological Therapies</w:t>
            </w:r>
            <w:r w:rsidR="00814D10">
              <w:rPr>
                <w:rFonts w:cstheme="minorHAnsi"/>
                <w:i/>
                <w:iCs/>
              </w:rPr>
              <w:t xml:space="preserve"> (IAPT)</w:t>
            </w:r>
            <w:r w:rsidRPr="00EA56D7">
              <w:rPr>
                <w:rFonts w:cstheme="minorHAnsi"/>
                <w:i/>
                <w:iCs/>
              </w:rPr>
              <w:t xml:space="preserve"> services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19DEE10" w14:textId="77777777" w:rsidR="00EA56D7" w:rsidRDefault="00EA56D7" w:rsidP="00C74E9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2C29F2D" w14:textId="77777777" w:rsidR="00EA56D7" w:rsidRDefault="00EA56D7" w:rsidP="00496F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4F614023" w14:textId="77777777" w:rsidR="00EA56D7" w:rsidRDefault="00EA56D7" w:rsidP="00276E23">
            <w:pPr>
              <w:rPr>
                <w:sz w:val="18"/>
                <w:szCs w:val="18"/>
              </w:rPr>
            </w:pPr>
          </w:p>
        </w:tc>
      </w:tr>
      <w:tr w:rsidR="00EA56D7" w14:paraId="3B998079" w14:textId="77777777" w:rsidTr="007832C9">
        <w:tc>
          <w:tcPr>
            <w:tcW w:w="2547" w:type="dxa"/>
            <w:tcBorders>
              <w:bottom w:val="single" w:sz="4" w:space="0" w:color="auto"/>
            </w:tcBorders>
          </w:tcPr>
          <w:p w14:paraId="46E15DDB" w14:textId="03C677B7" w:rsidR="00EA56D7" w:rsidRPr="000D2EE5" w:rsidRDefault="004A4A9D">
            <w:pPr>
              <w:rPr>
                <w:b/>
                <w:lang w:val="fr-FR"/>
              </w:rPr>
            </w:pPr>
            <w:r w:rsidRPr="000D2EE5">
              <w:rPr>
                <w:b/>
                <w:lang w:val="fr-FR"/>
              </w:rPr>
              <w:t>Delgadillo et al</w:t>
            </w:r>
            <w:r w:rsidR="00324EF3">
              <w:rPr>
                <w:b/>
                <w:lang w:val="fr-FR"/>
              </w:rPr>
              <w:t xml:space="preserve"> </w:t>
            </w:r>
            <w:r w:rsidRPr="000D2EE5">
              <w:rPr>
                <w:b/>
                <w:lang w:val="fr-FR"/>
              </w:rPr>
              <w:t>2018</w:t>
            </w:r>
            <w:r w:rsidR="00324EF3" w:rsidRPr="00324EF3">
              <w:rPr>
                <w:bCs/>
                <w:vertAlign w:val="superscript"/>
                <w:lang w:val="fr-FR"/>
              </w:rPr>
              <w:t>8</w:t>
            </w:r>
          </w:p>
          <w:p w14:paraId="585CB5B6" w14:textId="2665BD51" w:rsidR="00814D10" w:rsidRPr="000D2EE5" w:rsidRDefault="00814D10">
            <w:pPr>
              <w:rPr>
                <w:bCs/>
                <w:sz w:val="18"/>
                <w:szCs w:val="18"/>
                <w:lang w:val="fr-FR"/>
              </w:rPr>
            </w:pPr>
            <w:r w:rsidRPr="000D2EE5">
              <w:rPr>
                <w:bCs/>
                <w:sz w:val="18"/>
                <w:szCs w:val="18"/>
                <w:lang w:val="fr-FR"/>
              </w:rPr>
              <w:t>IAPT services</w:t>
            </w:r>
          </w:p>
          <w:p w14:paraId="2985AF37" w14:textId="77777777" w:rsidR="003357C0" w:rsidRPr="000D2EE5" w:rsidRDefault="003357C0">
            <w:pPr>
              <w:rPr>
                <w:bCs/>
                <w:sz w:val="18"/>
                <w:szCs w:val="18"/>
                <w:lang w:val="fr-FR"/>
              </w:rPr>
            </w:pPr>
            <w:r w:rsidRPr="000D2EE5">
              <w:rPr>
                <w:bCs/>
                <w:sz w:val="18"/>
                <w:szCs w:val="18"/>
                <w:lang w:val="fr-FR"/>
              </w:rPr>
              <w:t>UK</w:t>
            </w:r>
          </w:p>
          <w:p w14:paraId="33553F38" w14:textId="1A575B96" w:rsidR="003357C0" w:rsidRPr="00814D10" w:rsidRDefault="003357C0">
            <w:pPr>
              <w:rPr>
                <w:bCs/>
                <w:sz w:val="18"/>
                <w:szCs w:val="18"/>
              </w:rPr>
            </w:pPr>
            <w:r w:rsidRPr="00814D10">
              <w:rPr>
                <w:bCs/>
                <w:sz w:val="18"/>
                <w:szCs w:val="18"/>
              </w:rPr>
              <w:t>N=77 therapists (2233</w:t>
            </w:r>
            <w:r w:rsidR="00814D10" w:rsidRPr="00814D10">
              <w:rPr>
                <w:bCs/>
                <w:sz w:val="18"/>
                <w:szCs w:val="18"/>
              </w:rPr>
              <w:t xml:space="preserve"> patients</w:t>
            </w:r>
            <w:r w:rsidR="00814D10">
              <w:rPr>
                <w:bCs/>
                <w:sz w:val="18"/>
                <w:szCs w:val="18"/>
              </w:rPr>
              <w:t>)</w:t>
            </w:r>
          </w:p>
          <w:p w14:paraId="5A8EE4FA" w14:textId="76FE27FD" w:rsidR="003357C0" w:rsidRPr="00E17EE0" w:rsidRDefault="003357C0">
            <w:pPr>
              <w:rPr>
                <w:b/>
              </w:rPr>
            </w:pPr>
            <w:r w:rsidRPr="00814D10">
              <w:rPr>
                <w:bCs/>
                <w:sz w:val="18"/>
                <w:szCs w:val="18"/>
              </w:rPr>
              <w:t>Cluster randomised by therapist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72EF2F" w14:textId="2956D102" w:rsidR="00EA56D7" w:rsidRPr="003357C0" w:rsidRDefault="003357C0" w:rsidP="003357C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357C0">
              <w:rPr>
                <w:rFonts w:cstheme="minorHAnsi"/>
                <w:b/>
                <w:bCs/>
                <w:sz w:val="18"/>
                <w:szCs w:val="18"/>
              </w:rPr>
              <w:t>PROM</w:t>
            </w:r>
            <w:r w:rsidR="00703228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3357C0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3357C0">
              <w:rPr>
                <w:rFonts w:cstheme="minorHAnsi"/>
                <w:sz w:val="18"/>
                <w:szCs w:val="18"/>
              </w:rPr>
              <w:t xml:space="preserve"> </w:t>
            </w:r>
            <w:r w:rsidR="00703228">
              <w:rPr>
                <w:rFonts w:cstheme="minorHAnsi"/>
                <w:sz w:val="18"/>
                <w:szCs w:val="18"/>
              </w:rPr>
              <w:t xml:space="preserve">PHQ-9 for depression and GAD-7 for anxiety. </w:t>
            </w:r>
            <w:r w:rsidRPr="003357C0">
              <w:rPr>
                <w:rFonts w:cstheme="minorHAnsi"/>
                <w:sz w:val="18"/>
                <w:szCs w:val="18"/>
              </w:rPr>
              <w:t>An automated computer algorithm alerted therapists to patients who were not on track and primed them to review these patients in clinical supervision.</w:t>
            </w:r>
          </w:p>
          <w:p w14:paraId="068194B0" w14:textId="77777777" w:rsidR="003357C0" w:rsidRPr="003357C0" w:rsidRDefault="003357C0" w:rsidP="003357C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6F31F57" w14:textId="5FF76991" w:rsidR="003357C0" w:rsidRPr="003357C0" w:rsidRDefault="003357C0" w:rsidP="003357C0">
            <w:pPr>
              <w:autoSpaceDE w:val="0"/>
              <w:autoSpaceDN w:val="0"/>
              <w:adjustRightInd w:val="0"/>
              <w:rPr>
                <w:rFonts w:ascii="ScalaLancetPro-Bold" w:hAnsi="ScalaLancetPro-Bold" w:cs="ScalaLancetPro-Bold"/>
                <w:b/>
                <w:bCs/>
                <w:sz w:val="18"/>
                <w:szCs w:val="18"/>
              </w:rPr>
            </w:pPr>
            <w:r w:rsidRPr="003357C0">
              <w:rPr>
                <w:rFonts w:cstheme="minorHAnsi"/>
                <w:b/>
                <w:bCs/>
                <w:sz w:val="18"/>
                <w:szCs w:val="18"/>
              </w:rPr>
              <w:t>Control group:</w:t>
            </w:r>
            <w:r w:rsidRPr="003357C0">
              <w:rPr>
                <w:rFonts w:cstheme="minorHAnsi"/>
                <w:sz w:val="18"/>
                <w:szCs w:val="18"/>
              </w:rPr>
              <w:t xml:space="preserve"> TAU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062240" w14:textId="111F7D4B" w:rsidR="00EA56D7" w:rsidRDefault="00814D10" w:rsidP="00814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main effect of feedback was found overall however, p</w:t>
            </w:r>
            <w:r w:rsidRPr="00814D10">
              <w:rPr>
                <w:sz w:val="18"/>
                <w:szCs w:val="18"/>
              </w:rPr>
              <w:t xml:space="preserve">atients classified as </w:t>
            </w:r>
            <w:r w:rsidR="00A02493">
              <w:rPr>
                <w:sz w:val="18"/>
                <w:szCs w:val="18"/>
              </w:rPr>
              <w:t>not on track (NOT)</w:t>
            </w:r>
            <w:r w:rsidRPr="00814D10">
              <w:rPr>
                <w:sz w:val="18"/>
                <w:szCs w:val="18"/>
              </w:rPr>
              <w:t xml:space="preserve"> ha</w:t>
            </w:r>
            <w:r>
              <w:rPr>
                <w:sz w:val="18"/>
                <w:szCs w:val="18"/>
              </w:rPr>
              <w:t xml:space="preserve">d </w:t>
            </w:r>
            <w:r w:rsidRPr="00814D10">
              <w:rPr>
                <w:sz w:val="18"/>
                <w:szCs w:val="18"/>
              </w:rPr>
              <w:t>less severe symptoms after treatment if they were allocated to the outcome feedback group than those in the control</w:t>
            </w:r>
            <w:r>
              <w:rPr>
                <w:sz w:val="18"/>
                <w:szCs w:val="18"/>
              </w:rPr>
              <w:t xml:space="preserve"> </w:t>
            </w:r>
            <w:r w:rsidRPr="00814D10">
              <w:rPr>
                <w:sz w:val="18"/>
                <w:szCs w:val="18"/>
              </w:rPr>
              <w:t>group (PHQ-9 d=0·23, B=–1·03</w:t>
            </w:r>
            <w:r>
              <w:rPr>
                <w:sz w:val="18"/>
                <w:szCs w:val="18"/>
              </w:rPr>
              <w:t xml:space="preserve">, </w:t>
            </w:r>
            <w:r w:rsidRPr="00814D10">
              <w:rPr>
                <w:sz w:val="18"/>
                <w:szCs w:val="18"/>
              </w:rPr>
              <w:t>95% CI –1·84 to –0·23; GAD-7 d=0·19, B=–0·85</w:t>
            </w:r>
            <w:r>
              <w:rPr>
                <w:sz w:val="18"/>
                <w:szCs w:val="18"/>
              </w:rPr>
              <w:t xml:space="preserve">, 95% CI </w:t>
            </w:r>
            <w:r w:rsidRPr="00814D10">
              <w:rPr>
                <w:sz w:val="18"/>
                <w:szCs w:val="18"/>
              </w:rPr>
              <w:t>–1·56 to –0·14</w:t>
            </w:r>
            <w:r>
              <w:rPr>
                <w:sz w:val="18"/>
                <w:szCs w:val="18"/>
              </w:rPr>
              <w:t>)</w:t>
            </w:r>
            <w:r w:rsidRPr="00814D10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5791C2" w14:textId="39163570" w:rsidR="00814D10" w:rsidRDefault="00814D10" w:rsidP="00814D10">
            <w:pPr>
              <w:autoSpaceDE w:val="0"/>
              <w:autoSpaceDN w:val="0"/>
              <w:adjustRightInd w:val="0"/>
              <w:rPr>
                <w:rFonts w:eastAsia="ScalaLancetPro" w:cstheme="minorHAnsi"/>
                <w:sz w:val="18"/>
                <w:szCs w:val="18"/>
              </w:rPr>
            </w:pPr>
            <w:r w:rsidRPr="00AD72D9">
              <w:rPr>
                <w:rFonts w:cstheme="minorHAnsi"/>
                <w:b/>
                <w:bCs/>
                <w:sz w:val="18"/>
                <w:szCs w:val="18"/>
              </w:rPr>
              <w:t>Strength:</w:t>
            </w:r>
            <w:r w:rsidRPr="009F6515">
              <w:rPr>
                <w:rFonts w:cstheme="minorHAnsi"/>
                <w:sz w:val="18"/>
                <w:szCs w:val="18"/>
              </w:rPr>
              <w:t xml:space="preserve"> independent </w:t>
            </w:r>
            <w:r w:rsidR="009F6515" w:rsidRPr="009F6515">
              <w:rPr>
                <w:rFonts w:cstheme="minorHAnsi"/>
                <w:sz w:val="18"/>
                <w:szCs w:val="18"/>
              </w:rPr>
              <w:t>c</w:t>
            </w:r>
            <w:r w:rsidR="009F6515" w:rsidRPr="009F6515">
              <w:rPr>
                <w:rFonts w:eastAsia="ScalaLancetPro" w:cstheme="minorHAnsi"/>
                <w:sz w:val="18"/>
                <w:szCs w:val="18"/>
              </w:rPr>
              <w:t>omputer-generated randomisation</w:t>
            </w:r>
          </w:p>
          <w:p w14:paraId="240CE9E6" w14:textId="1E75D8B9" w:rsidR="009F6515" w:rsidRDefault="009F6515" w:rsidP="00814D1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A080594" w14:textId="2D21B940" w:rsidR="009F6515" w:rsidRPr="009F6515" w:rsidRDefault="009F6515" w:rsidP="009F6515">
            <w:pPr>
              <w:autoSpaceDE w:val="0"/>
              <w:autoSpaceDN w:val="0"/>
              <w:adjustRightInd w:val="0"/>
              <w:rPr>
                <w:rFonts w:eastAsia="ScalaLancetPro" w:cstheme="minorHAnsi"/>
                <w:sz w:val="18"/>
                <w:szCs w:val="18"/>
              </w:rPr>
            </w:pPr>
            <w:r w:rsidRPr="00AD72D9">
              <w:rPr>
                <w:rFonts w:cstheme="minorHAnsi"/>
                <w:b/>
                <w:bCs/>
                <w:sz w:val="18"/>
                <w:szCs w:val="18"/>
              </w:rPr>
              <w:t>Limitations:</w:t>
            </w:r>
            <w:r w:rsidRPr="009F6515">
              <w:rPr>
                <w:rFonts w:cstheme="minorHAnsi"/>
                <w:sz w:val="18"/>
                <w:szCs w:val="18"/>
              </w:rPr>
              <w:t xml:space="preserve"> lack of </w:t>
            </w:r>
            <w:r w:rsidRPr="009F6515">
              <w:rPr>
                <w:rFonts w:eastAsia="ScalaLancetPro" w:cstheme="minorHAnsi"/>
                <w:sz w:val="18"/>
                <w:szCs w:val="18"/>
              </w:rPr>
              <w:t>monitoring competence in treatment delivery or in feedback use.</w:t>
            </w:r>
          </w:p>
          <w:p w14:paraId="0E5CBC55" w14:textId="54FF0EE3" w:rsidR="00EA56D7" w:rsidRPr="009F6515" w:rsidRDefault="009F6515" w:rsidP="00703228">
            <w:pPr>
              <w:autoSpaceDE w:val="0"/>
              <w:autoSpaceDN w:val="0"/>
              <w:adjustRightInd w:val="0"/>
              <w:rPr>
                <w:rFonts w:ascii="ScalaLancetPro" w:eastAsia="ScalaLancetPro" w:cs="ScalaLancetPro"/>
                <w:sz w:val="18"/>
                <w:szCs w:val="18"/>
              </w:rPr>
            </w:pPr>
            <w:r w:rsidRPr="009F6515">
              <w:rPr>
                <w:rFonts w:eastAsia="ScalaLancetPro" w:cstheme="minorHAnsi"/>
                <w:sz w:val="18"/>
                <w:szCs w:val="18"/>
              </w:rPr>
              <w:t>Patients with high baseline severity scores (</w:t>
            </w:r>
            <w:r w:rsidR="00703228" w:rsidRPr="009F6515">
              <w:rPr>
                <w:rFonts w:eastAsia="ScalaLancetPro" w:cstheme="minorHAnsi"/>
                <w:sz w:val="18"/>
                <w:szCs w:val="18"/>
              </w:rPr>
              <w:t>e.g.</w:t>
            </w:r>
            <w:r w:rsidRPr="009F6515">
              <w:rPr>
                <w:rFonts w:eastAsia="ScalaLancetPro" w:cstheme="minorHAnsi"/>
                <w:sz w:val="18"/>
                <w:szCs w:val="18"/>
              </w:rPr>
              <w:t xml:space="preserve"> PHQ-9 ≥22) whose symptoms increased during treatment could not be classified as showing reliable deterioration, which is mostly an </w:t>
            </w:r>
            <w:r w:rsidR="00703228" w:rsidRPr="009F6515">
              <w:rPr>
                <w:rFonts w:eastAsia="ScalaLancetPro" w:cstheme="minorHAnsi"/>
                <w:sz w:val="18"/>
                <w:szCs w:val="18"/>
              </w:rPr>
              <w:t>artefact</w:t>
            </w:r>
            <w:r w:rsidRPr="009F6515">
              <w:rPr>
                <w:rFonts w:eastAsia="ScalaLancetPro" w:cstheme="minorHAnsi"/>
                <w:sz w:val="18"/>
                <w:szCs w:val="18"/>
              </w:rPr>
              <w:t xml:space="preserve"> of the measurement tools.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2A064AE" w14:textId="77777777" w:rsidR="00EA56D7" w:rsidRDefault="003357C0" w:rsidP="003357C0">
            <w:pPr>
              <w:rPr>
                <w:sz w:val="18"/>
                <w:szCs w:val="18"/>
              </w:rPr>
            </w:pPr>
            <w:r w:rsidRPr="003357C0">
              <w:rPr>
                <w:sz w:val="18"/>
                <w:szCs w:val="18"/>
              </w:rPr>
              <w:t>Supplementing psychological therapy with low-cost feedback technology can reduce symptom severity</w:t>
            </w:r>
            <w:r>
              <w:rPr>
                <w:sz w:val="18"/>
                <w:szCs w:val="18"/>
              </w:rPr>
              <w:t xml:space="preserve"> </w:t>
            </w:r>
            <w:r w:rsidRPr="003357C0">
              <w:rPr>
                <w:sz w:val="18"/>
                <w:szCs w:val="18"/>
              </w:rPr>
              <w:t xml:space="preserve">in patients at risk of poor response to treatment. </w:t>
            </w:r>
          </w:p>
          <w:p w14:paraId="4C83C4B8" w14:textId="77777777" w:rsidR="00AD72D9" w:rsidRDefault="00AD72D9" w:rsidP="003357C0">
            <w:pPr>
              <w:rPr>
                <w:sz w:val="18"/>
                <w:szCs w:val="18"/>
              </w:rPr>
            </w:pPr>
          </w:p>
          <w:p w14:paraId="16B1BC82" w14:textId="2BA74F70" w:rsidR="00AD72D9" w:rsidRDefault="00AD72D9" w:rsidP="00335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 quality study</w:t>
            </w:r>
          </w:p>
        </w:tc>
      </w:tr>
      <w:tr w:rsidR="001332E5" w14:paraId="63C689F5" w14:textId="77777777" w:rsidTr="007832C9">
        <w:tc>
          <w:tcPr>
            <w:tcW w:w="2547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79A804C" w14:textId="663B7167" w:rsidR="001332E5" w:rsidRPr="00E17EE0" w:rsidRDefault="001332E5">
            <w:pPr>
              <w:rPr>
                <w:b/>
              </w:rPr>
            </w:pPr>
            <w:r>
              <w:rPr>
                <w:b/>
              </w:rPr>
              <w:t xml:space="preserve">Ongoing </w:t>
            </w:r>
            <w:r w:rsidR="00A6345C">
              <w:rPr>
                <w:b/>
              </w:rPr>
              <w:t>RCTs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D3898F6" w14:textId="77777777" w:rsidR="001332E5" w:rsidRDefault="001332E5" w:rsidP="002F6E5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F50D56F" w14:textId="77777777" w:rsidR="001332E5" w:rsidRDefault="001332E5" w:rsidP="00FF63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B18C269" w14:textId="77777777" w:rsidR="001332E5" w:rsidRDefault="001332E5" w:rsidP="00496F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7FE73418" w14:textId="77777777" w:rsidR="001332E5" w:rsidRDefault="001332E5">
            <w:pPr>
              <w:rPr>
                <w:sz w:val="18"/>
                <w:szCs w:val="18"/>
              </w:rPr>
            </w:pPr>
          </w:p>
        </w:tc>
      </w:tr>
      <w:tr w:rsidR="001332E5" w14:paraId="657947C8" w14:textId="77777777" w:rsidTr="00056929">
        <w:tc>
          <w:tcPr>
            <w:tcW w:w="2547" w:type="dxa"/>
            <w:tcBorders>
              <w:right w:val="nil"/>
            </w:tcBorders>
            <w:shd w:val="clear" w:color="auto" w:fill="FFE599" w:themeFill="accent4" w:themeFillTint="66"/>
          </w:tcPr>
          <w:p w14:paraId="32653144" w14:textId="68099553" w:rsidR="001332E5" w:rsidRPr="007832C9" w:rsidRDefault="001332E5">
            <w:pPr>
              <w:rPr>
                <w:bCs/>
                <w:i/>
                <w:iCs/>
              </w:rPr>
            </w:pPr>
            <w:r w:rsidRPr="007832C9">
              <w:rPr>
                <w:bCs/>
                <w:i/>
                <w:iCs/>
              </w:rPr>
              <w:t>Any setting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6F1FC0C3" w14:textId="77777777" w:rsidR="001332E5" w:rsidRDefault="001332E5" w:rsidP="002F6E5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032E87C" w14:textId="77777777" w:rsidR="001332E5" w:rsidRDefault="001332E5" w:rsidP="00FF63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C0DA966" w14:textId="77777777" w:rsidR="001332E5" w:rsidRDefault="001332E5" w:rsidP="00496F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23288B6B" w14:textId="77777777" w:rsidR="001332E5" w:rsidRDefault="001332E5">
            <w:pPr>
              <w:rPr>
                <w:sz w:val="18"/>
                <w:szCs w:val="18"/>
              </w:rPr>
            </w:pPr>
          </w:p>
        </w:tc>
      </w:tr>
      <w:tr w:rsidR="00C87CDD" w14:paraId="6529F287" w14:textId="77777777" w:rsidTr="007832C9">
        <w:tc>
          <w:tcPr>
            <w:tcW w:w="2547" w:type="dxa"/>
            <w:tcBorders>
              <w:bottom w:val="single" w:sz="4" w:space="0" w:color="auto"/>
            </w:tcBorders>
          </w:tcPr>
          <w:p w14:paraId="2D7CA8CA" w14:textId="3AC27E63" w:rsidR="00C87CDD" w:rsidRPr="00C50C64" w:rsidRDefault="00C87CDD">
            <w:pPr>
              <w:rPr>
                <w:vertAlign w:val="superscript"/>
              </w:rPr>
            </w:pPr>
            <w:r w:rsidRPr="00E17EE0">
              <w:rPr>
                <w:b/>
              </w:rPr>
              <w:t>NCT02790970</w:t>
            </w:r>
            <w:r w:rsidR="00C50C64">
              <w:rPr>
                <w:vertAlign w:val="superscript"/>
              </w:rPr>
              <w:t>16</w:t>
            </w:r>
          </w:p>
          <w:p w14:paraId="22642B45" w14:textId="77777777" w:rsidR="00C87CDD" w:rsidRDefault="00C87CDD" w:rsidP="00783377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(Lead investigator Browning)</w:t>
            </w:r>
          </w:p>
          <w:p w14:paraId="77DCC064" w14:textId="19D8ACF3" w:rsidR="00C87CDD" w:rsidRPr="00986DE4" w:rsidRDefault="00C87CDD" w:rsidP="00811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  <w:r w:rsidR="00811E2E">
              <w:rPr>
                <w:sz w:val="18"/>
                <w:szCs w:val="18"/>
              </w:rPr>
              <w:t>i</w:t>
            </w:r>
            <w:r w:rsidR="00496FEF">
              <w:rPr>
                <w:sz w:val="18"/>
                <w:szCs w:val="18"/>
              </w:rPr>
              <w:t xml:space="preserve">mary and secondary care clinics, </w:t>
            </w:r>
            <w:r w:rsidR="00811E2E" w:rsidRPr="00811E2E">
              <w:rPr>
                <w:sz w:val="18"/>
                <w:szCs w:val="18"/>
              </w:rPr>
              <w:t>UK, France, Spain, Germany and the</w:t>
            </w:r>
            <w:r w:rsidR="00811E2E">
              <w:rPr>
                <w:sz w:val="18"/>
                <w:szCs w:val="18"/>
              </w:rPr>
              <w:t xml:space="preserve"> Netherlands</w:t>
            </w:r>
          </w:p>
          <w:p w14:paraId="6ACDC3B9" w14:textId="1550FEB9" w:rsidR="00C87CDD" w:rsidRPr="000D2EE5" w:rsidRDefault="00C87CDD" w:rsidP="00783377">
            <w:pPr>
              <w:rPr>
                <w:sz w:val="18"/>
                <w:szCs w:val="18"/>
                <w:lang w:val="fr-FR"/>
              </w:rPr>
            </w:pPr>
            <w:r w:rsidRPr="000D2EE5">
              <w:rPr>
                <w:sz w:val="18"/>
                <w:szCs w:val="18"/>
                <w:lang w:val="fr-FR"/>
              </w:rPr>
              <w:t>N = 913</w:t>
            </w:r>
            <w:r w:rsidR="007E20BF" w:rsidRPr="000D2EE5">
              <w:rPr>
                <w:sz w:val="18"/>
                <w:szCs w:val="18"/>
                <w:lang w:val="fr-FR"/>
              </w:rPr>
              <w:t xml:space="preserve"> participants</w:t>
            </w:r>
          </w:p>
          <w:p w14:paraId="72DA72BC" w14:textId="77777777" w:rsidR="00C87CDD" w:rsidRPr="000D2EE5" w:rsidRDefault="00811E2E" w:rsidP="00783377">
            <w:pPr>
              <w:rPr>
                <w:sz w:val="18"/>
                <w:szCs w:val="18"/>
                <w:lang w:val="fr-FR"/>
              </w:rPr>
            </w:pPr>
            <w:r w:rsidRPr="000D2EE5">
              <w:rPr>
                <w:sz w:val="18"/>
                <w:szCs w:val="18"/>
                <w:lang w:val="fr-FR"/>
              </w:rPr>
              <w:t>Individual patient randomisation.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2837CE" w14:textId="73AC650B" w:rsidR="00BF19F4" w:rsidRDefault="00A66097" w:rsidP="002F6E5F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PROM:</w:t>
            </w:r>
            <w:r>
              <w:rPr>
                <w:sz w:val="18"/>
                <w:szCs w:val="18"/>
              </w:rPr>
              <w:t xml:space="preserve"> o</w:t>
            </w:r>
            <w:r w:rsidR="00811E2E">
              <w:rPr>
                <w:sz w:val="18"/>
                <w:szCs w:val="18"/>
              </w:rPr>
              <w:t xml:space="preserve">n-line </w:t>
            </w:r>
            <w:r w:rsidR="00811E2E" w:rsidRPr="00811E2E">
              <w:rPr>
                <w:sz w:val="18"/>
                <w:szCs w:val="18"/>
              </w:rPr>
              <w:t xml:space="preserve">PReDicT Test </w:t>
            </w:r>
            <w:r w:rsidR="00811E2E">
              <w:rPr>
                <w:sz w:val="18"/>
                <w:szCs w:val="18"/>
              </w:rPr>
              <w:t>including</w:t>
            </w:r>
            <w:r w:rsidR="00496FEF">
              <w:rPr>
                <w:sz w:val="18"/>
                <w:szCs w:val="18"/>
              </w:rPr>
              <w:t xml:space="preserve"> QIDS-SR-16, facial expression rating task for negative</w:t>
            </w:r>
            <w:r w:rsidR="00811E2E" w:rsidRPr="00811E2E">
              <w:rPr>
                <w:sz w:val="18"/>
                <w:szCs w:val="18"/>
              </w:rPr>
              <w:t xml:space="preserve"> </w:t>
            </w:r>
            <w:r w:rsidR="00811E2E">
              <w:rPr>
                <w:sz w:val="18"/>
                <w:szCs w:val="18"/>
              </w:rPr>
              <w:t>emotional bias,</w:t>
            </w:r>
            <w:r w:rsidR="00811E2E" w:rsidRPr="00811E2E">
              <w:rPr>
                <w:sz w:val="18"/>
                <w:szCs w:val="18"/>
              </w:rPr>
              <w:t xml:space="preserve"> and</w:t>
            </w:r>
            <w:r w:rsidR="00811E2E">
              <w:rPr>
                <w:sz w:val="18"/>
                <w:szCs w:val="18"/>
              </w:rPr>
              <w:t xml:space="preserve"> </w:t>
            </w:r>
            <w:r w:rsidR="00811E2E" w:rsidRPr="00811E2E">
              <w:rPr>
                <w:sz w:val="18"/>
                <w:szCs w:val="18"/>
              </w:rPr>
              <w:t>algorithm</w:t>
            </w:r>
            <w:r w:rsidR="00811E2E">
              <w:rPr>
                <w:sz w:val="18"/>
                <w:szCs w:val="18"/>
              </w:rPr>
              <w:t xml:space="preserve"> predicting response to </w:t>
            </w:r>
            <w:r>
              <w:rPr>
                <w:sz w:val="18"/>
                <w:szCs w:val="18"/>
              </w:rPr>
              <w:t xml:space="preserve">drug </w:t>
            </w:r>
            <w:r w:rsidR="00811E2E">
              <w:rPr>
                <w:sz w:val="18"/>
                <w:szCs w:val="18"/>
              </w:rPr>
              <w:t>treatment</w:t>
            </w:r>
            <w:r w:rsidR="00811E2E" w:rsidRPr="00811E2E">
              <w:rPr>
                <w:sz w:val="18"/>
                <w:szCs w:val="18"/>
              </w:rPr>
              <w:t xml:space="preserve">. </w:t>
            </w:r>
            <w:r w:rsidR="00B905ED">
              <w:rPr>
                <w:sz w:val="18"/>
                <w:szCs w:val="18"/>
              </w:rPr>
              <w:t>Feedback to practitioner</w:t>
            </w:r>
            <w:r w:rsidR="007D1527">
              <w:rPr>
                <w:sz w:val="18"/>
                <w:szCs w:val="18"/>
              </w:rPr>
              <w:t xml:space="preserve"> only</w:t>
            </w:r>
            <w:r w:rsidR="00B905ED">
              <w:rPr>
                <w:sz w:val="18"/>
                <w:szCs w:val="18"/>
              </w:rPr>
              <w:t xml:space="preserve">. </w:t>
            </w:r>
          </w:p>
          <w:p w14:paraId="56452DFB" w14:textId="77777777" w:rsidR="00496FEF" w:rsidRDefault="00496FEF" w:rsidP="002F6E5F">
            <w:pPr>
              <w:rPr>
                <w:sz w:val="18"/>
                <w:szCs w:val="18"/>
              </w:rPr>
            </w:pPr>
          </w:p>
          <w:p w14:paraId="4170911B" w14:textId="5DFD6C2D" w:rsidR="00C87CDD" w:rsidRPr="00C87CDD" w:rsidRDefault="00B905ED" w:rsidP="002F6E5F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Control</w:t>
            </w:r>
            <w:r w:rsidR="00FF638D" w:rsidRPr="005B30AD">
              <w:rPr>
                <w:b/>
                <w:bCs/>
                <w:sz w:val="18"/>
                <w:szCs w:val="18"/>
              </w:rPr>
              <w:t xml:space="preserve"> </w:t>
            </w:r>
            <w:r w:rsidR="002F6E5F" w:rsidRPr="005B30AD">
              <w:rPr>
                <w:b/>
                <w:bCs/>
                <w:sz w:val="18"/>
                <w:szCs w:val="18"/>
              </w:rPr>
              <w:t>group</w:t>
            </w:r>
            <w:r w:rsidR="00BF19F4" w:rsidRPr="005B30AD">
              <w:rPr>
                <w:b/>
                <w:bCs/>
                <w:sz w:val="18"/>
                <w:szCs w:val="18"/>
              </w:rPr>
              <w:t>:</w:t>
            </w:r>
            <w:r w:rsidR="002F6E5F">
              <w:rPr>
                <w:sz w:val="18"/>
                <w:szCs w:val="18"/>
              </w:rPr>
              <w:t xml:space="preserve"> </w:t>
            </w:r>
            <w:r w:rsidR="00FF638D">
              <w:rPr>
                <w:sz w:val="18"/>
                <w:szCs w:val="18"/>
              </w:rPr>
              <w:t xml:space="preserve">complete </w:t>
            </w:r>
            <w:r>
              <w:rPr>
                <w:sz w:val="18"/>
                <w:szCs w:val="18"/>
              </w:rPr>
              <w:t xml:space="preserve">PReDicT test </w:t>
            </w:r>
            <w:r w:rsidR="00FF638D">
              <w:rPr>
                <w:sz w:val="18"/>
                <w:szCs w:val="18"/>
              </w:rPr>
              <w:t xml:space="preserve">but </w:t>
            </w:r>
            <w:r>
              <w:rPr>
                <w:sz w:val="18"/>
                <w:szCs w:val="18"/>
              </w:rPr>
              <w:t>without feedback</w:t>
            </w:r>
            <w:r w:rsidR="00FF638D">
              <w:rPr>
                <w:sz w:val="18"/>
                <w:szCs w:val="18"/>
              </w:rPr>
              <w:t xml:space="preserve"> of result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B8790" w14:textId="77777777" w:rsidR="00B905ED" w:rsidRPr="00B905ED" w:rsidRDefault="00B905ED" w:rsidP="00FF6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outcome: </w:t>
            </w:r>
            <w:r w:rsidR="00FF638D" w:rsidRPr="00B905ED">
              <w:rPr>
                <w:sz w:val="18"/>
                <w:szCs w:val="18"/>
              </w:rPr>
              <w:t>QIDS-SR-16</w:t>
            </w:r>
            <w:r>
              <w:rPr>
                <w:sz w:val="18"/>
                <w:szCs w:val="18"/>
              </w:rPr>
              <w:t xml:space="preserve"> at we</w:t>
            </w:r>
            <w:r w:rsidRPr="00B905ED">
              <w:rPr>
                <w:sz w:val="18"/>
                <w:szCs w:val="18"/>
              </w:rPr>
              <w:t>ek 8</w:t>
            </w:r>
            <w:r>
              <w:rPr>
                <w:sz w:val="18"/>
                <w:szCs w:val="18"/>
              </w:rPr>
              <w:t>. Secondary outcomes:</w:t>
            </w:r>
            <w:r w:rsidRPr="00B905ED">
              <w:rPr>
                <w:sz w:val="18"/>
                <w:szCs w:val="18"/>
              </w:rPr>
              <w:t xml:space="preserve"> </w:t>
            </w:r>
            <w:r w:rsidR="00FF638D">
              <w:rPr>
                <w:sz w:val="18"/>
                <w:szCs w:val="18"/>
              </w:rPr>
              <w:t xml:space="preserve">EQ-5D, </w:t>
            </w:r>
            <w:r w:rsidR="002F6E5F">
              <w:rPr>
                <w:sz w:val="18"/>
                <w:szCs w:val="18"/>
              </w:rPr>
              <w:t xml:space="preserve">OxCAP-MH, </w:t>
            </w:r>
            <w:r w:rsidR="00FF638D">
              <w:rPr>
                <w:sz w:val="18"/>
                <w:szCs w:val="18"/>
              </w:rPr>
              <w:t>MADRS,</w:t>
            </w:r>
            <w:r w:rsidR="002F6E5F">
              <w:rPr>
                <w:sz w:val="18"/>
                <w:szCs w:val="18"/>
              </w:rPr>
              <w:t xml:space="preserve"> GAD-7, DSST</w:t>
            </w:r>
            <w:r w:rsidRPr="00B905ED">
              <w:rPr>
                <w:sz w:val="18"/>
                <w:szCs w:val="18"/>
              </w:rPr>
              <w:t>, SAS-SR</w:t>
            </w:r>
            <w:r w:rsidR="00FF638D" w:rsidRPr="00FF638D">
              <w:rPr>
                <w:sz w:val="18"/>
                <w:szCs w:val="18"/>
              </w:rPr>
              <w:t xml:space="preserve"> and costs over</w:t>
            </w:r>
            <w:r w:rsidR="00FF638D">
              <w:rPr>
                <w:sz w:val="18"/>
                <w:szCs w:val="18"/>
              </w:rPr>
              <w:t xml:space="preserve"> </w:t>
            </w:r>
            <w:r w:rsidR="002F6E5F">
              <w:rPr>
                <w:sz w:val="18"/>
                <w:szCs w:val="18"/>
              </w:rPr>
              <w:t>48-50 weeks</w:t>
            </w:r>
            <w:r w:rsidR="00FF638D" w:rsidRPr="00FF638D">
              <w:rPr>
                <w:sz w:val="18"/>
                <w:szCs w:val="18"/>
              </w:rPr>
              <w:t xml:space="preserve"> follow-up</w:t>
            </w:r>
            <w:r w:rsidR="00FF638D">
              <w:rPr>
                <w:sz w:val="18"/>
                <w:szCs w:val="18"/>
              </w:rPr>
              <w:t>.</w:t>
            </w:r>
          </w:p>
          <w:p w14:paraId="1C0C4F1F" w14:textId="77777777" w:rsidR="00B905ED" w:rsidRPr="00B905ED" w:rsidRDefault="00B905ED" w:rsidP="00B905ED">
            <w:pPr>
              <w:rPr>
                <w:sz w:val="18"/>
                <w:szCs w:val="18"/>
              </w:rPr>
            </w:pPr>
          </w:p>
          <w:p w14:paraId="1F440765" w14:textId="77777777" w:rsidR="00C87CDD" w:rsidRPr="00C87CDD" w:rsidRDefault="00C87CDD" w:rsidP="00B905E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15ECA50" w14:textId="06305D84" w:rsidR="00496FEF" w:rsidRDefault="00496FEF" w:rsidP="00496FEF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Strength:</w:t>
            </w:r>
            <w:r>
              <w:rPr>
                <w:sz w:val="18"/>
                <w:szCs w:val="18"/>
              </w:rPr>
              <w:t xml:space="preserve"> </w:t>
            </w:r>
            <w:r w:rsidRPr="00FF638D">
              <w:rPr>
                <w:sz w:val="18"/>
                <w:szCs w:val="18"/>
              </w:rPr>
              <w:t>Remote computerised allocation to arm.</w:t>
            </w:r>
            <w:r>
              <w:rPr>
                <w:sz w:val="18"/>
                <w:szCs w:val="18"/>
              </w:rPr>
              <w:t xml:space="preserve"> </w:t>
            </w:r>
          </w:p>
          <w:p w14:paraId="17989F98" w14:textId="77777777" w:rsidR="00310E60" w:rsidRDefault="00310E60" w:rsidP="00496FEF">
            <w:pPr>
              <w:rPr>
                <w:sz w:val="18"/>
                <w:szCs w:val="18"/>
              </w:rPr>
            </w:pPr>
          </w:p>
          <w:p w14:paraId="0B648B22" w14:textId="2DA7C0B5" w:rsidR="00B25F6C" w:rsidRDefault="00496FEF" w:rsidP="00496FEF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Limitations:</w:t>
            </w:r>
            <w:r>
              <w:rPr>
                <w:sz w:val="18"/>
                <w:szCs w:val="18"/>
              </w:rPr>
              <w:t xml:space="preserve"> </w:t>
            </w:r>
            <w:r w:rsidR="007D1527">
              <w:rPr>
                <w:sz w:val="18"/>
                <w:szCs w:val="18"/>
              </w:rPr>
              <w:t>Target s</w:t>
            </w:r>
            <w:r w:rsidR="00811E2E">
              <w:rPr>
                <w:sz w:val="18"/>
                <w:szCs w:val="18"/>
              </w:rPr>
              <w:t xml:space="preserve">ample calculated to have </w:t>
            </w:r>
            <w:r w:rsidR="00811E2E" w:rsidRPr="00811E2E">
              <w:rPr>
                <w:sz w:val="18"/>
                <w:szCs w:val="18"/>
              </w:rPr>
              <w:t xml:space="preserve">80% </w:t>
            </w:r>
            <w:r w:rsidR="00811E2E">
              <w:rPr>
                <w:sz w:val="18"/>
                <w:szCs w:val="18"/>
              </w:rPr>
              <w:t>power</w:t>
            </w:r>
            <w:r w:rsidR="00811E2E" w:rsidRPr="00811E2E">
              <w:rPr>
                <w:sz w:val="18"/>
                <w:szCs w:val="18"/>
              </w:rPr>
              <w:t xml:space="preserve"> </w:t>
            </w:r>
            <w:r w:rsidR="00811E2E">
              <w:rPr>
                <w:sz w:val="18"/>
                <w:szCs w:val="18"/>
              </w:rPr>
              <w:t xml:space="preserve">to detect MCID </w:t>
            </w:r>
            <w:r w:rsidR="00811E2E" w:rsidRPr="00811E2E">
              <w:rPr>
                <w:sz w:val="18"/>
                <w:szCs w:val="18"/>
              </w:rPr>
              <w:t>of 10%</w:t>
            </w:r>
            <w:r w:rsidR="00811E2E">
              <w:rPr>
                <w:sz w:val="18"/>
                <w:szCs w:val="18"/>
              </w:rPr>
              <w:t xml:space="preserve"> in MADRS score</w:t>
            </w:r>
            <w:r w:rsidR="00811E2E" w:rsidRPr="00811E2E">
              <w:rPr>
                <w:sz w:val="18"/>
                <w:szCs w:val="18"/>
              </w:rPr>
              <w:t xml:space="preserve">. </w:t>
            </w:r>
          </w:p>
          <w:p w14:paraId="7791AA75" w14:textId="77777777" w:rsidR="00B25F6C" w:rsidRDefault="00811E2E" w:rsidP="0049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11E2E">
              <w:rPr>
                <w:sz w:val="18"/>
                <w:szCs w:val="18"/>
              </w:rPr>
              <w:t>xpected attrition rate</w:t>
            </w:r>
            <w:r>
              <w:rPr>
                <w:sz w:val="18"/>
                <w:szCs w:val="18"/>
              </w:rPr>
              <w:t xml:space="preserve"> over </w:t>
            </w:r>
            <w:r w:rsidRPr="00811E2E">
              <w:rPr>
                <w:sz w:val="18"/>
                <w:szCs w:val="18"/>
              </w:rPr>
              <w:t>8 weeks, based on pilot study, is 33%.</w:t>
            </w:r>
            <w:r w:rsidR="00FF638D">
              <w:rPr>
                <w:sz w:val="18"/>
                <w:szCs w:val="18"/>
              </w:rPr>
              <w:t xml:space="preserve"> </w:t>
            </w:r>
          </w:p>
          <w:p w14:paraId="0FDC6AD6" w14:textId="2B3A5312" w:rsidR="00C87CDD" w:rsidRPr="00C87CDD" w:rsidRDefault="00326D10" w:rsidP="0049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label.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FB4F9D" w14:textId="248FC6B9" w:rsidR="00C87CDD" w:rsidRPr="00C87CDD" w:rsidRDefault="00A7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085941">
              <w:rPr>
                <w:sz w:val="18"/>
                <w:szCs w:val="18"/>
              </w:rPr>
              <w:t>rial is ongoing.</w:t>
            </w:r>
          </w:p>
        </w:tc>
      </w:tr>
      <w:tr w:rsidR="001332E5" w14:paraId="7A7EB2DB" w14:textId="77777777" w:rsidTr="00056929">
        <w:tc>
          <w:tcPr>
            <w:tcW w:w="2547" w:type="dxa"/>
            <w:tcBorders>
              <w:right w:val="nil"/>
            </w:tcBorders>
            <w:shd w:val="clear" w:color="auto" w:fill="FFE599" w:themeFill="accent4" w:themeFillTint="66"/>
          </w:tcPr>
          <w:p w14:paraId="5DA2A081" w14:textId="50C2E9FC" w:rsidR="001332E5" w:rsidRPr="00A6345C" w:rsidRDefault="001332E5">
            <w:pPr>
              <w:rPr>
                <w:bCs/>
                <w:i/>
                <w:iCs/>
              </w:rPr>
            </w:pPr>
            <w:r w:rsidRPr="00A6345C">
              <w:rPr>
                <w:bCs/>
                <w:i/>
                <w:iCs/>
              </w:rPr>
              <w:lastRenderedPageBreak/>
              <w:t>Primary care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2F45572" w14:textId="77777777" w:rsidR="001332E5" w:rsidRDefault="001332E5" w:rsidP="002F6E5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27ED56D" w14:textId="77777777" w:rsidR="001332E5" w:rsidRDefault="001332E5" w:rsidP="00FF63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46CE765D" w14:textId="77777777" w:rsidR="001332E5" w:rsidRDefault="001332E5" w:rsidP="00496FE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799F975D" w14:textId="77777777" w:rsidR="001332E5" w:rsidRDefault="001332E5">
            <w:pPr>
              <w:rPr>
                <w:sz w:val="18"/>
                <w:szCs w:val="18"/>
              </w:rPr>
            </w:pPr>
          </w:p>
        </w:tc>
      </w:tr>
      <w:tr w:rsidR="00C87CDD" w14:paraId="1DF28C53" w14:textId="77777777" w:rsidTr="00912816">
        <w:tc>
          <w:tcPr>
            <w:tcW w:w="2547" w:type="dxa"/>
          </w:tcPr>
          <w:p w14:paraId="154A239A" w14:textId="0D1CB3C5" w:rsidR="00C87CDD" w:rsidRPr="00C50C64" w:rsidRDefault="00C87CDD">
            <w:pPr>
              <w:rPr>
                <w:vertAlign w:val="superscript"/>
              </w:rPr>
            </w:pPr>
            <w:r w:rsidRPr="00E17EE0">
              <w:rPr>
                <w:b/>
              </w:rPr>
              <w:t>NCT03162211</w:t>
            </w:r>
            <w:r w:rsidR="00C50C64">
              <w:rPr>
                <w:vertAlign w:val="superscript"/>
              </w:rPr>
              <w:t>17</w:t>
            </w:r>
          </w:p>
          <w:p w14:paraId="58447667" w14:textId="77777777" w:rsidR="00C87CDD" w:rsidRDefault="00C87CDD" w:rsidP="00783377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(Lead investigator Uher)</w:t>
            </w:r>
          </w:p>
          <w:p w14:paraId="557F34BE" w14:textId="77777777" w:rsidR="00C87CDD" w:rsidRDefault="00136F46" w:rsidP="0078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group p</w:t>
            </w:r>
            <w:r w:rsidR="00C87CDD">
              <w:rPr>
                <w:sz w:val="18"/>
                <w:szCs w:val="18"/>
              </w:rPr>
              <w:t>ractices</w:t>
            </w:r>
            <w:r>
              <w:rPr>
                <w:sz w:val="18"/>
                <w:szCs w:val="18"/>
              </w:rPr>
              <w:t xml:space="preserve">, </w:t>
            </w:r>
            <w:r w:rsidR="005A6CF9">
              <w:rPr>
                <w:sz w:val="18"/>
                <w:szCs w:val="18"/>
              </w:rPr>
              <w:t>Canada.</w:t>
            </w:r>
          </w:p>
          <w:p w14:paraId="0C174960" w14:textId="1E32F262" w:rsidR="00C87CDD" w:rsidRDefault="00C87CDD" w:rsidP="0078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</w:t>
            </w:r>
            <w:r w:rsidR="002145BD">
              <w:rPr>
                <w:sz w:val="18"/>
                <w:szCs w:val="18"/>
              </w:rPr>
              <w:t xml:space="preserve"> 304</w:t>
            </w:r>
            <w:r w:rsidR="007E20BF">
              <w:rPr>
                <w:sz w:val="18"/>
                <w:szCs w:val="18"/>
              </w:rPr>
              <w:t xml:space="preserve"> participants</w:t>
            </w:r>
          </w:p>
          <w:p w14:paraId="74668E03" w14:textId="77777777" w:rsidR="00C87CDD" w:rsidRPr="00986DE4" w:rsidRDefault="005A6CF9" w:rsidP="00783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of randomisation not reported.</w:t>
            </w:r>
          </w:p>
        </w:tc>
        <w:tc>
          <w:tcPr>
            <w:tcW w:w="2977" w:type="dxa"/>
          </w:tcPr>
          <w:p w14:paraId="05AEFCE1" w14:textId="76FDCD5E" w:rsidR="00AF631A" w:rsidRDefault="00BF19F4" w:rsidP="00136F46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PROM:</w:t>
            </w:r>
            <w:r>
              <w:rPr>
                <w:sz w:val="18"/>
                <w:szCs w:val="18"/>
              </w:rPr>
              <w:t xml:space="preserve"> </w:t>
            </w:r>
            <w:r w:rsidR="002145BD">
              <w:rPr>
                <w:sz w:val="18"/>
                <w:szCs w:val="18"/>
              </w:rPr>
              <w:t>O</w:t>
            </w:r>
            <w:r w:rsidR="002145BD" w:rsidRPr="002145BD">
              <w:rPr>
                <w:sz w:val="18"/>
                <w:szCs w:val="18"/>
              </w:rPr>
              <w:t>n-line collect</w:t>
            </w:r>
            <w:r w:rsidR="002145BD">
              <w:rPr>
                <w:sz w:val="18"/>
                <w:szCs w:val="18"/>
              </w:rPr>
              <w:t>ion of</w:t>
            </w:r>
            <w:r w:rsidR="002145BD" w:rsidRPr="002145BD">
              <w:rPr>
                <w:sz w:val="18"/>
                <w:szCs w:val="18"/>
              </w:rPr>
              <w:t xml:space="preserve"> self-report and clinician-rated depression severity, role functioning, quality of life and self-defined </w:t>
            </w:r>
            <w:r w:rsidR="002145BD">
              <w:rPr>
                <w:sz w:val="18"/>
                <w:szCs w:val="18"/>
              </w:rPr>
              <w:t xml:space="preserve">treatment </w:t>
            </w:r>
            <w:r w:rsidR="002145BD" w:rsidRPr="002145BD">
              <w:rPr>
                <w:sz w:val="18"/>
                <w:szCs w:val="18"/>
              </w:rPr>
              <w:t>goals</w:t>
            </w:r>
            <w:r w:rsidR="006B7C66">
              <w:rPr>
                <w:sz w:val="18"/>
                <w:szCs w:val="18"/>
              </w:rPr>
              <w:t>,</w:t>
            </w:r>
            <w:r w:rsidR="006B7C66" w:rsidRPr="006B7C66">
              <w:rPr>
                <w:sz w:val="18"/>
                <w:szCs w:val="18"/>
              </w:rPr>
              <w:t xml:space="preserve"> week</w:t>
            </w:r>
            <w:r w:rsidR="00C96667">
              <w:rPr>
                <w:sz w:val="18"/>
                <w:szCs w:val="18"/>
              </w:rPr>
              <w:t>ly</w:t>
            </w:r>
            <w:r w:rsidR="006B7C66" w:rsidRPr="006B7C66">
              <w:rPr>
                <w:sz w:val="18"/>
                <w:szCs w:val="18"/>
              </w:rPr>
              <w:t xml:space="preserve"> for </w:t>
            </w:r>
            <w:r w:rsidR="006B7C66">
              <w:rPr>
                <w:sz w:val="18"/>
                <w:szCs w:val="18"/>
              </w:rPr>
              <w:t>3</w:t>
            </w:r>
            <w:r w:rsidR="006B7C66" w:rsidRPr="006B7C66">
              <w:rPr>
                <w:sz w:val="18"/>
                <w:szCs w:val="18"/>
              </w:rPr>
              <w:t xml:space="preserve"> month</w:t>
            </w:r>
            <w:r w:rsidR="006B7C66">
              <w:rPr>
                <w:sz w:val="18"/>
                <w:szCs w:val="18"/>
              </w:rPr>
              <w:t>s</w:t>
            </w:r>
            <w:r w:rsidR="006B7C66" w:rsidRPr="006B7C66">
              <w:rPr>
                <w:sz w:val="18"/>
                <w:szCs w:val="18"/>
              </w:rPr>
              <w:t xml:space="preserve"> </w:t>
            </w:r>
            <w:r w:rsidR="00136F46">
              <w:rPr>
                <w:sz w:val="18"/>
                <w:szCs w:val="18"/>
              </w:rPr>
              <w:t xml:space="preserve">then </w:t>
            </w:r>
            <w:r w:rsidR="006B7C66" w:rsidRPr="006B7C66">
              <w:rPr>
                <w:sz w:val="18"/>
                <w:szCs w:val="18"/>
              </w:rPr>
              <w:t>month</w:t>
            </w:r>
            <w:r w:rsidR="006B7C66">
              <w:rPr>
                <w:sz w:val="18"/>
                <w:szCs w:val="18"/>
              </w:rPr>
              <w:t>ly</w:t>
            </w:r>
            <w:r w:rsidR="006B7C66" w:rsidRPr="006B7C66">
              <w:rPr>
                <w:sz w:val="18"/>
                <w:szCs w:val="18"/>
              </w:rPr>
              <w:t xml:space="preserve"> for</w:t>
            </w:r>
            <w:r w:rsidR="006B7C66">
              <w:rPr>
                <w:sz w:val="18"/>
                <w:szCs w:val="18"/>
              </w:rPr>
              <w:t xml:space="preserve"> 3 months</w:t>
            </w:r>
            <w:r w:rsidR="002145BD" w:rsidRPr="002145BD">
              <w:rPr>
                <w:sz w:val="18"/>
                <w:szCs w:val="18"/>
              </w:rPr>
              <w:t xml:space="preserve">. </w:t>
            </w:r>
            <w:r w:rsidR="002145BD">
              <w:rPr>
                <w:sz w:val="18"/>
                <w:szCs w:val="18"/>
              </w:rPr>
              <w:t xml:space="preserve">Feedback to both practitioners and patients.  </w:t>
            </w:r>
          </w:p>
          <w:p w14:paraId="09F042E5" w14:textId="77777777" w:rsidR="00AF631A" w:rsidRDefault="00AF631A" w:rsidP="00136F46">
            <w:pPr>
              <w:rPr>
                <w:sz w:val="18"/>
                <w:szCs w:val="18"/>
              </w:rPr>
            </w:pPr>
          </w:p>
          <w:p w14:paraId="1D62F464" w14:textId="49E79954" w:rsidR="00C87CDD" w:rsidRPr="00C87CDD" w:rsidRDefault="002145BD" w:rsidP="00136F46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Control group</w:t>
            </w:r>
            <w:r w:rsidR="00BF19F4" w:rsidRPr="005B30AD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complete on-line ratings</w:t>
            </w:r>
            <w:r w:rsidRPr="002145BD">
              <w:rPr>
                <w:sz w:val="18"/>
                <w:szCs w:val="18"/>
              </w:rPr>
              <w:t xml:space="preserve"> but without feedback of result.</w:t>
            </w:r>
          </w:p>
        </w:tc>
        <w:tc>
          <w:tcPr>
            <w:tcW w:w="3402" w:type="dxa"/>
          </w:tcPr>
          <w:p w14:paraId="3F2E488C" w14:textId="77777777" w:rsidR="001332E5" w:rsidRDefault="002145BD" w:rsidP="00214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outcome: QIDS</w:t>
            </w:r>
            <w:r w:rsidR="00A73BB0">
              <w:rPr>
                <w:sz w:val="18"/>
                <w:szCs w:val="18"/>
              </w:rPr>
              <w:t>-SR</w:t>
            </w:r>
            <w:r>
              <w:rPr>
                <w:sz w:val="18"/>
                <w:szCs w:val="18"/>
              </w:rPr>
              <w:t xml:space="preserve"> over 12 months. </w:t>
            </w:r>
          </w:p>
          <w:p w14:paraId="79D5974B" w14:textId="77777777" w:rsidR="001332E5" w:rsidRDefault="001332E5" w:rsidP="002145BD">
            <w:pPr>
              <w:rPr>
                <w:sz w:val="18"/>
                <w:szCs w:val="18"/>
              </w:rPr>
            </w:pPr>
          </w:p>
          <w:p w14:paraId="784657FF" w14:textId="6DA1F8E0" w:rsidR="00C87CDD" w:rsidRPr="00C87CDD" w:rsidRDefault="002145BD" w:rsidP="002145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outcomes: MADRS for remission of depression, WSAS for social function, EQ-5D for quality of life, LEAPS employment measure</w:t>
            </w:r>
            <w:r w:rsidRPr="002145BD">
              <w:rPr>
                <w:sz w:val="18"/>
                <w:szCs w:val="18"/>
              </w:rPr>
              <w:t xml:space="preserve">, healthcare cost and </w:t>
            </w:r>
            <w:r>
              <w:rPr>
                <w:sz w:val="18"/>
                <w:szCs w:val="18"/>
              </w:rPr>
              <w:t xml:space="preserve">achievement of </w:t>
            </w:r>
            <w:r w:rsidRPr="002145BD">
              <w:rPr>
                <w:sz w:val="18"/>
                <w:szCs w:val="18"/>
              </w:rPr>
              <w:t>self-defined treatment goals.</w:t>
            </w:r>
          </w:p>
        </w:tc>
        <w:tc>
          <w:tcPr>
            <w:tcW w:w="3118" w:type="dxa"/>
          </w:tcPr>
          <w:p w14:paraId="404CC81F" w14:textId="77777777" w:rsidR="00B25F6C" w:rsidRDefault="00496FEF" w:rsidP="00496FEF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Strengths:</w:t>
            </w:r>
            <w:r>
              <w:rPr>
                <w:sz w:val="18"/>
                <w:szCs w:val="18"/>
              </w:rPr>
              <w:t xml:space="preserve"> </w:t>
            </w:r>
            <w:r w:rsidRPr="005A6CF9">
              <w:rPr>
                <w:sz w:val="18"/>
                <w:szCs w:val="18"/>
              </w:rPr>
              <w:t>Remote computerised allocation to arm.</w:t>
            </w:r>
            <w:r>
              <w:rPr>
                <w:sz w:val="18"/>
                <w:szCs w:val="18"/>
              </w:rPr>
              <w:t xml:space="preserve"> </w:t>
            </w:r>
          </w:p>
          <w:p w14:paraId="4E04A240" w14:textId="2A45514D" w:rsidR="00496FEF" w:rsidRDefault="00496FEF" w:rsidP="00496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Blinding of outcomes assessor.</w:t>
            </w:r>
          </w:p>
          <w:p w14:paraId="14B9F529" w14:textId="77777777" w:rsidR="00310E60" w:rsidRDefault="00310E60" w:rsidP="00496FEF">
            <w:pPr>
              <w:rPr>
                <w:sz w:val="18"/>
                <w:szCs w:val="18"/>
              </w:rPr>
            </w:pPr>
          </w:p>
          <w:p w14:paraId="5D0499A4" w14:textId="552F5AC4" w:rsidR="00C87CDD" w:rsidRPr="00C87CDD" w:rsidRDefault="00496FEF" w:rsidP="00496FEF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Limitations:</w:t>
            </w:r>
            <w:r>
              <w:rPr>
                <w:sz w:val="18"/>
                <w:szCs w:val="18"/>
              </w:rPr>
              <w:t xml:space="preserve"> </w:t>
            </w:r>
            <w:r w:rsidR="005A6CF9">
              <w:rPr>
                <w:sz w:val="18"/>
                <w:szCs w:val="18"/>
              </w:rPr>
              <w:t>Target sample power calculation not reported.</w:t>
            </w:r>
            <w:r w:rsidR="00A66097">
              <w:rPr>
                <w:sz w:val="18"/>
                <w:szCs w:val="18"/>
              </w:rPr>
              <w:t xml:space="preserve"> </w:t>
            </w:r>
            <w:r w:rsidR="00DF0AB8">
              <w:rPr>
                <w:sz w:val="18"/>
                <w:szCs w:val="18"/>
              </w:rPr>
              <w:t xml:space="preserve">May be underpowered to detect </w:t>
            </w:r>
            <w:r w:rsidR="00A66097">
              <w:rPr>
                <w:sz w:val="18"/>
                <w:szCs w:val="18"/>
              </w:rPr>
              <w:t>clinically meaningful difference</w:t>
            </w:r>
            <w:r w:rsidR="00DF0AB8">
              <w:rPr>
                <w:sz w:val="18"/>
                <w:szCs w:val="18"/>
              </w:rPr>
              <w:t>s</w:t>
            </w:r>
            <w:r w:rsidR="00A66097">
              <w:rPr>
                <w:sz w:val="18"/>
                <w:szCs w:val="18"/>
              </w:rPr>
              <w:t xml:space="preserve"> in outcomes. </w:t>
            </w:r>
          </w:p>
        </w:tc>
        <w:tc>
          <w:tcPr>
            <w:tcW w:w="3402" w:type="dxa"/>
          </w:tcPr>
          <w:p w14:paraId="148719B9" w14:textId="3AC77FD9" w:rsidR="00C87CDD" w:rsidRPr="00C87CDD" w:rsidRDefault="00A7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is ongoing</w:t>
            </w:r>
            <w:r w:rsidR="00085941">
              <w:rPr>
                <w:sz w:val="18"/>
                <w:szCs w:val="18"/>
              </w:rPr>
              <w:t>.</w:t>
            </w:r>
          </w:p>
        </w:tc>
      </w:tr>
      <w:tr w:rsidR="00C87CDD" w:rsidRPr="001A2C78" w14:paraId="677A4101" w14:textId="77777777" w:rsidTr="00056929">
        <w:tc>
          <w:tcPr>
            <w:tcW w:w="2547" w:type="dxa"/>
            <w:tcBorders>
              <w:bottom w:val="single" w:sz="4" w:space="0" w:color="auto"/>
            </w:tcBorders>
          </w:tcPr>
          <w:p w14:paraId="7CFE15E1" w14:textId="1D7B5516" w:rsidR="00C87CDD" w:rsidRPr="00C50C64" w:rsidRDefault="00C87CDD">
            <w:pPr>
              <w:rPr>
                <w:vertAlign w:val="superscript"/>
              </w:rPr>
            </w:pPr>
            <w:r w:rsidRPr="00E17EE0">
              <w:rPr>
                <w:b/>
              </w:rPr>
              <w:t>ISRCTN</w:t>
            </w:r>
            <w:r>
              <w:t xml:space="preserve"> </w:t>
            </w:r>
            <w:r w:rsidRPr="00E17EE0">
              <w:rPr>
                <w:b/>
                <w:bCs/>
              </w:rPr>
              <w:t>17299295</w:t>
            </w:r>
            <w:r w:rsidR="00C50C64">
              <w:rPr>
                <w:bCs/>
                <w:vertAlign w:val="superscript"/>
              </w:rPr>
              <w:t>18</w:t>
            </w:r>
          </w:p>
          <w:p w14:paraId="3A9A4EC0" w14:textId="77777777" w:rsidR="00C87CDD" w:rsidRDefault="00C87CDD">
            <w:pPr>
              <w:rPr>
                <w:sz w:val="18"/>
                <w:szCs w:val="18"/>
              </w:rPr>
            </w:pPr>
            <w:r w:rsidRPr="00986DE4">
              <w:rPr>
                <w:sz w:val="18"/>
                <w:szCs w:val="18"/>
              </w:rPr>
              <w:t>(Lead investigator Kendrick)</w:t>
            </w:r>
          </w:p>
          <w:p w14:paraId="017DC4AF" w14:textId="77777777" w:rsidR="00BF19F4" w:rsidRDefault="00C8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group practices,</w:t>
            </w:r>
          </w:p>
          <w:p w14:paraId="4CCBF8E3" w14:textId="59E96DF4" w:rsidR="00C87CDD" w:rsidRDefault="00C8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</w:t>
            </w:r>
          </w:p>
          <w:p w14:paraId="4817EDD6" w14:textId="130FBF3D" w:rsidR="00C87CDD" w:rsidRPr="001A2C78" w:rsidRDefault="00C87CDD">
            <w:pPr>
              <w:rPr>
                <w:sz w:val="18"/>
                <w:szCs w:val="18"/>
              </w:rPr>
            </w:pPr>
            <w:r w:rsidRPr="001A2C78">
              <w:rPr>
                <w:sz w:val="18"/>
                <w:szCs w:val="18"/>
              </w:rPr>
              <w:t>N = 676</w:t>
            </w:r>
            <w:r w:rsidR="007E20BF">
              <w:rPr>
                <w:sz w:val="18"/>
                <w:szCs w:val="18"/>
              </w:rPr>
              <w:t xml:space="preserve"> participants</w:t>
            </w:r>
          </w:p>
          <w:p w14:paraId="590C0E9F" w14:textId="77777777" w:rsidR="00C87CDD" w:rsidRPr="001A2C78" w:rsidRDefault="00C8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 randomised by practice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94A26B" w14:textId="60C36EF2" w:rsidR="00BF19F4" w:rsidRDefault="00BF19F4" w:rsidP="00C87CDD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PROM:</w:t>
            </w:r>
            <w:r>
              <w:rPr>
                <w:sz w:val="18"/>
                <w:szCs w:val="18"/>
              </w:rPr>
              <w:t xml:space="preserve"> </w:t>
            </w:r>
            <w:r w:rsidR="00C87CDD" w:rsidRPr="00C87CDD">
              <w:rPr>
                <w:sz w:val="18"/>
                <w:szCs w:val="18"/>
              </w:rPr>
              <w:t xml:space="preserve">PHQ-9 </w:t>
            </w:r>
            <w:r w:rsidR="00314972">
              <w:rPr>
                <w:sz w:val="18"/>
                <w:szCs w:val="18"/>
              </w:rPr>
              <w:t>2</w:t>
            </w:r>
            <w:r w:rsidR="00777CD1">
              <w:rPr>
                <w:sz w:val="18"/>
                <w:szCs w:val="18"/>
              </w:rPr>
              <w:t xml:space="preserve"> times over </w:t>
            </w:r>
            <w:r w:rsidR="00314972">
              <w:rPr>
                <w:sz w:val="18"/>
                <w:szCs w:val="18"/>
              </w:rPr>
              <w:t>1</w:t>
            </w:r>
            <w:r w:rsidR="004B120F">
              <w:rPr>
                <w:sz w:val="18"/>
                <w:szCs w:val="18"/>
              </w:rPr>
              <w:t xml:space="preserve"> month</w:t>
            </w:r>
            <w:r w:rsidR="00C72C7C">
              <w:rPr>
                <w:sz w:val="18"/>
                <w:szCs w:val="18"/>
              </w:rPr>
              <w:t>, administered remotely and results emailed to practitioners</w:t>
            </w:r>
            <w:r w:rsidR="00863A63">
              <w:rPr>
                <w:sz w:val="18"/>
                <w:szCs w:val="18"/>
              </w:rPr>
              <w:t>.</w:t>
            </w:r>
            <w:r w:rsidR="00912816">
              <w:rPr>
                <w:sz w:val="18"/>
                <w:szCs w:val="18"/>
              </w:rPr>
              <w:t xml:space="preserve"> Two</w:t>
            </w:r>
            <w:r w:rsidR="00BD04ED">
              <w:rPr>
                <w:sz w:val="18"/>
                <w:szCs w:val="18"/>
              </w:rPr>
              <w:t xml:space="preserve"> hours</w:t>
            </w:r>
            <w:r w:rsidR="00C87CDD" w:rsidRPr="00C87CDD">
              <w:rPr>
                <w:sz w:val="18"/>
                <w:szCs w:val="18"/>
              </w:rPr>
              <w:t xml:space="preserve"> </w:t>
            </w:r>
            <w:r w:rsidR="00DE17CB">
              <w:rPr>
                <w:sz w:val="18"/>
                <w:szCs w:val="18"/>
              </w:rPr>
              <w:t xml:space="preserve">of </w:t>
            </w:r>
            <w:r w:rsidR="00C87CDD" w:rsidRPr="00C87CDD">
              <w:rPr>
                <w:sz w:val="18"/>
                <w:szCs w:val="18"/>
              </w:rPr>
              <w:t>practitioner</w:t>
            </w:r>
            <w:r w:rsidR="00BD04ED">
              <w:rPr>
                <w:sz w:val="18"/>
                <w:szCs w:val="18"/>
              </w:rPr>
              <w:t xml:space="preserve"> training</w:t>
            </w:r>
            <w:r w:rsidR="00863A63">
              <w:rPr>
                <w:sz w:val="18"/>
                <w:szCs w:val="18"/>
              </w:rPr>
              <w:t>.</w:t>
            </w:r>
            <w:r w:rsidR="00A73BB0">
              <w:rPr>
                <w:sz w:val="18"/>
                <w:szCs w:val="18"/>
              </w:rPr>
              <w:t xml:space="preserve"> </w:t>
            </w:r>
            <w:r w:rsidR="004F7F2F">
              <w:rPr>
                <w:sz w:val="18"/>
                <w:szCs w:val="18"/>
              </w:rPr>
              <w:t>F</w:t>
            </w:r>
            <w:r w:rsidR="00C87CDD" w:rsidRPr="00C87CDD">
              <w:rPr>
                <w:sz w:val="18"/>
                <w:szCs w:val="18"/>
              </w:rPr>
              <w:t xml:space="preserve">eedback </w:t>
            </w:r>
            <w:r w:rsidR="00863A63">
              <w:rPr>
                <w:sz w:val="18"/>
                <w:szCs w:val="18"/>
              </w:rPr>
              <w:t xml:space="preserve">of results </w:t>
            </w:r>
            <w:r w:rsidR="00C87CDD" w:rsidRPr="00C87CDD">
              <w:rPr>
                <w:sz w:val="18"/>
                <w:szCs w:val="18"/>
              </w:rPr>
              <w:t xml:space="preserve">to </w:t>
            </w:r>
            <w:r w:rsidR="00BD04ED">
              <w:rPr>
                <w:sz w:val="18"/>
                <w:szCs w:val="18"/>
              </w:rPr>
              <w:t xml:space="preserve">both </w:t>
            </w:r>
            <w:r w:rsidR="00C87CDD" w:rsidRPr="00C87CDD">
              <w:rPr>
                <w:sz w:val="18"/>
                <w:szCs w:val="18"/>
              </w:rPr>
              <w:t>practitioners and patients</w:t>
            </w:r>
            <w:r w:rsidR="00863A63">
              <w:rPr>
                <w:sz w:val="18"/>
                <w:szCs w:val="18"/>
              </w:rPr>
              <w:t>.</w:t>
            </w:r>
          </w:p>
          <w:p w14:paraId="0AFDF131" w14:textId="77777777" w:rsidR="00496FEF" w:rsidRDefault="00496FEF" w:rsidP="00C87CDD">
            <w:pPr>
              <w:rPr>
                <w:sz w:val="18"/>
                <w:szCs w:val="18"/>
              </w:rPr>
            </w:pPr>
          </w:p>
          <w:p w14:paraId="764CBAC9" w14:textId="0F4FFF33" w:rsidR="004B120F" w:rsidRPr="00C87CDD" w:rsidRDefault="004B120F" w:rsidP="00C87CDD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Control group</w:t>
            </w:r>
            <w:r w:rsidR="00BF19F4" w:rsidRPr="005B30AD"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TAU</w:t>
            </w:r>
            <w:r w:rsidR="00863A63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1AE8B4" w14:textId="77777777" w:rsidR="001332E5" w:rsidRDefault="00BA3B56" w:rsidP="002F6E5F">
            <w:pPr>
              <w:rPr>
                <w:sz w:val="18"/>
                <w:szCs w:val="18"/>
              </w:rPr>
            </w:pPr>
            <w:r w:rsidRPr="00BA3B56">
              <w:rPr>
                <w:sz w:val="18"/>
                <w:szCs w:val="18"/>
              </w:rPr>
              <w:t xml:space="preserve">Primary outcome: BDI-II at </w:t>
            </w:r>
            <w:r>
              <w:rPr>
                <w:sz w:val="18"/>
                <w:szCs w:val="18"/>
              </w:rPr>
              <w:t>3 months</w:t>
            </w:r>
            <w:r w:rsidRPr="00BA3B56">
              <w:rPr>
                <w:sz w:val="18"/>
                <w:szCs w:val="18"/>
              </w:rPr>
              <w:t xml:space="preserve">. </w:t>
            </w:r>
          </w:p>
          <w:p w14:paraId="0BC3C097" w14:textId="77777777" w:rsidR="001332E5" w:rsidRDefault="001332E5" w:rsidP="002F6E5F">
            <w:pPr>
              <w:rPr>
                <w:sz w:val="18"/>
                <w:szCs w:val="18"/>
              </w:rPr>
            </w:pPr>
          </w:p>
          <w:p w14:paraId="78A6A47B" w14:textId="225E03C7" w:rsidR="00C87CDD" w:rsidRPr="00C87CDD" w:rsidRDefault="00BA3B56" w:rsidP="002F6E5F">
            <w:pPr>
              <w:rPr>
                <w:sz w:val="18"/>
                <w:szCs w:val="18"/>
              </w:rPr>
            </w:pPr>
            <w:r w:rsidRPr="00BA3B56">
              <w:rPr>
                <w:sz w:val="18"/>
                <w:szCs w:val="18"/>
              </w:rPr>
              <w:t>Secondary</w:t>
            </w:r>
            <w:r>
              <w:rPr>
                <w:sz w:val="18"/>
                <w:szCs w:val="18"/>
              </w:rPr>
              <w:t xml:space="preserve"> outcomes over</w:t>
            </w:r>
            <w:r w:rsidRPr="00BA3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 months</w:t>
            </w:r>
            <w:r w:rsidRPr="00BA3B56">
              <w:rPr>
                <w:sz w:val="18"/>
                <w:szCs w:val="18"/>
              </w:rPr>
              <w:t xml:space="preserve">: BDI-II; </w:t>
            </w:r>
            <w:r w:rsidR="004F7F2F">
              <w:rPr>
                <w:sz w:val="18"/>
                <w:szCs w:val="18"/>
              </w:rPr>
              <w:t xml:space="preserve">antidepressant </w:t>
            </w:r>
            <w:r w:rsidRPr="00BA3B56">
              <w:rPr>
                <w:sz w:val="18"/>
                <w:szCs w:val="18"/>
              </w:rPr>
              <w:t>treatment</w:t>
            </w:r>
            <w:r>
              <w:rPr>
                <w:sz w:val="18"/>
                <w:szCs w:val="18"/>
              </w:rPr>
              <w:t>;</w:t>
            </w:r>
            <w:r w:rsidRPr="00BA3B56">
              <w:rPr>
                <w:sz w:val="18"/>
                <w:szCs w:val="18"/>
              </w:rPr>
              <w:t xml:space="preserve"> referrals</w:t>
            </w:r>
            <w:r w:rsidR="004F7F2F">
              <w:rPr>
                <w:sz w:val="18"/>
                <w:szCs w:val="18"/>
              </w:rPr>
              <w:t xml:space="preserve"> for </w:t>
            </w:r>
            <w:r w:rsidR="002F6E5F">
              <w:rPr>
                <w:sz w:val="18"/>
                <w:szCs w:val="18"/>
              </w:rPr>
              <w:t>t</w:t>
            </w:r>
            <w:r w:rsidR="004F7F2F">
              <w:rPr>
                <w:sz w:val="18"/>
                <w:szCs w:val="18"/>
              </w:rPr>
              <w:t>herapy</w:t>
            </w:r>
            <w:r w:rsidRPr="00BA3B56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WSAS</w:t>
            </w:r>
            <w:r w:rsidR="004F7F2F">
              <w:rPr>
                <w:sz w:val="18"/>
                <w:szCs w:val="18"/>
              </w:rPr>
              <w:t>, EQ-5D,</w:t>
            </w:r>
            <w:r w:rsidRPr="00BA3B56">
              <w:rPr>
                <w:sz w:val="18"/>
                <w:szCs w:val="18"/>
              </w:rPr>
              <w:t xml:space="preserve"> </w:t>
            </w:r>
            <w:r w:rsidR="004F7F2F">
              <w:rPr>
                <w:sz w:val="18"/>
                <w:szCs w:val="18"/>
              </w:rPr>
              <w:t xml:space="preserve">CSRI, </w:t>
            </w:r>
            <w:r>
              <w:rPr>
                <w:sz w:val="18"/>
                <w:szCs w:val="18"/>
              </w:rPr>
              <w:t>MISS</w:t>
            </w:r>
            <w:r w:rsidRPr="00BA3B56">
              <w:rPr>
                <w:sz w:val="18"/>
                <w:szCs w:val="18"/>
              </w:rPr>
              <w:t>.</w:t>
            </w:r>
            <w:r w:rsidR="004F7F2F">
              <w:rPr>
                <w:sz w:val="18"/>
                <w:szCs w:val="18"/>
              </w:rPr>
              <w:t xml:space="preserve"> Qualitative process evaluation.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9614DE" w14:textId="77777777" w:rsidR="00B25F6C" w:rsidRDefault="00DF0AB8" w:rsidP="00DF0AB8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Strengths:</w:t>
            </w:r>
            <w:r>
              <w:rPr>
                <w:sz w:val="18"/>
                <w:szCs w:val="18"/>
              </w:rPr>
              <w:t xml:space="preserve"> </w:t>
            </w:r>
            <w:r w:rsidR="007D1527">
              <w:rPr>
                <w:sz w:val="18"/>
                <w:szCs w:val="18"/>
              </w:rPr>
              <w:t>Target s</w:t>
            </w:r>
            <w:r w:rsidR="00314972">
              <w:rPr>
                <w:sz w:val="18"/>
                <w:szCs w:val="18"/>
              </w:rPr>
              <w:t xml:space="preserve">ample calculated to </w:t>
            </w:r>
            <w:r w:rsidR="004F7F2F">
              <w:rPr>
                <w:sz w:val="18"/>
                <w:szCs w:val="18"/>
              </w:rPr>
              <w:t xml:space="preserve">have 90% power to detect MCID </w:t>
            </w:r>
            <w:r w:rsidR="007D1527">
              <w:rPr>
                <w:sz w:val="18"/>
                <w:szCs w:val="18"/>
              </w:rPr>
              <w:t xml:space="preserve">of 17% </w:t>
            </w:r>
            <w:r w:rsidR="004F7F2F">
              <w:rPr>
                <w:sz w:val="18"/>
                <w:szCs w:val="18"/>
              </w:rPr>
              <w:t>in</w:t>
            </w:r>
            <w:r w:rsidR="00314972">
              <w:rPr>
                <w:sz w:val="18"/>
                <w:szCs w:val="18"/>
              </w:rPr>
              <w:t xml:space="preserve"> BDI-II</w:t>
            </w:r>
            <w:r w:rsidR="007D1527">
              <w:rPr>
                <w:sz w:val="18"/>
                <w:szCs w:val="18"/>
              </w:rPr>
              <w:t xml:space="preserve"> score</w:t>
            </w:r>
            <w:r w:rsidR="00314972">
              <w:rPr>
                <w:sz w:val="18"/>
                <w:szCs w:val="18"/>
              </w:rPr>
              <w:t>.</w:t>
            </w:r>
            <w:r w:rsidR="004F7F2F">
              <w:rPr>
                <w:sz w:val="18"/>
                <w:szCs w:val="18"/>
              </w:rPr>
              <w:t xml:space="preserve"> </w:t>
            </w:r>
          </w:p>
          <w:p w14:paraId="702736BA" w14:textId="5CA61C3C" w:rsidR="00DF0AB8" w:rsidRDefault="004F7F2F" w:rsidP="00DF0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Remote computerised allocation to arm.</w:t>
            </w:r>
            <w:r w:rsidR="004C211D">
              <w:rPr>
                <w:sz w:val="18"/>
                <w:szCs w:val="18"/>
              </w:rPr>
              <w:t xml:space="preserve"> </w:t>
            </w:r>
          </w:p>
          <w:p w14:paraId="19AC0EC1" w14:textId="77777777" w:rsidR="00310E60" w:rsidRDefault="00310E60" w:rsidP="00DF0AB8">
            <w:pPr>
              <w:rPr>
                <w:sz w:val="18"/>
                <w:szCs w:val="18"/>
              </w:rPr>
            </w:pPr>
          </w:p>
          <w:p w14:paraId="2C00FF71" w14:textId="3CFEE536" w:rsidR="00C87CDD" w:rsidRPr="00C87CDD" w:rsidRDefault="00DF0AB8" w:rsidP="00DF0AB8">
            <w:pPr>
              <w:rPr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Limitation:</w:t>
            </w:r>
            <w:r>
              <w:rPr>
                <w:sz w:val="18"/>
                <w:szCs w:val="18"/>
              </w:rPr>
              <w:t xml:space="preserve"> </w:t>
            </w:r>
            <w:r w:rsidR="004C211D" w:rsidRPr="004C211D">
              <w:rPr>
                <w:sz w:val="18"/>
                <w:szCs w:val="18"/>
              </w:rPr>
              <w:t xml:space="preserve">Not possible to blind practitioners and researchers due to the nature of the </w:t>
            </w:r>
            <w:r>
              <w:rPr>
                <w:sz w:val="18"/>
                <w:szCs w:val="18"/>
              </w:rPr>
              <w:t>intervention</w:t>
            </w:r>
            <w:r w:rsidR="004C211D" w:rsidRPr="004C211D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D545629" w14:textId="12807D1B" w:rsidR="00C87CDD" w:rsidRPr="00C87CDD" w:rsidRDefault="00A73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 is ongoing</w:t>
            </w:r>
            <w:r w:rsidR="00085941">
              <w:rPr>
                <w:sz w:val="18"/>
                <w:szCs w:val="18"/>
              </w:rPr>
              <w:t>.</w:t>
            </w:r>
          </w:p>
        </w:tc>
      </w:tr>
      <w:tr w:rsidR="00FD19B6" w:rsidRPr="001A2C78" w14:paraId="53FD93C6" w14:textId="77777777" w:rsidTr="00EA56D7">
        <w:tc>
          <w:tcPr>
            <w:tcW w:w="5524" w:type="dxa"/>
            <w:gridSpan w:val="2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3AF0BC0" w14:textId="2BE2CD84" w:rsidR="00FD19B6" w:rsidRDefault="00FD19B6" w:rsidP="00C87CDD">
            <w:pPr>
              <w:rPr>
                <w:sz w:val="18"/>
                <w:szCs w:val="18"/>
              </w:rPr>
            </w:pPr>
            <w:r>
              <w:rPr>
                <w:b/>
              </w:rPr>
              <w:t>Quasi experimental studies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D62899D" w14:textId="77777777" w:rsidR="00FD19B6" w:rsidRPr="00BA3B56" w:rsidRDefault="00FD19B6" w:rsidP="002F6E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845FCBE" w14:textId="77777777" w:rsidR="00FD19B6" w:rsidRDefault="00FD19B6" w:rsidP="00DF0A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4FFDBB0C" w14:textId="77777777" w:rsidR="00FD19B6" w:rsidRDefault="00FD19B6">
            <w:pPr>
              <w:rPr>
                <w:sz w:val="18"/>
                <w:szCs w:val="18"/>
              </w:rPr>
            </w:pPr>
          </w:p>
        </w:tc>
      </w:tr>
      <w:tr w:rsidR="00EA56D7" w:rsidRPr="001A2C78" w14:paraId="77B2AE6D" w14:textId="77777777" w:rsidTr="00EA56D7">
        <w:tc>
          <w:tcPr>
            <w:tcW w:w="5524" w:type="dxa"/>
            <w:gridSpan w:val="2"/>
            <w:tcBorders>
              <w:right w:val="nil"/>
            </w:tcBorders>
            <w:shd w:val="clear" w:color="auto" w:fill="FFE599" w:themeFill="accent4" w:themeFillTint="66"/>
          </w:tcPr>
          <w:p w14:paraId="6CB433EF" w14:textId="07334459" w:rsidR="00EA56D7" w:rsidRPr="00EA56D7" w:rsidRDefault="00EA56D7" w:rsidP="00EA56D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A56D7">
              <w:rPr>
                <w:rFonts w:cstheme="minorHAnsi"/>
                <w:i/>
                <w:iCs/>
              </w:rPr>
              <w:t>Improving Access to Psychological Therapies</w:t>
            </w:r>
            <w:r w:rsidR="003A434C">
              <w:rPr>
                <w:rFonts w:cstheme="minorHAnsi"/>
                <w:i/>
                <w:iCs/>
              </w:rPr>
              <w:t xml:space="preserve"> (IAPT)</w:t>
            </w:r>
            <w:r w:rsidRPr="00EA56D7">
              <w:rPr>
                <w:rFonts w:cstheme="minorHAnsi"/>
                <w:i/>
                <w:iCs/>
              </w:rPr>
              <w:t xml:space="preserve"> services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58393FF9" w14:textId="77777777" w:rsidR="00EA56D7" w:rsidRPr="00BA3B56" w:rsidRDefault="00EA56D7" w:rsidP="002F6E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7581FE1" w14:textId="77777777" w:rsidR="00EA56D7" w:rsidRDefault="00EA56D7" w:rsidP="00DF0A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7ACBCE35" w14:textId="77777777" w:rsidR="00EA56D7" w:rsidRDefault="00EA56D7">
            <w:pPr>
              <w:rPr>
                <w:sz w:val="18"/>
                <w:szCs w:val="18"/>
              </w:rPr>
            </w:pPr>
          </w:p>
        </w:tc>
      </w:tr>
      <w:tr w:rsidR="006B7D38" w:rsidRPr="001A2C78" w14:paraId="0E847D2F" w14:textId="77777777" w:rsidTr="00FD19B6"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78B305A5" w14:textId="0CF4643D" w:rsidR="006B7D38" w:rsidRDefault="004A4A9D">
            <w:pPr>
              <w:rPr>
                <w:b/>
              </w:rPr>
            </w:pPr>
            <w:r>
              <w:rPr>
                <w:b/>
              </w:rPr>
              <w:t>De</w:t>
            </w:r>
            <w:r w:rsidR="00597BFE">
              <w:rPr>
                <w:b/>
              </w:rPr>
              <w:t>l</w:t>
            </w:r>
            <w:r>
              <w:rPr>
                <w:b/>
              </w:rPr>
              <w:t>gadillo et al 2017</w:t>
            </w:r>
            <w:r w:rsidR="00324EF3" w:rsidRPr="00324EF3">
              <w:rPr>
                <w:bCs/>
                <w:vertAlign w:val="superscript"/>
              </w:rPr>
              <w:t>7</w:t>
            </w:r>
          </w:p>
          <w:p w14:paraId="0C630BC6" w14:textId="77777777" w:rsidR="003A434C" w:rsidRPr="003A434C" w:rsidRDefault="003A434C">
            <w:pPr>
              <w:rPr>
                <w:rFonts w:cstheme="minorHAnsi"/>
                <w:sz w:val="18"/>
                <w:szCs w:val="18"/>
              </w:rPr>
            </w:pPr>
            <w:r w:rsidRPr="003A434C">
              <w:rPr>
                <w:rFonts w:cstheme="minorHAnsi"/>
                <w:sz w:val="18"/>
                <w:szCs w:val="18"/>
              </w:rPr>
              <w:t>IAPT stepped care service</w:t>
            </w:r>
          </w:p>
          <w:p w14:paraId="77DEA63F" w14:textId="02DF9D62" w:rsidR="003A434C" w:rsidRDefault="003A434C">
            <w:pPr>
              <w:rPr>
                <w:rFonts w:cstheme="minorHAnsi"/>
                <w:sz w:val="18"/>
                <w:szCs w:val="18"/>
              </w:rPr>
            </w:pPr>
            <w:r w:rsidRPr="003A434C">
              <w:rPr>
                <w:rFonts w:cstheme="minorHAnsi"/>
                <w:sz w:val="18"/>
                <w:szCs w:val="18"/>
              </w:rPr>
              <w:t>UK</w:t>
            </w:r>
          </w:p>
          <w:p w14:paraId="57A573A5" w14:textId="013360DC" w:rsidR="007D1A07" w:rsidRPr="003A434C" w:rsidRDefault="007D1A07" w:rsidP="008B7A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N=</w:t>
            </w:r>
            <w:r w:rsidR="008B7A67">
              <w:t xml:space="preserve"> </w:t>
            </w:r>
            <w:r w:rsidR="008B7A67">
              <w:rPr>
                <w:rFonts w:cstheme="minorHAnsi"/>
                <w:sz w:val="18"/>
                <w:szCs w:val="18"/>
              </w:rPr>
              <w:t>594 participants</w:t>
            </w:r>
          </w:p>
          <w:p w14:paraId="760598FB" w14:textId="0ABF6C88" w:rsidR="003A434C" w:rsidRDefault="003A434C">
            <w:pPr>
              <w:rPr>
                <w:b/>
              </w:rPr>
            </w:pPr>
            <w:r w:rsidRPr="003A434C">
              <w:rPr>
                <w:rFonts w:cstheme="minorHAnsi"/>
                <w:sz w:val="18"/>
                <w:szCs w:val="18"/>
              </w:rPr>
              <w:t>Quasi experimental before and after study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68BC" w14:textId="49D6191F" w:rsidR="006B7D38" w:rsidRPr="003A434C" w:rsidRDefault="003A434C" w:rsidP="003A43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A434C">
              <w:rPr>
                <w:rFonts w:cstheme="minorHAnsi"/>
                <w:b/>
                <w:bCs/>
                <w:sz w:val="18"/>
                <w:szCs w:val="18"/>
              </w:rPr>
              <w:t>PROM:</w:t>
            </w:r>
            <w:r w:rsidRPr="003A434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3A434C">
              <w:rPr>
                <w:rFonts w:cstheme="minorHAnsi"/>
                <w:sz w:val="18"/>
                <w:szCs w:val="18"/>
              </w:rPr>
              <w:t>omputerised outcome feedback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434C">
              <w:rPr>
                <w:rFonts w:cstheme="minorHAnsi"/>
                <w:sz w:val="18"/>
                <w:szCs w:val="18"/>
              </w:rPr>
              <w:t>(OF) tool. The OF tool includes a graphical display of session-to-session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03228">
              <w:rPr>
                <w:rFonts w:cstheme="minorHAnsi"/>
                <w:sz w:val="18"/>
                <w:szCs w:val="18"/>
              </w:rPr>
              <w:t xml:space="preserve">PHQ-9 </w:t>
            </w:r>
            <w:r w:rsidRPr="003A434C">
              <w:rPr>
                <w:rFonts w:cstheme="minorHAnsi"/>
                <w:sz w:val="18"/>
                <w:szCs w:val="18"/>
              </w:rPr>
              <w:t xml:space="preserve">depression and </w:t>
            </w:r>
            <w:r w:rsidR="00703228">
              <w:rPr>
                <w:rFonts w:cstheme="minorHAnsi"/>
                <w:sz w:val="18"/>
                <w:szCs w:val="18"/>
              </w:rPr>
              <w:t xml:space="preserve">GAD-7 </w:t>
            </w:r>
            <w:r w:rsidRPr="003A434C">
              <w:rPr>
                <w:rFonts w:cstheme="minorHAnsi"/>
                <w:sz w:val="18"/>
                <w:szCs w:val="18"/>
              </w:rPr>
              <w:t>anxiety scores with overlaid clinical benchmarks, which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434C">
              <w:rPr>
                <w:rFonts w:cstheme="minorHAnsi"/>
                <w:sz w:val="18"/>
                <w:szCs w:val="18"/>
              </w:rPr>
              <w:t>is referred to as expected treatment response (ETR) curves. The OF tool automatically alerted therapists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434C">
              <w:rPr>
                <w:rFonts w:cstheme="minorHAnsi"/>
                <w:sz w:val="18"/>
                <w:szCs w:val="18"/>
              </w:rPr>
              <w:t>about NOT cases using a ‘red signal’, if their symptoms surpassed the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434C">
              <w:rPr>
                <w:rFonts w:cstheme="minorHAnsi"/>
                <w:sz w:val="18"/>
                <w:szCs w:val="18"/>
              </w:rPr>
              <w:t>80% upper boundary of the ETR curves, and were thus progressing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A434C">
              <w:rPr>
                <w:rFonts w:cstheme="minorHAnsi"/>
                <w:sz w:val="18"/>
                <w:szCs w:val="18"/>
              </w:rPr>
              <w:t>substantially worse than other patients.</w:t>
            </w:r>
          </w:p>
          <w:p w14:paraId="17A11E5F" w14:textId="77777777" w:rsidR="003A434C" w:rsidRPr="003A434C" w:rsidRDefault="003A434C" w:rsidP="003A434C">
            <w:pPr>
              <w:rPr>
                <w:rFonts w:cstheme="minorHAnsi"/>
                <w:sz w:val="18"/>
                <w:szCs w:val="18"/>
              </w:rPr>
            </w:pPr>
          </w:p>
          <w:p w14:paraId="5DC4ACF6" w14:textId="3240E51E" w:rsidR="004111EE" w:rsidRDefault="003A434C" w:rsidP="00C210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B7A67">
              <w:rPr>
                <w:rFonts w:cstheme="minorHAnsi"/>
                <w:b/>
                <w:bCs/>
                <w:sz w:val="18"/>
                <w:szCs w:val="18"/>
              </w:rPr>
              <w:t>Control:</w:t>
            </w:r>
            <w:r w:rsidRPr="00C21079">
              <w:rPr>
                <w:rFonts w:cstheme="minorHAnsi"/>
                <w:sz w:val="18"/>
                <w:szCs w:val="18"/>
              </w:rPr>
              <w:t xml:space="preserve"> </w:t>
            </w:r>
            <w:r w:rsidR="00C21079" w:rsidRPr="00C21079">
              <w:rPr>
                <w:rFonts w:cstheme="minorHAnsi"/>
                <w:sz w:val="18"/>
                <w:szCs w:val="18"/>
              </w:rPr>
              <w:t>therapists had access to plots of symptom severity scores on a weekly chart, without showing ETR curves or red signals</w:t>
            </w:r>
          </w:p>
          <w:p w14:paraId="4FCAD6E2" w14:textId="0D06ED27" w:rsidR="004111EE" w:rsidRPr="00C21079" w:rsidRDefault="004111EE" w:rsidP="00C210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28620" w14:textId="0B8A0C09" w:rsidR="006B7D38" w:rsidRPr="00BA3B56" w:rsidRDefault="009429D5" w:rsidP="009429D5">
            <w:pPr>
              <w:rPr>
                <w:sz w:val="18"/>
                <w:szCs w:val="18"/>
              </w:rPr>
            </w:pPr>
            <w:r w:rsidRPr="009429D5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statistically significant difference between groups were</w:t>
            </w:r>
            <w:r w:rsidRPr="009429D5">
              <w:rPr>
                <w:sz w:val="18"/>
                <w:szCs w:val="18"/>
              </w:rPr>
              <w:t xml:space="preserve"> found in post-treatment PHQ-9 or GAD-7 measures. However, OF cases had</w:t>
            </w:r>
            <w:r w:rsidR="007D1A07">
              <w:rPr>
                <w:sz w:val="18"/>
                <w:szCs w:val="18"/>
              </w:rPr>
              <w:t xml:space="preserve"> </w:t>
            </w:r>
            <w:r w:rsidRPr="009429D5">
              <w:rPr>
                <w:sz w:val="18"/>
                <w:szCs w:val="18"/>
              </w:rPr>
              <w:t>signi</w:t>
            </w:r>
            <w:r w:rsidR="007D1A07">
              <w:rPr>
                <w:sz w:val="18"/>
                <w:szCs w:val="18"/>
              </w:rPr>
              <w:t>fi</w:t>
            </w:r>
            <w:r w:rsidRPr="009429D5">
              <w:rPr>
                <w:sz w:val="18"/>
                <w:szCs w:val="18"/>
              </w:rPr>
              <w:t>cantly lower average duration and cost of treatment compared to controls</w:t>
            </w:r>
            <w:r w:rsidR="007D1A07">
              <w:rPr>
                <w:sz w:val="18"/>
                <w:szCs w:val="18"/>
              </w:rPr>
              <w:t xml:space="preserve"> (SMD £97.54, 95% C</w:t>
            </w:r>
            <w:r w:rsidR="00A02493">
              <w:rPr>
                <w:sz w:val="18"/>
                <w:szCs w:val="18"/>
              </w:rPr>
              <w:t xml:space="preserve">I </w:t>
            </w:r>
            <w:r w:rsidR="007D1A07">
              <w:rPr>
                <w:sz w:val="18"/>
                <w:szCs w:val="18"/>
              </w:rPr>
              <w:t>£65.88 to £129.90)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3191" w14:textId="7B4B1E61" w:rsidR="007D1A07" w:rsidRDefault="008B7A67" w:rsidP="007D1A07">
            <w:pPr>
              <w:rPr>
                <w:sz w:val="18"/>
                <w:szCs w:val="18"/>
              </w:rPr>
            </w:pPr>
            <w:r w:rsidRPr="008B7A67">
              <w:rPr>
                <w:b/>
                <w:bCs/>
                <w:sz w:val="18"/>
                <w:szCs w:val="18"/>
              </w:rPr>
              <w:t>Strength:</w:t>
            </w:r>
            <w:r>
              <w:rPr>
                <w:sz w:val="18"/>
                <w:szCs w:val="18"/>
              </w:rPr>
              <w:t xml:space="preserve"> </w:t>
            </w:r>
            <w:r w:rsidR="007D1A07" w:rsidRPr="007D1A07">
              <w:rPr>
                <w:sz w:val="18"/>
                <w:szCs w:val="18"/>
              </w:rPr>
              <w:t>The before-and-after design minimise</w:t>
            </w:r>
            <w:r>
              <w:rPr>
                <w:sz w:val="18"/>
                <w:szCs w:val="18"/>
              </w:rPr>
              <w:t xml:space="preserve">d </w:t>
            </w:r>
            <w:r w:rsidR="007D1A07" w:rsidRPr="007D1A07">
              <w:rPr>
                <w:sz w:val="18"/>
                <w:szCs w:val="18"/>
              </w:rPr>
              <w:t>confounding due to therapist e</w:t>
            </w:r>
            <w:r w:rsidR="007D1A07">
              <w:rPr>
                <w:sz w:val="18"/>
                <w:szCs w:val="18"/>
              </w:rPr>
              <w:t>ff</w:t>
            </w:r>
            <w:r w:rsidR="007D1A07" w:rsidRPr="007D1A07">
              <w:rPr>
                <w:sz w:val="18"/>
                <w:szCs w:val="18"/>
              </w:rPr>
              <w:t>ects, since each therapist was his/her</w:t>
            </w:r>
            <w:r>
              <w:rPr>
                <w:sz w:val="18"/>
                <w:szCs w:val="18"/>
              </w:rPr>
              <w:t xml:space="preserve"> </w:t>
            </w:r>
            <w:r w:rsidR="007D1A07" w:rsidRPr="007D1A07">
              <w:rPr>
                <w:sz w:val="18"/>
                <w:szCs w:val="18"/>
              </w:rPr>
              <w:t xml:space="preserve">own control. </w:t>
            </w:r>
          </w:p>
          <w:p w14:paraId="209F5D5A" w14:textId="77777777" w:rsidR="007D1A07" w:rsidRDefault="007D1A07" w:rsidP="007D1A07">
            <w:pPr>
              <w:rPr>
                <w:sz w:val="18"/>
                <w:szCs w:val="18"/>
              </w:rPr>
            </w:pPr>
          </w:p>
          <w:p w14:paraId="64AD52E8" w14:textId="1C7A89F0" w:rsidR="008B7A67" w:rsidRDefault="007D1A07" w:rsidP="008B7A67">
            <w:pPr>
              <w:rPr>
                <w:sz w:val="18"/>
                <w:szCs w:val="18"/>
              </w:rPr>
            </w:pPr>
            <w:r w:rsidRPr="008B7A67">
              <w:rPr>
                <w:b/>
                <w:bCs/>
                <w:sz w:val="18"/>
                <w:szCs w:val="18"/>
              </w:rPr>
              <w:t>Limitations</w:t>
            </w:r>
            <w:r w:rsidR="008B7A67" w:rsidRPr="008B7A67">
              <w:rPr>
                <w:b/>
                <w:bCs/>
                <w:sz w:val="18"/>
                <w:szCs w:val="18"/>
              </w:rPr>
              <w:t>:</w:t>
            </w:r>
            <w:r w:rsidRPr="007D1A07">
              <w:rPr>
                <w:sz w:val="18"/>
                <w:szCs w:val="18"/>
              </w:rPr>
              <w:t xml:space="preserve"> lack of random allocation and the use o</w:t>
            </w:r>
            <w:r w:rsidR="008B7A67">
              <w:rPr>
                <w:sz w:val="18"/>
                <w:szCs w:val="18"/>
              </w:rPr>
              <w:t xml:space="preserve">f </w:t>
            </w:r>
            <w:r w:rsidRPr="007D1A07">
              <w:rPr>
                <w:sz w:val="18"/>
                <w:szCs w:val="18"/>
              </w:rPr>
              <w:t xml:space="preserve">historical controls raise threat to internal validity. </w:t>
            </w:r>
          </w:p>
          <w:p w14:paraId="7D005449" w14:textId="23193ED7" w:rsidR="006B7D38" w:rsidRDefault="006B7D38" w:rsidP="007D1A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5F95E4E" w14:textId="4C9F518E" w:rsidR="008B7A67" w:rsidRDefault="007D1A07" w:rsidP="008B7A67">
            <w:pPr>
              <w:rPr>
                <w:sz w:val="18"/>
                <w:szCs w:val="18"/>
              </w:rPr>
            </w:pPr>
            <w:r w:rsidRPr="007D1A07">
              <w:rPr>
                <w:sz w:val="18"/>
                <w:szCs w:val="18"/>
              </w:rPr>
              <w:t>After adopting OF into their practice, this group of therapists attained similar clinical outcomes but</w:t>
            </w:r>
            <w:r w:rsidR="008B7A67">
              <w:rPr>
                <w:sz w:val="18"/>
                <w:szCs w:val="18"/>
              </w:rPr>
              <w:t xml:space="preserve"> </w:t>
            </w:r>
            <w:r w:rsidRPr="007D1A07">
              <w:rPr>
                <w:sz w:val="18"/>
                <w:szCs w:val="18"/>
              </w:rPr>
              <w:t xml:space="preserve">within a shorter space of time and at a reduced average cost per treatment episode. </w:t>
            </w:r>
          </w:p>
          <w:p w14:paraId="17089492" w14:textId="3F3872AA" w:rsidR="00AD72D9" w:rsidRDefault="00AD72D9" w:rsidP="008B7A67">
            <w:pPr>
              <w:rPr>
                <w:sz w:val="18"/>
                <w:szCs w:val="18"/>
              </w:rPr>
            </w:pPr>
          </w:p>
          <w:p w14:paraId="7393C47D" w14:textId="1B0CD3B6" w:rsidR="00AD72D9" w:rsidRDefault="00AD72D9" w:rsidP="008B7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quality study</w:t>
            </w:r>
          </w:p>
          <w:p w14:paraId="10AE6C7C" w14:textId="5E4E80B3" w:rsidR="006B7D38" w:rsidRDefault="006B7D38" w:rsidP="007D1A07">
            <w:pPr>
              <w:rPr>
                <w:sz w:val="18"/>
                <w:szCs w:val="18"/>
              </w:rPr>
            </w:pPr>
          </w:p>
        </w:tc>
      </w:tr>
      <w:tr w:rsidR="007832C9" w:rsidRPr="001A2C78" w14:paraId="658279AF" w14:textId="77777777" w:rsidTr="006E4941">
        <w:tc>
          <w:tcPr>
            <w:tcW w:w="2547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75A70713" w14:textId="1476D12F" w:rsidR="007832C9" w:rsidRPr="00E17EE0" w:rsidRDefault="00A6345C">
            <w:pPr>
              <w:rPr>
                <w:b/>
              </w:rPr>
            </w:pPr>
            <w:r>
              <w:rPr>
                <w:b/>
              </w:rPr>
              <w:lastRenderedPageBreak/>
              <w:t>Observational studies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3C75EF0" w14:textId="77777777" w:rsidR="007832C9" w:rsidRDefault="007832C9" w:rsidP="00C87CD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3291DA8E" w14:textId="77777777" w:rsidR="007832C9" w:rsidRPr="00BA3B56" w:rsidRDefault="007832C9" w:rsidP="002F6E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207A4A5C" w14:textId="77777777" w:rsidR="007832C9" w:rsidRDefault="007832C9" w:rsidP="00DF0A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BDD6EE" w:themeFill="accent1" w:themeFillTint="66"/>
          </w:tcPr>
          <w:p w14:paraId="0E837DEC" w14:textId="77777777" w:rsidR="007832C9" w:rsidRDefault="007832C9">
            <w:pPr>
              <w:rPr>
                <w:sz w:val="18"/>
                <w:szCs w:val="18"/>
              </w:rPr>
            </w:pPr>
          </w:p>
        </w:tc>
      </w:tr>
      <w:tr w:rsidR="007832C9" w:rsidRPr="001A2C78" w14:paraId="3383D4AC" w14:textId="77777777" w:rsidTr="006E4941">
        <w:tc>
          <w:tcPr>
            <w:tcW w:w="2547" w:type="dxa"/>
            <w:tcBorders>
              <w:right w:val="nil"/>
            </w:tcBorders>
            <w:shd w:val="clear" w:color="auto" w:fill="FFE599" w:themeFill="accent4" w:themeFillTint="66"/>
          </w:tcPr>
          <w:p w14:paraId="41599670" w14:textId="5E6069E1" w:rsidR="007832C9" w:rsidRPr="006E4941" w:rsidRDefault="006E4941">
            <w:pPr>
              <w:rPr>
                <w:bCs/>
                <w:i/>
                <w:iCs/>
              </w:rPr>
            </w:pPr>
            <w:r w:rsidRPr="006E4941">
              <w:rPr>
                <w:bCs/>
                <w:i/>
                <w:iCs/>
              </w:rPr>
              <w:t>Primary care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24ED2387" w14:textId="77777777" w:rsidR="007832C9" w:rsidRDefault="007832C9" w:rsidP="00C87CD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3878A78B" w14:textId="77777777" w:rsidR="007832C9" w:rsidRPr="00BA3B56" w:rsidRDefault="007832C9" w:rsidP="002F6E5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E599" w:themeFill="accent4" w:themeFillTint="66"/>
          </w:tcPr>
          <w:p w14:paraId="07C04D80" w14:textId="77777777" w:rsidR="007832C9" w:rsidRDefault="007832C9" w:rsidP="00DF0A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FFE599" w:themeFill="accent4" w:themeFillTint="66"/>
          </w:tcPr>
          <w:p w14:paraId="7769DE58" w14:textId="77777777" w:rsidR="007832C9" w:rsidRDefault="007832C9">
            <w:pPr>
              <w:rPr>
                <w:sz w:val="18"/>
                <w:szCs w:val="18"/>
              </w:rPr>
            </w:pPr>
          </w:p>
        </w:tc>
      </w:tr>
      <w:tr w:rsidR="006E4941" w:rsidRPr="001A2C78" w14:paraId="207BDB11" w14:textId="77777777" w:rsidTr="00912816">
        <w:tc>
          <w:tcPr>
            <w:tcW w:w="2547" w:type="dxa"/>
          </w:tcPr>
          <w:p w14:paraId="5C4EC6ED" w14:textId="03DE5AB5" w:rsidR="00625458" w:rsidRDefault="00CA23DF">
            <w:pPr>
              <w:rPr>
                <w:b/>
              </w:rPr>
            </w:pPr>
            <w:r>
              <w:rPr>
                <w:b/>
              </w:rPr>
              <w:t>Moore et al 2009</w:t>
            </w:r>
            <w:r w:rsidR="00324EF3" w:rsidRPr="00324EF3">
              <w:rPr>
                <w:bCs/>
                <w:vertAlign w:val="superscript"/>
              </w:rPr>
              <w:t>11</w:t>
            </w:r>
          </w:p>
          <w:p w14:paraId="348C450E" w14:textId="40A6FEB7" w:rsidR="00C97069" w:rsidRPr="00C97069" w:rsidRDefault="00C97069">
            <w:pPr>
              <w:rPr>
                <w:bCs/>
                <w:sz w:val="18"/>
                <w:szCs w:val="18"/>
              </w:rPr>
            </w:pPr>
            <w:r w:rsidRPr="00C97069">
              <w:rPr>
                <w:bCs/>
                <w:sz w:val="18"/>
                <w:szCs w:val="18"/>
              </w:rPr>
              <w:t>Primary care practices</w:t>
            </w:r>
          </w:p>
          <w:p w14:paraId="06C8BA28" w14:textId="4CB53E82" w:rsidR="00625458" w:rsidRPr="00C97069" w:rsidRDefault="003B1A92">
            <w:pPr>
              <w:rPr>
                <w:bCs/>
                <w:sz w:val="18"/>
                <w:szCs w:val="18"/>
              </w:rPr>
            </w:pPr>
            <w:r w:rsidRPr="00C97069">
              <w:rPr>
                <w:bCs/>
                <w:sz w:val="18"/>
                <w:szCs w:val="18"/>
              </w:rPr>
              <w:t>UK</w:t>
            </w:r>
          </w:p>
          <w:p w14:paraId="602BDB83" w14:textId="7FEF495B" w:rsidR="003B1A92" w:rsidRPr="00C97069" w:rsidRDefault="003B1A92">
            <w:pPr>
              <w:rPr>
                <w:bCs/>
                <w:sz w:val="18"/>
                <w:szCs w:val="18"/>
              </w:rPr>
            </w:pPr>
            <w:r w:rsidRPr="00C97069">
              <w:rPr>
                <w:bCs/>
                <w:sz w:val="18"/>
                <w:szCs w:val="18"/>
              </w:rPr>
              <w:t>N=</w:t>
            </w:r>
            <w:r w:rsidR="00C97069" w:rsidRPr="00C97069">
              <w:rPr>
                <w:bCs/>
                <w:sz w:val="18"/>
                <w:szCs w:val="18"/>
              </w:rPr>
              <w:t>604</w:t>
            </w:r>
            <w:r w:rsidR="007E20BF">
              <w:rPr>
                <w:bCs/>
                <w:sz w:val="18"/>
                <w:szCs w:val="18"/>
              </w:rPr>
              <w:t xml:space="preserve"> patients</w:t>
            </w:r>
          </w:p>
          <w:p w14:paraId="00776C27" w14:textId="0D0D7AEC" w:rsidR="006E4941" w:rsidRPr="00E17EE0" w:rsidRDefault="00C97069">
            <w:pPr>
              <w:rPr>
                <w:b/>
              </w:rPr>
            </w:pPr>
            <w:r w:rsidRPr="00C97069">
              <w:rPr>
                <w:bCs/>
                <w:sz w:val="18"/>
                <w:szCs w:val="18"/>
              </w:rPr>
              <w:t>R</w:t>
            </w:r>
            <w:r w:rsidR="00625458" w:rsidRPr="00C97069">
              <w:rPr>
                <w:bCs/>
                <w:sz w:val="18"/>
                <w:szCs w:val="18"/>
              </w:rPr>
              <w:t>etrospective cohort study</w:t>
            </w:r>
          </w:p>
        </w:tc>
        <w:tc>
          <w:tcPr>
            <w:tcW w:w="2977" w:type="dxa"/>
          </w:tcPr>
          <w:p w14:paraId="007CB212" w14:textId="7293E28C" w:rsidR="006E4941" w:rsidRDefault="0093387C" w:rsidP="00BD07A9">
            <w:pPr>
              <w:rPr>
                <w:sz w:val="18"/>
                <w:szCs w:val="18"/>
              </w:rPr>
            </w:pPr>
            <w:r w:rsidRPr="005B30AD">
              <w:rPr>
                <w:b/>
                <w:bCs/>
                <w:sz w:val="18"/>
                <w:szCs w:val="18"/>
              </w:rPr>
              <w:t>PROM:</w:t>
            </w:r>
            <w:r>
              <w:rPr>
                <w:sz w:val="18"/>
                <w:szCs w:val="18"/>
              </w:rPr>
              <w:t xml:space="preserve"> </w:t>
            </w:r>
            <w:r w:rsidR="00BD07A9" w:rsidRPr="00BD07A9">
              <w:rPr>
                <w:sz w:val="18"/>
                <w:szCs w:val="18"/>
              </w:rPr>
              <w:t>Records were examined of patients who had</w:t>
            </w:r>
            <w:r w:rsidR="00B77A2A">
              <w:rPr>
                <w:sz w:val="18"/>
                <w:szCs w:val="18"/>
              </w:rPr>
              <w:t xml:space="preserve"> </w:t>
            </w:r>
            <w:r w:rsidR="00BD07A9" w:rsidRPr="00BD07A9">
              <w:rPr>
                <w:sz w:val="18"/>
                <w:szCs w:val="18"/>
              </w:rPr>
              <w:t>received a new diagnosis of depression, and who had completed PHQ-9 at initial diagnosis and a</w:t>
            </w:r>
            <w:r w:rsidR="00B77A2A">
              <w:rPr>
                <w:sz w:val="18"/>
                <w:szCs w:val="18"/>
              </w:rPr>
              <w:t xml:space="preserve"> </w:t>
            </w:r>
            <w:r w:rsidR="00BD07A9" w:rsidRPr="00BD07A9">
              <w:rPr>
                <w:sz w:val="18"/>
                <w:szCs w:val="18"/>
              </w:rPr>
              <w:t>subsequent PHQ-9 within 6</w:t>
            </w:r>
            <w:r w:rsidR="00BB6AAD">
              <w:rPr>
                <w:sz w:val="18"/>
                <w:szCs w:val="18"/>
              </w:rPr>
              <w:t xml:space="preserve"> </w:t>
            </w:r>
            <w:r w:rsidR="00BD07A9" w:rsidRPr="00BD07A9">
              <w:rPr>
                <w:sz w:val="18"/>
                <w:szCs w:val="18"/>
              </w:rPr>
              <w:t>months.</w:t>
            </w:r>
          </w:p>
        </w:tc>
        <w:tc>
          <w:tcPr>
            <w:tcW w:w="3402" w:type="dxa"/>
          </w:tcPr>
          <w:p w14:paraId="4AC7FBDC" w14:textId="02E74712" w:rsidR="006E4941" w:rsidRPr="00BA3B56" w:rsidRDefault="0093387C" w:rsidP="0093387C">
            <w:pPr>
              <w:rPr>
                <w:sz w:val="18"/>
                <w:szCs w:val="18"/>
              </w:rPr>
            </w:pPr>
            <w:r w:rsidRPr="0093387C">
              <w:rPr>
                <w:sz w:val="18"/>
                <w:szCs w:val="18"/>
              </w:rPr>
              <w:t>Controlling for the effects of potentially</w:t>
            </w:r>
            <w:r>
              <w:rPr>
                <w:sz w:val="18"/>
                <w:szCs w:val="18"/>
              </w:rPr>
              <w:t xml:space="preserve"> </w:t>
            </w:r>
            <w:r w:rsidRPr="0093387C">
              <w:rPr>
                <w:sz w:val="18"/>
                <w:szCs w:val="18"/>
              </w:rPr>
              <w:t>confounding factors, patients who showed an</w:t>
            </w:r>
            <w:r>
              <w:rPr>
                <w:sz w:val="18"/>
                <w:szCs w:val="18"/>
              </w:rPr>
              <w:t xml:space="preserve"> </w:t>
            </w:r>
            <w:r w:rsidRPr="0093387C">
              <w:rPr>
                <w:sz w:val="18"/>
                <w:szCs w:val="18"/>
              </w:rPr>
              <w:t>inadequate response in score change at the time</w:t>
            </w:r>
            <w:r>
              <w:rPr>
                <w:sz w:val="18"/>
                <w:szCs w:val="18"/>
              </w:rPr>
              <w:t xml:space="preserve"> </w:t>
            </w:r>
            <w:r w:rsidRPr="0093387C">
              <w:rPr>
                <w:sz w:val="18"/>
                <w:szCs w:val="18"/>
              </w:rPr>
              <w:t>of second assessment were nearly five times as</w:t>
            </w:r>
            <w:r>
              <w:rPr>
                <w:sz w:val="18"/>
                <w:szCs w:val="18"/>
              </w:rPr>
              <w:t xml:space="preserve"> </w:t>
            </w:r>
            <w:r w:rsidRPr="0093387C">
              <w:rPr>
                <w:sz w:val="18"/>
                <w:szCs w:val="18"/>
              </w:rPr>
              <w:t>likely to experience a subsequent change to</w:t>
            </w:r>
            <w:r>
              <w:rPr>
                <w:sz w:val="18"/>
                <w:szCs w:val="18"/>
              </w:rPr>
              <w:t xml:space="preserve"> </w:t>
            </w:r>
            <w:r w:rsidRPr="0093387C">
              <w:rPr>
                <w:sz w:val="18"/>
                <w:szCs w:val="18"/>
              </w:rPr>
              <w:t>treatment in comparison with those who showed</w:t>
            </w:r>
            <w:r>
              <w:rPr>
                <w:sz w:val="18"/>
                <w:szCs w:val="18"/>
              </w:rPr>
              <w:t xml:space="preserve"> </w:t>
            </w:r>
            <w:r w:rsidRPr="0093387C">
              <w:rPr>
                <w:sz w:val="18"/>
                <w:szCs w:val="18"/>
              </w:rPr>
              <w:t>an adequate response (OR 4.72, 95%</w:t>
            </w:r>
            <w:r>
              <w:rPr>
                <w:sz w:val="18"/>
                <w:szCs w:val="18"/>
              </w:rPr>
              <w:t xml:space="preserve"> CI </w:t>
            </w:r>
            <w:r w:rsidRPr="0093387C">
              <w:rPr>
                <w:sz w:val="18"/>
                <w:szCs w:val="18"/>
              </w:rPr>
              <w:t>2.83 to 7.86).</w:t>
            </w:r>
          </w:p>
        </w:tc>
        <w:tc>
          <w:tcPr>
            <w:tcW w:w="3118" w:type="dxa"/>
          </w:tcPr>
          <w:p w14:paraId="69692F43" w14:textId="77777777" w:rsidR="006E4941" w:rsidRDefault="00CA23DF" w:rsidP="00CA23DF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8"/>
                <w:szCs w:val="18"/>
              </w:rPr>
            </w:pPr>
            <w:r w:rsidRPr="000B2355">
              <w:rPr>
                <w:b/>
                <w:bCs/>
                <w:sz w:val="18"/>
                <w:szCs w:val="18"/>
              </w:rPr>
              <w:t>Strengths: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DIN-Light" w:hAnsi="DIN-Light" w:cs="DIN-Light"/>
                <w:sz w:val="18"/>
                <w:szCs w:val="18"/>
              </w:rPr>
              <w:t>used routine data from 13 practices recruited from within three PCTs therefore likely to reflect standard use in clinical practice.</w:t>
            </w:r>
          </w:p>
          <w:p w14:paraId="59BB40D7" w14:textId="77777777" w:rsidR="00CA23DF" w:rsidRDefault="00CA23DF" w:rsidP="00CA23DF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8"/>
                <w:szCs w:val="18"/>
              </w:rPr>
            </w:pPr>
          </w:p>
          <w:p w14:paraId="7AEE944B" w14:textId="3198C5A1" w:rsidR="00CA23DF" w:rsidRDefault="00CA23DF" w:rsidP="00CA23DF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8"/>
                <w:szCs w:val="18"/>
              </w:rPr>
            </w:pPr>
            <w:r w:rsidRPr="000B2355">
              <w:rPr>
                <w:rFonts w:ascii="DIN-Light" w:hAnsi="DIN-Light" w:cs="DIN-Light"/>
                <w:b/>
                <w:bCs/>
                <w:sz w:val="18"/>
                <w:szCs w:val="18"/>
              </w:rPr>
              <w:t>Limitations:</w:t>
            </w:r>
            <w:r>
              <w:rPr>
                <w:rFonts w:ascii="DIN-Light" w:hAnsi="DIN-Light" w:cs="DIN-Light"/>
                <w:sz w:val="18"/>
                <w:szCs w:val="18"/>
              </w:rPr>
              <w:t xml:space="preserve"> Only 19% of practices that were</w:t>
            </w:r>
            <w:r w:rsidR="0093387C">
              <w:rPr>
                <w:rFonts w:ascii="DIN-Light" w:hAnsi="DIN-Light" w:cs="DIN-Light"/>
                <w:sz w:val="18"/>
                <w:szCs w:val="18"/>
              </w:rPr>
              <w:t xml:space="preserve"> </w:t>
            </w:r>
            <w:r>
              <w:rPr>
                <w:rFonts w:ascii="DIN-Light" w:hAnsi="DIN-Light" w:cs="DIN-Light"/>
                <w:sz w:val="18"/>
                <w:szCs w:val="18"/>
              </w:rPr>
              <w:t xml:space="preserve">approached participated in the study. </w:t>
            </w:r>
            <w:r w:rsidR="0093387C">
              <w:rPr>
                <w:rFonts w:ascii="DIN-Light" w:hAnsi="DIN-Light" w:cs="DIN-Light"/>
                <w:sz w:val="18"/>
                <w:szCs w:val="18"/>
              </w:rPr>
              <w:t>How</w:t>
            </w:r>
            <w:r w:rsidR="00F262A2">
              <w:rPr>
                <w:rFonts w:ascii="DIN-Light" w:hAnsi="DIN-Light" w:cs="DIN-Light"/>
                <w:sz w:val="18"/>
                <w:szCs w:val="18"/>
              </w:rPr>
              <w:t xml:space="preserve">ever, it was </w:t>
            </w:r>
            <w:r>
              <w:rPr>
                <w:rFonts w:ascii="DIN-Light" w:hAnsi="DIN-Light" w:cs="DIN-Light"/>
                <w:sz w:val="18"/>
                <w:szCs w:val="18"/>
              </w:rPr>
              <w:t>possible to</w:t>
            </w:r>
            <w:r w:rsidR="0093387C">
              <w:rPr>
                <w:rFonts w:ascii="DIN-Light" w:hAnsi="DIN-Light" w:cs="DIN-Light"/>
                <w:sz w:val="18"/>
                <w:szCs w:val="18"/>
              </w:rPr>
              <w:t xml:space="preserve"> </w:t>
            </w:r>
            <w:r>
              <w:rPr>
                <w:rFonts w:ascii="DIN-Light" w:hAnsi="DIN-Light" w:cs="DIN-Light"/>
                <w:sz w:val="18"/>
                <w:szCs w:val="18"/>
              </w:rPr>
              <w:t>control for a number of potentially</w:t>
            </w:r>
            <w:r w:rsidR="0093387C">
              <w:rPr>
                <w:rFonts w:ascii="DIN-Light" w:hAnsi="DIN-Light" w:cs="DIN-Light"/>
                <w:sz w:val="18"/>
                <w:szCs w:val="18"/>
              </w:rPr>
              <w:t xml:space="preserve"> </w:t>
            </w:r>
            <w:r>
              <w:rPr>
                <w:rFonts w:ascii="DIN-Light" w:hAnsi="DIN-Light" w:cs="DIN-Light"/>
                <w:sz w:val="18"/>
                <w:szCs w:val="18"/>
              </w:rPr>
              <w:t>confounding factors.</w:t>
            </w:r>
          </w:p>
          <w:p w14:paraId="75160969" w14:textId="31AC36B4" w:rsidR="00F262A2" w:rsidRPr="00CA23DF" w:rsidRDefault="00F262A2" w:rsidP="00F262A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8"/>
                <w:szCs w:val="18"/>
              </w:rPr>
            </w:pPr>
            <w:r>
              <w:rPr>
                <w:rFonts w:ascii="DIN-Light" w:hAnsi="DIN-Light" w:cs="DIN-Light"/>
                <w:sz w:val="18"/>
                <w:szCs w:val="18"/>
              </w:rPr>
              <w:t>Due to observational study design cannot determine cause and effect</w:t>
            </w:r>
          </w:p>
        </w:tc>
        <w:tc>
          <w:tcPr>
            <w:tcW w:w="3402" w:type="dxa"/>
          </w:tcPr>
          <w:p w14:paraId="6973F49B" w14:textId="64019F71" w:rsidR="006E4941" w:rsidRDefault="00F262A2" w:rsidP="00F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study p</w:t>
            </w:r>
            <w:r w:rsidRPr="00F262A2">
              <w:rPr>
                <w:sz w:val="18"/>
                <w:szCs w:val="18"/>
              </w:rPr>
              <w:t>rovides evidence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regarding the use of depression severity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measures to monitor illness severity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5–12 weeks after diagnosis of depression.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Those with a poor response to treatment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(that is, with either an inadequate change in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score or a follow-up score remaining above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the case threshold) were five times more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likely to experience management changes.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The findings show only an association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between a lack of change in questionnaire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scores and treatment changes and,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therefore, cannot determine cause and</w:t>
            </w:r>
            <w:r>
              <w:rPr>
                <w:sz w:val="18"/>
                <w:szCs w:val="18"/>
              </w:rPr>
              <w:t xml:space="preserve"> </w:t>
            </w:r>
            <w:r w:rsidRPr="00F262A2">
              <w:rPr>
                <w:sz w:val="18"/>
                <w:szCs w:val="18"/>
              </w:rPr>
              <w:t>effect in this study.</w:t>
            </w:r>
          </w:p>
        </w:tc>
      </w:tr>
      <w:tr w:rsidR="00AC6CD7" w:rsidRPr="001A2C78" w14:paraId="5D969C40" w14:textId="77777777" w:rsidTr="00912816">
        <w:tc>
          <w:tcPr>
            <w:tcW w:w="15446" w:type="dxa"/>
            <w:gridSpan w:val="5"/>
          </w:tcPr>
          <w:p w14:paraId="1708F10C" w14:textId="6C98C680" w:rsidR="00AC6CD7" w:rsidRDefault="00AC6CD7" w:rsidP="007F79DD">
            <w:pPr>
              <w:rPr>
                <w:sz w:val="18"/>
                <w:szCs w:val="18"/>
              </w:rPr>
            </w:pPr>
            <w:r>
              <w:rPr>
                <w:b/>
              </w:rPr>
              <w:t>Abbreviations</w:t>
            </w:r>
          </w:p>
          <w:p w14:paraId="2072DBEE" w14:textId="50CDA7A0" w:rsidR="008E5F54" w:rsidRDefault="008E5F54" w:rsidP="007F7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BDI-II: Beck Depression Inventory. </w:t>
            </w:r>
            <w:r w:rsidR="00DB7248">
              <w:rPr>
                <w:sz w:val="18"/>
                <w:szCs w:val="18"/>
              </w:rPr>
              <w:t xml:space="preserve">CANE Camberwell Assessment of Need for the Elderly. CANSAS Camberwell Assessment of Need Short Appraisal Schedule. CNS Cardinal Needs Schedule. CSC Client Satisfaction Questionnaire. </w:t>
            </w:r>
            <w:r>
              <w:rPr>
                <w:sz w:val="18"/>
                <w:szCs w:val="18"/>
              </w:rPr>
              <w:t xml:space="preserve">CSRI: Client Service Receipt Inventory. DIS: Diagnostic Interview Schedule. </w:t>
            </w:r>
            <w:r w:rsidRPr="00FF638D">
              <w:rPr>
                <w:sz w:val="18"/>
                <w:szCs w:val="18"/>
              </w:rPr>
              <w:t>DSST</w:t>
            </w:r>
            <w:r>
              <w:rPr>
                <w:sz w:val="18"/>
                <w:szCs w:val="18"/>
              </w:rPr>
              <w:t>:</w:t>
            </w:r>
            <w:r w:rsidRPr="00FF638D">
              <w:rPr>
                <w:sz w:val="18"/>
                <w:szCs w:val="18"/>
              </w:rPr>
              <w:t xml:space="preserve"> Digit Symbol Substitution Test</w:t>
            </w:r>
            <w:r>
              <w:rPr>
                <w:sz w:val="18"/>
                <w:szCs w:val="18"/>
              </w:rPr>
              <w:t xml:space="preserve">. EQ-5D: EuroQol quality of life measure. </w:t>
            </w:r>
            <w:r w:rsidR="00DB7248">
              <w:rPr>
                <w:sz w:val="18"/>
                <w:szCs w:val="18"/>
              </w:rPr>
              <w:t xml:space="preserve">FEP Questionnaire to Evaluate the Course of Psychotherapy. FLZ Life Satisfaction Questionnaire. </w:t>
            </w:r>
            <w:r w:rsidRPr="00FF638D">
              <w:rPr>
                <w:sz w:val="18"/>
                <w:szCs w:val="18"/>
              </w:rPr>
              <w:t>GAD-7</w:t>
            </w:r>
            <w:r>
              <w:rPr>
                <w:sz w:val="18"/>
                <w:szCs w:val="18"/>
              </w:rPr>
              <w:t xml:space="preserve">: Generalised Anxiety Disorder scale. </w:t>
            </w:r>
            <w:r w:rsidR="00DB7248">
              <w:rPr>
                <w:sz w:val="18"/>
                <w:szCs w:val="18"/>
              </w:rPr>
              <w:t xml:space="preserve">GBB Physical Complaints Questionnaire. </w:t>
            </w:r>
            <w:r>
              <w:rPr>
                <w:sz w:val="18"/>
                <w:szCs w:val="18"/>
              </w:rPr>
              <w:t>GSI: Global Severity I</w:t>
            </w:r>
            <w:r w:rsidRPr="00077C12">
              <w:rPr>
                <w:sz w:val="18"/>
                <w:szCs w:val="18"/>
              </w:rPr>
              <w:t>ndex</w:t>
            </w:r>
            <w:r>
              <w:rPr>
                <w:sz w:val="18"/>
                <w:szCs w:val="18"/>
              </w:rPr>
              <w:t xml:space="preserve">. </w:t>
            </w:r>
            <w:r w:rsidR="00DB7248">
              <w:rPr>
                <w:sz w:val="18"/>
                <w:szCs w:val="18"/>
              </w:rPr>
              <w:t xml:space="preserve">HADS Hospital Anxiety and Depression Scale. HAS Helping Alliance Scale. </w:t>
            </w:r>
            <w:r>
              <w:rPr>
                <w:sz w:val="18"/>
                <w:szCs w:val="18"/>
              </w:rPr>
              <w:t xml:space="preserve">HASS: Highest Anxiety Subscale Score. </w:t>
            </w:r>
            <w:r w:rsidR="00DB7248">
              <w:rPr>
                <w:sz w:val="18"/>
                <w:szCs w:val="18"/>
              </w:rPr>
              <w:t xml:space="preserve">ICD-10 </w:t>
            </w:r>
            <w:r w:rsidR="00C52CA8" w:rsidRPr="00C52CA8">
              <w:rPr>
                <w:rFonts w:cstheme="minorHAnsi"/>
                <w:sz w:val="18"/>
                <w:szCs w:val="18"/>
              </w:rPr>
              <w:t>10th revision of the International Statistical Classification of Diseases and Related Health Problems</w:t>
            </w:r>
            <w:r w:rsidR="00C52CA8">
              <w:rPr>
                <w:rFonts w:cstheme="minorHAnsi"/>
                <w:sz w:val="18"/>
                <w:szCs w:val="18"/>
              </w:rPr>
              <w:t>.</w:t>
            </w:r>
            <w:r w:rsidR="00DB7248" w:rsidRPr="00C52CA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LEAPS: </w:t>
            </w:r>
            <w:r w:rsidRPr="002145BD">
              <w:rPr>
                <w:sz w:val="18"/>
                <w:szCs w:val="18"/>
              </w:rPr>
              <w:t>Lam Employment Absence and Productivity Scale</w:t>
            </w:r>
            <w:r>
              <w:rPr>
                <w:sz w:val="18"/>
                <w:szCs w:val="18"/>
              </w:rPr>
              <w:t xml:space="preserve">. MADRS: </w:t>
            </w:r>
            <w:r w:rsidRPr="00AC6CD7">
              <w:rPr>
                <w:sz w:val="18"/>
                <w:szCs w:val="18"/>
              </w:rPr>
              <w:t>Montgomery-Asberg</w:t>
            </w:r>
            <w:r>
              <w:rPr>
                <w:sz w:val="18"/>
                <w:szCs w:val="18"/>
              </w:rPr>
              <w:t xml:space="preserve"> </w:t>
            </w:r>
            <w:r w:rsidRPr="00AC6CD7">
              <w:rPr>
                <w:sz w:val="18"/>
                <w:szCs w:val="18"/>
              </w:rPr>
              <w:t>Depression Rating Scale</w:t>
            </w:r>
            <w:r>
              <w:rPr>
                <w:sz w:val="18"/>
                <w:szCs w:val="18"/>
              </w:rPr>
              <w:t xml:space="preserve">. </w:t>
            </w:r>
            <w:r w:rsidR="00C52CA8">
              <w:rPr>
                <w:sz w:val="18"/>
                <w:szCs w:val="18"/>
              </w:rPr>
              <w:t xml:space="preserve">MANSA Manchester Short Assessment of Quality of Life. </w:t>
            </w:r>
            <w:r w:rsidR="00A73BB0">
              <w:rPr>
                <w:sz w:val="18"/>
                <w:szCs w:val="18"/>
              </w:rPr>
              <w:t xml:space="preserve">MCID: Minimum Clinically Important Difference. </w:t>
            </w:r>
            <w:r w:rsidR="00410E52">
              <w:rPr>
                <w:sz w:val="18"/>
                <w:szCs w:val="18"/>
              </w:rPr>
              <w:t xml:space="preserve">MD Mean difference. </w:t>
            </w:r>
            <w:r>
              <w:rPr>
                <w:sz w:val="18"/>
                <w:szCs w:val="18"/>
              </w:rPr>
              <w:t xml:space="preserve">MISS: </w:t>
            </w:r>
            <w:r w:rsidRPr="00BA3B56">
              <w:rPr>
                <w:sz w:val="18"/>
                <w:szCs w:val="18"/>
              </w:rPr>
              <w:t>Medic</w:t>
            </w:r>
            <w:r>
              <w:rPr>
                <w:sz w:val="18"/>
                <w:szCs w:val="18"/>
              </w:rPr>
              <w:t>al Informant Satisfaction Scale.</w:t>
            </w:r>
            <w:r w:rsidR="00C52CA8">
              <w:rPr>
                <w:sz w:val="18"/>
                <w:szCs w:val="18"/>
              </w:rPr>
              <w:t xml:space="preserve"> MSPSS Multidimensional Scale of Social Support.</w:t>
            </w:r>
            <w:r w:rsidR="00C21079">
              <w:rPr>
                <w:sz w:val="18"/>
                <w:szCs w:val="18"/>
              </w:rPr>
              <w:t xml:space="preserve"> NOT</w:t>
            </w:r>
            <w:r w:rsidR="00703228">
              <w:rPr>
                <w:sz w:val="18"/>
                <w:szCs w:val="18"/>
              </w:rPr>
              <w:t>:</w:t>
            </w:r>
            <w:r w:rsidR="00C21079">
              <w:rPr>
                <w:sz w:val="18"/>
                <w:szCs w:val="18"/>
              </w:rPr>
              <w:t xml:space="preserve"> Not On Track (also known as signal cases. These are cases having poorer responses to treatment).</w:t>
            </w:r>
            <w:r>
              <w:rPr>
                <w:sz w:val="18"/>
                <w:szCs w:val="18"/>
              </w:rPr>
              <w:t xml:space="preserve"> </w:t>
            </w:r>
            <w:r w:rsidR="00F14E50" w:rsidRPr="00F14E50">
              <w:rPr>
                <w:rFonts w:cstheme="minorHAnsi"/>
                <w:sz w:val="18"/>
                <w:szCs w:val="18"/>
              </w:rPr>
              <w:t>OQ-45</w:t>
            </w:r>
            <w:r w:rsidR="00703228">
              <w:rPr>
                <w:rFonts w:cstheme="minorHAnsi"/>
                <w:sz w:val="18"/>
                <w:szCs w:val="18"/>
              </w:rPr>
              <w:t>:</w:t>
            </w:r>
            <w:r w:rsidR="00F14E50" w:rsidRPr="00F14E50">
              <w:rPr>
                <w:rFonts w:cstheme="minorHAnsi"/>
                <w:sz w:val="18"/>
                <w:szCs w:val="18"/>
              </w:rPr>
              <w:t xml:space="preserve"> Outcome Questionnaire–45</w:t>
            </w:r>
            <w:r w:rsidR="00703228">
              <w:rPr>
                <w:rFonts w:cstheme="minorHAnsi"/>
                <w:sz w:val="18"/>
                <w:szCs w:val="18"/>
              </w:rPr>
              <w:t>-item</w:t>
            </w:r>
            <w:r w:rsidR="00F14E50" w:rsidRPr="00F14E50">
              <w:rPr>
                <w:rFonts w:cstheme="minorHAnsi"/>
                <w:sz w:val="18"/>
                <w:szCs w:val="18"/>
              </w:rPr>
              <w:t>.</w:t>
            </w:r>
            <w:r w:rsidR="00F14E50"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 w:rsidR="00930E10">
              <w:rPr>
                <w:sz w:val="18"/>
                <w:szCs w:val="18"/>
              </w:rPr>
              <w:t>OR</w:t>
            </w:r>
            <w:r w:rsidR="00703228">
              <w:rPr>
                <w:sz w:val="18"/>
                <w:szCs w:val="18"/>
              </w:rPr>
              <w:t>:</w:t>
            </w:r>
            <w:r w:rsidR="00930E10">
              <w:rPr>
                <w:sz w:val="18"/>
                <w:szCs w:val="18"/>
              </w:rPr>
              <w:t xml:space="preserve"> Odds Ratio.</w:t>
            </w:r>
            <w:r w:rsidR="00703228">
              <w:rPr>
                <w:sz w:val="18"/>
                <w:szCs w:val="18"/>
              </w:rPr>
              <w:t xml:space="preserve"> </w:t>
            </w:r>
            <w:r w:rsidR="00A02493">
              <w:rPr>
                <w:sz w:val="18"/>
                <w:szCs w:val="18"/>
              </w:rPr>
              <w:t>ORS</w:t>
            </w:r>
            <w:r w:rsidR="00703228">
              <w:rPr>
                <w:sz w:val="18"/>
                <w:szCs w:val="18"/>
              </w:rPr>
              <w:t>:</w:t>
            </w:r>
            <w:r w:rsidR="00A02493">
              <w:rPr>
                <w:sz w:val="18"/>
                <w:szCs w:val="18"/>
              </w:rPr>
              <w:t xml:space="preserve"> Outcome Rating Scale.</w:t>
            </w:r>
            <w:r w:rsidR="00930E10">
              <w:rPr>
                <w:sz w:val="18"/>
                <w:szCs w:val="18"/>
              </w:rPr>
              <w:t xml:space="preserve"> </w:t>
            </w:r>
            <w:r w:rsidRPr="00FF638D">
              <w:rPr>
                <w:sz w:val="18"/>
                <w:szCs w:val="18"/>
              </w:rPr>
              <w:t>OxCAP-MH</w:t>
            </w:r>
            <w:r>
              <w:rPr>
                <w:sz w:val="18"/>
                <w:szCs w:val="18"/>
              </w:rPr>
              <w:t>:</w:t>
            </w:r>
            <w:r w:rsidRPr="00FF638D">
              <w:rPr>
                <w:sz w:val="18"/>
                <w:szCs w:val="18"/>
              </w:rPr>
              <w:t xml:space="preserve"> Oxford CAPabilities questionnaire-Mental Health</w:t>
            </w:r>
            <w:r>
              <w:rPr>
                <w:sz w:val="18"/>
                <w:szCs w:val="18"/>
              </w:rPr>
              <w:t xml:space="preserve"> for wellbeing. </w:t>
            </w:r>
            <w:r w:rsidR="00C52CA8">
              <w:rPr>
                <w:sz w:val="18"/>
                <w:szCs w:val="18"/>
              </w:rPr>
              <w:t xml:space="preserve">PAE Treatment Progress Scale. </w:t>
            </w:r>
            <w:r w:rsidR="00F262A2">
              <w:rPr>
                <w:sz w:val="18"/>
                <w:szCs w:val="18"/>
              </w:rPr>
              <w:t xml:space="preserve">PCT: Primary Care Trust. </w:t>
            </w:r>
            <w:r>
              <w:rPr>
                <w:sz w:val="18"/>
                <w:szCs w:val="18"/>
              </w:rPr>
              <w:t>PHQ-9: Patient Health Questionnaire.</w:t>
            </w:r>
            <w:r w:rsidR="00A73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PROM: Patient Reported Outcome Measure. </w:t>
            </w:r>
            <w:r w:rsidRPr="006375C8">
              <w:rPr>
                <w:sz w:val="18"/>
                <w:szCs w:val="18"/>
              </w:rPr>
              <w:t xml:space="preserve">PSYCHLOPS: Psychological Outcome Profiles </w:t>
            </w:r>
            <w:r w:rsidRPr="004F7F2F">
              <w:rPr>
                <w:sz w:val="18"/>
                <w:szCs w:val="18"/>
              </w:rPr>
              <w:t>scale</w:t>
            </w:r>
            <w:r w:rsidRPr="00FF638D">
              <w:rPr>
                <w:sz w:val="18"/>
                <w:szCs w:val="18"/>
              </w:rPr>
              <w:t xml:space="preserve"> QIDS-SR-16</w:t>
            </w:r>
            <w:r>
              <w:rPr>
                <w:sz w:val="18"/>
                <w:szCs w:val="18"/>
              </w:rPr>
              <w:t>: Quick Inventory of Depression Symptoms, Self-Rated. SAS-SR: Social Adjustment Scale, Self-Rated</w:t>
            </w:r>
            <w:r w:rsidR="001D296D">
              <w:rPr>
                <w:sz w:val="18"/>
                <w:szCs w:val="18"/>
              </w:rPr>
              <w:t xml:space="preserve">. </w:t>
            </w:r>
            <w:r w:rsidR="001D296D" w:rsidRPr="00077C12">
              <w:rPr>
                <w:sz w:val="18"/>
                <w:szCs w:val="18"/>
              </w:rPr>
              <w:t>SCL-90</w:t>
            </w:r>
            <w:r w:rsidR="001D296D">
              <w:rPr>
                <w:sz w:val="18"/>
                <w:szCs w:val="18"/>
              </w:rPr>
              <w:t xml:space="preserve">: Symptom Checklist (90 items). </w:t>
            </w:r>
            <w:r w:rsidR="00C52CA8">
              <w:rPr>
                <w:sz w:val="18"/>
                <w:szCs w:val="18"/>
              </w:rPr>
              <w:t xml:space="preserve">SEED Short Evaluation of Eating Disorders. </w:t>
            </w:r>
            <w:r w:rsidR="001D296D">
              <w:rPr>
                <w:sz w:val="18"/>
                <w:szCs w:val="18"/>
              </w:rPr>
              <w:t>SF-36: Short Form (36 items) of Medical Outcomes Scale.</w:t>
            </w:r>
            <w:r w:rsidR="00410E52">
              <w:rPr>
                <w:sz w:val="18"/>
                <w:szCs w:val="18"/>
              </w:rPr>
              <w:t xml:space="preserve"> SMD standardised mean difference. </w:t>
            </w:r>
            <w:r w:rsidR="001D296D" w:rsidRPr="007F79DD">
              <w:rPr>
                <w:sz w:val="18"/>
                <w:szCs w:val="18"/>
              </w:rPr>
              <w:t>TAU: treatment as usual.</w:t>
            </w:r>
            <w:r w:rsidR="001D296D">
              <w:rPr>
                <w:sz w:val="18"/>
                <w:szCs w:val="18"/>
              </w:rPr>
              <w:t xml:space="preserve"> </w:t>
            </w:r>
            <w:r w:rsidR="00C52CA8">
              <w:rPr>
                <w:sz w:val="18"/>
                <w:szCs w:val="18"/>
              </w:rPr>
              <w:t xml:space="preserve">TREAT-EAT Outcome Monitoring System. </w:t>
            </w:r>
            <w:r w:rsidR="001D296D">
              <w:rPr>
                <w:sz w:val="18"/>
                <w:szCs w:val="18"/>
              </w:rPr>
              <w:t xml:space="preserve">WSAS: </w:t>
            </w:r>
            <w:r w:rsidR="001D296D" w:rsidRPr="00BA3B56">
              <w:rPr>
                <w:sz w:val="18"/>
                <w:szCs w:val="18"/>
              </w:rPr>
              <w:t>Work &amp; Social Adjustment Scale</w:t>
            </w:r>
            <w:r w:rsidR="001D296D">
              <w:rPr>
                <w:sz w:val="18"/>
                <w:szCs w:val="18"/>
              </w:rPr>
              <w:t>.</w:t>
            </w:r>
          </w:p>
          <w:p w14:paraId="01715EF5" w14:textId="75547DBF" w:rsidR="00DB7248" w:rsidRDefault="00DB7248" w:rsidP="007F79DD">
            <w:pPr>
              <w:rPr>
                <w:sz w:val="18"/>
                <w:szCs w:val="18"/>
              </w:rPr>
            </w:pPr>
          </w:p>
          <w:p w14:paraId="33A84843" w14:textId="77777777" w:rsidR="006221E6" w:rsidRDefault="006221E6" w:rsidP="007F79DD">
            <w:pPr>
              <w:rPr>
                <w:b/>
                <w:bCs/>
              </w:rPr>
            </w:pPr>
            <w:r w:rsidRPr="006221E6">
              <w:rPr>
                <w:b/>
                <w:bCs/>
              </w:rPr>
              <w:t>Notes</w:t>
            </w:r>
          </w:p>
          <w:p w14:paraId="28F7A407" w14:textId="16B62498" w:rsidR="00760A8B" w:rsidRDefault="006221E6" w:rsidP="007F79DD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a </w:t>
            </w:r>
            <w:r w:rsidR="00760A8B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5 of these studies were included in </w:t>
            </w:r>
            <w:r w:rsidR="00760A8B">
              <w:rPr>
                <w:sz w:val="18"/>
                <w:szCs w:val="18"/>
              </w:rPr>
              <w:t xml:space="preserve">the Cochrane </w:t>
            </w:r>
            <w:r>
              <w:rPr>
                <w:sz w:val="18"/>
                <w:szCs w:val="18"/>
              </w:rPr>
              <w:t>systematic review by Kendrick et al.,</w:t>
            </w:r>
            <w:r w:rsidR="00597B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2016</w:t>
            </w:r>
            <w:r w:rsidRPr="006221E6">
              <w:rPr>
                <w:sz w:val="18"/>
                <w:szCs w:val="18"/>
                <w:vertAlign w:val="superscript"/>
              </w:rPr>
              <w:t xml:space="preserve"> </w:t>
            </w:r>
          </w:p>
          <w:p w14:paraId="581CA299" w14:textId="57FF3A7A" w:rsidR="006221E6" w:rsidRPr="006221E6" w:rsidRDefault="006221E6" w:rsidP="007F79DD">
            <w:pPr>
              <w:rPr>
                <w:sz w:val="18"/>
                <w:szCs w:val="18"/>
              </w:rPr>
            </w:pPr>
            <w:r w:rsidRPr="006221E6"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3 of these studies were included in the </w:t>
            </w:r>
            <w:r w:rsidR="00760A8B">
              <w:rPr>
                <w:sz w:val="18"/>
                <w:szCs w:val="18"/>
              </w:rPr>
              <w:t xml:space="preserve">Cochrane </w:t>
            </w:r>
            <w:r>
              <w:rPr>
                <w:sz w:val="18"/>
                <w:szCs w:val="18"/>
              </w:rPr>
              <w:t>systematic review by Kendrick et al., 2016</w:t>
            </w:r>
          </w:p>
        </w:tc>
      </w:tr>
    </w:tbl>
    <w:p w14:paraId="75F526D4" w14:textId="77777777" w:rsidR="00EC6378" w:rsidRPr="001A2C78" w:rsidRDefault="00EC6378" w:rsidP="00C506FA"/>
    <w:sectPr w:rsidR="00EC6378" w:rsidRPr="001A2C78" w:rsidSect="00C506FA">
      <w:type w:val="continuous"/>
      <w:pgSz w:w="16838" w:h="11906" w:orient="landscape" w:code="9"/>
      <w:pgMar w:top="720" w:right="720" w:bottom="720" w:left="720" w:header="454" w:footer="284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-Regula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dvPS94B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Lancet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ancetPro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1E91"/>
    <w:multiLevelType w:val="hybridMultilevel"/>
    <w:tmpl w:val="B908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E0"/>
    <w:rsid w:val="000011F3"/>
    <w:rsid w:val="000013C3"/>
    <w:rsid w:val="00010B6F"/>
    <w:rsid w:val="0004046C"/>
    <w:rsid w:val="0004711E"/>
    <w:rsid w:val="0005100B"/>
    <w:rsid w:val="00056929"/>
    <w:rsid w:val="00062292"/>
    <w:rsid w:val="00062400"/>
    <w:rsid w:val="00077C12"/>
    <w:rsid w:val="00085941"/>
    <w:rsid w:val="000B2355"/>
    <w:rsid w:val="000D2EE5"/>
    <w:rsid w:val="001154C4"/>
    <w:rsid w:val="00123057"/>
    <w:rsid w:val="001332E5"/>
    <w:rsid w:val="00136F46"/>
    <w:rsid w:val="00170E5C"/>
    <w:rsid w:val="001837E3"/>
    <w:rsid w:val="00184AC3"/>
    <w:rsid w:val="00195525"/>
    <w:rsid w:val="001A2C78"/>
    <w:rsid w:val="001C0C0A"/>
    <w:rsid w:val="001D296D"/>
    <w:rsid w:val="001E626C"/>
    <w:rsid w:val="002145BD"/>
    <w:rsid w:val="002606ED"/>
    <w:rsid w:val="00265A3C"/>
    <w:rsid w:val="00276E23"/>
    <w:rsid w:val="002931F4"/>
    <w:rsid w:val="002C6379"/>
    <w:rsid w:val="002F1A9E"/>
    <w:rsid w:val="002F6E5F"/>
    <w:rsid w:val="00310E60"/>
    <w:rsid w:val="00314972"/>
    <w:rsid w:val="00324EF3"/>
    <w:rsid w:val="00326D10"/>
    <w:rsid w:val="003349E1"/>
    <w:rsid w:val="003357C0"/>
    <w:rsid w:val="00340AD0"/>
    <w:rsid w:val="003A434C"/>
    <w:rsid w:val="003B1A92"/>
    <w:rsid w:val="003B48C4"/>
    <w:rsid w:val="003F3102"/>
    <w:rsid w:val="00410E52"/>
    <w:rsid w:val="004111EE"/>
    <w:rsid w:val="00422362"/>
    <w:rsid w:val="0044345B"/>
    <w:rsid w:val="00480177"/>
    <w:rsid w:val="00485D2A"/>
    <w:rsid w:val="00496FEF"/>
    <w:rsid w:val="004A4A9D"/>
    <w:rsid w:val="004B120F"/>
    <w:rsid w:val="004C211D"/>
    <w:rsid w:val="004D1027"/>
    <w:rsid w:val="004D3B5D"/>
    <w:rsid w:val="004E2366"/>
    <w:rsid w:val="004F7F2F"/>
    <w:rsid w:val="00555B9F"/>
    <w:rsid w:val="00557D83"/>
    <w:rsid w:val="005627AE"/>
    <w:rsid w:val="00573866"/>
    <w:rsid w:val="00587A9A"/>
    <w:rsid w:val="00593854"/>
    <w:rsid w:val="00597BFE"/>
    <w:rsid w:val="005A4A1B"/>
    <w:rsid w:val="005A6CF9"/>
    <w:rsid w:val="005B0011"/>
    <w:rsid w:val="005B30AD"/>
    <w:rsid w:val="005B5DD2"/>
    <w:rsid w:val="006221E6"/>
    <w:rsid w:val="006239D6"/>
    <w:rsid w:val="00625458"/>
    <w:rsid w:val="00636B25"/>
    <w:rsid w:val="006375C8"/>
    <w:rsid w:val="00656832"/>
    <w:rsid w:val="00666A3B"/>
    <w:rsid w:val="00691E2D"/>
    <w:rsid w:val="00695CCC"/>
    <w:rsid w:val="006B7C66"/>
    <w:rsid w:val="006B7D38"/>
    <w:rsid w:val="006D72D2"/>
    <w:rsid w:val="006E3461"/>
    <w:rsid w:val="006E481E"/>
    <w:rsid w:val="006E4941"/>
    <w:rsid w:val="00703228"/>
    <w:rsid w:val="007322F7"/>
    <w:rsid w:val="00746952"/>
    <w:rsid w:val="00760A8B"/>
    <w:rsid w:val="00777CD1"/>
    <w:rsid w:val="007832C9"/>
    <w:rsid w:val="00783377"/>
    <w:rsid w:val="007918D4"/>
    <w:rsid w:val="007A665D"/>
    <w:rsid w:val="007B3B30"/>
    <w:rsid w:val="007D1527"/>
    <w:rsid w:val="007D1A07"/>
    <w:rsid w:val="007D23B4"/>
    <w:rsid w:val="007D3EC2"/>
    <w:rsid w:val="007E20BF"/>
    <w:rsid w:val="007F79DD"/>
    <w:rsid w:val="0080696D"/>
    <w:rsid w:val="00811E2E"/>
    <w:rsid w:val="00814D10"/>
    <w:rsid w:val="008256D9"/>
    <w:rsid w:val="00831208"/>
    <w:rsid w:val="00863A63"/>
    <w:rsid w:val="008815A9"/>
    <w:rsid w:val="00890FFA"/>
    <w:rsid w:val="008B7A67"/>
    <w:rsid w:val="008E5F54"/>
    <w:rsid w:val="00912816"/>
    <w:rsid w:val="00930E10"/>
    <w:rsid w:val="0093387C"/>
    <w:rsid w:val="009429D5"/>
    <w:rsid w:val="00984E15"/>
    <w:rsid w:val="00986DE4"/>
    <w:rsid w:val="009F340D"/>
    <w:rsid w:val="009F6515"/>
    <w:rsid w:val="00A02493"/>
    <w:rsid w:val="00A6345C"/>
    <w:rsid w:val="00A66097"/>
    <w:rsid w:val="00A73BB0"/>
    <w:rsid w:val="00A817AF"/>
    <w:rsid w:val="00AC6CD7"/>
    <w:rsid w:val="00AD72D9"/>
    <w:rsid w:val="00AF631A"/>
    <w:rsid w:val="00B1457F"/>
    <w:rsid w:val="00B241BE"/>
    <w:rsid w:val="00B25F6C"/>
    <w:rsid w:val="00B41FD8"/>
    <w:rsid w:val="00B75607"/>
    <w:rsid w:val="00B7615E"/>
    <w:rsid w:val="00B77A2A"/>
    <w:rsid w:val="00B905ED"/>
    <w:rsid w:val="00BA3B56"/>
    <w:rsid w:val="00BA4827"/>
    <w:rsid w:val="00BB6041"/>
    <w:rsid w:val="00BB6AAD"/>
    <w:rsid w:val="00BD04ED"/>
    <w:rsid w:val="00BD07A9"/>
    <w:rsid w:val="00BD0C98"/>
    <w:rsid w:val="00BF19F4"/>
    <w:rsid w:val="00C072F3"/>
    <w:rsid w:val="00C21079"/>
    <w:rsid w:val="00C31902"/>
    <w:rsid w:val="00C506FA"/>
    <w:rsid w:val="00C50C64"/>
    <w:rsid w:val="00C52CA8"/>
    <w:rsid w:val="00C70B1E"/>
    <w:rsid w:val="00C72C7C"/>
    <w:rsid w:val="00C74E97"/>
    <w:rsid w:val="00C81581"/>
    <w:rsid w:val="00C87CDD"/>
    <w:rsid w:val="00C96667"/>
    <w:rsid w:val="00C97069"/>
    <w:rsid w:val="00CA23DF"/>
    <w:rsid w:val="00CE2F42"/>
    <w:rsid w:val="00D076AA"/>
    <w:rsid w:val="00D12F4B"/>
    <w:rsid w:val="00D433F1"/>
    <w:rsid w:val="00DB0AB2"/>
    <w:rsid w:val="00DB7248"/>
    <w:rsid w:val="00DE17CB"/>
    <w:rsid w:val="00DF0AB8"/>
    <w:rsid w:val="00E17EE0"/>
    <w:rsid w:val="00E20992"/>
    <w:rsid w:val="00E4419E"/>
    <w:rsid w:val="00E52E10"/>
    <w:rsid w:val="00E63A1C"/>
    <w:rsid w:val="00EA56D7"/>
    <w:rsid w:val="00EC6378"/>
    <w:rsid w:val="00EE0805"/>
    <w:rsid w:val="00F027BD"/>
    <w:rsid w:val="00F14E50"/>
    <w:rsid w:val="00F262A2"/>
    <w:rsid w:val="00F3071C"/>
    <w:rsid w:val="00F366C3"/>
    <w:rsid w:val="00FB3C68"/>
    <w:rsid w:val="00FC20E4"/>
    <w:rsid w:val="00FD19B6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24B9"/>
  <w15:chartTrackingRefBased/>
  <w15:docId w15:val="{235E2555-85EE-427F-8B76-AA59BA7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D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 A.R.</dc:creator>
  <cp:keywords/>
  <dc:description/>
  <cp:lastModifiedBy>Timothy Wright</cp:lastModifiedBy>
  <cp:revision>2</cp:revision>
  <dcterms:created xsi:type="dcterms:W3CDTF">2020-10-15T13:44:00Z</dcterms:created>
  <dcterms:modified xsi:type="dcterms:W3CDTF">2020-10-15T13:44:00Z</dcterms:modified>
</cp:coreProperties>
</file>