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A2E3B" w14:textId="77777777" w:rsidR="00CC06E1" w:rsidRPr="00162083" w:rsidRDefault="00CC06E1" w:rsidP="00CC06E1">
      <w:pPr>
        <w:pStyle w:val="Heading1"/>
        <w:jc w:val="center"/>
        <w:rPr>
          <w:rFonts w:cstheme="minorHAnsi"/>
          <w:b/>
          <w:bCs/>
          <w:color w:val="000000" w:themeColor="text1"/>
        </w:rPr>
      </w:pPr>
      <w:bookmarkStart w:id="0" w:name="_Hlk32680318"/>
      <w:bookmarkStart w:id="1" w:name="_GoBack"/>
      <w:bookmarkEnd w:id="1"/>
      <w:r>
        <w:rPr>
          <w:b/>
          <w:bCs/>
          <w:color w:val="000000" w:themeColor="text1"/>
        </w:rPr>
        <w:t>TITLE PAGE</w:t>
      </w:r>
      <w:bookmarkEnd w:id="0"/>
    </w:p>
    <w:p w14:paraId="147C64CE" w14:textId="77777777" w:rsidR="00CC06E1" w:rsidRDefault="00CC06E1" w:rsidP="00CC06E1">
      <w:pPr>
        <w:rPr>
          <w:b/>
          <w:bCs/>
        </w:rPr>
      </w:pPr>
    </w:p>
    <w:p w14:paraId="0333DE60" w14:textId="77777777" w:rsidR="00CC06E1" w:rsidRPr="00162083" w:rsidRDefault="00CC06E1" w:rsidP="00CC06E1">
      <w:pPr>
        <w:rPr>
          <w:b/>
          <w:bCs/>
        </w:rPr>
      </w:pPr>
      <w:r w:rsidRPr="00162083">
        <w:rPr>
          <w:b/>
          <w:bCs/>
        </w:rPr>
        <w:t xml:space="preserve">Full title: </w:t>
      </w:r>
    </w:p>
    <w:p w14:paraId="77E6AA71" w14:textId="77777777" w:rsidR="00CC06E1" w:rsidRDefault="00CC06E1" w:rsidP="00CC06E1">
      <w:r w:rsidRPr="00B95369">
        <w:t xml:space="preserve">Impact of </w:t>
      </w:r>
      <w:r>
        <w:t>substance use</w:t>
      </w:r>
      <w:r w:rsidRPr="00B95369">
        <w:t xml:space="preserve"> disorder on quality of inpatient mental health services for people with anxiety and depression</w:t>
      </w:r>
      <w:r>
        <w:t>.</w:t>
      </w:r>
    </w:p>
    <w:p w14:paraId="67259947" w14:textId="77777777" w:rsidR="00CC06E1" w:rsidRPr="00162083" w:rsidRDefault="00CC06E1" w:rsidP="00CC06E1">
      <w:pPr>
        <w:rPr>
          <w:b/>
          <w:bCs/>
        </w:rPr>
      </w:pPr>
      <w:r w:rsidRPr="00162083">
        <w:rPr>
          <w:b/>
          <w:bCs/>
        </w:rPr>
        <w:t>Short Title:</w:t>
      </w:r>
    </w:p>
    <w:p w14:paraId="28761CAD" w14:textId="77777777" w:rsidR="00CC06E1" w:rsidRDefault="00CC06E1" w:rsidP="00CC06E1">
      <w:r>
        <w:t>Comorbid substance inpatient anxiety depression</w:t>
      </w:r>
    </w:p>
    <w:p w14:paraId="5636D131" w14:textId="77777777" w:rsidR="00CC06E1" w:rsidRPr="00162083" w:rsidRDefault="00CC06E1" w:rsidP="00CC06E1">
      <w:pPr>
        <w:rPr>
          <w:b/>
          <w:bCs/>
        </w:rPr>
      </w:pPr>
      <w:r w:rsidRPr="00162083">
        <w:rPr>
          <w:b/>
          <w:bCs/>
        </w:rPr>
        <w:t>Classification:</w:t>
      </w:r>
    </w:p>
    <w:p w14:paraId="1004356C" w14:textId="77777777" w:rsidR="00CC06E1" w:rsidRDefault="00CC06E1" w:rsidP="00CC06E1">
      <w:r>
        <w:t>Research Article</w:t>
      </w:r>
    </w:p>
    <w:p w14:paraId="0C8223F0" w14:textId="77777777" w:rsidR="00CC06E1" w:rsidRPr="00162083" w:rsidRDefault="00CC06E1" w:rsidP="00CC06E1">
      <w:pPr>
        <w:rPr>
          <w:b/>
          <w:bCs/>
        </w:rPr>
      </w:pPr>
      <w:r w:rsidRPr="00162083">
        <w:rPr>
          <w:b/>
          <w:bCs/>
        </w:rPr>
        <w:t>Authors:</w:t>
      </w:r>
    </w:p>
    <w:p w14:paraId="77A96E66" w14:textId="77777777" w:rsidR="00CC06E1" w:rsidRPr="00E645F7" w:rsidRDefault="00CC06E1" w:rsidP="00CC06E1">
      <w:r>
        <w:t>Ryan Williams, Lorna Farquharson, Ellen Rhodes, Mary Dang, Jessica Butler, Alan Quirk, David S. Baldwin, Mike J. Crawford</w:t>
      </w:r>
    </w:p>
    <w:p w14:paraId="39FD3272" w14:textId="77777777" w:rsidR="00CC06E1" w:rsidRPr="00162083" w:rsidRDefault="00CC06E1" w:rsidP="00CC06E1">
      <w:pPr>
        <w:rPr>
          <w:b/>
          <w:bCs/>
        </w:rPr>
      </w:pPr>
      <w:r w:rsidRPr="00162083">
        <w:rPr>
          <w:b/>
          <w:bCs/>
        </w:rPr>
        <w:t>Author Information:</w:t>
      </w:r>
    </w:p>
    <w:p w14:paraId="41850EC3" w14:textId="178F9DB6" w:rsidR="00CC06E1" w:rsidRDefault="00CC06E1" w:rsidP="00CC06E1">
      <w:r>
        <w:t xml:space="preserve">Ryan Williams: NIHR Academic Clinical Fellow, Imperial College London &amp; Royal College of Psychiatrists - College Centre for Quality Improvement, UK. </w:t>
      </w:r>
      <w:r w:rsidR="000C222B">
        <w:t xml:space="preserve">Email: </w:t>
      </w:r>
      <w:r w:rsidR="000C222B" w:rsidRPr="001837E2">
        <w:t>ryan.williams2@nhs.net</w:t>
      </w:r>
      <w:r w:rsidR="000C222B">
        <w:t xml:space="preserve">. </w:t>
      </w:r>
    </w:p>
    <w:p w14:paraId="28943664" w14:textId="01A8BDBE" w:rsidR="00CC06E1" w:rsidRDefault="00CC06E1" w:rsidP="00CC06E1">
      <w:r>
        <w:t>Lorna Farquharson: Clinical Advisor to the NCAAD, University of East London &amp; Royal College of Psychiatrists - College Centre for Quality Improvement, UK.</w:t>
      </w:r>
      <w:r w:rsidR="009533CC" w:rsidRPr="009533CC">
        <w:t xml:space="preserve"> </w:t>
      </w:r>
      <w:r w:rsidR="009533CC">
        <w:t>Email: l</w:t>
      </w:r>
      <w:r w:rsidR="009533CC" w:rsidRPr="009533CC">
        <w:t>.</w:t>
      </w:r>
      <w:r w:rsidR="009533CC">
        <w:t>f</w:t>
      </w:r>
      <w:r w:rsidR="009533CC" w:rsidRPr="009533CC">
        <w:t>arquharson@uel.ac.uk</w:t>
      </w:r>
    </w:p>
    <w:p w14:paraId="58F77537" w14:textId="36A6229F" w:rsidR="00CC06E1" w:rsidRDefault="00CC06E1" w:rsidP="00CC06E1">
      <w:r>
        <w:t>Ellen Rhodes: NCAAD Deputy Programme Manager, Royal College of Psychiatrists - College Centre for Quality Improvement, UK.</w:t>
      </w:r>
      <w:r w:rsidR="009533CC">
        <w:t xml:space="preserve"> Email: ellen.rhodes@rcpsych.ac.uk</w:t>
      </w:r>
    </w:p>
    <w:p w14:paraId="2858A57C" w14:textId="5A86FF4A" w:rsidR="00CC06E1" w:rsidRDefault="00CC06E1" w:rsidP="00CC06E1">
      <w:r>
        <w:t>Mary Dang: NCAAD Programme Manager, Royal College of Psychiatrists - College Centre for Quality Improvement, UK.</w:t>
      </w:r>
      <w:r w:rsidR="009533CC">
        <w:t xml:space="preserve"> Email: mary.dang@rcpsych.ac.uk</w:t>
      </w:r>
    </w:p>
    <w:p w14:paraId="6BD14C1A" w14:textId="4EA2CB7B" w:rsidR="00CC06E1" w:rsidRDefault="00CC06E1" w:rsidP="00CC06E1">
      <w:r>
        <w:t>Jessica Butler: NCAAD Deputy Programme Manager, Royal College of Psychiatrists - College Centre for Quality Improvement, UK.</w:t>
      </w:r>
      <w:r w:rsidR="009533CC">
        <w:t xml:space="preserve"> Email: jessica.butler@rcpsych.ac.uk</w:t>
      </w:r>
    </w:p>
    <w:p w14:paraId="57617B47" w14:textId="6E693229" w:rsidR="00CC06E1" w:rsidRDefault="00CC06E1" w:rsidP="00CC06E1">
      <w:r>
        <w:t>Alan Quirk: Head of Clinical Audit and Research, Royal College of Psychiatrists - College Centre for Quality Improvement, UK.</w:t>
      </w:r>
      <w:r w:rsidR="009533CC">
        <w:t xml:space="preserve"> Email: alan.quirk@rcpsych.ac.uk</w:t>
      </w:r>
    </w:p>
    <w:p w14:paraId="51C33A1E" w14:textId="1FAF0BF8" w:rsidR="00CC06E1" w:rsidRDefault="00CC06E1" w:rsidP="00CC06E1">
      <w:r>
        <w:t>David S. Baldwin: Professor of Psychiatry, NCAAD Clinical Lead, University of Southampton &amp; Royal College of Psychiatrists - College Centre for Quality Improvement, UK.</w:t>
      </w:r>
      <w:r w:rsidR="009533CC">
        <w:t xml:space="preserve"> Email: </w:t>
      </w:r>
      <w:r w:rsidR="009533CC" w:rsidRPr="009533CC">
        <w:t>dsb1@soton.ac.uk</w:t>
      </w:r>
    </w:p>
    <w:p w14:paraId="49997D3F" w14:textId="191742C7" w:rsidR="00CC06E1" w:rsidRDefault="00CC06E1" w:rsidP="00CC06E1">
      <w:r>
        <w:t>Mike J. Crawford: Professor of Psychiatry, Director of Centre for Quality Improvement, Imperial College London &amp; Royal College of Psychiatrists - College Centre for Quality Improvement, UK.</w:t>
      </w:r>
      <w:r w:rsidR="009533CC">
        <w:t xml:space="preserve"> Email: m.crawford@imperial.ac.uk</w:t>
      </w:r>
    </w:p>
    <w:p w14:paraId="2066A664" w14:textId="7A9A1941" w:rsidR="00CC06E1" w:rsidRPr="00162083" w:rsidRDefault="00CC06E1" w:rsidP="00CC06E1">
      <w:r>
        <w:t xml:space="preserve">Correspondence: Ryan Williams, Department of Brain Sciences, Commonwealth Building, Hammersmith Hospital, London, W12 0HS, UK. Email: </w:t>
      </w:r>
      <w:r w:rsidRPr="001837E2">
        <w:t>ryan.williams2@nhs.net</w:t>
      </w:r>
      <w:r>
        <w:t xml:space="preserve">. </w:t>
      </w:r>
      <w:r w:rsidR="006D0E14">
        <w:t xml:space="preserve">Tel: </w:t>
      </w:r>
      <w:r w:rsidR="006D0E14" w:rsidRPr="006D0E14">
        <w:t>+44 (0)20 3313 4161</w:t>
      </w:r>
    </w:p>
    <w:p w14:paraId="1D0A0F44" w14:textId="77777777" w:rsidR="00CC06E1" w:rsidRDefault="00CC06E1" w:rsidP="00CC06E1">
      <w:pPr>
        <w:rPr>
          <w:rFonts w:cstheme="minorHAnsi"/>
        </w:rPr>
      </w:pPr>
    </w:p>
    <w:p w14:paraId="43D64A24" w14:textId="77777777" w:rsidR="00CC06E1" w:rsidRPr="007A28F3" w:rsidRDefault="00CC06E1" w:rsidP="00CC06E1"/>
    <w:p w14:paraId="39322EC2" w14:textId="77777777" w:rsidR="00877A5D" w:rsidRPr="00FD6E04" w:rsidRDefault="00877A5D" w:rsidP="00877A5D">
      <w:pPr>
        <w:pStyle w:val="Heading2"/>
        <w:rPr>
          <w:b/>
          <w:bCs/>
          <w:color w:val="000000" w:themeColor="text1"/>
        </w:rPr>
      </w:pPr>
      <w:r w:rsidRPr="00FD6E04">
        <w:rPr>
          <w:b/>
          <w:bCs/>
          <w:color w:val="000000" w:themeColor="text1"/>
        </w:rPr>
        <w:lastRenderedPageBreak/>
        <w:t>ABSTRACT</w:t>
      </w:r>
    </w:p>
    <w:p w14:paraId="55389102" w14:textId="77777777" w:rsidR="00877A5D" w:rsidRPr="00FD6E04" w:rsidRDefault="00877A5D" w:rsidP="00877A5D"/>
    <w:p w14:paraId="761FCCF8" w14:textId="65ADCE2C" w:rsidR="00877A5D" w:rsidRDefault="00877A5D" w:rsidP="00877A5D">
      <w:r w:rsidRPr="008755C8">
        <w:rPr>
          <w:b/>
        </w:rPr>
        <w:t>INTRODUCTION</w:t>
      </w:r>
      <w:r>
        <w:t xml:space="preserve">: </w:t>
      </w:r>
      <w:r w:rsidR="007F2EA0">
        <w:t>Substance Use Disorders (SUD) are commonly comorbid with anxiety and depressive disorders</w:t>
      </w:r>
      <w:r w:rsidR="002346CD">
        <w:t xml:space="preserve">, and are associated with poor </w:t>
      </w:r>
      <w:r w:rsidR="009105FC">
        <w:t xml:space="preserve">treatment </w:t>
      </w:r>
      <w:r w:rsidR="002346CD">
        <w:t>outcomes</w:t>
      </w:r>
      <w:r w:rsidR="007F2EA0">
        <w:t>.</w:t>
      </w:r>
      <w:r w:rsidR="002346CD" w:rsidRPr="002346CD">
        <w:t xml:space="preserve"> The </w:t>
      </w:r>
      <w:r w:rsidR="002346CD">
        <w:t>mechanisms underlying this association remain</w:t>
      </w:r>
      <w:r w:rsidR="002346CD" w:rsidRPr="002346CD">
        <w:t xml:space="preserve"> unclear</w:t>
      </w:r>
      <w:r w:rsidR="009105FC">
        <w:t xml:space="preserve"> – one possibility is that patients with </w:t>
      </w:r>
      <w:r w:rsidR="001D1868">
        <w:t xml:space="preserve">anxiety/ depressive disorders and </w:t>
      </w:r>
      <w:r w:rsidR="009105FC">
        <w:t>SUD receive poorer treatment</w:t>
      </w:r>
      <w:r w:rsidR="002346CD" w:rsidRPr="002346CD">
        <w:t>.</w:t>
      </w:r>
      <w:r w:rsidR="007F2EA0">
        <w:t xml:space="preserve"> </w:t>
      </w:r>
      <w:r>
        <w:t xml:space="preserve">Concerns have been raised about the quality of inpatient care </w:t>
      </w:r>
      <w:r w:rsidR="00320EDF">
        <w:t xml:space="preserve">received by </w:t>
      </w:r>
      <w:r>
        <w:t xml:space="preserve">patients </w:t>
      </w:r>
      <w:r w:rsidR="007F2EA0">
        <w:t>with SUD</w:t>
      </w:r>
      <w:r>
        <w:t>.</w:t>
      </w:r>
    </w:p>
    <w:p w14:paraId="3D073EBB" w14:textId="77777777" w:rsidR="00877A5D" w:rsidRDefault="00877A5D" w:rsidP="00877A5D"/>
    <w:p w14:paraId="0C62D355" w14:textId="2B51E4F0" w:rsidR="00877A5D" w:rsidRDefault="00877A5D" w:rsidP="00877A5D">
      <w:r w:rsidRPr="008755C8">
        <w:rPr>
          <w:b/>
        </w:rPr>
        <w:t>OBJECTIVES</w:t>
      </w:r>
      <w:r>
        <w:t xml:space="preserve">: </w:t>
      </w:r>
      <w:r w:rsidR="00E379F0">
        <w:t xml:space="preserve">To examine the quality of care received by inpatients with an anxiety or depressive disorder, comparing sub-groups with or without a comorbid </w:t>
      </w:r>
      <w:r w:rsidR="00E1775E">
        <w:t>SUD</w:t>
      </w:r>
      <w:r w:rsidR="00E379F0">
        <w:t>.</w:t>
      </w:r>
    </w:p>
    <w:p w14:paraId="2D4292AE" w14:textId="77777777" w:rsidR="00E379F0" w:rsidRDefault="00E379F0" w:rsidP="00877A5D"/>
    <w:p w14:paraId="46522A63" w14:textId="25E5F41A" w:rsidR="00877A5D" w:rsidRDefault="00877A5D" w:rsidP="00877A5D">
      <w:pPr>
        <w:rPr>
          <w:rFonts w:cstheme="minorHAnsi"/>
          <w:color w:val="000000"/>
          <w:shd w:val="clear" w:color="auto" w:fill="FFFFFF"/>
        </w:rPr>
      </w:pPr>
      <w:r w:rsidRPr="008755C8">
        <w:rPr>
          <w:b/>
        </w:rPr>
        <w:t>METHOD</w:t>
      </w:r>
      <w:r>
        <w:t xml:space="preserve">: </w:t>
      </w:r>
      <w:r w:rsidR="00B524CD">
        <w:t>Retrospective case-note review</w:t>
      </w:r>
      <w:r w:rsidR="00B524CD" w:rsidRPr="007556FA">
        <w:t xml:space="preserve"> of </w:t>
      </w:r>
      <w:r w:rsidR="00B524CD">
        <w:t xml:space="preserve">3795 patients admitted to inpatient psychiatric wards </w:t>
      </w:r>
      <w:r w:rsidR="00B524CD" w:rsidRPr="007556FA">
        <w:t>in England</w:t>
      </w:r>
      <w:r w:rsidRPr="007556FA">
        <w:t xml:space="preserve">. Data were </w:t>
      </w:r>
      <w:r w:rsidRPr="007556FA">
        <w:rPr>
          <w:rFonts w:cstheme="minorHAnsi"/>
        </w:rPr>
        <w:t xml:space="preserve">gathered </w:t>
      </w:r>
      <w:r>
        <w:rPr>
          <w:rFonts w:cstheme="minorHAnsi"/>
        </w:rPr>
        <w:t xml:space="preserve">on </w:t>
      </w:r>
      <w:r w:rsidRPr="007556FA">
        <w:rPr>
          <w:rFonts w:cstheme="minorHAnsi"/>
        </w:rPr>
        <w:t xml:space="preserve">all acute admissions with anxiety/ depressive illness </w:t>
      </w:r>
      <w:r>
        <w:rPr>
          <w:rFonts w:cstheme="minorHAnsi"/>
        </w:rPr>
        <w:t>over</w:t>
      </w:r>
      <w:r w:rsidRPr="007556FA">
        <w:rPr>
          <w:rFonts w:cstheme="minorHAnsi"/>
        </w:rPr>
        <w:t xml:space="preserve"> a </w:t>
      </w:r>
      <w:r w:rsidR="00320EDF">
        <w:rPr>
          <w:rFonts w:cstheme="minorHAnsi"/>
        </w:rPr>
        <w:t>six</w:t>
      </w:r>
      <w:r w:rsidR="00320EDF" w:rsidRPr="007556FA">
        <w:rPr>
          <w:rFonts w:cstheme="minorHAnsi"/>
        </w:rPr>
        <w:t xml:space="preserve"> </w:t>
      </w:r>
      <w:r w:rsidRPr="007556FA">
        <w:rPr>
          <w:rFonts w:cstheme="minorHAnsi"/>
        </w:rPr>
        <w:t>month period</w:t>
      </w:r>
      <w:r>
        <w:rPr>
          <w:rFonts w:cstheme="minorHAnsi"/>
        </w:rPr>
        <w:t>,</w:t>
      </w:r>
      <w:r w:rsidRPr="007556FA">
        <w:rPr>
          <w:rFonts w:cstheme="minorHAnsi"/>
        </w:rPr>
        <w:t xml:space="preserve"> </w:t>
      </w:r>
      <w:r>
        <w:rPr>
          <w:rFonts w:cstheme="minorHAnsi"/>
        </w:rPr>
        <w:t xml:space="preserve">for </w:t>
      </w:r>
      <w:proofErr w:type="gramStart"/>
      <w:r>
        <w:rPr>
          <w:rFonts w:cstheme="minorHAnsi"/>
        </w:rPr>
        <w:t>a number of</w:t>
      </w:r>
      <w:proofErr w:type="gramEnd"/>
      <w:r>
        <w:rPr>
          <w:rFonts w:cstheme="minorHAnsi"/>
        </w:rPr>
        <w:t xml:space="preserve"> measures of quality of care </w:t>
      </w:r>
      <w:r>
        <w:rPr>
          <w:rFonts w:cstheme="minorHAnsi"/>
          <w:color w:val="000000"/>
          <w:shd w:val="clear" w:color="auto" w:fill="FFFFFF"/>
        </w:rPr>
        <w:t xml:space="preserve">derived from national standards. Association of </w:t>
      </w:r>
      <w:r w:rsidR="00EE3B2E">
        <w:rPr>
          <w:rFonts w:cstheme="minorHAnsi"/>
          <w:color w:val="000000"/>
          <w:shd w:val="clear" w:color="auto" w:fill="FFFFFF"/>
        </w:rPr>
        <w:t xml:space="preserve">co-existing </w:t>
      </w:r>
      <w:r w:rsidR="00E1775E">
        <w:rPr>
          <w:rFonts w:cstheme="minorHAnsi"/>
          <w:color w:val="000000"/>
          <w:shd w:val="clear" w:color="auto" w:fill="FFFFFF"/>
        </w:rPr>
        <w:t>SUD</w:t>
      </w:r>
      <w:r>
        <w:rPr>
          <w:rFonts w:cstheme="minorHAnsi"/>
          <w:color w:val="000000"/>
          <w:shd w:val="clear" w:color="auto" w:fill="FFFFFF"/>
        </w:rPr>
        <w:t xml:space="preserve"> with </w:t>
      </w:r>
      <w:r w:rsidR="00391B62">
        <w:rPr>
          <w:rFonts w:cstheme="minorHAnsi"/>
          <w:color w:val="000000"/>
          <w:shd w:val="clear" w:color="auto" w:fill="FFFFFF"/>
        </w:rPr>
        <w:t xml:space="preserve">a variety of </w:t>
      </w:r>
      <w:r>
        <w:rPr>
          <w:rFonts w:cstheme="minorHAnsi"/>
          <w:color w:val="000000"/>
          <w:shd w:val="clear" w:color="auto" w:fill="FFFFFF"/>
        </w:rPr>
        <w:t xml:space="preserve">quality of care </w:t>
      </w:r>
      <w:r w:rsidR="00391B62">
        <w:rPr>
          <w:rFonts w:cstheme="minorHAnsi"/>
          <w:color w:val="000000"/>
          <w:shd w:val="clear" w:color="auto" w:fill="FFFFFF"/>
        </w:rPr>
        <w:t xml:space="preserve">outcomes </w:t>
      </w:r>
      <w:r w:rsidR="00F358EF">
        <w:rPr>
          <w:rFonts w:cstheme="minorHAnsi"/>
          <w:color w:val="000000"/>
          <w:shd w:val="clear" w:color="auto" w:fill="FFFFFF"/>
        </w:rPr>
        <w:t xml:space="preserve">(relating </w:t>
      </w:r>
      <w:r w:rsidR="00AF3DA9">
        <w:rPr>
          <w:rFonts w:cstheme="minorHAnsi"/>
          <w:color w:val="000000"/>
          <w:shd w:val="clear" w:color="auto" w:fill="FFFFFF"/>
        </w:rPr>
        <w:t>to</w:t>
      </w:r>
      <w:r w:rsidR="00AF3DA9" w:rsidRPr="00AF3DA9">
        <w:rPr>
          <w:rFonts w:cstheme="minorHAnsi"/>
          <w:color w:val="000000"/>
          <w:shd w:val="clear" w:color="auto" w:fill="FFFFFF"/>
        </w:rPr>
        <w:t xml:space="preserve"> assessment, care planning, medication</w:t>
      </w:r>
      <w:r w:rsidR="00AF3DA9">
        <w:rPr>
          <w:rFonts w:cstheme="minorHAnsi"/>
          <w:color w:val="000000"/>
          <w:shd w:val="clear" w:color="auto" w:fill="FFFFFF"/>
        </w:rPr>
        <w:t xml:space="preserve"> management</w:t>
      </w:r>
      <w:r w:rsidR="00AF3DA9" w:rsidRPr="00AF3DA9">
        <w:rPr>
          <w:rFonts w:cstheme="minorHAnsi"/>
          <w:color w:val="000000"/>
          <w:shd w:val="clear" w:color="auto" w:fill="FFFFFF"/>
        </w:rPr>
        <w:t>, psychological therapies, discharge, crisis planning and follow-up</w:t>
      </w:r>
      <w:r w:rsidR="00F358EF">
        <w:rPr>
          <w:rFonts w:cstheme="minorHAnsi"/>
          <w:color w:val="000000"/>
          <w:shd w:val="clear" w:color="auto" w:fill="FFFFFF"/>
        </w:rPr>
        <w:t xml:space="preserve">) </w:t>
      </w:r>
      <w:r>
        <w:rPr>
          <w:rFonts w:cstheme="minorHAnsi"/>
          <w:color w:val="000000"/>
          <w:shd w:val="clear" w:color="auto" w:fill="FFFFFF"/>
        </w:rPr>
        <w:t xml:space="preserve">was investigated using multivariable regression analyses.  </w:t>
      </w:r>
    </w:p>
    <w:p w14:paraId="5930EEE1" w14:textId="77777777" w:rsidR="00877A5D" w:rsidRPr="007556FA" w:rsidRDefault="00877A5D" w:rsidP="00877A5D">
      <w:pPr>
        <w:rPr>
          <w:rFonts w:cstheme="minorHAnsi"/>
        </w:rPr>
      </w:pPr>
    </w:p>
    <w:p w14:paraId="740EDEC0" w14:textId="24EC5EB7" w:rsidR="001D62AF" w:rsidRDefault="00877A5D" w:rsidP="001D62AF">
      <w:r w:rsidRPr="008755C8">
        <w:rPr>
          <w:b/>
        </w:rPr>
        <w:t>RESULTS</w:t>
      </w:r>
      <w:r>
        <w:t xml:space="preserve">: </w:t>
      </w:r>
      <w:r w:rsidR="00F949B9">
        <w:t>543</w:t>
      </w:r>
      <w:r>
        <w:t xml:space="preserve"> (</w:t>
      </w:r>
      <w:r w:rsidR="00F949B9">
        <w:t>14</w:t>
      </w:r>
      <w:r w:rsidR="00052A9C">
        <w:t>.</w:t>
      </w:r>
      <w:r w:rsidR="00F949B9">
        <w:t>3</w:t>
      </w:r>
      <w:r>
        <w:t xml:space="preserve">%) patients </w:t>
      </w:r>
      <w:r w:rsidR="00052A9C">
        <w:t xml:space="preserve">in the study had a </w:t>
      </w:r>
      <w:r w:rsidR="003B1383">
        <w:t>secondary</w:t>
      </w:r>
      <w:r w:rsidR="00052A9C">
        <w:t xml:space="preserve"> diagnosis of </w:t>
      </w:r>
      <w:r w:rsidR="00F949B9">
        <w:t xml:space="preserve">a </w:t>
      </w:r>
      <w:r w:rsidR="00320EDF">
        <w:t>SUD</w:t>
      </w:r>
      <w:r w:rsidR="003B3FCD">
        <w:t xml:space="preserve">. </w:t>
      </w:r>
      <w:r w:rsidR="001D62AF">
        <w:t>Patients with SUD were less likely to have had care plans that were developed jointly, i</w:t>
      </w:r>
      <w:r w:rsidR="00320EDF">
        <w:t>.</w:t>
      </w:r>
      <w:r w:rsidR="001D62AF">
        <w:t>e</w:t>
      </w:r>
      <w:r w:rsidR="00320EDF">
        <w:t>.</w:t>
      </w:r>
      <w:r w:rsidR="001D62AF">
        <w:t xml:space="preserve"> with input from </w:t>
      </w:r>
      <w:r w:rsidR="00320EDF">
        <w:t xml:space="preserve">both </w:t>
      </w:r>
      <w:r w:rsidR="001D62AF">
        <w:t>patient and clinician (OR = 0.76, 95% CI 0.55 to 0.93, P=0.034)</w:t>
      </w:r>
      <w:r w:rsidR="00320EDF">
        <w:t>,</w:t>
      </w:r>
      <w:r w:rsidR="001D62AF">
        <w:t xml:space="preserve"> and less likely to have had their medication reviewed either during the admission (OR = 0.83, 95% CI 0.69 to 0.94, P=0.030) or at follow-up </w:t>
      </w:r>
      <w:r w:rsidR="00320EDF">
        <w:t xml:space="preserve"> after </w:t>
      </w:r>
      <w:r w:rsidR="001D62AF">
        <w:t>discharge (OR = 0.58, 95% CI 0.39 to 0.86, P=0.007). Carers of patients with SUD were less likely to have been provided with information about available support services (OR = 0.79, 95% CI 0.57 to 0.98, P=0.047). Patients with SUD were less likely to have received adequate (</w:t>
      </w:r>
      <w:r w:rsidR="00112852">
        <w:t xml:space="preserve">at least </w:t>
      </w:r>
      <w:r w:rsidR="001D62AF">
        <w:t>24 hours) notice in advance of their discharge (OR = 0.72, 95% CI 0.54 to 0.96, P=0.033), as were their carers (OR = 0.63, 95% CI 0.41 to 0.85, P=0.007). They were less likely to have a crisis plan in place at the point of discharge (OR = 0.85, 95% CI 0.74 to 0.98, P=0.044). There was also strong evidence that patients with SUD were less likely to have been referred for psychological therapy (OR = 0.69, 95% CI 0.55 to 0.87, P=0.002).</w:t>
      </w:r>
    </w:p>
    <w:p w14:paraId="21BF5BE2" w14:textId="77777777" w:rsidR="00877A5D" w:rsidRDefault="00877A5D" w:rsidP="00877A5D"/>
    <w:p w14:paraId="4534ACB7" w14:textId="5145F340" w:rsidR="00877A5D" w:rsidRDefault="00877A5D" w:rsidP="00877A5D">
      <w:pPr>
        <w:rPr>
          <w:rFonts w:cstheme="minorHAnsi"/>
          <w:color w:val="000000"/>
          <w:shd w:val="clear" w:color="auto" w:fill="FFFFFF"/>
        </w:rPr>
      </w:pPr>
      <w:r w:rsidRPr="008755C8">
        <w:rPr>
          <w:b/>
        </w:rPr>
        <w:t>CONCLUSION</w:t>
      </w:r>
      <w:r w:rsidR="004A4AB9">
        <w:rPr>
          <w:b/>
        </w:rPr>
        <w:t>S</w:t>
      </w:r>
      <w:r>
        <w:t xml:space="preserve">: We found evidence of </w:t>
      </w:r>
      <w:r w:rsidR="003B3FCD">
        <w:t>poor</w:t>
      </w:r>
      <w:r w:rsidR="00320EDF">
        <w:t>er</w:t>
      </w:r>
      <w:r w:rsidR="003B3FCD">
        <w:t xml:space="preserve"> quality of care</w:t>
      </w:r>
      <w:r>
        <w:t xml:space="preserve"> for </w:t>
      </w:r>
      <w:r w:rsidR="00320EDF">
        <w:t>in</w:t>
      </w:r>
      <w:r>
        <w:t>patients</w:t>
      </w:r>
      <w:r w:rsidR="003B3FCD">
        <w:t xml:space="preserve"> with </w:t>
      </w:r>
      <w:r w:rsidR="00320EDF">
        <w:t xml:space="preserve">anxiety and depressive disorders with comorbid </w:t>
      </w:r>
      <w:r w:rsidR="00E1775E">
        <w:t>SUD</w:t>
      </w:r>
      <w:r>
        <w:t xml:space="preserve">, highlighting the need for </w:t>
      </w:r>
      <w:r w:rsidR="00BC3D94">
        <w:t>more to be done to support th</w:t>
      </w:r>
      <w:r w:rsidR="00AC1EDF">
        <w:t>ese</w:t>
      </w:r>
      <w:r w:rsidR="00BC3D94">
        <w:t xml:space="preserve"> patient</w:t>
      </w:r>
      <w:r w:rsidR="00AC1EDF">
        <w:t>s</w:t>
      </w:r>
      <w:r>
        <w:t>.</w:t>
      </w:r>
      <w:r w:rsidR="00AC1EDF">
        <w:t xml:space="preserve"> Discrepancies in care quality may be contributing to the poor treatment outcomes experienced by patients with SUD, and strategies to reduce this inequality are necessary to improve the wellbeing of this substantial patient group. </w:t>
      </w:r>
    </w:p>
    <w:p w14:paraId="78E77473" w14:textId="626B4754" w:rsidR="00D77EC8" w:rsidRDefault="00D77EC8" w:rsidP="00185633">
      <w:pPr>
        <w:rPr>
          <w:rFonts w:cstheme="minorHAnsi"/>
        </w:rPr>
      </w:pPr>
    </w:p>
    <w:p w14:paraId="489C3C8E" w14:textId="29931CF4" w:rsidR="00D77EC8" w:rsidRDefault="00D77EC8" w:rsidP="00185633">
      <w:pPr>
        <w:rPr>
          <w:rFonts w:cstheme="minorHAnsi"/>
        </w:rPr>
      </w:pPr>
    </w:p>
    <w:p w14:paraId="0BCA97FB" w14:textId="76353BC4" w:rsidR="002248D7" w:rsidRDefault="002248D7" w:rsidP="00185633">
      <w:pPr>
        <w:rPr>
          <w:rFonts w:cstheme="minorHAnsi"/>
        </w:rPr>
      </w:pPr>
    </w:p>
    <w:p w14:paraId="4DF2EA61" w14:textId="7B165CE8" w:rsidR="00EC76FC" w:rsidRDefault="00EC76FC" w:rsidP="00185633">
      <w:pPr>
        <w:rPr>
          <w:rFonts w:cstheme="minorHAnsi"/>
        </w:rPr>
      </w:pPr>
    </w:p>
    <w:p w14:paraId="23F73009" w14:textId="52279C0A" w:rsidR="00EC76FC" w:rsidRPr="00EC76FC" w:rsidRDefault="00EC76FC" w:rsidP="00EC76FC">
      <w:pPr>
        <w:pStyle w:val="Heading2"/>
        <w:rPr>
          <w:b/>
          <w:bCs/>
          <w:color w:val="auto"/>
        </w:rPr>
      </w:pPr>
      <w:r w:rsidRPr="00EC76FC">
        <w:rPr>
          <w:b/>
          <w:bCs/>
          <w:color w:val="auto"/>
        </w:rPr>
        <w:lastRenderedPageBreak/>
        <w:t>KEYWORDS</w:t>
      </w:r>
    </w:p>
    <w:p w14:paraId="549A0206" w14:textId="365995E8" w:rsidR="00EC76FC" w:rsidRDefault="00EC76FC" w:rsidP="00185633">
      <w:pPr>
        <w:rPr>
          <w:rFonts w:cstheme="minorHAnsi"/>
        </w:rPr>
      </w:pPr>
    </w:p>
    <w:p w14:paraId="40876089" w14:textId="77777777" w:rsidR="00922CAC" w:rsidRDefault="00EC76FC" w:rsidP="00185633">
      <w:pPr>
        <w:rPr>
          <w:rFonts w:cstheme="minorHAnsi"/>
        </w:rPr>
      </w:pPr>
      <w:r>
        <w:rPr>
          <w:rFonts w:cstheme="minorHAnsi"/>
        </w:rPr>
        <w:t>Anxiety Disorders</w:t>
      </w:r>
    </w:p>
    <w:p w14:paraId="683533E2" w14:textId="77777777" w:rsidR="00922CAC" w:rsidRDefault="00EC76FC" w:rsidP="00185633">
      <w:pPr>
        <w:rPr>
          <w:rFonts w:cstheme="minorHAnsi"/>
        </w:rPr>
      </w:pPr>
      <w:r>
        <w:rPr>
          <w:rFonts w:cstheme="minorHAnsi"/>
        </w:rPr>
        <w:t>Depressive Disorders</w:t>
      </w:r>
    </w:p>
    <w:p w14:paraId="77AC19F9" w14:textId="77777777" w:rsidR="00922CAC" w:rsidRDefault="00EC76FC" w:rsidP="00185633">
      <w:pPr>
        <w:rPr>
          <w:rFonts w:cstheme="minorHAnsi"/>
        </w:rPr>
      </w:pPr>
      <w:r>
        <w:rPr>
          <w:rFonts w:cstheme="minorHAnsi"/>
        </w:rPr>
        <w:t>Comorbidity</w:t>
      </w:r>
    </w:p>
    <w:p w14:paraId="5B9C1E6F" w14:textId="77777777" w:rsidR="00922CAC" w:rsidRDefault="00EC76FC" w:rsidP="00185633">
      <w:pPr>
        <w:rPr>
          <w:rFonts w:cstheme="minorHAnsi"/>
        </w:rPr>
      </w:pPr>
      <w:r>
        <w:rPr>
          <w:rFonts w:cstheme="minorHAnsi"/>
        </w:rPr>
        <w:t>Inpatient Services</w:t>
      </w:r>
    </w:p>
    <w:p w14:paraId="25D8BD2D" w14:textId="1679D990" w:rsidR="00EC76FC" w:rsidRDefault="00EC76FC" w:rsidP="00185633">
      <w:pPr>
        <w:rPr>
          <w:rFonts w:cstheme="minorHAnsi"/>
        </w:rPr>
      </w:pPr>
      <w:r>
        <w:rPr>
          <w:rFonts w:cstheme="minorHAnsi"/>
        </w:rPr>
        <w:t>Quality of Care</w:t>
      </w:r>
    </w:p>
    <w:p w14:paraId="1A6D26E9" w14:textId="687A75A2" w:rsidR="00EC76FC" w:rsidRDefault="00EC76FC" w:rsidP="00185633">
      <w:pPr>
        <w:rPr>
          <w:rFonts w:cstheme="minorHAnsi"/>
        </w:rPr>
      </w:pPr>
    </w:p>
    <w:p w14:paraId="3CFFC282" w14:textId="3AD5DC54" w:rsidR="00EC76FC" w:rsidRDefault="00EC76FC" w:rsidP="00185633">
      <w:pPr>
        <w:rPr>
          <w:rFonts w:cstheme="minorHAnsi"/>
        </w:rPr>
      </w:pPr>
    </w:p>
    <w:p w14:paraId="397259F5" w14:textId="72F1E4DE" w:rsidR="00EC76FC" w:rsidRDefault="00EC76FC" w:rsidP="00185633">
      <w:pPr>
        <w:rPr>
          <w:rFonts w:cstheme="minorHAnsi"/>
        </w:rPr>
      </w:pPr>
    </w:p>
    <w:p w14:paraId="44E602D2" w14:textId="47071AF7" w:rsidR="00EC76FC" w:rsidRDefault="00EC76FC" w:rsidP="00185633">
      <w:pPr>
        <w:rPr>
          <w:rFonts w:cstheme="minorHAnsi"/>
        </w:rPr>
      </w:pPr>
    </w:p>
    <w:p w14:paraId="76A2460D" w14:textId="4A665623" w:rsidR="00EC76FC" w:rsidRDefault="00EC76FC" w:rsidP="00185633">
      <w:pPr>
        <w:rPr>
          <w:rFonts w:cstheme="minorHAnsi"/>
        </w:rPr>
      </w:pPr>
    </w:p>
    <w:p w14:paraId="53034877" w14:textId="3FFFEF92" w:rsidR="00EC76FC" w:rsidRDefault="00EC76FC" w:rsidP="00185633">
      <w:pPr>
        <w:rPr>
          <w:rFonts w:cstheme="minorHAnsi"/>
        </w:rPr>
      </w:pPr>
    </w:p>
    <w:p w14:paraId="589694EC" w14:textId="23DBF641" w:rsidR="00EC76FC" w:rsidRDefault="00EC76FC" w:rsidP="00185633">
      <w:pPr>
        <w:rPr>
          <w:rFonts w:cstheme="minorHAnsi"/>
        </w:rPr>
      </w:pPr>
    </w:p>
    <w:p w14:paraId="4882F142" w14:textId="626E3C0E" w:rsidR="00EC76FC" w:rsidRDefault="00EC76FC" w:rsidP="00185633">
      <w:pPr>
        <w:rPr>
          <w:rFonts w:cstheme="minorHAnsi"/>
        </w:rPr>
      </w:pPr>
    </w:p>
    <w:p w14:paraId="3A02BF13" w14:textId="16691B84" w:rsidR="00EC76FC" w:rsidRDefault="00EC76FC" w:rsidP="00185633">
      <w:pPr>
        <w:rPr>
          <w:rFonts w:cstheme="minorHAnsi"/>
        </w:rPr>
      </w:pPr>
    </w:p>
    <w:p w14:paraId="595141BC" w14:textId="1D53BEA3" w:rsidR="00EC76FC" w:rsidRDefault="00EC76FC" w:rsidP="00185633">
      <w:pPr>
        <w:rPr>
          <w:rFonts w:cstheme="minorHAnsi"/>
        </w:rPr>
      </w:pPr>
    </w:p>
    <w:p w14:paraId="30C537ED" w14:textId="18FF483B" w:rsidR="00EC76FC" w:rsidRDefault="00EC76FC" w:rsidP="00185633">
      <w:pPr>
        <w:rPr>
          <w:rFonts w:cstheme="minorHAnsi"/>
        </w:rPr>
      </w:pPr>
    </w:p>
    <w:p w14:paraId="1482BDB4" w14:textId="76B453B1" w:rsidR="00EC76FC" w:rsidRDefault="00EC76FC" w:rsidP="00185633">
      <w:pPr>
        <w:rPr>
          <w:rFonts w:cstheme="minorHAnsi"/>
        </w:rPr>
      </w:pPr>
    </w:p>
    <w:p w14:paraId="7EFB9B11" w14:textId="1578DF6D" w:rsidR="00EC76FC" w:rsidRDefault="00EC76FC" w:rsidP="00185633">
      <w:pPr>
        <w:rPr>
          <w:rFonts w:cstheme="minorHAnsi"/>
        </w:rPr>
      </w:pPr>
    </w:p>
    <w:p w14:paraId="59202300" w14:textId="40EB9F00" w:rsidR="00EC76FC" w:rsidRDefault="00EC76FC" w:rsidP="00185633">
      <w:pPr>
        <w:rPr>
          <w:rFonts w:cstheme="minorHAnsi"/>
        </w:rPr>
      </w:pPr>
    </w:p>
    <w:p w14:paraId="2A3FA156" w14:textId="661D2E04" w:rsidR="00EC76FC" w:rsidRDefault="00EC76FC" w:rsidP="00185633">
      <w:pPr>
        <w:rPr>
          <w:rFonts w:cstheme="minorHAnsi"/>
        </w:rPr>
      </w:pPr>
    </w:p>
    <w:p w14:paraId="087B3E20" w14:textId="7B0B0FF6" w:rsidR="00EC76FC" w:rsidRDefault="00EC76FC" w:rsidP="00185633">
      <w:pPr>
        <w:rPr>
          <w:rFonts w:cstheme="minorHAnsi"/>
        </w:rPr>
      </w:pPr>
    </w:p>
    <w:p w14:paraId="7270555D" w14:textId="5A87BA82" w:rsidR="00EC76FC" w:rsidRDefault="00EC76FC" w:rsidP="00185633">
      <w:pPr>
        <w:rPr>
          <w:rFonts w:cstheme="minorHAnsi"/>
        </w:rPr>
      </w:pPr>
    </w:p>
    <w:p w14:paraId="240AF275" w14:textId="53043530" w:rsidR="00EC76FC" w:rsidRDefault="00EC76FC" w:rsidP="00185633">
      <w:pPr>
        <w:rPr>
          <w:rFonts w:cstheme="minorHAnsi"/>
        </w:rPr>
      </w:pPr>
    </w:p>
    <w:p w14:paraId="1D0ACD3D" w14:textId="0F488036" w:rsidR="00EC76FC" w:rsidRDefault="00EC76FC" w:rsidP="00185633">
      <w:pPr>
        <w:rPr>
          <w:rFonts w:cstheme="minorHAnsi"/>
        </w:rPr>
      </w:pPr>
    </w:p>
    <w:p w14:paraId="6B6B6311" w14:textId="77777777" w:rsidR="00922CAC" w:rsidRDefault="00922CAC" w:rsidP="00185633">
      <w:pPr>
        <w:rPr>
          <w:rFonts w:cstheme="minorHAnsi"/>
        </w:rPr>
      </w:pPr>
    </w:p>
    <w:p w14:paraId="6C9B2ED0" w14:textId="185FC8BE" w:rsidR="00EC76FC" w:rsidRDefault="00EC76FC" w:rsidP="00185633">
      <w:pPr>
        <w:rPr>
          <w:rFonts w:cstheme="minorHAnsi"/>
        </w:rPr>
      </w:pPr>
    </w:p>
    <w:p w14:paraId="431D3231" w14:textId="69A9838E" w:rsidR="00EC76FC" w:rsidRDefault="00EC76FC" w:rsidP="00185633">
      <w:pPr>
        <w:rPr>
          <w:rFonts w:cstheme="minorHAnsi"/>
        </w:rPr>
      </w:pPr>
    </w:p>
    <w:p w14:paraId="2728CAC9" w14:textId="77777777" w:rsidR="001F1947" w:rsidRDefault="001F1947" w:rsidP="00185633">
      <w:pPr>
        <w:rPr>
          <w:rFonts w:cstheme="minorHAnsi"/>
        </w:rPr>
      </w:pPr>
    </w:p>
    <w:p w14:paraId="55A6D92F" w14:textId="77777777" w:rsidR="00206B0F" w:rsidRPr="00FB40AA" w:rsidRDefault="00206B0F" w:rsidP="004658B2">
      <w:pPr>
        <w:pStyle w:val="Heading2"/>
        <w:rPr>
          <w:b/>
          <w:bCs/>
          <w:color w:val="000000" w:themeColor="text1"/>
          <w:shd w:val="clear" w:color="auto" w:fill="FFFFFF"/>
        </w:rPr>
      </w:pPr>
      <w:r w:rsidRPr="00FB40AA">
        <w:rPr>
          <w:b/>
          <w:bCs/>
          <w:color w:val="000000" w:themeColor="text1"/>
          <w:shd w:val="clear" w:color="auto" w:fill="FFFFFF"/>
        </w:rPr>
        <w:lastRenderedPageBreak/>
        <w:t>INTRODUCTION</w:t>
      </w:r>
    </w:p>
    <w:p w14:paraId="4AF93659" w14:textId="77777777" w:rsidR="00206B0F" w:rsidRDefault="00206B0F" w:rsidP="00185633">
      <w:pPr>
        <w:rPr>
          <w:rFonts w:cstheme="minorHAnsi"/>
        </w:rPr>
      </w:pPr>
    </w:p>
    <w:p w14:paraId="516ADFB1" w14:textId="08BD571E" w:rsidR="00E36245" w:rsidRDefault="00E36245" w:rsidP="00E36245">
      <w:r>
        <w:t>Anxiety / stress-related disorders and unipolar depressive illness are among the leading causes of disability worldwide</w:t>
      </w:r>
      <w:r w:rsidR="00281D6E">
        <w:t xml:space="preserve"> </w:t>
      </w:r>
      <w:r w:rsidR="007728CD">
        <w:rPr>
          <w:rStyle w:val="FootnoteReference"/>
        </w:rPr>
        <w:fldChar w:fldCharType="begin" w:fldLock="1"/>
      </w:r>
      <w:r w:rsidR="007728CD">
        <w:instrText>ADDIN CSL_CITATION {"citationItems":[{"id":"ITEM-1","itemData":{"author":[{"dropping-particle":"","family":"World Health Organisation","given":"","non-dropping-particle":"","parse-names":false,"suffix":""}],"id":"ITEM-1","issued":{"date-parts":[["2017"]]},"title":"Depression and Other Common Mental Disorders: Global Health Estimates","type":"report"},"uris":["http://www.mendeley.com/documents/?uuid=03a25b8b-1f75-3783-ad99-0b26b59037d8"]}],"mendeley":{"formattedCitation":"(World Health Organisation, 2017)","plainTextFormattedCitation":"(World Health Organisation, 2017)","previouslyFormattedCitation":"(1)"},"properties":{"noteIndex":0},"schema":"https://github.com/citation-style-language/schema/raw/master/csl-citation.json"}</w:instrText>
      </w:r>
      <w:r w:rsidR="007728CD">
        <w:rPr>
          <w:rStyle w:val="FootnoteReference"/>
        </w:rPr>
        <w:fldChar w:fldCharType="separate"/>
      </w:r>
      <w:r w:rsidR="007728CD" w:rsidRPr="007728CD">
        <w:rPr>
          <w:noProof/>
        </w:rPr>
        <w:t>(World Health Organisation, 2017)</w:t>
      </w:r>
      <w:r w:rsidR="007728CD">
        <w:rPr>
          <w:rStyle w:val="FootnoteReference"/>
        </w:rPr>
        <w:fldChar w:fldCharType="end"/>
      </w:r>
      <w:r w:rsidR="001C7E5D">
        <w:t xml:space="preserve">. </w:t>
      </w:r>
      <w:r w:rsidR="00635A68">
        <w:rPr>
          <w:rFonts w:cstheme="minorHAnsi"/>
        </w:rPr>
        <w:t>The prevalence of depression and anxiety disorders are estimated at around 14% for adults in the UK</w:t>
      </w:r>
      <w:r w:rsidR="00BB55E9">
        <w:rPr>
          <w:rFonts w:cstheme="minorHAnsi"/>
        </w:rPr>
        <w:t xml:space="preserve"> </w:t>
      </w:r>
      <w:r w:rsidR="007728CD">
        <w:rPr>
          <w:rStyle w:val="FootnoteReference"/>
          <w:rFonts w:cstheme="minorHAnsi"/>
        </w:rPr>
        <w:fldChar w:fldCharType="begin" w:fldLock="1"/>
      </w:r>
      <w:r w:rsidR="007728CD">
        <w:rPr>
          <w:rFonts w:cstheme="minorHAnsi"/>
        </w:rPr>
        <w:instrText>ADDIN CSL_CITATION {"citationItems":[{"id":"ITEM-1","itemData":{"URL":"https://fingertips.phe.org.uk/search/anxiety#page/3/gid/1/pat/6/par/E12000004/ati/102/are/E06000015/iid/90647/age/168/sex/4","accessed":{"date-parts":[["2019","8","5"]]},"author":[{"dropping-particle":"","family":"Public Health England","given":"","non-dropping-particle":"","parse-names":false,"suffix":""}],"id":"ITEM-1","issued":{"date-parts":[["2016"]]},"title":"Public Health Profiles","type":"webpage"},"uris":["http://www.mendeley.com/documents/?uuid=f65ee8b8-7ead-3834-a61b-c6ed8b7ee8d6"]}],"mendeley":{"formattedCitation":"(Public Health England, 2016)","plainTextFormattedCitation":"(Public Health England, 2016)","previouslyFormattedCitation":"(2)"},"properties":{"noteIndex":0},"schema":"https://github.com/citation-style-language/schema/raw/master/csl-citation.json"}</w:instrText>
      </w:r>
      <w:r w:rsidR="007728CD">
        <w:rPr>
          <w:rStyle w:val="FootnoteReference"/>
          <w:rFonts w:cstheme="minorHAnsi"/>
        </w:rPr>
        <w:fldChar w:fldCharType="separate"/>
      </w:r>
      <w:r w:rsidR="007728CD" w:rsidRPr="007728CD">
        <w:rPr>
          <w:rFonts w:cstheme="minorHAnsi"/>
          <w:noProof/>
        </w:rPr>
        <w:t>(Public Health England, 2016)</w:t>
      </w:r>
      <w:r w:rsidR="007728CD">
        <w:rPr>
          <w:rStyle w:val="FootnoteReference"/>
          <w:rFonts w:cstheme="minorHAnsi"/>
        </w:rPr>
        <w:fldChar w:fldCharType="end"/>
      </w:r>
      <w:r w:rsidR="00BB55E9">
        <w:rPr>
          <w:rFonts w:cstheme="minorHAnsi"/>
        </w:rPr>
        <w:t>,</w:t>
      </w:r>
      <w:r w:rsidR="00635A68">
        <w:rPr>
          <w:rFonts w:cstheme="minorHAnsi"/>
        </w:rPr>
        <w:t xml:space="preserve"> with unipolar depression accounting for around 12% of admissions</w:t>
      </w:r>
      <w:r w:rsidR="00635A68" w:rsidRPr="00243745">
        <w:rPr>
          <w:rFonts w:cstheme="minorHAnsi"/>
        </w:rPr>
        <w:t xml:space="preserve"> </w:t>
      </w:r>
      <w:r w:rsidR="00635A68">
        <w:rPr>
          <w:rFonts w:cstheme="minorHAnsi"/>
        </w:rPr>
        <w:t>to psychiatric hospitals</w:t>
      </w:r>
      <w:r w:rsidR="00281D6E">
        <w:rPr>
          <w:rFonts w:cstheme="minorHAnsi"/>
        </w:rPr>
        <w:t xml:space="preserve"> </w:t>
      </w:r>
      <w:r w:rsidR="007728CD">
        <w:rPr>
          <w:rStyle w:val="FootnoteReference"/>
          <w:rFonts w:cstheme="minorHAnsi"/>
        </w:rPr>
        <w:fldChar w:fldCharType="begin" w:fldLock="1"/>
      </w:r>
      <w:r w:rsidR="007728CD">
        <w:rPr>
          <w:rFonts w:cstheme="minorHAnsi"/>
        </w:rPr>
        <w:instrText>ADDIN CSL_CITATION {"citationItems":[{"id":"ITEM-1","itemData":{"URL":"https://fingertips.phe.org.uk/search/depression#page/3/gid/1/pat/6/par/E12000004/ati/102/are/E06000015/iid/90578/age/1/sex/4","accessed":{"date-parts":[["2019","8","5"]]},"author":[{"dropping-particle":"","family":"Public Health England","given":"","non-dropping-particle":"","parse-names":false,"suffix":""}],"id":"ITEM-1","issued":{"date-parts":[["2017"]]},"title":"Public Health Profiles","type":"webpage"},"uris":["http://www.mendeley.com/documents/?uuid=e658c7ab-ad2e-3583-8576-8adccf8a6dd8"]}],"mendeley":{"formattedCitation":"(Public Health England, 2017)","plainTextFormattedCitation":"(Public Health England, 2017)","previouslyFormattedCitation":"(3)"},"properties":{"noteIndex":0},"schema":"https://github.com/citation-style-language/schema/raw/master/csl-citation.json"}</w:instrText>
      </w:r>
      <w:r w:rsidR="007728CD">
        <w:rPr>
          <w:rStyle w:val="FootnoteReference"/>
          <w:rFonts w:cstheme="minorHAnsi"/>
        </w:rPr>
        <w:fldChar w:fldCharType="separate"/>
      </w:r>
      <w:r w:rsidR="007728CD" w:rsidRPr="007728CD">
        <w:rPr>
          <w:rFonts w:cstheme="minorHAnsi"/>
          <w:noProof/>
        </w:rPr>
        <w:t>(Public Health England, 2017)</w:t>
      </w:r>
      <w:r w:rsidR="007728CD">
        <w:rPr>
          <w:rStyle w:val="FootnoteReference"/>
          <w:rFonts w:cstheme="minorHAnsi"/>
        </w:rPr>
        <w:fldChar w:fldCharType="end"/>
      </w:r>
      <w:r w:rsidR="00281D6E">
        <w:rPr>
          <w:rFonts w:cstheme="minorHAnsi"/>
        </w:rPr>
        <w:t>.</w:t>
      </w:r>
      <w:r w:rsidR="00635A68">
        <w:rPr>
          <w:rFonts w:cstheme="minorHAnsi"/>
        </w:rPr>
        <w:t xml:space="preserve"> </w:t>
      </w:r>
      <w:r w:rsidR="00D04EAA">
        <w:t>S</w:t>
      </w:r>
      <w:r>
        <w:t xml:space="preserve">ubstance use disorders (SUDs) are </w:t>
      </w:r>
      <w:r w:rsidR="007A7828">
        <w:t>frequently</w:t>
      </w:r>
      <w:r>
        <w:t xml:space="preserve"> comorbid with these conditions</w:t>
      </w:r>
      <w:r w:rsidR="00281D6E">
        <w:t xml:space="preserve"> </w:t>
      </w:r>
      <w:r w:rsidR="007728CD">
        <w:rPr>
          <w:rStyle w:val="FootnoteReference"/>
        </w:rPr>
        <w:fldChar w:fldCharType="begin" w:fldLock="1"/>
      </w:r>
      <w:r w:rsidR="007728CD">
        <w:instrText xml:space="preserve">ADDIN CSL_CITATION {"citationItems":[{"id":"ITEM-1","itemData":{"DOI":"10.1080/09595230600944461","ISSN":"0959-5236","PMID":"17132571","abstract":"This paper reviews some major epidemiological studies undertaken in high-income countries during the last 15 years which have reported the prevalence of mental disorders and substance use disorders and their relationship. Comorbidity between mental and substance use disorders is highly prevalent across countries. In general, people with a substance use disorder had higher comorbid rates of mental disorders than vice versa, and people with illicit drug disorders had the highest rates of comorbid mental disorders. There is a strong direct association between the magnitude of comorbidity and the severity of substance use disorders. While causal pathways differ across substances and disorders, there is evidence that alcohol is a </w:instrText>
      </w:r>
      <w:r w:rsidR="007728CD">
        <w:lastRenderedPageBreak/>
        <w:instrText xml:space="preserve">casual factor for depression, in some European countries up to 10% of male depression. Policies that reduce the use of substances are likely to reduce the prevalence of mental disorders. Treatment should be available in an integrated fashion for both mental and substance use disorders. There is a need to expand the evidence base on comorbidity, particularly in low-income countries.","author":[{"dropping-particle":"","family":"Jané-Llopis","given":"Eva","non-dropping-particle":"","parse-names":false,"suffix":""},{"dropping-particle":"","family":"Matytsina","given":"Irina","non-dropping-particle":"","parse-names":false,"suffix":""}],"container-title":"Drug and Alcohol Review","id":"ITEM-1","issue":"6","issued":{"date-parts":[["2006","11","1"]]},"page":"515-536","title":"Mental health and alcohol, drugs and tobacco: a review of the comorbidity between mental disorders and the use of alcohol, tobacco and illicit drugs","type":"article-journal","volume":"25"},"uris":["http://www.mendeley.com/documents/?uuid=e7799e5b-f5e8-3e84-ab2b-bd131951f0be"]},{"id":"ITEM-2","itemData":{"ISSN":"0899-3289","PMID":"8838629","abstract":"This study describes detailed patterns of comorbidity between Diagnostic and Statistical Manual of Mental Disorders (4th ed. [DSM-IV]; American Psychiatric Association, 1994) drug use disorders and major depression in the United States for 1992. Data were derived from the National Longitudinal Alcohol Epidemiologic Survey (NLAES), a national probability survey consisting of 42,862 respondents, 18 years old and older, residing in the contiguous United States. The sampling design included oversampling of Blacks and young adults (18-29 years old). Comorbidity rates and associations between DSM-IV drug use disorders (i.e., prescription drugs, sedatives, tranquilizers, amphetamines, cannabis, cocaine, and hallucinogens) and major depression were expressed as odds ratios with confidence intervals adjusted for the complex design characteristics of the NLAES. Comorbidity analyses were presented by gender, ethnicity, and age for past-year, prior-to-past-year, and lifetime diagnoses. The results showed that virtually all odds ratios were significantly greater than 1, demonstrating that comorbidity of a variety of drug use disorders and major depression is pervasive in the general population. Diagnostic and subgroup variations in comorbidity were noted. As expected, the association between drug dependence and major depression was greater than the association between abuse and major depression. The association between abuse and major depression was greater for women than men for prescription drugs, sedatives, tranquilizers, and amphetamines, but not for cocaine or hallucinogens. Men generally demonstrated stronger relations between drug dependence and major depression. Implications of the results are discussed in terms of professional help seeking, the self-medication hypothesis, and differential social-control theory.","author":[{"dropping-particle":"","family":"Grant","given":"B F","non-dropping-particle":"","parse-names":false,"suffix":""}],"container-title":"Journal of substance abuse","id":"ITEM-2","issue":"4","issued":{"date-parts":[["1995"]]},"page":"481-97","title":"Comorbidity between DSM-IV drug use disorders and major depression: results of a national survey of adults.","type":"article-journal","volume":"7"},"uris":["http://www.mendeley.com/documents/?uuid=656ba8ca-2a17-3ad7-ae2a-07300949cf19"]},{"id":"ITEM-3","itemData":{"DOI":"10.1017/S0033291719001788","ISSN":"0033-2917","PMID":"31328718","abstract":"BACKGROUND Causes of the comorbidity of substance misuse with anxiety-related and depressive disorders (anxiety/depression) remain poorly known. We estimated associations of substance misuse and anxiety/depression in the general population and tested them while accounting for genetic and shared environmental factors. METHODS We studied individuals born in Sweden 1968-1997 (n = 2 996 398) with follow-up in nationwide register data for 1997-2013. To account for familial effects, stratified analyses were conducted within siblings and twin pairs. Substance misuse was defined as ICD-10 alcohol or drug use disorder or an alcohol/drug-related criminal conviction. Three dimensions of ICD-10 anxiety and depressive disorders and a </w:instrText>
      </w:r>
      <w:r w:rsidR="007728CD">
        <w:lastRenderedPageBreak/>
        <w:instrText xml:space="preserve">substance misuse dimension were identified through exploratory factor analysis. RESULTS Substance misuse was associated with a 4.5-fold (95% CI 4.50-4.58) elevated risk of lifetime generalized anxiety/depression, 4.7-fold (95% CI 4.63-4.82) elevated risk of panic disorder and agora/social phobia, and 2.9-fold elevated risk of phobias/OCD (95% CI 2.82-3.02) as compared to those without substance misuse. The associations were attenuated in within-family analyses but we found elevated risks in monozygotic twin pairs discordant for substance misuse as well as significant non-shared environmental correlations. The association between anxiety/depression and substance misuse was mainly driven by generalized anxiety/depression, whereas other anxiety/depression dimensions had minor or no independent associations with substance misuse. CONCLUSIONS Substance misuse and anxiety/depression are associated at the population level, and these associations are partially explained by familial liabilities. Our findings indicate a common genetic etiology but are also compatible with a potential partially causal relationship between substance misuse and anxiety/depression.","author":[{"dropping-particle":"","family":"Virtanen","given":"Suvi","non-dropping-particle":"","parse-names":false,"suffix":""},{"dropping-particle":"","family":"Kuja-Halkola","given":"Ralf","non-dropping-particle":"","parse-names":false,"suffix":""},{"dropping-particle":"","family":"Mataix-Cols","given":"David","non-dropping-particle":"","parse-names":false,"suffix":""},{"dropping-particle":"","family":"Jayaram-Lindström","given":"Nitya","non-dropping-particle":"","parse-names":false,"suffix":""},{"dropping-particle":"","family":"D'Onofrio","given":"Brian M.","non-dropping-particle":"","parse-names":false,"suffix":""},{"dropping-particle":"","family":"Larsson","given":"Henrik","non-dropping-particle":"","parse-names":false,"suffix":""},{"dropping-particle":"","family":"Rück","given":"Christian","non-dropping-particle":"","parse-names":false,"suffix":""},{"dropping-particle":"","family":"Suvisaari","given":"Jaana","non-dropping-particle":"","parse-names":false,"suffix":""},{"dropping-particle":"","family":"Lichtenstein","given":"Paul","non-dropping-particle":"","parse-names":false,"suffix":""},{"dropping-particle":"","family":"Latvala","given":"Antti","non-dropping-particle":"","parse-names":false,"suffix":""}],"container-title":"Psychological Medicine","id":"ITEM-3","issued":{"date-parts":[["2019","7","22"]]},"page":"1-10","title":"Comorbidity of substance misuse with anxiety-related and depressive disorders: a genetically informative population study of 3 million individuals in Sweden","type":"article-journal"},"uris":["http://www.mendeley.com/documents/?uuid=37067760-2397-31bc-a133-dd7915956e3a"]},{"id":"ITEM-4","itemData":{"DOI":"10.1001/archpsyc.62.6.593","ISSN":"0003-990X","PMID":"15939837","abstract":"CONTEXT Little is known about lifetime prevalence or age of onset of DSM-IV disorders. OBJECTIVE To estimate lifetime prevalence and age-of-onset distributions of DSM-IV disorders in the recently completed National Comorbidity Survey Replication. DESIGN AND SETTING Nationally representative face-to-face household survey conducted between February 2001 and April 2003 using the fully structured World Health Organization World Mental Health Survey version of the Composite International Diagnostic Interview. PARTICIPANTS Nine thousand two hundred eighty-two English-speaking respondents aged 18 years and older. MAIN OUTCOME MEASURES Lifetime DSM-IV anxiety, mood, impulse-control, and substance use disorders. RESULTS Lifetime prevalence estimates are as follows: anxiety disorders, 28.8%; mood disorders, 20.8%; impulse-control disorders, 24.8%; substance use disorders, 14.6%; any disorder, 46.4%. Median age of onset is much earlier for anxiety (11 years) and impulse-control (11 years) disorders than for substance use (20 years) and mood (30 years) disorders. Half of all lifetime cases start by age 14 years and three fourths by age 24 years. Later onsets are mostly of comorbid conditions, with estimated lifetime risk of any disorder at age 75 years (50.8%) only slightly higher than observed lifetime prevalence (46.4%). Lifetime prevalence estimates are higher in recent cohorts than in earlier cohorts and have fairly stable intercohort differences across the life course that vary in </w:instrText>
      </w:r>
      <w:r w:rsidR="007728CD">
        <w:lastRenderedPageBreak/>
        <w:instrText>substantively plausible ways among sociodemographic subgroups. CONCLUSIONS About half of Americans will meet the criteria for a DSM-IV disorder sometime in their life, with first onset usually in childhood or adolescence. Interventions aimed at prevention or early treatment need to focus on youth.","author":[{"dropping-particle":"","family":"Kessler","given":"Ronald C.","non-dropping-particle":"","parse-names":false,"suffix":""},{"dropping-particle":"","family":"Berglund","given":"Patricia","non-dropping-particle":"","parse-names":false,"suffix":""},{"dropping-particle":"","family":"Demler","given":"Olga","non-dropping-particle":"","parse-names":false,"suffix":""},{"dropping-particle":"","family":"Jin","given":"Robert","non-dropping-particle":"","parse-names":false,"suffix":""},{"dropping-particle":"","family":"Merikangas","given":"Kathleen R.","non-dropping-particle":"","parse-names":false,"suffix":""},{"dropping-particle":"","family":"Walters","given":"Ellen E.","non-dropping-particle":"","parse-names":false,"suffix":""}],"container-title":"Archives of General Psychiatry","id":"ITEM-4","issue":"6","issued":{"date-parts":[["2005","6","1"]]},"page":"593","title":"Lifetime Prevalence and Age-of-Onset Distributions of DSM-IV Disorders in the National Comorbidity Survey Replication","type":"article-journal","volume":"62"},"uris":["http://www.mendeley.com/documents/?uuid=affe0a7f-8fee-3b54-a7d1-2e2037812446"]},{"id":"ITEM-5","itemData":{"DOI":"10.1001/archpsyc.1997.01830160031005","ISSN":"0003990X","PMID":"9107147","abstract":"Objective: To study patterns of co-occurrence of lifetime DSM-III-R alcohol disorders in a household sample. Methods: Data came from the National Comorbidity Survey (NCS), a nationally representative household survey. Diagnoses were based on a modified version of the Composite International Diagnostic Interview. Results: Respondents with lifetime NCS/DSM-III-R alcohol abuse or dependence had a high probability of carrying at least 1 other lifetime NCS/DSM-III-R diagnosis. Retrospective reports have suggested that most lifetime co-occurring alcohol disorders begin at a later age than at least 1 other NCS/DSM-III-R disorder. Earlier disorders are generally stronger predictors of alcohol dependence than alcohol abuse and stronger among women than men. Lifetime co-occurrence is positively, but weakly, associated with the persistence of alcohol abuse among men and of alcohol dependence among both men and women. Conclusions: Caution is needed in interpreting the results due to the fact that diagnoses were made by non- clinicians and results are based on retrospective reports of the age at onset. Within the context of these limitations, though, these results show that alcohol abuse and dependence are often associated with other lifetime DSM-III-R disorders and suggest that, at least in recent cohorts, the alcohol use disorders are usually temporally secondary. Prospective data and data based on clinically confirmed diagnoses are needed to verify these findings.","author":[{"dropping-particle":"","family":"Kessler","given":"Ronald C.","non-dropping-particle":"","parse-names":false,"suffix":""},{"dropping-particle":"","family":"Crum","given":"Rosa M.","non-dropping-particle":"","parse-names":false,"suffix":""},{"dropping-particle":"","family":"Warner","given":"Lynn A.","non-dropping-particle":"","parse-names":false,"suffix":""},{"dropping-particle":"","family":"Nelson","given":"Christopher B.","non-dropping-particle":"","parse-names":false,"suffix":""},{"dropping-particle":"","family":"Schulenberg","given":"John","non-dropping-particle":"","parse-names":false,"suffix":""},{"dropping-particle":"","family":"Anthony","given":"James C.","non-dropping-particle":"","parse-names":false,"suffix":""}],"container-title":"Archives of General Psychiatry","id":"ITEM-5","issue":"4","issued":{"date-parts":[["1997"]]},"page":"313-321","publisher":"American Medical Association","title":"Lifetime co-occurrence of DSM-III-R alcohol abuse and dependence with other psychiatric disorders in the national comorbidity survey","type":"article-journal","volume":"54"},"uris":["http://www.mendeley.com/documents/?uuid=2e959c42-6173-</w:instrText>
      </w:r>
      <w:r w:rsidR="007728CD">
        <w:lastRenderedPageBreak/>
        <w:instrText>30ba-9cf4-8567964a6969"]}],"mendeley":{"formattedCitation":"(Grant, 1995; Jané-Llopis &amp; Matytsina, 2006; Kessler et al., 2005, 1997; Virtanen et al., 2019)","plainTextFormattedCitation":"(Grant, 1995; Jané-Llopis &amp; Matytsina, 2006; Kessler et al., 2005, 1997; Virtanen et al., 2019)","previouslyFormattedCitation":"(4–8)"},"properties":{"noteIndex":0},"schema":"https://github.com/citation-style-language/schema/raw/master/csl-citation.json"}</w:instrText>
      </w:r>
      <w:r w:rsidR="007728CD">
        <w:rPr>
          <w:rStyle w:val="FootnoteReference"/>
        </w:rPr>
        <w:fldChar w:fldCharType="separate"/>
      </w:r>
      <w:r w:rsidR="007728CD" w:rsidRPr="007728CD">
        <w:rPr>
          <w:bCs/>
          <w:noProof/>
          <w:lang w:val="en-US"/>
        </w:rPr>
        <w:t>(Grant, 1995; Jané-Llopis &amp; Matytsina, 2006; Kessler et al., 2005, 1997; Virtanen et al., 2019)</w:t>
      </w:r>
      <w:r w:rsidR="007728CD">
        <w:rPr>
          <w:rStyle w:val="FootnoteReference"/>
        </w:rPr>
        <w:fldChar w:fldCharType="end"/>
      </w:r>
      <w:r w:rsidR="00281D6E">
        <w:t>.</w:t>
      </w:r>
      <w:r>
        <w:t xml:space="preserve"> While the strength of associations vary due to the broad range of diagnoses encompassed by these categories, individuals </w:t>
      </w:r>
      <w:r w:rsidR="003C690A">
        <w:t xml:space="preserve">who misuse substances </w:t>
      </w:r>
      <w:r>
        <w:t xml:space="preserve"> are substantially more likely to suffer from depression or almost any form of anxiety/ stress-related disorder</w:t>
      </w:r>
      <w:r w:rsidR="00281D6E">
        <w:t xml:space="preserve"> </w:t>
      </w:r>
      <w:r w:rsidR="007728CD">
        <w:rPr>
          <w:rStyle w:val="FootnoteReference"/>
        </w:rPr>
        <w:fldChar w:fldCharType="begin" w:fldLock="1"/>
      </w:r>
      <w:r w:rsidR="007728CD">
        <w:instrText>ADDIN CSL_CITATION {"citationItems":[{"id":"ITEM-1","itemData":{"DOI":"10.1017/S0033291719001788","ISSN":"0033-2917","PMID":"31328718","abstract":"BACKGROUND Causes of the comorbidity of substance misuse with anxiety-related and depressive disorders (anxiety/depression) remain poorly known. We estimated associations of substance misuse and anxiety/depression in the general population and tested them while accounting for genetic and shared environmental factors. METHODS We studied individuals born in Sweden 1968-1997 (n = 2 996 398) with follow-up in nationwide register data for 1997-2013. To account for familial effects, stratified analyses were conducted within siblings and twin pairs. Substance misuse was defined as ICD-10 alcohol or drug use disorder or an alcohol/drug-related criminal conviction. Three dimensions of ICD-10 anxiety and depressive disorders and a substance misuse dimension were identified through exploratory factor analysis. RESULTS Substance misuse was associated with a 4.5-fold (95% CI 4.50-4.58) elevated risk of lifetime generalized anxiety/depression, 4.7-fold (95% CI 4.63-4.82) elevated risk of panic disorder and agora/social phobia, and 2.9-fold elevated risk of phobias/OCD (95% CI 2.82-3.02) as compared to those without substance misuse. The associations were attenuated in within-family analyses but we found elevated risks in monozygotic twin pairs discordant for substance misuse as well as significant non-shared environmental correlations. The association between anxiety/depression and substance misuse was mainly driven by generalized anxiety/depression, whereas other anxiety/depression dimensions had minor or no independent associations with substance misuse. CONCLUSIONS Substance misuse and anxiety/depression are associated at the population level, and these associations are partially explained by familial liabilities. Our findings indicate a common genetic etiology but are also compatible with a potential partially causal relationship between substance misuse and anxiety/depression.","author":[{"dropping-particle":"","family":"Virtanen","given":"Suvi","non-dropping-particle":"","parse-names":false,"suffix":""},{"dropping-particle":"","family":"Kuja-Halkola","given":"Ralf","non-dropping-particle":"","parse-names":false,"suffix":""},{"dropping-particle":"","family":"Mataix-Cols","given":"David","non-dropping-particle":"","parse-names":false,"suffix":""},{"dropping-particle":"","family":"Jayaram-Lindström","given":"Nitya","non-dropping-particle":"","parse-names":false,"suffix":""},{"dropping-particle":"","family":"D'Onofrio","given":"Brian M.","non-dropping-particle":"","parse-names":false,"suffix":""},{"dropping-particle":"","family":"Larsson","given":"Henrik","non-dropping-particle":"","parse-names":false,"suffix":""},{"dropping-particle":"","family":"Rück","given":"Christian","non-dropping-particle":"","parse-names":false,"suffix":""},{"dropping-particle":"","family":"Suvisaari","given":"Jaana","non-dropping-particle":"","parse-names":false,"suffix":""},{"dropping-particle":"","family":"Lichtenstein","given":"Paul","non-dropping-particle":"","parse-names":false,"suffix":""},{"dropping-particle":"","family":"Latvala","given":"Antti","non-dropping-particle":"","parse-names":false,"suffix":""}],"container-title":"Psychological Medicine","id":"ITEM-1","issued":{"date-parts":[["2019","7","22"]]},"page":"1-10","title":"Comorbidity of substance misuse with anxiety-related and depressive disorders: a genetically informative population study of 3 million individuals in Sweden","type":"article-</w:instrText>
      </w:r>
      <w:r w:rsidR="007728CD">
        <w:lastRenderedPageBreak/>
        <w:instrText>journal"},"uris":["http://www.mendeley.com/documents/?uuid=37067760-2397-31bc-a133-dd7915956e3a"]}],"mendeley":{"formattedCitation":"(Virtanen et al., 2019)","plainTextFormattedCitation":"(Virtanen et al., 2019)","previouslyFormattedCitation":"(6)"},"properties":{"noteIndex":0},"schema":"https://github.com/citation-style-language/schema/raw/master/csl-citation.json"}</w:instrText>
      </w:r>
      <w:r w:rsidR="007728CD">
        <w:rPr>
          <w:rStyle w:val="FootnoteReference"/>
        </w:rPr>
        <w:fldChar w:fldCharType="separate"/>
      </w:r>
      <w:r w:rsidR="007728CD" w:rsidRPr="007728CD">
        <w:rPr>
          <w:noProof/>
        </w:rPr>
        <w:t>(Virtanen et al., 2019)</w:t>
      </w:r>
      <w:r w:rsidR="007728CD">
        <w:rPr>
          <w:rStyle w:val="FootnoteReference"/>
        </w:rPr>
        <w:fldChar w:fldCharType="end"/>
      </w:r>
      <w:r w:rsidR="00281D6E">
        <w:t>.</w:t>
      </w:r>
    </w:p>
    <w:p w14:paraId="0C146DDC" w14:textId="78C89AF8" w:rsidR="00E36245" w:rsidRDefault="00E36245" w:rsidP="00E36245">
      <w:r>
        <w:t xml:space="preserve">Substance </w:t>
      </w:r>
      <w:r w:rsidR="004059E7">
        <w:t>use</w:t>
      </w:r>
      <w:r>
        <w:t xml:space="preserve"> is a well-known poor prognostic indicator when </w:t>
      </w:r>
      <w:r w:rsidR="00F65025">
        <w:t xml:space="preserve">associated with </w:t>
      </w:r>
      <w:r>
        <w:t xml:space="preserve">anxiety disorders </w:t>
      </w:r>
      <w:r w:rsidR="00F65025">
        <w:t>or</w:t>
      </w:r>
      <w:r>
        <w:t xml:space="preserve"> depression. Not only are SUDs associated with </w:t>
      </w:r>
      <w:r w:rsidR="00655D33">
        <w:t xml:space="preserve">negative </w:t>
      </w:r>
      <w:r w:rsidR="0015446E">
        <w:t xml:space="preserve">clinical </w:t>
      </w:r>
      <w:r w:rsidR="00655D33">
        <w:t>outcome</w:t>
      </w:r>
      <w:r>
        <w:t>s</w:t>
      </w:r>
      <w:r w:rsidR="00BB55E9">
        <w:t xml:space="preserve"> </w:t>
      </w:r>
      <w:r w:rsidR="007728CD">
        <w:rPr>
          <w:rStyle w:val="FootnoteReference"/>
        </w:rPr>
        <w:fldChar w:fldCharType="begin" w:fldLock="1"/>
      </w:r>
      <w:r w:rsidR="00294DB2">
        <w:instrText xml:space="preserve">ADDIN CSL_CITATION {"citationItems":[{"id":"ITEM-1","itemData":{"DOI":"10.1097/YCO.0000000000000468","ISSN":"1473-6578","PMID":"30480619","abstract":"PURPOSE OF REVIEW The present review complements previous reviews on prediction research in anxiety disorders with a focus on clinical, imaging and genetic as well as epigenetic factors and aims to provide recommendations for the design of future integrative studies in adults as well as children. RECENT FINDINGS Clinical factors predicting worse outcome such as a diagnosis of social anxiety disorder, comorbid depression and certain cognitive, behavioral and personality traits as well as low socioeconomic status were confirmed in large clinical studies. Imaging factors focusing on the fear and anxiety network were repeatedly described as predicting therapy response in small exploratory studies. The plethora of candidate gene studies has now been complemented by large genome-wide association studies and small epigenetic investigations with the need for replication in larger samples. SUMMARY The present status of research on predictors for therapy response in anxiety disorders, in particular on imaging and genetic factors, is still fragmentary. Some clinical factors for poorer outcome, though, have been consistently replicated and should be considered in the revision of therapy guidelines. There is a definite need for large integrative studies at the national and international level integrating multiple levels of biomarkers at different stages of development.","author":[{"dropping-particle":"","family":"Deckert","given":"Jürgen","non-dropping-particle":"","parse-names":false,"suffix":""},{"dropping-particle":"","family":"Erhardt","given":"Angelika","non-dropping-particle":"","parse-names":false,"suffix":""}],"container-title":"Current opinion in psychiatry","id":"ITEM-1","issue":"1","issued":{"date-parts":[["2019","1"]]},"page":"1-6","title":"Predicting treatment outcome for anxiety disorders with or without comorbid depression using clinical, imaging and (epi)genetic data.","type":"article-journal","volume":"32"},"uris":["http://www.mendeley.com/documents/?uuid=04a3e7f7-f470-3f1a-a396-cad838ab8eda"]},{"id":"ITEM-2","itemData":{"DOI":"10.1016/j.jad.2010.03.025","ISSN":"01650327","PMID":"20488546","abstract":"BACKGROUND One of five patients with an acute depressive episode develops chronic depression. Risk factors for a current depressive episode to become chronic are insufficiently known. This review was conducted to examine which factors represent a risk factor for the development of chronic depression for patients diagnosed with a depressive episode. METHOD Medline, Psycinfo, ISI Web of Science, CINHAL and BIOSIS Previews were searched up until September 2007, complemented by handsearching in the December 1987 to December 2007 issues of Journal of Affective Disorders and investigating reference lists of included articles and existing reviews. On the basis of a formal checklist, two investigators independently decided which studies to include or exclude. RESULTS 25 relevant primary studies with a total of 5192 participants were included in the systematic review. Overall the methodological quality of the included studies was found to be sufficient. Data synthesis was performed via vote counting. The following risk factors were identified: younger age at onset, longer duration of depressive episode, and family history of mood disorders. Psychological comorbidity i.e. anxiety disorders, personality disorders and substance abuse, low level of social integration, negative social interaction and lower severity of depressive symptoms repeatedly </w:instrText>
      </w:r>
      <w:r w:rsidR="00294DB2">
        <w:lastRenderedPageBreak/>
        <w:instrText xml:space="preserve">appeared concurrently with chronic depression. LIMITATIONS Most included studies were cross-sectional thus drawing causal conclusions with regard to risk factors proved to be difficult. CONCLUSION Risk factors for a current depressive episode to become chronic were identified. To date only few significant longitudinal studies on this topic are available.","author":[{"dropping-particle":"","family":"Hölzel","given":"Lars","non-dropping-particle":"","parse-names":false,"suffix":""},{"dropping-particle":"","family":"Härter","given":"Martin","non-dropping-particle":"","parse-names":false,"suffix":""},{"dropping-particle":"","family":"Reese","given":"Christina","non-dropping-particle":"","parse-names":false,"suffix":""},{"dropping-particle":"","family":"Kriston","given":"Levente","non-dropping-particle":"","parse-names":false,"suffix":""}],"container-title":"Journal of Affective Disorders","id":"ITEM-2","issue":"1-3","issued":{"date-parts":[["2011","3"]]},"page":"1-13","title":"Risk factors for chronic depression — A systematic review","type":"article-journal","volume":"129"},"uris":["http://www.mendeley.com/documents/?uuid=4cc51edd-fe74-3eca-b7e9-d10019e7f82d"]},{"id":"ITEM-3","itemData":{"DOI":"10.1016/j.amjmed.2005.01.007","ISSN":"00029343","abstract":"Major depression and alcohol problems are common in primary care, yet little is known about the prevalence of alcohol problems in patients with depression or alcohol's effect on depression outcomes. We strove to answer the following questions: How common are alcohol problems in patients with depression? Does alcohol affect the course of depression, response to antidepressant therapy, risk of suicide/death, social functioning and health care utilization? In which alcohol categories and treatment settings have patients with depression and alcohol problems been evaluated? English language studies from MEDLINE, PsychINFO, and Cochrane Controlled Trial Registry were reviewed. Studies were selected using predefined criteria if they reported on the prevalence or effects of alcohol problems in depression. Thirty-five studies met criteria and revealed a median prevalence of current or lifetime alcohol problems in depression of 16% (range 5-67%) and 30% (range 10-60%), respectively. This compares with 7% for current and 16-24% for lifetime alcohol problems in the general population. There is evidence that antidepressants improve depression outcomes in persons with alcohol dependence. Alcohol problems are associated with worse outcomes with respect to depression course, suicide/death risk, social functioning, and health care utilization. The majority of the studies, 34 of 35 (97%), evaluated alcohol abuse and dependence, and 25 of 35 (71%) were conducted in psychiatric inpatients. We conclude that alcohol problems are more common in depression than in the general population, are associated with adverse clinical and health care utilization outcomes, and that antidepressants can be effective in the presence of alcohol dependence. In addition, the literature focuses almost exclusively on patients with alcohol abuse or dependence in psychiatric inpatient settings, and excludes patients with less severe alcohol problems and primary care outpatient settings. © 2005 Elsevier Inc. All rights reserved.","author":[{"dropping-particle":"","family":"Sullivan","given":"Lynn E.","non-dropping-particle":"","parse-names":false,"suffix":""},{"dropping-particle":"","family":"Fiellin","given":"David A.","non-dropping-particle":"","parse-names":false,"suffix":""},{"dropping-particle":"","family":"O'Connor","given":"Patrick G.","non-dropping-particle":"","parse-names":false,"suffix":""}],"container-title":"American Journal of Medicine","id":"ITEM-3","issue":"4","issued":{"date-parts":[["2005"]]},"page":"330-341","publisher":"Elsevier Inc.","title":"The prevalence and impact of alcohol problems in major depression: A systematic review","type":"article","volume":"118"},"uris":["http://www.mendeley.com/documents/?uuid=91c48104-cfd1-3f12-9321-35f639da8f75"]}],"mendeley":{"formattedCitation":"(Deckert &amp; Erhardt, 2019; Hölzel, Härter, Reese, &amp; Kriston, 2011; Sullivan, Fiellin, &amp; O’Connor, 2005)","manualFormatting":"(Deckert &amp; Erhardt, 2019; Hölzel et al., 2011; Sullivan et al., 2005)","plainTextFormattedCitation":"(Deckert &amp; Erhardt, 2019; Hölzel, Härter, Reese, &amp; Kriston, </w:instrText>
      </w:r>
      <w:r w:rsidR="00294DB2">
        <w:lastRenderedPageBreak/>
        <w:instrText>2011; Sullivan, Fiellin, &amp; O’Connor, 2005)","previouslyFormattedCitation":"(9–11)"},"properties":{"noteIndex":0},"schema":"https://github.com/citation-style-language/schema/raw/master/csl-citation.json"}</w:instrText>
      </w:r>
      <w:r w:rsidR="007728CD">
        <w:rPr>
          <w:rStyle w:val="FootnoteReference"/>
        </w:rPr>
        <w:fldChar w:fldCharType="separate"/>
      </w:r>
      <w:r w:rsidR="007728CD" w:rsidRPr="007728CD">
        <w:rPr>
          <w:bCs/>
          <w:noProof/>
          <w:lang w:val="en-US"/>
        </w:rPr>
        <w:t>(Deckert &amp; Erhardt, 2019; Hölzel</w:t>
      </w:r>
      <w:r w:rsidR="00BB55E9">
        <w:rPr>
          <w:bCs/>
          <w:noProof/>
          <w:lang w:val="en-US"/>
        </w:rPr>
        <w:t xml:space="preserve"> et al.,</w:t>
      </w:r>
      <w:r w:rsidR="007728CD" w:rsidRPr="007728CD">
        <w:rPr>
          <w:bCs/>
          <w:noProof/>
          <w:lang w:val="en-US"/>
        </w:rPr>
        <w:t xml:space="preserve"> 2011; Sulliva</w:t>
      </w:r>
      <w:r w:rsidR="00BB55E9">
        <w:rPr>
          <w:bCs/>
          <w:noProof/>
          <w:lang w:val="en-US"/>
        </w:rPr>
        <w:t>n et al.,</w:t>
      </w:r>
      <w:r w:rsidR="007728CD" w:rsidRPr="007728CD">
        <w:rPr>
          <w:bCs/>
          <w:noProof/>
          <w:lang w:val="en-US"/>
        </w:rPr>
        <w:t xml:space="preserve"> 2005)</w:t>
      </w:r>
      <w:r w:rsidR="007728CD">
        <w:rPr>
          <w:rStyle w:val="FootnoteReference"/>
        </w:rPr>
        <w:fldChar w:fldCharType="end"/>
      </w:r>
      <w:r>
        <w:t xml:space="preserve"> but the challenges involved in treating patients with this comorbidity represent an additional cost to healthcare systems</w:t>
      </w:r>
      <w:r w:rsidR="00294DB2">
        <w:t xml:space="preserve"> </w:t>
      </w:r>
      <w:r w:rsidR="007728CD">
        <w:rPr>
          <w:rStyle w:val="FootnoteReference"/>
        </w:rPr>
        <w:fldChar w:fldCharType="begin" w:fldLock="1"/>
      </w:r>
      <w:r w:rsidR="007728CD">
        <w:instrText>ADDIN CSL_CITATION {"citationItems":[{"id":"ITEM-1","itemData":{"DOI":"10.1176/ps.50.10.1309","ISSN":"1075-2730","PMID":"10506299","abstract":"OBJECTIVE Data from a national sample of patients with a primary diagnosis of a substance use disorder were analyzed to examine whether having a comorbid psychiatric diagnosis-a dual diagnosis-was associated with increased costs of health services over a six-year period and whether dually diagnosed patients used particular types of services more frequently. METHODS A national sample of substance abuse patients being treated in Veterans Affairs (VA) facilities were classified into two groups-those with a dual diagnosis (N=3, 069) and those with a single diagnosis of a substance use disorder (N=9,538). The sample was identified from two sources during a two-week period in 1990: outpatients in specialty substance abuse clinics and inpatients discharged with a substance-related diagnosis. Administrative data were used to track VA health care utilization and costs between 1991 and 1996. RESULTS Dual diagnosis was associated with a significantly increased total cost of care over the six years, which was primarily explained by increased utilization of outpatient psychiatric and substance abuse services. Costs for both groups decreased over time, but they decreased faster among dually diagnosed patients. CONCLUSIONS Having a comorbid psychiatric diagnosis appears to consistently increase the cost and utilization of services among patients with a primary diagnosis of a substance use disorder. These results are consistent with previous findings for dually diagnosed patients with a primary psychiatric diagnosis. The increased cost may simply reflect the greater severity of illness among dually diagnosed patients, but it may also indicate fragmented and inefficient service delivery.","author":[{"dropping-particle":"","family":"Hoff","given":"Rani A.","non-dropping-particle":"","parse-names":false,"suffix":""},{"dropping-particle":"","family":"Rosenheck","given":"Robert A.","non-dropping-particle":"","parse-names":false,"suffix":""}],"container-title":"Psychiatric Services","id":"ITEM-1","issue":"10","issued":{"date-parts":[["1999","10"]]},"page":"1309-1315","title":"The Cost of Treating Substance Abuse Patients With and Without Comorbid Psychiatric Disorders","type":"article-journal","volume":"50"},"uris":["http://www.mendeley.com/documents/?uuid=9b59f238-b71a-3a03-bbd1-9feb70f86314"]}],"mendeley":{"formattedCitation":"(Hoff &amp; Rosenheck, 1999)","plainTextFormattedCitation":"(Hoff &amp; Rosenheck, 1999)","previouslyFormattedCitation":"(12)"},"properties":{"noteIndex":0},"schema":"https://github.com/citation-style-language/schema/raw/master/csl-citation.json"}</w:instrText>
      </w:r>
      <w:r w:rsidR="007728CD">
        <w:rPr>
          <w:rStyle w:val="FootnoteReference"/>
        </w:rPr>
        <w:fldChar w:fldCharType="separate"/>
      </w:r>
      <w:r w:rsidR="007728CD" w:rsidRPr="007728CD">
        <w:rPr>
          <w:bCs/>
          <w:noProof/>
          <w:lang w:val="en-US"/>
        </w:rPr>
        <w:t>(Hoff &amp; Rosenheck, 1999)</w:t>
      </w:r>
      <w:r w:rsidR="007728CD">
        <w:rPr>
          <w:rStyle w:val="FootnoteReference"/>
        </w:rPr>
        <w:fldChar w:fldCharType="end"/>
      </w:r>
      <w:r w:rsidR="00294DB2">
        <w:t>.</w:t>
      </w:r>
      <w:r>
        <w:t xml:space="preserve"> Depressed patients who </w:t>
      </w:r>
      <w:r w:rsidR="004059E7">
        <w:t>use</w:t>
      </w:r>
      <w:r>
        <w:t xml:space="preserve"> substances are substantially more likely to </w:t>
      </w:r>
      <w:r w:rsidR="0073478A">
        <w:t xml:space="preserve">die by </w:t>
      </w:r>
      <w:r>
        <w:t>suicide than those that do not</w:t>
      </w:r>
      <w:r w:rsidR="00294DB2">
        <w:t xml:space="preserve"> </w:t>
      </w:r>
      <w:r w:rsidR="007728CD">
        <w:rPr>
          <w:rStyle w:val="FootnoteReference"/>
        </w:rPr>
        <w:fldChar w:fldCharType="begin" w:fldLock="1"/>
      </w:r>
      <w:r w:rsidR="00294DB2">
        <w:instrText xml:space="preserve">ADDIN CSL_CITATION {"citationItems":[{"id":"ITEM-1","itemData":{"DOI":"10.1016/j.jad.2013.01.004","ISSN":"01650327","author":[{"dropping-particle":"","family":"Hawton","given":"Keith","non-dropping-particle":"","parse-names":false,"suffix":""},{"dropping-particle":"","family":"Casañas i Comabella","given":"Carolina","non-dropping-particle":"","parse-names":false,"suffix":""},{"dropping-particle":"","family":"Haw","given":"Camilla","non-dropping-particle":"","parse-names":false,"suffix":""},{"dropping-particle":"","family":"Saunders","given":"Kate","non-dropping-particle":"","parse-names":false,"suffix":""}],"container-title":"Journal of Affective Disorders","id":"ITEM-1","issue":"1-3","issued":{"date-parts":[["2013","5"]]},"page":"17-28","title":"Risk factors for suicide in individuals with depression: A systematic review","type":"article-journal","volume":"147"},"uris":["http://www.mendeley.com/documents/?uuid=270fbffa-2a58-3d4e-a8fe-56b5631eb4d9"]}],"mendeley":{"formattedCitation":"(Hawton, Casañas i Comabella, </w:instrText>
      </w:r>
      <w:r w:rsidR="00294DB2">
        <w:lastRenderedPageBreak/>
        <w:instrText>Haw, &amp; Saunders, 2013)","manualFormatting":"(Hawton et al., 2013)","plainTextFormattedCitation":"(Hawton, Casañas i Comabella, Haw, &amp; Saunders, 2013)","previouslyFormattedCitation":"(13)"},"properties":{"noteIndex":0},"schema":"https://github.com/citation-style-language/schema/raw/master/csl-citation.json"}</w:instrText>
      </w:r>
      <w:r w:rsidR="007728CD">
        <w:rPr>
          <w:rStyle w:val="FootnoteReference"/>
        </w:rPr>
        <w:fldChar w:fldCharType="separate"/>
      </w:r>
      <w:r w:rsidR="007728CD" w:rsidRPr="007728CD">
        <w:rPr>
          <w:bCs/>
          <w:noProof/>
          <w:lang w:val="en-US"/>
        </w:rPr>
        <w:t>(Hawton</w:t>
      </w:r>
      <w:r w:rsidR="00294DB2">
        <w:rPr>
          <w:bCs/>
          <w:noProof/>
          <w:lang w:val="en-US"/>
        </w:rPr>
        <w:t xml:space="preserve"> et al.,</w:t>
      </w:r>
      <w:r w:rsidR="007728CD" w:rsidRPr="007728CD">
        <w:rPr>
          <w:bCs/>
          <w:noProof/>
          <w:lang w:val="en-US"/>
        </w:rPr>
        <w:t xml:space="preserve"> 2013)</w:t>
      </w:r>
      <w:r w:rsidR="007728CD">
        <w:rPr>
          <w:rStyle w:val="FootnoteReference"/>
        </w:rPr>
        <w:fldChar w:fldCharType="end"/>
      </w:r>
      <w:r w:rsidR="00294DB2">
        <w:t>.</w:t>
      </w:r>
      <w:r>
        <w:t xml:space="preserve"> This association has been judged to be sufficiently significant to justify the inclusion of substance </w:t>
      </w:r>
      <w:r w:rsidR="004059E7">
        <w:t>use</w:t>
      </w:r>
      <w:r>
        <w:t xml:space="preserve"> as a </w:t>
      </w:r>
      <w:r w:rsidR="00320EDF">
        <w:t>‘</w:t>
      </w:r>
      <w:r>
        <w:t>red-flag</w:t>
      </w:r>
      <w:r w:rsidR="00320EDF">
        <w:t>’</w:t>
      </w:r>
      <w:r>
        <w:t xml:space="preserve"> indicator for completed suicide in a variety of psychiatric risk assessment tools</w:t>
      </w:r>
      <w:r w:rsidR="00294DB2">
        <w:t xml:space="preserve"> </w:t>
      </w:r>
      <w:r w:rsidR="007728CD">
        <w:rPr>
          <w:rStyle w:val="FootnoteReference"/>
        </w:rPr>
        <w:fldChar w:fldCharType="begin" w:fldLock="1"/>
      </w:r>
      <w:r w:rsidR="00294DB2">
        <w:instrText xml:space="preserve">ADDIN CSL_CITATION {"citationItems":[{"id":"ITEM-1","itemData":{"DOI":"10.1007/s10880-017-9486-y","ISSN":"1573-3572","PMID":"28251427","abstract":"Suicide is the tenth leading cause of death in the United States, accounting for more than 42,000 deaths in 2014. Although this tragedy cuts across groups defined by age, gender, race/ethnicity, and geographic location, it is striking that nearly four times as many males as females die by suicide in the U.S. We describe the current regulations and recommendations for suicide risk screening in healthcare systems and also describe the aspirational goal of \"Zero Suicide,\" put forth by the National Action Alliance for Suicide Prevention. We then provide information about suicide risk screening tools and steps to take when a patient screens positive for suicide risk. Given the substantially higher suicide rate among males than females, we argue that it is important to consider how we could optimize suicide risk screening strategies to identify males at risk and females at risk. Further research is needed to accomplish this goal. It is recommended that we consider multi-factorial suicide risk screens that incorporate risk factors known to be particularly important for males as well as computerized, adaptive screens that are tailored for the specific risk considerations of the individual patient, male or female. These strategies are not mutually exclusive. Finally, universal suicide risk screening in healthcare settings, especially primary care, specialty medical care, and emergency department settings, is recommended.","author":[{"dropping-particle":"","family":"King","given":"Cheryl A","non-dropping-particle":"","parse-names":false,"suffix":""},{"dropping-particle":"","family":"Horwitz","given":"Adam","non-dropping-particle":"","parse-names":false,"suffix":""},{"dropping-particle":"","family":"Czyz","given":"Ewa","non-dropping-particle":"","parse-names":false,"suffix":""},{"dropping-particle":"","family":"Lindsay","given":"Rebecca","non-dropping-particle":"","parse-names":false,"suffix":""}],"container-title":"Journal of clinical psychology in medical settings","id":"ITEM-1","issue":"1","issued":{"date-parts":[["2017","3"]]},"page":"8-20","publisher":"NIH Public Access","title":"Suicide Risk Screening in Healthcare Settings: Identifying Males and Females at Risk.","type":"article-journal","volume":"24"},"uris":["http://www.mendeley.com/documents/?uuid=3b148b8e-d8a3-359a-8650-025f57cdcf0a"]},{"id":"ITEM-2","itemData":{"DOI":"10.1371/journal.pone.0180292","ISSN":"1932-6203","PMID":"28723978","abstract":"BACKGROUND Instruments have been developed to facilitate suicide risk assessment. We aimed to evaluate the evidence for these instruments including assessment of risk of bias and diagnostic accuracy for suicide and suicide attempt. METHODS PubMed (NLM), PsycInfo, Embase, Cinahl and the Cochrane Library databases were searched until December 2014. We assessed risk of bias with QUADAS-2. The average sensitivity and specificity of each instrument was estimated and the certainty of the evidence was assessed with GRADE. We considered instruments with a sensitivity &gt; 80% and a specificity &gt; 50% to have sufficient diagnostic accuracy. RESULTS Thirty-five relevant studies were identified but 14 were considered to have high risk of bias, leaving 21 studies evaluating altogether 15 risk assessment instruments. We could carry out meta-analyses for five instruments. For the outcome suicide attempt SAD PERSONS Scale had a sensitivity of 15% (95% CI 8-24) and specificity of 97% (96-98), and the Manchester Self-Harm Rule (MSHR) a sensitivity of 97% (97-97) and a specificity of 20% (20-21). ReACT, which is a modification of MSHR, had a similar low specificity, as did the Sodersjukhuset Self Harm Rule. For the outcome </w:instrText>
      </w:r>
      <w:r w:rsidR="00294DB2">
        <w:lastRenderedPageBreak/>
        <w:instrText>suicide, the Beck Hopelessness Scale had a sensitivity of 89% (78-95) and specificity of 42% (40-43). CONCLUSIONS Most suicide risk assessment instruments were supported by too few studies to allow for evaluation of accuracy. Among those that could be evaluated, none fulfilled requirements for sufficient diagnostic accuracy.","author":[{"dropping-particle":"","family":"Runeson","given":"Bo","non-dropping-particle":"","parse-names":false,"suffix":""},{"dropping-particle":"","family":"Odeberg","given":"Jenny","non-dropping-particle":"","parse-names":false,"suffix":""},{"dropping-particle":"","family":"Pettersson","given":"Agneta","non-dropping-particle":"","parse-names":false,"suffix":""},{"dropping-particle":"","family":"Edbom","given":"Tobias","non-dropping-particle":"","parse-names":false,"suffix":""},{"dropping-particle":"","family":"Jildevik Adamsson","given":"Ingalill","non-dropping-particle":"","parse-names":false,"suffix":""},{"dropping-particle":"","family":"Waern","given":"Margda","non-dropping-particle":"","parse-names":false,"suffix":""}],"container-title":"PloS one","id":"ITEM-2","issue":"7","issued":{"date-parts":[["2017"]]},"page":"e0180292","publisher":"Public Library of Science","title":"Instruments for the assessment of suicide risk: A systematic review evaluating the certainty of the evidence.","type":"article-journal","volume":"12"},"uris":["http://www.mendeley.com/documents/?uuid=a53d7668-387d-3caf-900a-52d98ab6f6f4"]}],"mendeley":{"formattedCitation":"(King, Horwitz, Czyz, &amp; Lindsay, 2017; Runeson et al., 2017)","manualFormatting":"(King et al., 2017; Runeson et al., 2017)","plainTextFormattedCitation":"(King, Horwitz, Czyz, &amp; Lindsay, 2017; Runeson et al., 2017)","previouslyFormattedCitation":"(14,15)"},"properties":{"noteIndex":0},"schema":"https://github.com/citation-style-language/schema/raw/master/csl-citation.json"}</w:instrText>
      </w:r>
      <w:r w:rsidR="007728CD">
        <w:rPr>
          <w:rStyle w:val="FootnoteReference"/>
        </w:rPr>
        <w:fldChar w:fldCharType="separate"/>
      </w:r>
      <w:r w:rsidR="007728CD" w:rsidRPr="007728CD">
        <w:rPr>
          <w:bCs/>
          <w:noProof/>
          <w:lang w:val="en-US"/>
        </w:rPr>
        <w:t>(Kin</w:t>
      </w:r>
      <w:r w:rsidR="00294DB2">
        <w:rPr>
          <w:bCs/>
          <w:noProof/>
          <w:lang w:val="en-US"/>
        </w:rPr>
        <w:t>g et al.,</w:t>
      </w:r>
      <w:r w:rsidR="007728CD" w:rsidRPr="007728CD">
        <w:rPr>
          <w:bCs/>
          <w:noProof/>
          <w:lang w:val="en-US"/>
        </w:rPr>
        <w:t xml:space="preserve"> 2017; Runeson et al., 2017)</w:t>
      </w:r>
      <w:r w:rsidR="007728CD">
        <w:rPr>
          <w:rStyle w:val="FootnoteReference"/>
        </w:rPr>
        <w:fldChar w:fldCharType="end"/>
      </w:r>
      <w:r w:rsidR="00294DB2">
        <w:t>.</w:t>
      </w:r>
      <w:r>
        <w:t xml:space="preserve"> </w:t>
      </w:r>
    </w:p>
    <w:p w14:paraId="06C73B43" w14:textId="15FFF4E8" w:rsidR="00E36245" w:rsidRDefault="00E36245" w:rsidP="00E36245">
      <w:bookmarkStart w:id="2" w:name="_Hlk42694954"/>
      <w:r>
        <w:t xml:space="preserve">The </w:t>
      </w:r>
      <w:r w:rsidR="00320EDF">
        <w:t>factors</w:t>
      </w:r>
      <w:r>
        <w:t xml:space="preserve"> underlying the detrimental effect of SUDs on </w:t>
      </w:r>
      <w:r w:rsidR="0015446E">
        <w:t xml:space="preserve">clinical </w:t>
      </w:r>
      <w:r>
        <w:t xml:space="preserve">outcomes </w:t>
      </w:r>
      <w:r w:rsidR="00320EDF">
        <w:t xml:space="preserve">are </w:t>
      </w:r>
      <w:r>
        <w:t>unclear.</w:t>
      </w:r>
      <w:r w:rsidR="00B44F1B">
        <w:t xml:space="preserve"> The effects of comorbid SUD may differ not only between </w:t>
      </w:r>
      <w:r w:rsidR="00B44F1B" w:rsidRPr="00B44F1B">
        <w:t xml:space="preserve">anxiety vs depressive disorders, but </w:t>
      </w:r>
      <w:r w:rsidR="00B44F1B">
        <w:t>also between the</w:t>
      </w:r>
      <w:r w:rsidR="00B44F1B" w:rsidRPr="00B44F1B">
        <w:t xml:space="preserve"> various specific disorders within those categories</w:t>
      </w:r>
      <w:r w:rsidR="00B44F1B">
        <w:t>.</w:t>
      </w:r>
      <w:r>
        <w:t xml:space="preserve"> </w:t>
      </w:r>
      <w:bookmarkEnd w:id="2"/>
      <w:r>
        <w:t xml:space="preserve">Several mechanisms have been proposed, mostly relating to ‘patient factors’- such as </w:t>
      </w:r>
      <w:r w:rsidRPr="00492558">
        <w:t>reciprocal causal effects between SU</w:t>
      </w:r>
      <w:r>
        <w:t>D</w:t>
      </w:r>
      <w:r w:rsidRPr="00492558">
        <w:t xml:space="preserve"> and anxiety/depressio</w:t>
      </w:r>
      <w:r>
        <w:t>n</w:t>
      </w:r>
      <w:r w:rsidR="00AC512C">
        <w:t xml:space="preserve"> </w:t>
      </w:r>
      <w:r w:rsidR="007728CD">
        <w:rPr>
          <w:rStyle w:val="FootnoteReference"/>
        </w:rPr>
        <w:fldChar w:fldCharType="begin" w:fldLock="1"/>
      </w:r>
      <w:r w:rsidR="00AC512C">
        <w:instrText>ADDIN CSL_CITATION {"citationItems":[{"id":"ITEM-1","itemData":{"DOI":"10.1002/da.22771","ISSN":"10914269","PMID":"29999576","abstract":"BACKGROUND The comorbidity of mood and anxiety disorders (MD and AD) with substance use disorders (SUD) is common. One explanation for this comorbidity is the self-medication hypothesis, which posits that individuals with MD or AD use substances to cope with the difficult symptoms associated with the disorder. Over time, self-medication (SM) can develop into an independent SUD. This narrative review will present the prevalence and correlates of SM with alcohol and/or drugs for MD and AD and the relationship between SM and subsequent SUD using both cross-sectional and longitudinal epidemiological data. METHODS Scopus and PsycINFO were searched from January 1997 to April 2018 to identify original research articles that examined the prevalence and correlates of SM and the temporal relationship between MD/AD and SUD in the general population (n = 22). RESULTS The prevalence of SM with alcohol and/or drugs among those with MD or AD ranged from 21.9% to 24.1%. Male sex, younger age, being separated, divorced or widowed, and being Caucasian were characteristics associated with higher proportions of respondents endorsing SM with alcohol/drugs for MD and AD. Longitudinal data supports the temporal onset of primary MD/AD and secondary SUD among those who self-report SM. CONCLUSION Providing and promoting alternate coping strategies for those with MD/AD may reduce SM, the development of SUD, and the comorbidity of MD/AD with SUD. The concurrent treatment of MD/AD and substance use is the current \"gold standard\" model of care, and the results of this review support its use.","author":[{"dropping-particle":"","family":"Turner","given":"Sarah","non-dropping-particle":"","parse-names":false,"suffix":""},{"dropping-</w:instrText>
      </w:r>
      <w:r w:rsidR="00AC512C">
        <w:lastRenderedPageBreak/>
        <w:instrText>particle":"","family":"Mota","given":"Natalie","non-dropping-particle":"","parse-names":false,"suffix":""},{"dropping-particle":"","family":"Bolton","given":"James","non-dropping-particle":"","parse-names":false,"suffix":""},{"dropping-particle":"","family":"Sareen","given":"Jitender","non-dropping-particle":"","parse-names":false,"suffix":""}],"container-title":"Depression and Anxiety","id":"ITEM-1","issue":"9","issued":{"date-parts":[["2018","9"]]},"page":"851-860","title":"Self-medication with alcohol or drugs for mood and anxiety disorders: A narrative review of the epidemiological literature","type":"article-journal","volume":"35"},"uris":["http://www.mendeley.com/documents/?uuid=6e1a2103-4afc-380d-aea7-716282a55320"]}],"mendeley":{"formattedCitation":"(Turner, Mota, Bolton, &amp; Sareen, 2018)","manualFormatting":"(Turner et al., 2018)","plainTextFormattedCitation":"(Turner, Mota, Bolton, &amp; Sareen, 2018)","previouslyFormattedCitation":"(16)"},"properties":{"noteIndex":0},"schema":"https://github.com/citation-style-language/schema/raw/master/csl-citation.json"}</w:instrText>
      </w:r>
      <w:r w:rsidR="007728CD">
        <w:rPr>
          <w:rStyle w:val="FootnoteReference"/>
        </w:rPr>
        <w:fldChar w:fldCharType="separate"/>
      </w:r>
      <w:r w:rsidR="007728CD" w:rsidRPr="007728CD">
        <w:rPr>
          <w:bCs/>
          <w:noProof/>
          <w:lang w:val="en-US"/>
        </w:rPr>
        <w:t>(Turner</w:t>
      </w:r>
      <w:r w:rsidR="00AC512C">
        <w:rPr>
          <w:bCs/>
          <w:noProof/>
          <w:lang w:val="en-US"/>
        </w:rPr>
        <w:t xml:space="preserve"> et al.,</w:t>
      </w:r>
      <w:r w:rsidR="007728CD" w:rsidRPr="007728CD">
        <w:rPr>
          <w:bCs/>
          <w:noProof/>
          <w:lang w:val="en-US"/>
        </w:rPr>
        <w:t xml:space="preserve"> 2018)</w:t>
      </w:r>
      <w:r w:rsidR="007728CD">
        <w:rPr>
          <w:rStyle w:val="FootnoteReference"/>
        </w:rPr>
        <w:fldChar w:fldCharType="end"/>
      </w:r>
      <w:r w:rsidR="00AC512C">
        <w:t>,</w:t>
      </w:r>
      <w:r w:rsidRPr="00492558">
        <w:t xml:space="preserve"> or shared etiological factors such as genetic liability</w:t>
      </w:r>
      <w:r w:rsidR="00AC512C">
        <w:t xml:space="preserve"> </w:t>
      </w:r>
      <w:r w:rsidR="007728CD">
        <w:rPr>
          <w:rStyle w:val="FootnoteReference"/>
        </w:rPr>
        <w:fldChar w:fldCharType="begin" w:fldLock="1"/>
      </w:r>
      <w:r w:rsidR="00AC512C">
        <w:instrText xml:space="preserve">ADDIN CSL_CITATION {"citationItems":[{"id":"ITEM-1","itemData":{"DOI":"10.1111/j.1360-0443.2009.02571.x","ISSN":"1360-0443","PMID":"19438423","abstract":"AIMS Alcohol problem use during adolescence has been linked to a variety of adverse consequences, including cigarette and illicit drug use, delinquency, adverse effects on pubertal brain development and increased risk of morbidity and mortality. In addition, heavy alcohol-drinking adolescents are at increased risk of comorbid psychopathology, including internalizing symptomatology (especially depression and anxiety). A range of genetic and non-genetic factors have been implicated in both alcohol problem use as well as internalizing symptomatology. However, to what extent shared risk factors contribute to their comorbidity in adolescence is poorly understood. DESIGN We conducted a systematic review on Medline, PsycINFO, Embase and Web of Science to identify epidemiological and molecular genetic studies published between November 1997 and November 2007 that examined risk factors that may be shared in common between alcohol problem use and internalizing symptomatology in adolescence. FINDINGS Externalizing disorders, family alcohol problems and stress, as well as the serotonin transporter (5-HTT) S-allele, the monoamine oxidase A (MAOA) low-activity alleles and the dopamine D2 receptor (DDR2) Taq A1 allele have been associated most frequently with both traits. An increasing number of papers are focusing upon the role of gene-gene (epistasis) and gene-environment interactions in the development of comorbid alcohol problem use and internalizing symptomatology. CONCLUSIONS Further research in adolescents is warranted; the increasing availability of large longitudinal genetically informative studies will provide the evidence base from which effective prevention and intervention strategies for comorbid alcohol problems and internalizing symptomatology can be developed.","author":[{"dropping-particle":"","family":"Saraceno","given":"Luca","non-dropping-particle":"","parse-names":false,"suffix":""},{"dropping-particle":"","family":"Munafó","given":"Marcus","non-dropping-particle":"","parse-names":false,"suffix":""},{"dropping-particle":"","family":"Heron","given":"Jon","non-dropping-particle":"","parse-names":false,"suffix":""},{"dropping-particle":"","family":"Craddock","given":"Nick","non-dropping-particle":"","parse-names":false,"suffix":""},{"dropping-particle":"","family":"Bree","given":"Marianne B M","non-dropping-particle":"van den","parse-names":false,"suffix":""}],"container-title":"Addiction (Abingdon, England)","id":"ITEM-1","issue":"7","issued":{"date-parts":[["2009","7"]]},"page":"1100-21","title":"Genetic and non-genetic influences on the development of co-occurring alcohol problem use and internalizing symptomatology in adolescence: a review.","type":"article-journal","volume":"104"},"uris":["http://www.mendeley.com/documents/?uuid=95953002-64f9-3911-b8b7-084322a35824"]}],"mendeley":{"formattedCitation":"(Saraceno, Munafó, Heron, </w:instrText>
      </w:r>
      <w:r w:rsidR="00AC512C">
        <w:lastRenderedPageBreak/>
        <w:instrText>Craddock, &amp; van den Bree, 2009)","manualFormatting":"(Saraceno et al., 2009)","plainTextFormattedCitation":"(Saraceno, Munafó, Heron, Craddock, &amp; van den Bree, 2009)","previouslyFormattedCitation":"(17)"},"properties":{"noteIndex":0},"schema":"https://github.com/citation-style-language/schema/raw/master/csl-citation.json"}</w:instrText>
      </w:r>
      <w:r w:rsidR="007728CD">
        <w:rPr>
          <w:rStyle w:val="FootnoteReference"/>
        </w:rPr>
        <w:fldChar w:fldCharType="separate"/>
      </w:r>
      <w:r w:rsidR="007728CD" w:rsidRPr="007728CD">
        <w:rPr>
          <w:noProof/>
        </w:rPr>
        <w:t>(Saraceno</w:t>
      </w:r>
      <w:r w:rsidR="00AC512C">
        <w:rPr>
          <w:noProof/>
        </w:rPr>
        <w:t xml:space="preserve"> et al.</w:t>
      </w:r>
      <w:r w:rsidR="007728CD" w:rsidRPr="007728CD">
        <w:rPr>
          <w:noProof/>
        </w:rPr>
        <w:t>, 2009)</w:t>
      </w:r>
      <w:r w:rsidR="007728CD">
        <w:rPr>
          <w:rStyle w:val="FootnoteReference"/>
        </w:rPr>
        <w:fldChar w:fldCharType="end"/>
      </w:r>
      <w:r w:rsidR="00AC512C">
        <w:t>.</w:t>
      </w:r>
      <w:r>
        <w:t xml:space="preserve"> Patients with SUDs may also have difficulties engaging with treatment or maintaining </w:t>
      </w:r>
      <w:r w:rsidR="00D1296C">
        <w:t xml:space="preserve">adherence </w:t>
      </w:r>
      <w:r>
        <w:t xml:space="preserve">with </w:t>
      </w:r>
      <w:r w:rsidR="00AC512C">
        <w:t xml:space="preserve">pharmacotherapy </w:t>
      </w:r>
      <w:r w:rsidR="007728CD">
        <w:rPr>
          <w:rStyle w:val="FootnoteReference"/>
        </w:rPr>
        <w:fldChar w:fldCharType="begin" w:fldLock="1"/>
      </w:r>
      <w:r w:rsidR="007728CD">
        <w:instrText>ADDIN CSL_CITATION {"citationItems":[{"id":"ITEM-1","itemData":{"DOI":"10.1586/ern.09.62","ISSN":"1744-8360","PMID":"19589049","abstract":"Medication nonadherence is a major obstacle to translating treatment efficacy from research settings into effectiveness in clinical practice for patients with affective disorders. Adherence to beneficial drug therapy is associated with lower mortality compared with poor adherence. Reduced adherence is associated with increased suicide risk, especially when lithium is discontinued. The aim of this paper is to review the prevalence, predictors and methods for improving medication adherence in unipolar and bipolar affective disorders. Studies were identified through Medline and PsycInfo searches of English language publications between 1976 and 2009. This was supplemented by a hand search and the inclusion of selected descriptive articles on good clinical practice. Estimates of medication nonadherence for unipolar and bipolar disorders range from 10 to 60% (median: 40%). This prevalence has not changed significantly with the introduction of new medications. There is evidence that attitudes and beliefs are at least as important as side effects in predicting adherence. The limited number of empirical studies on reducing nonadherence indicate that, if recognized, the problem may be overcome. Clinical data highlight the importance of extended courses of medication in improving the long-term prognosis of patients with affective disorders.","author":[{"dropping-particle":"","family":"Pompili","given":"Maurizio","non-dropping-particle":"","parse-names":false,"suffix":""},{"dropping-particle":"","family":"Serafini","given":"Gianluca","non-dropping-particle":"","parse-names":false,"suffix":""},{"dropping-particle":"","family":"Casale","given":"Antonio","non-dropping-particle":"Del","parse-names":false,"suffix":""},{"dropping-particle":"","family":"Rigucci","given":"Silvia","non-dropping-particle":"","parse-names":false,"suffix":""},{"dropping-particle":"","family":"Innamorati","given":"Marco","non-dropping-particle":"","parse-names":false,"suffix":""},{"dropping-particle":"","family":"Girardi","given":"Paolo","non-dropping-particle":"","parse-names":false,"suffix":""},{"dropping-particle":"","family":"Tatarelli","given":"Roberto","non-dropping-particle":"","parse-names":false,"suffix":""},{"dropping-particle":"","family":"Lester","given":"David","non-dropping-particle":"","parse-names":false,"suffix":""}],"container-title":"Expert review of neurotherapeutics","id":"ITEM-1","issue":"7","issued":{"date-parts":[["2009","7","9"]]},"page":"985-1004","title":"Improving adherence in mood disorders: the struggle against relapse, recurrence and suicide risk.","type":"article-journal","volume":"9"},"uris":["http://www.mendeley.com/documents/?uuid=9e2a1263-c753-3ca5-8e3b-4b44bbfd4c4f"]},{"id":"ITEM-2","itemData":{"DOI":"10.1586/14737175.2013.811976","ISSN":"1473-7175","author":[{"dropping-particle":"","family":"Pompili","given":"Maurizio","non-dropping-particle":"","parse-names":false,"suffix":""},{"dropping-particle":"","family":"Venturini","given":"Paola","non-dropping-particle":"","parse-names":false,"suffix":""},{"dropping-particle":"","family":"Palermo","given":"Mario","non-dropping-particle":"","parse-names":false,"suffix":""},{"dropping-particle":"","family":"Stefani","given":"Henry","non-dropping-particle":"","parse-names":false,"suffix":""},{"dropping-particle":"","family":"Seretti","given":"Maria Elena","non-dropping-particle":"","parse-names":false,"suffix":""},{"dropping-particle":"","family":"Lamis","given":"Dorian A","non-dropping-particle":"","parse-</w:instrText>
      </w:r>
      <w:r w:rsidR="007728CD">
        <w:lastRenderedPageBreak/>
        <w:instrText>names":false,"suffix":""},{"dropping-particle":"","family":"Serafini","given":"Gianluca","non-dropping-particle":"","parse-names":false,"suffix":""},{"dropping-particle":"","family":"Amore","given":"Mario","non-dropping-particle":"","parse-names":false,"suffix":""},{"dropping-particle":"","family":"Girardi","given":"Paolo","non-dropping-particle":"","parse-names":false,"suffix":""}],"container-title":"Expert Review of Neurotherapeutics","id":"ITEM-2","issue":"7","issued":{"date-parts":[["2013","7","9"]]},"page":"809-825","title":"Mood disorders medications: predictors of nonadherence – review of the current literature","type":"article-journal","volume":"13"},"uris":["http://www.mendeley.com/documents/?uuid=d397d122-a07c-3625-8396-79c340576409"]}],"mendeley":{"formattedCitation":"(Pompili et al., 2009, 2013)","plainTextFormattedCitation":"(Pompili et al., 2009, 2013)","previouslyFormattedCitation":"(18,19)"},"properties":{"noteIndex":0},"schema":"https://github.com/citation-style-language/schema/raw/master/csl-citation.json"}</w:instrText>
      </w:r>
      <w:r w:rsidR="007728CD">
        <w:rPr>
          <w:rStyle w:val="FootnoteReference"/>
        </w:rPr>
        <w:fldChar w:fldCharType="separate"/>
      </w:r>
      <w:r w:rsidR="007728CD" w:rsidRPr="007728CD">
        <w:rPr>
          <w:bCs/>
          <w:noProof/>
          <w:lang w:val="en-US"/>
        </w:rPr>
        <w:t>(Pompili et al., 2009, 2013)</w:t>
      </w:r>
      <w:r w:rsidR="007728CD">
        <w:rPr>
          <w:rStyle w:val="FootnoteReference"/>
        </w:rPr>
        <w:fldChar w:fldCharType="end"/>
      </w:r>
      <w:r w:rsidR="00AC512C">
        <w:t>.</w:t>
      </w:r>
    </w:p>
    <w:p w14:paraId="3E54184D" w14:textId="222EC37E" w:rsidR="00E36245" w:rsidRPr="00F12EB4" w:rsidRDefault="00E36245" w:rsidP="00E36245">
      <w:r>
        <w:t xml:space="preserve">However, there may also be </w:t>
      </w:r>
      <w:r w:rsidR="00320EDF">
        <w:t>deficits</w:t>
      </w:r>
      <w:r>
        <w:t xml:space="preserve"> </w:t>
      </w:r>
      <w:r w:rsidR="00320EDF">
        <w:t xml:space="preserve">in </w:t>
      </w:r>
      <w:r>
        <w:t xml:space="preserve">the quality of care provided to these patients. Substance </w:t>
      </w:r>
      <w:r w:rsidR="004059E7">
        <w:t>use</w:t>
      </w:r>
      <w:r>
        <w:t xml:space="preserve"> </w:t>
      </w:r>
      <w:r w:rsidR="00320EDF">
        <w:t>is</w:t>
      </w:r>
      <w:r>
        <w:t xml:space="preserve"> associated with poor perception</w:t>
      </w:r>
      <w:r w:rsidR="00320EDF">
        <w:t>s</w:t>
      </w:r>
      <w:r>
        <w:t xml:space="preserve"> by healthcare professionals</w:t>
      </w:r>
      <w:r w:rsidR="003A1279">
        <w:t xml:space="preserve"> </w:t>
      </w:r>
      <w:r w:rsidR="007728CD">
        <w:rPr>
          <w:rStyle w:val="FootnoteReference"/>
        </w:rPr>
        <w:fldChar w:fldCharType="begin" w:fldLock="1"/>
      </w:r>
      <w:r w:rsidR="003A1279">
        <w:instrText>ADDIN CSL_CITATION {"citationItems":[{"id":"ITEM-1","itemData":{"DOI":"10.11124/jbisrir-2015-2203","ISSN":"2202-4433","PMID":"26571289","abstract":"CENTER CONDUCTING THE REVIEW University of Manitoba and Queens Joanna Briggs Collaboration for Patient Safety: a Collaborating Center of the Joanna Briggs Institute REVIEW QUESTION/OBJECTIVE The overall objective of this systematic review is to synthesize the available evidence on the relationship between new knowledge (gained through educational interventions about substance use/abuse) and health care providers' attitudes (measured by well validated instruments such as the Drug and Drug Problems Perceptions Questionnaire [DDPPQ], the Short Alcohol and Alcohol Problems Perception Questionnaire [SAAPPQ], etc.) towards patients with substance-related presentations to emergency departments.The specific review question is: Among emergency department staff, does the acquisition of knowledge (on educational interventions about substance use) impact attitudes in relation to their therapeutic role towards patients with substance-related presentations? BACKGROUND Substance-related emergency department (ED) visits are common worldwide. Estimates of cases with alcohol involvement presenting to the ED range from 6% to 45%. Research conducted in the UK and Australia suggests that presentations related to illicit drug use are common and have increased in recent years.In 2012, an estimated six million Canadians met the criteria for substance use disorder; alcohol was the most common substance of abuse followed by cannabis and other drugs. The relationship between substance use and physical injury is well documented. The risk of mortality is increased by the side effects of substances on users involved in accidents and trauma. Not surprisingly, substance-related ED visits have been on the rise. Although only 3 to 10% of overall visits are typically related to a primary entrance complaint of drug or alcohol use or abuse, studies estimate that up to 35% of ED visits may be directly or indirectly substance related. These reasons may range from injury resulting from accidents or violence to substance-related illnesses.Health care providers (i.e., typically medical and nursing staff) have often perceived substance using patients as a challenging group to manage and as adding to the workload of already busy staff. The challenges of providing care to this patient population may be attributed to: (1) the chaotic ED environment, (2) health care providers' lack of knowledge, experience or skill in identifying and addressing substance misuse, (3) health care providers' lack of su…","author":[{"dropping-particle":"","family":"Clarke","given":"Diana E","non-dropping-particle":"","parse-names":false,"suffix":""},{"dropping-particle":"","family":"Gonzalez","given":"Miriam","non-dropping-particle":"","parse-names":false,"suffix":""},{"dropping-particle":"","family":"Pereira","given":"Asha","non-dropping-</w:instrText>
      </w:r>
      <w:r w:rsidR="003A1279">
        <w:lastRenderedPageBreak/>
        <w:instrText xml:space="preserve">particle":"","parse-names":false,"suffix":""},{"dropping-particle":"","family":"Boyce-Gaudreau","given":"Krystal","non-dropping-particle":"","parse-names":false,"suffix":""},{"dropping-particle":"","family":"Waldman","given":"Celeste","non-dropping-particle":"","parse-names":false,"suffix":""},{"dropping-particle":"","family":"Demczuk","given":"Lisa","non-dropping-particle":"","parse-names":false,"suffix":""}],"container-title":"JBI database of systematic reviews and implementation reports","id":"ITEM-1","issue":"10","issued":{"date-parts":[["2015","10"]]},"page":"133-45","title":"The impact of knowledge on attitudes of emergency department staff towards patients with substance related presentations: a quantitative systematic review protocol.","type":"article-journal","volume":"13"},"uris":["http://www.mendeley.com/documents/?uuid=a1698de5-169f-309a-9461-093865977a50"]},{"id":"ITEM-2","itemData":{"DOI":"10.1111/j.1365-2702.2007.02266.x","ISSN":"09621067","PMID":"18547349","abstract":"AIM To examine the determinants of generalist nurses' therapeutic attitude to patients who use illicit drugs, and to model workforce development initiatives. BACKGROUND Individuals who use illicit drugs rely heavily on healthcare in emergency departments and inpatient hospital wards. Little is known about the determinants of generalist nurses' therapeutic attitude to provide care, therefore limiting our understanding of the important issues for workforce development. DESIGN The study was a cross-sectional survey of registrants on the Australian Capital Territory Nurses Registration Roll 2002 (N = 3241, 50% response rate). The associations between variables and nurses' therapeutic attitude were examined by multi-variable linear regression analysis. METHOD Nurses' therapeutic attitude was assessed using a modified version of the Alcohol and Alcohol Problems Perception Questionnaire. Personal characteristics, attitudes to illicit drugs and professional practice variables such as drug and alcohol education, experience with the patient group and role support were examined using a mix of standardised and new questions. RESULTS Professional practice variables explained 53% of the variation of nurses' therapeutic attitude, the most important being role support. Although a negative attitude to illicit drugs had a statistically significant association with therapeutic attitude, it added less than 1% to the variation explained. Personal characteristics showed no association. CONCLUSIONS Generalist nurses struggle to provide care to this patient group. Role support was found to be the strongest driver of nurses' therapeutic attitude, and workplace illicit drug education was only useful in combination with high role support. RELEVANCE TO CLINICAL PRACTICE Nurses' caring role with patients who use illicit drugs is complex and demanding. Nursing workforce development must focus on increasing nurses' role support, in terms of appropriately skilled staff readily available for consultation and advice. Support for nurses, in the form of evidence-based practice standards and appropriate time allocation, is also important.","author":[{"dropping-particle":"","family":"Ford","given":"Rosemary","non-dropping-particle":"","parse-names":false,"suffix":""},{"dropping-particle":"","family":"Bammer","given":"Gabriele","non-dropping-particle":"","parse-names":false,"suffix":""},{"dropping-particle":"","family":"Becker","given":"Niels","non-dropping-particle":"","parse-names":false,"suffix":""}],"container-title":"Journal of Clinical Nursing","id":"ITEM-2","issue":"18","issued":{"date-parts":[["2008","9"]]},"page":"2452-2462","title":"The determinants of nurses’ therapeutic attitude to patients who use illicit drugs and implications for workforce development","type":"article-journal","volume":"17"},"uris":["http://www.mendeley.com/documents/?uuid=ca1cb443-45d5-3b22-a1e6-948bdbc9fa6c"]},{"id":"ITEM-3","itemData":{"DOI":"10.1016/j.drugalcdep.2013.02.018","ISSN":"03768716","PMID":"23490450","abstract":"BACKGROUND Healthcare professionals are crucial in the identification and accessibility to treatment for people with substance use disorders. Our objective was to assess health professionals' attitudes towards patients with substance use disorders and examine the </w:instrText>
      </w:r>
      <w:r w:rsidR="003A1279">
        <w:lastRenderedPageBreak/>
        <w:instrText>consequences of these attitudes on healthcare delivery for these patients in Western countries. METHODS Pubmed, PsycINFO and Embase were systematically searched for articles published between 2000 and 2011. Studies evaluating health professionals' attitudes towards patients with substance use disorders and consequences of negative attitudes were included. An inclusion criterion was that studies addressed alcohol or illicit drug abuse. Reviews, commentaries and letters were excluded, as were studies originating from non-Western countries. RESULTS The search process yielded 1562 citations. After selection and quality assessment, 28 studies were included. Health professionals generally had a negative attitude towards patients with substance use disorders. They perceived violence, manipulation, and poor motivation as impeding factors in the healthcare delivery for these patients. Health professionals also lacked adequate education, training and support structures in working with this patient group. Negative attitudes of health professionals diminished patients' feelings of empowerment and subsequent treatment outcomes. Health professionals are less involved and have a more task-oriented approach in the delivery of healthcare, resulting in less personal engagement and diminished empathy. CONCLUSIONS This review indicates that negative attitudes of health professionals towards patients with substance use disorders are common and contribute to suboptimal health care for these patients. However, few studies have evaluated the consequences of health professionals' negative attitudes towards patients with substance use disorders.","author":[{"dropping-particle":"","family":"Boekel","given":"Leonieke C.","non-dropping-particle":"van","parse-names":false,"suffix":""},{"dropping-particle":"","family":"Brouwers","given":"Evelien P.M.","non-dropping-particle":"","parse-names":false,"suffix":""},{"dropping-particle":"","family":"Weeghel","given":"Jaap","non-dropping-particle":"van","parse-names":false,"suffix":""},{"dropping-particle":"","family":"Garretsen","given":"Henk F.L.","non-dropping-particle":"","parse-names":false,"suffix":""}],"container-title":"Drug and Alcohol Dependence","id":"ITEM-3","issue":"1-2","issued":{"date-parts":[["2013","7","1"]]},"page":"23-35","title":"Stigma among health professionals towards patients with substance use disorders and its consequences for healthcare delivery: Systematic review","type":"article-journal","volume":"131"},"uris":["http://www.mendeley.com/documents/?uuid=998f4a9d-24eb-3b74-8eab-d65b5a3568da"]},{"id":"ITEM-4","itemData":{"DOI":"10.1016/j.aaen.2007.05.005","ISSN":"09652302","PMID":"17624780","abstract":"In Ireland one in four (28%) of those attending hospital emergency departments have substance abuse-related injury/illness and one in eight (13%) present in a state of clinical intoxication. Health care professionals working in emergency departments are frequently exposed to patients with substance use problems and are in ideal positions to provide early diagnosis and treatment. The success rate in detecting these patients is however disturbingly low (25-50%) and as a result many substance use problems are misdiagnosed or remain undetected. International studies that focus on primary care and addiction within the mental health sector suggest that health care professionals' knowledge and attitudes regarding substance use and substance users may negatively influence the care that these patients receive. There is a dearth of empirical research, internationally, and particularly in Ireland that addresses health care professionals' knowledge and attitudes in relation to substance use and substance users with no empirical evidence to ascertain in particular, emergency department doctors' and nurses' knowledge and attitudes.","author":[{"dropping-particle":"","family":"Kelleher","given":"Sean","non-dropping-particle":"","parse-names":false,"suffix":""}],"container-title":"Accident and Emergency Nursing","id":"ITEM-4","issue":"3","issued":{"date-parts":[["2007","7"]]},"page":"161-165","title":"Health care professionals’ knowledge and attitudes regarding substance use and substance users","type":"article-journal","volume":"15"},"uris":["http://www.mendeley.com/documents/?uuid=15903b46-505d-</w:instrText>
      </w:r>
      <w:r w:rsidR="003A1279">
        <w:lastRenderedPageBreak/>
        <w:instrText>38a2-afe0-c716ca185be3"]}],"mendeley":{"formattedCitation":"(Clarke et al., 2015; Ford, Bammer, &amp; Becker, 2008a; Kelleher, 2007; van Boekel, Brouwers, van Weeghel, &amp; Garretsen, 2013)","manualFormatting":"(Clarke et al., 2015; Ford et al., 2008; Kelleher, 2007; van Boekel et al., 2013)","plainTextFormattedCitation":"(Clarke et al., 2015; Ford, Bammer, &amp; Becker, 2008a; Kelleher, 2007; van Boekel, Brouwers, van Weeghel, &amp; Garretsen, 2013)","previouslyFormattedCitation":"(20–23)"},"properties":{"noteIndex":0},"schema":"https://github.com/citation-style-language/schema/raw/master/csl-citation.json"}</w:instrText>
      </w:r>
      <w:r w:rsidR="007728CD">
        <w:rPr>
          <w:rStyle w:val="FootnoteReference"/>
        </w:rPr>
        <w:fldChar w:fldCharType="separate"/>
      </w:r>
      <w:r w:rsidR="007728CD" w:rsidRPr="007728CD">
        <w:rPr>
          <w:bCs/>
          <w:noProof/>
          <w:lang w:val="en-US"/>
        </w:rPr>
        <w:t>(Clarke et al., 2015; Ford</w:t>
      </w:r>
      <w:r w:rsidR="003A1279">
        <w:rPr>
          <w:bCs/>
          <w:noProof/>
          <w:lang w:val="en-US"/>
        </w:rPr>
        <w:t xml:space="preserve"> et al.,</w:t>
      </w:r>
      <w:r w:rsidR="007728CD" w:rsidRPr="007728CD">
        <w:rPr>
          <w:bCs/>
          <w:noProof/>
          <w:lang w:val="en-US"/>
        </w:rPr>
        <w:t xml:space="preserve"> 2008; Kelleher, 2007; van Boekel</w:t>
      </w:r>
      <w:r w:rsidR="003A1279">
        <w:rPr>
          <w:bCs/>
          <w:noProof/>
          <w:lang w:val="en-US"/>
        </w:rPr>
        <w:t xml:space="preserve"> et al.</w:t>
      </w:r>
      <w:r w:rsidR="007728CD" w:rsidRPr="007728CD">
        <w:rPr>
          <w:bCs/>
          <w:noProof/>
          <w:lang w:val="en-US"/>
        </w:rPr>
        <w:t>, 2013)</w:t>
      </w:r>
      <w:r w:rsidR="007728CD">
        <w:rPr>
          <w:rStyle w:val="FootnoteReference"/>
        </w:rPr>
        <w:fldChar w:fldCharType="end"/>
      </w:r>
      <w:r w:rsidR="003A1279">
        <w:t>,</w:t>
      </w:r>
      <w:r>
        <w:t xml:space="preserve"> and individuals with SUDs may receive substandard care for other mental health problems</w:t>
      </w:r>
      <w:r w:rsidR="003A1279">
        <w:t xml:space="preserve"> </w:t>
      </w:r>
      <w:r w:rsidR="007728CD">
        <w:rPr>
          <w:rStyle w:val="FootnoteReference"/>
        </w:rPr>
        <w:fldChar w:fldCharType="begin" w:fldLock="1"/>
      </w:r>
      <w:r w:rsidR="003A1279">
        <w:instrText>ADDIN CSL_CITATION {"citationItems":[{"id":"ITEM-1","itemData":{"DOI":"10.1176/appi.ps.52.8.1062","ISSN":"1075-2730","PMID":"11474052","abstract":"OBJECTIVE The delivery of appropriate treatment to persons who have mental and substance use disorders is of increasing concern to clinicians, administrators, and policy makers. This study sought to describe use of appropriate mental health and comprehensive substance abuse care among adults in the United States with probable co-occurring disorders. METHODS Data from the Healthcare for Communities survey, which is based on a national household sample studied in 1997 and 1998, were used to identify individuals who had probable co-occurring mental and substance use disorders. The sociodemographic and clinical characteristics of these individuals and their use of services were recorded. Logistic regression analysis was used to identify variables associated with receipt of mental health and substance abuse treatment and with receipt of appropriate treatment. RESULTS Estimates for the U.S. adult population based on the weighted survey data indicated that 3 percent of the population had co-occurring disorders. Seventy-two percent did not receive any specialty mental health or substance abuse treatment in the previous 12 months; only 8 percent received both specialty mental health care and specialty substance abuse treatment. Only 23 percent received appropriate mental health care, and 9 percent received supplemental substance abuse treatment. Perceived need for treatment was strongly associated with receipt of any mental health care and with receipt of appropriate care. CONCLUSIONS Despite the availability of effective treatments, most individuals who had co-occurring mental health and substance use problems were not receiving effective treatment. Efforts to improve the care provided to persons who have co-occurring disorders should focus on strategies that increase the delivery of effective treatment.","author":[{"dropping-particle":"","family":"Watkins","given":"Katherine E.","non-dropping-particle":"","parse-names":false,"suffix":""},{"dropping-particle":"","family":"Burnam","given":"Audrey","non-dropping-particle":"","parse-names":false,"suffix":""},{"dropping-particle":"","family":"Kung","given":"Fuan-Yue","non-dropping-particle":"","parse-names":false,"suffix":""},{"dropping-particle":"","family":"Paddock","given":"Susan","non-dropping-particle":"","parse-names":false,"suffix":""}],"container-title":"Psychiatric Services","id":"ITEM-1","issue":"8","issued":{"date-parts":[["2001","8"]]},"page":"1062-1068","title":"A National Survey of Care for Persons With Co-occurring Mental and Substance Use Disorders","type":"article-journal","volume":"52"},"uris":["http://www.mendeley.com/documents/?uuid=0be9c838-f4f2-3a5e-b85f-e44f64473822"]}],"mendeley":{"formattedCitation":"(Watkins, Burnam, Kung, &amp; Paddock, 2001)","manualFormatting":"(Watkins et al., 2001)","plainTextFormattedCitation":"(Watkins, Burnam, Kung, &amp; Paddock, 2001)","previouslyFormattedCitation":"(24)"},"properties":{"noteIndex":0},"schema":"https://github.com/citation-style-language/schema/raw/master/csl-citation.json"}</w:instrText>
      </w:r>
      <w:r w:rsidR="007728CD">
        <w:rPr>
          <w:rStyle w:val="FootnoteReference"/>
        </w:rPr>
        <w:fldChar w:fldCharType="separate"/>
      </w:r>
      <w:r w:rsidR="007728CD" w:rsidRPr="007728CD">
        <w:rPr>
          <w:bCs/>
          <w:noProof/>
          <w:lang w:val="en-US"/>
        </w:rPr>
        <w:t>(Watkins</w:t>
      </w:r>
      <w:r w:rsidR="003A1279">
        <w:rPr>
          <w:bCs/>
          <w:noProof/>
          <w:lang w:val="en-US"/>
        </w:rPr>
        <w:t xml:space="preserve"> et al.</w:t>
      </w:r>
      <w:r w:rsidR="007728CD" w:rsidRPr="007728CD">
        <w:rPr>
          <w:bCs/>
          <w:noProof/>
          <w:lang w:val="en-US"/>
        </w:rPr>
        <w:t>, 2001)</w:t>
      </w:r>
      <w:r w:rsidR="007728CD">
        <w:rPr>
          <w:rStyle w:val="FootnoteReference"/>
        </w:rPr>
        <w:fldChar w:fldCharType="end"/>
      </w:r>
      <w:r w:rsidR="003A1279">
        <w:t>.</w:t>
      </w:r>
      <w:r>
        <w:t xml:space="preserve"> For example, </w:t>
      </w:r>
      <w:r w:rsidRPr="00920D5D">
        <w:t>providers may be less likely to recommend pharmacotherapy</w:t>
      </w:r>
      <w:r>
        <w:t xml:space="preserve"> for depressive illness, even </w:t>
      </w:r>
      <w:r w:rsidR="00320EDF">
        <w:t xml:space="preserve">when </w:t>
      </w:r>
      <w:r>
        <w:t>such treatment is indicated</w:t>
      </w:r>
      <w:r w:rsidR="003A1279">
        <w:t xml:space="preserve"> </w:t>
      </w:r>
      <w:r w:rsidR="007728CD">
        <w:rPr>
          <w:rStyle w:val="FootnoteReference"/>
        </w:rPr>
        <w:fldChar w:fldCharType="begin" w:fldLock="1"/>
      </w:r>
      <w:r w:rsidR="003A1279">
        <w:instrText xml:space="preserve">ADDIN CSL_CITATION {"citationItems":[{"id":"ITEM-1","itemData":{"DOI":"10.1007/164_2018_162","ISSN":"0171-2004","PMID":"30244298","abstract":"This chapter reviews antidepressant treatment considerations and recommendations for patients with co-occurring depression and substance use </w:instrText>
      </w:r>
      <w:r w:rsidR="003A1279">
        <w:lastRenderedPageBreak/>
        <w:instrText>disorders. Depression and substance use disorders are highly comorbid conditions. Substance use disorders are chronic disorders that result in a cluster of symptoms indicating that an individual continues to use a substance despite significant problems resulting from their use. About 17 million Americans have an alcohol use disorder, and another approximately 7 million individuals have other drug use disorders (not including alcohol) in the United States. The rate of any substance use disorder (including alcohol) in individuals with major depressive disorder is 32% based on a national survey. Evidence suggests that the best outcome for individual with co-occurring conditions is treating both conditions simultaneously. Therefore, practitioners should know the following before prescribing antidepressants for patients with co-occurring substance use disorders: (1) treatment recommendations for patients with co-occurring depression and substance use disorders, (2) potential antidepressant interactions with alcohol and drugs of abuse, and (3) do antidepressants have a risk of misuse? Finally, we will summarize antidepressant treatment recommendations for patients with co-occurring depression and substance use disorders.","author":[{"dropping-particle":"","family":"Carey","given":"Theadia L.","non-dropping-particle":"","parse-names":false,"suffix":""}],"container-title":"Handbook of experimental pharmacology","id":"ITEM-1","issued":{"date-parts":[["2018"]]},"page":"359-370","title":"Use of Antidepressants in Patients with Co-occurring Depression and Substance Use Disorders","type":"chapter","volume":"250"},"uris":["http://www.mendeley.com/documents/?uuid=99fafcfd-f478-3648-b3e9-da3a106c6caa"]},{"id":"ITEM-2","itemData":{"ISSN":"0306-4603","PMID":"9801726","abstract":"Previous research has highlighted the high prevalence (30-60%) of comorbid anxiety and mood disorders in clients with substance misuse disorders and, equivalently, a third of those with affective disorder report a history of substance use disorder (Kessler et al., 1994; Regier et al., 1990; Robins &amp; Regier, 1991). This article reviews the management of such cases and identifies key issues in the assessment process, as well as potential avenues for treatment. Other articles have highlighted the increased service utilisation and the cost of care and treatment of comorbidity. This article will primarily focus on the management of individual cases and will briefly refer to issues of service organisation. Although antidepressant or anxiolytic pharmacotherapy may have a role in the treatment of severe disorders, the benefits of using these medications must be balanced against the increased risk of side-effects or adverse reactions in individuals who continue to engage in substance misuse or who have medical complications associated with drug or alcohol dependency. Effective psychosocial approaches largely focus on brief, empirically tested manualised therapies such as cognitive therapy (Carroll, 1998a). However, modifications are required to such approaches to ensure that the interventions are tailored to the needs of clients exhibiting comorbidity. The data available demonstrate some evidence for the benefits of structured psychological approaches, but more sophisticated randomized controlled trials are required to evaluate the efficacy of both psychological and pharmacological approaches.","author":[{"dropping-particle":"","family":"Scott","given":"J","non-dropping-particle":"","parse-names":false,"suffix":""},{"dropping-particle":"","family":"Gilvarry","given":"E","non-dropping-particle":"","parse-names":false,"suffix":""},{"dropping-particle":"","family":"Farrell","given":"M","non-dropping-particle":"","parse-names":false,"suffix":""}],"container-title":"Addictive behaviors","id":"ITEM-2","issue":"6","issued":{"date-parts":[["1998"]]},"page":"919-31","title":"Managing anxiety and depression in alcohol and drug dependence.","type":"article-journal","volume":"23"},"uris":["http://www.mendeley.com/documents/?uuid=23bfa5ed-622f-3b67-9d46-8e77fe1be9ab"]},{"id":"ITEM-3","itemData":{"DOI":"http://dx.doi.org/10.1037/0735-7028.31.4.418","author":[{"dropping-particle":"","family":"Brown, Richard A., Ramsey","given":"Susan E.","non-dropping-particle":"","parse-names":false,"suffix":""}],"container-title":"Professional Psychology: Research and Practice","id":"ITEM-3","issue":"4","issued":{"date-</w:instrText>
      </w:r>
      <w:r w:rsidR="003A1279">
        <w:lastRenderedPageBreak/>
        <w:instrText>parts":[["2000"]]},"page":"418-422","title":"Addressing comorbid depressive symptomatology in alcohol treatment.","type":"article-journal","volume":"31"},"uris":["http://www.mendeley.com/documents/?uuid=834f1c9c-fd54-3e94-83e0-d43db5812999"]}],"mendeley":{"formattedCitation":"(Brown, Richard A., Ramsey, 2000; Carey, 2018; Scott, Gilvarry, &amp; Farrell, 1998)","manualFormatting":"(Brown et al., 2000; Carey, 2018; Scott et al., 1998)","plainTextFormattedCitation":"(Brown, Richard A., Ramsey, 2000; Carey, 2018; Scott, Gilvarry, &amp; Farrell, 1998)","previouslyFormattedCitation":"(25–27)"},"properties":{"noteIndex":0},"schema":"https://github.com/citation-style-language/schema/raw/master/csl-citation.json"}</w:instrText>
      </w:r>
      <w:r w:rsidR="007728CD">
        <w:rPr>
          <w:rStyle w:val="FootnoteReference"/>
        </w:rPr>
        <w:fldChar w:fldCharType="separate"/>
      </w:r>
      <w:r w:rsidR="007728CD" w:rsidRPr="007728CD">
        <w:rPr>
          <w:bCs/>
          <w:noProof/>
          <w:lang w:val="en-US"/>
        </w:rPr>
        <w:t>(Brown</w:t>
      </w:r>
      <w:r w:rsidR="003A1279">
        <w:rPr>
          <w:bCs/>
          <w:noProof/>
          <w:lang w:val="en-US"/>
        </w:rPr>
        <w:t xml:space="preserve"> et al.</w:t>
      </w:r>
      <w:r w:rsidR="007728CD" w:rsidRPr="007728CD">
        <w:rPr>
          <w:bCs/>
          <w:noProof/>
          <w:lang w:val="en-US"/>
        </w:rPr>
        <w:t>, 2000; Carey, 2018; Scott</w:t>
      </w:r>
      <w:r w:rsidR="003A1279">
        <w:rPr>
          <w:bCs/>
          <w:noProof/>
          <w:lang w:val="en-US"/>
        </w:rPr>
        <w:t xml:space="preserve"> et al.</w:t>
      </w:r>
      <w:r w:rsidR="007728CD" w:rsidRPr="007728CD">
        <w:rPr>
          <w:bCs/>
          <w:noProof/>
          <w:lang w:val="en-US"/>
        </w:rPr>
        <w:t>, 1998)</w:t>
      </w:r>
      <w:r w:rsidR="007728CD">
        <w:rPr>
          <w:rStyle w:val="FootnoteReference"/>
        </w:rPr>
        <w:fldChar w:fldCharType="end"/>
      </w:r>
      <w:r w:rsidR="003A1279">
        <w:t>.</w:t>
      </w:r>
      <w:r>
        <w:t xml:space="preserve"> These omissions have persisted despite some promising signs that integrated treatment may be efficacious for SUDs and comorbid mental illness – particularly depression, where suitable treatment may reduce both affective symptoms and substance use</w:t>
      </w:r>
      <w:r w:rsidR="003A1279">
        <w:t xml:space="preserve"> </w:t>
      </w:r>
      <w:r w:rsidR="007728CD">
        <w:rPr>
          <w:rStyle w:val="FootnoteReference"/>
        </w:rPr>
        <w:fldChar w:fldCharType="begin" w:fldLock="1"/>
      </w:r>
      <w:r w:rsidR="007728CD">
        <w:instrText>ADDIN CSL_CITATION {"citationItems":[{"id":"ITEM-1","itemData":{"DOI":"10.1186/1471-244X-9-6","ISSN":"1471-244X","author":[{"dropping-particle":"","family":"Hesse","given":"Morten","non-dropping-particle":"","parse-names":false,"suffix":""}],"container-title":"BMC Psychiatry","id":"ITEM-1","issue":"1","issued":{"date-parts":[["2009","12","20"]]},"page":"6","title":"Integrated psychological treatment for substance use and co-morbid anxiety or depression vs. treatment for substance use alone. A systematic review of the published literature","type":"article-journal","volume":"9"},"uris":["http://www.mendeley.com/documents/?uuid=7b5739d7-046a-34eb-834e-a97b336bda79"]},{"id":"ITEM-2","itemData":{"DOI":"10.1016/j.jad.2016.04.018","ISSN":"01650327","PMID":"27156096","abstract":"The quantitative literature on the treatment of comorbid depression and substance misuse among adolescents was reviewed, including: (1) a synthesis of the empirical evidence of the multiple models of integrated treatment for depression and substance use, (2) an examination of proposed mechanisms underlying symptom change in these integrated treatment models targeting depression and substance use, and (3) a methodological critique and suggestions for future research. We reviewed 15 studies reporting on treatment outcomes among adolescents with comorbid depression and non-tobacco related substance use disorders (SUD) and general misuse. Although there is empirical evidence linking Cognitive-Behavioral Therapy (CBT), Motivational Enhancement Therapy (MET), and Family-Focused Therapy (FFT) to depression and SUD symptom reduction in adolescents, few studies have provided data on mechanisms that may account for this effect. Potential mechanisms include improvements in dysfunctional reward processing and self-efficacy. Although this review highlights promising findings for the treatment of comorbid depression and substance misuse in adolescents, further work is warranted; as such results could have important implications for intervention development.","author":[{"dropping-particle":"","family":"Babowitch","given":"Jacklyn D.","non-dropping-particle":"","parse-names":false,"suffix":""},{"dropping-particle":"","family":"Antshel","given":"Kevin M.","non-dropping-particle":"","parse-names":false,"suffix":""}],"container-title":"Journal of Affective Disorders","id":"ITEM-2","issued":{"date-parts":[["2016","9","1"]]},"page":"25-33","title":"Adolescent treatment outcomes for comorbid depression and substance misuse: A systematic review and synthesis of the literature","type":"article-journal","volume":"201"},"uris":["http://www.mendeley.com/documents/?uuid=b5be16d5-12b5-39c3-bd19-b8c7f925aca6"]}],"mendeley":{"formattedCitation":"(Babowitch &amp; Antshel, 2016; Hesse, 2009)","plainTextFormattedCitation":"(Babowitch &amp; Antshel, 2016; Hesse, 2009)","previouslyFormattedCitation":"(28,29)"},"properties":{"noteIndex":0},"schema":"https://github.com/citation-style-language/schema/raw/master/csl-citation.json"}</w:instrText>
      </w:r>
      <w:r w:rsidR="007728CD">
        <w:rPr>
          <w:rStyle w:val="FootnoteReference"/>
        </w:rPr>
        <w:fldChar w:fldCharType="separate"/>
      </w:r>
      <w:r w:rsidR="007728CD" w:rsidRPr="007728CD">
        <w:rPr>
          <w:bCs/>
          <w:noProof/>
          <w:lang w:val="en-US"/>
        </w:rPr>
        <w:t>(Babowitch &amp; Antshel, 2016; Hesse, 2009)</w:t>
      </w:r>
      <w:r w:rsidR="007728CD">
        <w:rPr>
          <w:rStyle w:val="FootnoteReference"/>
        </w:rPr>
        <w:fldChar w:fldCharType="end"/>
      </w:r>
      <w:r w:rsidR="003A1279">
        <w:t>.</w:t>
      </w:r>
    </w:p>
    <w:p w14:paraId="6432CC11" w14:textId="2419102A" w:rsidR="00185633" w:rsidRDefault="0054533A">
      <w:pPr>
        <w:rPr>
          <w:rFonts w:cstheme="minorHAnsi"/>
          <w:color w:val="000000"/>
          <w:shd w:val="clear" w:color="auto" w:fill="FFFFFF"/>
        </w:rPr>
      </w:pPr>
      <w:r>
        <w:rPr>
          <w:rFonts w:cstheme="minorHAnsi"/>
        </w:rPr>
        <w:lastRenderedPageBreak/>
        <w:t>We</w:t>
      </w:r>
      <w:r w:rsidRPr="00243745">
        <w:rPr>
          <w:rFonts w:cstheme="minorHAnsi"/>
        </w:rPr>
        <w:t xml:space="preserve"> aimed to investigate whether </w:t>
      </w:r>
      <w:r>
        <w:rPr>
          <w:rFonts w:cstheme="minorHAnsi"/>
        </w:rPr>
        <w:t xml:space="preserve">the presence of a </w:t>
      </w:r>
      <w:r w:rsidRPr="00243745">
        <w:rPr>
          <w:rFonts w:cstheme="minorHAnsi"/>
        </w:rPr>
        <w:t xml:space="preserve">comorbid </w:t>
      </w:r>
      <w:r>
        <w:rPr>
          <w:rFonts w:cstheme="minorHAnsi"/>
        </w:rPr>
        <w:t>SUD</w:t>
      </w:r>
      <w:r w:rsidRPr="00243745">
        <w:rPr>
          <w:rFonts w:cstheme="minorHAnsi"/>
        </w:rPr>
        <w:t xml:space="preserve"> </w:t>
      </w:r>
      <w:r>
        <w:rPr>
          <w:rFonts w:cstheme="minorHAnsi"/>
        </w:rPr>
        <w:t>affects the quality of care received by inpatients with a primary diagnosis of an anxiety or depressive disorder.</w:t>
      </w:r>
      <w:r w:rsidRPr="00243745">
        <w:rPr>
          <w:rFonts w:cstheme="minorHAnsi"/>
          <w:color w:val="000000"/>
          <w:shd w:val="clear" w:color="auto" w:fill="FFFFFF"/>
        </w:rPr>
        <w:t xml:space="preserve"> </w:t>
      </w:r>
      <w:r w:rsidRPr="00DA40D3">
        <w:rPr>
          <w:rFonts w:cstheme="minorHAnsi"/>
          <w:color w:val="000000"/>
          <w:shd w:val="clear" w:color="auto" w:fill="FFFFFF"/>
        </w:rPr>
        <w:t xml:space="preserve">We conducted a secondary </w:t>
      </w:r>
      <w:r>
        <w:rPr>
          <w:rFonts w:cstheme="minorHAnsi"/>
          <w:color w:val="000000"/>
          <w:shd w:val="clear" w:color="auto" w:fill="FFFFFF"/>
        </w:rPr>
        <w:t xml:space="preserve">analysis of data </w:t>
      </w:r>
      <w:r w:rsidRPr="00DA40D3">
        <w:rPr>
          <w:rFonts w:cstheme="minorHAnsi"/>
          <w:color w:val="000000"/>
          <w:shd w:val="clear" w:color="auto" w:fill="FFFFFF"/>
        </w:rPr>
        <w:t>f</w:t>
      </w:r>
      <w:r>
        <w:rPr>
          <w:rFonts w:cstheme="minorHAnsi"/>
          <w:color w:val="000000"/>
          <w:shd w:val="clear" w:color="auto" w:fill="FFFFFF"/>
        </w:rPr>
        <w:t>ro</w:t>
      </w:r>
      <w:r w:rsidRPr="00DA40D3">
        <w:rPr>
          <w:rFonts w:cstheme="minorHAnsi"/>
          <w:color w:val="000000"/>
          <w:shd w:val="clear" w:color="auto" w:fill="FFFFFF"/>
        </w:rPr>
        <w:t xml:space="preserve">m a national audit of </w:t>
      </w:r>
      <w:r>
        <w:rPr>
          <w:rFonts w:cstheme="minorHAnsi"/>
          <w:color w:val="000000"/>
          <w:shd w:val="clear" w:color="auto" w:fill="FFFFFF"/>
        </w:rPr>
        <w:t>inpatient</w:t>
      </w:r>
      <w:r w:rsidRPr="00DA40D3">
        <w:rPr>
          <w:rFonts w:cstheme="minorHAnsi"/>
          <w:color w:val="000000"/>
          <w:shd w:val="clear" w:color="auto" w:fill="FFFFFF"/>
        </w:rPr>
        <w:t xml:space="preserve"> care for people with </w:t>
      </w:r>
      <w:r>
        <w:rPr>
          <w:rFonts w:cstheme="minorHAnsi"/>
          <w:color w:val="000000"/>
          <w:shd w:val="clear" w:color="auto" w:fill="FFFFFF"/>
        </w:rPr>
        <w:t>anxiety</w:t>
      </w:r>
      <w:r w:rsidRPr="00DA40D3">
        <w:rPr>
          <w:rFonts w:cstheme="minorHAnsi"/>
          <w:color w:val="000000"/>
          <w:shd w:val="clear" w:color="auto" w:fill="FFFFFF"/>
        </w:rPr>
        <w:t xml:space="preserve"> and depression and examined the impact of </w:t>
      </w:r>
      <w:r>
        <w:rPr>
          <w:rFonts w:cstheme="minorHAnsi"/>
          <w:color w:val="000000"/>
          <w:shd w:val="clear" w:color="auto" w:fill="FFFFFF"/>
        </w:rPr>
        <w:t>comorbid</w:t>
      </w:r>
      <w:r w:rsidRPr="00DA40D3">
        <w:rPr>
          <w:rFonts w:cstheme="minorHAnsi"/>
          <w:color w:val="000000"/>
          <w:shd w:val="clear" w:color="auto" w:fill="FFFFFF"/>
        </w:rPr>
        <w:t xml:space="preserve"> </w:t>
      </w:r>
      <w:r>
        <w:rPr>
          <w:rFonts w:cstheme="minorHAnsi"/>
          <w:color w:val="000000"/>
          <w:shd w:val="clear" w:color="auto" w:fill="FFFFFF"/>
        </w:rPr>
        <w:t>SUD</w:t>
      </w:r>
      <w:r w:rsidRPr="00DA40D3">
        <w:rPr>
          <w:rFonts w:cstheme="minorHAnsi"/>
          <w:color w:val="000000"/>
          <w:shd w:val="clear" w:color="auto" w:fill="FFFFFF"/>
        </w:rPr>
        <w:t xml:space="preserve"> on </w:t>
      </w:r>
      <w:r>
        <w:rPr>
          <w:rFonts w:cstheme="minorHAnsi"/>
          <w:color w:val="000000"/>
          <w:shd w:val="clear" w:color="auto" w:fill="FFFFFF"/>
        </w:rPr>
        <w:t xml:space="preserve">a broad range of care </w:t>
      </w:r>
      <w:r w:rsidRPr="00DA40D3">
        <w:rPr>
          <w:rFonts w:cstheme="minorHAnsi"/>
          <w:color w:val="000000"/>
          <w:shd w:val="clear" w:color="auto" w:fill="FFFFFF"/>
        </w:rPr>
        <w:t xml:space="preserve">quality </w:t>
      </w:r>
      <w:r>
        <w:rPr>
          <w:rFonts w:cstheme="minorHAnsi"/>
          <w:color w:val="000000"/>
          <w:shd w:val="clear" w:color="auto" w:fill="FFFFFF"/>
        </w:rPr>
        <w:t>indicators</w:t>
      </w:r>
      <w:r w:rsidRPr="00DA40D3">
        <w:rPr>
          <w:rFonts w:cstheme="minorHAnsi"/>
          <w:color w:val="000000"/>
          <w:shd w:val="clear" w:color="auto" w:fill="FFFFFF"/>
        </w:rPr>
        <w:t>.</w:t>
      </w:r>
      <w:r w:rsidR="00946BEE">
        <w:rPr>
          <w:rFonts w:cstheme="minorHAnsi"/>
          <w:color w:val="000000"/>
          <w:shd w:val="clear" w:color="auto" w:fill="FFFFFF"/>
        </w:rPr>
        <w:t xml:space="preserve"> We hypothesised that patients with comorbid SUD may </w:t>
      </w:r>
      <w:proofErr w:type="spellStart"/>
      <w:r w:rsidR="00946BEE">
        <w:rPr>
          <w:rFonts w:cstheme="minorHAnsi"/>
          <w:color w:val="000000"/>
          <w:shd w:val="clear" w:color="auto" w:fill="FFFFFF"/>
        </w:rPr>
        <w:t>received</w:t>
      </w:r>
      <w:proofErr w:type="spellEnd"/>
      <w:r w:rsidR="00946BEE">
        <w:rPr>
          <w:rFonts w:cstheme="minorHAnsi"/>
          <w:color w:val="000000"/>
          <w:shd w:val="clear" w:color="auto" w:fill="FFFFFF"/>
        </w:rPr>
        <w:t xml:space="preserve"> poorer care. Such a finding would implicate quality of care as a potential mediator of worse treatment outcomes experienced by patients with SUD, and may identify interventions to address this inequality. </w:t>
      </w:r>
    </w:p>
    <w:p w14:paraId="33773E03" w14:textId="77777777" w:rsidR="002248D7" w:rsidRDefault="002248D7"/>
    <w:p w14:paraId="633BF988" w14:textId="77777777" w:rsidR="00657B1F" w:rsidRDefault="00657B1F" w:rsidP="00657B1F">
      <w:pPr>
        <w:pStyle w:val="Heading2"/>
        <w:rPr>
          <w:b/>
          <w:bCs/>
          <w:color w:val="000000" w:themeColor="text1"/>
          <w:shd w:val="clear" w:color="auto" w:fill="FFFFFF"/>
        </w:rPr>
      </w:pPr>
      <w:r w:rsidRPr="00600A0E">
        <w:rPr>
          <w:b/>
          <w:bCs/>
          <w:color w:val="000000" w:themeColor="text1"/>
          <w:shd w:val="clear" w:color="auto" w:fill="FFFFFF"/>
        </w:rPr>
        <w:t>METHODS</w:t>
      </w:r>
    </w:p>
    <w:p w14:paraId="0EE0B20C" w14:textId="77777777" w:rsidR="00657B1F" w:rsidRDefault="00657B1F" w:rsidP="00657B1F"/>
    <w:p w14:paraId="2826129C" w14:textId="77777777" w:rsidR="000F76D9" w:rsidRDefault="000F76D9" w:rsidP="000F76D9">
      <w:pPr>
        <w:pStyle w:val="Heading3"/>
        <w:rPr>
          <w:b/>
          <w:bCs/>
          <w:color w:val="000000" w:themeColor="text1"/>
        </w:rPr>
      </w:pPr>
      <w:r w:rsidRPr="00DF6C41">
        <w:rPr>
          <w:b/>
          <w:bCs/>
          <w:color w:val="000000" w:themeColor="text1"/>
        </w:rPr>
        <w:t>Setting and Participants</w:t>
      </w:r>
    </w:p>
    <w:p w14:paraId="57A4C2C9" w14:textId="77777777" w:rsidR="000F76D9" w:rsidRPr="00DF6C41" w:rsidRDefault="000F76D9" w:rsidP="000F76D9"/>
    <w:p w14:paraId="66D18A3C" w14:textId="3B49EB4A" w:rsidR="000F76D9" w:rsidRPr="00577996" w:rsidRDefault="000F76D9" w:rsidP="000F76D9">
      <w:pPr>
        <w:rPr>
          <w:rFonts w:cstheme="minorHAnsi"/>
          <w:color w:val="000000"/>
          <w:shd w:val="clear" w:color="auto" w:fill="FFFFFF"/>
        </w:rPr>
      </w:pPr>
      <w:r>
        <w:rPr>
          <w:rFonts w:cstheme="minorHAnsi"/>
          <w:color w:val="000000"/>
          <w:shd w:val="clear" w:color="auto" w:fill="FFFFFF"/>
        </w:rPr>
        <w:t>Data</w:t>
      </w:r>
      <w:r w:rsidRPr="00577996">
        <w:rPr>
          <w:rFonts w:cstheme="minorHAnsi"/>
          <w:color w:val="000000"/>
          <w:shd w:val="clear" w:color="auto" w:fill="FFFFFF"/>
        </w:rPr>
        <w:t xml:space="preserve"> were collected </w:t>
      </w:r>
      <w:r>
        <w:rPr>
          <w:rFonts w:cstheme="minorHAnsi"/>
          <w:color w:val="000000"/>
          <w:shd w:val="clear" w:color="auto" w:fill="FFFFFF"/>
        </w:rPr>
        <w:t>as part of</w:t>
      </w:r>
      <w:r w:rsidRPr="00577996">
        <w:rPr>
          <w:rFonts w:cstheme="minorHAnsi"/>
          <w:color w:val="000000"/>
          <w:shd w:val="clear" w:color="auto" w:fill="FFFFFF"/>
        </w:rPr>
        <w:t xml:space="preserve"> the National Clinical Audit of Anxiety and Depression</w:t>
      </w:r>
      <w:r>
        <w:rPr>
          <w:rFonts w:cstheme="minorHAnsi"/>
          <w:color w:val="000000"/>
          <w:shd w:val="clear" w:color="auto" w:fill="FFFFFF"/>
        </w:rPr>
        <w:t xml:space="preserve"> in England</w:t>
      </w:r>
      <w:r w:rsidRPr="00577996">
        <w:rPr>
          <w:rFonts w:cstheme="minorHAnsi"/>
          <w:color w:val="000000"/>
          <w:shd w:val="clear" w:color="auto" w:fill="FFFFFF"/>
        </w:rPr>
        <w:t xml:space="preserve">. A detailed account of the methods used in the audit </w:t>
      </w:r>
      <w:r>
        <w:rPr>
          <w:rFonts w:cstheme="minorHAnsi"/>
          <w:color w:val="000000"/>
          <w:shd w:val="clear" w:color="auto" w:fill="FFFFFF"/>
        </w:rPr>
        <w:t>is available</w:t>
      </w:r>
      <w:r w:rsidRPr="00577996">
        <w:rPr>
          <w:rFonts w:cstheme="minorHAnsi"/>
          <w:color w:val="000000"/>
          <w:shd w:val="clear" w:color="auto" w:fill="FFFFFF"/>
        </w:rPr>
        <w:t xml:space="preserve"> elsewhere</w:t>
      </w:r>
      <w:r w:rsidR="00F5396A">
        <w:rPr>
          <w:rFonts w:cstheme="minorHAnsi"/>
          <w:color w:val="000000"/>
          <w:shd w:val="clear" w:color="auto" w:fill="FFFFFF"/>
        </w:rPr>
        <w:t xml:space="preserve"> </w:t>
      </w:r>
      <w:r w:rsidR="007728CD">
        <w:rPr>
          <w:rStyle w:val="FootnoteReference"/>
          <w:rFonts w:cstheme="minorHAnsi"/>
          <w:color w:val="000000"/>
          <w:shd w:val="clear" w:color="auto" w:fill="FFFFFF"/>
        </w:rPr>
        <w:fldChar w:fldCharType="begin" w:fldLock="1"/>
      </w:r>
      <w:r w:rsidR="007728CD">
        <w:rPr>
          <w:rFonts w:cstheme="minorHAnsi"/>
          <w:color w:val="000000"/>
          <w:shd w:val="clear" w:color="auto" w:fill="FFFFFF"/>
        </w:rPr>
        <w:instrText>ADDIN CSL_CITATION {"citationItems":[{"id":"ITEM-1","itemData":{"author":[{"dropping-particle":"","family":"Royal College of Psychiatrists – College Centre for Quality Improvement","given":"","non-dropping-particle":"","parse-names":false,"suffix":""}],"id":"ITEM-1","issued":{"date-parts":[["2018"]]},"title":"National Clinical Audit of Anxiety and Depression (NCAAD) Audit Implementation Guidance for Local Audit Leads","type":"report"},"uris":["http://www.mendeley.com/documents/?uuid=207b05fc-8277-31ce-860f-fca9e55cb699"]}],"mendeley":{"formattedCitation":"(Royal College of Psychiatrists – College Centre for Quality Improvement, 2018)","plainTextFormattedCitation":"(Royal College of Psychiatrists – College Centre for Quality Improvement, 2018)","previouslyFormattedCitation":"(30)"},"properties":{"noteIndex":0},"schema":"https://github.com/citation-style-language/schema/raw/master/csl-citation.json"}</w:instrText>
      </w:r>
      <w:r w:rsidR="007728CD">
        <w:rPr>
          <w:rStyle w:val="FootnoteReference"/>
          <w:rFonts w:cstheme="minorHAnsi"/>
          <w:color w:val="000000"/>
          <w:shd w:val="clear" w:color="auto" w:fill="FFFFFF"/>
        </w:rPr>
        <w:fldChar w:fldCharType="separate"/>
      </w:r>
      <w:r w:rsidR="007728CD" w:rsidRPr="007728CD">
        <w:rPr>
          <w:rFonts w:cstheme="minorHAnsi"/>
          <w:noProof/>
          <w:color w:val="000000"/>
          <w:shd w:val="clear" w:color="auto" w:fill="FFFFFF"/>
        </w:rPr>
        <w:t>(Royal College of Psychiatrists – College Centre for Quality Improvement, 2018)</w:t>
      </w:r>
      <w:r w:rsidR="007728CD">
        <w:rPr>
          <w:rStyle w:val="FootnoteReference"/>
          <w:rFonts w:cstheme="minorHAnsi"/>
          <w:color w:val="000000"/>
          <w:shd w:val="clear" w:color="auto" w:fill="FFFFFF"/>
        </w:rPr>
        <w:fldChar w:fldCharType="end"/>
      </w:r>
      <w:r w:rsidR="00F5396A">
        <w:rPr>
          <w:rFonts w:cstheme="minorHAnsi"/>
          <w:color w:val="000000"/>
          <w:shd w:val="clear" w:color="auto" w:fill="FFFFFF"/>
        </w:rPr>
        <w:t>.</w:t>
      </w:r>
      <w:r w:rsidRPr="00577996">
        <w:rPr>
          <w:rFonts w:cstheme="minorHAnsi"/>
          <w:color w:val="000000"/>
          <w:shd w:val="clear" w:color="auto" w:fill="FFFFFF"/>
        </w:rPr>
        <w:t xml:space="preserve"> All N</w:t>
      </w:r>
      <w:r w:rsidR="008E1695">
        <w:rPr>
          <w:rFonts w:cstheme="minorHAnsi"/>
          <w:color w:val="000000"/>
          <w:shd w:val="clear" w:color="auto" w:fill="FFFFFF"/>
        </w:rPr>
        <w:t>ational Health Service (NHS)</w:t>
      </w:r>
      <w:r w:rsidR="00E3311A">
        <w:rPr>
          <w:rFonts w:cstheme="minorHAnsi"/>
          <w:color w:val="000000"/>
          <w:shd w:val="clear" w:color="auto" w:fill="FFFFFF"/>
        </w:rPr>
        <w:t xml:space="preserve"> Trusts (state-funded organisations providing public sector health services) in England with</w:t>
      </w:r>
      <w:r w:rsidRPr="00577996">
        <w:rPr>
          <w:rFonts w:cstheme="minorHAnsi"/>
          <w:color w:val="000000"/>
          <w:shd w:val="clear" w:color="auto" w:fill="FFFFFF"/>
        </w:rPr>
        <w:t xml:space="preserve"> inpatient mental health services that provide care to adult patients with diagnoses of anxiety and/or depressive </w:t>
      </w:r>
      <w:r>
        <w:rPr>
          <w:rFonts w:cstheme="minorHAnsi"/>
          <w:color w:val="000000"/>
          <w:shd w:val="clear" w:color="auto" w:fill="FFFFFF"/>
        </w:rPr>
        <w:t>disorders</w:t>
      </w:r>
      <w:r w:rsidRPr="00577996">
        <w:rPr>
          <w:rFonts w:cstheme="minorHAnsi"/>
          <w:color w:val="000000"/>
          <w:shd w:val="clear" w:color="auto" w:fill="FFFFFF"/>
        </w:rPr>
        <w:t xml:space="preserve"> were invited to </w:t>
      </w:r>
      <w:r>
        <w:rPr>
          <w:rFonts w:cstheme="minorHAnsi"/>
          <w:color w:val="000000"/>
          <w:shd w:val="clear" w:color="auto" w:fill="FFFFFF"/>
        </w:rPr>
        <w:t>take part</w:t>
      </w:r>
      <w:r w:rsidRPr="00577996">
        <w:rPr>
          <w:rFonts w:cstheme="minorHAnsi"/>
          <w:color w:val="000000"/>
          <w:shd w:val="clear" w:color="auto" w:fill="FFFFFF"/>
        </w:rPr>
        <w:t xml:space="preserve">. </w:t>
      </w:r>
      <w:r w:rsidR="003034CF">
        <w:rPr>
          <w:rFonts w:cstheme="minorHAnsi"/>
          <w:color w:val="000000"/>
          <w:shd w:val="clear" w:color="auto" w:fill="FFFFFF"/>
        </w:rPr>
        <w:t>Some of these services also provide care to children</w:t>
      </w:r>
      <w:r w:rsidR="00F805FB">
        <w:rPr>
          <w:rFonts w:cstheme="minorHAnsi"/>
          <w:color w:val="000000"/>
          <w:shd w:val="clear" w:color="auto" w:fill="FFFFFF"/>
        </w:rPr>
        <w:t xml:space="preserve">, and where this was the case children </w:t>
      </w:r>
      <w:r w:rsidR="00F805FB" w:rsidRPr="00577996">
        <w:rPr>
          <w:rFonts w:cstheme="minorHAnsi"/>
          <w:color w:val="000000"/>
          <w:shd w:val="clear" w:color="auto" w:fill="FFFFFF"/>
        </w:rPr>
        <w:t xml:space="preserve">aged 16 years </w:t>
      </w:r>
      <w:r w:rsidR="00F805FB">
        <w:rPr>
          <w:rFonts w:cstheme="minorHAnsi"/>
          <w:color w:val="000000"/>
          <w:shd w:val="clear" w:color="auto" w:fill="FFFFFF"/>
        </w:rPr>
        <w:t>or</w:t>
      </w:r>
      <w:r w:rsidR="00F805FB" w:rsidRPr="00577996">
        <w:rPr>
          <w:rFonts w:cstheme="minorHAnsi"/>
          <w:color w:val="000000"/>
          <w:shd w:val="clear" w:color="auto" w:fill="FFFFFF"/>
        </w:rPr>
        <w:t xml:space="preserve"> above</w:t>
      </w:r>
      <w:r w:rsidR="00F805FB">
        <w:rPr>
          <w:rFonts w:cstheme="minorHAnsi"/>
          <w:color w:val="000000"/>
          <w:shd w:val="clear" w:color="auto" w:fill="FFFFFF"/>
        </w:rPr>
        <w:t xml:space="preserve"> were included in the analysis</w:t>
      </w:r>
      <w:r w:rsidR="003034CF">
        <w:rPr>
          <w:rFonts w:cstheme="minorHAnsi"/>
          <w:color w:val="000000"/>
          <w:shd w:val="clear" w:color="auto" w:fill="FFFFFF"/>
        </w:rPr>
        <w:t xml:space="preserve"> – however, services that provide care to children only were not invited to take part.</w:t>
      </w:r>
    </w:p>
    <w:p w14:paraId="0FB10B3F" w14:textId="77777777" w:rsidR="000F76D9" w:rsidRDefault="000F76D9" w:rsidP="000F76D9">
      <w:pPr>
        <w:rPr>
          <w:rFonts w:cstheme="minorHAnsi"/>
          <w:color w:val="000000"/>
          <w:shd w:val="clear" w:color="auto" w:fill="FFFFFF"/>
        </w:rPr>
      </w:pPr>
      <w:r w:rsidRPr="00577996">
        <w:rPr>
          <w:rFonts w:cstheme="minorHAnsi"/>
          <w:color w:val="000000"/>
          <w:shd w:val="clear" w:color="auto" w:fill="FFFFFF"/>
        </w:rPr>
        <w:t>All participating organisations were asked to provide an anonymised list of eligible patients admitted to hospital between 01 April 2017 and 30 September 2017</w:t>
      </w:r>
      <w:r>
        <w:rPr>
          <w:rFonts w:cstheme="minorHAnsi"/>
          <w:color w:val="000000"/>
          <w:shd w:val="clear" w:color="auto" w:fill="FFFFFF"/>
        </w:rPr>
        <w:t>. W</w:t>
      </w:r>
      <w:r w:rsidRPr="00577996">
        <w:rPr>
          <w:rFonts w:cstheme="minorHAnsi"/>
          <w:color w:val="000000"/>
          <w:shd w:val="clear" w:color="auto" w:fill="FFFFFF"/>
        </w:rPr>
        <w:t xml:space="preserve">here patients had more than one admission during this sampling window, only the first admission was used. Patients were eligible for inclusion in the </w:t>
      </w:r>
      <w:r>
        <w:rPr>
          <w:rFonts w:cstheme="minorHAnsi"/>
          <w:color w:val="000000"/>
          <w:shd w:val="clear" w:color="auto" w:fill="FFFFFF"/>
        </w:rPr>
        <w:t>audit</w:t>
      </w:r>
      <w:r w:rsidRPr="00577996">
        <w:rPr>
          <w:rFonts w:cstheme="minorHAnsi"/>
          <w:color w:val="000000"/>
          <w:shd w:val="clear" w:color="auto" w:fill="FFFFFF"/>
        </w:rPr>
        <w:t xml:space="preserve"> if they were aged 16 years </w:t>
      </w:r>
      <w:r>
        <w:rPr>
          <w:rFonts w:cstheme="minorHAnsi"/>
          <w:color w:val="000000"/>
          <w:shd w:val="clear" w:color="auto" w:fill="FFFFFF"/>
        </w:rPr>
        <w:t>or</w:t>
      </w:r>
      <w:r w:rsidRPr="00577996">
        <w:rPr>
          <w:rFonts w:cstheme="minorHAnsi"/>
          <w:color w:val="000000"/>
          <w:shd w:val="clear" w:color="auto" w:fill="FFFFFF"/>
        </w:rPr>
        <w:t xml:space="preserve"> above, and had a primary diagnosis of an anxiety or depressive disorder at the point of discharge (ICD-10 coding). Patients were excluded if they had a primary diagnosis of any psychotic disorder (including F32.3 severe depressive episode with psychotic symptoms), </w:t>
      </w:r>
      <w:r>
        <w:rPr>
          <w:rFonts w:cstheme="minorHAnsi"/>
          <w:color w:val="000000"/>
          <w:shd w:val="clear" w:color="auto" w:fill="FFFFFF"/>
        </w:rPr>
        <w:t>b</w:t>
      </w:r>
      <w:r w:rsidRPr="00577996">
        <w:rPr>
          <w:rFonts w:cstheme="minorHAnsi"/>
          <w:color w:val="000000"/>
          <w:shd w:val="clear" w:color="auto" w:fill="FFFFFF"/>
        </w:rPr>
        <w:t xml:space="preserve">ipolar </w:t>
      </w:r>
      <w:r>
        <w:rPr>
          <w:rFonts w:cstheme="minorHAnsi"/>
          <w:color w:val="000000"/>
          <w:shd w:val="clear" w:color="auto" w:fill="FFFFFF"/>
        </w:rPr>
        <w:t>a</w:t>
      </w:r>
      <w:r w:rsidRPr="00577996">
        <w:rPr>
          <w:rFonts w:cstheme="minorHAnsi"/>
          <w:color w:val="000000"/>
          <w:shd w:val="clear" w:color="auto" w:fill="FFFFFF"/>
        </w:rPr>
        <w:t xml:space="preserve">ffective </w:t>
      </w:r>
      <w:r>
        <w:rPr>
          <w:rFonts w:cstheme="minorHAnsi"/>
          <w:color w:val="000000"/>
          <w:shd w:val="clear" w:color="auto" w:fill="FFFFFF"/>
        </w:rPr>
        <w:t>d</w:t>
      </w:r>
      <w:r w:rsidRPr="00577996">
        <w:rPr>
          <w:rFonts w:cstheme="minorHAnsi"/>
          <w:color w:val="000000"/>
          <w:shd w:val="clear" w:color="auto" w:fill="FFFFFF"/>
        </w:rPr>
        <w:t xml:space="preserve">isorder, </w:t>
      </w:r>
      <w:r>
        <w:rPr>
          <w:rFonts w:cstheme="minorHAnsi"/>
          <w:color w:val="000000"/>
          <w:shd w:val="clear" w:color="auto" w:fill="FFFFFF"/>
        </w:rPr>
        <w:t>c</w:t>
      </w:r>
      <w:r w:rsidRPr="00577996">
        <w:rPr>
          <w:rFonts w:cstheme="minorHAnsi"/>
          <w:color w:val="000000"/>
          <w:shd w:val="clear" w:color="auto" w:fill="FFFFFF"/>
        </w:rPr>
        <w:t>yclothymia or mania</w:t>
      </w:r>
      <w:r>
        <w:rPr>
          <w:rFonts w:cstheme="minorHAnsi"/>
          <w:color w:val="000000"/>
          <w:shd w:val="clear" w:color="auto" w:fill="FFFFFF"/>
        </w:rPr>
        <w:t>,</w:t>
      </w:r>
      <w:r w:rsidRPr="00577996">
        <w:rPr>
          <w:rFonts w:cstheme="minorHAnsi"/>
          <w:color w:val="000000"/>
          <w:shd w:val="clear" w:color="auto" w:fill="FFFFFF"/>
        </w:rPr>
        <w:t xml:space="preserve"> or if they were admitted to a forensic service or long stay ward such as a rehabilitation service.</w:t>
      </w:r>
    </w:p>
    <w:p w14:paraId="1609357F" w14:textId="77777777" w:rsidR="000F76D9" w:rsidRDefault="000F76D9" w:rsidP="000F76D9">
      <w:pPr>
        <w:rPr>
          <w:rFonts w:cstheme="minorHAnsi"/>
          <w:color w:val="000000"/>
          <w:shd w:val="clear" w:color="auto" w:fill="FFFFFF"/>
        </w:rPr>
      </w:pPr>
    </w:p>
    <w:p w14:paraId="7A561928" w14:textId="77777777" w:rsidR="000F76D9" w:rsidRDefault="000F76D9" w:rsidP="000F76D9">
      <w:pPr>
        <w:pStyle w:val="Heading3"/>
        <w:rPr>
          <w:b/>
          <w:bCs/>
          <w:color w:val="000000" w:themeColor="text1"/>
          <w:shd w:val="clear" w:color="auto" w:fill="FFFFFF"/>
        </w:rPr>
      </w:pPr>
      <w:r w:rsidRPr="00DF6C41">
        <w:rPr>
          <w:b/>
          <w:bCs/>
          <w:color w:val="000000" w:themeColor="text1"/>
          <w:shd w:val="clear" w:color="auto" w:fill="FFFFFF"/>
        </w:rPr>
        <w:t>Data Collection</w:t>
      </w:r>
    </w:p>
    <w:p w14:paraId="5410136F" w14:textId="77777777" w:rsidR="000F76D9" w:rsidRPr="00DF6C41" w:rsidRDefault="000F76D9" w:rsidP="000F76D9"/>
    <w:p w14:paraId="07C66591" w14:textId="4219EF85" w:rsidR="000F76D9" w:rsidRPr="00577996" w:rsidRDefault="000F76D9" w:rsidP="000F76D9">
      <w:pPr>
        <w:rPr>
          <w:rFonts w:cstheme="minorHAnsi"/>
          <w:color w:val="000000"/>
          <w:shd w:val="clear" w:color="auto" w:fill="FFFFFF"/>
        </w:rPr>
      </w:pPr>
      <w:r w:rsidRPr="00577996">
        <w:rPr>
          <w:rFonts w:cstheme="minorHAnsi"/>
          <w:color w:val="000000"/>
          <w:shd w:val="clear" w:color="auto" w:fill="FFFFFF"/>
        </w:rPr>
        <w:lastRenderedPageBreak/>
        <w:t xml:space="preserve">A total of </w:t>
      </w:r>
      <w:r w:rsidR="00B7085D">
        <w:rPr>
          <w:rFonts w:cstheme="minorHAnsi"/>
          <w:color w:val="000000"/>
          <w:shd w:val="clear" w:color="auto" w:fill="FFFFFF"/>
        </w:rPr>
        <w:t>fifty-four</w:t>
      </w:r>
      <w:r w:rsidR="00E3311A">
        <w:rPr>
          <w:rFonts w:cstheme="minorHAnsi"/>
          <w:color w:val="000000"/>
          <w:shd w:val="clear" w:color="auto" w:fill="FFFFFF"/>
        </w:rPr>
        <w:t xml:space="preserve"> </w:t>
      </w:r>
      <w:r w:rsidRPr="00577996">
        <w:rPr>
          <w:rFonts w:cstheme="minorHAnsi"/>
          <w:color w:val="000000"/>
          <w:shd w:val="clear" w:color="auto" w:fill="FFFFFF"/>
        </w:rPr>
        <w:t xml:space="preserve">organisations providing mental health services took part in the audit. Staff from each organisation were asked to complete an online ‘audit of practice’ tool for each of their sampled patients, using data from clinical records only. </w:t>
      </w:r>
    </w:p>
    <w:p w14:paraId="34007923" w14:textId="77777777" w:rsidR="0039377E" w:rsidRDefault="000F76D9" w:rsidP="00604E22">
      <w:pPr>
        <w:rPr>
          <w:rFonts w:cstheme="minorHAnsi"/>
          <w:color w:val="000000"/>
          <w:shd w:val="clear" w:color="auto" w:fill="FFFFFF"/>
        </w:rPr>
      </w:pPr>
      <w:r w:rsidRPr="00577996">
        <w:rPr>
          <w:rFonts w:cstheme="minorHAnsi"/>
          <w:color w:val="000000"/>
          <w:shd w:val="clear" w:color="auto" w:fill="FFFFFF"/>
        </w:rPr>
        <w:t>The data collection tool was</w:t>
      </w:r>
      <w:r>
        <w:rPr>
          <w:rFonts w:cstheme="minorHAnsi"/>
          <w:color w:val="000000"/>
          <w:shd w:val="clear" w:color="auto" w:fill="FFFFFF"/>
        </w:rPr>
        <w:t xml:space="preserve"> based on </w:t>
      </w:r>
      <w:r w:rsidR="00AD4A52">
        <w:rPr>
          <w:rFonts w:cstheme="minorHAnsi"/>
          <w:color w:val="000000"/>
          <w:shd w:val="clear" w:color="auto" w:fill="FFFFFF"/>
        </w:rPr>
        <w:t>guidance produced by the National Institute for Health and Care Excellence (</w:t>
      </w:r>
      <w:r w:rsidRPr="00735E7C">
        <w:rPr>
          <w:rFonts w:cstheme="minorHAnsi"/>
          <w:color w:val="000000"/>
          <w:shd w:val="clear" w:color="auto" w:fill="FFFFFF"/>
        </w:rPr>
        <w:t>NICE</w:t>
      </w:r>
      <w:r w:rsidR="00AD4A52">
        <w:rPr>
          <w:rFonts w:cstheme="minorHAnsi"/>
          <w:color w:val="000000"/>
          <w:shd w:val="clear" w:color="auto" w:fill="FFFFFF"/>
        </w:rPr>
        <w:t>)</w:t>
      </w:r>
      <w:r w:rsidRPr="00735E7C">
        <w:rPr>
          <w:rFonts w:cstheme="minorHAnsi"/>
          <w:color w:val="000000"/>
          <w:shd w:val="clear" w:color="auto" w:fill="FFFFFF"/>
        </w:rPr>
        <w:t xml:space="preserve"> for inpatient services</w:t>
      </w:r>
      <w:r w:rsidR="004612F3">
        <w:rPr>
          <w:rFonts w:cstheme="minorHAnsi"/>
          <w:color w:val="000000"/>
          <w:shd w:val="clear" w:color="auto" w:fill="FFFFFF"/>
        </w:rPr>
        <w:t xml:space="preserve"> </w:t>
      </w:r>
      <w:r w:rsidR="007728CD">
        <w:rPr>
          <w:rStyle w:val="FootnoteReference"/>
          <w:rFonts w:cstheme="minorHAnsi"/>
          <w:color w:val="000000"/>
          <w:shd w:val="clear" w:color="auto" w:fill="FFFFFF"/>
        </w:rPr>
        <w:fldChar w:fldCharType="begin" w:fldLock="1"/>
      </w:r>
      <w:r w:rsidR="004612F3">
        <w:rPr>
          <w:rFonts w:cstheme="minorHAnsi"/>
          <w:color w:val="000000"/>
          <w:shd w:val="clear" w:color="auto" w:fill="FFFFFF"/>
        </w:rPr>
        <w:instrText>ADDIN CSL_CITATION {"citationItems":[{"id":"ITEM-1","itemData":{"author":[{"dropping-particle":"","family":"National Institute for Health and Care Excellence (NICE)","given":"","non-dropping-particle":"","parse-names":false,"suffix":""}],"id":"ITEM-1","issued":{"date-parts":[["2011"]]},"publisher":"NICE","title":"Common mental health problems: identification and pathways to care (CG123)","type":"article-journal"},"uris":["http://www.mendeley.com/documents/?uuid=5e1b7200-d08c-3bbc-a1c2-ea24410f12e4"]},{"id":"ITEM-2","itemData":{"author":[{"dropping-particle":"","family":"National Institute for Health and Care Excellence (NICE)","given":"","non-dropping-particle":"","parse-names":false,"suffix":""}],"id":"ITEM-2","issued":{"date-parts":[["2011"]]},"publisher":"NICE","title":"Service user experience in adult mental health: improving the experience of care for people using adult NHS mental health services (CG136)","type":"article-journal"},"uris":["http://www.mendeley.com/documents/?uuid=9d6dac46-dff9-3a6e-b6bf-5eff017c3f2a"]},{"id":"ITEM-3","itemData":{"author":[{"dropping-particle":"","family":"National Institute for Health and Care Excellence (NICE)","given":"","non-dropping-particle":"","parse-names":false,"suffix":""}],"id":"ITEM-3","issued":{"date-parts":[["2016"]]},"publisher":"NICE","title":"Transition between inpatient mental health settings and community or care home settings (NG53)","type":"article-journal"},"uris":["http://www.mendeley.com/documents/?uuid=b3fc694d-9e01-3d48-a2a9-157ef0a8ffbc"]}],"mendeley":{"formattedCitation":"(National Institute for Health and Care Excellence (NICE), 2011a, 2011b, 2016)","manualFormatting":"(National Institute for Health and Care Excellence (NICE), 2011, 2011, 2016)","plainTextFormattedCitation":"(National Institute for Health and Care Excellence (NICE), 2011a, 2011b, 2016)","previouslyFormattedCitation":"(31–33)"},"properties":{"noteIndex":0},"schema":"https://github.com/citation-style-language/schema/raw/master/csl-citation.json"}</w:instrText>
      </w:r>
      <w:r w:rsidR="007728CD">
        <w:rPr>
          <w:rStyle w:val="FootnoteReference"/>
          <w:rFonts w:cstheme="minorHAnsi"/>
          <w:color w:val="000000"/>
          <w:shd w:val="clear" w:color="auto" w:fill="FFFFFF"/>
        </w:rPr>
        <w:fldChar w:fldCharType="separate"/>
      </w:r>
      <w:r w:rsidR="007728CD" w:rsidRPr="007728CD">
        <w:rPr>
          <w:rFonts w:cstheme="minorHAnsi"/>
          <w:noProof/>
          <w:color w:val="000000"/>
          <w:shd w:val="clear" w:color="auto" w:fill="FFFFFF"/>
        </w:rPr>
        <w:t>(National Institute for Health and Care Excellence, 2011, 2011, 2016)</w:t>
      </w:r>
      <w:r w:rsidR="007728CD">
        <w:rPr>
          <w:rStyle w:val="FootnoteReference"/>
          <w:rFonts w:cstheme="minorHAnsi"/>
          <w:color w:val="000000"/>
          <w:shd w:val="clear" w:color="auto" w:fill="FFFFFF"/>
        </w:rPr>
        <w:fldChar w:fldCharType="end"/>
      </w:r>
      <w:r w:rsidRPr="00735E7C">
        <w:rPr>
          <w:rFonts w:cstheme="minorHAnsi"/>
          <w:color w:val="000000"/>
          <w:shd w:val="clear" w:color="auto" w:fill="FFFFFF"/>
        </w:rPr>
        <w:t xml:space="preserve"> and the ‘Standards for Inpatient Mental Health Services’ as defined by the Royal College of Psychiatrists’ College Centre for Quality Improvement</w:t>
      </w:r>
      <w:r w:rsidR="004612F3">
        <w:rPr>
          <w:rFonts w:cstheme="minorHAnsi"/>
          <w:color w:val="000000"/>
          <w:shd w:val="clear" w:color="auto" w:fill="FFFFFF"/>
        </w:rPr>
        <w:t xml:space="preserve"> </w:t>
      </w:r>
      <w:r w:rsidR="007728CD">
        <w:rPr>
          <w:rStyle w:val="FootnoteReference"/>
          <w:rFonts w:cstheme="minorHAnsi"/>
          <w:color w:val="000000"/>
          <w:shd w:val="clear" w:color="auto" w:fill="FFFFFF"/>
        </w:rPr>
        <w:fldChar w:fldCharType="begin" w:fldLock="1"/>
      </w:r>
      <w:r w:rsidR="004612F3">
        <w:rPr>
          <w:rFonts w:cstheme="minorHAnsi"/>
          <w:color w:val="000000"/>
          <w:shd w:val="clear" w:color="auto" w:fill="FFFFFF"/>
        </w:rPr>
        <w:instrText>ADDIN CSL_CITATION {"citationItems":[{"id":"ITEM-1","itemData":{"URL":"http://www.cqc.org.uk/content/fundamental-standards","accessed":{"date-parts":[["2019","6","12"]]},"author":[{"dropping-particle":"","family":"Royal College of Psychiatrists – College Centre for Quality Improvement","given":"","non-dropping-particle":"","parse-names":false,"suffix":""}],"id":"ITEM-1","issued":{"date-parts":[["2017"]]},"title":"Standards for Inpatient Mental Health Services, second edition","type":"webpage"},"uris":["http://www.mendeley.com/documents/?uuid=a2a55bb8-0c24-3519-bcdc-9400fc2ff923"]}],"mendeley":{"formattedCitation":"(Royal College of Psychiatrists – College Centre for Quality Improvement, 2017)","manualFormatting":"(Royal College of Psychiatrists, 2017)","plainTextFormattedCitation":"(Royal College of Psychiatrists – College Centre for Quality Improvement, 2017)","previouslyFormattedCitation":"(34)"},"properties":{"noteIndex":0},"schema":"https://github.com/citation-style-language/schema/raw/master/csl-citation.json"}</w:instrText>
      </w:r>
      <w:r w:rsidR="007728CD">
        <w:rPr>
          <w:rStyle w:val="FootnoteReference"/>
          <w:rFonts w:cstheme="minorHAnsi"/>
          <w:color w:val="000000"/>
          <w:shd w:val="clear" w:color="auto" w:fill="FFFFFF"/>
        </w:rPr>
        <w:fldChar w:fldCharType="separate"/>
      </w:r>
      <w:r w:rsidR="007728CD" w:rsidRPr="007728CD">
        <w:rPr>
          <w:rFonts w:cstheme="minorHAnsi"/>
          <w:noProof/>
          <w:color w:val="000000"/>
          <w:shd w:val="clear" w:color="auto" w:fill="FFFFFF"/>
        </w:rPr>
        <w:t>(Royal College of Psychiatrists, 2017)</w:t>
      </w:r>
      <w:r w:rsidR="007728CD">
        <w:rPr>
          <w:rStyle w:val="FootnoteReference"/>
          <w:rFonts w:cstheme="minorHAnsi"/>
          <w:color w:val="000000"/>
          <w:shd w:val="clear" w:color="auto" w:fill="FFFFFF"/>
        </w:rPr>
        <w:fldChar w:fldCharType="end"/>
      </w:r>
      <w:r>
        <w:rPr>
          <w:rFonts w:cstheme="minorHAnsi"/>
          <w:color w:val="000000"/>
          <w:shd w:val="clear" w:color="auto" w:fill="FFFFFF"/>
        </w:rPr>
        <w:t xml:space="preserve">; and was </w:t>
      </w:r>
      <w:r w:rsidRPr="00577996">
        <w:rPr>
          <w:rFonts w:cstheme="minorHAnsi"/>
          <w:color w:val="000000"/>
          <w:shd w:val="clear" w:color="auto" w:fill="FFFFFF"/>
        </w:rPr>
        <w:t xml:space="preserve">developed in collaboration with users and providers of psychiatric inpatient services, as well as representatives with lived experience of supporting patients. </w:t>
      </w:r>
      <w:r>
        <w:rPr>
          <w:rFonts w:cstheme="minorHAnsi"/>
          <w:color w:val="000000"/>
          <w:shd w:val="clear" w:color="auto" w:fill="FFFFFF"/>
        </w:rPr>
        <w:t>It</w:t>
      </w:r>
      <w:r w:rsidRPr="00577996">
        <w:rPr>
          <w:rFonts w:cstheme="minorHAnsi"/>
          <w:color w:val="000000"/>
          <w:shd w:val="clear" w:color="auto" w:fill="FFFFFF"/>
        </w:rPr>
        <w:t xml:space="preserve"> included questions on patient demographics, details of admission (time/ date of admission/ discharge), diagnosis, assessment, care planning, medication, psychological therapies, physical health, discharge, re-admission, crisis planning and follow-up</w:t>
      </w:r>
      <w:r w:rsidR="00C665C0">
        <w:rPr>
          <w:rFonts w:cstheme="minorHAnsi"/>
          <w:color w:val="000000"/>
          <w:shd w:val="clear" w:color="auto" w:fill="FFFFFF"/>
        </w:rPr>
        <w:t xml:space="preserve"> (see </w:t>
      </w:r>
      <w:r w:rsidR="00C665C0">
        <w:rPr>
          <w:rFonts w:cstheme="minorHAnsi"/>
          <w:color w:val="000000"/>
          <w:shd w:val="clear" w:color="auto" w:fill="FFFFFF"/>
        </w:rPr>
        <w:lastRenderedPageBreak/>
        <w:t>‘exposure, outcome measures and covariates)</w:t>
      </w:r>
      <w:r w:rsidRPr="00577996">
        <w:rPr>
          <w:rFonts w:cstheme="minorHAnsi"/>
          <w:color w:val="000000"/>
          <w:shd w:val="clear" w:color="auto" w:fill="FFFFFF"/>
        </w:rPr>
        <w:t>.</w:t>
      </w:r>
      <w:r>
        <w:rPr>
          <w:rFonts w:cstheme="minorHAnsi"/>
          <w:color w:val="000000"/>
          <w:shd w:val="clear" w:color="auto" w:fill="FFFFFF"/>
        </w:rPr>
        <w:t xml:space="preserve"> </w:t>
      </w:r>
      <w:r w:rsidRPr="00577996">
        <w:rPr>
          <w:rFonts w:cstheme="minorHAnsi"/>
          <w:color w:val="000000"/>
          <w:shd w:val="clear" w:color="auto" w:fill="FFFFFF"/>
        </w:rPr>
        <w:t xml:space="preserve">The tool was piloted by six volunteer </w:t>
      </w:r>
      <w:r>
        <w:rPr>
          <w:rFonts w:cstheme="minorHAnsi"/>
          <w:color w:val="000000"/>
          <w:shd w:val="clear" w:color="auto" w:fill="FFFFFF"/>
        </w:rPr>
        <w:t>T</w:t>
      </w:r>
      <w:r w:rsidRPr="00577996">
        <w:rPr>
          <w:rFonts w:cstheme="minorHAnsi"/>
          <w:color w:val="000000"/>
          <w:shd w:val="clear" w:color="auto" w:fill="FFFFFF"/>
        </w:rPr>
        <w:t>rusts prior to the main audit</w:t>
      </w:r>
      <w:r w:rsidR="00604E22">
        <w:rPr>
          <w:rFonts w:cstheme="minorHAnsi"/>
          <w:color w:val="000000"/>
          <w:shd w:val="clear" w:color="auto" w:fill="FFFFFF"/>
        </w:rPr>
        <w:t xml:space="preserve">. </w:t>
      </w:r>
    </w:p>
    <w:p w14:paraId="33C6A013" w14:textId="10718904" w:rsidR="00604E22" w:rsidRPr="00604E22" w:rsidRDefault="0039377E" w:rsidP="00604E22">
      <w:pPr>
        <w:rPr>
          <w:rFonts w:cstheme="minorHAnsi"/>
          <w:color w:val="000000"/>
          <w:shd w:val="clear" w:color="auto" w:fill="FFFFFF"/>
        </w:rPr>
      </w:pPr>
      <w:r w:rsidRPr="00604E22">
        <w:rPr>
          <w:rFonts w:cstheme="minorHAnsi"/>
          <w:color w:val="000000"/>
          <w:shd w:val="clear" w:color="auto" w:fill="FFFFFF"/>
        </w:rPr>
        <w:t>Five of each organisation’s sampled patients were audited twice by two separate auditors, and the results compared by the audit team to determine inter-rater reliability. Levels of inter-rater agreement were generally high, with 30% of items having complete agreement, 39% having substantial agreement and 31% having moderate to low agreement</w:t>
      </w:r>
      <w:r>
        <w:rPr>
          <w:rFonts w:cstheme="minorHAnsi"/>
          <w:color w:val="000000"/>
          <w:shd w:val="clear" w:color="auto" w:fill="FFFFFF"/>
        </w:rPr>
        <w:t xml:space="preserve">. </w:t>
      </w:r>
      <w:r w:rsidRPr="00604E22">
        <w:rPr>
          <w:rFonts w:cstheme="minorHAnsi"/>
          <w:color w:val="000000"/>
          <w:shd w:val="clear" w:color="auto" w:fill="FFFFFF"/>
        </w:rPr>
        <w:t xml:space="preserve"> </w:t>
      </w:r>
      <w:r>
        <w:rPr>
          <w:rFonts w:cstheme="minorHAnsi"/>
          <w:color w:val="000000"/>
          <w:shd w:val="clear" w:color="auto" w:fill="FFFFFF"/>
        </w:rPr>
        <w:t>Following the pilot phase, s</w:t>
      </w:r>
      <w:r w:rsidRPr="00604E22">
        <w:rPr>
          <w:rFonts w:cstheme="minorHAnsi"/>
          <w:color w:val="000000"/>
          <w:shd w:val="clear" w:color="auto" w:fill="FFFFFF"/>
        </w:rPr>
        <w:t xml:space="preserve">ome items with moderate or low agreement were removed from the full audit. In other </w:t>
      </w:r>
      <w:proofErr w:type="gramStart"/>
      <w:r w:rsidRPr="00604E22">
        <w:rPr>
          <w:rFonts w:cstheme="minorHAnsi"/>
          <w:color w:val="000000"/>
          <w:shd w:val="clear" w:color="auto" w:fill="FFFFFF"/>
        </w:rPr>
        <w:t>instances</w:t>
      </w:r>
      <w:proofErr w:type="gramEnd"/>
      <w:r w:rsidRPr="00604E22">
        <w:rPr>
          <w:rFonts w:cstheme="minorHAnsi"/>
          <w:color w:val="000000"/>
          <w:shd w:val="clear" w:color="auto" w:fill="FFFFFF"/>
        </w:rPr>
        <w:t xml:space="preserve"> information to guide those collecting data in the full audit was changed in an effort to improve reliability. </w:t>
      </w:r>
      <w:r>
        <w:rPr>
          <w:rFonts w:cstheme="minorHAnsi"/>
          <w:color w:val="000000"/>
          <w:shd w:val="clear" w:color="auto" w:fill="FFFFFF"/>
        </w:rPr>
        <w:t>T</w:t>
      </w:r>
      <w:r w:rsidRPr="00604E22">
        <w:rPr>
          <w:rFonts w:cstheme="minorHAnsi"/>
          <w:color w:val="000000"/>
          <w:shd w:val="clear" w:color="auto" w:fill="FFFFFF"/>
        </w:rPr>
        <w:t>he full report of inter-rater reliability for specific items is available online (Royal College of Psychiatrists, 2019).</w:t>
      </w:r>
      <w:r>
        <w:rPr>
          <w:rFonts w:cstheme="minorHAnsi"/>
          <w:color w:val="000000"/>
          <w:shd w:val="clear" w:color="auto" w:fill="FFFFFF"/>
        </w:rPr>
        <w:t xml:space="preserve"> </w:t>
      </w:r>
      <w:r w:rsidR="00604E22" w:rsidRPr="00604E22">
        <w:rPr>
          <w:rFonts w:cstheme="minorHAnsi"/>
          <w:color w:val="000000"/>
          <w:shd w:val="clear" w:color="auto" w:fill="FFFFFF"/>
        </w:rPr>
        <w:t xml:space="preserve">Three organisations were also selected at random for quality assurance visits by an external clinician and member of the audit team to examine whether the submitted data were accurate. </w:t>
      </w:r>
    </w:p>
    <w:p w14:paraId="61330FCA" w14:textId="120760FC" w:rsidR="000F76D9" w:rsidRDefault="000F76D9" w:rsidP="000F76D9">
      <w:pPr>
        <w:rPr>
          <w:rFonts w:cstheme="minorHAnsi"/>
          <w:color w:val="000000"/>
          <w:shd w:val="clear" w:color="auto" w:fill="FFFFFF"/>
        </w:rPr>
      </w:pPr>
    </w:p>
    <w:p w14:paraId="7EF1A759" w14:textId="0A726AC2" w:rsidR="000F76D9" w:rsidRDefault="000F76D9" w:rsidP="000F76D9">
      <w:pPr>
        <w:rPr>
          <w:rFonts w:cstheme="minorHAnsi"/>
          <w:color w:val="000000"/>
          <w:shd w:val="clear" w:color="auto" w:fill="FFFFFF"/>
        </w:rPr>
      </w:pPr>
      <w:r>
        <w:rPr>
          <w:rFonts w:cstheme="minorHAnsi"/>
          <w:color w:val="000000"/>
          <w:shd w:val="clear" w:color="auto" w:fill="FFFFFF"/>
        </w:rPr>
        <w:t>The</w:t>
      </w:r>
      <w:r w:rsidRPr="00837369">
        <w:rPr>
          <w:rFonts w:cstheme="minorHAnsi"/>
          <w:color w:val="000000"/>
          <w:shd w:val="clear" w:color="auto" w:fill="FFFFFF"/>
        </w:rPr>
        <w:t xml:space="preserve"> National Research Ethics Service and the Ethics and Confidentiality Committee of the National Information Governance Board advised that formal ethical approval</w:t>
      </w:r>
      <w:r w:rsidR="00217FE8">
        <w:rPr>
          <w:rFonts w:cstheme="minorHAnsi"/>
          <w:color w:val="000000"/>
          <w:shd w:val="clear" w:color="auto" w:fill="FFFFFF"/>
        </w:rPr>
        <w:t>/ written consent from participants</w:t>
      </w:r>
      <w:r w:rsidRPr="00837369">
        <w:rPr>
          <w:rFonts w:cstheme="minorHAnsi"/>
          <w:color w:val="000000"/>
          <w:shd w:val="clear" w:color="auto" w:fill="FFFFFF"/>
        </w:rPr>
        <w:t xml:space="preserve"> was not required because this was an audit and patient identifiable data were not being collected. </w:t>
      </w:r>
      <w:r>
        <w:rPr>
          <w:rFonts w:cstheme="minorHAnsi"/>
          <w:color w:val="000000"/>
          <w:shd w:val="clear" w:color="auto" w:fill="FFFFFF"/>
        </w:rPr>
        <w:t>All</w:t>
      </w:r>
      <w:r w:rsidRPr="00837369">
        <w:rPr>
          <w:rFonts w:cstheme="minorHAnsi"/>
          <w:color w:val="000000"/>
          <w:shd w:val="clear" w:color="auto" w:fill="FFFFFF"/>
        </w:rPr>
        <w:t xml:space="preserve"> procedures contributing to this work comply with the ethical standards of the relevant national and institutional committees on human experimentation and with the Helsinki Declaration of 1975, as revised in 2008.</w:t>
      </w:r>
    </w:p>
    <w:p w14:paraId="17AE01E9" w14:textId="77777777" w:rsidR="000F76D9" w:rsidRPr="00C93243" w:rsidRDefault="000F76D9" w:rsidP="000F76D9">
      <w:pPr>
        <w:rPr>
          <w:highlight w:val="yellow"/>
        </w:rPr>
      </w:pPr>
    </w:p>
    <w:p w14:paraId="098C15CC" w14:textId="77777777" w:rsidR="000F76D9" w:rsidRPr="00DF55F6" w:rsidRDefault="000F76D9" w:rsidP="000F76D9">
      <w:pPr>
        <w:spacing w:after="0" w:line="240" w:lineRule="auto"/>
        <w:rPr>
          <w:rFonts w:cstheme="minorHAnsi"/>
        </w:rPr>
      </w:pPr>
    </w:p>
    <w:p w14:paraId="5E2CF7E4" w14:textId="77777777" w:rsidR="000F76D9" w:rsidRPr="001E3611" w:rsidRDefault="000F76D9" w:rsidP="000F76D9">
      <w:pPr>
        <w:pStyle w:val="Heading3"/>
        <w:rPr>
          <w:b/>
          <w:bCs/>
          <w:color w:val="000000" w:themeColor="text1"/>
          <w:shd w:val="clear" w:color="auto" w:fill="FFFFFF"/>
        </w:rPr>
      </w:pPr>
      <w:r w:rsidRPr="00600A0E">
        <w:rPr>
          <w:b/>
          <w:bCs/>
          <w:color w:val="000000" w:themeColor="text1"/>
          <w:shd w:val="clear" w:color="auto" w:fill="FFFFFF"/>
        </w:rPr>
        <w:t>Exposure, outcome measures and covariates</w:t>
      </w:r>
    </w:p>
    <w:p w14:paraId="7E2EDC49" w14:textId="77777777" w:rsidR="000F76D9" w:rsidRPr="00DF55F6" w:rsidRDefault="000F76D9" w:rsidP="000F76D9">
      <w:pPr>
        <w:spacing w:after="0" w:line="240" w:lineRule="auto"/>
        <w:rPr>
          <w:rFonts w:cstheme="minorHAnsi"/>
        </w:rPr>
      </w:pPr>
    </w:p>
    <w:p w14:paraId="66C5E363" w14:textId="7B0F2CF3" w:rsidR="000F76D9" w:rsidRPr="00DF55F6" w:rsidRDefault="000F76D9" w:rsidP="000F76D9">
      <w:pPr>
        <w:spacing w:after="0" w:line="240" w:lineRule="auto"/>
        <w:rPr>
          <w:rFonts w:cstheme="minorHAnsi"/>
        </w:rPr>
      </w:pPr>
      <w:r w:rsidRPr="00DF55F6">
        <w:rPr>
          <w:rFonts w:cstheme="minorHAnsi"/>
        </w:rPr>
        <w:t xml:space="preserve">Patients were categorised according to whether they had a secondary diagnosis of </w:t>
      </w:r>
      <w:r w:rsidR="00017073">
        <w:rPr>
          <w:rFonts w:cstheme="minorHAnsi"/>
        </w:rPr>
        <w:t xml:space="preserve">any </w:t>
      </w:r>
      <w:r w:rsidRPr="00DF55F6">
        <w:rPr>
          <w:rFonts w:cstheme="minorHAnsi"/>
        </w:rPr>
        <w:t>‘</w:t>
      </w:r>
      <w:r w:rsidR="00017073">
        <w:rPr>
          <w:rFonts w:cstheme="minorHAnsi"/>
        </w:rPr>
        <w:t xml:space="preserve">mental or </w:t>
      </w:r>
      <w:proofErr w:type="spellStart"/>
      <w:r w:rsidR="00017073">
        <w:rPr>
          <w:rFonts w:cstheme="minorHAnsi"/>
        </w:rPr>
        <w:t>behavioral</w:t>
      </w:r>
      <w:proofErr w:type="spellEnd"/>
      <w:r w:rsidR="00017073">
        <w:rPr>
          <w:rFonts w:cstheme="minorHAnsi"/>
        </w:rPr>
        <w:t xml:space="preserve"> disorder due to psychoactive substance use</w:t>
      </w:r>
      <w:r w:rsidRPr="00DF55F6">
        <w:rPr>
          <w:rFonts w:cstheme="minorHAnsi"/>
        </w:rPr>
        <w:t>’ (ICD code</w:t>
      </w:r>
      <w:r w:rsidR="00017073">
        <w:rPr>
          <w:rFonts w:cstheme="minorHAnsi"/>
        </w:rPr>
        <w:t>s</w:t>
      </w:r>
      <w:r w:rsidRPr="00DF55F6">
        <w:rPr>
          <w:rFonts w:cstheme="minorHAnsi"/>
        </w:rPr>
        <w:t xml:space="preserve"> F</w:t>
      </w:r>
      <w:r w:rsidR="00017073">
        <w:rPr>
          <w:rFonts w:cstheme="minorHAnsi"/>
        </w:rPr>
        <w:t>10-19</w:t>
      </w:r>
      <w:r w:rsidRPr="00DF55F6">
        <w:rPr>
          <w:rFonts w:cstheme="minorHAnsi"/>
        </w:rPr>
        <w:t xml:space="preserve">). No information on </w:t>
      </w:r>
      <w:r>
        <w:rPr>
          <w:rFonts w:cstheme="minorHAnsi"/>
        </w:rPr>
        <w:t>specific</w:t>
      </w:r>
      <w:r w:rsidRPr="00DF55F6">
        <w:rPr>
          <w:rFonts w:cstheme="minorHAnsi"/>
        </w:rPr>
        <w:t xml:space="preserve"> sub</w:t>
      </w:r>
      <w:r>
        <w:rPr>
          <w:rFonts w:cstheme="minorHAnsi"/>
        </w:rPr>
        <w:t>-</w:t>
      </w:r>
      <w:r w:rsidRPr="00DF55F6">
        <w:rPr>
          <w:rFonts w:cstheme="minorHAnsi"/>
        </w:rPr>
        <w:t>type</w:t>
      </w:r>
      <w:r w:rsidR="00017073">
        <w:rPr>
          <w:rFonts w:cstheme="minorHAnsi"/>
        </w:rPr>
        <w:t xml:space="preserve"> of disorder or substance</w:t>
      </w:r>
      <w:r w:rsidRPr="00DF55F6">
        <w:rPr>
          <w:rFonts w:cstheme="minorHAnsi"/>
        </w:rPr>
        <w:t xml:space="preserve"> was gathered.</w:t>
      </w:r>
      <w:r w:rsidRPr="009A4A24">
        <w:rPr>
          <w:rFonts w:cstheme="minorHAnsi"/>
        </w:rPr>
        <w:t xml:space="preserve"> </w:t>
      </w:r>
      <w:r>
        <w:rPr>
          <w:rFonts w:cstheme="minorHAnsi"/>
        </w:rPr>
        <w:t xml:space="preserve">Quality of clinical care was assessed using data from </w:t>
      </w:r>
      <w:r w:rsidRPr="00DF55F6">
        <w:rPr>
          <w:rFonts w:cstheme="minorHAnsi"/>
        </w:rPr>
        <w:t>24 questions, based on the ‘Standards for Inpatient Mental Health Services’ as defined by the Royal College of Psychiatrists’ College Centre for Quality Improvement</w:t>
      </w:r>
      <w:r w:rsidR="004612F3">
        <w:rPr>
          <w:rFonts w:cstheme="minorHAnsi"/>
        </w:rPr>
        <w:t xml:space="preserve"> </w:t>
      </w:r>
      <w:r w:rsidR="007728CD">
        <w:rPr>
          <w:rStyle w:val="FootnoteReference"/>
          <w:rFonts w:cstheme="minorHAnsi"/>
        </w:rPr>
        <w:fldChar w:fldCharType="begin" w:fldLock="1"/>
      </w:r>
      <w:r w:rsidR="004612F3">
        <w:rPr>
          <w:rFonts w:cstheme="minorHAnsi"/>
        </w:rPr>
        <w:instrText>ADDIN CSL_CITATION {"citationItems":[{"id":"ITEM-1","itemData":{"URL":"http://www.cqc.org.uk/content/fundamental-standards","accessed":{"date-parts":[["2019","6","12"]]},"author":[{"dropping-particle":"","family":"Royal College of Psychiatrists – College Centre for Quality Improvement","given":"","non-dropping-particle":"","parse-names":false,"suffix":""}],"id":"ITEM-1","issued":{"date-parts":[["2017"]]},"title":"Standards for Inpatient Mental Health Services, second edition","type":"webpage"},"uris":["http://www.mendeley.com/documents/?uuid=a2a55bb8-0c24-3519-bcdc-9400fc2ff923"]}],"mendeley":{"formattedCitation":"(Royal College of Psychiatrists – College Centre for Quality Improvement, 2017)","manualFormatting":"(Royal College of Psychiatrists, 2017)","plainTextFormattedCitation":"(Royal College of Psychiatrists – College Centre for Quality Improvement, 2017)","previouslyFormattedCitation":"(34)"},"properties":{"noteIndex":0},"schema":"https://github.com/citation-style-language/schema/raw/master/csl-citation.json"}</w:instrText>
      </w:r>
      <w:r w:rsidR="007728CD">
        <w:rPr>
          <w:rStyle w:val="FootnoteReference"/>
          <w:rFonts w:cstheme="minorHAnsi"/>
        </w:rPr>
        <w:fldChar w:fldCharType="separate"/>
      </w:r>
      <w:r w:rsidR="007728CD" w:rsidRPr="007728CD">
        <w:rPr>
          <w:rFonts w:cstheme="minorHAnsi"/>
          <w:noProof/>
        </w:rPr>
        <w:t>(Royal College of Psychiatrists, 2017)</w:t>
      </w:r>
      <w:r w:rsidR="007728CD">
        <w:rPr>
          <w:rStyle w:val="FootnoteReference"/>
          <w:rFonts w:cstheme="minorHAnsi"/>
        </w:rPr>
        <w:fldChar w:fldCharType="end"/>
      </w:r>
      <w:r w:rsidR="004612F3">
        <w:rPr>
          <w:rFonts w:cstheme="minorHAnsi"/>
        </w:rPr>
        <w:t>.</w:t>
      </w:r>
    </w:p>
    <w:p w14:paraId="50B14B5E" w14:textId="77777777" w:rsidR="000F76D9" w:rsidRPr="00DF55F6" w:rsidRDefault="000F76D9" w:rsidP="000F76D9">
      <w:pPr>
        <w:spacing w:after="0" w:line="240" w:lineRule="auto"/>
        <w:rPr>
          <w:rFonts w:cstheme="minorHAnsi"/>
        </w:rPr>
      </w:pPr>
    </w:p>
    <w:p w14:paraId="3CA53F66" w14:textId="77777777" w:rsidR="000F76D9" w:rsidRPr="008F5CFD" w:rsidRDefault="000F76D9" w:rsidP="000F76D9">
      <w:pPr>
        <w:rPr>
          <w:rFonts w:cstheme="minorHAnsi"/>
          <w:color w:val="000000"/>
          <w:shd w:val="clear" w:color="auto" w:fill="FFFFFF"/>
        </w:rPr>
      </w:pPr>
      <w:r w:rsidRPr="008F5CFD">
        <w:rPr>
          <w:rFonts w:cstheme="minorHAnsi"/>
          <w:color w:val="000000"/>
          <w:shd w:val="clear" w:color="auto" w:fill="FFFFFF"/>
        </w:rPr>
        <w:t>These were:</w:t>
      </w:r>
    </w:p>
    <w:p w14:paraId="2A7DF543" w14:textId="77777777" w:rsidR="000F76D9" w:rsidRPr="00BE372F" w:rsidRDefault="000F76D9" w:rsidP="000F76D9">
      <w:pPr>
        <w:pStyle w:val="ListParagraph"/>
        <w:numPr>
          <w:ilvl w:val="0"/>
          <w:numId w:val="16"/>
        </w:numPr>
        <w:jc w:val="left"/>
        <w:rPr>
          <w:rFonts w:asciiTheme="minorHAnsi" w:hAnsiTheme="minorHAnsi" w:cstheme="minorHAnsi"/>
          <w:color w:val="000000"/>
          <w:sz w:val="22"/>
          <w:shd w:val="clear" w:color="auto" w:fill="FFFFFF"/>
        </w:rPr>
      </w:pPr>
      <w:r w:rsidRPr="00BE372F">
        <w:rPr>
          <w:rFonts w:asciiTheme="minorHAnsi" w:hAnsiTheme="minorHAnsi" w:cstheme="minorHAnsi"/>
          <w:color w:val="000000"/>
          <w:sz w:val="22"/>
          <w:shd w:val="clear" w:color="auto" w:fill="FFFFFF"/>
        </w:rPr>
        <w:t>Did the (initial) assessment include details about the service user’s past response to treatment?</w:t>
      </w:r>
    </w:p>
    <w:p w14:paraId="3D36D093" w14:textId="77777777" w:rsidR="000F76D9" w:rsidRPr="00BE372F" w:rsidRDefault="000F76D9" w:rsidP="000F76D9">
      <w:pPr>
        <w:pStyle w:val="ListParagraph"/>
        <w:numPr>
          <w:ilvl w:val="0"/>
          <w:numId w:val="16"/>
        </w:numPr>
        <w:jc w:val="left"/>
        <w:rPr>
          <w:rFonts w:asciiTheme="minorHAnsi" w:hAnsiTheme="minorHAnsi" w:cstheme="minorHAnsi"/>
          <w:color w:val="000000"/>
          <w:sz w:val="22"/>
          <w:shd w:val="clear" w:color="auto" w:fill="FFFFFF"/>
        </w:rPr>
      </w:pPr>
      <w:r w:rsidRPr="00BE372F">
        <w:rPr>
          <w:rFonts w:asciiTheme="minorHAnsi" w:hAnsiTheme="minorHAnsi" w:cstheme="minorHAnsi"/>
          <w:color w:val="000000"/>
          <w:sz w:val="22"/>
          <w:shd w:val="clear" w:color="auto" w:fill="FFFFFF"/>
        </w:rPr>
        <w:t>Did the (initial) assessment consider whether the service user had a history of trauma?</w:t>
      </w:r>
    </w:p>
    <w:p w14:paraId="7AEC6AF2" w14:textId="77777777" w:rsidR="000F76D9" w:rsidRPr="00BE372F" w:rsidRDefault="000F76D9" w:rsidP="000F76D9">
      <w:pPr>
        <w:pStyle w:val="ListParagraph"/>
        <w:numPr>
          <w:ilvl w:val="0"/>
          <w:numId w:val="16"/>
        </w:numPr>
        <w:jc w:val="left"/>
        <w:rPr>
          <w:rFonts w:asciiTheme="minorHAnsi" w:hAnsiTheme="minorHAnsi" w:cstheme="minorHAnsi"/>
          <w:color w:val="000000"/>
          <w:sz w:val="22"/>
          <w:shd w:val="clear" w:color="auto" w:fill="FFFFFF"/>
        </w:rPr>
      </w:pPr>
      <w:r w:rsidRPr="00BE372F">
        <w:rPr>
          <w:rFonts w:asciiTheme="minorHAnsi" w:hAnsiTheme="minorHAnsi" w:cstheme="minorHAnsi"/>
          <w:color w:val="000000"/>
          <w:sz w:val="22"/>
          <w:shd w:val="clear" w:color="auto" w:fill="FFFFFF"/>
        </w:rPr>
        <w:t>Was there a documented current BMI?</w:t>
      </w:r>
    </w:p>
    <w:p w14:paraId="5ACFB40F" w14:textId="77777777" w:rsidR="000F76D9" w:rsidRPr="00BE372F" w:rsidRDefault="000F76D9" w:rsidP="000F76D9">
      <w:pPr>
        <w:pStyle w:val="ListParagraph"/>
        <w:numPr>
          <w:ilvl w:val="0"/>
          <w:numId w:val="16"/>
        </w:numPr>
        <w:jc w:val="left"/>
        <w:rPr>
          <w:rFonts w:asciiTheme="minorHAnsi" w:hAnsiTheme="minorHAnsi" w:cstheme="minorHAnsi"/>
          <w:color w:val="000000"/>
          <w:sz w:val="22"/>
          <w:shd w:val="clear" w:color="auto" w:fill="FFFFFF"/>
        </w:rPr>
      </w:pPr>
      <w:r w:rsidRPr="00BE372F">
        <w:rPr>
          <w:rFonts w:asciiTheme="minorHAnsi" w:hAnsiTheme="minorHAnsi" w:cstheme="minorHAnsi"/>
          <w:color w:val="000000"/>
          <w:sz w:val="22"/>
          <w:shd w:val="clear" w:color="auto" w:fill="FFFFFF"/>
        </w:rPr>
        <w:lastRenderedPageBreak/>
        <w:t>Was there a documented current smoking status?</w:t>
      </w:r>
    </w:p>
    <w:p w14:paraId="6D3B7DE3" w14:textId="77777777" w:rsidR="000F76D9" w:rsidRPr="00BE372F" w:rsidRDefault="000F76D9" w:rsidP="000F76D9">
      <w:pPr>
        <w:pStyle w:val="ListParagraph"/>
        <w:numPr>
          <w:ilvl w:val="0"/>
          <w:numId w:val="16"/>
        </w:numPr>
        <w:jc w:val="left"/>
        <w:rPr>
          <w:rFonts w:asciiTheme="minorHAnsi" w:hAnsiTheme="minorHAnsi" w:cstheme="minorHAnsi"/>
          <w:color w:val="000000"/>
          <w:sz w:val="22"/>
          <w:shd w:val="clear" w:color="auto" w:fill="FFFFFF"/>
        </w:rPr>
      </w:pPr>
      <w:r w:rsidRPr="00BE372F">
        <w:rPr>
          <w:rFonts w:asciiTheme="minorHAnsi" w:hAnsiTheme="minorHAnsi" w:cstheme="minorHAnsi"/>
          <w:color w:val="000000"/>
          <w:sz w:val="22"/>
          <w:shd w:val="clear" w:color="auto" w:fill="FFFFFF"/>
        </w:rPr>
        <w:t>Was the identified family member, friend or carer provided with information about available support services and/or a support plan? (where an appropriate family member, friend or carer had been identified)</w:t>
      </w:r>
    </w:p>
    <w:p w14:paraId="1E595086" w14:textId="77777777" w:rsidR="000F76D9" w:rsidRPr="00BE372F" w:rsidRDefault="000F76D9" w:rsidP="000F76D9">
      <w:pPr>
        <w:pStyle w:val="ListParagraph"/>
        <w:numPr>
          <w:ilvl w:val="0"/>
          <w:numId w:val="16"/>
        </w:numPr>
        <w:jc w:val="left"/>
        <w:rPr>
          <w:rFonts w:asciiTheme="minorHAnsi" w:hAnsiTheme="minorHAnsi" w:cstheme="minorHAnsi"/>
          <w:color w:val="000000"/>
          <w:sz w:val="22"/>
          <w:shd w:val="clear" w:color="auto" w:fill="FFFFFF"/>
        </w:rPr>
      </w:pPr>
      <w:r w:rsidRPr="00BE372F">
        <w:rPr>
          <w:rFonts w:asciiTheme="minorHAnsi" w:hAnsiTheme="minorHAnsi" w:cstheme="minorHAnsi"/>
          <w:color w:val="000000"/>
          <w:sz w:val="22"/>
          <w:shd w:val="clear" w:color="auto" w:fill="FFFFFF"/>
        </w:rPr>
        <w:t xml:space="preserve">Was the identified family member, friend or carer </w:t>
      </w:r>
      <w:proofErr w:type="gramStart"/>
      <w:r w:rsidRPr="00BE372F">
        <w:rPr>
          <w:rFonts w:asciiTheme="minorHAnsi" w:hAnsiTheme="minorHAnsi" w:cstheme="minorHAnsi"/>
          <w:color w:val="000000"/>
          <w:sz w:val="22"/>
          <w:shd w:val="clear" w:color="auto" w:fill="FFFFFF"/>
        </w:rPr>
        <w:t>offered</w:t>
      </w:r>
      <w:proofErr w:type="gramEnd"/>
      <w:r w:rsidRPr="00BE372F">
        <w:rPr>
          <w:rFonts w:asciiTheme="minorHAnsi" w:hAnsiTheme="minorHAnsi" w:cstheme="minorHAnsi"/>
          <w:color w:val="000000"/>
          <w:sz w:val="22"/>
          <w:shd w:val="clear" w:color="auto" w:fill="FFFFFF"/>
        </w:rPr>
        <w:t xml:space="preserve"> a carer’s assessment? (where an appropriate family member, friend or carer had been identified)</w:t>
      </w:r>
    </w:p>
    <w:p w14:paraId="6372DD40" w14:textId="77777777" w:rsidR="000F76D9" w:rsidRPr="00BE372F" w:rsidRDefault="000F76D9" w:rsidP="000F76D9">
      <w:pPr>
        <w:pStyle w:val="ListParagraph"/>
        <w:numPr>
          <w:ilvl w:val="0"/>
          <w:numId w:val="16"/>
        </w:numPr>
        <w:jc w:val="left"/>
        <w:rPr>
          <w:rFonts w:asciiTheme="minorHAnsi" w:hAnsiTheme="minorHAnsi" w:cstheme="minorHAnsi"/>
          <w:color w:val="000000"/>
          <w:sz w:val="22"/>
          <w:shd w:val="clear" w:color="auto" w:fill="FFFFFF"/>
        </w:rPr>
      </w:pPr>
      <w:r w:rsidRPr="00BE372F">
        <w:rPr>
          <w:rFonts w:asciiTheme="minorHAnsi" w:hAnsiTheme="minorHAnsi" w:cstheme="minorHAnsi"/>
          <w:color w:val="000000"/>
          <w:sz w:val="22"/>
          <w:shd w:val="clear" w:color="auto" w:fill="FFFFFF"/>
        </w:rPr>
        <w:t>Did the service user have a care plan?</w:t>
      </w:r>
    </w:p>
    <w:p w14:paraId="489EBF69" w14:textId="77777777" w:rsidR="000F76D9" w:rsidRPr="00BE372F" w:rsidRDefault="000F76D9" w:rsidP="000F76D9">
      <w:pPr>
        <w:pStyle w:val="ListParagraph"/>
        <w:numPr>
          <w:ilvl w:val="0"/>
          <w:numId w:val="16"/>
        </w:numPr>
        <w:jc w:val="left"/>
        <w:rPr>
          <w:rFonts w:asciiTheme="minorHAnsi" w:hAnsiTheme="minorHAnsi" w:cstheme="minorHAnsi"/>
          <w:color w:val="000000"/>
          <w:sz w:val="22"/>
          <w:shd w:val="clear" w:color="auto" w:fill="FFFFFF"/>
        </w:rPr>
      </w:pPr>
      <w:r w:rsidRPr="00BE372F">
        <w:rPr>
          <w:rFonts w:asciiTheme="minorHAnsi" w:hAnsiTheme="minorHAnsi" w:cstheme="minorHAnsi"/>
          <w:color w:val="000000"/>
          <w:sz w:val="22"/>
          <w:shd w:val="clear" w:color="auto" w:fill="FFFFFF"/>
        </w:rPr>
        <w:t>Is there evidence that the care plan was jointly developed between the service user and clinician?</w:t>
      </w:r>
    </w:p>
    <w:p w14:paraId="0D21ECD9" w14:textId="77777777" w:rsidR="000F76D9" w:rsidRPr="00BE372F" w:rsidRDefault="000F76D9" w:rsidP="000F76D9">
      <w:pPr>
        <w:pStyle w:val="ListParagraph"/>
        <w:numPr>
          <w:ilvl w:val="0"/>
          <w:numId w:val="16"/>
        </w:numPr>
        <w:jc w:val="left"/>
        <w:rPr>
          <w:rFonts w:asciiTheme="minorHAnsi" w:hAnsiTheme="minorHAnsi" w:cstheme="minorHAnsi"/>
          <w:color w:val="000000"/>
          <w:sz w:val="22"/>
          <w:shd w:val="clear" w:color="auto" w:fill="FFFFFF"/>
        </w:rPr>
      </w:pPr>
      <w:r w:rsidRPr="00BE372F">
        <w:rPr>
          <w:rFonts w:asciiTheme="minorHAnsi" w:hAnsiTheme="minorHAnsi" w:cstheme="minorHAnsi"/>
          <w:color w:val="000000"/>
          <w:sz w:val="22"/>
          <w:shd w:val="clear" w:color="auto" w:fill="FFFFFF"/>
        </w:rPr>
        <w:t>Was the service user given a copy of their care plan?</w:t>
      </w:r>
    </w:p>
    <w:p w14:paraId="6988022B" w14:textId="77777777" w:rsidR="000F76D9" w:rsidRPr="00BE372F" w:rsidRDefault="000F76D9" w:rsidP="000F76D9">
      <w:pPr>
        <w:pStyle w:val="ListParagraph"/>
        <w:numPr>
          <w:ilvl w:val="0"/>
          <w:numId w:val="16"/>
        </w:numPr>
        <w:jc w:val="left"/>
        <w:rPr>
          <w:rFonts w:asciiTheme="minorHAnsi" w:hAnsiTheme="minorHAnsi" w:cstheme="minorHAnsi"/>
          <w:color w:val="000000"/>
          <w:sz w:val="22"/>
          <w:shd w:val="clear" w:color="auto" w:fill="FFFFFF"/>
        </w:rPr>
      </w:pPr>
      <w:r w:rsidRPr="00BE372F">
        <w:rPr>
          <w:rFonts w:asciiTheme="minorHAnsi" w:hAnsiTheme="minorHAnsi" w:cstheme="minorHAnsi"/>
          <w:color w:val="000000"/>
          <w:sz w:val="22"/>
          <w:shd w:val="clear" w:color="auto" w:fill="FFFFFF"/>
        </w:rPr>
        <w:t>Was the service user referred to psychological therapy?</w:t>
      </w:r>
    </w:p>
    <w:p w14:paraId="21C81473" w14:textId="77777777" w:rsidR="000F76D9" w:rsidRPr="00BE372F" w:rsidRDefault="000F76D9" w:rsidP="000F76D9">
      <w:pPr>
        <w:pStyle w:val="ListParagraph"/>
        <w:numPr>
          <w:ilvl w:val="0"/>
          <w:numId w:val="16"/>
        </w:numPr>
        <w:spacing w:after="0" w:line="240" w:lineRule="auto"/>
        <w:rPr>
          <w:rFonts w:asciiTheme="minorHAnsi" w:hAnsiTheme="minorHAnsi" w:cstheme="minorHAnsi"/>
          <w:sz w:val="22"/>
        </w:rPr>
      </w:pPr>
      <w:r w:rsidRPr="008F5CFD">
        <w:rPr>
          <w:rFonts w:asciiTheme="minorHAnsi" w:hAnsiTheme="minorHAnsi" w:cstheme="minorHAnsi"/>
          <w:sz w:val="22"/>
        </w:rPr>
        <w:t>Did the service user commence psychological therapy before the end of the audit period? (only amongst those who had been referred)</w:t>
      </w:r>
    </w:p>
    <w:p w14:paraId="13C537AD" w14:textId="77777777" w:rsidR="000F76D9" w:rsidRPr="00BE372F" w:rsidRDefault="000F76D9" w:rsidP="000F76D9">
      <w:pPr>
        <w:pStyle w:val="ListParagraph"/>
        <w:numPr>
          <w:ilvl w:val="0"/>
          <w:numId w:val="16"/>
        </w:numPr>
        <w:jc w:val="left"/>
        <w:rPr>
          <w:rFonts w:asciiTheme="minorHAnsi" w:hAnsiTheme="minorHAnsi" w:cstheme="minorHAnsi"/>
          <w:color w:val="000000"/>
          <w:sz w:val="22"/>
          <w:shd w:val="clear" w:color="auto" w:fill="FFFFFF"/>
        </w:rPr>
      </w:pPr>
      <w:r w:rsidRPr="00BE372F">
        <w:rPr>
          <w:rFonts w:asciiTheme="minorHAnsi" w:hAnsiTheme="minorHAnsi" w:cstheme="minorHAnsi"/>
          <w:color w:val="000000"/>
          <w:sz w:val="22"/>
          <w:shd w:val="clear" w:color="auto" w:fill="FFFFFF"/>
        </w:rPr>
        <w:t>Was the service user given at least 24 hours’ notice of discharge?</w:t>
      </w:r>
    </w:p>
    <w:p w14:paraId="0FF5AEA8" w14:textId="77777777" w:rsidR="000F76D9" w:rsidRPr="00BE372F" w:rsidRDefault="000F76D9" w:rsidP="000F76D9">
      <w:pPr>
        <w:pStyle w:val="ListParagraph"/>
        <w:numPr>
          <w:ilvl w:val="0"/>
          <w:numId w:val="16"/>
        </w:numPr>
        <w:jc w:val="left"/>
        <w:rPr>
          <w:rFonts w:asciiTheme="minorHAnsi" w:hAnsiTheme="minorHAnsi" w:cstheme="minorHAnsi"/>
          <w:color w:val="000000"/>
          <w:sz w:val="22"/>
          <w:shd w:val="clear" w:color="auto" w:fill="FFFFFF"/>
        </w:rPr>
      </w:pPr>
      <w:r w:rsidRPr="00BE372F">
        <w:rPr>
          <w:rFonts w:asciiTheme="minorHAnsi" w:hAnsiTheme="minorHAnsi" w:cstheme="minorHAnsi"/>
          <w:color w:val="000000"/>
          <w:sz w:val="22"/>
          <w:shd w:val="clear" w:color="auto" w:fill="FFFFFF"/>
        </w:rPr>
        <w:t>Was the identified family member, friend or carer given at least 24 hours’ notice of discharge? (where an appropriate family member, friend or carer had been identified)</w:t>
      </w:r>
    </w:p>
    <w:p w14:paraId="5F3A2F75" w14:textId="77777777" w:rsidR="000F76D9" w:rsidRPr="00BE372F" w:rsidRDefault="000F76D9" w:rsidP="000F76D9">
      <w:pPr>
        <w:pStyle w:val="ListParagraph"/>
        <w:numPr>
          <w:ilvl w:val="0"/>
          <w:numId w:val="16"/>
        </w:numPr>
        <w:jc w:val="left"/>
        <w:rPr>
          <w:rFonts w:asciiTheme="minorHAnsi" w:hAnsiTheme="minorHAnsi" w:cstheme="minorHAnsi"/>
          <w:color w:val="000000"/>
          <w:sz w:val="22"/>
          <w:shd w:val="clear" w:color="auto" w:fill="FFFFFF"/>
        </w:rPr>
      </w:pPr>
      <w:r w:rsidRPr="00BE372F">
        <w:rPr>
          <w:rFonts w:asciiTheme="minorHAnsi" w:hAnsiTheme="minorHAnsi" w:cstheme="minorHAnsi"/>
          <w:color w:val="000000"/>
          <w:sz w:val="22"/>
          <w:shd w:val="clear" w:color="auto" w:fill="FFFFFF"/>
        </w:rPr>
        <w:t>Was the service user being prescribed psychotropic medication at the point of discharge?</w:t>
      </w:r>
    </w:p>
    <w:p w14:paraId="563B7FD5" w14:textId="77777777" w:rsidR="000F76D9" w:rsidRPr="00BE372F" w:rsidRDefault="000F76D9" w:rsidP="000F76D9">
      <w:pPr>
        <w:pStyle w:val="ListParagraph"/>
        <w:numPr>
          <w:ilvl w:val="0"/>
          <w:numId w:val="16"/>
        </w:numPr>
        <w:jc w:val="left"/>
        <w:rPr>
          <w:rFonts w:asciiTheme="minorHAnsi" w:hAnsiTheme="minorHAnsi" w:cstheme="minorHAnsi"/>
          <w:color w:val="000000"/>
          <w:sz w:val="22"/>
          <w:shd w:val="clear" w:color="auto" w:fill="FFFFFF"/>
        </w:rPr>
      </w:pPr>
      <w:r w:rsidRPr="00BE372F">
        <w:rPr>
          <w:rFonts w:asciiTheme="minorHAnsi" w:hAnsiTheme="minorHAnsi" w:cstheme="minorHAnsi"/>
          <w:color w:val="000000"/>
          <w:sz w:val="22"/>
          <w:shd w:val="clear" w:color="auto" w:fill="FFFFFF"/>
        </w:rPr>
        <w:t>Was the service user given verbal and/ or written information about their medication prior to discharge?</w:t>
      </w:r>
    </w:p>
    <w:p w14:paraId="43A3F089" w14:textId="77777777" w:rsidR="000F76D9" w:rsidRPr="00BE372F" w:rsidRDefault="000F76D9" w:rsidP="000F76D9">
      <w:pPr>
        <w:pStyle w:val="ListParagraph"/>
        <w:numPr>
          <w:ilvl w:val="0"/>
          <w:numId w:val="16"/>
        </w:numPr>
        <w:jc w:val="left"/>
        <w:rPr>
          <w:rFonts w:asciiTheme="minorHAnsi" w:hAnsiTheme="minorHAnsi" w:cstheme="minorHAnsi"/>
          <w:color w:val="000000"/>
          <w:sz w:val="22"/>
          <w:shd w:val="clear" w:color="auto" w:fill="FFFFFF"/>
        </w:rPr>
      </w:pPr>
      <w:r w:rsidRPr="00BE372F">
        <w:rPr>
          <w:rFonts w:asciiTheme="minorHAnsi" w:hAnsiTheme="minorHAnsi" w:cstheme="minorHAnsi"/>
          <w:color w:val="000000"/>
          <w:sz w:val="22"/>
          <w:shd w:val="clear" w:color="auto" w:fill="FFFFFF"/>
        </w:rPr>
        <w:t>Did a review of the service user’s medication(s) take place prior to discharge?</w:t>
      </w:r>
    </w:p>
    <w:p w14:paraId="034F8FAA" w14:textId="77777777" w:rsidR="000F76D9" w:rsidRPr="00BE372F" w:rsidRDefault="000F76D9" w:rsidP="000F76D9">
      <w:pPr>
        <w:pStyle w:val="ListParagraph"/>
        <w:numPr>
          <w:ilvl w:val="0"/>
          <w:numId w:val="16"/>
        </w:numPr>
        <w:jc w:val="left"/>
        <w:rPr>
          <w:rFonts w:asciiTheme="minorHAnsi" w:hAnsiTheme="minorHAnsi" w:cstheme="minorHAnsi"/>
          <w:color w:val="000000"/>
          <w:sz w:val="22"/>
          <w:shd w:val="clear" w:color="auto" w:fill="FFFFFF"/>
        </w:rPr>
      </w:pPr>
      <w:r w:rsidRPr="00BE372F">
        <w:rPr>
          <w:rFonts w:asciiTheme="minorHAnsi" w:hAnsiTheme="minorHAnsi" w:cstheme="minorHAnsi"/>
          <w:color w:val="000000"/>
          <w:sz w:val="22"/>
          <w:shd w:val="clear" w:color="auto" w:fill="FFFFFF"/>
        </w:rPr>
        <w:t>At discharge, was the service user given ‘to take home’ (TTO) medication?</w:t>
      </w:r>
    </w:p>
    <w:p w14:paraId="1E4722B5" w14:textId="77777777" w:rsidR="000F76D9" w:rsidRPr="00BE372F" w:rsidRDefault="000F76D9" w:rsidP="000F76D9">
      <w:pPr>
        <w:pStyle w:val="ListParagraph"/>
        <w:numPr>
          <w:ilvl w:val="0"/>
          <w:numId w:val="16"/>
        </w:numPr>
        <w:jc w:val="left"/>
        <w:rPr>
          <w:rFonts w:asciiTheme="minorHAnsi" w:hAnsiTheme="minorHAnsi" w:cstheme="minorHAnsi"/>
          <w:color w:val="000000"/>
          <w:sz w:val="22"/>
          <w:shd w:val="clear" w:color="auto" w:fill="FFFFFF"/>
        </w:rPr>
      </w:pPr>
      <w:r w:rsidRPr="00BE372F">
        <w:rPr>
          <w:rFonts w:asciiTheme="minorHAnsi" w:hAnsiTheme="minorHAnsi" w:cstheme="minorHAnsi"/>
          <w:color w:val="000000"/>
          <w:sz w:val="22"/>
          <w:shd w:val="clear" w:color="auto" w:fill="FFFFFF"/>
        </w:rPr>
        <w:t>Did the service user have a crisis plan at the point of discharge?</w:t>
      </w:r>
    </w:p>
    <w:p w14:paraId="2A0B4B34" w14:textId="77777777" w:rsidR="000F76D9" w:rsidRPr="00BE372F" w:rsidRDefault="000F76D9" w:rsidP="000F76D9">
      <w:pPr>
        <w:pStyle w:val="ListParagraph"/>
        <w:numPr>
          <w:ilvl w:val="0"/>
          <w:numId w:val="16"/>
        </w:numPr>
        <w:jc w:val="left"/>
        <w:rPr>
          <w:rFonts w:asciiTheme="minorHAnsi" w:hAnsiTheme="minorHAnsi" w:cstheme="minorHAnsi"/>
          <w:color w:val="000000"/>
          <w:sz w:val="22"/>
          <w:shd w:val="clear" w:color="auto" w:fill="FFFFFF"/>
        </w:rPr>
      </w:pPr>
      <w:r w:rsidRPr="00BE372F">
        <w:rPr>
          <w:rFonts w:asciiTheme="minorHAnsi" w:hAnsiTheme="minorHAnsi" w:cstheme="minorHAnsi"/>
          <w:color w:val="000000"/>
          <w:sz w:val="22"/>
          <w:shd w:val="clear" w:color="auto" w:fill="FFFFFF"/>
        </w:rPr>
        <w:t>Was a discharge letter sent to the service user’s GP within 24 hours?</w:t>
      </w:r>
    </w:p>
    <w:p w14:paraId="0E50E562" w14:textId="77777777" w:rsidR="000F76D9" w:rsidRPr="00BE372F" w:rsidRDefault="000F76D9" w:rsidP="000F76D9">
      <w:pPr>
        <w:pStyle w:val="ListParagraph"/>
        <w:numPr>
          <w:ilvl w:val="0"/>
          <w:numId w:val="16"/>
        </w:numPr>
        <w:jc w:val="left"/>
        <w:rPr>
          <w:rFonts w:asciiTheme="minorHAnsi" w:hAnsiTheme="minorHAnsi" w:cstheme="minorHAnsi"/>
          <w:color w:val="000000"/>
          <w:sz w:val="22"/>
          <w:shd w:val="clear" w:color="auto" w:fill="FFFFFF"/>
        </w:rPr>
      </w:pPr>
      <w:r w:rsidRPr="00BE372F">
        <w:rPr>
          <w:rFonts w:asciiTheme="minorHAnsi" w:hAnsiTheme="minorHAnsi" w:cstheme="minorHAnsi"/>
          <w:color w:val="000000"/>
          <w:sz w:val="22"/>
          <w:shd w:val="clear" w:color="auto" w:fill="FFFFFF"/>
        </w:rPr>
        <w:t>Was a care plan sent to a nominated person in an accepting service? (where an appropriate service had been identified)</w:t>
      </w:r>
    </w:p>
    <w:p w14:paraId="507C8BC2" w14:textId="77777777" w:rsidR="000F76D9" w:rsidRPr="00BE372F" w:rsidRDefault="000F76D9" w:rsidP="000F76D9">
      <w:pPr>
        <w:pStyle w:val="ListParagraph"/>
        <w:numPr>
          <w:ilvl w:val="0"/>
          <w:numId w:val="16"/>
        </w:numPr>
        <w:jc w:val="left"/>
        <w:rPr>
          <w:rFonts w:asciiTheme="minorHAnsi" w:hAnsiTheme="minorHAnsi" w:cstheme="minorHAnsi"/>
          <w:color w:val="000000"/>
          <w:sz w:val="22"/>
          <w:shd w:val="clear" w:color="auto" w:fill="FFFFFF"/>
        </w:rPr>
      </w:pPr>
      <w:r w:rsidRPr="00BE372F">
        <w:rPr>
          <w:rFonts w:asciiTheme="minorHAnsi" w:hAnsiTheme="minorHAnsi" w:cstheme="minorHAnsi"/>
          <w:color w:val="000000"/>
          <w:sz w:val="22"/>
          <w:shd w:val="clear" w:color="auto" w:fill="FFFFFF"/>
        </w:rPr>
        <w:t>Did the service user receive follow-up within 48 hours of discharge?</w:t>
      </w:r>
    </w:p>
    <w:p w14:paraId="550A834B" w14:textId="77777777" w:rsidR="000F76D9" w:rsidRPr="00BE372F" w:rsidRDefault="000F76D9" w:rsidP="000F76D9">
      <w:pPr>
        <w:pStyle w:val="ListParagraph"/>
        <w:numPr>
          <w:ilvl w:val="0"/>
          <w:numId w:val="16"/>
        </w:numPr>
        <w:jc w:val="left"/>
        <w:rPr>
          <w:rFonts w:asciiTheme="minorHAnsi" w:hAnsiTheme="minorHAnsi" w:cstheme="minorHAnsi"/>
          <w:color w:val="000000"/>
          <w:sz w:val="22"/>
          <w:shd w:val="clear" w:color="auto" w:fill="FFFFFF"/>
        </w:rPr>
      </w:pPr>
      <w:r w:rsidRPr="00BE372F">
        <w:rPr>
          <w:rFonts w:asciiTheme="minorHAnsi" w:hAnsiTheme="minorHAnsi" w:cstheme="minorHAnsi"/>
          <w:color w:val="000000"/>
          <w:sz w:val="22"/>
          <w:shd w:val="clear" w:color="auto" w:fill="FFFFFF"/>
        </w:rPr>
        <w:t>Did a review of the service user’s medication(s) take place between discharge and the end of the audit period?</w:t>
      </w:r>
    </w:p>
    <w:p w14:paraId="0F5BAAB7" w14:textId="77777777" w:rsidR="000F76D9" w:rsidRPr="00BE372F" w:rsidRDefault="000F76D9" w:rsidP="000F76D9">
      <w:pPr>
        <w:pStyle w:val="ListParagraph"/>
        <w:numPr>
          <w:ilvl w:val="0"/>
          <w:numId w:val="16"/>
        </w:numPr>
        <w:jc w:val="left"/>
        <w:rPr>
          <w:rFonts w:asciiTheme="minorHAnsi" w:hAnsiTheme="minorHAnsi" w:cstheme="minorHAnsi"/>
          <w:color w:val="000000"/>
          <w:sz w:val="22"/>
          <w:shd w:val="clear" w:color="auto" w:fill="FFFFFF"/>
        </w:rPr>
      </w:pPr>
      <w:r w:rsidRPr="00BE372F">
        <w:rPr>
          <w:rFonts w:asciiTheme="minorHAnsi" w:hAnsiTheme="minorHAnsi" w:cstheme="minorHAnsi"/>
          <w:color w:val="000000"/>
          <w:sz w:val="22"/>
          <w:shd w:val="clear" w:color="auto" w:fill="FFFFFF"/>
        </w:rPr>
        <w:t>Was an appropriately validated outcome measure completed?</w:t>
      </w:r>
    </w:p>
    <w:p w14:paraId="4AB0F97C" w14:textId="77777777" w:rsidR="000F76D9" w:rsidRPr="00BE372F" w:rsidRDefault="000F76D9" w:rsidP="000F76D9">
      <w:pPr>
        <w:pStyle w:val="ListParagraph"/>
        <w:numPr>
          <w:ilvl w:val="0"/>
          <w:numId w:val="16"/>
        </w:numPr>
        <w:jc w:val="left"/>
        <w:rPr>
          <w:rFonts w:asciiTheme="minorHAnsi" w:hAnsiTheme="minorHAnsi" w:cstheme="minorHAnsi"/>
          <w:color w:val="000000"/>
          <w:sz w:val="22"/>
          <w:shd w:val="clear" w:color="auto" w:fill="FFFFFF"/>
        </w:rPr>
      </w:pPr>
      <w:r w:rsidRPr="00BE372F">
        <w:rPr>
          <w:rFonts w:asciiTheme="minorHAnsi" w:hAnsiTheme="minorHAnsi" w:cstheme="minorHAnsi"/>
          <w:color w:val="000000"/>
          <w:sz w:val="22"/>
          <w:shd w:val="clear" w:color="auto" w:fill="FFFFFF"/>
        </w:rPr>
        <w:t xml:space="preserve">Was the service user re-admitted to hospital between discharge and the end of the audit period? </w:t>
      </w:r>
    </w:p>
    <w:p w14:paraId="025FDD12" w14:textId="77777777" w:rsidR="000F76D9" w:rsidRPr="008F5CFD" w:rsidRDefault="000F76D9" w:rsidP="000F76D9">
      <w:pPr>
        <w:spacing w:after="0" w:line="240" w:lineRule="auto"/>
        <w:rPr>
          <w:rFonts w:cstheme="minorHAnsi"/>
        </w:rPr>
      </w:pPr>
    </w:p>
    <w:p w14:paraId="32B0B8E8" w14:textId="32895918" w:rsidR="000F76D9" w:rsidRPr="00DF55F6" w:rsidRDefault="000F76D9" w:rsidP="000F76D9">
      <w:pPr>
        <w:spacing w:after="0" w:line="240" w:lineRule="auto"/>
        <w:rPr>
          <w:rFonts w:cstheme="minorHAnsi"/>
        </w:rPr>
      </w:pPr>
      <w:r w:rsidRPr="008F5CFD">
        <w:rPr>
          <w:rFonts w:cstheme="minorHAnsi"/>
        </w:rPr>
        <w:t xml:space="preserve">A number of categorical variables were recorded as covariates – primary </w:t>
      </w:r>
      <w:r w:rsidR="00945CA5">
        <w:rPr>
          <w:rFonts w:cstheme="minorHAnsi"/>
        </w:rPr>
        <w:t>diagnosis  (</w:t>
      </w:r>
      <w:proofErr w:type="spellStart"/>
      <w:r w:rsidR="00945CA5">
        <w:rPr>
          <w:rFonts w:cstheme="minorHAnsi"/>
        </w:rPr>
        <w:t>ie</w:t>
      </w:r>
      <w:proofErr w:type="spellEnd"/>
      <w:r w:rsidR="00945CA5">
        <w:rPr>
          <w:rFonts w:cstheme="minorHAnsi"/>
        </w:rPr>
        <w:t xml:space="preserve"> the specific anxiety or depressive disorder in each case)</w:t>
      </w:r>
      <w:r w:rsidRPr="008F5CFD">
        <w:rPr>
          <w:rFonts w:cstheme="minorHAnsi"/>
        </w:rPr>
        <w:t>, age, gender, ethnicity, employment status</w:t>
      </w:r>
      <w:r w:rsidRPr="00DF55F6">
        <w:rPr>
          <w:rFonts w:cstheme="minorHAnsi"/>
        </w:rPr>
        <w:t xml:space="preserve">, accommodation status, length of admission and mode of admission (whether admitted </w:t>
      </w:r>
      <w:r w:rsidR="003100E1">
        <w:rPr>
          <w:rFonts w:cstheme="minorHAnsi"/>
        </w:rPr>
        <w:t xml:space="preserve">voluntarily or involuntarily </w:t>
      </w:r>
      <w:r w:rsidRPr="00DF55F6">
        <w:rPr>
          <w:rFonts w:cstheme="minorHAnsi"/>
        </w:rPr>
        <w:t xml:space="preserve">under the </w:t>
      </w:r>
      <w:r>
        <w:rPr>
          <w:rFonts w:cstheme="minorHAnsi"/>
        </w:rPr>
        <w:t xml:space="preserve">provisions of the </w:t>
      </w:r>
      <w:r w:rsidR="002B7D7A">
        <w:rPr>
          <w:rFonts w:cstheme="minorHAnsi"/>
        </w:rPr>
        <w:t xml:space="preserve">UK </w:t>
      </w:r>
      <w:r w:rsidRPr="00DF55F6">
        <w:rPr>
          <w:rFonts w:cstheme="minorHAnsi"/>
        </w:rPr>
        <w:t>Mental Health Act</w:t>
      </w:r>
      <w:r w:rsidR="00324B4A">
        <w:rPr>
          <w:rFonts w:cstheme="minorHAnsi"/>
        </w:rPr>
        <w:t xml:space="preserve"> 1983</w:t>
      </w:r>
      <w:r w:rsidRPr="00DF55F6">
        <w:rPr>
          <w:rFonts w:cstheme="minorHAnsi"/>
        </w:rPr>
        <w:t xml:space="preserve">). </w:t>
      </w:r>
    </w:p>
    <w:p w14:paraId="40B26D0E" w14:textId="77777777" w:rsidR="000F76D9" w:rsidRPr="00DF55F6" w:rsidRDefault="000F76D9" w:rsidP="000F76D9">
      <w:pPr>
        <w:spacing w:after="0" w:line="240" w:lineRule="auto"/>
        <w:rPr>
          <w:rFonts w:cstheme="minorHAnsi"/>
        </w:rPr>
      </w:pPr>
    </w:p>
    <w:p w14:paraId="180E9B96" w14:textId="77777777" w:rsidR="000F76D9" w:rsidRPr="00DF55F6" w:rsidRDefault="000F76D9" w:rsidP="000F76D9">
      <w:pPr>
        <w:spacing w:after="0" w:line="240" w:lineRule="auto"/>
        <w:rPr>
          <w:rFonts w:cstheme="minorHAnsi"/>
        </w:rPr>
      </w:pPr>
      <w:r w:rsidRPr="00DF55F6">
        <w:rPr>
          <w:rFonts w:cstheme="minorHAnsi"/>
        </w:rPr>
        <w:t>Information was also recorded on which medications patients were prescribed, and these were categorised by class, i</w:t>
      </w:r>
      <w:r>
        <w:rPr>
          <w:rFonts w:cstheme="minorHAnsi"/>
        </w:rPr>
        <w:t>.</w:t>
      </w:r>
      <w:r w:rsidRPr="00DF55F6">
        <w:rPr>
          <w:rFonts w:cstheme="minorHAnsi"/>
        </w:rPr>
        <w:t>e</w:t>
      </w:r>
      <w:r>
        <w:rPr>
          <w:rFonts w:cstheme="minorHAnsi"/>
        </w:rPr>
        <w:t>.</w:t>
      </w:r>
      <w:r w:rsidRPr="00DF55F6">
        <w:rPr>
          <w:rFonts w:cstheme="minorHAnsi"/>
        </w:rPr>
        <w:t xml:space="preserve"> antidepressant, anxiolytic (including benzodiazepine or other), antipsychotic, mood stabiliser. </w:t>
      </w:r>
    </w:p>
    <w:p w14:paraId="037399BF" w14:textId="77777777" w:rsidR="000F76D9" w:rsidRPr="00DF55F6" w:rsidRDefault="000F76D9" w:rsidP="000F76D9">
      <w:pPr>
        <w:spacing w:after="0" w:line="240" w:lineRule="auto"/>
        <w:rPr>
          <w:rFonts w:cstheme="minorHAnsi"/>
        </w:rPr>
      </w:pPr>
    </w:p>
    <w:p w14:paraId="4D6B999B" w14:textId="77777777" w:rsidR="000F76D9" w:rsidRPr="00DF55F6" w:rsidRDefault="000F76D9" w:rsidP="000F76D9">
      <w:pPr>
        <w:spacing w:after="0" w:line="240" w:lineRule="auto"/>
        <w:rPr>
          <w:rFonts w:cstheme="minorHAnsi"/>
          <w:sz w:val="20"/>
          <w:szCs w:val="24"/>
        </w:rPr>
      </w:pPr>
    </w:p>
    <w:p w14:paraId="33F0BA4F" w14:textId="77777777" w:rsidR="000F76D9" w:rsidRPr="00DF55F6" w:rsidRDefault="000F76D9" w:rsidP="000F76D9">
      <w:pPr>
        <w:spacing w:after="0" w:line="240" w:lineRule="auto"/>
        <w:rPr>
          <w:rFonts w:cstheme="minorHAnsi"/>
          <w:sz w:val="20"/>
          <w:szCs w:val="24"/>
        </w:rPr>
      </w:pPr>
    </w:p>
    <w:p w14:paraId="35282ADD" w14:textId="77777777" w:rsidR="000F76D9" w:rsidRPr="00DF55F6" w:rsidRDefault="000F76D9" w:rsidP="000F76D9">
      <w:pPr>
        <w:spacing w:after="0" w:line="240" w:lineRule="auto"/>
        <w:rPr>
          <w:rFonts w:cstheme="minorHAnsi"/>
          <w:sz w:val="20"/>
          <w:szCs w:val="24"/>
        </w:rPr>
      </w:pPr>
    </w:p>
    <w:p w14:paraId="610122AC" w14:textId="77777777" w:rsidR="000F76D9" w:rsidRDefault="000F76D9" w:rsidP="000F76D9">
      <w:pPr>
        <w:pStyle w:val="Heading3"/>
        <w:rPr>
          <w:b/>
          <w:bCs/>
          <w:color w:val="000000" w:themeColor="text1"/>
          <w:shd w:val="clear" w:color="auto" w:fill="FFFFFF"/>
        </w:rPr>
      </w:pPr>
      <w:r w:rsidRPr="00600A0E">
        <w:rPr>
          <w:b/>
          <w:bCs/>
          <w:color w:val="000000" w:themeColor="text1"/>
          <w:shd w:val="clear" w:color="auto" w:fill="FFFFFF"/>
        </w:rPr>
        <w:t>Statistical Methods</w:t>
      </w:r>
    </w:p>
    <w:p w14:paraId="039BF7C8" w14:textId="77777777" w:rsidR="000F76D9" w:rsidRPr="00DF55F6" w:rsidRDefault="000F76D9" w:rsidP="000F76D9">
      <w:pPr>
        <w:spacing w:after="0" w:line="240" w:lineRule="auto"/>
        <w:rPr>
          <w:rFonts w:cstheme="minorHAnsi"/>
          <w:sz w:val="20"/>
          <w:szCs w:val="24"/>
        </w:rPr>
      </w:pPr>
    </w:p>
    <w:p w14:paraId="117D5839" w14:textId="77777777" w:rsidR="000F76D9" w:rsidRPr="00DF55F6" w:rsidRDefault="000F76D9" w:rsidP="000F76D9">
      <w:pPr>
        <w:spacing w:after="0" w:line="240" w:lineRule="auto"/>
        <w:rPr>
          <w:rFonts w:cstheme="minorHAnsi"/>
        </w:rPr>
      </w:pPr>
    </w:p>
    <w:p w14:paraId="10AE4EC3" w14:textId="2CF8B592" w:rsidR="000F76D9" w:rsidRPr="00DF55F6" w:rsidRDefault="000F76D9" w:rsidP="000F76D9">
      <w:pPr>
        <w:spacing w:after="0" w:line="240" w:lineRule="auto"/>
        <w:rPr>
          <w:rFonts w:cstheme="minorHAnsi"/>
        </w:rPr>
      </w:pPr>
      <w:r>
        <w:rPr>
          <w:rFonts w:cstheme="minorHAnsi"/>
        </w:rPr>
        <w:t xml:space="preserve">All study analyses were conducted using </w:t>
      </w:r>
      <w:r w:rsidRPr="00DF55F6">
        <w:rPr>
          <w:rFonts w:cstheme="minorHAnsi"/>
        </w:rPr>
        <w:t>SPSS</w:t>
      </w:r>
      <w:r w:rsidR="00324B4A">
        <w:rPr>
          <w:rFonts w:cstheme="minorHAnsi"/>
        </w:rPr>
        <w:t xml:space="preserve"> </w:t>
      </w:r>
      <w:r w:rsidR="007728CD">
        <w:rPr>
          <w:rStyle w:val="FootnoteReference"/>
          <w:rFonts w:cstheme="minorHAnsi"/>
        </w:rPr>
        <w:fldChar w:fldCharType="begin" w:fldLock="1"/>
      </w:r>
      <w:r w:rsidR="007728CD">
        <w:rPr>
          <w:rFonts w:cstheme="minorHAnsi"/>
        </w:rPr>
        <w:instrText>ADDIN CSL_CITATION {"citationItems":[{"id":"ITEM-1","itemData":{"author":[{"dropping-particle":"","family":"IBM Corp","given":"","non-dropping-</w:instrText>
      </w:r>
      <w:r w:rsidR="007728CD">
        <w:rPr>
          <w:rFonts w:cstheme="minorHAnsi"/>
        </w:rPr>
        <w:lastRenderedPageBreak/>
        <w:instrText>particle":"","parse-names":false,"suffix":""}],"id":"ITEM-1","issued":{"date-parts":[["2017"]]},"publisher":"IBM Corp","publisher-place":"Armonk, NY","title":"IBM SPSS Statistics for Windows, Version 25","type":"article"},"uris":["http://www.mendeley.com/documents/?uuid=a5b078a8-fd61-4e7d-96e6-71d5764f91c8"]}],"mendeley":{"formattedCitation":"(IBM Corp, 2017)","plainTextFormattedCitation":"(IBM Corp, 2017)","previouslyFormattedCitation":"(35)"},"properties":{"noteIndex":0},"schema":"https://github.com/citation-style-language/schema/raw/master/csl-citation.json"}</w:instrText>
      </w:r>
      <w:r w:rsidR="007728CD">
        <w:rPr>
          <w:rStyle w:val="FootnoteReference"/>
          <w:rFonts w:cstheme="minorHAnsi"/>
        </w:rPr>
        <w:fldChar w:fldCharType="separate"/>
      </w:r>
      <w:r w:rsidR="007728CD" w:rsidRPr="007728CD">
        <w:rPr>
          <w:rFonts w:cstheme="minorHAnsi"/>
          <w:bCs/>
          <w:noProof/>
          <w:lang w:val="en-US"/>
        </w:rPr>
        <w:t>(IBM Corp, 2017)</w:t>
      </w:r>
      <w:r w:rsidR="007728CD">
        <w:rPr>
          <w:rStyle w:val="FootnoteReference"/>
          <w:rFonts w:cstheme="minorHAnsi"/>
        </w:rPr>
        <w:fldChar w:fldCharType="end"/>
      </w:r>
      <w:r w:rsidR="00324B4A">
        <w:rPr>
          <w:rFonts w:cstheme="minorHAnsi"/>
        </w:rPr>
        <w:t>.</w:t>
      </w:r>
      <w:r w:rsidRPr="00DF55F6">
        <w:rPr>
          <w:rFonts w:cstheme="minorHAnsi"/>
        </w:rPr>
        <w:t xml:space="preserve"> </w:t>
      </w:r>
      <w:r>
        <w:rPr>
          <w:rFonts w:cstheme="minorHAnsi"/>
        </w:rPr>
        <w:t>We</w:t>
      </w:r>
      <w:r w:rsidRPr="00DF55F6">
        <w:rPr>
          <w:rFonts w:cstheme="minorHAnsi"/>
        </w:rPr>
        <w:t xml:space="preserve"> </w:t>
      </w:r>
      <w:r>
        <w:rPr>
          <w:rFonts w:cstheme="minorHAnsi"/>
        </w:rPr>
        <w:t xml:space="preserve">first </w:t>
      </w:r>
      <w:r w:rsidRPr="00DF55F6">
        <w:rPr>
          <w:rFonts w:cstheme="minorHAnsi"/>
        </w:rPr>
        <w:t xml:space="preserve">calculated the proportion of patients who had a secondary diagnosis of </w:t>
      </w:r>
      <w:r w:rsidR="00332AC7">
        <w:rPr>
          <w:rFonts w:cstheme="minorHAnsi"/>
        </w:rPr>
        <w:t>SUD</w:t>
      </w:r>
      <w:r w:rsidRPr="00DF55F6">
        <w:rPr>
          <w:rFonts w:cstheme="minorHAnsi"/>
        </w:rPr>
        <w:t>.</w:t>
      </w:r>
      <w:r>
        <w:rPr>
          <w:rFonts w:cstheme="minorHAnsi"/>
        </w:rPr>
        <w:t xml:space="preserve"> </w:t>
      </w:r>
      <w:r w:rsidRPr="00DF55F6">
        <w:rPr>
          <w:rFonts w:cstheme="minorHAnsi"/>
        </w:rPr>
        <w:t xml:space="preserve">The association of covariates (primary diagnosis, age, gender, ethnicity, employment/ accommodation status, mode of admission) with </w:t>
      </w:r>
      <w:r w:rsidR="00332AC7">
        <w:rPr>
          <w:rFonts w:cstheme="minorHAnsi"/>
        </w:rPr>
        <w:t>SUD</w:t>
      </w:r>
      <w:r w:rsidRPr="00DF55F6">
        <w:rPr>
          <w:rFonts w:cstheme="minorHAnsi"/>
        </w:rPr>
        <w:t xml:space="preserve">, was investigated using univariate logistic regression. The association of </w:t>
      </w:r>
      <w:r w:rsidR="00332AC7">
        <w:rPr>
          <w:rFonts w:cstheme="minorHAnsi"/>
        </w:rPr>
        <w:t>SUD</w:t>
      </w:r>
      <w:r w:rsidRPr="00DF55F6">
        <w:rPr>
          <w:rFonts w:cstheme="minorHAnsi"/>
        </w:rPr>
        <w:t xml:space="preserve"> with each of the primary outcome measures</w:t>
      </w:r>
      <w:r w:rsidR="00223278">
        <w:rPr>
          <w:rFonts w:cstheme="minorHAnsi"/>
        </w:rPr>
        <w:t xml:space="preserve"> (24 items listed above)</w:t>
      </w:r>
      <w:r w:rsidRPr="00DF55F6">
        <w:rPr>
          <w:rFonts w:cstheme="minorHAnsi"/>
        </w:rPr>
        <w:t xml:space="preserve"> was then measured using binomial logistic regression. </w:t>
      </w:r>
    </w:p>
    <w:p w14:paraId="0A105055" w14:textId="77777777" w:rsidR="000F76D9" w:rsidRPr="00DF55F6" w:rsidRDefault="000F76D9" w:rsidP="000F76D9">
      <w:pPr>
        <w:spacing w:after="0" w:line="240" w:lineRule="auto"/>
        <w:rPr>
          <w:rFonts w:cstheme="minorHAnsi"/>
        </w:rPr>
      </w:pPr>
    </w:p>
    <w:p w14:paraId="2EE676EA" w14:textId="4338AC97" w:rsidR="000F76D9" w:rsidRPr="00DF55F6" w:rsidRDefault="000F76D9" w:rsidP="000F76D9">
      <w:pPr>
        <w:spacing w:after="0" w:line="240" w:lineRule="auto"/>
        <w:rPr>
          <w:rFonts w:cstheme="minorHAnsi"/>
        </w:rPr>
      </w:pPr>
      <w:r>
        <w:rPr>
          <w:rFonts w:cstheme="minorHAnsi"/>
        </w:rPr>
        <w:t>As</w:t>
      </w:r>
      <w:r w:rsidRPr="00DF55F6">
        <w:rPr>
          <w:rFonts w:cstheme="minorHAnsi"/>
        </w:rPr>
        <w:t xml:space="preserve"> patients were clustered within different services</w:t>
      </w:r>
      <w:r w:rsidR="005A1123">
        <w:rPr>
          <w:rFonts w:cstheme="minorHAnsi"/>
        </w:rPr>
        <w:t xml:space="preserve"> (NHS Trusts)</w:t>
      </w:r>
      <w:r>
        <w:rPr>
          <w:rFonts w:cstheme="minorHAnsi"/>
        </w:rPr>
        <w:t>, and because</w:t>
      </w:r>
      <w:r w:rsidRPr="00DF55F6">
        <w:rPr>
          <w:rFonts w:cstheme="minorHAnsi"/>
        </w:rPr>
        <w:t xml:space="preserve"> quality of care for patients </w:t>
      </w:r>
      <w:r>
        <w:rPr>
          <w:rFonts w:cstheme="minorHAnsi"/>
        </w:rPr>
        <w:t>within a given</w:t>
      </w:r>
      <w:r w:rsidRPr="00DF55F6">
        <w:rPr>
          <w:rFonts w:cstheme="minorHAnsi"/>
        </w:rPr>
        <w:t xml:space="preserve"> service may be more similar than for patients </w:t>
      </w:r>
      <w:r>
        <w:rPr>
          <w:rFonts w:cstheme="minorHAnsi"/>
        </w:rPr>
        <w:t>in</w:t>
      </w:r>
      <w:r w:rsidRPr="00DF55F6">
        <w:rPr>
          <w:rFonts w:cstheme="minorHAnsi"/>
        </w:rPr>
        <w:t xml:space="preserve"> different service</w:t>
      </w:r>
      <w:r>
        <w:rPr>
          <w:rFonts w:cstheme="minorHAnsi"/>
        </w:rPr>
        <w:t>s,</w:t>
      </w:r>
      <w:r w:rsidRPr="00DF55F6">
        <w:rPr>
          <w:rFonts w:cstheme="minorHAnsi"/>
        </w:rPr>
        <w:t xml:space="preserve"> all analyses were adjusted using multilevel logistic regression. Initially the association between </w:t>
      </w:r>
      <w:r w:rsidR="00332AC7">
        <w:rPr>
          <w:rFonts w:cstheme="minorHAnsi"/>
        </w:rPr>
        <w:t>SUD</w:t>
      </w:r>
      <w:r w:rsidRPr="00DF55F6">
        <w:rPr>
          <w:rFonts w:cstheme="minorHAnsi"/>
        </w:rPr>
        <w:t xml:space="preserve"> and each quality of care variable was examined without considering any confounding variables. The analysis was then repeated, adjusting for covariates found to be associated with the primary outcome measures </w:t>
      </w:r>
      <w:bookmarkStart w:id="3" w:name="_Hlk42706476"/>
      <w:r w:rsidR="00840800" w:rsidRPr="00DF55F6">
        <w:rPr>
          <w:rFonts w:cstheme="minorHAnsi"/>
        </w:rPr>
        <w:t>(primary diagnosis, age, gender, ethnicity, employment/ accommodation status, mode of admissio</w:t>
      </w:r>
      <w:r w:rsidR="00840800">
        <w:rPr>
          <w:rFonts w:cstheme="minorHAnsi"/>
        </w:rPr>
        <w:t xml:space="preserve">n, and </w:t>
      </w:r>
      <w:r w:rsidRPr="00DF55F6">
        <w:rPr>
          <w:rFonts w:cstheme="minorHAnsi"/>
        </w:rPr>
        <w:t xml:space="preserve">source organisation). </w:t>
      </w:r>
      <w:bookmarkEnd w:id="3"/>
    </w:p>
    <w:p w14:paraId="5C52A407" w14:textId="77777777" w:rsidR="00657B1F" w:rsidRPr="00B42200" w:rsidRDefault="00657B1F" w:rsidP="00657B1F">
      <w:pPr>
        <w:rPr>
          <w:rFonts w:cstheme="minorHAnsi"/>
          <w:sz w:val="20"/>
          <w:szCs w:val="24"/>
        </w:rPr>
      </w:pPr>
    </w:p>
    <w:p w14:paraId="696B829F" w14:textId="77777777" w:rsidR="00657B1F" w:rsidRDefault="00657B1F" w:rsidP="00657B1F"/>
    <w:p w14:paraId="5C7F050C" w14:textId="77777777" w:rsidR="00657B1F" w:rsidRDefault="00657B1F" w:rsidP="00657B1F"/>
    <w:p w14:paraId="0FF17DCC" w14:textId="77777777" w:rsidR="00657B1F" w:rsidRDefault="00657B1F" w:rsidP="00657B1F"/>
    <w:p w14:paraId="3E73A5D2" w14:textId="77777777" w:rsidR="00657B1F" w:rsidRDefault="00657B1F" w:rsidP="00657B1F"/>
    <w:p w14:paraId="38B69905" w14:textId="77777777" w:rsidR="00D57FC4" w:rsidRDefault="00D57FC4" w:rsidP="00657B1F"/>
    <w:p w14:paraId="79E61CD9" w14:textId="18B69F60" w:rsidR="00320909" w:rsidRPr="00426F0A" w:rsidRDefault="00320909" w:rsidP="00426F0A">
      <w:pPr>
        <w:pStyle w:val="Heading2"/>
        <w:rPr>
          <w:rFonts w:asciiTheme="minorHAnsi" w:hAnsiTheme="minorHAnsi" w:cstheme="minorHAnsi"/>
          <w:b/>
          <w:bCs/>
          <w:color w:val="000000" w:themeColor="text1"/>
        </w:rPr>
      </w:pPr>
      <w:r w:rsidRPr="00AB1D83">
        <w:rPr>
          <w:rFonts w:asciiTheme="minorHAnsi" w:hAnsiTheme="minorHAnsi" w:cstheme="minorHAnsi"/>
          <w:b/>
          <w:bCs/>
          <w:color w:val="000000" w:themeColor="text1"/>
        </w:rPr>
        <w:t>RESULTS</w:t>
      </w:r>
    </w:p>
    <w:p w14:paraId="7956F9B5" w14:textId="77777777" w:rsidR="00426F0A" w:rsidRDefault="00426F0A" w:rsidP="00196531"/>
    <w:p w14:paraId="74B7C4A7" w14:textId="7317F23E" w:rsidR="00FA0779" w:rsidRDefault="0070234C" w:rsidP="00FA0779">
      <w:r>
        <w:t>Fifty-four</w:t>
      </w:r>
      <w:r w:rsidR="00FA0779">
        <w:t xml:space="preserve"> NHS Trusts submitted data for the audit (</w:t>
      </w:r>
      <w:r>
        <w:t>all of those which were eligible</w:t>
      </w:r>
      <w:r w:rsidR="00FA0779">
        <w:t xml:space="preserve">). Data from 3795 patients’ case notes were analysed, of which 543 (14.3%) had a secondary diagnosis of SUD. </w:t>
      </w:r>
    </w:p>
    <w:p w14:paraId="2CAE61C2" w14:textId="36DA662A" w:rsidR="00635A68" w:rsidRDefault="00FA0779" w:rsidP="00635A68">
      <w:r>
        <w:t>Tables 1 summarises the demographic and clinical characteristics of patients with SUD compared to those without.</w:t>
      </w:r>
      <w:r w:rsidR="00CB290A">
        <w:t xml:space="preserve"> Reference groups were assigned as the most common data group for each variable.</w:t>
      </w:r>
      <w:r>
        <w:t xml:space="preserve"> Patients aged 25 to 34 </w:t>
      </w:r>
      <w:r w:rsidR="00635A68">
        <w:t xml:space="preserve">years </w:t>
      </w:r>
      <w:r>
        <w:t xml:space="preserve">were significantly more likely </w:t>
      </w:r>
      <w:r w:rsidR="00ED295F">
        <w:t xml:space="preserve">than the reference group (age 45 to 54) </w:t>
      </w:r>
      <w:r>
        <w:t>to have a diagnosis of SUD</w:t>
      </w:r>
      <w:r w:rsidR="000E0D79">
        <w:t xml:space="preserve"> (OR = 1.38, 95% CI 1.02 to 1.88, P=0.037)</w:t>
      </w:r>
      <w:r>
        <w:t xml:space="preserve">, while patients aged 65 to 74 </w:t>
      </w:r>
      <w:r w:rsidR="00635A68">
        <w:t xml:space="preserve">years </w:t>
      </w:r>
      <w:r>
        <w:t>were significantly less likely</w:t>
      </w:r>
      <w:r w:rsidR="00A81172">
        <w:t xml:space="preserve"> (OR = 0.19, 95% CI 0.07 to 0.48, P=0.001)</w:t>
      </w:r>
      <w:r>
        <w:t>. Female patients</w:t>
      </w:r>
      <w:r w:rsidR="00ED295F">
        <w:t xml:space="preserve"> compared to male</w:t>
      </w:r>
      <w:r w:rsidR="00F449BE">
        <w:t xml:space="preserve"> (OR = 0.</w:t>
      </w:r>
      <w:r w:rsidR="00D362A6">
        <w:t>50</w:t>
      </w:r>
      <w:r w:rsidR="00F449BE">
        <w:t>, 95% CI 0.</w:t>
      </w:r>
      <w:r w:rsidR="00D362A6">
        <w:t>40</w:t>
      </w:r>
      <w:r w:rsidR="00F449BE">
        <w:t xml:space="preserve"> to 0.</w:t>
      </w:r>
      <w:r w:rsidR="00D362A6">
        <w:t>6</w:t>
      </w:r>
      <w:r w:rsidR="00DA53AB">
        <w:t>2</w:t>
      </w:r>
      <w:r w:rsidR="00F449BE">
        <w:t>, P</w:t>
      </w:r>
      <w:r w:rsidR="00DA53AB">
        <w:t>&lt;</w:t>
      </w:r>
      <w:r w:rsidR="00F449BE">
        <w:t>0.001)</w:t>
      </w:r>
      <w:r>
        <w:t>, and patients with an ethnicity classed as ‘other’</w:t>
      </w:r>
      <w:r w:rsidR="00ED295F">
        <w:t xml:space="preserve"> compared to patients classed as ‘white’</w:t>
      </w:r>
      <w:r w:rsidR="00EE5F48">
        <w:t xml:space="preserve"> (</w:t>
      </w:r>
      <w:bookmarkStart w:id="4" w:name="_Hlk42698698"/>
      <w:r w:rsidR="00EE5F48">
        <w:t>OR = 0.34, 95% CI 0.12 to 0.96, P=0.041)</w:t>
      </w:r>
      <w:bookmarkEnd w:id="4"/>
      <w:r>
        <w:t xml:space="preserve"> were less likely to have a diagnosis of SUD</w:t>
      </w:r>
      <w:r w:rsidR="00714A2D">
        <w:t xml:space="preserve">. Meanwhile, </w:t>
      </w:r>
      <w:r>
        <w:t>homeless patients were more likely to have a diagnosis of SUD</w:t>
      </w:r>
      <w:r w:rsidR="00ED295F">
        <w:t xml:space="preserve"> compared to those in mainstream </w:t>
      </w:r>
      <w:r w:rsidR="00A73377">
        <w:t>accommodation</w:t>
      </w:r>
      <w:r w:rsidR="00EE5F48">
        <w:t xml:space="preserve"> (</w:t>
      </w:r>
      <w:r w:rsidR="00984A2A">
        <w:t>OR = 1.89, 95% CI 1.33 to 2.70, P&lt;0.001)</w:t>
      </w:r>
      <w:r w:rsidR="00AA62E3">
        <w:t>,</w:t>
      </w:r>
      <w:r w:rsidR="00714A2D">
        <w:t xml:space="preserve"> and </w:t>
      </w:r>
      <w:r w:rsidR="00AA62E3">
        <w:t xml:space="preserve">both </w:t>
      </w:r>
      <w:r w:rsidR="00714A2D">
        <w:t>unemployed (</w:t>
      </w:r>
      <w:bookmarkStart w:id="5" w:name="_Hlk46227053"/>
      <w:r w:rsidR="00AA62E3">
        <w:t>OR = 1.93, 95% CI 1.29 to 2.50, P&lt;0.001</w:t>
      </w:r>
      <w:bookmarkEnd w:id="5"/>
      <w:r w:rsidR="00714A2D">
        <w:t xml:space="preserve">) </w:t>
      </w:r>
      <w:r w:rsidR="00AA62E3">
        <w:t>and</w:t>
      </w:r>
      <w:r w:rsidR="00714A2D">
        <w:t xml:space="preserve"> long-term sick (</w:t>
      </w:r>
      <w:r w:rsidR="00AA62E3">
        <w:t>OR = 1.54, 95% CI 1.11 to 2.23, P=0.001</w:t>
      </w:r>
      <w:r w:rsidR="00714A2D">
        <w:t>) patients were more likely to have a diagnosis of SUD compared to those who were employed</w:t>
      </w:r>
      <w:r>
        <w:t xml:space="preserve">. </w:t>
      </w:r>
      <w:r w:rsidR="00635A68">
        <w:t xml:space="preserve">Patients with SUD were also less likely to be admitted to hospital </w:t>
      </w:r>
      <w:r w:rsidR="00984A2A">
        <w:t xml:space="preserve">involuntarily </w:t>
      </w:r>
      <w:r w:rsidR="00912E8C">
        <w:t xml:space="preserve">- </w:t>
      </w:r>
      <w:r w:rsidR="00635A68">
        <w:t>i.e. detained under the Mental Health Act 1983</w:t>
      </w:r>
      <w:r w:rsidR="00912E8C">
        <w:t xml:space="preserve"> (OR = 0.71, 95% CI 0.51 to 0.98, P=0.035)</w:t>
      </w:r>
      <w:r w:rsidR="00635A68">
        <w:t xml:space="preserve"> and had significantly shorter admissions than those without SUD. </w:t>
      </w:r>
    </w:p>
    <w:p w14:paraId="45E4EE2A" w14:textId="77777777" w:rsidR="00FA0779" w:rsidRDefault="00FA0779" w:rsidP="00FA0779">
      <w:r>
        <w:lastRenderedPageBreak/>
        <w:t>Table 2 summarises the multivariate regression analysis investigating the association of SUD with primary diagnosis. Patients with SUD were less likely to have diagnoses of severe depressive episodes (including in the context of recurrent depressive disorder), mixed anxiety and depression, OCD or ‘other stress-related’ disorders.</w:t>
      </w:r>
    </w:p>
    <w:p w14:paraId="7A919733" w14:textId="6A56F01E" w:rsidR="00FA0779" w:rsidRDefault="00FA0779" w:rsidP="00FA0779">
      <w:r>
        <w:t>Table 3 summarises the multivariate regression analyses investigating the association of SUD with our primary outcome measures. There was evidence that patients with SUD were less likely to have had care plans that were developed jointly, i</w:t>
      </w:r>
      <w:r w:rsidR="00635A68">
        <w:t>.</w:t>
      </w:r>
      <w:r>
        <w:t>e</w:t>
      </w:r>
      <w:r w:rsidR="00635A68">
        <w:t>.</w:t>
      </w:r>
      <w:r>
        <w:t xml:space="preserve"> with input from patient and clinician (OR = 0.76, 95% CI 0.55 to 0.93, P=0.034)</w:t>
      </w:r>
      <w:r w:rsidR="00635A68">
        <w:t>,</w:t>
      </w:r>
      <w:r>
        <w:t xml:space="preserve"> and  less likely to have had their medication reviewed either during the admission (OR = 0.83, 95% CI 0.69 to 0.94, P=0.030) or at follow-up post-discharge (OR = 0.58, 95% CI 0.39 to 0.86, P=0.007). Carers of patients with SUD</w:t>
      </w:r>
      <w:r w:rsidR="00B51141">
        <w:t xml:space="preserve"> </w:t>
      </w:r>
      <w:r w:rsidR="001D1868">
        <w:t>(</w:t>
      </w:r>
      <w:r w:rsidR="00B51141">
        <w:t>individual</w:t>
      </w:r>
      <w:r w:rsidR="001D1868">
        <w:t>s who had been identified</w:t>
      </w:r>
      <w:r w:rsidR="00B51141">
        <w:t xml:space="preserve"> </w:t>
      </w:r>
      <w:r w:rsidR="001D1868">
        <w:t>as holding</w:t>
      </w:r>
      <w:r w:rsidR="00B51141">
        <w:t xml:space="preserve"> primary caring responsibilities)</w:t>
      </w:r>
      <w:r>
        <w:t xml:space="preserve"> were less likely to have been provided with information about available support services (OR = 0.79, 95% CI 0.57 to 0.98, P=0.047). </w:t>
      </w:r>
    </w:p>
    <w:p w14:paraId="3E62667B" w14:textId="147FE5DA" w:rsidR="00FA0779" w:rsidRDefault="00FA0779" w:rsidP="00FA0779">
      <w:r>
        <w:t>Patients with SUD were less likely to have received adequate (</w:t>
      </w:r>
      <w:r w:rsidR="008E2145">
        <w:t xml:space="preserve">at least </w:t>
      </w:r>
      <w:r>
        <w:t>24 hours) notice in advance of their discharge (OR = 0.72, 95% CI 0.54 to 0.96, P=0.033), as were their carers (OR = 0.63, 95% CI 0.41 to 0.85, P=0.007).</w:t>
      </w:r>
      <w:r w:rsidR="00F741BC">
        <w:t xml:space="preserve"> They were less likely to have a crisis plan in place at the point of discharge (OR = 0.</w:t>
      </w:r>
      <w:r w:rsidR="00657B1F">
        <w:t>8</w:t>
      </w:r>
      <w:r w:rsidR="0043595D">
        <w:t>5</w:t>
      </w:r>
      <w:r w:rsidR="00F741BC">
        <w:t>, 95% CI 0.</w:t>
      </w:r>
      <w:r w:rsidR="00657B1F">
        <w:t>74</w:t>
      </w:r>
      <w:r w:rsidR="00F741BC">
        <w:t xml:space="preserve"> to 0.</w:t>
      </w:r>
      <w:r w:rsidR="00657B1F">
        <w:t>98</w:t>
      </w:r>
      <w:r w:rsidR="00F741BC">
        <w:t>, P=0.0</w:t>
      </w:r>
      <w:r w:rsidR="00657B1F">
        <w:t>44</w:t>
      </w:r>
      <w:r w:rsidR="00F741BC">
        <w:t>).</w:t>
      </w:r>
      <w:r>
        <w:t xml:space="preserve"> There was also strong evidence that patients with SUD were less likely to have been referred for psychological therapy</w:t>
      </w:r>
      <w:r w:rsidR="00B51141">
        <w:t xml:space="preserve"> during their admission</w:t>
      </w:r>
      <w:r>
        <w:t xml:space="preserve"> (OR = 0.69, 95% CI 0.55 to 0.87, P=0.002).</w:t>
      </w:r>
      <w:r w:rsidR="00635A68">
        <w:t xml:space="preserve"> Patients with SUD were more likely to have had their smoking status recorded (OR = 1.44, 95% CI 1.15 to 1.79, P=0.031).</w:t>
      </w:r>
    </w:p>
    <w:p w14:paraId="52514049" w14:textId="67DE9EA3" w:rsidR="00FA0779" w:rsidRDefault="00FA0779" w:rsidP="00FA0779">
      <w:r>
        <w:t>Univariate analysis suggested that amongst those patients referred for psychological therapy, patients with SUD were less likely to have commenced their therapy prior to the end of the audit period</w:t>
      </w:r>
      <w:r w:rsidR="004B28DF">
        <w:t xml:space="preserve"> (6 months following the date of admission)</w:t>
      </w:r>
      <w:r>
        <w:t>, but this association did not persist after adjustment for demographic and clinical factors</w:t>
      </w:r>
      <w:r w:rsidR="00637975">
        <w:t xml:space="preserve"> </w:t>
      </w:r>
      <w:r w:rsidR="00637975" w:rsidRPr="00DF55F6">
        <w:rPr>
          <w:rFonts w:cstheme="minorHAnsi"/>
        </w:rPr>
        <w:t>(primary diagnosis, age, gender, ethnicity, employment/ accommodation status, mode of admissio</w:t>
      </w:r>
      <w:r w:rsidR="00637975">
        <w:rPr>
          <w:rFonts w:cstheme="minorHAnsi"/>
        </w:rPr>
        <w:t xml:space="preserve">n, and </w:t>
      </w:r>
      <w:r w:rsidR="00637975" w:rsidRPr="00DF55F6">
        <w:rPr>
          <w:rFonts w:cstheme="minorHAnsi"/>
        </w:rPr>
        <w:t>source organisation)</w:t>
      </w:r>
      <w:r>
        <w:t xml:space="preserve">. </w:t>
      </w:r>
    </w:p>
    <w:p w14:paraId="121C11B4" w14:textId="24469D6B" w:rsidR="00FA0779" w:rsidRDefault="00FA0779" w:rsidP="00FA0779">
      <w:r>
        <w:t>Table 4 summarises the multivariate regression analyses investigating the association of SUD with the prescription of various classes of psychotropic medication. Univariate analysis suggested that patients with SUD were less likely to be prescribed all classes of medication tha</w:t>
      </w:r>
      <w:r w:rsidR="00647636">
        <w:t>n</w:t>
      </w:r>
      <w:r>
        <w:t xml:space="preserve"> those without. However, after adjustment for demographic and clinical factors only the association with mood stabilisers persisted (OR = 0.47, 95% CI 0.26 to 0.86, P=0.015).</w:t>
      </w:r>
    </w:p>
    <w:p w14:paraId="59DFF06B" w14:textId="77777777" w:rsidR="00FA0779" w:rsidRDefault="00FA0779" w:rsidP="00FA0779"/>
    <w:p w14:paraId="03C101A2" w14:textId="77777777" w:rsidR="00B02045" w:rsidRDefault="00B02045"/>
    <w:p w14:paraId="5D2B0FF0" w14:textId="580F4A9E" w:rsidR="00AD6B35" w:rsidRDefault="00AD6B35"/>
    <w:p w14:paraId="73087F87" w14:textId="77777777" w:rsidR="0008745F" w:rsidRPr="00C73440" w:rsidRDefault="0008745F" w:rsidP="0008745F">
      <w:pPr>
        <w:pStyle w:val="Heading2"/>
        <w:rPr>
          <w:rFonts w:cstheme="majorHAnsi"/>
          <w:b/>
          <w:bCs/>
          <w:color w:val="000000" w:themeColor="text1"/>
          <w:shd w:val="clear" w:color="auto" w:fill="FFFFFF"/>
        </w:rPr>
      </w:pPr>
      <w:r w:rsidRPr="00C73440">
        <w:rPr>
          <w:rFonts w:cstheme="majorHAnsi"/>
          <w:b/>
          <w:bCs/>
          <w:color w:val="000000" w:themeColor="text1"/>
          <w:shd w:val="clear" w:color="auto" w:fill="FFFFFF"/>
        </w:rPr>
        <w:t>DISCUSSION</w:t>
      </w:r>
    </w:p>
    <w:p w14:paraId="3990B44B" w14:textId="77777777" w:rsidR="0008745F" w:rsidRDefault="0008745F" w:rsidP="00AD6B35">
      <w:pPr>
        <w:rPr>
          <w:rFonts w:ascii="Arial" w:hAnsi="Arial" w:cs="Arial"/>
          <w:color w:val="000000"/>
          <w:sz w:val="20"/>
          <w:szCs w:val="20"/>
          <w:shd w:val="clear" w:color="auto" w:fill="FFFFFF"/>
        </w:rPr>
      </w:pPr>
    </w:p>
    <w:p w14:paraId="0D77D301" w14:textId="16467296" w:rsidR="00AD6B35" w:rsidRPr="0008745F" w:rsidRDefault="00AD6B35" w:rsidP="00AD6B35">
      <w:pPr>
        <w:rPr>
          <w:rFonts w:cstheme="minorHAnsi"/>
          <w:color w:val="000000"/>
          <w:shd w:val="clear" w:color="auto" w:fill="FFFFFF"/>
        </w:rPr>
      </w:pPr>
      <w:r w:rsidRPr="0008745F">
        <w:rPr>
          <w:rFonts w:cstheme="minorHAnsi"/>
          <w:color w:val="000000"/>
          <w:shd w:val="clear" w:color="auto" w:fill="FFFFFF"/>
        </w:rPr>
        <w:t xml:space="preserve">The findings from this study suggest that the quality of inpatient care for anxiety and depression provided to patients with </w:t>
      </w:r>
      <w:r w:rsidR="00B02045">
        <w:rPr>
          <w:rFonts w:cstheme="minorHAnsi"/>
          <w:color w:val="000000"/>
          <w:shd w:val="clear" w:color="auto" w:fill="FFFFFF"/>
        </w:rPr>
        <w:t>co-occurring</w:t>
      </w:r>
      <w:r w:rsidRPr="0008745F">
        <w:rPr>
          <w:rFonts w:cstheme="minorHAnsi"/>
          <w:color w:val="000000"/>
          <w:shd w:val="clear" w:color="auto" w:fill="FFFFFF"/>
        </w:rPr>
        <w:t xml:space="preserve"> </w:t>
      </w:r>
      <w:r w:rsidR="00E346E5">
        <w:rPr>
          <w:rFonts w:cstheme="minorHAnsi"/>
          <w:color w:val="000000"/>
          <w:shd w:val="clear" w:color="auto" w:fill="FFFFFF"/>
        </w:rPr>
        <w:t>SUD</w:t>
      </w:r>
      <w:r w:rsidRPr="0008745F">
        <w:rPr>
          <w:rFonts w:cstheme="minorHAnsi"/>
          <w:color w:val="000000"/>
          <w:shd w:val="clear" w:color="auto" w:fill="FFFFFF"/>
        </w:rPr>
        <w:t xml:space="preserve"> differs from that provided to patients without this comorbidity. </w:t>
      </w:r>
      <w:r w:rsidR="00C37315">
        <w:rPr>
          <w:rFonts w:cstheme="minorHAnsi"/>
          <w:color w:val="000000"/>
          <w:shd w:val="clear" w:color="auto" w:fill="FFFFFF"/>
        </w:rPr>
        <w:t>Differences were evident</w:t>
      </w:r>
      <w:r w:rsidRPr="0008745F">
        <w:rPr>
          <w:rFonts w:cstheme="minorHAnsi"/>
          <w:color w:val="000000"/>
          <w:shd w:val="clear" w:color="auto" w:fill="FFFFFF"/>
        </w:rPr>
        <w:t xml:space="preserve"> across multiple stages of inpatient admission (including the initial assessment process,</w:t>
      </w:r>
      <w:r w:rsidR="009A6E13">
        <w:rPr>
          <w:rFonts w:cstheme="minorHAnsi"/>
          <w:color w:val="000000"/>
          <w:shd w:val="clear" w:color="auto" w:fill="FFFFFF"/>
        </w:rPr>
        <w:t xml:space="preserve"> care planning,</w:t>
      </w:r>
      <w:r w:rsidRPr="0008745F">
        <w:rPr>
          <w:rFonts w:cstheme="minorHAnsi"/>
          <w:color w:val="000000"/>
          <w:shd w:val="clear" w:color="auto" w:fill="FFFFFF"/>
        </w:rPr>
        <w:t xml:space="preserve"> treatments offered, and discharge planning). These variations in care were independent of demographic variation, and are therefore not a product of demographic differences between patients with </w:t>
      </w:r>
      <w:r w:rsidR="00E346E5">
        <w:rPr>
          <w:rFonts w:cstheme="minorHAnsi"/>
          <w:color w:val="000000"/>
          <w:shd w:val="clear" w:color="auto" w:fill="FFFFFF"/>
        </w:rPr>
        <w:t>SUD</w:t>
      </w:r>
      <w:r w:rsidRPr="0008745F">
        <w:rPr>
          <w:rFonts w:cstheme="minorHAnsi"/>
          <w:color w:val="000000"/>
          <w:shd w:val="clear" w:color="auto" w:fill="FFFFFF"/>
        </w:rPr>
        <w:t xml:space="preserve"> and those without – although there are significant demographic differences between these groups. </w:t>
      </w:r>
    </w:p>
    <w:p w14:paraId="48E691C6" w14:textId="1A6A5EB5" w:rsidR="00AD6B35" w:rsidRPr="0008745F" w:rsidRDefault="00635A68" w:rsidP="00AD6B35">
      <w:pPr>
        <w:rPr>
          <w:rFonts w:cstheme="minorHAnsi"/>
          <w:color w:val="000000"/>
          <w:shd w:val="clear" w:color="auto" w:fill="FFFFFF"/>
        </w:rPr>
      </w:pPr>
      <w:r>
        <w:rPr>
          <w:rFonts w:cstheme="minorHAnsi"/>
          <w:color w:val="000000"/>
          <w:shd w:val="clear" w:color="auto" w:fill="FFFFFF"/>
        </w:rPr>
        <w:lastRenderedPageBreak/>
        <w:t>On most standards</w:t>
      </w:r>
      <w:r w:rsidR="00AD6B35" w:rsidRPr="0008745F">
        <w:rPr>
          <w:rFonts w:cstheme="minorHAnsi"/>
          <w:color w:val="000000"/>
          <w:shd w:val="clear" w:color="auto" w:fill="FFFFFF"/>
        </w:rPr>
        <w:t xml:space="preserve"> where there were differences, patients with </w:t>
      </w:r>
      <w:r w:rsidR="00B02045">
        <w:rPr>
          <w:rFonts w:cstheme="minorHAnsi"/>
          <w:color w:val="000000"/>
          <w:shd w:val="clear" w:color="auto" w:fill="FFFFFF"/>
        </w:rPr>
        <w:t xml:space="preserve">co-occurring </w:t>
      </w:r>
      <w:r w:rsidR="00E346E5">
        <w:rPr>
          <w:rFonts w:cstheme="minorHAnsi"/>
          <w:color w:val="000000"/>
          <w:shd w:val="clear" w:color="auto" w:fill="FFFFFF"/>
        </w:rPr>
        <w:t>SUD</w:t>
      </w:r>
      <w:r w:rsidR="00AD6B35" w:rsidRPr="0008745F">
        <w:rPr>
          <w:rFonts w:cstheme="minorHAnsi"/>
          <w:color w:val="000000"/>
          <w:shd w:val="clear" w:color="auto" w:fill="FFFFFF"/>
        </w:rPr>
        <w:t xml:space="preserve"> </w:t>
      </w:r>
      <w:r w:rsidR="00B02045">
        <w:rPr>
          <w:rFonts w:cstheme="minorHAnsi"/>
          <w:color w:val="000000"/>
          <w:shd w:val="clear" w:color="auto" w:fill="FFFFFF"/>
        </w:rPr>
        <w:t>received lower quality care</w:t>
      </w:r>
      <w:r w:rsidR="00AD6B35" w:rsidRPr="0008745F">
        <w:rPr>
          <w:rFonts w:cstheme="minorHAnsi"/>
          <w:color w:val="000000"/>
          <w:shd w:val="clear" w:color="auto" w:fill="FFFFFF"/>
        </w:rPr>
        <w:t xml:space="preserve"> than those without. The magnitude of these differences varied with different aspects of clinical care</w:t>
      </w:r>
      <w:r w:rsidR="00E256A1">
        <w:rPr>
          <w:rFonts w:cstheme="minorHAnsi"/>
          <w:color w:val="000000"/>
          <w:shd w:val="clear" w:color="auto" w:fill="FFFFFF"/>
        </w:rPr>
        <w:t>, as described above</w:t>
      </w:r>
      <w:r w:rsidR="00AD6B35" w:rsidRPr="0008745F">
        <w:rPr>
          <w:rFonts w:cstheme="minorHAnsi"/>
          <w:color w:val="000000"/>
          <w:shd w:val="clear" w:color="auto" w:fill="FFFFFF"/>
        </w:rPr>
        <w:t xml:space="preserve">. </w:t>
      </w:r>
      <w:r w:rsidR="00D963C2">
        <w:rPr>
          <w:rFonts w:cstheme="minorHAnsi"/>
          <w:color w:val="000000"/>
          <w:shd w:val="clear" w:color="auto" w:fill="FFFFFF"/>
        </w:rPr>
        <w:t>The only</w:t>
      </w:r>
      <w:r w:rsidR="00AD6B35" w:rsidRPr="0008745F">
        <w:rPr>
          <w:rFonts w:cstheme="minorHAnsi"/>
          <w:color w:val="000000"/>
          <w:shd w:val="clear" w:color="auto" w:fill="FFFFFF"/>
        </w:rPr>
        <w:t xml:space="preserve"> exception </w:t>
      </w:r>
      <w:r w:rsidR="00D963C2">
        <w:rPr>
          <w:rFonts w:cstheme="minorHAnsi"/>
          <w:color w:val="000000"/>
          <w:shd w:val="clear" w:color="auto" w:fill="FFFFFF"/>
        </w:rPr>
        <w:t>to this – unsurprisingly – was a variable specifically relating to substance use in the initial assessment process</w:t>
      </w:r>
      <w:r w:rsidR="00AD6B35" w:rsidRPr="0008745F">
        <w:rPr>
          <w:rFonts w:cstheme="minorHAnsi"/>
          <w:color w:val="000000"/>
          <w:shd w:val="clear" w:color="auto" w:fill="FFFFFF"/>
        </w:rPr>
        <w:t xml:space="preserve"> </w:t>
      </w:r>
      <w:r w:rsidR="00D963C2">
        <w:rPr>
          <w:rFonts w:cstheme="minorHAnsi"/>
          <w:color w:val="000000"/>
          <w:shd w:val="clear" w:color="auto" w:fill="FFFFFF"/>
        </w:rPr>
        <w:t xml:space="preserve">(patients with </w:t>
      </w:r>
      <w:r w:rsidR="00E346E5">
        <w:rPr>
          <w:rFonts w:cstheme="minorHAnsi"/>
          <w:color w:val="000000"/>
          <w:shd w:val="clear" w:color="auto" w:fill="FFFFFF"/>
        </w:rPr>
        <w:t>SUD</w:t>
      </w:r>
      <w:r w:rsidR="00D963C2">
        <w:rPr>
          <w:rFonts w:cstheme="minorHAnsi"/>
          <w:color w:val="000000"/>
          <w:shd w:val="clear" w:color="auto" w:fill="FFFFFF"/>
        </w:rPr>
        <w:t xml:space="preserve"> were more likely to have their smoking status recorded).</w:t>
      </w:r>
    </w:p>
    <w:p w14:paraId="6D80EBF8" w14:textId="77777777" w:rsidR="00AD6B35" w:rsidRPr="0008745F" w:rsidRDefault="00AD6B35" w:rsidP="00AD6B35">
      <w:pPr>
        <w:rPr>
          <w:rFonts w:cstheme="minorHAnsi"/>
          <w:color w:val="000000"/>
          <w:shd w:val="clear" w:color="auto" w:fill="FFFFFF"/>
        </w:rPr>
      </w:pPr>
    </w:p>
    <w:p w14:paraId="22C681F1" w14:textId="77777777" w:rsidR="00CA3ED6" w:rsidRPr="00C73440" w:rsidRDefault="00CA3ED6" w:rsidP="00CA3ED6">
      <w:pPr>
        <w:pStyle w:val="Heading3"/>
        <w:rPr>
          <w:rFonts w:cstheme="majorHAnsi"/>
          <w:b/>
          <w:bCs/>
          <w:color w:val="000000" w:themeColor="text1"/>
          <w:shd w:val="clear" w:color="auto" w:fill="FFFFFF"/>
        </w:rPr>
      </w:pPr>
      <w:r w:rsidRPr="00C73440">
        <w:rPr>
          <w:rFonts w:cstheme="majorHAnsi"/>
          <w:b/>
          <w:bCs/>
          <w:color w:val="000000" w:themeColor="text1"/>
          <w:shd w:val="clear" w:color="auto" w:fill="FFFFFF"/>
        </w:rPr>
        <w:t>Strengths and limitations</w:t>
      </w:r>
    </w:p>
    <w:p w14:paraId="5A4BD623" w14:textId="77777777" w:rsidR="00CA3ED6" w:rsidRDefault="00CA3ED6" w:rsidP="00AD6B35">
      <w:pPr>
        <w:rPr>
          <w:rFonts w:cstheme="minorHAnsi"/>
          <w:color w:val="000000"/>
          <w:shd w:val="clear" w:color="auto" w:fill="FFFFFF"/>
        </w:rPr>
      </w:pPr>
    </w:p>
    <w:p w14:paraId="6AB820C4" w14:textId="4BDC595C" w:rsidR="00AD6B35" w:rsidRDefault="005D7574" w:rsidP="00AD6B35">
      <w:pPr>
        <w:rPr>
          <w:rFonts w:cstheme="minorHAnsi"/>
          <w:color w:val="000000"/>
          <w:shd w:val="clear" w:color="auto" w:fill="FFFFFF"/>
        </w:rPr>
      </w:pPr>
      <w:r w:rsidRPr="0008745F">
        <w:rPr>
          <w:rFonts w:cstheme="minorHAnsi"/>
          <w:color w:val="000000"/>
          <w:shd w:val="clear" w:color="auto" w:fill="FFFFFF"/>
        </w:rPr>
        <w:t>Data were obtained from a large heterogenous sample</w:t>
      </w:r>
      <w:r>
        <w:rPr>
          <w:rFonts w:cstheme="minorHAnsi"/>
          <w:color w:val="000000"/>
          <w:shd w:val="clear" w:color="auto" w:fill="FFFFFF"/>
        </w:rPr>
        <w:t>,</w:t>
      </w:r>
      <w:r w:rsidRPr="0008745F">
        <w:rPr>
          <w:rFonts w:cstheme="minorHAnsi"/>
          <w:color w:val="000000"/>
          <w:shd w:val="clear" w:color="auto" w:fill="FFFFFF"/>
        </w:rPr>
        <w:t xml:space="preserve"> </w:t>
      </w:r>
      <w:r>
        <w:rPr>
          <w:rFonts w:cstheme="minorHAnsi"/>
          <w:color w:val="000000"/>
          <w:shd w:val="clear" w:color="auto" w:fill="FFFFFF"/>
        </w:rPr>
        <w:t>derived</w:t>
      </w:r>
      <w:r w:rsidRPr="0008745F">
        <w:rPr>
          <w:rFonts w:cstheme="minorHAnsi"/>
          <w:color w:val="000000"/>
          <w:shd w:val="clear" w:color="auto" w:fill="FFFFFF"/>
        </w:rPr>
        <w:t xml:space="preserve"> </w:t>
      </w:r>
      <w:r>
        <w:rPr>
          <w:rFonts w:cstheme="minorHAnsi"/>
          <w:color w:val="000000"/>
          <w:shd w:val="clear" w:color="auto" w:fill="FFFFFF"/>
        </w:rPr>
        <w:t xml:space="preserve">from </w:t>
      </w:r>
      <w:r w:rsidRPr="0008745F">
        <w:rPr>
          <w:rFonts w:cstheme="minorHAnsi"/>
          <w:color w:val="000000"/>
          <w:shd w:val="clear" w:color="auto" w:fill="FFFFFF"/>
        </w:rPr>
        <w:t xml:space="preserve">every NHS Trust providing acute psychiatric inpatient care for patients with anxiety and depression in England. </w:t>
      </w:r>
      <w:r>
        <w:rPr>
          <w:rFonts w:cstheme="minorHAnsi"/>
          <w:color w:val="000000"/>
          <w:shd w:val="clear" w:color="auto" w:fill="FFFFFF"/>
        </w:rPr>
        <w:t>We</w:t>
      </w:r>
      <w:r w:rsidRPr="0008745F">
        <w:rPr>
          <w:rFonts w:cstheme="minorHAnsi"/>
          <w:color w:val="000000"/>
          <w:shd w:val="clear" w:color="auto" w:fill="FFFFFF"/>
        </w:rPr>
        <w:t xml:space="preserve"> expect that </w:t>
      </w:r>
      <w:r>
        <w:rPr>
          <w:rFonts w:cstheme="minorHAnsi"/>
          <w:color w:val="000000"/>
          <w:shd w:val="clear" w:color="auto" w:fill="FFFFFF"/>
        </w:rPr>
        <w:t>our findings</w:t>
      </w:r>
      <w:r w:rsidRPr="0008745F">
        <w:rPr>
          <w:rFonts w:cstheme="minorHAnsi"/>
          <w:color w:val="000000"/>
          <w:shd w:val="clear" w:color="auto" w:fill="FFFFFF"/>
        </w:rPr>
        <w:t xml:space="preserve"> would be generalisable to similar patient groups in </w:t>
      </w:r>
      <w:r>
        <w:rPr>
          <w:rFonts w:cstheme="minorHAnsi"/>
          <w:color w:val="000000"/>
          <w:shd w:val="clear" w:color="auto" w:fill="FFFFFF"/>
        </w:rPr>
        <w:t>wider inpatient clinical practice</w:t>
      </w:r>
      <w:r w:rsidRPr="0008745F">
        <w:rPr>
          <w:rFonts w:cstheme="minorHAnsi"/>
          <w:color w:val="000000"/>
          <w:shd w:val="clear" w:color="auto" w:fill="FFFFFF"/>
        </w:rPr>
        <w:t xml:space="preserve">. </w:t>
      </w:r>
      <w:r w:rsidRPr="00ED025F">
        <w:rPr>
          <w:rFonts w:cstheme="minorHAnsi"/>
          <w:color w:val="000000"/>
          <w:shd w:val="clear" w:color="auto" w:fill="FFFFFF"/>
        </w:rPr>
        <w:t xml:space="preserve"> </w:t>
      </w:r>
      <w:r w:rsidRPr="0008745F">
        <w:rPr>
          <w:rFonts w:cstheme="minorHAnsi"/>
          <w:color w:val="000000"/>
          <w:shd w:val="clear" w:color="auto" w:fill="FFFFFF"/>
        </w:rPr>
        <w:t>The primary outcome measures we used to assess quality of clinical care were based on NICE guidance</w:t>
      </w:r>
      <w:r w:rsidR="00823D45">
        <w:rPr>
          <w:rFonts w:cstheme="minorHAnsi"/>
          <w:color w:val="000000"/>
          <w:shd w:val="clear" w:color="auto" w:fill="FFFFFF"/>
        </w:rPr>
        <w:t xml:space="preserve"> </w:t>
      </w:r>
      <w:r w:rsidR="007728CD">
        <w:rPr>
          <w:rStyle w:val="FootnoteReference"/>
          <w:rFonts w:cstheme="minorHAnsi"/>
          <w:color w:val="000000"/>
          <w:shd w:val="clear" w:color="auto" w:fill="FFFFFF"/>
        </w:rPr>
        <w:fldChar w:fldCharType="begin" w:fldLock="1"/>
      </w:r>
      <w:r w:rsidR="00F950CD">
        <w:rPr>
          <w:rFonts w:cstheme="minorHAnsi"/>
          <w:color w:val="000000"/>
          <w:shd w:val="clear" w:color="auto" w:fill="FFFFFF"/>
        </w:rPr>
        <w:instrText>ADDIN CSL_CITATION {"citationItems":[{"id":"ITEM-1","itemData":{"author":[{"dropping-particle":"","family":"National Institute for Health and Care Excellence (NICE)","given":"","non-dropping-particle":"","parse-names":false,"suffix":""}],"id":"ITEM-1","issued":{"date-parts":[["2011"]]},"publisher":"NICE","title":"Common mental health problems: identification and pathways to care (CG123)","type":"article-journal"},"uris":["http://www.mendeley.com/documents/?uuid=5e1b7200-d08c-3bbc-a1c2-ea24410f12e4"]},{"id":"ITEM-2","itemData":{"author":[{"dropping-particle":"","family":"National Institute for Health and Care Excellence (NICE)","given":"","non-dropping-particle":"","parse-names":false,"suffix":""}],"id":"ITEM-2","issued":{"date-parts":[["2011"]]},"publisher":"NICE","title":"Service user experience in adult mental health: improving the experience of care for people using adult NHS mental health services (CG136)","type":"article-journal"},"uris":["http://www.mendeley.com/documents/?uuid=9d6dac46-dff9-3a6e-b6bf-5eff017c3f2a"]},{"id":"ITEM-3","itemData":{"author":[{"dropping-particle":"","family":"National Institute for Health and Care Excellence (NICE)","given":"","non-dropping-particle":"","parse-names":false,"suffix":""}],"id":"ITEM-3","issued":{"date-parts":[["2016"]]},"publisher":"NICE","title":"Transition between inpatient mental health settings and community or care home settings (NG53)","type":"article-journal"},"uris":["http://www.mendeley.com/documents/?uuid=b3fc694d-9e01-3d48-a2a9-157ef0a8ffbc"]}],"mendeley":{"formattedCitation":"(National Institute for Health and Care Excellence (NICE), 2011a, 2011b, 2016)","manualFormatting":"(National Institute for Health and Care Excellence, 2011, 2011, 2016)","plainTextFormattedCitation":"(National Institute for Health and Care Excellence (NICE), 2011a, 2011b, 2016)","previouslyFormattedCitation":"(31–33)"},"properties":{"noteIndex":0},"schema":"https://github.com/citation-style-language/schema/raw/master/csl-citation.json"}</w:instrText>
      </w:r>
      <w:r w:rsidR="007728CD">
        <w:rPr>
          <w:rStyle w:val="FootnoteReference"/>
          <w:rFonts w:cstheme="minorHAnsi"/>
          <w:color w:val="000000"/>
          <w:shd w:val="clear" w:color="auto" w:fill="FFFFFF"/>
        </w:rPr>
        <w:fldChar w:fldCharType="separate"/>
      </w:r>
      <w:r w:rsidR="007728CD" w:rsidRPr="007728CD">
        <w:rPr>
          <w:rFonts w:cstheme="minorHAnsi"/>
          <w:noProof/>
          <w:color w:val="000000"/>
          <w:shd w:val="clear" w:color="auto" w:fill="FFFFFF"/>
        </w:rPr>
        <w:t>(National Institute for Health and Care Excellence, 2011, 2011, 2016)</w:t>
      </w:r>
      <w:r w:rsidR="007728CD">
        <w:rPr>
          <w:rStyle w:val="FootnoteReference"/>
          <w:rFonts w:cstheme="minorHAnsi"/>
          <w:color w:val="000000"/>
          <w:shd w:val="clear" w:color="auto" w:fill="FFFFFF"/>
        </w:rPr>
        <w:fldChar w:fldCharType="end"/>
      </w:r>
      <w:r w:rsidRPr="0008745F">
        <w:rPr>
          <w:rFonts w:cstheme="minorHAnsi"/>
          <w:color w:val="000000"/>
          <w:shd w:val="clear" w:color="auto" w:fill="FFFFFF"/>
        </w:rPr>
        <w:t xml:space="preserve"> and standards for inpatient services published by the Royal College of Psychiatrists</w:t>
      </w:r>
      <w:r w:rsidR="00F950CD">
        <w:rPr>
          <w:rFonts w:cstheme="minorHAnsi"/>
          <w:color w:val="000000"/>
          <w:shd w:val="clear" w:color="auto" w:fill="FFFFFF"/>
        </w:rPr>
        <w:t xml:space="preserve"> </w:t>
      </w:r>
      <w:r w:rsidR="007728CD">
        <w:rPr>
          <w:rStyle w:val="FootnoteReference"/>
          <w:rFonts w:cstheme="minorHAnsi"/>
          <w:color w:val="000000"/>
          <w:shd w:val="clear" w:color="auto" w:fill="FFFFFF"/>
        </w:rPr>
        <w:fldChar w:fldCharType="begin" w:fldLock="1"/>
      </w:r>
      <w:r w:rsidR="00F950CD">
        <w:rPr>
          <w:rFonts w:cstheme="minorHAnsi"/>
          <w:color w:val="000000"/>
          <w:shd w:val="clear" w:color="auto" w:fill="FFFFFF"/>
        </w:rPr>
        <w:instrText xml:space="preserve">ADDIN CSL_CITATION {"citationItems":[{"id":"ITEM-1","itemData":{"URL":"http://www.cqc.org.uk/content/fundamental-standards","accessed":{"date-parts":[["2019","6","12"]]},"author":[{"dropping-particle":"","family":"Royal College of Psychiatrists – College Centre for Quality Improvement","given":"","non-dropping-particle":"","parse-names":false,"suffix":""}],"id":"ITEM-1","issued":{"date-parts":[["2017"]]},"title":"Standards for Inpatient Mental Health Services, second edition","type":"webpage"},"uris":["http://www.mendeley.com/documents/?uuid=a2a55bb8-0c24-3519-bcdc-9400fc2ff923"]}],"mendeley":{"formattedCitation":"(Royal College of Psychiatrists – College Centre for Quality Improvement, 2017)","manualFormatting":"(Royal College of Psychiatrists, 2017)","plainTextFormattedCitation":"(Royal College of Psychiatrists – College Centre </w:instrText>
      </w:r>
      <w:r w:rsidR="00F950CD">
        <w:rPr>
          <w:rFonts w:cstheme="minorHAnsi"/>
          <w:color w:val="000000"/>
          <w:shd w:val="clear" w:color="auto" w:fill="FFFFFF"/>
        </w:rPr>
        <w:lastRenderedPageBreak/>
        <w:instrText>for Quality Improvement, 2017)","previouslyFormattedCitation":"(34)"},"properties":{"noteIndex":0},"schema":"https://github.com/citation-style-language/schema/raw/master/csl-citation.json"}</w:instrText>
      </w:r>
      <w:r w:rsidR="007728CD">
        <w:rPr>
          <w:rStyle w:val="FootnoteReference"/>
          <w:rFonts w:cstheme="minorHAnsi"/>
          <w:color w:val="000000"/>
          <w:shd w:val="clear" w:color="auto" w:fill="FFFFFF"/>
        </w:rPr>
        <w:fldChar w:fldCharType="separate"/>
      </w:r>
      <w:r w:rsidR="007728CD" w:rsidRPr="007728CD">
        <w:rPr>
          <w:rFonts w:cstheme="minorHAnsi"/>
          <w:noProof/>
          <w:color w:val="000000"/>
          <w:shd w:val="clear" w:color="auto" w:fill="FFFFFF"/>
        </w:rPr>
        <w:t>(Royal College of Psychiatrists, 2017)</w:t>
      </w:r>
      <w:r w:rsidR="007728CD">
        <w:rPr>
          <w:rStyle w:val="FootnoteReference"/>
          <w:rFonts w:cstheme="minorHAnsi"/>
          <w:color w:val="000000"/>
          <w:shd w:val="clear" w:color="auto" w:fill="FFFFFF"/>
        </w:rPr>
        <w:fldChar w:fldCharType="end"/>
      </w:r>
      <w:r w:rsidR="00F950CD">
        <w:rPr>
          <w:rFonts w:cstheme="minorHAnsi"/>
          <w:color w:val="000000"/>
          <w:shd w:val="clear" w:color="auto" w:fill="FFFFFF"/>
        </w:rPr>
        <w:t>,</w:t>
      </w:r>
      <w:r w:rsidRPr="0008745F">
        <w:rPr>
          <w:rFonts w:cstheme="minorHAnsi"/>
          <w:color w:val="000000"/>
          <w:shd w:val="clear" w:color="auto" w:fill="FFFFFF"/>
        </w:rPr>
        <w:t xml:space="preserve"> and were refined with feedback from an expert group of service users and providers. </w:t>
      </w:r>
      <w:r w:rsidR="00AD6B35" w:rsidRPr="0008745F">
        <w:rPr>
          <w:rFonts w:cstheme="minorHAnsi"/>
          <w:color w:val="000000"/>
          <w:shd w:val="clear" w:color="auto" w:fill="FFFFFF"/>
        </w:rPr>
        <w:t xml:space="preserve">To date, there have been no other studies specifically examining inpatient care for anxiety and depression, for patients with comorbid </w:t>
      </w:r>
      <w:r w:rsidR="00060A7B">
        <w:rPr>
          <w:rFonts w:cstheme="minorHAnsi"/>
          <w:color w:val="000000"/>
          <w:shd w:val="clear" w:color="auto" w:fill="FFFFFF"/>
        </w:rPr>
        <w:t>SUD</w:t>
      </w:r>
      <w:r w:rsidR="00AD6B35" w:rsidRPr="0008745F">
        <w:rPr>
          <w:rFonts w:cstheme="minorHAnsi"/>
          <w:color w:val="000000"/>
          <w:shd w:val="clear" w:color="auto" w:fill="FFFFFF"/>
        </w:rPr>
        <w:t>.</w:t>
      </w:r>
    </w:p>
    <w:p w14:paraId="3E5600BE" w14:textId="38B3ABE6" w:rsidR="00217E0A" w:rsidRDefault="002C499B" w:rsidP="00AD6B35">
      <w:pPr>
        <w:rPr>
          <w:rFonts w:cstheme="minorHAnsi"/>
          <w:color w:val="000000"/>
          <w:shd w:val="clear" w:color="auto" w:fill="FFFFFF"/>
        </w:rPr>
      </w:pPr>
      <w:r>
        <w:rPr>
          <w:rFonts w:cstheme="minorHAnsi"/>
          <w:color w:val="000000"/>
          <w:shd w:val="clear" w:color="auto" w:fill="FFFFFF"/>
        </w:rPr>
        <w:t>There are important limitations. R</w:t>
      </w:r>
      <w:r w:rsidR="00217E0A" w:rsidRPr="0008745F">
        <w:rPr>
          <w:rFonts w:cstheme="minorHAnsi"/>
          <w:color w:val="000000"/>
          <w:shd w:val="clear" w:color="auto" w:fill="FFFFFF"/>
        </w:rPr>
        <w:t xml:space="preserve">estricting the sample to patients with a primary diagnosis of an anxiety disorder or depressive illness </w:t>
      </w:r>
      <w:r w:rsidR="00217E0A">
        <w:rPr>
          <w:rFonts w:cstheme="minorHAnsi"/>
          <w:color w:val="000000"/>
          <w:shd w:val="clear" w:color="auto" w:fill="FFFFFF"/>
        </w:rPr>
        <w:t>does mean</w:t>
      </w:r>
      <w:r w:rsidR="00217E0A" w:rsidRPr="0008745F">
        <w:rPr>
          <w:rFonts w:cstheme="minorHAnsi"/>
          <w:color w:val="000000"/>
          <w:shd w:val="clear" w:color="auto" w:fill="FFFFFF"/>
        </w:rPr>
        <w:t xml:space="preserve"> that the results </w:t>
      </w:r>
      <w:r w:rsidR="00217E0A">
        <w:rPr>
          <w:rFonts w:cstheme="minorHAnsi"/>
          <w:color w:val="000000"/>
          <w:shd w:val="clear" w:color="auto" w:fill="FFFFFF"/>
        </w:rPr>
        <w:t>may</w:t>
      </w:r>
      <w:r w:rsidR="00217E0A" w:rsidRPr="0008745F">
        <w:rPr>
          <w:rFonts w:cstheme="minorHAnsi"/>
          <w:color w:val="000000"/>
          <w:shd w:val="clear" w:color="auto" w:fill="FFFFFF"/>
        </w:rPr>
        <w:t xml:space="preserve"> not be generalisable to other patient groups such as those with other primary diagnoses, or those who were admitted to hospital because of </w:t>
      </w:r>
      <w:proofErr w:type="spellStart"/>
      <w:r w:rsidR="00217E0A" w:rsidRPr="0008745F">
        <w:rPr>
          <w:rFonts w:cstheme="minorHAnsi"/>
          <w:color w:val="000000"/>
          <w:shd w:val="clear" w:color="auto" w:fill="FFFFFF"/>
        </w:rPr>
        <w:t>behavior</w:t>
      </w:r>
      <w:proofErr w:type="spellEnd"/>
      <w:r w:rsidR="00217E0A" w:rsidRPr="0008745F">
        <w:rPr>
          <w:rFonts w:cstheme="minorHAnsi"/>
          <w:color w:val="000000"/>
          <w:shd w:val="clear" w:color="auto" w:fill="FFFFFF"/>
        </w:rPr>
        <w:t xml:space="preserve"> or symptoms related to their </w:t>
      </w:r>
      <w:r w:rsidR="009E6827">
        <w:rPr>
          <w:rFonts w:cstheme="minorHAnsi"/>
          <w:color w:val="000000"/>
          <w:shd w:val="clear" w:color="auto" w:fill="FFFFFF"/>
        </w:rPr>
        <w:t>SUD</w:t>
      </w:r>
      <w:r w:rsidR="00217E0A" w:rsidRPr="0008745F">
        <w:rPr>
          <w:rFonts w:cstheme="minorHAnsi"/>
          <w:color w:val="000000"/>
          <w:shd w:val="clear" w:color="auto" w:fill="FFFFFF"/>
        </w:rPr>
        <w:t xml:space="preserve"> alone. </w:t>
      </w:r>
      <w:r w:rsidR="00FF5A55">
        <w:rPr>
          <w:rFonts w:cstheme="minorHAnsi"/>
          <w:color w:val="000000"/>
          <w:shd w:val="clear" w:color="auto" w:fill="FFFFFF"/>
        </w:rPr>
        <w:t xml:space="preserve">However, restricting the sample to a </w:t>
      </w:r>
      <w:r w:rsidR="001D1868">
        <w:rPr>
          <w:rFonts w:cstheme="minorHAnsi"/>
          <w:color w:val="000000"/>
          <w:shd w:val="clear" w:color="auto" w:fill="FFFFFF"/>
        </w:rPr>
        <w:t>specific</w:t>
      </w:r>
      <w:r w:rsidR="00FF5A55">
        <w:rPr>
          <w:rFonts w:cstheme="minorHAnsi"/>
          <w:color w:val="000000"/>
          <w:shd w:val="clear" w:color="auto" w:fill="FFFFFF"/>
        </w:rPr>
        <w:t xml:space="preserve"> cohort in this way also allowed us to mitigate the potentially confounding effects of a more diverse range of primary diagnoses. </w:t>
      </w:r>
    </w:p>
    <w:p w14:paraId="63BB78E2" w14:textId="20BD8071" w:rsidR="00172940" w:rsidRDefault="00EC1FAB" w:rsidP="00AD6B35">
      <w:pPr>
        <w:rPr>
          <w:rFonts w:cstheme="minorHAnsi"/>
          <w:color w:val="000000"/>
          <w:shd w:val="clear" w:color="auto" w:fill="FFFFFF"/>
        </w:rPr>
      </w:pPr>
      <w:r>
        <w:rPr>
          <w:rFonts w:cstheme="minorHAnsi"/>
          <w:color w:val="000000"/>
          <w:shd w:val="clear" w:color="auto" w:fill="FFFFFF"/>
        </w:rPr>
        <w:t xml:space="preserve">The number of primary outcome measures (care quality items) necessitated multiple statistical analyses, which increases the potential risk of type 1 statistical errors. </w:t>
      </w:r>
      <w:r w:rsidR="008C7A4D">
        <w:rPr>
          <w:rFonts w:cstheme="minorHAnsi"/>
          <w:color w:val="000000"/>
          <w:shd w:val="clear" w:color="auto" w:fill="FFFFFF"/>
        </w:rPr>
        <w:t>Also</w:t>
      </w:r>
      <w:r w:rsidR="00C05D06">
        <w:rPr>
          <w:rFonts w:cstheme="minorHAnsi"/>
          <w:color w:val="000000"/>
          <w:shd w:val="clear" w:color="auto" w:fill="FFFFFF"/>
        </w:rPr>
        <w:t>, d</w:t>
      </w:r>
      <w:r w:rsidR="00AD6B35" w:rsidRPr="0008745F">
        <w:rPr>
          <w:rFonts w:cstheme="minorHAnsi"/>
          <w:color w:val="000000"/>
          <w:shd w:val="clear" w:color="auto" w:fill="FFFFFF"/>
        </w:rPr>
        <w:t>ata were produced from a retrospective case note audit, and are therefore dependant on accurate reporting and documentation of events at the time of occurrence. Case notes were written by clinicians, and may not fully capture patient/ carer perspectives or experience (e</w:t>
      </w:r>
      <w:r w:rsidR="00635A68">
        <w:rPr>
          <w:rFonts w:cstheme="minorHAnsi"/>
          <w:color w:val="000000"/>
          <w:shd w:val="clear" w:color="auto" w:fill="FFFFFF"/>
        </w:rPr>
        <w:t>.</w:t>
      </w:r>
      <w:r w:rsidR="00AD6B35" w:rsidRPr="0008745F">
        <w:rPr>
          <w:rFonts w:cstheme="minorHAnsi"/>
          <w:color w:val="000000"/>
          <w:shd w:val="clear" w:color="auto" w:fill="FFFFFF"/>
        </w:rPr>
        <w:t>g</w:t>
      </w:r>
      <w:r w:rsidR="00635A68">
        <w:rPr>
          <w:rFonts w:cstheme="minorHAnsi"/>
          <w:color w:val="000000"/>
          <w:shd w:val="clear" w:color="auto" w:fill="FFFFFF"/>
        </w:rPr>
        <w:t>.</w:t>
      </w:r>
      <w:r w:rsidR="00AD6B35" w:rsidRPr="0008745F">
        <w:rPr>
          <w:rFonts w:cstheme="minorHAnsi"/>
          <w:color w:val="000000"/>
          <w:shd w:val="clear" w:color="auto" w:fill="FFFFFF"/>
        </w:rPr>
        <w:t xml:space="preserve"> whether they were given sufficient information about medication or services available etc). </w:t>
      </w:r>
    </w:p>
    <w:p w14:paraId="4ED9C634" w14:textId="77777777" w:rsidR="00BD2FC0" w:rsidRPr="00C73440" w:rsidRDefault="00BD2FC0" w:rsidP="00BD2FC0">
      <w:pPr>
        <w:pStyle w:val="Heading3"/>
        <w:rPr>
          <w:rFonts w:cstheme="majorHAnsi"/>
          <w:b/>
          <w:bCs/>
          <w:color w:val="000000" w:themeColor="text1"/>
          <w:shd w:val="clear" w:color="auto" w:fill="FFFFFF"/>
        </w:rPr>
      </w:pPr>
      <w:r w:rsidRPr="00C73440">
        <w:rPr>
          <w:rFonts w:cstheme="majorHAnsi"/>
          <w:b/>
          <w:bCs/>
          <w:color w:val="000000" w:themeColor="text1"/>
          <w:shd w:val="clear" w:color="auto" w:fill="FFFFFF"/>
        </w:rPr>
        <w:t>Implications</w:t>
      </w:r>
    </w:p>
    <w:p w14:paraId="6BEBA473" w14:textId="77777777" w:rsidR="00BD2FC0" w:rsidRDefault="00BD2FC0" w:rsidP="00AD6B35">
      <w:pPr>
        <w:rPr>
          <w:rFonts w:cstheme="minorHAnsi"/>
          <w:color w:val="000000"/>
          <w:shd w:val="clear" w:color="auto" w:fill="FFFFFF"/>
        </w:rPr>
      </w:pPr>
    </w:p>
    <w:p w14:paraId="5DACF17F" w14:textId="7192AF9F" w:rsidR="004D28A1" w:rsidRDefault="004D28A1" w:rsidP="000A2151">
      <w:pPr>
        <w:rPr>
          <w:rFonts w:cstheme="minorHAnsi"/>
          <w:color w:val="000000"/>
          <w:shd w:val="clear" w:color="auto" w:fill="FFFFFF"/>
        </w:rPr>
      </w:pPr>
      <w:r w:rsidRPr="0008745F">
        <w:rPr>
          <w:rFonts w:cstheme="minorHAnsi"/>
          <w:color w:val="000000"/>
          <w:shd w:val="clear" w:color="auto" w:fill="FFFFFF"/>
        </w:rPr>
        <w:t xml:space="preserve">We found evidence </w:t>
      </w:r>
      <w:r>
        <w:rPr>
          <w:rFonts w:cstheme="minorHAnsi"/>
          <w:color w:val="000000"/>
          <w:shd w:val="clear" w:color="auto" w:fill="FFFFFF"/>
        </w:rPr>
        <w:t xml:space="preserve">that </w:t>
      </w:r>
      <w:r w:rsidRPr="0008745F">
        <w:rPr>
          <w:rFonts w:cstheme="minorHAnsi"/>
          <w:color w:val="000000"/>
          <w:shd w:val="clear" w:color="auto" w:fill="FFFFFF"/>
        </w:rPr>
        <w:t>quality of care</w:t>
      </w:r>
      <w:r>
        <w:rPr>
          <w:rFonts w:cstheme="minorHAnsi"/>
          <w:color w:val="000000"/>
          <w:shd w:val="clear" w:color="auto" w:fill="FFFFFF"/>
        </w:rPr>
        <w:t xml:space="preserve"> in</w:t>
      </w:r>
      <w:r w:rsidRPr="0008745F">
        <w:rPr>
          <w:rFonts w:cstheme="minorHAnsi"/>
          <w:color w:val="000000"/>
          <w:shd w:val="clear" w:color="auto" w:fill="FFFFFF"/>
        </w:rPr>
        <w:t xml:space="preserve"> patients with anxiety or depression </w:t>
      </w:r>
      <w:r>
        <w:rPr>
          <w:rFonts w:cstheme="minorHAnsi"/>
          <w:color w:val="000000"/>
          <w:shd w:val="clear" w:color="auto" w:fill="FFFFFF"/>
        </w:rPr>
        <w:t xml:space="preserve">who were </w:t>
      </w:r>
      <w:r w:rsidRPr="0008745F">
        <w:rPr>
          <w:rFonts w:cstheme="minorHAnsi"/>
          <w:color w:val="000000"/>
          <w:shd w:val="clear" w:color="auto" w:fill="FFFFFF"/>
        </w:rPr>
        <w:t xml:space="preserve">admitted to </w:t>
      </w:r>
      <w:r>
        <w:rPr>
          <w:rFonts w:cstheme="minorHAnsi"/>
          <w:color w:val="000000"/>
          <w:shd w:val="clear" w:color="auto" w:fill="FFFFFF"/>
        </w:rPr>
        <w:t>psychiatric</w:t>
      </w:r>
      <w:r w:rsidRPr="0008745F">
        <w:rPr>
          <w:rFonts w:cstheme="minorHAnsi"/>
          <w:color w:val="000000"/>
          <w:shd w:val="clear" w:color="auto" w:fill="FFFFFF"/>
        </w:rPr>
        <w:t xml:space="preserve"> inpatient services </w:t>
      </w:r>
      <w:r>
        <w:rPr>
          <w:rFonts w:cstheme="minorHAnsi"/>
          <w:color w:val="000000"/>
          <w:shd w:val="clear" w:color="auto" w:fill="FFFFFF"/>
        </w:rPr>
        <w:t>varies between those with or without a comorbid</w:t>
      </w:r>
      <w:r w:rsidRPr="0008745F">
        <w:rPr>
          <w:rFonts w:cstheme="minorHAnsi"/>
          <w:color w:val="000000"/>
          <w:shd w:val="clear" w:color="auto" w:fill="FFFFFF"/>
        </w:rPr>
        <w:t xml:space="preserve"> </w:t>
      </w:r>
      <w:r>
        <w:rPr>
          <w:rFonts w:cstheme="minorHAnsi"/>
          <w:color w:val="000000"/>
          <w:shd w:val="clear" w:color="auto" w:fill="FFFFFF"/>
        </w:rPr>
        <w:t>SUD, t</w:t>
      </w:r>
      <w:r w:rsidRPr="0008745F">
        <w:rPr>
          <w:rFonts w:cstheme="minorHAnsi"/>
          <w:color w:val="000000"/>
          <w:shd w:val="clear" w:color="auto" w:fill="FFFFFF"/>
        </w:rPr>
        <w:t xml:space="preserve">he majority of differences </w:t>
      </w:r>
      <w:r>
        <w:rPr>
          <w:rFonts w:cstheme="minorHAnsi"/>
          <w:color w:val="000000"/>
          <w:shd w:val="clear" w:color="auto" w:fill="FFFFFF"/>
        </w:rPr>
        <w:t>suggesting</w:t>
      </w:r>
      <w:r w:rsidRPr="0008745F">
        <w:rPr>
          <w:rFonts w:cstheme="minorHAnsi"/>
          <w:color w:val="000000"/>
          <w:shd w:val="clear" w:color="auto" w:fill="FFFFFF"/>
        </w:rPr>
        <w:t xml:space="preserve"> shortfalls in care for patients with </w:t>
      </w:r>
      <w:r>
        <w:rPr>
          <w:rFonts w:cstheme="minorHAnsi"/>
          <w:color w:val="000000"/>
          <w:shd w:val="clear" w:color="auto" w:fill="FFFFFF"/>
        </w:rPr>
        <w:t>comorbidity</w:t>
      </w:r>
      <w:r w:rsidR="00635A68">
        <w:rPr>
          <w:rFonts w:cstheme="minorHAnsi"/>
          <w:color w:val="000000"/>
          <w:shd w:val="clear" w:color="auto" w:fill="FFFFFF"/>
        </w:rPr>
        <w:t>,</w:t>
      </w:r>
      <w:r>
        <w:rPr>
          <w:rFonts w:cstheme="minorHAnsi"/>
          <w:color w:val="000000"/>
          <w:shd w:val="clear" w:color="auto" w:fill="FFFFFF"/>
        </w:rPr>
        <w:t xml:space="preserve"> and their </w:t>
      </w:r>
      <w:proofErr w:type="spellStart"/>
      <w:r>
        <w:rPr>
          <w:rFonts w:cstheme="minorHAnsi"/>
          <w:color w:val="000000"/>
          <w:shd w:val="clear" w:color="auto" w:fill="FFFFFF"/>
        </w:rPr>
        <w:t>carers</w:t>
      </w:r>
      <w:proofErr w:type="spellEnd"/>
      <w:r w:rsidRPr="0008745F">
        <w:rPr>
          <w:rFonts w:cstheme="minorHAnsi"/>
          <w:color w:val="000000"/>
          <w:shd w:val="clear" w:color="auto" w:fill="FFFFFF"/>
        </w:rPr>
        <w:t>.</w:t>
      </w:r>
      <w:r w:rsidRPr="00C739E1">
        <w:rPr>
          <w:rFonts w:cstheme="minorHAnsi"/>
          <w:color w:val="000000"/>
          <w:shd w:val="clear" w:color="auto" w:fill="FFFFFF"/>
        </w:rPr>
        <w:t xml:space="preserve"> </w:t>
      </w:r>
    </w:p>
    <w:p w14:paraId="2A0551D3" w14:textId="79271B1A" w:rsidR="000A2151" w:rsidRDefault="00635A68" w:rsidP="000A2151">
      <w:r>
        <w:rPr>
          <w:rFonts w:cstheme="minorHAnsi"/>
          <w:color w:val="000000"/>
          <w:shd w:val="clear" w:color="auto" w:fill="FFFFFF"/>
        </w:rPr>
        <w:t>These</w:t>
      </w:r>
      <w:r w:rsidR="002C5811">
        <w:rPr>
          <w:rFonts w:cstheme="minorHAnsi"/>
          <w:color w:val="000000"/>
          <w:shd w:val="clear" w:color="auto" w:fill="FFFFFF"/>
        </w:rPr>
        <w:t xml:space="preserve"> finding</w:t>
      </w:r>
      <w:r>
        <w:rPr>
          <w:rFonts w:cstheme="minorHAnsi"/>
          <w:color w:val="000000"/>
          <w:shd w:val="clear" w:color="auto" w:fill="FFFFFF"/>
        </w:rPr>
        <w:t>s</w:t>
      </w:r>
      <w:r w:rsidR="002C5811">
        <w:rPr>
          <w:rFonts w:cstheme="minorHAnsi"/>
          <w:color w:val="000000"/>
          <w:shd w:val="clear" w:color="auto" w:fill="FFFFFF"/>
        </w:rPr>
        <w:t xml:space="preserve"> </w:t>
      </w:r>
      <w:r>
        <w:rPr>
          <w:rFonts w:cstheme="minorHAnsi"/>
          <w:color w:val="000000"/>
          <w:shd w:val="clear" w:color="auto" w:fill="FFFFFF"/>
        </w:rPr>
        <w:t>accord</w:t>
      </w:r>
      <w:r w:rsidR="002C5811">
        <w:rPr>
          <w:rFonts w:cstheme="minorHAnsi"/>
          <w:color w:val="000000"/>
          <w:shd w:val="clear" w:color="auto" w:fill="FFFFFF"/>
        </w:rPr>
        <w:t xml:space="preserve"> </w:t>
      </w:r>
      <w:r>
        <w:rPr>
          <w:rFonts w:cstheme="minorHAnsi"/>
          <w:color w:val="000000"/>
          <w:shd w:val="clear" w:color="auto" w:fill="FFFFFF"/>
        </w:rPr>
        <w:t xml:space="preserve">with </w:t>
      </w:r>
      <w:r w:rsidR="002C5811">
        <w:rPr>
          <w:rFonts w:cstheme="minorHAnsi"/>
          <w:color w:val="000000"/>
          <w:shd w:val="clear" w:color="auto" w:fill="FFFFFF"/>
        </w:rPr>
        <w:t xml:space="preserve">existing </w:t>
      </w:r>
      <w:r>
        <w:rPr>
          <w:rFonts w:cstheme="minorHAnsi"/>
          <w:color w:val="000000"/>
          <w:shd w:val="clear" w:color="auto" w:fill="FFFFFF"/>
        </w:rPr>
        <w:t>observations</w:t>
      </w:r>
      <w:r w:rsidR="002C5811">
        <w:rPr>
          <w:rFonts w:cstheme="minorHAnsi"/>
          <w:color w:val="000000"/>
          <w:shd w:val="clear" w:color="auto" w:fill="FFFFFF"/>
        </w:rPr>
        <w:t xml:space="preserve"> that patients with SUD receive poor general medical care</w:t>
      </w:r>
      <w:r w:rsidR="00666701">
        <w:rPr>
          <w:rFonts w:cstheme="minorHAnsi"/>
          <w:color w:val="000000"/>
          <w:shd w:val="clear" w:color="auto" w:fill="FFFFFF"/>
        </w:rPr>
        <w:t xml:space="preserve"> compared to patients without this comorbidity</w:t>
      </w:r>
      <w:r w:rsidR="002C5811">
        <w:rPr>
          <w:rFonts w:cstheme="minorHAnsi"/>
          <w:color w:val="000000"/>
          <w:shd w:val="clear" w:color="auto" w:fill="FFFFFF"/>
        </w:rPr>
        <w:t xml:space="preserve">, despite similar or more frequent </w:t>
      </w:r>
      <w:r w:rsidR="00D37567">
        <w:rPr>
          <w:rFonts w:cstheme="minorHAnsi"/>
          <w:color w:val="000000"/>
          <w:shd w:val="clear" w:color="auto" w:fill="FFFFFF"/>
        </w:rPr>
        <w:t>contact with medical services</w:t>
      </w:r>
      <w:r w:rsidR="008042FB">
        <w:rPr>
          <w:rFonts w:cstheme="minorHAnsi"/>
          <w:color w:val="000000"/>
          <w:shd w:val="clear" w:color="auto" w:fill="FFFFFF"/>
        </w:rPr>
        <w:t xml:space="preserve"> </w:t>
      </w:r>
      <w:r w:rsidR="007728CD">
        <w:rPr>
          <w:rStyle w:val="FootnoteReference"/>
          <w:rFonts w:cstheme="minorHAnsi"/>
          <w:color w:val="000000"/>
          <w:shd w:val="clear" w:color="auto" w:fill="FFFFFF"/>
        </w:rPr>
        <w:fldChar w:fldCharType="begin" w:fldLock="1"/>
      </w:r>
      <w:r w:rsidR="008042FB">
        <w:rPr>
          <w:rFonts w:cstheme="minorHAnsi"/>
          <w:color w:val="000000"/>
          <w:shd w:val="clear" w:color="auto" w:fill="FFFFFF"/>
        </w:rPr>
        <w:instrText>ADDIN CSL_CITATION {"citationItems":[{"id":"ITEM-1","itemData":{"DOI":"10.1192/bjp.bp.107.045732","ISSN":"00071250","PMID":"19478286","abstract":"Background: There has been long-standing concern about the quality of medical care offered to people with mental illness. Aims: To investigate whether the quality of medical care received by people with mental health conditions, including substance misuse, differs from the care received by people who have no comparable mental disorder. Method: A systematic review of studies that examined the quality of medical care in those with and without mental illness was conducted using robust critical appraisal techniques. Results: Of 31 valid studies, 27 examined receipt of medical care in those with and without mental illness and 10 examined medical care in those with and without substance use disorder (or dual diagnosis). Nineteen of 27 and 10 of 10, respectively, suggested inferior quality of care in at least one domain. Twelve studies found no appreciable differences in care or failed to detect a difference in at least one key area. Several studies showed an increase in healthcare utilisation but without any increase in quality. Three studies found superior care for individuals with mental illness in specific subdomains. There was inadequate information concerning patient satisfaction and structural differences in healthcare delivery. There was also inadequate separation of delivery of care from uptake in care on which to base causal explanations. Conclusions: Despite similar or more frequent medical contacts, there are often disparities in the physical healthcare delivered to those with psychiatric illness although the magnitude of this effect varies considerably.","author":[{"dropping-particle":"","family":"Mitchell","given":"Alex J.","non-dropping-particle":"","parse-names":false,"suffix":""},{"dropping-</w:instrText>
      </w:r>
      <w:r w:rsidR="008042FB">
        <w:rPr>
          <w:rFonts w:cstheme="minorHAnsi"/>
          <w:color w:val="000000"/>
          <w:shd w:val="clear" w:color="auto" w:fill="FFFFFF"/>
        </w:rPr>
        <w:lastRenderedPageBreak/>
        <w:instrText>particle":"","family":"Malone","given":"Darren","non-dropping-particle":"","parse-names":false,"suffix":""},{"dropping-particle":"","family":"Doebbeling","given":"Caroline Carney","non-dropping-particle":"","parse-names":false,"suffix":""}],"container-title":"British Journal of Psychiatry","id":"ITEM-1","issue":"6","issued":{"date-parts":[["2009","6"]]},"page":"491-499","title":"Quality of medical care for people with and without comorbid mental illness and substance misuse: Systematic review of comparative studies","type":"article","volume":"194"},"uris":["http://www.mendeley.com/documents/?uuid=9032966e-5edb-3dc9-816e-3e677e9a98fc"]}],"mendeley":{"formattedCitation":"(Mitchell, Malone, &amp; Doebbeling, 2009)","manualFormatting":"(Mitchell et al., 2009)","plainTextFormattedCitation":"(Mitchell, Malone, &amp; Doebbeling, 2009)","previouslyFormattedCitation":"(36)"},"properties":{"noteIndex":0},"schema":"https://github.com/citation-style-language/schema/raw/master/csl-citation.json"}</w:instrText>
      </w:r>
      <w:r w:rsidR="007728CD">
        <w:rPr>
          <w:rStyle w:val="FootnoteReference"/>
          <w:rFonts w:cstheme="minorHAnsi"/>
          <w:color w:val="000000"/>
          <w:shd w:val="clear" w:color="auto" w:fill="FFFFFF"/>
        </w:rPr>
        <w:fldChar w:fldCharType="separate"/>
      </w:r>
      <w:r w:rsidR="007728CD" w:rsidRPr="007728CD">
        <w:rPr>
          <w:rFonts w:cstheme="minorHAnsi"/>
          <w:noProof/>
          <w:color w:val="000000"/>
          <w:shd w:val="clear" w:color="auto" w:fill="FFFFFF"/>
        </w:rPr>
        <w:t>(Mitchell</w:t>
      </w:r>
      <w:r w:rsidR="008042FB">
        <w:rPr>
          <w:rFonts w:cstheme="minorHAnsi"/>
          <w:noProof/>
          <w:color w:val="000000"/>
          <w:shd w:val="clear" w:color="auto" w:fill="FFFFFF"/>
        </w:rPr>
        <w:t xml:space="preserve"> et al.</w:t>
      </w:r>
      <w:r w:rsidR="007728CD" w:rsidRPr="007728CD">
        <w:rPr>
          <w:rFonts w:cstheme="minorHAnsi"/>
          <w:noProof/>
          <w:color w:val="000000"/>
          <w:shd w:val="clear" w:color="auto" w:fill="FFFFFF"/>
        </w:rPr>
        <w:t>, 2009)</w:t>
      </w:r>
      <w:r w:rsidR="007728CD">
        <w:rPr>
          <w:rStyle w:val="FootnoteReference"/>
          <w:rFonts w:cstheme="minorHAnsi"/>
          <w:color w:val="000000"/>
          <w:shd w:val="clear" w:color="auto" w:fill="FFFFFF"/>
        </w:rPr>
        <w:fldChar w:fldCharType="end"/>
      </w:r>
      <w:r w:rsidR="008042FB">
        <w:rPr>
          <w:rFonts w:cstheme="minorHAnsi"/>
          <w:color w:val="000000"/>
          <w:shd w:val="clear" w:color="auto" w:fill="FFFFFF"/>
        </w:rPr>
        <w:t>.</w:t>
      </w:r>
      <w:r w:rsidR="00666701">
        <w:rPr>
          <w:rFonts w:cstheme="minorHAnsi"/>
          <w:color w:val="000000"/>
          <w:shd w:val="clear" w:color="auto" w:fill="FFFFFF"/>
        </w:rPr>
        <w:t xml:space="preserve"> Research focussing specifically on inpatient psychiatric care is lacking - </w:t>
      </w:r>
      <w:r w:rsidR="00666701">
        <w:t>t</w:t>
      </w:r>
      <w:r w:rsidR="000A2151">
        <w:t xml:space="preserve">o date, most studies </w:t>
      </w:r>
      <w:r w:rsidR="00666701">
        <w:t>in this context</w:t>
      </w:r>
      <w:r w:rsidR="000A2151">
        <w:t xml:space="preserve"> have </w:t>
      </w:r>
      <w:r w:rsidR="006962C9">
        <w:t>examined</w:t>
      </w:r>
      <w:r w:rsidR="000A2151">
        <w:t xml:space="preserve"> detection and treatment of</w:t>
      </w:r>
      <w:r w:rsidR="007D3A4C">
        <w:t xml:space="preserve"> substance problems themselves, rather than treatment of comorbid mental disorders or general quality of care</w:t>
      </w:r>
      <w:r w:rsidR="008042FB">
        <w:t xml:space="preserve"> </w:t>
      </w:r>
      <w:r w:rsidR="007728CD">
        <w:rPr>
          <w:rStyle w:val="FootnoteReference"/>
        </w:rPr>
        <w:fldChar w:fldCharType="begin" w:fldLock="1"/>
      </w:r>
      <w:r w:rsidR="008042FB">
        <w:instrText xml:space="preserve">ADDIN CSL_CITATION {"citationItems":[{"id":"ITEM-1","itemData":{"DOI":"10.1080/10826080802486434","ISSN":"1082-6084","abstract":"This review assesses the issues involved in the selection and treatment of patients comorbid for mental illness and substance misuse being treated in secure psychiatric facilities. It includes those individuals who have a history of offending and whose placement is the result of severe behavioral disturbance. The relevant issues in the assessment and treatment of these patients are reviewed and a battery of tests is suggested on the basis of their usefulness with this population in terms of their brevity, ease of administration, and for their value in planning treatment, providing motivational feedback, and monitoring change. The paucity of assessment tools developed specifically for this patient population is highlighted.","author":[{"dropping-particle":"","family":"Long","given":"Clive G.","non-dropping-particle":"","parse-names":false,"suffix":""},{"dropping-particle":"","family":"Hollin","given":"Clive R.","non-dropping-particle":"","parse-names":false,"suffix":""}],"container-title":"Substance Use &amp; Misuse","id":"ITEM-1","issue":"11","issued":{"date-parts":[["2009","1"]]},"page":"1602-1641","publisher":"Informa UK Limited","title":"Assessing Comorbid Substance Use in Detained Psychiatric Patients: Issues and Instruments for Evaluating Treatment Outcome","type":"article-journal","volume":"44"},"uris":["http://www.mendeley.com/documents/?uuid=bb055511-d34a-356c-adb2-3806ee27a96d"]},{"id":"ITEM-2","itemData":{"DOI":"10.1176/appi.ps.56.3.347","ISSN":"10752730","abstract":"This chart review study examined identification and treatment of substance misuse on an inpatient psychiatry ward before and after the hospital's administration made changes to increase attention to patients' substance misuse. Before the ward changes, 113 of 250 inpatients (45 percent) were identified as misusing substances. Misusers were significantly more likely to be younger, male, single, and cigarette smokers. After the ward changes, substance misuse was more than twice as likely to be addressed in treatment planning and discharge diagnoses, and referrals to substance abuse treatment were nearly twice as likely to be made. Changes in assessment of and treatment planning for psychiatric inpatients may increase attention to substance misuse.","author":[{"dropping-particle":"","family":"Prochaska","given":"Judith J.","non-dropping-particle":"","parse-names":false,"suffix":""},{"dropping-particle":"","family":"Gill","given":"Patricia","non-dropping-particle":"","parse-names":false,"suffix":""},{"dropping-particle":"","family":"Hall","given":"Stephen E.","non-dropping-particle":"","parse-names":false,"suffix":""},{"dropping-particle":"","family":"Hall","given":"Sharon M.","non-dropping-particle":"","parse-names":false,"suffix":""}],"container-title":"Psychiatric Services","id":"ITEM-2","issue":"3","issued":{"date-parts":[["2005","3"]]},"page":"347-349","title":"Identification and </w:instrText>
      </w:r>
      <w:r w:rsidR="008042FB">
        <w:lastRenderedPageBreak/>
        <w:instrText xml:space="preserve">treatment of substance misuse on an inpatient psychiatry unit","type":"article","volume":"56"},"uris":["http://www.mendeley.com/documents/?uuid=a8f459a4-1921-3994-b8d2-ffe7b608633c"]},{"id":"ITEM-3","itemData":{"DOI":"10.1034/j.1600-0447.2002.01118.x","ISSN":"0001690X","PMID":"12197863","abstract":"Objective: There were three aims of the present study: 1) to document patterns of substance misuse among psychiatric in-patients with comorbid alcohol and other drug (AOD) use; 2) to examine associations among psychiatric and substance use diagnoses and readiness to change; and 3) to evaluate the effectiveness of an opportunistic motivational interview on engagement in a Specialist Substance Misuse Service (SSMS). Method: One hundred and sixty subjects were randomly assigned to receive either a motivational interview or no intervention. Results: Overall, 66.3% of subjects met intervention threshold for cannabis, 60.6% for alcohol and 22.5% for amphetamines. There was a bimodal distribution of stage of change for cannabis use which was associated with age, with precontemplation being associated with older age and less frequent use. Attendance at the SSMS was low and unrelated to intervention status. Conclusion: A different approach to treatment is recommended, including early intervention among cannabis users.","author":[{"dropping-particle":"","family":"Baker","given":"Amanda","non-dropping-particle":"","parse-names":false,"suffix":""},{"dropping-particle":"","family":"Lewin","given":"Terry","non-dropping-particle":"","parse-names":false,"suffix":""},{"dropping-particle":"","family":"Reichler","given":"Heidi","non-dropping-particle":"","parse-names":false,"suffix":""},{"dropping-particle":"","family":"Clancy","given":"Richard","non-dropping-particle":"","parse-names":false,"suffix":""},{"dropping-particle":"","family":"Carr","given":"Vaughan","non-dropping-particle":"","parse-names":false,"suffix":""},{"dropping-particle":"","family":"Garrett","given":"Rachel","non-dropping-particle":"","parse-names":false,"suffix":""},{"dropping-particle":"","family":"Sly","given":"Ketrina","non-dropping-particle":"","parse-names":false,"suffix":""},{"dropping-particle":"","family":"Devir","given":"Holly","non-dropping-particle":"","parse-names":false,"suffix":""},{"dropping-particle":"","family":"Terry","given":"Margarett","non-dropping-particle":"","parse-names":false,"suffix":""}],"container-title":"Acta Psychiatrica Scandinavica","id":"ITEM-3","issue":"3","issued":{"date-parts":[["2002"]]},"page":"233-240","title":"Motivational interviewing among psychiatric in-patients with substance use disorders","type":"article-journal","volume":"106"},"uris":["http://www.mendeley.com/documents/?uuid=033be740-6620-37a0-b9bc-5d8a14eb7ef6"]},{"id":"ITEM-4","itemData":{"DOI":"10.1007/s11606-019-05257-3","ISSN":"15251497","abstract":"Background: General medical hospitals provide care for a disproportionate share of patients who misuse substances. Hospitalization provides a unique opportunity to identify and motivate patients to address their substance misuse. Objective: To determine the effectiveness of three strategies for implementing motivational interviewing for substance misuse with general medical inpatients. Design: Type 3 hybrid effectiveness-implementation randomized controlled trial (Clinical Trials.gov: NCT01825057). Participants: Thirty-eight providers (physicians, physician assistants, nurses) from 13 general medical inpatient services, and 1173 of their patients admitted to an academically affiliated acute care hospital. Interventions: Implementation strategies included (1) a continuing medical education workshop on detection of substance misuse and provision of a motivational interview; (2) workshop plus bedside supervision (apprenticeship condition); and (3) a workshop plus ability to place a medical order for an interview from a consultation-liaison service (consult condition). Main Measures: Primary outcomes were the percentage of study-eligible patients who received an interview for substance misuse and the integrity (adherence, competence) of the interviews. The secondary outcome was the percent of patient statements within the interviews that indicated motivation for reducing substance misuse. </w:instrText>
      </w:r>
      <w:r w:rsidR="008042FB">
        <w:lastRenderedPageBreak/>
        <w:instrText>Key Results: 20.5% of patients in the consult condition received an interview, compared to 0.8% (Hedge’s g = 1.49) and 3.0% (Hedge’s g = 1.26) in the respective workshop only and apprenticeship conditions (p &lt; 0.001). Motivational interviews in the consult condition were performed with more fundamental motivational interviewing adherence and competence than the other conditions. Most statements made by patients during the interviews favored reducing substance misuse, with no differences between conditions. Conclusions: Providers’ ability to place an order to have experts from the consultation-liaison service deliver a motivational interview was a more effective implementation strategy than a workshop or apprenticeship method for ensuring motivational interviewing is available to medical inpatients who misuse substances. Trial Registry: NCT01825057.","author":[{"dropping-particle":"","family":"Martino","given":"Steve","non-dropping-particle":"","parse-names":false,"suffix":""},{"dropping-particle":"","family":"Zimbrean","given":"Paula","non-dropping-particle":"","parse-names":false,"suffix":""},{"dropping-particle":"","family":"Forray","given":"Ariadna","non-dropping-particle":"","parse-names":false,"suffix":""},{"dropping-particle":"","family":"Kaufman","given":"Joy S.","non-dropping-particle":"","parse-names":false,"suffix":""},{"dropping-particle":"","family":"Desan","given":"Paul H.","non-dropping-particle":"","parse-names":false,"suffix":""},{"dropping-particle":"","family":"Olmstead","given":"Todd A.","non-dropping-particle":"","parse-names":false,"suffix":""},{"dropping-particle":"","family":"Gilstad-Hayden","given":"Kathryn","non-dropping-particle":"","parse-names":false,"suffix":""},{"dropping-particle":"","family":"Gueorguieva","given":"Ralitza","non-dropping-particle":"","parse-names":false,"suffix":""},{"dropping-particle":"","family":"Yonkers","given":"Kimberly A.","non-dropping-particle":"","parse-names":false,"suffix":""}],"container-title":"Journal of General Internal Medicine","id":"ITEM-4","issue":"11","issued":{"date-parts":[["2019","11","1"]]},"page":"2520-2529","publisher":"Springer New York LLC","title":"Implementing Motivational Interviewing for Substance Misuse on Medical Inpatient Units: a Randomized Controlled Trial","type":"article-journal","volume":"34"},"uris":["http://www.mendeley.com/documents/?uuid=90763a32-2242-3366-85d4-ff53d075ee8f"]}],"mendeley":{"formattedCitation":"(Baker et al., 2002; Long &amp; Hollin, 2009; Martino et al., 2019; Prochaska, Gill, Hall, &amp; Hall, 2005)","manualFormatting":"(Baker et al., 2002; Long &amp; Hollin, 2009; Martino et al., 2019; Prochaska et al., 2005)","plainTextFormattedCitation":"(Baker et al., 2002; Long &amp; Hollin, 2009; Martino et al., 2019; Prochaska, Gill, Hall, &amp; Hall, 2005)","previouslyFormattedCitation":"(37–40)"},"properties":{"noteIndex":0},"schema":"https://github.com/citation-style-language/schema/raw/master/csl-citation.json"}</w:instrText>
      </w:r>
      <w:r w:rsidR="007728CD">
        <w:rPr>
          <w:rStyle w:val="FootnoteReference"/>
        </w:rPr>
        <w:fldChar w:fldCharType="separate"/>
      </w:r>
      <w:r w:rsidR="007728CD" w:rsidRPr="007728CD">
        <w:rPr>
          <w:bCs/>
          <w:noProof/>
          <w:lang w:val="en-US"/>
        </w:rPr>
        <w:t>(Baker et al., 2002; Long &amp; Hollin, 2009; Martino et al., 2019; Prochaska</w:t>
      </w:r>
      <w:r w:rsidR="008042FB">
        <w:rPr>
          <w:bCs/>
          <w:noProof/>
          <w:lang w:val="en-US"/>
        </w:rPr>
        <w:t xml:space="preserve"> et al., </w:t>
      </w:r>
      <w:r w:rsidR="007728CD" w:rsidRPr="007728CD">
        <w:rPr>
          <w:bCs/>
          <w:noProof/>
          <w:lang w:val="en-US"/>
        </w:rPr>
        <w:t>2005)</w:t>
      </w:r>
      <w:r w:rsidR="007728CD">
        <w:rPr>
          <w:rStyle w:val="FootnoteReference"/>
        </w:rPr>
        <w:fldChar w:fldCharType="end"/>
      </w:r>
      <w:r w:rsidR="008042FB">
        <w:t>.</w:t>
      </w:r>
    </w:p>
    <w:p w14:paraId="3DA6BE0B" w14:textId="71CDF8AE" w:rsidR="00464E42" w:rsidRPr="00464E42" w:rsidRDefault="00635A68" w:rsidP="00727E69">
      <w:r>
        <w:rPr>
          <w:rFonts w:cstheme="minorHAnsi"/>
          <w:color w:val="000000"/>
          <w:shd w:val="clear" w:color="auto" w:fill="FFFFFF"/>
        </w:rPr>
        <w:t>C</w:t>
      </w:r>
      <w:r w:rsidR="00464E42">
        <w:t xml:space="preserve">linicians </w:t>
      </w:r>
      <w:r>
        <w:t xml:space="preserve">may </w:t>
      </w:r>
      <w:r w:rsidR="00464E42">
        <w:t xml:space="preserve">unintentionally focus on symptoms relating to substances or even </w:t>
      </w:r>
      <w:r w:rsidR="00464E42" w:rsidRPr="00592AAE">
        <w:t>misattribut</w:t>
      </w:r>
      <w:r w:rsidR="00464E42">
        <w:t>e</w:t>
      </w:r>
      <w:r w:rsidR="00464E42" w:rsidRPr="00592AAE">
        <w:t xml:space="preserve"> </w:t>
      </w:r>
      <w:r w:rsidR="00464E42">
        <w:t>unrelated</w:t>
      </w:r>
      <w:r w:rsidR="00464E42" w:rsidRPr="00592AAE">
        <w:t xml:space="preserve"> symptoms to substance us</w:t>
      </w:r>
      <w:r w:rsidR="00464E42">
        <w:t>e (</w:t>
      </w:r>
      <w:r w:rsidR="00F56C56">
        <w:t xml:space="preserve">an effect </w:t>
      </w:r>
      <w:r w:rsidR="00464E42" w:rsidRPr="00592AAE">
        <w:t xml:space="preserve">referred to as </w:t>
      </w:r>
      <w:r w:rsidR="00464E42">
        <w:t>‘</w:t>
      </w:r>
      <w:r w:rsidR="00464E42" w:rsidRPr="00592AAE">
        <w:t>diagnostic overshadowing</w:t>
      </w:r>
      <w:r w:rsidR="00464E42">
        <w:t xml:space="preserve">’), </w:t>
      </w:r>
      <w:r w:rsidR="008A57A3">
        <w:t>which may</w:t>
      </w:r>
      <w:r w:rsidR="00464E42">
        <w:t xml:space="preserve"> create barriers to communication</w:t>
      </w:r>
      <w:r w:rsidR="0088170F">
        <w:t xml:space="preserve">, assessment and </w:t>
      </w:r>
      <w:r w:rsidR="00727E69">
        <w:t>treatment</w:t>
      </w:r>
      <w:r w:rsidR="00963D38">
        <w:t xml:space="preserve"> </w:t>
      </w:r>
      <w:r w:rsidR="007728CD">
        <w:rPr>
          <w:rStyle w:val="FootnoteReference"/>
        </w:rPr>
        <w:fldChar w:fldCharType="begin" w:fldLock="1"/>
      </w:r>
      <w:r w:rsidR="007728CD">
        <w:instrText xml:space="preserve">ADDIN CSL_CITATION {"citationItems":[{"id":"ITEM-1","itemData":{"DOI":"10.1111/j.1600-0447.2005.00643.x","ISSN":"0001-690X","PMID":"16390364","abstract":"OBJECTIVE The purpose of this paper was to provide a clinical review of the literature on the relation of alcoholism to suicidal behavior. METHOD Studies of alcoholism and suicidal behavior available in MEDLINE, Institute for Scientific Information Databases (Science Citation Index Expanded, Social Sciences Citation Index, and Arts &amp; Humanities Citation Index), EMBASE, and Cochrane Library were identified and reviewed. RESULTS Alcoholism is associated with a considerable risk of suicidal behavior. Individuals with alcoholism who attempt or complete suicide are characterized by major depressive episodes, stressful life events, particularly interpersonal difficulties, poor social support, living alone, high aggression/impulsivity, negative affect, hopelessness, severe alcoholism, comorbid substance, especially cocaine abuse, serious medical illness, suicidal communication, and prior suicidal </w:instrText>
      </w:r>
      <w:r w:rsidR="007728CD">
        <w:lastRenderedPageBreak/>
        <w:instrText>behavior. Partner-relationship disruptions are strongly associated with suicidal behavior in individuals with alcoholism. CONCLUSION All individuals with alcoholism should receive a suicide risk assessment based on known risk factors.","author":[{"dropping-particle":"","family":"Sher","given":"L","non-dropping-particle":"","parse-names":false,"suffix":""}],"container-title":"Acta psychiatrica Scandinavica","id":"ITEM-1","issue":"1","issued":{"date-parts":[["2006","1"]]},"page":"13-22","title":"Alcoholism and suicidal behavior: a clinical overview.","type":"article-journal","volume":"113"},"uris":["http://www.mendeley.com/documents/?uuid=6dc3dfed-dc63-367a-900b-9dd6c9a8d2f3"]}],"mendeley":{"formattedCitation":"(Sher, 2006)","plainTextFormattedCitation":"(Sher, 2006)","previouslyFormattedCitation":"(41)"},"properties":{"noteIndex":0},"schema":"https://github.com/citation-style-language/schema/raw/master/csl-citation.json"}</w:instrText>
      </w:r>
      <w:r w:rsidR="007728CD">
        <w:rPr>
          <w:rStyle w:val="FootnoteReference"/>
        </w:rPr>
        <w:fldChar w:fldCharType="separate"/>
      </w:r>
      <w:r w:rsidR="007728CD" w:rsidRPr="007728CD">
        <w:rPr>
          <w:bCs/>
          <w:noProof/>
          <w:lang w:val="en-US"/>
        </w:rPr>
        <w:t>(Sher, 2006)</w:t>
      </w:r>
      <w:r w:rsidR="007728CD">
        <w:rPr>
          <w:rStyle w:val="FootnoteReference"/>
        </w:rPr>
        <w:fldChar w:fldCharType="end"/>
      </w:r>
      <w:r w:rsidR="00963D38">
        <w:t>.</w:t>
      </w:r>
      <w:r w:rsidR="00464E42">
        <w:t xml:space="preserve"> Our study </w:t>
      </w:r>
      <w:r w:rsidR="00AD6830">
        <w:t xml:space="preserve">may </w:t>
      </w:r>
      <w:r>
        <w:t>provide</w:t>
      </w:r>
      <w:r w:rsidR="00464E42">
        <w:t xml:space="preserve"> some evidence for this effect –patients with SUD were significantly less likely to be diagnosed with ‘severe’ depressive episodes</w:t>
      </w:r>
      <w:r w:rsidR="00727E69">
        <w:t>, had</w:t>
      </w:r>
      <w:r w:rsidR="0088170F">
        <w:t xml:space="preserve"> shorter admissions and </w:t>
      </w:r>
      <w:r w:rsidR="00727E69">
        <w:t>were</w:t>
      </w:r>
      <w:r w:rsidR="0088170F">
        <w:t xml:space="preserve"> less likely to be detained under the Mental Health Act</w:t>
      </w:r>
      <w:r w:rsidR="00727E69">
        <w:t>. These findings</w:t>
      </w:r>
      <w:r w:rsidR="0088170F">
        <w:t xml:space="preserve"> are consistent with previous studie</w:t>
      </w:r>
      <w:r w:rsidR="00963D38">
        <w:t xml:space="preserve">s </w:t>
      </w:r>
      <w:r w:rsidR="007728CD">
        <w:rPr>
          <w:rStyle w:val="FootnoteReference"/>
        </w:rPr>
        <w:fldChar w:fldCharType="begin" w:fldLock="1"/>
      </w:r>
      <w:r w:rsidR="00963D38">
        <w:instrText xml:space="preserve">ADDIN CSL_CITATION {"citationItems":[{"id":"ITEM-1","itemData":{"DOI":"10.1177/0269881107082029","ISSN":"02698811","abstract":"Improved management of mental illneSS with co-morbid SubStance miSuSe iS an important clinical objective. ThiS Study aimed to aSSeSS the prevalence of SubStance miSuSe in pSychiatric inpatientS, and to examine the relationShip between alcohol miSuSe and length of hoSpital admiSSion. A prevalence Study conducted over four monthS, examined rateS of co-morbid SubStance miSuSe in patientS admitted for pSychiatric inpatient care. Demographic detailS and length of hoSpital Stay were collected for all patientS and thoSe who gave informed conSent were Screened for levelS of alcohol and SubStance miSuSe. Two hundred and thirty-eight patientS were admitted during the Study period in which 178 (74.8%) conSented to take part in the Study. A group of 44 (50.6%) men and 26 (29.2%) women were Screened poSitive for alcohol miSuSe (χ2 = 8.7, P = 0.003). CannabiS uSe waS acknowledged by 31 (35.2%) men and 10 (11.2%) women (χ2 = 13.5, P &lt; 0.0001). PreSence of co-morbid alcohol miSuSe waS aSSociated with a Significantly Shorter hoSpital admiSSion (z = 3.34, P = 0.0008). Co-morbid SubStance miSuSe (including alcohol) waS reported Significantly more frequently by men than women. Overall, patientS with co-morbid alcohol miSuSe had Shorter hoSpital admiSSionS, SuggeSting different patternS of preSentation and progreSS in hoSpital. HoSpital admiSSion preSentS an opportunity to identify SubStance miSuSe and evaluate treatmentS for co-morbid conditionS within a Safe environment. © 2008 British Association for Psychopharmacology.","author":[{"dropping-particle":"","family":"Sinclair","given":"Julia M.A.","non-dropping-particle":"","parse-names":false,"suffix":""},{"dropping-particle":"","family":"Latifi","given":"Abdul Hameed","non-dropping-particle":"","parse-names":false,"suffix":""},{"dropping-particle":"","family":"Latifi","given":"Abdul Waheed","non-dropping-particle":"","parse-names":false,"suffix":""}],"container-title":"Journal of Psychopharmacology","id":"ITEM-1","issue":"1","issued":{"date-parts":[["2008","1"]]},"page":"92-99","title":"Co-morbid substance misuse in psychiatric patients: Prevalence and association with length of inpatient stay","type":"article-journal","volume":"22"},"uris":["http://www.mendeley.com/documents/?uuid=6296221e-e50a-346a-9b99-da54e03734ea"]},{"id":"ITEM-2","itemData":{"DOI":"10.1176/ps.49.8.1049","ISSN":"1075-2730","PMID":"9712211","abstract":"OBJECTIVE Multivariate statistical methods were used to identify patient-related variables that predicted length of stay in a single psychiatric facility. The study investigated whether these variables remained stable over time and could be used to provide individual physicians with data on length of stay adjusted for differences in clinical caseloads and to </w:instrText>
      </w:r>
      <w:r w:rsidR="00963D38">
        <w:lastRenderedPageBreak/>
        <w:instrText>detect trends in the physicians' practice patterns. METHODS Data on all patients discharged over two six-month periods were collected at an acute psychiatric inpatient facility. Stepwise multiple regression analyses were conducted on the two datasets. RESULTS The results from both analyses revealed that five variables significantly predicted length of stay and were stable over time. They were a primary diagnosis of schizophrenia, the number of previous admissions, a primary diagnosis of a mood disorder, age, and a secondary diagnosis of an alcohol- or other drug-related disorder. For some physicians, the mean length of stay of their patients differed significantly from the length predicted by the regression model--generally, it was shorter. CONCLUSIONS The results demonstrate that patient-related predictors of length of stay in a single psychiatric hospital can be identified using relatively simple statistical procedures and can be consistent across a large dataset and over time.","author":[{"dropping-particle":"","family":"Huntley","given":"D A","non-dropping-particle":"","parse-names":false,"suffix":""},{"dropping-particle":"","family":"Cho","given":"D W","non-dropping-particle":"","parse-names":false,"suffix":""},{"dropping-particle":"","family":"Christman","given":"J","non-dropping-particle":"","parse-names":false,"suffix":""},{"dropping-particle":"","family":"Csernansky","given":"J G","non-dropping-particle":"","parse-names":false,"suffix":""}],"container-title":"Psychiatric services (Washington, D.C.)","id":"ITEM-2","issue":"8","issued":{"date-parts":[["1998","8"]]},"page":"1049-53","title":"Predicting length of stay in an acute psychiatric hospital.","type":"article-journal","volume":"49"},"uris":["http://www.mendeley.com/documents/?uuid=f372bfda-692f-323b-994c-cd94f9c900ec"]}],"mendeley":{"formattedCitation":"(Huntley, Cho, Christman, &amp; Csernansky, 1998; Sinclair, Latifi, &amp; Latifi, 2008)","manualFormatting":"(Huntley et al., 1998; Sinclair et al., 2008)","plainTextFormattedCitation":"(Huntley, Cho, Christman, &amp; Csernansky, 1998; Sinclair, Latifi, &amp; Latifi, 2008)","previouslyFormattedCitation":"(42,43)"},"properties":{"noteIndex":0},"schema":"https://github.com/citation-style-language/schema/raw/master/csl-citation.json"}</w:instrText>
      </w:r>
      <w:r w:rsidR="007728CD">
        <w:rPr>
          <w:rStyle w:val="FootnoteReference"/>
        </w:rPr>
        <w:fldChar w:fldCharType="separate"/>
      </w:r>
      <w:r w:rsidR="007728CD" w:rsidRPr="007728CD">
        <w:rPr>
          <w:bCs/>
          <w:noProof/>
          <w:lang w:val="en-US"/>
        </w:rPr>
        <w:t>(Huntley</w:t>
      </w:r>
      <w:r w:rsidR="00963D38">
        <w:rPr>
          <w:bCs/>
          <w:noProof/>
          <w:lang w:val="en-US"/>
        </w:rPr>
        <w:t xml:space="preserve"> et al.</w:t>
      </w:r>
      <w:r w:rsidR="007728CD" w:rsidRPr="007728CD">
        <w:rPr>
          <w:bCs/>
          <w:noProof/>
          <w:lang w:val="en-US"/>
        </w:rPr>
        <w:t>, 1998; Sinclair</w:t>
      </w:r>
      <w:r w:rsidR="00963D38">
        <w:rPr>
          <w:bCs/>
          <w:noProof/>
          <w:lang w:val="en-US"/>
        </w:rPr>
        <w:t xml:space="preserve"> et al.</w:t>
      </w:r>
      <w:r w:rsidR="007728CD" w:rsidRPr="007728CD">
        <w:rPr>
          <w:bCs/>
          <w:noProof/>
          <w:lang w:val="en-US"/>
        </w:rPr>
        <w:t>, 2008)</w:t>
      </w:r>
      <w:r w:rsidR="007728CD">
        <w:rPr>
          <w:rStyle w:val="FootnoteReference"/>
        </w:rPr>
        <w:fldChar w:fldCharType="end"/>
      </w:r>
      <w:r w:rsidR="00963D38">
        <w:t>,</w:t>
      </w:r>
      <w:r w:rsidR="0088170F">
        <w:t xml:space="preserve"> </w:t>
      </w:r>
      <w:r w:rsidR="00727E69">
        <w:t xml:space="preserve">and may be related to ‘diagnostic overshadowing’ – although patients with co-morbid SUD may genuinely have less serious psychiatric illnesses. </w:t>
      </w:r>
      <w:r w:rsidR="00B96161">
        <w:t xml:space="preserve">These </w:t>
      </w:r>
      <w:r w:rsidR="00393FB0">
        <w:t xml:space="preserve">factors were corrected for in the subsequent analysis so do not explain the variance in quality of care. </w:t>
      </w:r>
    </w:p>
    <w:p w14:paraId="3B3CD991" w14:textId="4411E8A3" w:rsidR="0013257A" w:rsidRDefault="00AD6B35" w:rsidP="00AD6B35">
      <w:pPr>
        <w:rPr>
          <w:rFonts w:cstheme="minorHAnsi"/>
          <w:color w:val="000000"/>
          <w:shd w:val="clear" w:color="auto" w:fill="FFFFFF"/>
        </w:rPr>
      </w:pPr>
      <w:r w:rsidRPr="0008745F">
        <w:rPr>
          <w:rFonts w:cstheme="minorHAnsi"/>
          <w:color w:val="000000"/>
          <w:shd w:val="clear" w:color="auto" w:fill="FFFFFF"/>
        </w:rPr>
        <w:t xml:space="preserve">The mechanisms by which comorbid </w:t>
      </w:r>
      <w:r w:rsidR="00D470FD">
        <w:rPr>
          <w:rFonts w:cstheme="minorHAnsi"/>
          <w:color w:val="000000"/>
          <w:shd w:val="clear" w:color="auto" w:fill="FFFFFF"/>
        </w:rPr>
        <w:t>SUD</w:t>
      </w:r>
      <w:r w:rsidRPr="0008745F">
        <w:rPr>
          <w:rFonts w:cstheme="minorHAnsi"/>
          <w:color w:val="000000"/>
          <w:shd w:val="clear" w:color="auto" w:fill="FFFFFF"/>
        </w:rPr>
        <w:t xml:space="preserve"> impacts quality of care are unclear. However, our study identifie</w:t>
      </w:r>
      <w:r w:rsidR="00817C82">
        <w:rPr>
          <w:rFonts w:cstheme="minorHAnsi"/>
          <w:color w:val="000000"/>
          <w:shd w:val="clear" w:color="auto" w:fill="FFFFFF"/>
        </w:rPr>
        <w:t>d</w:t>
      </w:r>
      <w:r w:rsidRPr="0008745F">
        <w:rPr>
          <w:rFonts w:cstheme="minorHAnsi"/>
          <w:color w:val="000000"/>
          <w:shd w:val="clear" w:color="auto" w:fill="FFFFFF"/>
        </w:rPr>
        <w:t xml:space="preserve"> specific areas where inpatient care for patients with comorbid </w:t>
      </w:r>
      <w:r w:rsidR="00A27497">
        <w:rPr>
          <w:rFonts w:cstheme="minorHAnsi"/>
          <w:color w:val="000000"/>
          <w:shd w:val="clear" w:color="auto" w:fill="FFFFFF"/>
        </w:rPr>
        <w:t>SUD</w:t>
      </w:r>
      <w:r w:rsidRPr="0008745F">
        <w:rPr>
          <w:rFonts w:cstheme="minorHAnsi"/>
          <w:color w:val="000000"/>
          <w:shd w:val="clear" w:color="auto" w:fill="FFFFFF"/>
        </w:rPr>
        <w:t xml:space="preserve"> could be improved. The first</w:t>
      </w:r>
      <w:r w:rsidR="00732959">
        <w:rPr>
          <w:rFonts w:cstheme="minorHAnsi"/>
          <w:color w:val="000000"/>
          <w:shd w:val="clear" w:color="auto" w:fill="FFFFFF"/>
        </w:rPr>
        <w:t xml:space="preserve"> area</w:t>
      </w:r>
      <w:r w:rsidRPr="0008745F">
        <w:rPr>
          <w:rFonts w:cstheme="minorHAnsi"/>
          <w:color w:val="000000"/>
          <w:shd w:val="clear" w:color="auto" w:fill="FFFFFF"/>
        </w:rPr>
        <w:t xml:space="preserve"> is </w:t>
      </w:r>
      <w:r w:rsidR="00A27497" w:rsidRPr="0008745F">
        <w:rPr>
          <w:rFonts w:cstheme="minorHAnsi"/>
          <w:color w:val="000000"/>
          <w:shd w:val="clear" w:color="auto" w:fill="FFFFFF"/>
        </w:rPr>
        <w:t>collaborative decision-making</w:t>
      </w:r>
      <w:r w:rsidR="003A1635">
        <w:rPr>
          <w:rFonts w:cstheme="minorHAnsi"/>
          <w:color w:val="000000"/>
          <w:shd w:val="clear" w:color="auto" w:fill="FFFFFF"/>
        </w:rPr>
        <w:t xml:space="preserve"> -</w:t>
      </w:r>
      <w:r w:rsidR="0013257A">
        <w:rPr>
          <w:rFonts w:cstheme="minorHAnsi"/>
          <w:color w:val="000000"/>
          <w:shd w:val="clear" w:color="auto" w:fill="FFFFFF"/>
        </w:rPr>
        <w:t xml:space="preserve"> patients with SUD were less likely to</w:t>
      </w:r>
      <w:r w:rsidR="005F349B">
        <w:rPr>
          <w:rFonts w:cstheme="minorHAnsi"/>
          <w:color w:val="000000"/>
          <w:shd w:val="clear" w:color="auto" w:fill="FFFFFF"/>
        </w:rPr>
        <w:t xml:space="preserve"> have</w:t>
      </w:r>
      <w:r w:rsidR="0013257A">
        <w:rPr>
          <w:rFonts w:cstheme="minorHAnsi"/>
          <w:color w:val="000000"/>
          <w:shd w:val="clear" w:color="auto" w:fill="FFFFFF"/>
        </w:rPr>
        <w:t xml:space="preserve"> </w:t>
      </w:r>
      <w:r w:rsidR="00BB3400">
        <w:rPr>
          <w:rFonts w:cstheme="minorHAnsi"/>
          <w:color w:val="000000"/>
          <w:shd w:val="clear" w:color="auto" w:fill="FFFFFF"/>
        </w:rPr>
        <w:t xml:space="preserve">had input in </w:t>
      </w:r>
      <w:r w:rsidR="0013257A">
        <w:rPr>
          <w:rFonts w:cstheme="minorHAnsi"/>
          <w:color w:val="000000"/>
          <w:shd w:val="clear" w:color="auto" w:fill="FFFFFF"/>
        </w:rPr>
        <w:t>develop</w:t>
      </w:r>
      <w:r w:rsidR="00BB3400">
        <w:rPr>
          <w:rFonts w:cstheme="minorHAnsi"/>
          <w:color w:val="000000"/>
          <w:shd w:val="clear" w:color="auto" w:fill="FFFFFF"/>
        </w:rPr>
        <w:t>ing</w:t>
      </w:r>
      <w:r w:rsidR="005F349B">
        <w:rPr>
          <w:rFonts w:cstheme="minorHAnsi"/>
          <w:color w:val="000000"/>
          <w:shd w:val="clear" w:color="auto" w:fill="FFFFFF"/>
        </w:rPr>
        <w:t xml:space="preserve"> their care plans</w:t>
      </w:r>
      <w:r w:rsidR="006C4040">
        <w:rPr>
          <w:rFonts w:cstheme="minorHAnsi"/>
          <w:color w:val="000000"/>
          <w:shd w:val="clear" w:color="auto" w:fill="FFFFFF"/>
        </w:rPr>
        <w:t xml:space="preserve">, their </w:t>
      </w:r>
      <w:proofErr w:type="spellStart"/>
      <w:r w:rsidR="006C4040">
        <w:rPr>
          <w:rFonts w:cstheme="minorHAnsi"/>
          <w:color w:val="000000"/>
          <w:shd w:val="clear" w:color="auto" w:fill="FFFFFF"/>
        </w:rPr>
        <w:t>carers</w:t>
      </w:r>
      <w:proofErr w:type="spellEnd"/>
      <w:r w:rsidR="006C4040">
        <w:rPr>
          <w:rFonts w:cstheme="minorHAnsi"/>
          <w:color w:val="000000"/>
          <w:shd w:val="clear" w:color="auto" w:fill="FFFFFF"/>
        </w:rPr>
        <w:t xml:space="preserve"> were less likely to be advised about support services available, and both p</w:t>
      </w:r>
      <w:r w:rsidR="00BF0EAC">
        <w:rPr>
          <w:rFonts w:cstheme="minorHAnsi"/>
          <w:color w:val="000000"/>
          <w:shd w:val="clear" w:color="auto" w:fill="FFFFFF"/>
        </w:rPr>
        <w:t xml:space="preserve">atients and their </w:t>
      </w:r>
      <w:proofErr w:type="spellStart"/>
      <w:r w:rsidR="00BF0EAC">
        <w:rPr>
          <w:rFonts w:cstheme="minorHAnsi"/>
          <w:color w:val="000000"/>
          <w:shd w:val="clear" w:color="auto" w:fill="FFFFFF"/>
        </w:rPr>
        <w:t>carers</w:t>
      </w:r>
      <w:proofErr w:type="spellEnd"/>
      <w:r w:rsidR="00BF0EAC">
        <w:rPr>
          <w:rFonts w:cstheme="minorHAnsi"/>
          <w:color w:val="000000"/>
          <w:shd w:val="clear" w:color="auto" w:fill="FFFFFF"/>
        </w:rPr>
        <w:t xml:space="preserve"> were less likely to receive adequate notice in advance of their discharge date</w:t>
      </w:r>
      <w:r w:rsidR="006C4040">
        <w:rPr>
          <w:rFonts w:cstheme="minorHAnsi"/>
          <w:color w:val="000000"/>
          <w:shd w:val="clear" w:color="auto" w:fill="FFFFFF"/>
        </w:rPr>
        <w:t>.</w:t>
      </w:r>
    </w:p>
    <w:p w14:paraId="140C88F4" w14:textId="3B81DA68" w:rsidR="00EA1303" w:rsidRDefault="00FA0286" w:rsidP="007120D8">
      <w:r>
        <w:rPr>
          <w:rFonts w:cstheme="minorHAnsi"/>
          <w:color w:val="000000"/>
          <w:shd w:val="clear" w:color="auto" w:fill="FFFFFF"/>
        </w:rPr>
        <w:t xml:space="preserve">Difficulties in </w:t>
      </w:r>
      <w:r w:rsidR="009D7F51">
        <w:rPr>
          <w:rFonts w:cstheme="minorHAnsi"/>
          <w:color w:val="000000"/>
          <w:shd w:val="clear" w:color="auto" w:fill="FFFFFF"/>
        </w:rPr>
        <w:t>establishing</w:t>
      </w:r>
      <w:r>
        <w:rPr>
          <w:rFonts w:cstheme="minorHAnsi"/>
          <w:color w:val="000000"/>
          <w:shd w:val="clear" w:color="auto" w:fill="FFFFFF"/>
        </w:rPr>
        <w:t xml:space="preserve"> therapeutic alliance</w:t>
      </w:r>
      <w:r w:rsidR="00C72B68">
        <w:rPr>
          <w:rFonts w:cstheme="minorHAnsi"/>
          <w:color w:val="000000"/>
          <w:shd w:val="clear" w:color="auto" w:fill="FFFFFF"/>
        </w:rPr>
        <w:t>s</w:t>
      </w:r>
      <w:r>
        <w:rPr>
          <w:rFonts w:cstheme="minorHAnsi"/>
          <w:color w:val="000000"/>
          <w:shd w:val="clear" w:color="auto" w:fill="FFFFFF"/>
        </w:rPr>
        <w:t xml:space="preserve"> between healthcare professionals and patients with SUD are common</w:t>
      </w:r>
      <w:r w:rsidR="00B82094">
        <w:rPr>
          <w:rFonts w:cstheme="minorHAnsi"/>
          <w:color w:val="000000"/>
          <w:shd w:val="clear" w:color="auto" w:fill="FFFFFF"/>
        </w:rPr>
        <w:t xml:space="preserve"> </w:t>
      </w:r>
      <w:r w:rsidR="007728CD">
        <w:rPr>
          <w:rStyle w:val="FootnoteReference"/>
          <w:rFonts w:cstheme="minorHAnsi"/>
          <w:color w:val="000000"/>
          <w:shd w:val="clear" w:color="auto" w:fill="FFFFFF"/>
        </w:rPr>
        <w:fldChar w:fldCharType="begin" w:fldLock="1"/>
      </w:r>
      <w:r w:rsidR="004B498A">
        <w:rPr>
          <w:rFonts w:cstheme="minorHAnsi"/>
          <w:color w:val="000000"/>
          <w:shd w:val="clear" w:color="auto" w:fill="FFFFFF"/>
        </w:rPr>
        <w:instrText xml:space="preserve">ADDIN CSL_CITATION {"citationItems":[{"id":"ITEM-1","itemData":{"DOI":"10.1080/10826080802495237","ISSN":"10826084","abstract":"Reasons for premature termination of outpatient substance user treatment were evaluated from client and clinician perspectives using qualitative (focus groups) and quantitative (survey) methods in a pilot study (N 44). The sample consisted of clients (n 22), the majority of whom were male (73) and African American (50) or Caucasian (41). The sample of clinicians (n 22) were predominantly female (64), and Caucasian (52) or African American (24). The most frequently endorsed reasons for leaving treatment were related to individual rather than program characteristics with heavy drug or alcohol use, transportation or financial problems, and ambivalence about abstinence being highly rated by both clinicians and clients. Survey results indicated that clinicians more frequently attributed treatment dropout to individual- or client-level factors than did clients. Focus group ratings indicated that clinicians felt client motivation and staff connection issues were primary reasons for dropout, </w:instrText>
      </w:r>
      <w:r w:rsidR="004B498A">
        <w:rPr>
          <w:rFonts w:cstheme="minorHAnsi"/>
          <w:color w:val="000000"/>
          <w:shd w:val="clear" w:color="auto" w:fill="FFFFFF"/>
        </w:rPr>
        <w:lastRenderedPageBreak/>
        <w:instrText>whereas clients indicated social support and staff connection issues. The findings suggest that the development of early therapeutic alliance and active problem solving of potential barriers to treatment attendance may influence treatment retention. © 2009 Informa UK Ltd All rights reserved.","author":[{"dropping-particle":"","family":"Palmer","given":"Rebekka S.","non-dropping-particle":"","parse-names":false,"suffix":""},{"dropping-particle":"","family":"Murphy","given":"Mary K.","non-dropping-particle":"","parse-names":false,"suffix":""},{"dropping-particle":"","family":"Piselli","given":"Alessandro","non-dropping-particle":"","parse-names":false,"suffix":""},{"dropping-particle":"","family":"Ball","given":"Samuel A.","non-dropping-particle":"","parse-names":false,"suffix":""}],"container-title":"Substance Use and Misuse","id":"ITEM-1","issue":"7","issued":{"date-parts":[["2009"]]},"page":"1021-1038","title":"Substance user treatment dropout from client and clinician perspectives: A pilot study","type":"article-journal","volume":"44"},"uris":["http://www.mendeley.com/documents/?uuid=3384d954-95f6-3715-81a4-105d0bf4326f"]}],"mendeley":{"formattedCitation":"(Palmer, Murphy, Piselli, &amp; Ball, 2009)","manualFormatting":"(Palmer et al., 2009)","plainTextFormattedCitation":"(Palmer, Murphy, Piselli, &amp; Ball, 2009)","previouslyFormattedCitation":"(44)"},"properties":{"noteIndex":0},"schema":"https://github.com/citation-style-language/schema/raw/master/csl-citation.json"}</w:instrText>
      </w:r>
      <w:r w:rsidR="007728CD">
        <w:rPr>
          <w:rStyle w:val="FootnoteReference"/>
          <w:rFonts w:cstheme="minorHAnsi"/>
          <w:color w:val="000000"/>
          <w:shd w:val="clear" w:color="auto" w:fill="FFFFFF"/>
        </w:rPr>
        <w:fldChar w:fldCharType="separate"/>
      </w:r>
      <w:r w:rsidR="007728CD" w:rsidRPr="007728CD">
        <w:rPr>
          <w:rFonts w:cstheme="minorHAnsi"/>
          <w:bCs/>
          <w:noProof/>
          <w:color w:val="000000"/>
          <w:shd w:val="clear" w:color="auto" w:fill="FFFFFF"/>
          <w:lang w:val="en-US"/>
        </w:rPr>
        <w:t>(Palme</w:t>
      </w:r>
      <w:r w:rsidR="004B498A">
        <w:rPr>
          <w:rFonts w:cstheme="minorHAnsi"/>
          <w:bCs/>
          <w:noProof/>
          <w:color w:val="000000"/>
          <w:shd w:val="clear" w:color="auto" w:fill="FFFFFF"/>
          <w:lang w:val="en-US"/>
        </w:rPr>
        <w:t>r et al.</w:t>
      </w:r>
      <w:r w:rsidR="007728CD" w:rsidRPr="007728CD">
        <w:rPr>
          <w:rFonts w:cstheme="minorHAnsi"/>
          <w:bCs/>
          <w:noProof/>
          <w:color w:val="000000"/>
          <w:shd w:val="clear" w:color="auto" w:fill="FFFFFF"/>
          <w:lang w:val="en-US"/>
        </w:rPr>
        <w:t>, 2009)</w:t>
      </w:r>
      <w:r w:rsidR="007728CD">
        <w:rPr>
          <w:rStyle w:val="FootnoteReference"/>
          <w:rFonts w:cstheme="minorHAnsi"/>
          <w:color w:val="000000"/>
          <w:shd w:val="clear" w:color="auto" w:fill="FFFFFF"/>
        </w:rPr>
        <w:fldChar w:fldCharType="end"/>
      </w:r>
      <w:r w:rsidR="00B82094">
        <w:rPr>
          <w:rFonts w:cstheme="minorHAnsi"/>
          <w:color w:val="000000"/>
          <w:shd w:val="clear" w:color="auto" w:fill="FFFFFF"/>
        </w:rPr>
        <w:t>.</w:t>
      </w:r>
      <w:r w:rsidR="000F7207">
        <w:rPr>
          <w:rFonts w:cstheme="minorHAnsi"/>
          <w:color w:val="000000"/>
          <w:shd w:val="clear" w:color="auto" w:fill="FFFFFF"/>
        </w:rPr>
        <w:t xml:space="preserve"> </w:t>
      </w:r>
      <w:r w:rsidR="00C72B68">
        <w:rPr>
          <w:rFonts w:cstheme="minorHAnsi"/>
          <w:color w:val="000000"/>
          <w:shd w:val="clear" w:color="auto" w:fill="FFFFFF"/>
        </w:rPr>
        <w:t>C</w:t>
      </w:r>
      <w:r w:rsidR="00E66F63">
        <w:rPr>
          <w:rFonts w:cstheme="minorHAnsi"/>
          <w:color w:val="000000"/>
          <w:shd w:val="clear" w:color="auto" w:fill="FFFFFF"/>
        </w:rPr>
        <w:t>linicians</w:t>
      </w:r>
      <w:r w:rsidR="00CA51F6">
        <w:rPr>
          <w:rFonts w:cstheme="minorHAnsi"/>
          <w:color w:val="000000"/>
          <w:shd w:val="clear" w:color="auto" w:fill="FFFFFF"/>
        </w:rPr>
        <w:t xml:space="preserve"> have been found </w:t>
      </w:r>
      <w:r w:rsidR="00EE68B1">
        <w:rPr>
          <w:rFonts w:cstheme="minorHAnsi"/>
          <w:color w:val="000000"/>
          <w:shd w:val="clear" w:color="auto" w:fill="FFFFFF"/>
        </w:rPr>
        <w:t>to hold</w:t>
      </w:r>
      <w:r w:rsidR="00EE68B1" w:rsidRPr="0008745F">
        <w:rPr>
          <w:rFonts w:cstheme="minorHAnsi"/>
          <w:color w:val="000000"/>
          <w:shd w:val="clear" w:color="auto" w:fill="FFFFFF"/>
        </w:rPr>
        <w:t xml:space="preserve"> </w:t>
      </w:r>
      <w:r w:rsidR="00EE68B1">
        <w:rPr>
          <w:rFonts w:cstheme="minorHAnsi"/>
          <w:color w:val="000000"/>
          <w:shd w:val="clear" w:color="auto" w:fill="FFFFFF"/>
        </w:rPr>
        <w:t xml:space="preserve">punitive and negative attitudes towards patients with </w:t>
      </w:r>
      <w:r w:rsidR="009E6827">
        <w:rPr>
          <w:rFonts w:cstheme="minorHAnsi"/>
          <w:color w:val="000000"/>
          <w:shd w:val="clear" w:color="auto" w:fill="FFFFFF"/>
        </w:rPr>
        <w:t>SUD</w:t>
      </w:r>
      <w:r w:rsidR="00B82094">
        <w:rPr>
          <w:rFonts w:cstheme="minorHAnsi"/>
          <w:color w:val="000000"/>
          <w:shd w:val="clear" w:color="auto" w:fill="FFFFFF"/>
        </w:rPr>
        <w:t xml:space="preserve"> </w:t>
      </w:r>
      <w:r w:rsidR="007728CD">
        <w:rPr>
          <w:rStyle w:val="FootnoteReference"/>
          <w:rFonts w:cstheme="minorHAnsi"/>
          <w:color w:val="000000"/>
          <w:shd w:val="clear" w:color="auto" w:fill="FFFFFF"/>
        </w:rPr>
        <w:fldChar w:fldCharType="begin" w:fldLock="1"/>
      </w:r>
      <w:r w:rsidR="004B498A">
        <w:rPr>
          <w:rFonts w:cstheme="minorHAnsi"/>
          <w:color w:val="000000"/>
          <w:shd w:val="clear" w:color="auto" w:fill="FFFFFF"/>
        </w:rPr>
        <w:instrText xml:space="preserve">ADDIN CSL_CITATION {"citationItems":[{"id":"ITEM-1","itemData":{"DOI":"10.1080/14659890110110365","ISSN":"14659891","abstract":"There is little research in the UK that focuses on medium secure psychiatric nursing staff attitudes, beliefs and knowledge about alcohol and illicit substances, substance use and mental illness. The current study presents data from 98 staff, working within a medium secure psychiatric hospital, and compares differences between staff groups in relation to general drug knowledge and attitudes towards both alcohol and illicit substances and the mentally ill patients who use them. Data suggest that, even for qualified staff, training in alcohol and illicit substances was inadequate in both length and depth. Qualified nursing staff had better knowledge of licit and illicit drug use than unqualified nursing staff and non-clinical staff, and also had different beliefs about why people with severe mental illnesses use licit and illicit drugs. However, no significant differences were found between groups for either level of punitive attitude towards people with severe mental illness who use drugs or the impact that certain factors have on severe mental health problems. These results identify the need for training in drug knowledge and drug use in mental illness, for those staff working in the field. The need for ongoing post-registration training in substance use and mental health is emphasized.","author":[{"dropping-particle":"","family":"Barry","given":"Keith R.","non-dropping-particle":"","parse-names":false,"suffix":""},{"dropping-particle":"","family":"Tudway","given":"Jeremy A.","non-dropping-particle":"","parse-names":false,"suffix":""},{"dropping-particle":"","family":"Blissett","given":"Jacqueline","non-dropping-particle":"","parse-names":false,"suffix":""}],"container-title":"Journal of Substance Use","id":"ITEM-1","issue":"1","issued":{"date-parts":[["2002"]]},"page":"50-56","title":"Staff drug knowledge and attitudes towards drug use among the mentally ill within a medium secure psychiatric hospital","type":"article-journal","volume":"7"},"uris":["http://www.mendeley.com/documents/?uuid=d0ed5ddb-394b-31e5-8066-95be90315f50"]},{"id":"ITEM-2","itemData":{"DOI":"10.3109/10826080009147701","ISSN":"10826084","abstract":"Studies of nurses' attitude toward substance misusers, spanning three decades, are reviewed. Survey findings reflect greater acceptance of alcohol and drug misusers in recent years. However, significant minorities of nurses continue to regard substance users as immoral, characterologically defective, </w:instrText>
      </w:r>
      <w:r w:rsidR="004B498A">
        <w:rPr>
          <w:rFonts w:cstheme="minorHAnsi"/>
          <w:color w:val="000000"/>
          <w:shd w:val="clear" w:color="auto" w:fill="FFFFFF"/>
        </w:rPr>
        <w:lastRenderedPageBreak/>
        <w:instrText>and unlikely to recover. Implications of these attitudes for treatment of substance misusers are discussed.","author":[{"dropping-particle":"","family":"Howard","given":"Matthew Owen","non-dropping-particle":"","parse-names":false,"suffix":""},{"dropping-particle":"","family":"Chung","given":"Sulki S.","non-dropping-particle":"","parse-names":false,"suffix":""}],"container-title":"Substance Use and Misuse","id":"ITEM-2","issue":"3","issued":{"date-parts":[["2000"]]},"page":"347-365","publisher":"Marcel Dekker Inc.","title":"Nurses' attitudes toward substance misusers. I. Surveys","type":"article-journal","volume":"35"},"uris":["http://www.mendeley.com/documents/?uuid=c76e8944-9a8d-38ad-8468-8e2c1fce3a4e"]}],"mendeley":{"formattedCitation":"(Barry, Tudway, &amp; Blissett, 2002; M. O. Howard &amp; Chung, 2000)","manualFormatting":"(Barry et al., 2002; Howard &amp; Chung, 2000)","plainTextFormattedCitation":"(Barry, Tudway, &amp; Blissett, 2002; M. O. Howard &amp; Chung, 2000)","previouslyFormattedCitation":"(45,46)"},"properties":{"noteIndex":0},"schema":"https://github.com/citation-style-language/schema/raw/master/csl-citation.json"}</w:instrText>
      </w:r>
      <w:r w:rsidR="007728CD">
        <w:rPr>
          <w:rStyle w:val="FootnoteReference"/>
          <w:rFonts w:cstheme="minorHAnsi"/>
          <w:color w:val="000000"/>
          <w:shd w:val="clear" w:color="auto" w:fill="FFFFFF"/>
        </w:rPr>
        <w:fldChar w:fldCharType="separate"/>
      </w:r>
      <w:r w:rsidR="007728CD" w:rsidRPr="007728CD">
        <w:rPr>
          <w:rFonts w:cstheme="minorHAnsi"/>
          <w:bCs/>
          <w:noProof/>
          <w:color w:val="000000"/>
          <w:shd w:val="clear" w:color="auto" w:fill="FFFFFF"/>
          <w:lang w:val="en-US"/>
        </w:rPr>
        <w:t>(Barry</w:t>
      </w:r>
      <w:r w:rsidR="004B498A">
        <w:rPr>
          <w:rFonts w:cstheme="minorHAnsi"/>
          <w:bCs/>
          <w:noProof/>
          <w:color w:val="000000"/>
          <w:shd w:val="clear" w:color="auto" w:fill="FFFFFF"/>
          <w:lang w:val="en-US"/>
        </w:rPr>
        <w:t xml:space="preserve"> et al.</w:t>
      </w:r>
      <w:r w:rsidR="007728CD" w:rsidRPr="007728CD">
        <w:rPr>
          <w:rFonts w:cstheme="minorHAnsi"/>
          <w:bCs/>
          <w:noProof/>
          <w:color w:val="000000"/>
          <w:shd w:val="clear" w:color="auto" w:fill="FFFFFF"/>
          <w:lang w:val="en-US"/>
        </w:rPr>
        <w:t>, 2002; Howard &amp; Chung, 2000)</w:t>
      </w:r>
      <w:r w:rsidR="007728CD">
        <w:rPr>
          <w:rStyle w:val="FootnoteReference"/>
          <w:rFonts w:cstheme="minorHAnsi"/>
          <w:color w:val="000000"/>
          <w:shd w:val="clear" w:color="auto" w:fill="FFFFFF"/>
        </w:rPr>
        <w:fldChar w:fldCharType="end"/>
      </w:r>
      <w:r w:rsidR="00B82094">
        <w:rPr>
          <w:rFonts w:cstheme="minorHAnsi"/>
          <w:color w:val="000000"/>
          <w:shd w:val="clear" w:color="auto" w:fill="FFFFFF"/>
        </w:rPr>
        <w:t>,</w:t>
      </w:r>
      <w:r w:rsidR="0083079E">
        <w:rPr>
          <w:rFonts w:cstheme="minorHAnsi"/>
          <w:color w:val="000000"/>
          <w:shd w:val="clear" w:color="auto" w:fill="FFFFFF"/>
        </w:rPr>
        <w:t xml:space="preserve"> </w:t>
      </w:r>
      <w:r w:rsidR="00EA1303">
        <w:rPr>
          <w:rFonts w:cstheme="minorHAnsi"/>
          <w:color w:val="000000"/>
          <w:shd w:val="clear" w:color="auto" w:fill="FFFFFF"/>
        </w:rPr>
        <w:t>perceiving ‘patient factors’ such as aggression, manipulation and poor motivation as</w:t>
      </w:r>
      <w:r w:rsidR="00E66F63">
        <w:rPr>
          <w:rFonts w:cstheme="minorHAnsi"/>
          <w:color w:val="000000"/>
          <w:shd w:val="clear" w:color="auto" w:fill="FFFFFF"/>
        </w:rPr>
        <w:t xml:space="preserve"> barriers to effective</w:t>
      </w:r>
      <w:r w:rsidR="00EA1303">
        <w:rPr>
          <w:rFonts w:cstheme="minorHAnsi"/>
          <w:color w:val="000000"/>
          <w:shd w:val="clear" w:color="auto" w:fill="FFFFFF"/>
        </w:rPr>
        <w:t xml:space="preserve"> treatment</w:t>
      </w:r>
      <w:r w:rsidR="004B498A">
        <w:rPr>
          <w:rFonts w:cstheme="minorHAnsi"/>
          <w:color w:val="000000"/>
          <w:shd w:val="clear" w:color="auto" w:fill="FFFFFF"/>
        </w:rPr>
        <w:t xml:space="preserve"> </w:t>
      </w:r>
      <w:r w:rsidR="007728CD">
        <w:rPr>
          <w:rStyle w:val="FootnoteReference"/>
          <w:rFonts w:cstheme="minorHAnsi"/>
          <w:color w:val="000000"/>
          <w:shd w:val="clear" w:color="auto" w:fill="FFFFFF"/>
        </w:rPr>
        <w:fldChar w:fldCharType="begin" w:fldLock="1"/>
      </w:r>
      <w:r w:rsidR="004B498A">
        <w:rPr>
          <w:rFonts w:cstheme="minorHAnsi"/>
          <w:color w:val="000000"/>
          <w:shd w:val="clear" w:color="auto" w:fill="FFFFFF"/>
        </w:rPr>
        <w:instrText>ADDIN CSL_CITATION {"citationItems":[{"id":"ITEM-1","itemData":{"DOI":"10.1080/09540260701278937","ISSN":"09540261","abstract":"This paper discusses factors associated with low rates of help-seeking and poorer quality of physical healthcare among people with mental illnesses. Evidence is reviewed on the associations between low rates of mental health literacy, negative attitudes towards people with mental illness, and reluctance to seek help by people who consider that they may have a mental disorder. People with mental illness often report encountering negative attitudes among mental health staff about their prognosis, associated in part with 'physician bias'. 'Diagnostic overshadowing' appears to be common in general health care settings, meaning the misattribution of physical illness signs and symptoms to concurrent mental disorders, leading to underdiagnosis and mistreatment of the physical conditions. © 2007 Informa UK Ltd.","author":[{"dropping-particle":"","family":"Thornicroft","given":"Graham","non-dropping-particle":"","parse-names":false,"suffix":""},{"dropping-particle":"","family":"Rose","given":"Diana","non-dropping-particle":"","parse-names":false,"suffix":""},{"dropping-particle":"","family":"Kassam","given":"Aliya","non-dropping-particle":"","parse-names":false,"suffix":""}],"container-title":"International Review of Psychiatry","id":"ITEM-1","issue":"2","issued":{"date-parts":[["2007","4"]]},"page":"113-122","title":"Discrimination in health care against people with mental illness","type":"article","volume":"19"},"uris":["http://www.mendeley.com/documents/?uuid=7c674626-9002-3d74-b41d-583848b20ab8"]}],"mendeley":{"formattedCitation":"(Thornicroft, Rose, &amp; Kassam, 2007)","manualFormatting":"(Thornicroft et al., 2007.)","plainTextFormattedCitation":"(Thornicroft, Rose, &amp; Kassam, 2007)","previouslyFormattedCitation":"(47)"},"properties":{"noteIndex":0},"schema":"https://github.com/citation-style-language/schema/raw/master/csl-citation.json"}</w:instrText>
      </w:r>
      <w:r w:rsidR="007728CD">
        <w:rPr>
          <w:rStyle w:val="FootnoteReference"/>
          <w:rFonts w:cstheme="minorHAnsi"/>
          <w:color w:val="000000"/>
          <w:shd w:val="clear" w:color="auto" w:fill="FFFFFF"/>
        </w:rPr>
        <w:fldChar w:fldCharType="separate"/>
      </w:r>
      <w:r w:rsidR="007728CD" w:rsidRPr="007728CD">
        <w:rPr>
          <w:rFonts w:cstheme="minorHAnsi"/>
          <w:noProof/>
          <w:color w:val="000000"/>
          <w:shd w:val="clear" w:color="auto" w:fill="FFFFFF"/>
        </w:rPr>
        <w:t>(Thornicroft</w:t>
      </w:r>
      <w:r w:rsidR="004B498A">
        <w:rPr>
          <w:rFonts w:cstheme="minorHAnsi"/>
          <w:noProof/>
          <w:color w:val="000000"/>
          <w:shd w:val="clear" w:color="auto" w:fill="FFFFFF"/>
        </w:rPr>
        <w:t xml:space="preserve"> et al.</w:t>
      </w:r>
      <w:r w:rsidR="007728CD" w:rsidRPr="007728CD">
        <w:rPr>
          <w:rFonts w:cstheme="minorHAnsi"/>
          <w:noProof/>
          <w:color w:val="000000"/>
          <w:shd w:val="clear" w:color="auto" w:fill="FFFFFF"/>
        </w:rPr>
        <w:t>, 2007)</w:t>
      </w:r>
      <w:r w:rsidR="007728CD">
        <w:rPr>
          <w:rStyle w:val="FootnoteReference"/>
          <w:rFonts w:cstheme="minorHAnsi"/>
          <w:color w:val="000000"/>
          <w:shd w:val="clear" w:color="auto" w:fill="FFFFFF"/>
        </w:rPr>
        <w:fldChar w:fldCharType="end"/>
      </w:r>
      <w:r w:rsidR="00B82094">
        <w:rPr>
          <w:rFonts w:cstheme="minorHAnsi"/>
          <w:color w:val="000000"/>
          <w:shd w:val="clear" w:color="auto" w:fill="FFFFFF"/>
        </w:rPr>
        <w:t>.</w:t>
      </w:r>
      <w:r w:rsidR="00EE68B1">
        <w:rPr>
          <w:rFonts w:cstheme="minorHAnsi"/>
          <w:color w:val="000000"/>
          <w:shd w:val="clear" w:color="auto" w:fill="FFFFFF"/>
        </w:rPr>
        <w:t xml:space="preserve"> </w:t>
      </w:r>
      <w:r w:rsidR="004769C4">
        <w:t xml:space="preserve">Patients with </w:t>
      </w:r>
      <w:r w:rsidR="009E6827">
        <w:t>SUD</w:t>
      </w:r>
      <w:r w:rsidR="004769C4">
        <w:t xml:space="preserve"> are over-represented amongst those whose admissions </w:t>
      </w:r>
      <w:r w:rsidR="00D55B0F">
        <w:t>are</w:t>
      </w:r>
      <w:r w:rsidR="004769C4">
        <w:t xml:space="preserve"> felt to be ‘inappropriate’</w:t>
      </w:r>
      <w:r w:rsidR="004B498A">
        <w:t xml:space="preserve"> </w:t>
      </w:r>
      <w:r w:rsidR="007728CD">
        <w:rPr>
          <w:rStyle w:val="FootnoteReference"/>
        </w:rPr>
        <w:fldChar w:fldCharType="begin" w:fldLock="1"/>
      </w:r>
      <w:r w:rsidR="004B498A">
        <w:instrText xml:space="preserve">ADDIN CSL_CITATION {"citationItems":[{"id":"ITEM-1","itemData":{"DOI":"10.1007/s001270050157","ISSN":"09337954","abstract":"Background: Previous researchers in the UK have measured the prevalence of the 'inappropriateness' of acute adult psychiatric inpatient placements by eliciting the judgements of health professionals. We extended the methodologyy by identifying inpatient sub-groups with stable characteristics that were associated with elevated risk of inappropriate placement, and by calculating the level of that risk. Methods: A 1-day census was taken in five hospitals. Using a structured instrument, consultant psychiatrists recorded judgements on current placements, recommended alternative placements and stated why alternatives had not been used. Judgements were obtained for 100% of the 261 inpatients. Risk ratios and adjusted odds ratios were calculated to identify sub-groups that were at </w:instrText>
      </w:r>
      <w:r w:rsidR="004B498A">
        <w:lastRenderedPageBreak/>
        <w:instrText>high risk. Results: Eighty-eight inpatients were inappropriately placed, a point prevalence of 34% (95% CI 28/40%). Consultants recorded that services outside hospital, if available, could have supported most of these inpatients as an alternative to at least part of their hospital stay. Diagnostic rather than socio-demographic or administrative characteristics, in particular primary diagnoses of substance-related disorder, personality disorder, anxiety/stress, and schizophrenia with co-morbid substance misuse, were the strongest markers of elevated risk. Conclusions: The point prevalence of inappropriate placement within the British mental health-care system is considerable. Diagnostic categories are reasonable pragmatic markers. Further research should aim to identify a strong marker of risk within the numerically large sub-group of schizophrenia without substance misuse.","author":[{"dropping-particle":"","family":"Bartlett","given":"C.","non-dropping-particle":"","parse-names":false,"suffix":""},{"dropping-particle":"","family":"Evans","given":"M.","non-dropping-particle":"","parse-names":false,"suffix":""},{"dropping-particle":"","family":"Holloway","given":"J.","non-dropping-particle":"","parse-names":false,"suffix":""},{"dropping-particle":"","family":"O'Connor","given":"S.","non-dropping-particle":"","parse-names":false,"suffix":""},{"dropping-particle":"","family":"Harrison","given":"G.","non-dropping-particle":"","parse-names":false,"suffix":""}],"container-title":"Social Psychiatry and Psychiatric Epidemiology","id":"ITEM-1","issue":"7","issued":{"date-parts":[["1999","7"]]},"page":"367-375","title":"Markers of inappropriate placement in acute psychiatric inpatient care: A five hospital study","type":"article-journal","volume":"34"},"uris":["http://www.mendeley.com/documents/?uuid=cb7f738c-9897-3aaf-9b87-712f3fd89cf8"]}],"mendeley":{"formattedCitation":"(Bartlett, Evans, Holloway, O’Connor, &amp; Harrison, 1999)","manualFormatting":"(Bartlett et al., 1999)","plainTextFormattedCitation":"(Bartlett, Evans, Holloway, O’Connor, &amp; Harrison, 1999)","previouslyFormattedCitation":"(48)"},"properties":{"noteIndex":0},"schema":"https://github.com/citation-style-language/schema/raw/master/csl-citation.json"}</w:instrText>
      </w:r>
      <w:r w:rsidR="007728CD">
        <w:rPr>
          <w:rStyle w:val="FootnoteReference"/>
        </w:rPr>
        <w:fldChar w:fldCharType="separate"/>
      </w:r>
      <w:r w:rsidR="007728CD" w:rsidRPr="007728CD">
        <w:rPr>
          <w:bCs/>
          <w:noProof/>
          <w:lang w:val="en-US"/>
        </w:rPr>
        <w:t>(Bartlett</w:t>
      </w:r>
      <w:r w:rsidR="004B498A">
        <w:rPr>
          <w:bCs/>
          <w:noProof/>
          <w:lang w:val="en-US"/>
        </w:rPr>
        <w:t xml:space="preserve"> et al.</w:t>
      </w:r>
      <w:r w:rsidR="007728CD" w:rsidRPr="007728CD">
        <w:rPr>
          <w:bCs/>
          <w:noProof/>
          <w:lang w:val="en-US"/>
        </w:rPr>
        <w:t>, 1999)</w:t>
      </w:r>
      <w:r w:rsidR="007728CD">
        <w:rPr>
          <w:rStyle w:val="FootnoteReference"/>
        </w:rPr>
        <w:fldChar w:fldCharType="end"/>
      </w:r>
      <w:r w:rsidR="004B498A">
        <w:t>.</w:t>
      </w:r>
      <w:r w:rsidR="00187355">
        <w:t xml:space="preserve"> </w:t>
      </w:r>
    </w:p>
    <w:p w14:paraId="4E56319A" w14:textId="220A2A8D" w:rsidR="008F33E1" w:rsidRDefault="0007213C" w:rsidP="007120D8">
      <w:pPr>
        <w:rPr>
          <w:rFonts w:cstheme="minorHAnsi"/>
          <w:color w:val="000000"/>
          <w:shd w:val="clear" w:color="auto" w:fill="FFFFFF"/>
        </w:rPr>
      </w:pPr>
      <w:r>
        <w:t>Some of the</w:t>
      </w:r>
      <w:r w:rsidR="00284C42">
        <w:t xml:space="preserve"> reasons </w:t>
      </w:r>
      <w:r>
        <w:t>underlying</w:t>
      </w:r>
      <w:r w:rsidR="00284C42">
        <w:t xml:space="preserve"> th</w:t>
      </w:r>
      <w:r w:rsidR="00EE6B93">
        <w:t>ese negative attitudes</w:t>
      </w:r>
      <w:r w:rsidR="00284C42">
        <w:t xml:space="preserve"> are clear - </w:t>
      </w:r>
      <w:r>
        <w:t>s</w:t>
      </w:r>
      <w:r w:rsidRPr="00617D19">
        <w:t>ubstance use is a</w:t>
      </w:r>
      <w:r w:rsidR="00EE6B93">
        <w:t>ssociated</w:t>
      </w:r>
      <w:r w:rsidRPr="00617D19">
        <w:t xml:space="preserve"> </w:t>
      </w:r>
      <w:r w:rsidR="00EE6B93">
        <w:t>with</w:t>
      </w:r>
      <w:r w:rsidRPr="00617D19">
        <w:t xml:space="preserve"> violence, self-harm, and treatment non</w:t>
      </w:r>
      <w:r w:rsidR="00C72B68">
        <w:t>-</w:t>
      </w:r>
      <w:r w:rsidR="00891E47">
        <w:t>adherence</w:t>
      </w:r>
      <w:r w:rsidR="004B498A">
        <w:t xml:space="preserve"> </w:t>
      </w:r>
      <w:r w:rsidR="007728CD">
        <w:rPr>
          <w:rStyle w:val="FootnoteReference"/>
        </w:rPr>
        <w:fldChar w:fldCharType="begin" w:fldLock="1"/>
      </w:r>
      <w:r w:rsidR="004B498A">
        <w:instrText xml:space="preserve">ADDIN CSL_CITATION {"citationItems":[{"id":"ITEM-1","itemData":{"DOI":"10.1080/09540269775448","ISSN":"09540261","abstract":"The misuse of drugs or alcohol has long been regarded as a major risk factor for violence. This is confirmed by findings from the Epidemiological Catchment Area (ECA) surveys which also show that comorbidity for substance misuse and mental illness further increases the risk. In preliminary findings from the MacArthur Violence Risk Assessment study, it was found that over 40% of patients with a major mental disorder were comorbid for a substance misuse disorder and these individuals were three to four times more at risk of showing violent behaviour. Reviewing the ways in which taking drugs or alcohol may be associated with violence shows that pharmacological, psychological and sociological factors may modify the expression of intoxicated or aggressive behaviour. It is suggested that these findings should lead to a greater awareness of substance abuse issues in risk assessment and management. The implications of this for the delivery of psychiatric care and the organization of services are discussed.","author":[{"dropping-particle":"","family":"Johns","given":"Andrew","non-dropping-particle":"","parse-names":false,"suffix":""}],"container-title":"International Review of Psychiatry","id":"ITEM-1","issue":"2-3","issued":{"date-parts":[["1997"]]},"page":"233-241","title":"Substance misuse: A primary risk and a major problem of comorbidity","type":"article","volume":"9"},"uris":["http://www.mendeley.com/documents/?uuid=3d15cc0f-e104-322f-b2ff-2a65a75f6b93"]},{"id":"ITEM-2","itemData":{"DOI":"10.1080/000486700271","ISSN":"0004-8674","abstract":"Objective: </w:instrText>
      </w:r>
      <w:r w:rsidR="004B498A">
        <w:lastRenderedPageBreak/>
        <w:instrText>Aggression is a significant clinical problem in psychiatric facilities. The present study reviews data on aggression collected from psychiatric inpatient units in order to determine prevalence and causal factors.Method: Data on aggressive incidents were gathered from four adult psychiatric units in the Illawarra, Australia. Information obtained included diagnosis, causal factors and patient sociodemographic characteristics.Results: During the 18-month period, a total of 1269 psychiatric patients were admitted and 174 patients (13.7%) were recorded as being aggressive. Patients with bipolar affective disorder and schizophrenia had a 2.81 and 1.96 significantly increased risk of aggression, respectively, while depression and adjustment disorder conferred a significantly lower risk. Aggression was most likely to occur within 2 days of admission and length of stay was greater for aggressive than non-aggressive patients. The greater number of incidents occurred on day shift. Most patients who displa...","author":[{"dropping-particle":"","family":"Barlow","given":"Karen","non-dropping-particle":"","parse-names":false,"suffix":""},{"dropping-particle":"","family":"Grenyer","given":"Brin","non-dropping-particle":"","parse-names":false,"suffix":""},{"dropping-particle":"","family":"Ilkiw-Lavalle","given":"Olga","non-dropping-particle":"","parse-names":false,"suffix":""}],"container-title":"Australian &amp; New Zealand Journal of Psychiatry","id":"ITEM-2","issue":"6","issued":{"date-parts":[["2000","12"]]},"page":"967-974","publisher":"SAGE Publications","title":"Prevalence and Precipitants of Aggression in Psychiatric Inpatient Units","type":"article-journal","volume":"34"},"uris":["http://www.mendeley.com/documents/?uuid=326b5d85-9aad-34eb-9be2-c277c4bade21"]},{"id":"ITEM-3","itemData":{"DOI":"10.1080/02699052.2018.1553064","ISSN":"1362301X","abstract":"Objective: To investigate factors relevant to violence and self-harm in forensic psychiatric inpatients the cross-sectional association between four potential contributory factors; head injury, schizophrenia, drug and alcohol misuse, and self-harm or violence-related outcomes was examined. Methodology: Data were extracted from an existing dataset of routinely collected data on all patients under the care of Scotland’s Forensic Mental Health Managed Care Network, of whom (n = 432) met inclusion criteria. A Factorial MANOVA and Pearson’s chi-square tests were conducted to assess the relationship between potential contributory factors and self-harm and violence. Results: Forty-seven individuals had a documented head injury (10.9%). The presence of head injury was significantly associated with inpatient violence and assessed violence risk. Number of historic violent offences was significantly associated with a history of drug misuse and co-morbid alcohol misuse and schizophrenia. Self-harm was significantly associated with drug misuse and a diagnosis of schizophrenia. Conclusion: These findings highlight a significant association between head injury and actual/assessed risk in forensic psychiatry, over and above that of substance misuse and a diagnosis of schizophrenia, emphasising the need for routine assessment of head injury in clinical practice. Further examination of the impact of head injury in forensic psychiatric populations is needed.","author":[{"dropping-particle":"","family":"Brown","given":"Sarah","non-dropping-particle":"","parse-names":false,"suffix":""},{"dropping-particle":"","family":"O’Rourke","given":"Suzanne","non-dropping-particle":"","parse-names":false,"suffix":""},{"dropping-particle":"","family":"Schwannauer","given":"Matthias","non-dropping-particle":"","parse-names":false,"suffix":""}],"container-title":"Brain Injury","id":"ITEM-3","issue":"3","issued":{"date-parts":[["2019","2","23"]]},"page":"313-321","publisher":"Taylor and Francis Ltd","title":"Risk factors for inpatient violence and self-harm in forensic psychiatry: the role of head injury, schizophrenia and substance misuse","type":"article-journal","volume":"33"},"uris":["http://www.mendeley.com/documents/?uuid=c5dd2e95-8ae6-30a8-8f61-d55c0d69cc97"]}],"mendeley":{"formattedCitation":"(Barlow, Grenyer, &amp; Ilkiw-Lavalle, 2000; Brown, O’Rourke, &amp; Schwannauer, 2019; Johns, 1997)","manualFormatting":"(Barlow et al., 2000; Brown et al., 2019; Johns, 1997)","plainTextFormattedCitation":"(Barlow, Grenyer, &amp; Ilkiw-</w:instrText>
      </w:r>
      <w:r w:rsidR="004B498A">
        <w:lastRenderedPageBreak/>
        <w:instrText>Lavalle, 2000; Brown, O’Rourke, &amp; Schwannauer, 2019; Johns, 1997)","previouslyFormattedCitation":"(49–51)"},"properties":{"noteIndex":0},"schema":"https://github.com/citation-style-language/schema/raw/master/csl-citation.json"}</w:instrText>
      </w:r>
      <w:r w:rsidR="007728CD">
        <w:rPr>
          <w:rStyle w:val="FootnoteReference"/>
        </w:rPr>
        <w:fldChar w:fldCharType="separate"/>
      </w:r>
      <w:r w:rsidR="007728CD" w:rsidRPr="007728CD">
        <w:rPr>
          <w:bCs/>
          <w:noProof/>
          <w:lang w:val="en-US"/>
        </w:rPr>
        <w:t>(Barlow</w:t>
      </w:r>
      <w:r w:rsidR="004B498A">
        <w:rPr>
          <w:bCs/>
          <w:noProof/>
          <w:lang w:val="en-US"/>
        </w:rPr>
        <w:t xml:space="preserve"> et al.</w:t>
      </w:r>
      <w:r w:rsidR="007728CD" w:rsidRPr="007728CD">
        <w:rPr>
          <w:bCs/>
          <w:noProof/>
          <w:lang w:val="en-US"/>
        </w:rPr>
        <w:t>, 2000; Brown</w:t>
      </w:r>
      <w:r w:rsidR="004B498A">
        <w:rPr>
          <w:bCs/>
          <w:noProof/>
          <w:lang w:val="en-US"/>
        </w:rPr>
        <w:t xml:space="preserve"> et al.</w:t>
      </w:r>
      <w:r w:rsidR="007728CD" w:rsidRPr="007728CD">
        <w:rPr>
          <w:bCs/>
          <w:noProof/>
          <w:lang w:val="en-US"/>
        </w:rPr>
        <w:t>, 2019; Johns, 1997)</w:t>
      </w:r>
      <w:r w:rsidR="007728CD">
        <w:rPr>
          <w:rStyle w:val="FootnoteReference"/>
        </w:rPr>
        <w:fldChar w:fldCharType="end"/>
      </w:r>
      <w:r w:rsidR="004B498A">
        <w:t>,</w:t>
      </w:r>
      <w:r w:rsidR="00230EB8">
        <w:t xml:space="preserve"> </w:t>
      </w:r>
      <w:proofErr w:type="spellStart"/>
      <w:r w:rsidR="00230EB8">
        <w:t>behaviors</w:t>
      </w:r>
      <w:proofErr w:type="spellEnd"/>
      <w:r w:rsidR="00230EB8">
        <w:t xml:space="preserve"> which </w:t>
      </w:r>
      <w:r w:rsidR="00982922">
        <w:t>can be</w:t>
      </w:r>
      <w:r w:rsidR="00230EB8">
        <w:t xml:space="preserve"> disruptive and difficult to manage in an inpatient environment.</w:t>
      </w:r>
      <w:r w:rsidR="00EA1303">
        <w:t xml:space="preserve"> </w:t>
      </w:r>
      <w:r w:rsidR="00EA1303" w:rsidRPr="000C5F35">
        <w:t xml:space="preserve">Health professionals </w:t>
      </w:r>
      <w:r w:rsidR="000C270C">
        <w:t>report lacking</w:t>
      </w:r>
      <w:r w:rsidR="00EA1303" w:rsidRPr="000C5F35">
        <w:t xml:space="preserve"> adequate education, training and support structures </w:t>
      </w:r>
      <w:r w:rsidR="000C270C">
        <w:t>to effectively engage</w:t>
      </w:r>
      <w:r w:rsidR="00EA1303" w:rsidRPr="000C5F35">
        <w:t xml:space="preserve"> with this patient group</w:t>
      </w:r>
      <w:r w:rsidR="004B498A">
        <w:t xml:space="preserve"> </w:t>
      </w:r>
      <w:r w:rsidR="007728CD">
        <w:rPr>
          <w:rStyle w:val="FootnoteReference"/>
        </w:rPr>
        <w:fldChar w:fldCharType="begin" w:fldLock="1"/>
      </w:r>
      <w:r w:rsidR="007728CD">
        <w:instrText>ADDIN CSL_CITATION {"citationItems":[{"id":"ITEM-1","itemData":{"DOI":"10.1016/j.drugalcdep.2013.02.018","ISSN":"03768716","PMID":"23490450","abstract":"BACKGROUND Healthcare professionals are crucial in the identification and accessibility to treatment for people with substance use disorders. Our objective was to assess health professionals' attitudes towards patients with substance use disorders and examine the consequences of these attitudes on healthcare delivery for these patients in Western countries. METHODS Pubmed, PsycINFO and Embase were systematically searched for articles published between 2000 and 2011. Studies evaluating health professionals' attitudes towards patients with substance use disorders and consequences of negative attitudes were included. An inclusion criterion was that studies addressed alcohol or illicit drug abuse. Reviews, commentaries and letters were excluded, as were studies originating from non-Western countries. RESULTS The search process yielded 1562 citations. After selection and quality assessment, 28 studies were included. Health professionals generally had a negative attitude towards patients with substance use disorders. They perceived violence, manipulation, and poor motivation as impeding factors in the healthcare delivery for these patients. Health professionals also lacked adequate education, training and support structures in working with this patient group. Negative attitudes of health professionals diminished patients' feelings of empowerment and subsequent treatment outcomes. Health professionals are less involved and have a more task-oriented approach in the delivery of healthcare, resulting in less personal engagement and diminished empathy. CONCLUSIONS This review indicates that negative attitudes of health professionals towards patients with substance use disorders are common and contribute to suboptimal health care for these patients. However, few studies have evaluated the consequences of health professionals' negative attitudes towards patients with substance use disorders.","author":[{"dropping-particle":"","family":"Boekel","given":"Leonieke C.","non-dropping-particle":"van","parse-names":false,"suffix":""},{"dropping-particle":"","family":"Brouwers","given":"Evelien P.M.","non-dropping-particle":"","parse-names":false,"suffix":""},{"dropping-particle":"","family":"Weeghel","given":"Jaap","non-dropping-particle":"van","parse-names":false,"suffix":""},{"dropping-particle":"","family":"Garretsen","given":"Henk F.L.","non-dropping-particle":"","parse-names":false,"suffix":""}],"container-title":"Drug and Alcohol Dependence","id":"ITEM-1","issue":"1-2","issued":{"date-parts":[["2013","7","1"]]},"page":"23-35","title":"Stigma among health professionals towards patients with substance use disorders and its consequences for healthcare delivery: Systematic review","type":"article-journal","volume":"131"},"uris":["http://www.mendeley.com/documents/?uuid=998f4a9d-24eb-3b74-8eab-d65b5a3568da"]}],"mendeley":{"formattedCitation":"(van Boekel et al., 2013)","plainTextFormattedCitation":"(van Boekel et al., 2013)","previouslyFormattedCitation":"(22)"},"properties":{"noteIndex":0},"schema":"https://github.com/citation-style-language/schema/raw/master/csl-citation.json"}</w:instrText>
      </w:r>
      <w:r w:rsidR="007728CD">
        <w:rPr>
          <w:rStyle w:val="FootnoteReference"/>
        </w:rPr>
        <w:fldChar w:fldCharType="separate"/>
      </w:r>
      <w:r w:rsidR="007728CD" w:rsidRPr="007728CD">
        <w:rPr>
          <w:noProof/>
        </w:rPr>
        <w:t>(van Boekel et al., 2013)</w:t>
      </w:r>
      <w:r w:rsidR="007728CD">
        <w:rPr>
          <w:rStyle w:val="FootnoteReference"/>
        </w:rPr>
        <w:fldChar w:fldCharType="end"/>
      </w:r>
      <w:r w:rsidR="004B498A">
        <w:t>,</w:t>
      </w:r>
      <w:r w:rsidR="00EA1303">
        <w:t xml:space="preserve"> and</w:t>
      </w:r>
      <w:r w:rsidR="00EE68B1" w:rsidRPr="0068058C">
        <w:rPr>
          <w:rFonts w:cstheme="minorHAnsi"/>
          <w:color w:val="000000"/>
          <w:shd w:val="clear" w:color="auto" w:fill="FFFFFF"/>
        </w:rPr>
        <w:t xml:space="preserve"> </w:t>
      </w:r>
      <w:r w:rsidR="000C270C">
        <w:rPr>
          <w:rFonts w:cstheme="minorHAnsi"/>
          <w:color w:val="000000"/>
          <w:shd w:val="clear" w:color="auto" w:fill="FFFFFF"/>
        </w:rPr>
        <w:t>resent</w:t>
      </w:r>
      <w:r w:rsidR="00187355">
        <w:rPr>
          <w:rFonts w:cstheme="minorHAnsi"/>
          <w:color w:val="000000"/>
          <w:shd w:val="clear" w:color="auto" w:fill="FFFFFF"/>
        </w:rPr>
        <w:t xml:space="preserve"> feeling forced to</w:t>
      </w:r>
      <w:r w:rsidR="00EE68B1" w:rsidRPr="0068058C">
        <w:rPr>
          <w:rFonts w:cstheme="minorHAnsi"/>
          <w:color w:val="000000"/>
          <w:shd w:val="clear" w:color="auto" w:fill="FFFFFF"/>
        </w:rPr>
        <w:t xml:space="preserve"> adopt a ‘policing’</w:t>
      </w:r>
      <w:r w:rsidR="00B9022D">
        <w:rPr>
          <w:rFonts w:cstheme="minorHAnsi"/>
          <w:color w:val="000000"/>
          <w:shd w:val="clear" w:color="auto" w:fill="FFFFFF"/>
        </w:rPr>
        <w:t xml:space="preserve"> role</w:t>
      </w:r>
      <w:r w:rsidR="00EE68B1" w:rsidRPr="0068058C">
        <w:rPr>
          <w:rFonts w:cstheme="minorHAnsi"/>
          <w:color w:val="000000"/>
          <w:shd w:val="clear" w:color="auto" w:fill="FFFFFF"/>
        </w:rPr>
        <w:t xml:space="preserve"> in an attempt to control patient substance </w:t>
      </w:r>
      <w:r w:rsidR="004059E7">
        <w:rPr>
          <w:rFonts w:cstheme="minorHAnsi"/>
          <w:color w:val="000000"/>
          <w:shd w:val="clear" w:color="auto" w:fill="FFFFFF"/>
        </w:rPr>
        <w:t>use</w:t>
      </w:r>
      <w:r w:rsidR="004B498A">
        <w:rPr>
          <w:rFonts w:cstheme="minorHAnsi"/>
          <w:color w:val="000000"/>
          <w:shd w:val="clear" w:color="auto" w:fill="FFFFFF"/>
        </w:rPr>
        <w:t xml:space="preserve"> </w:t>
      </w:r>
      <w:r w:rsidR="007728CD">
        <w:rPr>
          <w:rStyle w:val="FootnoteReference"/>
          <w:rFonts w:cstheme="minorHAnsi"/>
          <w:color w:val="000000"/>
          <w:shd w:val="clear" w:color="auto" w:fill="FFFFFF"/>
        </w:rPr>
        <w:fldChar w:fldCharType="begin" w:fldLock="1"/>
      </w:r>
      <w:r w:rsidR="007728CD">
        <w:rPr>
          <w:rFonts w:cstheme="minorHAnsi"/>
          <w:color w:val="000000"/>
          <w:shd w:val="clear" w:color="auto" w:fill="FFFFFF"/>
        </w:rPr>
        <w:instrText xml:space="preserve">ADDIN CSL_CITATION {"citationItems":[{"id":"ITEM-1","itemData":{"DOI":"10.1192/pb.25.1.14","ISSN":"09556036","abstract":"Aims and method: A survey of staff perceptions of illicit drug use among in-patients in a medium secure unit. Results: Sixty per cent of staff were aware of drug misuse on the unit. While 82% commented on the </w:instrText>
      </w:r>
      <w:r w:rsidR="007728CD">
        <w:rPr>
          <w:rFonts w:cstheme="minorHAnsi"/>
          <w:color w:val="000000"/>
          <w:shd w:val="clear" w:color="auto" w:fill="FFFFFF"/>
        </w:rPr>
        <w:lastRenderedPageBreak/>
        <w:instrText>potential adverse effects of illicit substances on patient psychopathology, 45% were also concerned about the negative impact on the staff-patient relationships. Most (82%) staff cite personal enjoyment as the main reason for drug-taking behaviour and perceive drug use on the unit as a form of antisocial behaviour. Less than one-third of staff were clear about the unit's policy for dealing with in-patient drug use and few have had adequate training in the management of patients with dual diagnoses. Strategies for dealing with drug misuse appear to focus on security rather than therapeutic issues. Clinical implications: Services need to provide adequate training for staff on the management of patients with comorbid substance misuse, introduce patient education programmes and develop and disseminate clear policies that emphasise both therapy and security.","author":[{"dropping-particle":"","family":"Dolan","given":"M.","non-dropping-particle":"","parse-names":false,"suffix":""},{"dropping-particle":"","family":"Kirwan","given":"H.","non-dropping-particle":"","parse-names":false,"suffix":""}],"container-title":"Psychiatric Bulletin","id":"ITEM-1","issue":"1","issued":{"date-parts":[["2001"]]},"page":"14-17","title":"Survey of staff perceptions of illicit drug use among patients in a medium secure unit","type":"article-journal","volume":"25"},"uris":["http://www.mendeley.com/documents/?uuid=8573003e-473d-3deb-8085-d8ae1cc58002"]}],"mendeley":{"formattedCitation":"(Dolan &amp; Kirwan, 2001)","plainTextFormattedCitation":"(Dolan &amp; Kirwan, 2001)","previouslyFormattedCitation":"(52)"},"properties":{"noteIndex":0},"schema":"https://github.com/citation-style-language/schema/raw/master/csl-citation.json"}</w:instrText>
      </w:r>
      <w:r w:rsidR="007728CD">
        <w:rPr>
          <w:rStyle w:val="FootnoteReference"/>
          <w:rFonts w:cstheme="minorHAnsi"/>
          <w:color w:val="000000"/>
          <w:shd w:val="clear" w:color="auto" w:fill="FFFFFF"/>
        </w:rPr>
        <w:fldChar w:fldCharType="separate"/>
      </w:r>
      <w:r w:rsidR="007728CD" w:rsidRPr="007728CD">
        <w:rPr>
          <w:rFonts w:cstheme="minorHAnsi"/>
          <w:bCs/>
          <w:noProof/>
          <w:color w:val="000000"/>
          <w:shd w:val="clear" w:color="auto" w:fill="FFFFFF"/>
          <w:lang w:val="en-US"/>
        </w:rPr>
        <w:t>(Dolan &amp; Kirwan, 2001)</w:t>
      </w:r>
      <w:r w:rsidR="007728CD">
        <w:rPr>
          <w:rStyle w:val="FootnoteReference"/>
          <w:rFonts w:cstheme="minorHAnsi"/>
          <w:color w:val="000000"/>
          <w:shd w:val="clear" w:color="auto" w:fill="FFFFFF"/>
        </w:rPr>
        <w:fldChar w:fldCharType="end"/>
      </w:r>
      <w:r w:rsidR="004B498A">
        <w:rPr>
          <w:rFonts w:cstheme="minorHAnsi"/>
          <w:color w:val="000000"/>
          <w:shd w:val="clear" w:color="auto" w:fill="FFFFFF"/>
        </w:rPr>
        <w:t>.</w:t>
      </w:r>
      <w:r w:rsidR="00EE68B1">
        <w:rPr>
          <w:rFonts w:cstheme="minorHAnsi"/>
          <w:color w:val="000000"/>
          <w:shd w:val="clear" w:color="auto" w:fill="FFFFFF"/>
        </w:rPr>
        <w:t xml:space="preserve"> </w:t>
      </w:r>
    </w:p>
    <w:p w14:paraId="5CC17D9B" w14:textId="6057DC21" w:rsidR="008F569F" w:rsidRDefault="00226774" w:rsidP="007120D8">
      <w:r>
        <w:t>To date,</w:t>
      </w:r>
      <w:r w:rsidR="00EE6B93">
        <w:t xml:space="preserve"> there has been limited research</w:t>
      </w:r>
      <w:r w:rsidR="00EE6B93" w:rsidRPr="000C5F35">
        <w:t xml:space="preserve"> evaluat</w:t>
      </w:r>
      <w:r w:rsidR="00EE6B93">
        <w:t>ing</w:t>
      </w:r>
      <w:r w:rsidR="00EE6B93" w:rsidRPr="000C5F35">
        <w:t xml:space="preserve"> the consequences of health professionals’ negative attitudes towards patients with </w:t>
      </w:r>
      <w:r w:rsidR="00EE6B93">
        <w:t>SUD</w:t>
      </w:r>
      <w:r w:rsidR="00EE6B93" w:rsidRPr="000C5F35">
        <w:t>.</w:t>
      </w:r>
      <w:r w:rsidR="00EE6B93" w:rsidRPr="00C04D55">
        <w:t xml:space="preserve"> </w:t>
      </w:r>
      <w:r w:rsidR="00EE6B93">
        <w:t>There is some evidence</w:t>
      </w:r>
      <w:r w:rsidR="00EE6B93" w:rsidRPr="00934634">
        <w:t xml:space="preserve"> that health professionals </w:t>
      </w:r>
      <w:r w:rsidR="00EE6B93">
        <w:t>may adopt</w:t>
      </w:r>
      <w:r w:rsidR="00EE6B93" w:rsidRPr="00934634">
        <w:t xml:space="preserve"> a more </w:t>
      </w:r>
      <w:r w:rsidR="00EE6B93">
        <w:t>‘task-oriented’</w:t>
      </w:r>
      <w:r w:rsidR="00EE6B93" w:rsidRPr="00934634">
        <w:t xml:space="preserve"> approach in the delivery of healthcare to patients with </w:t>
      </w:r>
      <w:r w:rsidR="00EE6B93">
        <w:t>SUD</w:t>
      </w:r>
      <w:r w:rsidR="00EE6B93" w:rsidRPr="00934634">
        <w:t xml:space="preserve"> </w:t>
      </w:r>
      <w:r w:rsidR="00EE6B93">
        <w:t xml:space="preserve">– </w:t>
      </w:r>
      <w:r w:rsidR="00464E42">
        <w:t>leading to suboptimal practices such as</w:t>
      </w:r>
      <w:r w:rsidR="00EE6B93" w:rsidRPr="00934634">
        <w:t xml:space="preserve"> shorter </w:t>
      </w:r>
      <w:r w:rsidR="00646701">
        <w:t>contacts</w:t>
      </w:r>
      <w:r w:rsidR="00EE6B93" w:rsidRPr="00934634">
        <w:t>, show</w:t>
      </w:r>
      <w:r w:rsidR="00EE6B93">
        <w:t>ing</w:t>
      </w:r>
      <w:r w:rsidR="00EE6B93" w:rsidRPr="00934634">
        <w:t xml:space="preserve"> less empathy and </w:t>
      </w:r>
      <w:r w:rsidR="00EE6B93">
        <w:t xml:space="preserve">demonstrating </w:t>
      </w:r>
      <w:r w:rsidR="00EE6B93" w:rsidRPr="00934634">
        <w:t>diminished personal engagement</w:t>
      </w:r>
      <w:r w:rsidR="004B498A">
        <w:t xml:space="preserve"> </w:t>
      </w:r>
      <w:r w:rsidR="007728CD">
        <w:rPr>
          <w:rStyle w:val="FootnoteReference"/>
        </w:rPr>
        <w:fldChar w:fldCharType="begin" w:fldLock="1"/>
      </w:r>
      <w:r w:rsidR="007728CD">
        <w:instrText>ADDIN CSL_CITATION {"citationItems":[{"id":"ITEM-1","itemData":{"DOI":"10.1111/j.1365-2524.2006.00683.x","ISSN":"09660410","author":[{"dropping-particle":"","family":"Peckover","given":"Sue","non-dropping-particle":"","parse-names":false,"suffix":""},{"dropping-particle":"","family":"Chidlaw","given":"Robert G.","non-dropping-particle":"","parse-names":false,"suffix":""}],"container-title":"Health &amp; Social Care in the Community","id":"ITEM-1","issue":"3","issued":{"date-parts":[["2007","1","12"]]},"page":"238-245","title":"Too frightened to care? Accounts by district nurses working with clients who misuse substances","type":"article-journal","volume":"15"},"uris":["http://www.mendeley.com/documents/?uuid=bc3feb77-bca2-3c79-87f0-33b67054325b"]}],"mendeley":{"formattedCitation":"(Peckover &amp; Chidlaw, 2007)","plainTextFormattedCitation":"(Peckover &amp; Chidlaw, 2007)","previouslyFormattedCitation":"(53)"},"properties":{"noteIndex":0},"schema":"https://github.com/citation-style-language/schema/raw/master/csl-citation.json"}</w:instrText>
      </w:r>
      <w:r w:rsidR="007728CD">
        <w:rPr>
          <w:rStyle w:val="FootnoteReference"/>
        </w:rPr>
        <w:fldChar w:fldCharType="separate"/>
      </w:r>
      <w:r w:rsidR="007728CD" w:rsidRPr="007728CD">
        <w:rPr>
          <w:bCs/>
          <w:noProof/>
          <w:lang w:val="en-US"/>
        </w:rPr>
        <w:t>(Peckover &amp; Chidlaw, 2007)</w:t>
      </w:r>
      <w:r w:rsidR="007728CD">
        <w:rPr>
          <w:rStyle w:val="FootnoteReference"/>
        </w:rPr>
        <w:fldChar w:fldCharType="end"/>
      </w:r>
      <w:r w:rsidR="004B498A">
        <w:t>.</w:t>
      </w:r>
      <w:r w:rsidR="001134B0">
        <w:t xml:space="preserve"> </w:t>
      </w:r>
      <w:r w:rsidR="008F569F">
        <w:t>This effect may explain the failure to involve patients</w:t>
      </w:r>
      <w:r w:rsidR="00BF0EAC">
        <w:t xml:space="preserve"> and their </w:t>
      </w:r>
      <w:proofErr w:type="spellStart"/>
      <w:r w:rsidR="00BF0EAC">
        <w:t>carers</w:t>
      </w:r>
      <w:proofErr w:type="spellEnd"/>
      <w:r w:rsidR="008F569F">
        <w:t xml:space="preserve"> in </w:t>
      </w:r>
      <w:r w:rsidR="00BF0EAC">
        <w:t xml:space="preserve">important aspects of </w:t>
      </w:r>
      <w:r w:rsidR="008F569F">
        <w:t>their care</w:t>
      </w:r>
      <w:r w:rsidR="00BF0EAC">
        <w:t>, identified by</w:t>
      </w:r>
      <w:r w:rsidR="008F569F">
        <w:t xml:space="preserve"> our study. </w:t>
      </w:r>
    </w:p>
    <w:p w14:paraId="7D976EFE" w14:textId="2470AF89" w:rsidR="00FD4CB6" w:rsidRDefault="00F36300" w:rsidP="009149C3">
      <w:r w:rsidRPr="00CC2583">
        <w:rPr>
          <w:rFonts w:cstheme="minorHAnsi"/>
          <w:color w:val="000000"/>
          <w:shd w:val="clear" w:color="auto" w:fill="FFFFFF"/>
        </w:rPr>
        <w:t>Effective therapeutic relationships are known to be key determinants in the success or failure of</w:t>
      </w:r>
      <w:r>
        <w:rPr>
          <w:rFonts w:cstheme="minorHAnsi"/>
          <w:color w:val="000000"/>
          <w:shd w:val="clear" w:color="auto" w:fill="FFFFFF"/>
        </w:rPr>
        <w:t xml:space="preserve"> </w:t>
      </w:r>
      <w:r w:rsidRPr="00CC2583">
        <w:rPr>
          <w:rFonts w:cstheme="minorHAnsi"/>
          <w:color w:val="000000"/>
          <w:shd w:val="clear" w:color="auto" w:fill="FFFFFF"/>
        </w:rPr>
        <w:t>treatment</w:t>
      </w:r>
      <w:r>
        <w:rPr>
          <w:rFonts w:cstheme="minorHAnsi"/>
          <w:color w:val="000000"/>
          <w:shd w:val="clear" w:color="auto" w:fill="FFFFFF"/>
        </w:rPr>
        <w:t xml:space="preserve"> strategies </w:t>
      </w:r>
      <w:r w:rsidR="00593497">
        <w:rPr>
          <w:rFonts w:cstheme="minorHAnsi"/>
          <w:color w:val="000000"/>
          <w:shd w:val="clear" w:color="auto" w:fill="FFFFFF"/>
        </w:rPr>
        <w:t>for</w:t>
      </w:r>
      <w:r>
        <w:rPr>
          <w:rFonts w:cstheme="minorHAnsi"/>
          <w:color w:val="000000"/>
          <w:shd w:val="clear" w:color="auto" w:fill="FFFFFF"/>
        </w:rPr>
        <w:t xml:space="preserve"> patients with SUD</w:t>
      </w:r>
      <w:r w:rsidR="004B498A">
        <w:rPr>
          <w:rFonts w:cstheme="minorHAnsi"/>
          <w:color w:val="000000"/>
          <w:shd w:val="clear" w:color="auto" w:fill="FFFFFF"/>
        </w:rPr>
        <w:t xml:space="preserve"> </w:t>
      </w:r>
      <w:r w:rsidR="007728CD">
        <w:rPr>
          <w:rStyle w:val="FootnoteReference"/>
          <w:rFonts w:cstheme="minorHAnsi"/>
          <w:color w:val="000000"/>
          <w:shd w:val="clear" w:color="auto" w:fill="FFFFFF"/>
        </w:rPr>
        <w:fldChar w:fldCharType="begin" w:fldLock="1"/>
      </w:r>
      <w:r w:rsidR="007728CD">
        <w:rPr>
          <w:rFonts w:cstheme="minorHAnsi"/>
          <w:color w:val="000000"/>
          <w:shd w:val="clear" w:color="auto" w:fill="FFFFFF"/>
        </w:rPr>
        <w:instrText xml:space="preserve">ADDIN CSL_CITATION {"citationItems":[{"id":"ITEM-1","itemData":{"DOI":"10.1037/a0016830","ISSN":"0003066X","abstract":"The widely disseminated clinical method of motivational interviewing (MI) arose through a convergence of science and practice. Beyond a large base of clinical trials, advances have been made toward \"looking under the hood\" of MI to understand the underlying mechanisms by which it affects behavior change. Such specification of outcome-relevant aspects of practice is vital to theory development and can inform both treatment delivery and clinical training. An emergent theory of MI is proposed that emphasizes </w:instrText>
      </w:r>
      <w:r w:rsidR="007728CD">
        <w:rPr>
          <w:rFonts w:cstheme="minorHAnsi"/>
          <w:color w:val="000000"/>
          <w:shd w:val="clear" w:color="auto" w:fill="FFFFFF"/>
        </w:rPr>
        <w:lastRenderedPageBreak/>
        <w:instrText>two specific active components: a relational component focused on empathy and the interpersonal spirit of MI, and a technical component involving the differential evocation and reinforcement of client change talk. A resulting causal chain model links therapist training, therapist and client responses during treatment sessions, and posttreatment outcomes. © 2009 American Psychological Association.","author":[{"dropping-particle":"","family":"Miller","given":"William R.","non-dropping-particle":"","parse-names":false,"suffix":""},{"dropping-particle":"","family":"Rose","given":"Gary S.","non-dropping-particle":"","parse-names":false,"suffix":""}],"container-title":"American Psychologist","id":"ITEM-1","issue":"6","issued":{"date-parts":[["2009","9"]]},"page":"527-537","title":"Toward a Theory of Motivational Interviewing","type":"article-journal","volume":"64"},"uris":["http://www.mendeley.com/documents/?uuid=adb0fa87-79fc-3fa3-8fb6-4458318b7650"]}],"mendeley":{"formattedCitation":"(Miller &amp; Rose, 2009)","plainTextFormattedCitation":"(Miller &amp; Rose, 2009)","previouslyFormattedCitation":"(54)"},"properties":{"noteIndex":0},"schema":"https://github.com/citation-style-language/schema/raw/master/csl-citation.json"}</w:instrText>
      </w:r>
      <w:r w:rsidR="007728CD">
        <w:rPr>
          <w:rStyle w:val="FootnoteReference"/>
          <w:rFonts w:cstheme="minorHAnsi"/>
          <w:color w:val="000000"/>
          <w:shd w:val="clear" w:color="auto" w:fill="FFFFFF"/>
        </w:rPr>
        <w:fldChar w:fldCharType="separate"/>
      </w:r>
      <w:r w:rsidR="007728CD" w:rsidRPr="007728CD">
        <w:rPr>
          <w:rFonts w:cstheme="minorHAnsi"/>
          <w:bCs/>
          <w:noProof/>
          <w:color w:val="000000"/>
          <w:shd w:val="clear" w:color="auto" w:fill="FFFFFF"/>
          <w:lang w:val="en-US"/>
        </w:rPr>
        <w:t>(Miller &amp; Rose, 2009)</w:t>
      </w:r>
      <w:r w:rsidR="007728CD">
        <w:rPr>
          <w:rStyle w:val="FootnoteReference"/>
          <w:rFonts w:cstheme="minorHAnsi"/>
          <w:color w:val="000000"/>
          <w:shd w:val="clear" w:color="auto" w:fill="FFFFFF"/>
        </w:rPr>
        <w:fldChar w:fldCharType="end"/>
      </w:r>
      <w:r w:rsidR="004B498A">
        <w:rPr>
          <w:rFonts w:cstheme="minorHAnsi"/>
          <w:color w:val="000000"/>
          <w:shd w:val="clear" w:color="auto" w:fill="FFFFFF"/>
        </w:rPr>
        <w:t>.</w:t>
      </w:r>
      <w:r>
        <w:rPr>
          <w:rFonts w:cstheme="minorHAnsi"/>
          <w:color w:val="000000"/>
          <w:shd w:val="clear" w:color="auto" w:fill="FFFFFF"/>
        </w:rPr>
        <w:t xml:space="preserve"> N</w:t>
      </w:r>
      <w:r w:rsidR="001134B0">
        <w:t xml:space="preserve">egative attitudes by health professionals </w:t>
      </w:r>
      <w:r w:rsidR="00514C5C">
        <w:t>detract from</w:t>
      </w:r>
      <w:r w:rsidR="001134B0">
        <w:t xml:space="preserve"> patients’ sense of empowerment and self-efficacy, and may lead to worse treatment outcome</w:t>
      </w:r>
      <w:r w:rsidR="004B498A">
        <w:t xml:space="preserve">s </w:t>
      </w:r>
      <w:r w:rsidR="007728CD">
        <w:rPr>
          <w:rStyle w:val="FootnoteReference"/>
        </w:rPr>
        <w:fldChar w:fldCharType="begin" w:fldLock="1"/>
      </w:r>
      <w:r w:rsidR="007728CD">
        <w:instrText xml:space="preserve">ADDIN CSL_CITATION {"citationItems":[{"id":"ITEM-1","itemData":{"DOI":"10.1016/j.addbeh.2006.09.008","ISSN":"03064603","abstract":"This study examined the impact of stigma on patients in substance abuse treatment. Patients (N = 197) from fifteen residential and outpatient substance abuse treatment facilities completed a survey focused on their experiences with stigma as well as other measures of drug use and functioning. Participants reported experiencing fairly high levels of enacted, perceived, and self-stigma. Data supported the idea that the current treatment system may actually stigmatize people in recovery in that people with more prior episodes of treatment reported a greater frequency of stigma-related rejection, even after controlling for current functioning and demographic variables. Intravenous drug users, compared to non-IV users, reported more perceived stigma as well as more often using secrecy as a method of coping. Those who were involved with the legal system reported less stigma than those without legal troubles. Higher levels of secrecy coping were associated with a number of indicators of poor functioning as well as recent employment problems. Finally, the patterns of findings supported the idea that perceived stigma, enacted stigma, and self-stigma are conceptually distinct dimensions. © 2006 Elsevier Ltd. All rights reserved.","author":[{"dropping-particle":"","family":"Luoma","given":"Jason B.","non-dropping-particle":"","parse-names":false,"suffix":""},{"dropping-particle":"","family":"Twohig","given":"Michael P.","non-dropping-particle":"","parse-names":false,"suffix":""},{"dropping-particle":"","family":"Waltz","given":"Thomas","non-dropping-particle":"","parse-names":false,"suffix":""},{"dropping-particle":"","family":"Hayes","given":"Steven C.","non-dropping-particle":"","parse-names":false,"suffix":""},{"dropping-particle":"","family":"Roget","given":"Nancy","non-dropping-particle":"","parse-names":false,"suffix":""},{"dropping-particle":"","family":"Padilla","given":"Michelle","non-dropping-particle":"","parse-names":false,"suffix":""},{"dropping-particle":"","family":"Fisher","given":"Gary","non-dropping-particle":"","parse-names":false,"suffix":""}],"container-title":"Addictive Behaviors","id":"ITEM-1","issue":"7","issued":{"date-parts":[["2007","7"]]},"page":"1331-1346","title":"An investigation of stigma in individuals receiving treatment for substance abuse","type":"article-journal","volume":"32"},"uris":["http://www.mendeley.com/documents/?uuid=a02030f3-9e4b-38b5-9ef6-034e582ca671"]},{"id":"ITEM-2","itemData":{"DOI":"10.1016/j.drugalcdep.2010.08.013","ISSN":"03768716","abstract":"Background: Public stigma and self-stigma are two facets of mental illness stigma. Self-stigma denotes the internalization of negative public perceptions by persons with mental illness and has been shown to </w:instrText>
      </w:r>
      <w:r w:rsidR="007728CD">
        <w:lastRenderedPageBreak/>
        <w:instrText>decrease general self-efficacy. To date, self-stigma has not been examined in people suffering from alcohol dependence, a particularly severely stigmatized mental disorder. Methods: By adopting the Self-Stigma in Mental Illness Scale (SSMI), we developed the Self-Stigma in Alcohol Dependence Scale (SSAD). The scale is based on a focus-group derived list of 16 negative stereotypes about alcohol dependent persons. It consists of four 16-item subscales measuring four hypothetical stages of self-stigma, stereotype awareness (aware), stereotype agreement (agree), self-concurrence (apply), and self-esteem decrement (harm). We employed the SSAD in a cross-sectional study of 153 patients hospitalized for alcohol detoxification to examine its reliability and validity. Results: The four stages of self-stigma could be reliably measured with the SSAD (Cronbach's alpha, 0.86-0.93). Each step in the process of self-stigmatization was most closely associated with its preceding step. Other significantly related independent variables in multiple regression analyses included desire for social distance (associated with agree), duration of drinking problems (associated with apply) and depressive symptoms (associated with apply and harm). Both apply and harm were significantly related to reduced drinking-refusal self-efficacy in analyses controlling for depressive symptoms and variables related to duration and severity of the drinking problem. Discussion: The SSAD showed good validity and reliability measuring the stages of self-stigma in this group. Self-stigma appears to be associated with lower drinking-refusal self-efficacy. © 2010 Elsevier Ireland Ltd.","author":[{"dropping-particle":"","family":"Schomerus","given":"Georg","non-dropping-particle":"","parse-names":false,"suffix":""},{"dropping-particle":"","family":"Corrigan","given":"Patrick W.","non-dropping-particle":"","parse-names":false,"suffix":""},{"dropping-particle":"","family":"Klauer","given":"Thomas","non-dropping-particle":"","parse-names":false,"suffix":""},{"dropping-particle":"","family":"Kuwert","given":"Philipp","non-dropping-particle":"","parse-names":false,"suffix":""},{"dropping-particle":"","family":"Freyberger","given":"Harald J.","non-dropping-particle":"","parse-names":false,"suffix":""},{"dropping-particle":"","family":"Lucht","given":"Michael","non-dropping-particle":"","parse-names":false,"suffix":""}],"container-title":"Drug and Alcohol Dependence","id":"ITEM-2","issue":"1","issued":{"date-parts":[["2011","3","1"]]},"page":"12-17","title":"Self-stigma in alcohol dependence: Consequences for drinking-refusal self-efficacy","type":"article-journal","volume":"114"},"uris":["http://www.mendeley.com/documents/?uuid=423bd58b-e58c-3222-94d5-70e0d3afe10b"]}],"mendeley":{"formattedCitation":"(Luoma et al., 2007; Schomerus et al., 2011)","plainTextFormattedCitation":"(Luoma et al., 2007; Schomerus et al., 2011)","previouslyFormattedCitation":"(55,56)"},"properties":{"noteIndex":0},"schema":"https://github.com/citation-style-language/schema/raw/master/csl-citation.json"}</w:instrText>
      </w:r>
      <w:r w:rsidR="007728CD">
        <w:rPr>
          <w:rStyle w:val="FootnoteReference"/>
        </w:rPr>
        <w:fldChar w:fldCharType="separate"/>
      </w:r>
      <w:r w:rsidR="007728CD" w:rsidRPr="007728CD">
        <w:rPr>
          <w:bCs/>
          <w:noProof/>
          <w:lang w:val="en-US"/>
        </w:rPr>
        <w:t>(Luoma et al., 2007; Schomerus et al., 2011)</w:t>
      </w:r>
      <w:r w:rsidR="007728CD">
        <w:rPr>
          <w:rStyle w:val="FootnoteReference"/>
        </w:rPr>
        <w:fldChar w:fldCharType="end"/>
      </w:r>
      <w:r w:rsidR="004B498A">
        <w:t>.</w:t>
      </w:r>
      <w:r w:rsidR="00F949E4">
        <w:t xml:space="preserve"> </w:t>
      </w:r>
      <w:r w:rsidR="00210599">
        <w:t>Our findings of deficiencies in collaborative discharge planning</w:t>
      </w:r>
      <w:r w:rsidR="00C432CD">
        <w:t xml:space="preserve"> and lack of crisis plans at the point of discharge</w:t>
      </w:r>
      <w:r w:rsidR="00210599">
        <w:t xml:space="preserve"> are particularly concerning, in light of the fact that substance abuse significantly increases risk of premature all-cause mortality following discharge from psychiatric hospital</w:t>
      </w:r>
      <w:r w:rsidR="004B498A">
        <w:t xml:space="preserve"> </w:t>
      </w:r>
      <w:r w:rsidR="007728CD">
        <w:rPr>
          <w:rStyle w:val="FootnoteReference"/>
        </w:rPr>
        <w:fldChar w:fldCharType="begin" w:fldLock="1"/>
      </w:r>
      <w:r w:rsidR="007728CD">
        <w:instrText xml:space="preserve">ADDIN CSL_CITATION {"citationItems":[{"id":"ITEM-1","itemData":{"DOI":"10.1001/jamapsychiatry.2017.0071","ISSN":"2168622X","abstract":"Importance Nationwide cohorts provide sufficient statistical power for examining premature, cause-specific mortality in patients recently discharged from inpatient psychiatric services. OBJECTIVE To investigate premature mortality in a nationwide cohort of patients recently discharged from inpatient psychiatric treatment at ages 15 to 44 years. DESIGN, SETTING, AND PARTICIPANTS This single-cohort design included all persons born in Denmark (N = 1 683 385) between January 1, 1967, and December 31, 1996. Exactly 48 599 of these Danish residents were discharged from an inpatient psychiatric unit or ward on or after their 15th birthday, which took place during this study's observation period from January 1, 1982, through December 31, 2011. This group of patients was followed up beginning on their 15th birthday until their death, emigration, or December 31, 2011, </w:instrText>
      </w:r>
      <w:r w:rsidR="007728CD">
        <w:lastRenderedPageBreak/>
        <w:instrText>whichever came first. Individuals discharged from inpatient psychiatric care at least once before their 15th birthday (n = 5882) were excluded from the study. All data were obtained from the Danish Civil Registration System, Psychiatric Central Research Register, and Register of Causes of Death. Data analysis took place between February 1, 2016, and December 10, 2016. MAIN OUTCOMES AND MEASURES Incidence rates and incidence rate ratios (IRRs) for all-cause mortality and for an array of unnatural and natural causes of death among patients recently discharged from an inpatient psychiatric unit vs persons not admitted to a psychiatric facility. Primary analysis considered risk within the year of first discharge. RESULTS Of the 48 599 discharged patients who were included in the study, 25 006 (51.4%) were female, 35 660 (73.4%) were aged 15 to 29 years, and 33 995 (70.0%) had a length of stay of 30 days or less. Compared with persons not admitted, patients discharged had an elevated risk for all-cause mortality within 1 year (IRR, 16.2; 95% CI, 14.5-18.0). The relative risk for unnatural death (IRR, 25.0; 95% CI, 22.0-28.4) was much higher than for natural death (IRR, 8.6; 95% CI, 7.0-10.7). The highest IRR found was for suicide at 66.9 (95% CI, 56.4-79.4), followed by alcohol-related death at 42.0 (95% CI, 26.6-66.1). Among the psychiatric diagnostic categories assessed, psychoactive substance abuse conferred the highest risk for all-cause mortality (IRR, 24.8; 95% CI, 21.0-29.4). Across the array of cause-specific outcomes examined, risk of premature death during the first year after discharge was mar…","author":[{"dropping-particle":"","family":"Walter","given":"Florian","non-dropping-particle":"","parse-names":false,"suffix":""},{"dropping-particle":"","family":"Carr","given":"Matthew J.","non-dropping-particle":"","parse-names":false,"suffix":""},{"dropping-particle":"","family":"Mok","given":"Pearl L.H.","non-dropping-particle":"","parse-names":false,"suffix":""},{"dropping-particle":"","family":"Astrup","given":"Aske","non-dropping-particle":"","parse-names":false,"suffix":""},{"dropping-particle":"","family":"Antonsen","given":"Sussie","non-dropping-particle":"","parse-names":false,"suffix":""},{"dropping-particle":"","family":"Pedersen","given":"Carsten B.","non-dropping-particle":"","parse-names":false,"suffix":""},{"dropping-particle":"","family":"Shaw","given":"Jenny","non-dropping-particle":"","parse-names":false,"suffix":""},{"dropping-particle":"","family":"Webb","given":"Roger T.","non-dropping-particle":"","parse-names":false,"suffix":""}],"container-title":"JAMA Psychiatry","id":"ITEM-1","issue":"5","issued":{"date-parts":[["2017","5","1"]]},"page":"485-492","publisher":"American Medical Association","title":"Premature mortality among patients recently discharged from their first inpatient psychiatric treatment","type":"article-journal","volume":"74"},"uris":["http://www.mendeley.com/documents/?uuid=0dddcfee-ad49-3ea4-a896-34e7c21bb0cb"]}],"mendeley":{"formattedCitation":"(Walter et al., 2017)","plainTextFormattedCitation":"(Walter et al., 2017)","previouslyFormattedCitation":"(57)"},"properties":{"noteIndex":0},"schema":"https://github.com/citation-style-language/schema/raw/master/csl-citation.json"}</w:instrText>
      </w:r>
      <w:r w:rsidR="007728CD">
        <w:rPr>
          <w:rStyle w:val="FootnoteReference"/>
        </w:rPr>
        <w:fldChar w:fldCharType="separate"/>
      </w:r>
      <w:r w:rsidR="007728CD" w:rsidRPr="007728CD">
        <w:rPr>
          <w:bCs/>
          <w:noProof/>
          <w:lang w:val="en-US"/>
        </w:rPr>
        <w:t>(Walter et al., 2017)</w:t>
      </w:r>
      <w:r w:rsidR="007728CD">
        <w:rPr>
          <w:rStyle w:val="FootnoteReference"/>
        </w:rPr>
        <w:fldChar w:fldCharType="end"/>
      </w:r>
      <w:r w:rsidR="004B498A">
        <w:t>.</w:t>
      </w:r>
    </w:p>
    <w:p w14:paraId="3257654E" w14:textId="5593D494" w:rsidR="009149C3" w:rsidRDefault="00F949E4" w:rsidP="009149C3">
      <w:r w:rsidRPr="0008745F">
        <w:rPr>
          <w:rFonts w:cstheme="minorHAnsi"/>
          <w:color w:val="000000"/>
          <w:shd w:val="clear" w:color="auto" w:fill="FFFFFF"/>
        </w:rPr>
        <w:t>Training and support for clinicians and health service providers may</w:t>
      </w:r>
      <w:r w:rsidR="00DD7928" w:rsidRPr="00DD7928">
        <w:rPr>
          <w:rFonts w:cstheme="minorHAnsi"/>
          <w:color w:val="000000"/>
          <w:shd w:val="clear" w:color="auto" w:fill="FFFFFF"/>
        </w:rPr>
        <w:t xml:space="preserve"> </w:t>
      </w:r>
      <w:r w:rsidR="00DD7928" w:rsidRPr="0008745F">
        <w:rPr>
          <w:rFonts w:cstheme="minorHAnsi"/>
          <w:color w:val="000000"/>
          <w:shd w:val="clear" w:color="auto" w:fill="FFFFFF"/>
        </w:rPr>
        <w:t xml:space="preserve">help reduce </w:t>
      </w:r>
      <w:r w:rsidR="001A2734">
        <w:rPr>
          <w:rFonts w:cstheme="minorHAnsi"/>
          <w:color w:val="000000"/>
          <w:shd w:val="clear" w:color="auto" w:fill="FFFFFF"/>
        </w:rPr>
        <w:t xml:space="preserve">inadvertent </w:t>
      </w:r>
      <w:r w:rsidR="00DD7928" w:rsidRPr="0008745F">
        <w:rPr>
          <w:rFonts w:cstheme="minorHAnsi"/>
          <w:color w:val="000000"/>
          <w:shd w:val="clear" w:color="auto" w:fill="FFFFFF"/>
        </w:rPr>
        <w:t>discrimination</w:t>
      </w:r>
      <w:r w:rsidR="00DD7928">
        <w:rPr>
          <w:rFonts w:cstheme="minorHAnsi"/>
          <w:color w:val="000000"/>
          <w:shd w:val="clear" w:color="auto" w:fill="FFFFFF"/>
        </w:rPr>
        <w:t xml:space="preserve"> and</w:t>
      </w:r>
      <w:r w:rsidRPr="0008745F">
        <w:rPr>
          <w:rFonts w:cstheme="minorHAnsi"/>
          <w:color w:val="000000"/>
          <w:shd w:val="clear" w:color="auto" w:fill="FFFFFF"/>
        </w:rPr>
        <w:t xml:space="preserve"> improve care for this population. </w:t>
      </w:r>
      <w:r w:rsidR="000573FE">
        <w:t>S</w:t>
      </w:r>
      <w:r w:rsidR="000573FE" w:rsidRPr="00801E4E">
        <w:t xml:space="preserve">everal studies </w:t>
      </w:r>
      <w:r w:rsidR="000573FE">
        <w:t>have described the positive effects of</w:t>
      </w:r>
      <w:r w:rsidR="000573FE" w:rsidRPr="00801E4E">
        <w:t xml:space="preserve"> t</w:t>
      </w:r>
      <w:r w:rsidR="000573FE">
        <w:t>argeted</w:t>
      </w:r>
      <w:r w:rsidR="000573FE" w:rsidRPr="00801E4E">
        <w:t xml:space="preserve"> education</w:t>
      </w:r>
      <w:r w:rsidR="000573FE">
        <w:t xml:space="preserve"> to improve the knowledge and skills</w:t>
      </w:r>
      <w:r w:rsidR="000573FE" w:rsidRPr="00801E4E">
        <w:t xml:space="preserve"> </w:t>
      </w:r>
      <w:r w:rsidR="000573FE">
        <w:t>of</w:t>
      </w:r>
      <w:r w:rsidR="000573FE" w:rsidRPr="00801E4E">
        <w:t xml:space="preserve"> professionals</w:t>
      </w:r>
      <w:r w:rsidR="000573FE">
        <w:t xml:space="preserve"> </w:t>
      </w:r>
      <w:r w:rsidR="000573FE" w:rsidRPr="00801E4E">
        <w:t xml:space="preserve">working with patients with </w:t>
      </w:r>
      <w:r w:rsidR="000573FE">
        <w:t>SUD</w:t>
      </w:r>
      <w:r w:rsidR="004B498A">
        <w:t xml:space="preserve"> </w:t>
      </w:r>
      <w:r w:rsidR="007728CD">
        <w:rPr>
          <w:rStyle w:val="FootnoteReference"/>
        </w:rPr>
        <w:fldChar w:fldCharType="begin" w:fldLock="1"/>
      </w:r>
      <w:r w:rsidR="007728CD">
        <w:instrText xml:space="preserve">ADDIN CSL_CITATION {"citationItems":[{"id":"ITEM-1","itemData":{"DOI":"10.1001/archinte.165.6.618","ISSN":"00039926","abstract":"Background: We evaluated physicians' training, experience, and practice characteristics and examined associations between their attitudes toward human immunodeficiency virus (HIV)-infected persons who are injection drug users (IDUs) and quality of care. Methods: Cross-sectional surveys were conducted among a probability sample of noninstitutionalized HIV-infected individuals in the United States and their main HIV care physicians. Physician and practice characteristics, training, HIV knowledge, </w:instrText>
      </w:r>
      <w:r w:rsidR="007728CD">
        <w:lastRenderedPageBreak/>
        <w:instrText>experience, attitudes toward HIV-infected IDUs, stress levels, and satisfaction with practice were assessed. The main quality-of-care measures were patient exposure to highly active antiretroviral therapy, reported problems, satisfaction with care, unmet needs, and perceived access to care. Results: Nationally, 23.2% of HIV-infected patients had physicians with negative attitudes toward IDUs. Seeing more IDUs, having higher HIV treatment knowledge scores, and treating fewer patients per week were independently associated with more positive attitudes toward IDUs. Injection drug users who were cared for by physicians with negative attitudes had a significantly lower adjusted rate of exposure to highly active antiretroviral therapy by December 1996 (13.5%) than non-IDUs who were cared for by such physicians (36.1%) or IDUs who were cared for by physicians with positive attitudes (32.3%). Physician attitudes were not associated with other problems with care, satisfaction with care, unmet needs, or perceived access to care. Conclusions: Negative attitudes may lead to less than optimal care for IDUs and other marginalized populations. Providing education or experience-based exercises or ensuring that clinicians have adequate time to deal with complex problems might result in better attitudes and higher quality of care.","author":[{"dropping-particle":"","family":"Ding","given":"Lin","non-dropping-particle":"","parse-names":false,"suffix":""},{"dropping-particle":"","family":"Landon","given":"Bruce E.","non-dropping-particle":"","parse-names":false,"suffix":""},{"dropping-particle":"","family":"Wilson","given":"Ira B.","non-dropping-particle":"","parse-names":false,"suffix":""},{"dropping-particle":"","family":"Wong","given":"Mitchell D.","non-dropping-particle":"","parse-names":false,"suffix":""},{"dropping-particle":"","family":"Shapiro","given":"Martin F.","non-dropping-particle":"","parse-names":false,"suffix":""},{"dropping-particle":"","family":"Cleary","given":"Paul D.","non-dropping-particle":"","parse-names":false,"suffix":""}],"container-title":"Archives of Internal Medicine","id":"ITEM-1","issue":"6","issued":{"date-parts":[["2005","3"]]},"page":"618-623","title":"Predictors and consequences of negative physician attitudes toward HIV-infected injection drug users","type":"article","volume":"165"},"uris":["http://www.mendeley.com/documents/?uuid=1787532f-8640-34cf-9ff9-5bf33304d2ce"]},{"id":"ITEM-2","itemData":{"DOI":"10.1111/j.1365-2850.2010.01620.x","ISSN":"13510126","author":[{"dropping-particle":"","family":"Howard","given":"V.","non-dropping-particle":"","parse-names":false,"suffix":""},{"dropping-particle":"","family":"Holmshaw","given":"J.","non-dropping-particle":"","parse-names":false,"suffix":""}],"container-title":"Journal of Psychiatric and Mental Health Nursing","id":"ITEM-2","issue":"10","issued":{"date-parts":[["2010","12"]]},"page":"862-872","title":"Inpatient staff perceptions in providing care to individuals with co-occurring mental health problems and illicit substance use","type":"article-journal","volume":"17"},"uris":["http://www.mendeley.com/documents/?uuid=d9ec7ba9-5a9a-3114-8a82-32f0988f3a6b"]}],"mendeley":{"formattedCitation":"(Ding et al., 2005; V. Howard &amp; Holmshaw, 2010)","plainTextFormattedCitation":"(Ding et al., 2005; V. Howard &amp; Holmshaw, 2010)","previouslyFormattedCitation":"(58,59)"},"properties":{"noteIndex":0},"schema":"https://github.com/citation-style-language/schema/raw/master/csl-citation.json"}</w:instrText>
      </w:r>
      <w:r w:rsidR="007728CD">
        <w:rPr>
          <w:rStyle w:val="FootnoteReference"/>
        </w:rPr>
        <w:fldChar w:fldCharType="separate"/>
      </w:r>
      <w:r w:rsidR="007728CD" w:rsidRPr="007728CD">
        <w:rPr>
          <w:bCs/>
          <w:noProof/>
          <w:lang w:val="en-US"/>
        </w:rPr>
        <w:t>(Ding et al., 2005; V. Howard &amp; Holmshaw, 2010)</w:t>
      </w:r>
      <w:r w:rsidR="007728CD">
        <w:rPr>
          <w:rStyle w:val="FootnoteReference"/>
        </w:rPr>
        <w:fldChar w:fldCharType="end"/>
      </w:r>
      <w:r w:rsidR="004B498A">
        <w:t>.</w:t>
      </w:r>
      <w:r w:rsidR="00B97BB8">
        <w:t xml:space="preserve"> Other o</w:t>
      </w:r>
      <w:r w:rsidR="000573FE" w:rsidRPr="00801E4E">
        <w:t>rganisational support</w:t>
      </w:r>
      <w:r w:rsidR="00B97BB8">
        <w:t xml:space="preserve"> systems</w:t>
      </w:r>
      <w:r w:rsidR="000573FE" w:rsidRPr="00801E4E">
        <w:t xml:space="preserve"> such as supervision and </w:t>
      </w:r>
      <w:r w:rsidR="00AA4426">
        <w:t>opportunities</w:t>
      </w:r>
      <w:r w:rsidR="000573FE" w:rsidRPr="00801E4E">
        <w:t xml:space="preserve"> to consult </w:t>
      </w:r>
      <w:r w:rsidR="00B97BB8">
        <w:t>with</w:t>
      </w:r>
      <w:r w:rsidR="000573FE" w:rsidRPr="00801E4E">
        <w:t xml:space="preserve"> expert</w:t>
      </w:r>
      <w:r w:rsidR="00B97BB8">
        <w:t>s have</w:t>
      </w:r>
      <w:r w:rsidR="001A2734">
        <w:t xml:space="preserve"> also</w:t>
      </w:r>
      <w:r w:rsidR="00B97BB8">
        <w:t xml:space="preserve"> been shown to enhance knowledge and confidence amongst health professionals,</w:t>
      </w:r>
      <w:r w:rsidR="000573FE" w:rsidRPr="00801E4E">
        <w:t xml:space="preserve"> contribut</w:t>
      </w:r>
      <w:r w:rsidR="00B97BB8">
        <w:t>ing</w:t>
      </w:r>
      <w:r w:rsidR="000573FE" w:rsidRPr="00801E4E">
        <w:t xml:space="preserve"> significantly to an increased willingness to </w:t>
      </w:r>
      <w:r w:rsidR="00A15B8B">
        <w:t>engage in collaborative care</w:t>
      </w:r>
      <w:r w:rsidR="000573FE" w:rsidRPr="00801E4E">
        <w:t xml:space="preserve"> with these patients</w:t>
      </w:r>
      <w:r w:rsidR="004B498A">
        <w:t xml:space="preserve"> </w:t>
      </w:r>
      <w:r w:rsidR="007728CD">
        <w:rPr>
          <w:rStyle w:val="FootnoteReference"/>
        </w:rPr>
        <w:fldChar w:fldCharType="begin" w:fldLock="1"/>
      </w:r>
      <w:r w:rsidR="004B498A">
        <w:instrText xml:space="preserve">ADDIN CSL_CITATION {"citationItems":[{"id":"ITEM-1","itemData":{"DOI":"10.1016/S0306-4603(01)00288-X","ISSN":"03064603","abstract":"A reluctance of nonspecialists to work with drug and alcohol misusers have focused upon belief-based systems, including therapeutic commitment (TC) and situation-specific constraints. This paper describes the development and assessment of a theoretical model for nonspecialist drug workers, characterised as a synthesis of attitudinal and constraints </w:instrText>
      </w:r>
      <w:r w:rsidR="004B498A">
        <w:lastRenderedPageBreak/>
        <w:instrText>explanations. A cohort of 189 nonspecialist drug workers completed self-report measures of overall TC and situational constraints scales. Predictive analysis of associations between TC, role security (RS), role requirements, and situational constraints was performed to explore direct and indirect effects. Such assessment allowed for the identification of a predictive process by which TC may be established, manipulated, and maintained. Levels of TC were found to be explained by the direct effects of self-esteem (SE), situational constraints, role support, and RS. Role support and situational constraints were also found to have indirect effects. Experience with working with drug users and education on drug-related issues were found to have predominantly indirect effects on TC via situational constraints and RS. Findings show the synthesised model to be partially supported. Implications for the development of a process-driven theoretical understanding of TC and situational constraints are discussed, and applied recommendations for training intervention are presented. © 2002 Elsevier Science Ltd. All rights reserved.","author":[{"dropping-particle":"","family":"Albery","given":"Ian P.","non-dropping-particle":"","parse-names":false,"suffix":""},{"dropping-particle":"","family":"Heuston","given":"Joan","non-dropping-particle":"","parse-names":false,"suffix":""},{"dropping-particle":"","family":"Ward","given":"Jane","non-dropping-particle":"","parse-names":false,"suffix":""},{"dropping-particle":"","family":"Groves","given":"Paramabandhu","non-dropping-particle":"","parse-names":false,"suffix":""},{"dropping-particle":"","family":"Durand","given":"Mary Alison","non-dropping-particle":"","parse-names":false,"suffix":""},{"dropping-particle":"","family":"Gossop","given":"Michael","non-dropping-particle":"","parse-names":false,"suffix":""},{"dropping-particle":"","family":"Strang","given":"John","non-dropping-particle":"","parse-names":false,"suffix":""}],"container-title":"Addictive Behaviors","id":"ITEM-1","issue":"5","issued":{"date-parts":[["2003"]]},"page":"995-1005","publisher":"Elsevier Ltd","title":"Measuring therapeutic attitude among drug workers","type":"article-journal","volume":"28"},"uris":["http://www.mendeley.com/documents/?uuid=42546faf-d0d7-3878-89eb-dc56a83f3b61"]},{"id":"ITEM-2","itemData":{"DOI":"10.1111/j.1365-2702.2007.02266.x","ISSN":"09621067","author":[{"dropping-particle":"","family":"Ford","given":"Rosemary","non-dropping-particle":"","parse-names":false,"suffix":""},{"dropping-particle":"","family":"Bammer","given":"Gabriele","non-dropping-particle":"","parse-names":false,"suffix":""},{"dropping-particle":"","family":"Becker","given":"Niels","non-dropping-particle":"","parse-names":false,"suffix":""}],"container-title":"Journal of Clinical Nursing","id":"ITEM-2","issue":"18","issued":{"date-parts":[["2008","9"]]},"page":"2452-2462","title":"The determinants of nurses’ therapeutic attitude to patients who use illicit drugs and implications for workforce development","type":"article-journal","volume":"17"},"uris":["http://www.mendeley.com/documents/?uuid=1516195d-c647-31b6-9c8b-e66f99b3699f"]}],"mendeley":{"formattedCitation":"(Albery et al., 2003; Ford, Bammer, &amp; Becker, 2008b)","manualFormatting":"(Albery et al., 2003; Ford et al., 2008)","plainTextFormattedCitation":"(Albery et al., 2003; Ford, Bammer, &amp; Becker, 2008b)","previouslyFormattedCitation":"(60,61)"},"properties":{"noteIndex":0},"schema":"https://github.com/citation-style-language/schema/raw/master/csl-citation.json"}</w:instrText>
      </w:r>
      <w:r w:rsidR="007728CD">
        <w:rPr>
          <w:rStyle w:val="FootnoteReference"/>
        </w:rPr>
        <w:fldChar w:fldCharType="separate"/>
      </w:r>
      <w:r w:rsidR="007728CD" w:rsidRPr="007728CD">
        <w:rPr>
          <w:bCs/>
          <w:noProof/>
          <w:lang w:val="en-US"/>
        </w:rPr>
        <w:t>(Albery et al., 2003; Ford</w:t>
      </w:r>
      <w:r w:rsidR="004B498A">
        <w:rPr>
          <w:bCs/>
          <w:noProof/>
          <w:lang w:val="en-US"/>
        </w:rPr>
        <w:t xml:space="preserve"> et al., </w:t>
      </w:r>
      <w:r w:rsidR="007728CD" w:rsidRPr="007728CD">
        <w:rPr>
          <w:bCs/>
          <w:noProof/>
          <w:lang w:val="en-US"/>
        </w:rPr>
        <w:t>2008)</w:t>
      </w:r>
      <w:r w:rsidR="007728CD">
        <w:rPr>
          <w:rStyle w:val="FootnoteReference"/>
        </w:rPr>
        <w:fldChar w:fldCharType="end"/>
      </w:r>
      <w:r w:rsidR="004B498A">
        <w:t>.</w:t>
      </w:r>
      <w:r w:rsidR="001552EB">
        <w:t xml:space="preserve"> This is particularly relevant in the context of significant cuts to </w:t>
      </w:r>
      <w:r w:rsidR="00B644B8">
        <w:t xml:space="preserve">specialist </w:t>
      </w:r>
      <w:r w:rsidR="001552EB">
        <w:t>addiction services and training programmes</w:t>
      </w:r>
      <w:r w:rsidR="004468FD">
        <w:t xml:space="preserve"> in the NHS</w:t>
      </w:r>
      <w:r w:rsidR="001552EB">
        <w:t xml:space="preserve"> over the last 10 years</w:t>
      </w:r>
      <w:r w:rsidR="004B498A">
        <w:t xml:space="preserve"> </w:t>
      </w:r>
      <w:r w:rsidR="007728CD">
        <w:rPr>
          <w:rStyle w:val="FootnoteReference"/>
        </w:rPr>
        <w:fldChar w:fldCharType="begin" w:fldLock="1"/>
      </w:r>
      <w:r w:rsidR="007728CD">
        <w:instrText xml:space="preserve">ADDIN CSL_CITATION {"citationItems":[{"id":"ITEM-1","itemData":{"DOI":"10.1016/s2215-0366(14)00015-7","ISSN":"22150366","abstract":"This article discusses about the addiction services in England and how it is in need of an intervention. With change comes both opportunity and chaos: an assertion nowhere more true than with England's addiction services. Over the past 5 years, government initiatives to increase cost-effectiveness have </w:instrText>
      </w:r>
      <w:r w:rsidR="007728CD">
        <w:lastRenderedPageBreak/>
        <w:instrText>opened up bidding for local services to third-party providers. With increased competition, the thinking went, bloated NHS trusts would sharpen their edges and the quality of care would be improved. For Gail Critchlow, a psychiatrist at the NHS' Warneford Hospital, Oxford, the restructuring has created a fractured system that risks failing the most vulnerable. After 15 years as a specialist addiction psychiatrist, Critchlow last year switched to general psychiatry because she says the new working conditions made her position untenable. Critchlow's concerns are felt by many across the NHS. Such bureaucratic hurdles and lack of continuity between systems, explains Colin Drummond, Professor of Addiction Psychiatry at King's College London, hold up treatment for patients who move between providers. The so-called recovery model needed a more dynamic approach to achieve its aim. That was something that the NHS organisations, due to their large and complex structures, were not ready to offer. That is the main reason most of the new contracts formerly provided by NHS services have been retendered and awarded to third sector organisations. (PsycINFO Database Record (c) 2016 APA, all rights reserved)","author":[{"dropping-particle":"","family":"Mohammadi","given":"Dara","non-dropping-particle":"","parse-names":false,"suffix":""}],"container-title":"The Lancet Psychiatry","id":"ITEM-1","issue":"6","issued":{"date-parts":[["2014","11"]]},"page":"421-422","publisher":"Elsevier BV","title":"Addiction services in England: in need of an intervention","type":"article-journal","volume":"1"},"uris":["http://www.mendeley.com/documents/?uuid=c5eb1347-b06b-32c0-8355-6846b7169699"]},{"id":"ITEM-2","itemData":{"DOI":"10.1136/bmj.j2704","ISSN":"17561833","author":[{"dropping-particle":"","family":"Drummond","given":"Colin","non-dropping-particle":"","parse-names":false,"suffix":""}],"container-title":"BMJ (Online)","id":"ITEM-2","issued":{"date-parts":[["2017"]]},"publisher":"BMJ Publishing Group","title":"Cuts to addiction services are a false economy","type":"article","volume":"357"},"uris":["http://www.mendeley.com/documents/?uuid=ad1c213e-e7ce-332a-a1e1-c664312eae2d"]}],"mendeley":{"formattedCitation":"(Drummond, 2017; Mohammadi, 2014)","plainTextFormattedCitation":"(Drummond, 2017; Mohammadi, 2014)","previouslyFormattedCitation":"(62,63)"},"properties":{"noteIndex":0},"schema":"https://github.com/citation-style-language/schema/raw/master/csl-citation.json"}</w:instrText>
      </w:r>
      <w:r w:rsidR="007728CD">
        <w:rPr>
          <w:rStyle w:val="FootnoteReference"/>
        </w:rPr>
        <w:fldChar w:fldCharType="separate"/>
      </w:r>
      <w:r w:rsidR="007728CD" w:rsidRPr="007728CD">
        <w:rPr>
          <w:bCs/>
          <w:noProof/>
          <w:lang w:val="en-US"/>
        </w:rPr>
        <w:t>(Drummond, 2017; Mohammadi, 2014)</w:t>
      </w:r>
      <w:r w:rsidR="007728CD">
        <w:rPr>
          <w:rStyle w:val="FootnoteReference"/>
        </w:rPr>
        <w:fldChar w:fldCharType="end"/>
      </w:r>
      <w:r w:rsidR="004B498A">
        <w:t>.</w:t>
      </w:r>
    </w:p>
    <w:p w14:paraId="1A7D36D5" w14:textId="33F6D61D" w:rsidR="00AD6830" w:rsidRDefault="00AD6830" w:rsidP="009149C3">
      <w:r w:rsidRPr="0008745F">
        <w:rPr>
          <w:rFonts w:cstheme="minorHAnsi"/>
          <w:color w:val="000000"/>
          <w:shd w:val="clear" w:color="auto" w:fill="FFFFFF"/>
        </w:rPr>
        <w:t xml:space="preserve">Another area </w:t>
      </w:r>
      <w:r w:rsidR="00395FC5">
        <w:rPr>
          <w:rFonts w:cstheme="minorHAnsi"/>
          <w:color w:val="000000"/>
          <w:shd w:val="clear" w:color="auto" w:fill="FFFFFF"/>
        </w:rPr>
        <w:t xml:space="preserve">requiring improvement </w:t>
      </w:r>
      <w:r>
        <w:rPr>
          <w:rFonts w:cstheme="minorHAnsi"/>
          <w:color w:val="000000"/>
          <w:shd w:val="clear" w:color="auto" w:fill="FFFFFF"/>
        </w:rPr>
        <w:t xml:space="preserve">identified in this study is access to treatment. </w:t>
      </w:r>
      <w:r>
        <w:t xml:space="preserve">Patients with SUD were less likely to have had their medication reviewed either during the admission or at follow-up post-discharge, and were less likely to be referred for psychological therapy. </w:t>
      </w:r>
    </w:p>
    <w:p w14:paraId="7BE67CE4" w14:textId="4C19BA36" w:rsidR="00DB4F3E" w:rsidRDefault="00365CB2" w:rsidP="00DB4F3E">
      <w:r>
        <w:t xml:space="preserve">Although there are some </w:t>
      </w:r>
      <w:r w:rsidR="00912ED9">
        <w:t xml:space="preserve">situations where substance </w:t>
      </w:r>
      <w:r w:rsidR="004059E7">
        <w:t>use</w:t>
      </w:r>
      <w:r w:rsidR="00912ED9">
        <w:t xml:space="preserve"> </w:t>
      </w:r>
      <w:r w:rsidR="00F76D77">
        <w:t>may preclude</w:t>
      </w:r>
      <w:r w:rsidR="00912ED9">
        <w:t xml:space="preserve"> effective engagement with treatment</w:t>
      </w:r>
      <w:r w:rsidR="000972C8">
        <w:t xml:space="preserve"> </w:t>
      </w:r>
      <w:r w:rsidR="007728CD">
        <w:rPr>
          <w:rStyle w:val="FootnoteReference"/>
        </w:rPr>
        <w:fldChar w:fldCharType="begin" w:fldLock="1"/>
      </w:r>
      <w:r w:rsidR="000972C8">
        <w:instrText>ADDIN CSL_CITATION {"citationItems":[{"id":"ITEM-1","itemData":{"DOI":"10.1007/BF01064832","ISSN":"00332720","abstract":"The authors discuss the indications, contraindications, and enabling factors for four types of psychodynamically informed psychotherapy: supportive, focal, exploratory, and psychoanalysis. They outline the inherent and practical difficulties impeding psychotherapy outcome studies and summarize the limited research regarding psychodynamic treatments. The overall efficacy of psychotherapy has been documented, but to date studies have not demonstrated specific differential effectiveness and indications. The authors present the rationale for each of the four approaches and suggest ways of selecting among them. © 1983 Human Sciences Press.","author":[{"dropping-particle":"","family":"Perry","given":"Samuel","non-dropping-particle":"","parse-names":false,"suffix":""},{"dropping-particle":"","family":"Frances","given":"Allen","non-dropping-particle":"","parse-names":false,"suffix":""},{"dropping-particle":"","family":"Klar","given":"Howard","non-dropping-particle":"","parse-names":false,"suffix":""},{"dropping-particle":"","family":"Clarkin","given":"John","non-dropping-particle":"","parse-names":false,"suffix":""}],"container-title":"Psychiatric Quarterly","id":"ITEM-</w:instrText>
      </w:r>
      <w:r w:rsidR="000972C8">
        <w:lastRenderedPageBreak/>
        <w:instrText>1","issue":"1","issued":{"date-parts":[["1983","3"]]},"page":"3-16","publisher":"Kluwer Academic Publishers-Human Sciences Press","title":"Selection criteria for individual dynamic psychotherapies","type":"article-journal","volume":"55"},"uris":["http://www.mendeley.com/documents/?uuid=0c95b4f4-658c-3531-8986-c14f1fda772d"]}],"mendeley":{"formattedCitation":"(Perry, Frances, Klar, &amp; Clarkin, 1983)","manualFormatting":"(Perry et al., 1983)","plainTextFormattedCitation":"(Perry, Frances, Klar, &amp; Clarkin, 1983)","previouslyFormattedCitation":"(64)"},"properties":{"noteIndex":0},"schema":"https://github.com/citation-style-language/schema/raw/master/csl-citation.json"}</w:instrText>
      </w:r>
      <w:r w:rsidR="007728CD">
        <w:rPr>
          <w:rStyle w:val="FootnoteReference"/>
        </w:rPr>
        <w:fldChar w:fldCharType="separate"/>
      </w:r>
      <w:r w:rsidR="007728CD" w:rsidRPr="007728CD">
        <w:rPr>
          <w:bCs/>
          <w:noProof/>
          <w:lang w:val="en-US"/>
        </w:rPr>
        <w:t>(Perry</w:t>
      </w:r>
      <w:r w:rsidR="000972C8">
        <w:rPr>
          <w:bCs/>
          <w:noProof/>
          <w:lang w:val="en-US"/>
        </w:rPr>
        <w:t xml:space="preserve"> et al., </w:t>
      </w:r>
      <w:r w:rsidR="007728CD" w:rsidRPr="007728CD">
        <w:rPr>
          <w:bCs/>
          <w:noProof/>
          <w:lang w:val="en-US"/>
        </w:rPr>
        <w:t>1983)</w:t>
      </w:r>
      <w:r w:rsidR="007728CD">
        <w:rPr>
          <w:rStyle w:val="FootnoteReference"/>
        </w:rPr>
        <w:fldChar w:fldCharType="end"/>
      </w:r>
      <w:r w:rsidR="000972C8">
        <w:t>,</w:t>
      </w:r>
      <w:r w:rsidR="00B2241A">
        <w:t xml:space="preserve"> </w:t>
      </w:r>
      <w:r w:rsidR="00F124F9">
        <w:t xml:space="preserve">these findings suggest that </w:t>
      </w:r>
      <w:r w:rsidR="00B2241A">
        <w:t>patients with SUD may again be vulnerable to ‘diagnostic overshadowing’</w:t>
      </w:r>
      <w:r w:rsidR="007C1773">
        <w:t>.</w:t>
      </w:r>
      <w:r w:rsidR="00B2241A">
        <w:t xml:space="preserve"> </w:t>
      </w:r>
      <w:r w:rsidR="007C1773">
        <w:t>C</w:t>
      </w:r>
      <w:r w:rsidR="00B2241A">
        <w:t>linicians may be</w:t>
      </w:r>
      <w:r w:rsidR="00B2241A" w:rsidRPr="00920D5D">
        <w:t xml:space="preserve"> less likely to recommend </w:t>
      </w:r>
      <w:r w:rsidR="00B2241A">
        <w:t>treatments even where they are indicated</w:t>
      </w:r>
      <w:r w:rsidR="007C1773">
        <w:t xml:space="preserve"> (</w:t>
      </w:r>
      <w:proofErr w:type="spellStart"/>
      <w:r w:rsidR="007C1773">
        <w:t>eg</w:t>
      </w:r>
      <w:proofErr w:type="spellEnd"/>
      <w:r w:rsidR="007C1773">
        <w:t xml:space="preserve"> for depressive symptoms),</w:t>
      </w:r>
      <w:r w:rsidR="001B2D5B">
        <w:t xml:space="preserve"> often citing </w:t>
      </w:r>
      <w:r w:rsidR="001B2D5B" w:rsidRPr="001B2D5B">
        <w:t xml:space="preserve">concerns about confusing substance-induced symptoms with </w:t>
      </w:r>
      <w:r w:rsidR="00CD1B75">
        <w:t xml:space="preserve">primary </w:t>
      </w:r>
      <w:r w:rsidR="001B2D5B" w:rsidRPr="001B2D5B">
        <w:t>disorders</w:t>
      </w:r>
      <w:r w:rsidR="000972C8">
        <w:t xml:space="preserve"> </w:t>
      </w:r>
      <w:r w:rsidR="007728CD">
        <w:rPr>
          <w:rStyle w:val="FootnoteReference"/>
        </w:rPr>
        <w:fldChar w:fldCharType="begin" w:fldLock="1"/>
      </w:r>
      <w:r w:rsidR="000972C8">
        <w:instrText>ADDIN CSL_CITATION {"citationItems":[{"id":"ITEM-1","itemData":{"author":[{"dropping-particle":"","family":"Weiss","given":"RD","non-dropping-particle":"","parse-names":false,"suffix":""},{"dropping-particle":"","family":"Najavits","given":"LM","non-dropping-particle":"","parse-names":false,"suffix":""},{"dropping-particle":"","family":"G.","given":"Hennesy","non-dropping-particle":"","parse-names":false,"suffix":""}],"container-title":"Kranzler HR, Tinsley JA, eds, Dual Diagnosis and Treatment: Substance Abuse and Comorbid Disorders, 2nd ed. New York, NY: Marcel Dekker.","id":"ITEM-1","issued":{"date-parts":[["0"]]},"title":"Overview of treatment modalities for dual diagnosis patients: pharmacotherapy, psychotherapy, and 12-step programs.","type":"chapter"},"uris":["http://www.mendeley.com/documents/?uuid=1b14aab6-0c85-49b3-915a-ca0fe3dca6c0"]}],"mendeley":{"formattedCitation":"(Weiss, Najavits, &amp; G., n.d.)","manualFormatting":"(Weiss et al., 1998)","plainTextFormattedCitation":"(Weiss, Najavits, &amp; G., n.d.)","previouslyFormattedCitation":"(65)"},"properties":{"noteIndex":0},"schema":"https://github.com/citation-style-language/schema/raw/master/csl-citation.json"}</w:instrText>
      </w:r>
      <w:r w:rsidR="007728CD">
        <w:rPr>
          <w:rStyle w:val="FootnoteReference"/>
        </w:rPr>
        <w:fldChar w:fldCharType="separate"/>
      </w:r>
      <w:r w:rsidR="007728CD" w:rsidRPr="007728CD">
        <w:rPr>
          <w:bCs/>
          <w:noProof/>
          <w:lang w:val="en-US"/>
        </w:rPr>
        <w:t>(Weiss</w:t>
      </w:r>
      <w:r w:rsidR="000972C8">
        <w:rPr>
          <w:bCs/>
          <w:noProof/>
          <w:lang w:val="en-US"/>
        </w:rPr>
        <w:t xml:space="preserve"> et al., 1998</w:t>
      </w:r>
      <w:r w:rsidR="007728CD" w:rsidRPr="007728CD">
        <w:rPr>
          <w:bCs/>
          <w:noProof/>
          <w:lang w:val="en-US"/>
        </w:rPr>
        <w:t>)</w:t>
      </w:r>
      <w:r w:rsidR="007728CD">
        <w:rPr>
          <w:rStyle w:val="FootnoteReference"/>
        </w:rPr>
        <w:fldChar w:fldCharType="end"/>
      </w:r>
      <w:r w:rsidR="000972C8">
        <w:t>,</w:t>
      </w:r>
      <w:r w:rsidR="001B2D5B">
        <w:t xml:space="preserve"> and</w:t>
      </w:r>
      <w:r w:rsidR="007C1773">
        <w:t xml:space="preserve"> opting instead to </w:t>
      </w:r>
      <w:r w:rsidR="00787BA3">
        <w:t>direct</w:t>
      </w:r>
      <w:r w:rsidR="007C1773">
        <w:t xml:space="preserve"> patients to interventions for their SUD</w:t>
      </w:r>
      <w:r w:rsidR="000972C8">
        <w:t xml:space="preserve"> </w:t>
      </w:r>
      <w:r w:rsidR="007728CD">
        <w:rPr>
          <w:rStyle w:val="FootnoteReference"/>
        </w:rPr>
        <w:fldChar w:fldCharType="begin" w:fldLock="1"/>
      </w:r>
      <w:r w:rsidR="000972C8">
        <w:instrText xml:space="preserve">ADDIN CSL_CITATION {"citationItems":[{"id":"ITEM-1","itemData":{"DOI":"10.1007/164_2018_162","ISSN":"0171-2004","PMID":"30244298","abstract":"This chapter reviews antidepressant treatment considerations and recommendations for patients with co-occurring depression and substance use disorders. Depression and substance use disorders are highly comorbid conditions. Substance use disorders are chronic disorders that result in a cluster of symptoms indicating that an individual continues to use a substance despite significant problems resulting from their use. About 17 million Americans have an alcohol use disorder, and another approximately 7 million individuals have other drug use disorders (not including alcohol) in the United States. The rate of any substance use disorder (including alcohol) in individuals with major depressive disorder is 32% based on a national survey. Evidence suggests that the best outcome for individual with co-occurring conditions is treating both conditions simultaneously. Therefore, practitioners should know the following before prescribing antidepressants for patients with co-occurring substance use disorders: (1) treatment recommendations for patients with co-occurring depression and substance use disorders, (2) potential antidepressant interactions with alcohol and drugs of abuse, and (3) do antidepressants have a risk of misuse? Finally, we will summarize antidepressant treatment recommendations for patients with co-occurring depression and substance use disorders.","author":[{"dropping-particle":"","family":"Carey","given":"Theadia L.","non-dropping-particle":"","parse-names":false,"suffix":""}],"container-title":"Handbook of experimental pharmacology","id":"ITEM-1","issued":{"date-parts":[["2018"]]},"page":"359-370","title":"Use of Antidepressants in Patients with Co-occurring Depression and Substance Use </w:instrText>
      </w:r>
      <w:r w:rsidR="000972C8">
        <w:lastRenderedPageBreak/>
        <w:instrText>Disorders","type":"chapter","volume":"250"},"uris":["http://www.mendeley.com/documents/?uuid=99fafcfd-f478-3648-b3e9-da3a106c6caa"]},{"id":"ITEM-2","itemData":{"ISSN":"0306-4603","PMID":"9801726","abstract":"Previous research has highlighted the high prevalence (30-60%) of comorbid anxiety and mood disorders in clients with substance misuse disorders and, equivalently, a third of those with affective disorder report a history of substance use disorder (Kessler et al., 1994; Regier et al., 1990; Robins &amp; Regier, 1991). This article reviews the management of such cases and identifies key issues in the assessment process, as well as potential avenues for treatment. Other articles have highlighted the increased service utilisation and the cost of care and treatment of comorbidity. This article will primarily focus on the management of individual cases and will briefly refer to issues of service organisation. Although antidepressant or anxiolytic pharmacotherapy may have a role in the treatment of severe disorders, the benefits of using these medications must be balanced against the increased risk of side-effects or adverse reactions in individuals who continue to engage in substance misuse or who have medical complications associated with drug or alcohol dependency. Effective psychosocial approaches largely focus on brief, empirically tested manualised therapies such as cognitive therapy (Carroll, 1998a). However, modifications are required to such approaches to ensure that the interventions are tailored to the needs of clients exhibiting comorbidity. The data available demonstrate some evidence for the benefits of structured psychological approaches, but more sophisticated randomized controlled trials are required to evaluate the efficacy of both psychological and pharmacological approaches.","author":[{"dropping-particle":"","family":"Scott","given":"J","non-dropping-particle":"","parse-names":false,"suffix":""},{"dropping-particle":"","family":"Gilvarry","given":"E","non-dropping-particle":"","parse-names":false,"suffix":""},{"dropping-particle":"","family":"Farrell","given":"M","non-dropping-particle":"","parse-names":false,"suffix":""}],"container-title":"Addictive behaviors","id":"ITEM-2","issue":"6","issued":{"date-parts":[["1998"]]},"page":"919-31","title":"Managing anxiety and depression in alcohol and drug dependence.","type":"article-journal","volume":"23"},"uris":["http://www.mendeley.com/documents/?uuid=23bfa5ed-622f-3b67-9d46-8e77fe1be9ab"]},{"id":"ITEM-3","itemData":{"DOI":"http://dx.doi.org/10.1037/0735-7028.31.4.418","author":[{"dropping-particle":"","family":"Brown, Richard A., Ramsey","given":"Susan E.","non-dropping-particle":"","parse-names":false,"suffix":""}],"container-title":"Professional Psychology: Research and Practice","id":"ITEM-3","issue":"4","issued":{"date-parts":[["2000"]]},"page":"418-422","title":"Addressing comorbid depressive symptomatology in alcohol treatment.","type":"article-journal","volume":"31"},"uris":["http://www.mendeley.com/documents/?uuid=834f1c9c-fd54-3e94-83e0-d43db5812999"]}],"mendeley":{"formattedCitation":"(Brown, Richard A., Ramsey, 2000; Carey, 2018; Scott et al., 1998)","manualFormatting":"(Brown et al., 2000; Carey, 2018; Scott et al., 1998)","plainTextFormattedCitation":"(Brown, Richard A., Ramsey, 2000; Carey, 2018; Scott et al., 1998)","previouslyFormattedCitation":"(25–27)"},"properties":{"noteIndex":0},"schema":"https://github.com/citation-style-language/schema/raw/master/csl-citation.json"}</w:instrText>
      </w:r>
      <w:r w:rsidR="007728CD">
        <w:rPr>
          <w:rStyle w:val="FootnoteReference"/>
        </w:rPr>
        <w:fldChar w:fldCharType="separate"/>
      </w:r>
      <w:r w:rsidR="007728CD" w:rsidRPr="007728CD">
        <w:rPr>
          <w:noProof/>
        </w:rPr>
        <w:t>(Brown</w:t>
      </w:r>
      <w:r w:rsidR="000972C8">
        <w:rPr>
          <w:noProof/>
        </w:rPr>
        <w:t xml:space="preserve"> et al.</w:t>
      </w:r>
      <w:r w:rsidR="007728CD" w:rsidRPr="007728CD">
        <w:rPr>
          <w:noProof/>
        </w:rPr>
        <w:t>, 2000; Carey, 2018; Scott et al., 1998)</w:t>
      </w:r>
      <w:r w:rsidR="007728CD">
        <w:rPr>
          <w:rStyle w:val="FootnoteReference"/>
        </w:rPr>
        <w:fldChar w:fldCharType="end"/>
      </w:r>
      <w:r w:rsidR="000972C8">
        <w:t>.</w:t>
      </w:r>
    </w:p>
    <w:p w14:paraId="6A2D3B04" w14:textId="30DD94F4" w:rsidR="00B96161" w:rsidRDefault="000154E7" w:rsidP="00DB4F3E">
      <w:r>
        <w:t>However, guidelines from the Department of Health for England and Wales on the management of patients with mental illness and co-morbid SUD stress the importance of comprehensive assessment and management of</w:t>
      </w:r>
      <w:r w:rsidR="004F4DCA">
        <w:t xml:space="preserve"> both aspects of a patient’s presentation</w:t>
      </w:r>
      <w:r w:rsidR="000972C8">
        <w:t xml:space="preserve"> </w:t>
      </w:r>
      <w:r w:rsidR="007728CD">
        <w:rPr>
          <w:rStyle w:val="FootnoteReference"/>
        </w:rPr>
        <w:fldChar w:fldCharType="begin" w:fldLock="1"/>
      </w:r>
      <w:r w:rsidR="000972C8">
        <w:instrText>ADDIN CSL_CITATION {"citationItems":[{"id":"ITEM-1","itemData":{"author":[{"dropping-particle":"","family":"Department of Health","given":"","non-dropping-particle":"","parse-names":false,"suffix":""}],"id":"ITEM-1","issued":{"date-parts":[["2002"]]},"title":"Mental health policy implementation guide.","type":"article"},"uris":["http://www.mendeley.com/documents/?uuid=702b964f-4c26-42ff-</w:instrText>
      </w:r>
      <w:r w:rsidR="000972C8">
        <w:lastRenderedPageBreak/>
        <w:instrText>a121-50519e7ee3f8"]}],"mendeley":{"formattedCitation":"(Department of Health, 2002)","manualFormatting":"(Department of Health, 2017)","plainTextFormattedCitation":"(Department of Health, 2002)","previouslyFormattedCitation":"(66)"},"properties":{"noteIndex":0},"schema":"https://github.com/citation-style-language/schema/raw/master/csl-citation.json"}</w:instrText>
      </w:r>
      <w:r w:rsidR="007728CD">
        <w:rPr>
          <w:rStyle w:val="FootnoteReference"/>
        </w:rPr>
        <w:fldChar w:fldCharType="separate"/>
      </w:r>
      <w:r w:rsidR="007728CD" w:rsidRPr="007728CD">
        <w:rPr>
          <w:noProof/>
        </w:rPr>
        <w:t>(Department of Health, 20</w:t>
      </w:r>
      <w:r w:rsidR="000972C8">
        <w:rPr>
          <w:noProof/>
        </w:rPr>
        <w:t>17</w:t>
      </w:r>
      <w:r w:rsidR="007728CD" w:rsidRPr="007728CD">
        <w:rPr>
          <w:noProof/>
        </w:rPr>
        <w:t>)</w:t>
      </w:r>
      <w:r w:rsidR="007728CD">
        <w:rPr>
          <w:rStyle w:val="FootnoteReference"/>
        </w:rPr>
        <w:fldChar w:fldCharType="end"/>
      </w:r>
      <w:r w:rsidR="000972C8">
        <w:t>.</w:t>
      </w:r>
      <w:r>
        <w:t xml:space="preserve"> </w:t>
      </w:r>
      <w:r w:rsidR="009A17A7">
        <w:t>T</w:t>
      </w:r>
      <w:r w:rsidR="00F95838">
        <w:t>here</w:t>
      </w:r>
      <w:r w:rsidR="00EF2271">
        <w:t xml:space="preserve"> is </w:t>
      </w:r>
      <w:r w:rsidR="00AF0DEF">
        <w:t>good</w:t>
      </w:r>
      <w:r w:rsidR="00EF2271">
        <w:t xml:space="preserve"> evidence for the efficacy of </w:t>
      </w:r>
      <w:r w:rsidR="009A17A7">
        <w:t xml:space="preserve">treatments such as </w:t>
      </w:r>
      <w:r w:rsidR="00EF2271">
        <w:t>antidepressant medication</w:t>
      </w:r>
      <w:r w:rsidR="000972C8">
        <w:t xml:space="preserve"> </w:t>
      </w:r>
      <w:r w:rsidR="007728CD">
        <w:rPr>
          <w:rStyle w:val="FootnoteReference"/>
        </w:rPr>
        <w:fldChar w:fldCharType="begin" w:fldLock="1"/>
      </w:r>
      <w:r w:rsidR="007728CD">
        <w:instrText xml:space="preserve">ADDIN CSL_CITATION {"citationItems":[{"id":"ITEM-1","itemData":{"DOI":"10.1001/archpsyc.1997.01830200024004","ISSN":"0003990X","PMID":"9283504","abstract":"Background: The selective serotonergic medication fluoxetine has demonstrated efficacy in the treatment of major depression and has suggested efficacy in the treatment of alcoholism. However, no completed trials with any selective serotonergic medication have been reported in patients who display both major depression and alcoholism, despite previous observations that both depression and alcoholism are associated with low serotonergic functioning. Methods: Fifty-one patients diagnosed as having comorbid major depressive disorder and alcohol dependence were randomized to receive fluoxetine (n=25) or placebo (n=26) in a 12-week, double-blind, parallel- group trial. Weekly ratings of depression and alcohol consumption were obtained throughout the 12-week course of the study. Results: The improvement in depressive symptoms during the medication trial was significantly greater in the fluoxetine group than in the placebo group. Total alcohol consumption during the trial was significantly lower in the fluoxetine group than in the placebo group. Conclusions: Fluoxetine is effective in reducing the depressive symptoms and the alcohol consumption of patients with comorbid major depressive disorder and alcohol dependence. It is unknown whether these results generalize to the treatment of less depressed and less suicidal alcoholics.","author":[{"dropping-particle":"","family":"Cornelius","given":"Jack R.","non-dropping-particle":"","parse-names":false,"suffix":""},{"dropping-particle":"","family":"Salloum","given":"Ihsan M.","non-dropping-particle":"","parse-names":false,"suffix":""},{"dropping-particle":"","family":"Ehler","given":"Joan G.","non-dropping-particle":"","parse-names":false,"suffix":""},{"dropping-particle":"","family":"Jarrett","given":"Patricia J.","non-dropping-particle":"","parse-names":false,"suffix":""},{"dropping-particle":"","family":"Cornelius","given":"Marie D.","non-dropping-particle":"","parse-names":false,"suffix":""},{"dropping-particle":"","family":"Perel","given":"James M.","non-dropping-particle":"","parse-names":false,"suffix":""},{"dropping-particle":"","family":"Thase","given":"Michael E.","non-dropping-particle":"","parse-names":false,"suffix":""},{"dropping-particle":"","family":"Black","given":"Ann","non-dropping-particle":"","parse-names":false,"suffix":""}],"container-title":"Archives of General Psychiatry","id":"ITEM-1","issue":"8","issued":{"date-parts":[["1997"]]},"page":"700-705","publisher":"American Medical Association","title":"Fluoxetine in depressed alcoholics: A double-blind, placebo-controlled trial","type":"article-journal","volume":"54"},"uris":["http://www.mendeley.com/documents/?uuid=17adaaec-9cf7-3351-a6b8-075c035f9279"]},{"id":"ITEM-2","itemData":{"DOI":"10.1001/archpsyc.1996.01830030054009","ISSN":"0003-990X","PMID":"8611060","abstract":"BACKGROUND Depressive disorders are commonly comorbid with alcoholism, particularly in treatment-seeking samples. If antidepressant treatment were safe and improved the treatment outcome in the subset of actively drinking alcoholics with depression, this would be of clinical importance. METHODS We conducted a randomized, 12-week placebo-controlled trial of imipramine hydrochloride combined with weekly relapse prevention psychotherapy. The subjects were 69 actively drinking alcoholic outpatients with current depressive disorders. The first onset of depression was either antecedent to the abuse of alcohol or occurred </w:instrText>
      </w:r>
      <w:r w:rsidR="007728CD">
        <w:lastRenderedPageBreak/>
        <w:instrText>during prolonged periods of sobriety. Depression and drinking outcomes at 12 weeks, as well as their relationship, were measured. RESULTS Imipramine treatment was safe and associated with improvement in depression in both adequately treated and intention-to-treat samples. While there was no overall effect on drinking outcome, patients whose mood improved showed decreased alcohol consumption that was more marked in those treated with imipramine. CONCLUSIONS Imipramine treatment is effective for primary depression among actively drinking alcoholic outpatients, and may improve alcoholic outcome for those whose depression responds to treatment.","author":[{"dropping-particle":"","family":"McGrath","given":"P J","non-dropping-particle":"","parse-names":false,"suffix":""},{"dropping-particle":"V","family":"Nunes","given":"E","non-dropping-particle":"","parse-names":false,"suffix":""},{"dropping-particle":"","family":"Stewart","given":"J W","non-dropping-particle":"","parse-names":false,"suffix":""},{"dropping-particle":"","family":"Goldman","given":"D","non-dropping-particle":"","parse-names":false,"suffix":""},{"dropping-particle":"","family":"Agosti","given":"V","non-dropping-particle":"","parse-names":false,"suffix":""},{"dropping-particle":"","family":"Ocepek-Welikson","given":"K","non-dropping-particle":"","parse-names":false,"suffix":""},{"dropping-particle":"","family":"Quitkin","given":"F M","non-dropping-particle":"","parse-names":false,"suffix":""}],"container-title":"Archives of general psychiatry","id":"ITEM-2","issue":"3","issued":{"date-parts":[["1996","3"]]},"page":"232-40","title":"Imipramine treatment of alcoholics with primary depression: A placebo-controlled clinical trial.","type":"article-journal","volume":"53"},"uris":["http://www.mendeley.com/documents/?uuid=1d1b6509-99a8-3b32-97ce-384b72d9b0e2"]},{"id":"ITEM-3","itemData":{"DOI":"10.1001/archpsyc.55.2.153","ISSN":"0003990X","PMID":"9477929","abstract":"Background: The literature is inconclusive on the role of antidepressant medications in treating drug dependence. Studies have either not focused on depressed patients or have selected patients with depressive disorders based on cross-sectional symptoms rather than a syndromal diagnosis. A clinical trial of an antidepressant was, therefore, conducted on drug-dependent patients with syndromal depression. Methods: Patients receiving methadone hydrochloride maintenance treatment were selected if they met the criteria for a DSM-III-R depressive disorder that was chronologically primary, had persisted during a past abstinent period or was long-standing, and persisted during at least 1 month of stable methadone treatment. Subjects were randomized to a 12-week, double-blind, placebo-controlled trial of imipramine hydrochloride. A favorable response was defined as a Clinical Global Impression scale score for depression of 2 ('much improved') or 1 ('very much improved') and at least a 75% reduction in self-reported drug or alcohol use or abstinence. Results: One hundred thirty-seven patients were randomized, and 84 completed a minimum adequate trial of at least 6 weeks. Among the 84 adequately treated patients, 57% (24/42) receiving imipramine were rated as responders compared with 7% (3/42) receiving placebo (P&lt;.001). On measures of mood, there was a robust effect of imipramine. Imipramine was superior to placebo on some self-reported measures of substance use and craving, and mood improvement was associated with improvement in self-reported substance use. However, few patients achieved urine-confirmed abstinence. Conclusions: Imipramine was an effective antidepressant in patients receiving methadone who were selected via syndromal criteria for depressive illness. Imipramine may reduce substance abuse among patients whose mood improves; however, this effect was less robust.","author":[{"dropping-particle":"V.","family":"Nunes","given":"Edward","non-dropping-particle":"","parse-names":false,"suffix":""},{"dropping-particle":"","family":"Quitkin","given":"Frederic M.","non-dropping-particle":"","parse-names":false,"suffix":""},{"dropping-particle":"","family":"Donovan","given":"Stephen J.","non-dropping-particle":"","parse-names":false,"suffix":""},{"dropping-</w:instrText>
      </w:r>
      <w:r w:rsidR="007728CD">
        <w:lastRenderedPageBreak/>
        <w:instrText xml:space="preserve">particle":"","family":"Deliyannides","given":"Deborah","non-dropping-particle":"","parse-names":false,"suffix":""},{"dropping-particle":"","family":"Ocepek-Welihson","given":"Katja","non-dropping-particle":"","parse-names":false,"suffix":""},{"dropping-particle":"","family":"Koenig","given":"Teresa","non-dropping-particle":"","parse-names":false,"suffix":""},{"dropping-particle":"","family":"Brady","given":"Ronald","non-dropping-particle":"","parse-names":false,"suffix":""},{"dropping-particle":"","family":"McGrath","given":"Patrick J.","non-dropping-particle":"","parse-names":false,"suffix":""},{"dropping-particle":"","family":"Woody","given":"George","non-dropping-particle":"","parse-names":false,"suffix":""}],"container-title":"Archives of General Psychiatry","id":"ITEM-3","issue":"2","issued":{"date-parts":[["1998"]]},"page":"153-160","publisher":"American Medical Association","title":"Imipramine treatment of opiate-dependent patients with depressive disorders: A placebo-controlled trial","type":"article-journal","volume":"55"},"uris":["http://www.mendeley.com/documents/?uuid=db7b7f8c-f2ae-308d-bc1d-ebea7207480f"]},{"id":"ITEM-4","itemData":{"DOI":"10.1097/00004714-200004000-00003","ISSN":"02710749","PMID":"10770449","abstract":"Depression is the most common comorbid psychiatric illness in patients with alcohol dependence. This double-blind study tested the efficacy of nefazodone versus placebo for the treatment of depression in actively drinking alcohol-dependent patients who were also participating in weekly group treatment for alcoholism. Sixty-four subjects with major depression disorder and alcohol dependence with a history of at least one prior episode of depression when not drinking were randomly assigned to receive 12 weeks of either nefazodone or placebo and participated in a weekly psychoeducational group on alcoholism. Subjects were assessed every 2 weeks for depression, anxiety, side effects, and drinking frequency. Subjects taking nefazodone were significantly more likely to complete the study (62%) than those taking placebo (34%). Analyses of covariance using drinks per week as a time- dependent covariate showed lower Hamilton Rating Scale for Depression scores at week 8 for endpoint analysis and at weeks 8 and 12 for completers. The endpoint analysis demonstrated a significantly greater reponse in the nefazodone group (48%) than in the placebo group (16%). Both groups showed a similarly significant decrease in the average number of alcoholic drinks consumed per day over the course of the study. Although the number of adverse effects was significantly greater for the nefazodone group, there were no severe adverse events, and nefazodone was well tolerated. Nefazodone is a safe and effective antidepressant to use in a population of alcohol-dependent patients with depression who have a high degree of comorbidity. Nefazodone treatment was superior to placebo in alleviating depression in these patients but did not add any advantage over the psychoeducational group in terms of drinking outcomes.","author":[{"dropping-particle":"","family":"Roy-Byrne","given":"Peter P.","non-dropping-particle":"","parse-names":false,"suffix":""},{"dropping-particle":"","family":"Pages","given":"Kenneth P.","non-dropping-particle":"","parse-names":false,"suffix":""},{"dropping-particle":"","family":"Russo","given":"Joan E.","non-dropping-particle":"","parse-names":false,"suffix":""},{"dropping-particle":"","family":"Jaffe","given":"Craig","non-dropping-particle":"","parse-names":false,"suffix":""},{"dropping-particle":"","family":"Blume","given":"Arthur W.","non-dropping-particle":"","parse-names":false,"suffix":""},{"dropping-particle":"","family":"Kingsley","given":"Elizabeth","non-dropping-particle":"","parse-names":false,"suffix":""},{"dropping-particle":"","family":"Cowley","given":"Deborah S.","non-dropping-particle":"","parse-names":false,"suffix":""},{"dropping-particle":"","family":"Ries","given":"Richard K.","non-dropping-particle":"","parse-names":false,"suffix":""}],"container-title":"Journal of Clinical Psychopharmacology","id":"ITEM-4","issue":"2","issued":{"date-parts":[["2000","4"]]},"page":"129-136","title":"Nefazodone treatment of major depression in alcohol-dependent patients: A double-blind, placebo-controlled </w:instrText>
      </w:r>
      <w:r w:rsidR="007728CD">
        <w:lastRenderedPageBreak/>
        <w:instrText>trial","type":"article-journal","volume":"20"},"uris":["http://www.mendeley.com/documents/?uuid=7e8df871-d7c2-3fcf-a1da-6110a7cb5bc2"]}],"mendeley":{"formattedCitation":"(Cornelius et al., 1997; McGrath et al., 1996; Nunes et al., 1998; Roy-Byrne et al., 2000)","plainTextFormattedCitation":"(Cornelius et al., 1997; McGrath et al., 1996; Nunes et al., 1998; Roy-Byrne et al., 2000)","previouslyFormattedCitation":"(67–70)"},"properties":{"noteIndex":0},"schema":"https://github.com/citation-style-language/schema/raw/master/csl-citation.json"}</w:instrText>
      </w:r>
      <w:r w:rsidR="007728CD">
        <w:rPr>
          <w:rStyle w:val="FootnoteReference"/>
        </w:rPr>
        <w:fldChar w:fldCharType="separate"/>
      </w:r>
      <w:r w:rsidR="007728CD" w:rsidRPr="007728CD">
        <w:rPr>
          <w:bCs/>
          <w:noProof/>
          <w:lang w:val="en-US"/>
        </w:rPr>
        <w:t>(Cornelius et al., 1997; McGrath et al., 1996; Nunes et al., 1998; Roy-Byrne et al., 2000)</w:t>
      </w:r>
      <w:r w:rsidR="007728CD">
        <w:rPr>
          <w:rStyle w:val="FootnoteReference"/>
        </w:rPr>
        <w:fldChar w:fldCharType="end"/>
      </w:r>
      <w:r w:rsidR="00EF2271">
        <w:t xml:space="preserve"> </w:t>
      </w:r>
      <w:r w:rsidR="009A17A7">
        <w:t xml:space="preserve"> and psychological interventions</w:t>
      </w:r>
      <w:r w:rsidR="000972C8">
        <w:t xml:space="preserve"> </w:t>
      </w:r>
      <w:r w:rsidR="007728CD">
        <w:rPr>
          <w:rStyle w:val="FootnoteReference"/>
        </w:rPr>
        <w:fldChar w:fldCharType="begin" w:fldLock="1"/>
      </w:r>
      <w:r w:rsidR="007728CD">
        <w:instrText>ADDIN CSL_CITATION {"citationItems":[{"id":"ITEM-1","itemData":{"DOI":"10.1186/1471-244X-9-6","ISSN":"1471-244X","author":[{"dropping-particle":"","family":"Hesse","given":"Morten","non-dropping-particle":"","parse-names":false,"suffix":""}],"container-title":"BMC Psychiatry","id":"ITEM-1","issue":"1","issued":{"date-parts":[["2009","12","20"]]},"page":"6","title":"Integrated psychological treatment for substance use and co-morbid anxiety or depression vs. treatment for substance use alone. A systematic review of the published literature","type":"article-journal","volume":"9"},"uris":["http://www.mendeley.com/documents/?uuid=7b5739d7-046a-34eb-834e-a97b336bda79"]}],"mendeley":{"formattedCitation":"(Hesse, 2009)","plainTextFormattedCitation":"(Hesse, 2009)","previouslyFormattedCitation":"(28)"},"properties":{"noteIndex":0},"schema":"https://github.com/citation-style-language/schema/raw/master/csl-citation.json"}</w:instrText>
      </w:r>
      <w:r w:rsidR="007728CD">
        <w:rPr>
          <w:rStyle w:val="FootnoteReference"/>
        </w:rPr>
        <w:fldChar w:fldCharType="separate"/>
      </w:r>
      <w:r w:rsidR="007728CD" w:rsidRPr="007728CD">
        <w:rPr>
          <w:noProof/>
        </w:rPr>
        <w:t>(Hesse, 2009)</w:t>
      </w:r>
      <w:r w:rsidR="007728CD">
        <w:rPr>
          <w:rStyle w:val="FootnoteReference"/>
        </w:rPr>
        <w:fldChar w:fldCharType="end"/>
      </w:r>
      <w:r w:rsidR="009A17A7">
        <w:t xml:space="preserve"> </w:t>
      </w:r>
      <w:r w:rsidR="00EF2271">
        <w:t>for depressi</w:t>
      </w:r>
      <w:r w:rsidR="007C2708">
        <w:t xml:space="preserve">on and anxiety </w:t>
      </w:r>
      <w:r w:rsidR="00EF2271">
        <w:t>even in the presence of comorbid</w:t>
      </w:r>
      <w:r w:rsidR="007C2708">
        <w:t xml:space="preserve"> substance </w:t>
      </w:r>
      <w:r w:rsidR="004059E7">
        <w:t>use</w:t>
      </w:r>
      <w:r w:rsidR="007C2708">
        <w:t>.</w:t>
      </w:r>
      <w:r w:rsidR="00EF2271">
        <w:t xml:space="preserve"> </w:t>
      </w:r>
      <w:r w:rsidR="00686DA2">
        <w:t>I</w:t>
      </w:r>
      <w:r w:rsidR="00EB51E6">
        <w:t>deally</w:t>
      </w:r>
      <w:r w:rsidR="00686DA2">
        <w:t>, this is</w:t>
      </w:r>
      <w:r w:rsidR="00EB51E6">
        <w:t xml:space="preserve"> given concurrently with treatments targeting the substance problems specifically, rather than either </w:t>
      </w:r>
      <w:r w:rsidR="000972C8">
        <w:t xml:space="preserve"> </w:t>
      </w:r>
      <w:r w:rsidR="00EB51E6">
        <w:t>in isolation</w:t>
      </w:r>
      <w:r w:rsidR="00686DA2">
        <w:t>, but in some cases treatment of primary disorders alone may reduce substance us</w:t>
      </w:r>
      <w:r w:rsidR="000972C8">
        <w:t xml:space="preserve">e </w:t>
      </w:r>
      <w:r w:rsidR="007728CD">
        <w:rPr>
          <w:rStyle w:val="FootnoteReference"/>
        </w:rPr>
        <w:fldChar w:fldCharType="begin" w:fldLock="1"/>
      </w:r>
      <w:r w:rsidR="007728CD">
        <w:instrText xml:space="preserve">ADDIN CSL_CITATION {"citationItems":[{"id":"ITEM-1","itemData":{"DOI":"10.1001/jama.291.15.1887","ISSN":"00987484","abstract":"Context: Depression and substance abuse are common and costly disorders that frequently co-occur, but controversy about effective treatment for patients with both disorders persists. Objective: To conduct a systematic review and meta-analysis to quantify the efficacy of antidepressant medications for treatment of combined depression and substance use disorders. Data Sources: PubMed, MEDLINE, and Cochrane database search (1970-2003), using the keywords antidepressant treatment or treatment depressed in conjunction with each of the following alcohol dependence, benzodiazepine dependence, opiate dependence, cocaine dependence, marijuana dependence, and methadone; a search of bibliographies; and consultation with experts in the field. Study Selection: Among inclusion criteria used for study selection were prospective, parallel group, double-blind, controlled clinical trials with random assignment to an antidepressant medication or placebo for which trial patients met standard diagnostic criteria for current alcohol or other drug use and a current unipolar depressive disorder. Of the more than 300 citations extracted, 44 were placebo-controlled clinical trials, 14 of which were selected for this analysis and included 848 patients: 5 studies of tricyclic antidepressants, 7 of selective serotonin re-uptake inhibitors, and 2 from other classes Data Extraction: We independently screened the titles and abstracts of each citation, identified placebo-controlled trials of patients with both substance dependence and depression, applied the inclusion criteria, and reached consensus. Data on study methods, sample characteristics, and depression and substance use outcomes were extracted. The principal measure of effect size was the standardized difference between means on the Hamilton Depression Scale (HDS). Data Synthesis: For the HDS score, the pooled effect size from the random-effects model was 0.38 (95% confidence interval, 0.18-0.58). Heterogeneity of effect on HDS across studies was significant (P &lt;.02), and studies with low placebo response showed larger effects. Moderator analysis suggested that diagnostic methods and concurrent psychosocial interventions influenced outcome. </w:instrText>
      </w:r>
      <w:r w:rsidR="007728CD">
        <w:lastRenderedPageBreak/>
        <w:instrText>Studies with larger depression effect sizes (&gt;0.5) demonstrated favorable effects of medication on measures of quantity of substance use, but rates of sustained abstinence were low. Conclusions: Antidepressant medication exerts a modest beneficial effect for patients with combined depressiv…","author":[{"dropping-particle":"V.","family":"Nunes","given":"Edward","non-dropping-particle":"","parse-names":false,"suffix":""},{"dropping-particle":"","family":"Levin","given":"Frances R.","non-dropping-particle":"","parse-names":false,"suffix":""}],"container-title":"Journal of the American Medical Association","id":"ITEM-1","issue":"15","issued":{"date-parts":[["2004","4","21"]]},"page":"1887-1896","title":"Treatment of Depression in Patients with Alcohol or Other Drug Dependence: A Meta-analysis","type":"article","volume":"291"},"uris":["http://www.mendeley.com/documents/?uuid=1d399ec9-dbec-3d50-93d6-b33b9e86d2fe"]}],"mendeley":{"formattedCitation":"(Nunes &amp; Levin, 2004)","plainTextFormattedCitation":"(Nunes &amp; Levin, 2004)","previouslyFormattedCitation":"(71)"},"properties":{"noteIndex":0},"schema":"https://github.com/citation-style-language/schema/raw/master/csl-citation.json"}</w:instrText>
      </w:r>
      <w:r w:rsidR="007728CD">
        <w:rPr>
          <w:rStyle w:val="FootnoteReference"/>
        </w:rPr>
        <w:fldChar w:fldCharType="separate"/>
      </w:r>
      <w:r w:rsidR="007728CD" w:rsidRPr="007728CD">
        <w:rPr>
          <w:noProof/>
        </w:rPr>
        <w:t>(Nunes &amp; Levin, 2004)</w:t>
      </w:r>
      <w:r w:rsidR="007728CD">
        <w:rPr>
          <w:rStyle w:val="FootnoteReference"/>
        </w:rPr>
        <w:fldChar w:fldCharType="end"/>
      </w:r>
      <w:r w:rsidR="00F04782">
        <w:t xml:space="preserve">. </w:t>
      </w:r>
      <w:r w:rsidR="00177D38">
        <w:t>Likewise, c</w:t>
      </w:r>
      <w:r w:rsidR="004F4DCA">
        <w:t>urrent</w:t>
      </w:r>
      <w:r>
        <w:t xml:space="preserve"> British Association of Psychopharmacology guidelines for treatment of co-morbid substance </w:t>
      </w:r>
      <w:r w:rsidR="004059E7">
        <w:t>use</w:t>
      </w:r>
      <w:r>
        <w:t xml:space="preserve"> in psychiatric patients </w:t>
      </w:r>
      <w:r w:rsidR="004F4DCA">
        <w:t xml:space="preserve">highlight the </w:t>
      </w:r>
      <w:r>
        <w:t>need to treat both disorders concurrently</w:t>
      </w:r>
      <w:r w:rsidR="000972C8">
        <w:t xml:space="preserve"> </w:t>
      </w:r>
      <w:r w:rsidR="007728CD">
        <w:rPr>
          <w:rStyle w:val="FootnoteReference"/>
        </w:rPr>
        <w:fldChar w:fldCharType="begin" w:fldLock="1"/>
      </w:r>
      <w:r w:rsidR="007340BA">
        <w:instrText>ADDIN CSL_CITATION {"citationItems":[{"id":"ITEM-1","itemData":{"DOI":"10.1177/026988110401800321","ISSN":"0269-8811","PMID":"15358975","author":[{"dropping-particle":"","family":"Lingford-Hughes","given":"A R","non-dropping-particle":"","parse-names":false,"suffix":""},{"dropping-particle":"","family":"Welch","given":"S","non-dropping-particle":"","parse-names":false,"suffix":""},{"dropping-particle":"","family":"Nutt","given":"D J","non-dropping-particle":"","parse-names":false,"suffix":""},{"dropping-particle":"","family":"British Association for Psychopharmacology","given":"","non-dropping-particle":"","parse-names":false,"suffix":""}],"container-title":"Journal of psychopharmacology (Oxford, England)","id":"ITEM-1","issue":"3","issued":{"date-parts":[["2004","9"]]},"page":"293-335","title":"Evidence-based guidelines for the pharmacological management of substance misuse, addiction and comorbidity: recommendations from the British Association for Psychopharmacology.","type":"article-journal","volume":"18"},"uris":["http://www.mendeley.com/documents/?uuid=48885ab8-3ffd-3555-b9e2-1df1ba710494"]}],"mendeley":{"formattedCitation":"(Lingford-Hughes, Welch, Nutt, &amp; British Association for Psychopharmacology, 2004)","manualFormatting":"(Lingford-Hughes et al., 2004)","plainTextFormattedCitation":"(Lingford-Hughes, Welch, Nutt, &amp; British Association for Psychopharmacology, 2004)","previouslyFormattedCitation":"(72)"},"properties":{"noteIndex":0},"schema":"https://github.com/citation-style-language/schema/raw/master/csl-citation.json"}</w:instrText>
      </w:r>
      <w:r w:rsidR="007728CD">
        <w:rPr>
          <w:rStyle w:val="FootnoteReference"/>
        </w:rPr>
        <w:fldChar w:fldCharType="separate"/>
      </w:r>
      <w:r w:rsidR="007728CD" w:rsidRPr="007728CD">
        <w:rPr>
          <w:bCs/>
          <w:noProof/>
          <w:lang w:val="en-US"/>
        </w:rPr>
        <w:t>(Lingford-Hughes</w:t>
      </w:r>
      <w:r w:rsidR="005B61CB">
        <w:rPr>
          <w:bCs/>
          <w:noProof/>
          <w:lang w:val="en-US"/>
        </w:rPr>
        <w:t xml:space="preserve"> et al.</w:t>
      </w:r>
      <w:r w:rsidR="007728CD" w:rsidRPr="007728CD">
        <w:rPr>
          <w:bCs/>
          <w:noProof/>
          <w:lang w:val="en-US"/>
        </w:rPr>
        <w:t>, 2004)</w:t>
      </w:r>
      <w:r w:rsidR="007728CD">
        <w:rPr>
          <w:rStyle w:val="FootnoteReference"/>
        </w:rPr>
        <w:fldChar w:fldCharType="end"/>
      </w:r>
      <w:r w:rsidR="004F4DCA">
        <w:t xml:space="preserve"> </w:t>
      </w:r>
    </w:p>
    <w:p w14:paraId="4ABDA513" w14:textId="7751E7BD" w:rsidR="00DB4F3E" w:rsidRPr="009601A8" w:rsidRDefault="00DB4F3E" w:rsidP="00DB4F3E">
      <w:r w:rsidRPr="0008745F">
        <w:rPr>
          <w:rFonts w:cstheme="minorHAnsi"/>
          <w:color w:val="000000"/>
          <w:shd w:val="clear" w:color="auto" w:fill="FFFFFF"/>
        </w:rPr>
        <w:t xml:space="preserve">More research is needed to explore </w:t>
      </w:r>
      <w:r w:rsidR="00DE2679">
        <w:rPr>
          <w:rFonts w:cstheme="minorHAnsi"/>
          <w:color w:val="000000"/>
          <w:shd w:val="clear" w:color="auto" w:fill="FFFFFF"/>
        </w:rPr>
        <w:t xml:space="preserve">how quality of care </w:t>
      </w:r>
      <w:r w:rsidR="00C4545E">
        <w:rPr>
          <w:rFonts w:cstheme="minorHAnsi"/>
          <w:color w:val="000000"/>
          <w:shd w:val="clear" w:color="auto" w:fill="FFFFFF"/>
        </w:rPr>
        <w:t>impacts treatment outcomes for</w:t>
      </w:r>
      <w:r w:rsidR="00DE2679">
        <w:rPr>
          <w:rFonts w:cstheme="minorHAnsi"/>
          <w:color w:val="000000"/>
          <w:shd w:val="clear" w:color="auto" w:fill="FFFFFF"/>
        </w:rPr>
        <w:t xml:space="preserve"> </w:t>
      </w:r>
      <w:r w:rsidRPr="0008745F">
        <w:rPr>
          <w:rFonts w:cstheme="minorHAnsi"/>
          <w:color w:val="000000"/>
          <w:shd w:val="clear" w:color="auto" w:fill="FFFFFF"/>
        </w:rPr>
        <w:t xml:space="preserve">patients with </w:t>
      </w:r>
      <w:r>
        <w:rPr>
          <w:rFonts w:cstheme="minorHAnsi"/>
          <w:color w:val="000000"/>
          <w:shd w:val="clear" w:color="auto" w:fill="FFFFFF"/>
        </w:rPr>
        <w:t>SUD</w:t>
      </w:r>
      <w:r w:rsidRPr="0008745F">
        <w:rPr>
          <w:rFonts w:cstheme="minorHAnsi"/>
          <w:color w:val="000000"/>
          <w:shd w:val="clear" w:color="auto" w:fill="FFFFFF"/>
        </w:rPr>
        <w:t xml:space="preserve"> who receive inpatient treatment for anxiety and depression.</w:t>
      </w:r>
      <w:r w:rsidR="00C4545E">
        <w:rPr>
          <w:rFonts w:cstheme="minorHAnsi"/>
          <w:color w:val="000000"/>
          <w:shd w:val="clear" w:color="auto" w:fill="FFFFFF"/>
        </w:rPr>
        <w:t xml:space="preserve"> It would also be helpful to explore</w:t>
      </w:r>
      <w:r w:rsidR="004F4720">
        <w:rPr>
          <w:rFonts w:cstheme="minorHAnsi"/>
          <w:color w:val="000000"/>
          <w:shd w:val="clear" w:color="auto" w:fill="FFFFFF"/>
        </w:rPr>
        <w:t xml:space="preserve"> in detail</w:t>
      </w:r>
      <w:r w:rsidR="00C4545E">
        <w:rPr>
          <w:rFonts w:cstheme="minorHAnsi"/>
          <w:color w:val="000000"/>
          <w:shd w:val="clear" w:color="auto" w:fill="FFFFFF"/>
        </w:rPr>
        <w:t xml:space="preserve"> how staff attitudes towards this patient group relate to quality of care. This may be best achieved through </w:t>
      </w:r>
      <w:r w:rsidR="00C4545E">
        <w:t>l</w:t>
      </w:r>
      <w:r w:rsidR="00C4545E" w:rsidRPr="00F3727A">
        <w:t xml:space="preserve">ongitudinal study designs that combine </w:t>
      </w:r>
      <w:r w:rsidR="00D263E2">
        <w:t>assessment of</w:t>
      </w:r>
      <w:r w:rsidR="00C4545E" w:rsidRPr="00F3727A">
        <w:t xml:space="preserve"> health professionals’ attitudes</w:t>
      </w:r>
      <w:r w:rsidR="00D263E2">
        <w:t xml:space="preserve"> with</w:t>
      </w:r>
      <w:r w:rsidR="00C4545E" w:rsidRPr="00F3727A">
        <w:t xml:space="preserve"> </w:t>
      </w:r>
      <w:r w:rsidR="00C4545E">
        <w:t>objective measures of quality of care and</w:t>
      </w:r>
      <w:r w:rsidR="00C4545E" w:rsidRPr="00F3727A">
        <w:t xml:space="preserve"> treatment outcomes</w:t>
      </w:r>
      <w:r w:rsidR="00C4545E">
        <w:t xml:space="preserve">, as well as </w:t>
      </w:r>
      <w:r w:rsidR="00C4545E" w:rsidRPr="00F3727A">
        <w:t>patients’ perceptions of the treatment</w:t>
      </w:r>
      <w:r w:rsidR="00C4545E">
        <w:t xml:space="preserve"> and</w:t>
      </w:r>
      <w:r w:rsidR="00C4545E" w:rsidRPr="00F3727A">
        <w:t xml:space="preserve"> collaboration between professionals and patien</w:t>
      </w:r>
      <w:r w:rsidR="00C4545E">
        <w:t>ts.</w:t>
      </w:r>
    </w:p>
    <w:p w14:paraId="68729534" w14:textId="08C6761C" w:rsidR="00DB4F3E" w:rsidRDefault="00DB4F3E" w:rsidP="00DB4F3E">
      <w:pPr>
        <w:rPr>
          <w:rFonts w:cstheme="minorHAnsi"/>
          <w:color w:val="000000"/>
          <w:shd w:val="clear" w:color="auto" w:fill="FFFFFF"/>
        </w:rPr>
      </w:pPr>
      <w:r w:rsidRPr="0008745F">
        <w:rPr>
          <w:rFonts w:cstheme="minorHAnsi"/>
          <w:color w:val="000000"/>
          <w:shd w:val="clear" w:color="auto" w:fill="FFFFFF"/>
        </w:rPr>
        <w:t xml:space="preserve">While variation in care between patients with </w:t>
      </w:r>
      <w:r w:rsidR="00DE2679">
        <w:rPr>
          <w:rFonts w:cstheme="minorHAnsi"/>
          <w:color w:val="000000"/>
          <w:shd w:val="clear" w:color="auto" w:fill="FFFFFF"/>
        </w:rPr>
        <w:t>SUD</w:t>
      </w:r>
      <w:r w:rsidRPr="0008745F">
        <w:rPr>
          <w:rFonts w:cstheme="minorHAnsi"/>
          <w:color w:val="000000"/>
          <w:shd w:val="clear" w:color="auto" w:fill="FFFFFF"/>
        </w:rPr>
        <w:t xml:space="preserve"> and those without is significant, it is also important to note that the quality of care received by patients overall (irrespective of comorbidity) fell below nationally agreed standards. For example, only half of patients received a follow-up within 48 hours of discharge, or had a discharge letter sent to their GP within 24 hours, while only a quarter of carers were offered a care needs assessment. </w:t>
      </w:r>
    </w:p>
    <w:p w14:paraId="34A4C185" w14:textId="5C38CF2E" w:rsidR="00AD6B35" w:rsidRDefault="00AD6B35" w:rsidP="00AD6B35">
      <w:pPr>
        <w:rPr>
          <w:rFonts w:cstheme="minorHAnsi"/>
          <w:color w:val="000000"/>
          <w:shd w:val="clear" w:color="auto" w:fill="FFFFFF"/>
        </w:rPr>
      </w:pPr>
    </w:p>
    <w:p w14:paraId="0A7106FC" w14:textId="77777777" w:rsidR="00ED6A0A" w:rsidRPr="0008745F" w:rsidRDefault="00ED6A0A" w:rsidP="00AD6B35">
      <w:pPr>
        <w:rPr>
          <w:rFonts w:cstheme="minorHAnsi"/>
          <w:color w:val="000000"/>
          <w:shd w:val="clear" w:color="auto" w:fill="FFFFFF"/>
        </w:rPr>
      </w:pPr>
    </w:p>
    <w:p w14:paraId="5DD49A75" w14:textId="77777777" w:rsidR="0089422C" w:rsidRPr="00C73440" w:rsidRDefault="0089422C" w:rsidP="0089422C">
      <w:pPr>
        <w:pStyle w:val="Heading3"/>
        <w:rPr>
          <w:rFonts w:cstheme="majorHAnsi"/>
          <w:b/>
          <w:bCs/>
          <w:color w:val="000000" w:themeColor="text1"/>
          <w:shd w:val="clear" w:color="auto" w:fill="FFFFFF"/>
        </w:rPr>
      </w:pPr>
      <w:r w:rsidRPr="00C73440">
        <w:rPr>
          <w:rFonts w:cstheme="majorHAnsi"/>
          <w:b/>
          <w:bCs/>
          <w:color w:val="000000" w:themeColor="text1"/>
          <w:shd w:val="clear" w:color="auto" w:fill="FFFFFF"/>
        </w:rPr>
        <w:t>Conclusions</w:t>
      </w:r>
    </w:p>
    <w:p w14:paraId="014E2EA0" w14:textId="77777777" w:rsidR="0089422C" w:rsidRDefault="0089422C" w:rsidP="00AD6B35">
      <w:pPr>
        <w:rPr>
          <w:rFonts w:cstheme="minorHAnsi"/>
          <w:color w:val="000000"/>
          <w:shd w:val="clear" w:color="auto" w:fill="FFFFFF"/>
        </w:rPr>
      </w:pPr>
    </w:p>
    <w:p w14:paraId="4A7881B8" w14:textId="74F5F931" w:rsidR="00AD6B35" w:rsidRPr="0008745F" w:rsidRDefault="00AD6B35" w:rsidP="00AD6B35">
      <w:pPr>
        <w:rPr>
          <w:rFonts w:cstheme="minorHAnsi"/>
          <w:color w:val="000000"/>
          <w:shd w:val="clear" w:color="auto" w:fill="FFFFFF"/>
        </w:rPr>
      </w:pPr>
      <w:r w:rsidRPr="0008745F">
        <w:rPr>
          <w:rFonts w:cstheme="minorHAnsi"/>
          <w:color w:val="000000"/>
          <w:shd w:val="clear" w:color="auto" w:fill="FFFFFF"/>
        </w:rPr>
        <w:t xml:space="preserve">This study provides data on whether the quality of inpatient care patients receive for anxiety and depression differs if they have a </w:t>
      </w:r>
      <w:r w:rsidR="00E93B05">
        <w:rPr>
          <w:rFonts w:cstheme="minorHAnsi"/>
          <w:color w:val="000000"/>
          <w:shd w:val="clear" w:color="auto" w:fill="FFFFFF"/>
        </w:rPr>
        <w:t>dual</w:t>
      </w:r>
      <w:r w:rsidRPr="0008745F">
        <w:rPr>
          <w:rFonts w:cstheme="minorHAnsi"/>
          <w:color w:val="000000"/>
          <w:shd w:val="clear" w:color="auto" w:fill="FFFFFF"/>
        </w:rPr>
        <w:t xml:space="preserve"> diagnosis of </w:t>
      </w:r>
      <w:r w:rsidR="00E93B05">
        <w:rPr>
          <w:rFonts w:cstheme="minorHAnsi"/>
          <w:color w:val="000000"/>
          <w:shd w:val="clear" w:color="auto" w:fill="FFFFFF"/>
        </w:rPr>
        <w:t xml:space="preserve">substance </w:t>
      </w:r>
      <w:r w:rsidR="004059E7">
        <w:rPr>
          <w:rFonts w:cstheme="minorHAnsi"/>
          <w:color w:val="000000"/>
          <w:shd w:val="clear" w:color="auto" w:fill="FFFFFF"/>
        </w:rPr>
        <w:t>use</w:t>
      </w:r>
      <w:r w:rsidRPr="0008745F">
        <w:rPr>
          <w:rFonts w:cstheme="minorHAnsi"/>
          <w:color w:val="000000"/>
          <w:shd w:val="clear" w:color="auto" w:fill="FFFFFF"/>
        </w:rPr>
        <w:t xml:space="preserve"> disorder. </w:t>
      </w:r>
    </w:p>
    <w:p w14:paraId="0C1559B9" w14:textId="1F9F7FC5" w:rsidR="00AD6B35" w:rsidRPr="0008745F" w:rsidRDefault="00AD6B35" w:rsidP="00AD6B35">
      <w:pPr>
        <w:rPr>
          <w:rFonts w:cstheme="minorHAnsi"/>
          <w:color w:val="000000"/>
          <w:shd w:val="clear" w:color="auto" w:fill="FFFFFF"/>
        </w:rPr>
      </w:pPr>
      <w:r w:rsidRPr="0008745F">
        <w:rPr>
          <w:rFonts w:cstheme="minorHAnsi"/>
          <w:color w:val="000000"/>
          <w:shd w:val="clear" w:color="auto" w:fill="FFFFFF"/>
        </w:rPr>
        <w:t xml:space="preserve">We found that there are significant differences in quality of care between those patients with comorbid </w:t>
      </w:r>
      <w:r w:rsidR="00EE35A0" w:rsidRPr="00EE35A0">
        <w:rPr>
          <w:rFonts w:cstheme="minorHAnsi"/>
          <w:color w:val="000000"/>
          <w:shd w:val="clear" w:color="auto" w:fill="FFFFFF"/>
        </w:rPr>
        <w:t>SUD</w:t>
      </w:r>
      <w:r w:rsidRPr="0008745F">
        <w:rPr>
          <w:rFonts w:cstheme="minorHAnsi"/>
          <w:color w:val="000000"/>
          <w:shd w:val="clear" w:color="auto" w:fill="FFFFFF"/>
        </w:rPr>
        <w:t xml:space="preserve"> and those without. Most of these differences represent worse quality</w:t>
      </w:r>
      <w:r w:rsidR="00DA2708">
        <w:rPr>
          <w:rFonts w:cstheme="minorHAnsi"/>
          <w:color w:val="000000"/>
          <w:shd w:val="clear" w:color="auto" w:fill="FFFFFF"/>
        </w:rPr>
        <w:t xml:space="preserve"> of</w:t>
      </w:r>
      <w:r w:rsidRPr="0008745F">
        <w:rPr>
          <w:rFonts w:cstheme="minorHAnsi"/>
          <w:color w:val="000000"/>
          <w:shd w:val="clear" w:color="auto" w:fill="FFFFFF"/>
        </w:rPr>
        <w:t xml:space="preserve"> care for patients with </w:t>
      </w:r>
      <w:r w:rsidR="003A37E6">
        <w:rPr>
          <w:rFonts w:cstheme="minorHAnsi"/>
          <w:color w:val="000000"/>
          <w:shd w:val="clear" w:color="auto" w:fill="FFFFFF"/>
        </w:rPr>
        <w:t>SUD</w:t>
      </w:r>
      <w:r w:rsidRPr="0008745F">
        <w:rPr>
          <w:rFonts w:cstheme="minorHAnsi"/>
          <w:color w:val="000000"/>
          <w:shd w:val="clear" w:color="auto" w:fill="FFFFFF"/>
        </w:rPr>
        <w:t xml:space="preserve">. We are unable to infer a causal relationship between comorbid </w:t>
      </w:r>
      <w:r w:rsidR="003A37E6">
        <w:rPr>
          <w:rFonts w:cstheme="minorHAnsi"/>
          <w:color w:val="000000"/>
          <w:shd w:val="clear" w:color="auto" w:fill="FFFFFF"/>
        </w:rPr>
        <w:t>SUD</w:t>
      </w:r>
      <w:r w:rsidRPr="0008745F">
        <w:rPr>
          <w:rFonts w:cstheme="minorHAnsi"/>
          <w:color w:val="000000"/>
          <w:shd w:val="clear" w:color="auto" w:fill="FFFFFF"/>
        </w:rPr>
        <w:t xml:space="preserve"> and quality of care. However, this association merits further research into the factors obstructing good quality of care for patients with </w:t>
      </w:r>
      <w:r w:rsidR="003A37E6">
        <w:rPr>
          <w:rFonts w:cstheme="minorHAnsi"/>
          <w:color w:val="000000"/>
          <w:shd w:val="clear" w:color="auto" w:fill="FFFFFF"/>
        </w:rPr>
        <w:t>SUD</w:t>
      </w:r>
      <w:r w:rsidRPr="0008745F">
        <w:rPr>
          <w:rFonts w:cstheme="minorHAnsi"/>
          <w:color w:val="000000"/>
          <w:shd w:val="clear" w:color="auto" w:fill="FFFFFF"/>
        </w:rPr>
        <w:t xml:space="preserve">, and how these can be addressed. </w:t>
      </w:r>
    </w:p>
    <w:p w14:paraId="256421F7" w14:textId="7D8953F8" w:rsidR="00AD6B35" w:rsidRDefault="00AD6B35">
      <w:pPr>
        <w:rPr>
          <w:rFonts w:cstheme="minorHAnsi"/>
        </w:rPr>
      </w:pPr>
    </w:p>
    <w:p w14:paraId="18674935" w14:textId="77777777" w:rsidR="00C05D06" w:rsidRPr="0008745F" w:rsidRDefault="00C05D06">
      <w:pPr>
        <w:rPr>
          <w:rFonts w:cstheme="minorHAnsi"/>
        </w:rPr>
      </w:pPr>
    </w:p>
    <w:p w14:paraId="26CAF311" w14:textId="52DBAA77" w:rsidR="008805CC" w:rsidRDefault="008805CC"/>
    <w:p w14:paraId="50278885" w14:textId="17AD48BC" w:rsidR="008805CC" w:rsidRDefault="008805CC"/>
    <w:p w14:paraId="6DCC15C8" w14:textId="496C906B" w:rsidR="008805CC" w:rsidRDefault="008805CC"/>
    <w:p w14:paraId="64ED2EF6" w14:textId="7A2F8841" w:rsidR="008805CC" w:rsidRDefault="008805CC"/>
    <w:p w14:paraId="6BBABEB4" w14:textId="77777777" w:rsidR="008805CC" w:rsidRDefault="008805CC"/>
    <w:p w14:paraId="3A05142C" w14:textId="5FEF27D2" w:rsidR="00AD6B35" w:rsidRDefault="00AD6B35"/>
    <w:p w14:paraId="74D796E7" w14:textId="0DC5002D" w:rsidR="0049609E" w:rsidRDefault="0049609E"/>
    <w:p w14:paraId="59A47352" w14:textId="14E8FABE" w:rsidR="0049609E" w:rsidRDefault="0049609E"/>
    <w:p w14:paraId="48E7F85B" w14:textId="062F90C8" w:rsidR="0049609E" w:rsidRDefault="0049609E"/>
    <w:p w14:paraId="69D1F456" w14:textId="36978379" w:rsidR="0049609E" w:rsidRDefault="0049609E"/>
    <w:p w14:paraId="6D9B98F0" w14:textId="0547232E" w:rsidR="0049609E" w:rsidRDefault="0049609E"/>
    <w:p w14:paraId="151D5615" w14:textId="217C2A37" w:rsidR="0049609E" w:rsidRDefault="0049609E"/>
    <w:p w14:paraId="336C3781" w14:textId="599A1A31" w:rsidR="0049609E" w:rsidRDefault="0049609E"/>
    <w:p w14:paraId="07EBAAD6" w14:textId="77058FD5" w:rsidR="0049609E" w:rsidRDefault="0049609E"/>
    <w:p w14:paraId="2B6BD225" w14:textId="6269A158" w:rsidR="0049609E" w:rsidRDefault="0049609E"/>
    <w:p w14:paraId="2F0180E2" w14:textId="32B0735A" w:rsidR="00386993" w:rsidRDefault="00386993" w:rsidP="00386993">
      <w:pPr>
        <w:pStyle w:val="Heading2"/>
        <w:rPr>
          <w:b/>
          <w:bCs/>
          <w:color w:val="auto"/>
        </w:rPr>
      </w:pPr>
      <w:r w:rsidRPr="00F036BE">
        <w:rPr>
          <w:rStyle w:val="Heading2Char"/>
          <w:b/>
          <w:bCs/>
          <w:color w:val="auto"/>
        </w:rPr>
        <w:t>A</w:t>
      </w:r>
      <w:r>
        <w:rPr>
          <w:rStyle w:val="Heading2Char"/>
          <w:b/>
          <w:bCs/>
          <w:color w:val="auto"/>
        </w:rPr>
        <w:t>CKNOWLEDGEMENTS</w:t>
      </w:r>
    </w:p>
    <w:p w14:paraId="67BA2595" w14:textId="77777777" w:rsidR="00386993" w:rsidRPr="00F036BE" w:rsidRDefault="00386993" w:rsidP="00386993"/>
    <w:p w14:paraId="6B40B568" w14:textId="3A6FF476" w:rsidR="00386993" w:rsidRDefault="00386993" w:rsidP="00386993">
      <w:r>
        <w:t xml:space="preserve">The authors would like to thank all members of the NCAAD team at the Royal College of Psychiatrists for their support with this study. </w:t>
      </w:r>
    </w:p>
    <w:p w14:paraId="74021CAB" w14:textId="1012C91B" w:rsidR="001575F8" w:rsidRDefault="001575F8" w:rsidP="00386993"/>
    <w:p w14:paraId="608977BE" w14:textId="77777777" w:rsidR="001575F8" w:rsidRPr="00D57B36" w:rsidRDefault="001575F8" w:rsidP="001575F8">
      <w:pPr>
        <w:pStyle w:val="Heading2"/>
        <w:rPr>
          <w:b/>
          <w:bCs/>
          <w:color w:val="auto"/>
        </w:rPr>
      </w:pPr>
      <w:r>
        <w:rPr>
          <w:b/>
          <w:bCs/>
          <w:color w:val="auto"/>
        </w:rPr>
        <w:lastRenderedPageBreak/>
        <w:t>DISCLOSURES</w:t>
      </w:r>
    </w:p>
    <w:p w14:paraId="14C39881" w14:textId="77777777" w:rsidR="001575F8" w:rsidRDefault="001575F8" w:rsidP="001575F8"/>
    <w:p w14:paraId="2EBE5698" w14:textId="77777777" w:rsidR="001575F8" w:rsidRDefault="001575F8" w:rsidP="001575F8">
      <w:r>
        <w:t xml:space="preserve">LF and DB each received a consultancy fee (payable to the Universities of East London and Southampton respectively) from the </w:t>
      </w:r>
      <w:proofErr w:type="spellStart"/>
      <w:r>
        <w:t>RCPsych</w:t>
      </w:r>
      <w:proofErr w:type="spellEnd"/>
      <w:r>
        <w:t xml:space="preserve"> for their input to the NCAAD. </w:t>
      </w:r>
    </w:p>
    <w:p w14:paraId="3BB9C363" w14:textId="61BE8ED1" w:rsidR="001575F8" w:rsidRDefault="001575F8" w:rsidP="00386993"/>
    <w:p w14:paraId="69EB5846" w14:textId="77777777" w:rsidR="00A74979" w:rsidRDefault="00A74979" w:rsidP="00A74979">
      <w:pPr>
        <w:pStyle w:val="Heading2"/>
        <w:rPr>
          <w:b/>
          <w:bCs/>
          <w:color w:val="000000" w:themeColor="text1"/>
        </w:rPr>
      </w:pPr>
      <w:r>
        <w:rPr>
          <w:b/>
          <w:bCs/>
          <w:color w:val="000000" w:themeColor="text1"/>
        </w:rPr>
        <w:t>FUNDING</w:t>
      </w:r>
    </w:p>
    <w:p w14:paraId="04A67782" w14:textId="77777777" w:rsidR="00A74979" w:rsidRPr="00835969" w:rsidRDefault="00A74979" w:rsidP="00A74979"/>
    <w:p w14:paraId="0143764B" w14:textId="77777777" w:rsidR="00A74979" w:rsidRDefault="00A74979" w:rsidP="00A74979">
      <w:r>
        <w:t xml:space="preserve">RW is supported by a UK National Institute for Health Research (NIHR) Academic Clinical Fellowship. </w:t>
      </w:r>
      <w:r w:rsidRPr="00241747">
        <w:t xml:space="preserve">The Imperial Biomedical Research Centre Facility which is </w:t>
      </w:r>
      <w:r>
        <w:t xml:space="preserve">also </w:t>
      </w:r>
      <w:r w:rsidRPr="00241747">
        <w:t xml:space="preserve">funded by the </w:t>
      </w:r>
      <w:r>
        <w:t>NIHR</w:t>
      </w:r>
      <w:r w:rsidRPr="00241747">
        <w:t xml:space="preserve"> provided support for this project</w:t>
      </w:r>
      <w:r>
        <w:t xml:space="preserve">. The NCAAD was funded by the Royal College of Psychiatrists in conjunction with the </w:t>
      </w:r>
      <w:proofErr w:type="spellStart"/>
      <w:r>
        <w:t>McPin</w:t>
      </w:r>
      <w:proofErr w:type="spellEnd"/>
      <w:r>
        <w:t xml:space="preserve"> Foundation – an independent mental health research charity. The views expressed are those of the authors and not necessarily those of the NHS, the NIHR, </w:t>
      </w:r>
      <w:proofErr w:type="spellStart"/>
      <w:r>
        <w:t>RCPsych</w:t>
      </w:r>
      <w:proofErr w:type="spellEnd"/>
      <w:r>
        <w:t xml:space="preserve"> or the Department of Health.</w:t>
      </w:r>
    </w:p>
    <w:p w14:paraId="6679CE47" w14:textId="2799F64A" w:rsidR="00A74979" w:rsidRDefault="00A74979" w:rsidP="00386993"/>
    <w:p w14:paraId="588A4C06" w14:textId="4C936589" w:rsidR="008725A3" w:rsidRDefault="008725A3" w:rsidP="00386993"/>
    <w:p w14:paraId="4DAB0D10" w14:textId="362105EA" w:rsidR="008725A3" w:rsidRDefault="008725A3" w:rsidP="00386993"/>
    <w:p w14:paraId="2BECB973" w14:textId="339349A5" w:rsidR="008725A3" w:rsidRDefault="008725A3" w:rsidP="00386993"/>
    <w:p w14:paraId="347D02C1" w14:textId="3ADF685A" w:rsidR="008725A3" w:rsidRDefault="008725A3" w:rsidP="00386993"/>
    <w:p w14:paraId="27B30E0D" w14:textId="1B2EDBE5" w:rsidR="008725A3" w:rsidRDefault="008725A3" w:rsidP="00386993"/>
    <w:p w14:paraId="6FB6AB7E" w14:textId="4DDDEFAB" w:rsidR="008725A3" w:rsidRDefault="008725A3" w:rsidP="00386993"/>
    <w:p w14:paraId="5640465E" w14:textId="7AD8566B" w:rsidR="008725A3" w:rsidRDefault="008725A3" w:rsidP="00386993"/>
    <w:p w14:paraId="587831A5" w14:textId="16155AA4" w:rsidR="008725A3" w:rsidRDefault="008725A3" w:rsidP="00386993"/>
    <w:p w14:paraId="4C42F4EF" w14:textId="3FBB46DF" w:rsidR="008725A3" w:rsidRDefault="008725A3" w:rsidP="00386993"/>
    <w:p w14:paraId="0E9AAEE2" w14:textId="5F33CDB8" w:rsidR="008725A3" w:rsidRDefault="008725A3" w:rsidP="00386993"/>
    <w:p w14:paraId="6167FFD5" w14:textId="6DCE6F1C" w:rsidR="008725A3" w:rsidRDefault="008725A3" w:rsidP="00386993"/>
    <w:p w14:paraId="2389721F" w14:textId="6AEBC6EE" w:rsidR="008725A3" w:rsidRDefault="008725A3" w:rsidP="00386993"/>
    <w:p w14:paraId="3369FC77" w14:textId="04072665" w:rsidR="008725A3" w:rsidRDefault="008725A3" w:rsidP="00386993"/>
    <w:p w14:paraId="215896E8" w14:textId="77777777" w:rsidR="008725A3" w:rsidRDefault="008725A3" w:rsidP="00386993"/>
    <w:p w14:paraId="00BB5D93" w14:textId="77777777" w:rsidR="00386993" w:rsidRDefault="00386993"/>
    <w:p w14:paraId="7783788E" w14:textId="77777777" w:rsidR="0049609E" w:rsidRDefault="0049609E" w:rsidP="0049609E">
      <w:pPr>
        <w:pStyle w:val="Heading2"/>
        <w:rPr>
          <w:b/>
          <w:bCs/>
          <w:color w:val="000000" w:themeColor="text1"/>
          <w:shd w:val="clear" w:color="auto" w:fill="FFFFFF"/>
        </w:rPr>
      </w:pPr>
      <w:r w:rsidRPr="00D83671">
        <w:rPr>
          <w:b/>
          <w:bCs/>
          <w:color w:val="000000" w:themeColor="text1"/>
          <w:shd w:val="clear" w:color="auto" w:fill="FFFFFF"/>
        </w:rPr>
        <w:t>REFERENCES</w:t>
      </w:r>
    </w:p>
    <w:p w14:paraId="09B4DE4B" w14:textId="77777777" w:rsidR="0049609E" w:rsidRDefault="0049609E" w:rsidP="0049609E"/>
    <w:p w14:paraId="666CCA30" w14:textId="39EE64A9" w:rsidR="003F4910" w:rsidRPr="008257F0" w:rsidRDefault="0049609E" w:rsidP="003F491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sz w:val="20"/>
          <w:szCs w:val="24"/>
        </w:rPr>
        <w:fldChar w:fldCharType="begin" w:fldLock="1"/>
      </w:r>
      <w:r w:rsidRPr="008257F0">
        <w:rPr>
          <w:sz w:val="20"/>
          <w:szCs w:val="24"/>
        </w:rPr>
        <w:instrText xml:space="preserve">ADDIN Mendeley Bibliography CSL_BIBLIOGRAPHY </w:instrText>
      </w:r>
      <w:r w:rsidRPr="008257F0">
        <w:rPr>
          <w:sz w:val="20"/>
          <w:szCs w:val="24"/>
        </w:rPr>
        <w:fldChar w:fldCharType="separate"/>
      </w:r>
      <w:r w:rsidRPr="008257F0">
        <w:rPr>
          <w:rFonts w:ascii="Calibri" w:hAnsi="Calibri" w:cs="Calibri"/>
          <w:noProof/>
          <w:sz w:val="20"/>
          <w:szCs w:val="28"/>
        </w:rPr>
        <w:t>Albery, I. P., Heuston, J., Ward, J., Groves, P., Durand, M. A., Gossop, M., &amp; Strang, J.</w:t>
      </w:r>
      <w:r w:rsidR="00AD38A5" w:rsidRPr="008257F0">
        <w:rPr>
          <w:rFonts w:ascii="Calibri" w:hAnsi="Calibri" w:cs="Calibri"/>
          <w:noProof/>
          <w:sz w:val="20"/>
          <w:szCs w:val="28"/>
        </w:rPr>
        <w:t xml:space="preserve"> (</w:t>
      </w:r>
      <w:r w:rsidRPr="008257F0">
        <w:rPr>
          <w:rFonts w:ascii="Calibri" w:hAnsi="Calibri" w:cs="Calibri"/>
          <w:noProof/>
          <w:sz w:val="20"/>
          <w:szCs w:val="28"/>
        </w:rPr>
        <w:t>2003</w:t>
      </w:r>
      <w:r w:rsidR="000B27AC" w:rsidRPr="008257F0">
        <w:rPr>
          <w:rFonts w:ascii="Calibri" w:hAnsi="Calibri" w:cs="Calibri"/>
          <w:noProof/>
          <w:sz w:val="20"/>
          <w:szCs w:val="28"/>
        </w:rPr>
        <w:t>)</w:t>
      </w:r>
      <w:r w:rsidRPr="008257F0">
        <w:rPr>
          <w:rFonts w:ascii="Calibri" w:hAnsi="Calibri" w:cs="Calibri"/>
          <w:noProof/>
          <w:sz w:val="20"/>
          <w:szCs w:val="28"/>
        </w:rPr>
        <w:t xml:space="preserve">. Adolescent treatment outcomes for comorbid depression and substance misuse: A systematic review and synthesis of the literature. </w:t>
      </w:r>
      <w:r w:rsidRPr="008257F0">
        <w:rPr>
          <w:rFonts w:ascii="Calibri" w:hAnsi="Calibri" w:cs="Calibri"/>
          <w:i/>
          <w:iCs/>
          <w:noProof/>
          <w:sz w:val="20"/>
          <w:szCs w:val="28"/>
        </w:rPr>
        <w:t>J</w:t>
      </w:r>
      <w:r w:rsidR="00BB56A2">
        <w:rPr>
          <w:rFonts w:ascii="Calibri" w:hAnsi="Calibri" w:cs="Calibri"/>
          <w:i/>
          <w:iCs/>
          <w:noProof/>
          <w:sz w:val="20"/>
          <w:szCs w:val="28"/>
        </w:rPr>
        <w:t>ournal of Affective Disorders</w:t>
      </w:r>
      <w:r w:rsidRPr="008257F0">
        <w:rPr>
          <w:rFonts w:ascii="Calibri" w:hAnsi="Calibri" w:cs="Calibri"/>
          <w:i/>
          <w:iCs/>
          <w:noProof/>
          <w:sz w:val="20"/>
          <w:szCs w:val="28"/>
        </w:rPr>
        <w:t>. 201</w:t>
      </w:r>
      <w:r w:rsidRPr="008257F0">
        <w:rPr>
          <w:rFonts w:ascii="Calibri" w:hAnsi="Calibri" w:cs="Calibri"/>
          <w:noProof/>
          <w:sz w:val="20"/>
          <w:szCs w:val="28"/>
        </w:rPr>
        <w:t xml:space="preserve">, 25–33. </w:t>
      </w:r>
      <w:r w:rsidR="00F73D1F" w:rsidRPr="00F73D1F">
        <w:rPr>
          <w:rFonts w:ascii="Calibri" w:hAnsi="Calibri" w:cs="Calibri"/>
          <w:noProof/>
          <w:sz w:val="20"/>
          <w:szCs w:val="28"/>
        </w:rPr>
        <w:t>doi:10.1016/j.jad.2016.04.018</w:t>
      </w:r>
    </w:p>
    <w:p w14:paraId="60AD2A83" w14:textId="77777777" w:rsidR="003F4910" w:rsidRPr="008257F0" w:rsidRDefault="003F4910" w:rsidP="003F4910">
      <w:pPr>
        <w:pStyle w:val="ListParagraph"/>
        <w:widowControl w:val="0"/>
        <w:autoSpaceDE w:val="0"/>
        <w:autoSpaceDN w:val="0"/>
        <w:adjustRightInd w:val="0"/>
        <w:spacing w:line="240" w:lineRule="auto"/>
        <w:rPr>
          <w:rFonts w:ascii="Calibri" w:hAnsi="Calibri" w:cs="Calibri"/>
          <w:noProof/>
          <w:sz w:val="20"/>
          <w:szCs w:val="28"/>
        </w:rPr>
      </w:pPr>
    </w:p>
    <w:p w14:paraId="6F8472F1" w14:textId="4F30B169" w:rsidR="003F4910" w:rsidRPr="008257F0" w:rsidRDefault="0049609E" w:rsidP="003F491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Baker, A., Lewin, T., Reichler, H., Clancy, R., Carr, V., Garrett, R., Terry, M.</w:t>
      </w:r>
      <w:r w:rsidR="007F0180" w:rsidRPr="008257F0">
        <w:rPr>
          <w:rFonts w:ascii="Calibri" w:hAnsi="Calibri" w:cs="Calibri"/>
          <w:noProof/>
          <w:sz w:val="20"/>
          <w:szCs w:val="28"/>
        </w:rPr>
        <w:t xml:space="preserve"> (</w:t>
      </w:r>
      <w:r w:rsidRPr="008257F0">
        <w:rPr>
          <w:rFonts w:ascii="Calibri" w:hAnsi="Calibri" w:cs="Calibri"/>
          <w:noProof/>
          <w:sz w:val="20"/>
          <w:szCs w:val="28"/>
        </w:rPr>
        <w:t>2002</w:t>
      </w:r>
      <w:r w:rsidR="000B27AC" w:rsidRPr="008257F0">
        <w:rPr>
          <w:rFonts w:ascii="Calibri" w:hAnsi="Calibri" w:cs="Calibri"/>
          <w:noProof/>
          <w:sz w:val="20"/>
          <w:szCs w:val="28"/>
        </w:rPr>
        <w:t>)</w:t>
      </w:r>
      <w:r w:rsidRPr="008257F0">
        <w:rPr>
          <w:rFonts w:ascii="Calibri" w:hAnsi="Calibri" w:cs="Calibri"/>
          <w:noProof/>
          <w:sz w:val="20"/>
          <w:szCs w:val="28"/>
        </w:rPr>
        <w:t xml:space="preserve">. Motivational interviewing among psychiatric in-patients with substance use disorders. </w:t>
      </w:r>
      <w:bookmarkStart w:id="6" w:name="_Hlk43915376"/>
      <w:r w:rsidRPr="008257F0">
        <w:rPr>
          <w:rFonts w:ascii="Calibri" w:hAnsi="Calibri" w:cs="Calibri"/>
          <w:i/>
          <w:iCs/>
          <w:noProof/>
          <w:sz w:val="20"/>
          <w:szCs w:val="28"/>
        </w:rPr>
        <w:t>Acta Psychiatr</w:t>
      </w:r>
      <w:r w:rsidR="002E6DD3">
        <w:rPr>
          <w:rFonts w:ascii="Calibri" w:hAnsi="Calibri" w:cs="Calibri"/>
          <w:i/>
          <w:iCs/>
          <w:noProof/>
          <w:sz w:val="20"/>
          <w:szCs w:val="28"/>
        </w:rPr>
        <w:t>ica</w:t>
      </w:r>
      <w:r w:rsidRPr="008257F0">
        <w:rPr>
          <w:rFonts w:ascii="Calibri" w:hAnsi="Calibri" w:cs="Calibri"/>
          <w:i/>
          <w:iCs/>
          <w:noProof/>
          <w:sz w:val="20"/>
          <w:szCs w:val="28"/>
        </w:rPr>
        <w:t xml:space="preserve"> Scand</w:t>
      </w:r>
      <w:r w:rsidR="002E6DD3">
        <w:rPr>
          <w:rFonts w:ascii="Calibri" w:hAnsi="Calibri" w:cs="Calibri"/>
          <w:i/>
          <w:iCs/>
          <w:noProof/>
          <w:sz w:val="20"/>
          <w:szCs w:val="28"/>
        </w:rPr>
        <w:t>inavica</w:t>
      </w:r>
      <w:bookmarkEnd w:id="6"/>
      <w:r w:rsidR="002E6DD3">
        <w:rPr>
          <w:rFonts w:ascii="Calibri" w:hAnsi="Calibri" w:cs="Calibri"/>
          <w:i/>
          <w:iCs/>
          <w:noProof/>
          <w:sz w:val="20"/>
          <w:szCs w:val="28"/>
        </w:rPr>
        <w:t>.</w:t>
      </w:r>
      <w:r w:rsidRPr="008257F0">
        <w:rPr>
          <w:rFonts w:ascii="Calibri" w:hAnsi="Calibri" w:cs="Calibri"/>
          <w:i/>
          <w:iCs/>
          <w:noProof/>
          <w:sz w:val="20"/>
          <w:szCs w:val="28"/>
        </w:rPr>
        <w:t xml:space="preserve"> 106</w:t>
      </w:r>
      <w:r w:rsidRPr="008257F0">
        <w:rPr>
          <w:rFonts w:ascii="Calibri" w:hAnsi="Calibri" w:cs="Calibri"/>
          <w:noProof/>
          <w:sz w:val="20"/>
          <w:szCs w:val="28"/>
        </w:rPr>
        <w:t xml:space="preserve">, 233–240. </w:t>
      </w:r>
      <w:r w:rsidR="00E57192" w:rsidRPr="00E57192">
        <w:rPr>
          <w:rFonts w:ascii="Calibri" w:hAnsi="Calibri" w:cs="Calibri"/>
          <w:noProof/>
          <w:sz w:val="20"/>
          <w:szCs w:val="28"/>
        </w:rPr>
        <w:t>doi:10.1034/j.1600-0447.2002.01118.x</w:t>
      </w:r>
    </w:p>
    <w:p w14:paraId="473A8282" w14:textId="77777777" w:rsidR="003F4910" w:rsidRPr="008257F0" w:rsidRDefault="003F4910" w:rsidP="003F4910">
      <w:pPr>
        <w:pStyle w:val="ListParagraph"/>
        <w:rPr>
          <w:rFonts w:ascii="Calibri" w:hAnsi="Calibri" w:cs="Calibri"/>
          <w:noProof/>
          <w:sz w:val="20"/>
          <w:szCs w:val="28"/>
        </w:rPr>
      </w:pPr>
    </w:p>
    <w:p w14:paraId="7A9587C9" w14:textId="4A537400" w:rsidR="003F4910" w:rsidRPr="008257F0" w:rsidRDefault="0049609E" w:rsidP="003F491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Barlow, K., Grenyer, B., &amp; Ilkiw-Lavalle, O.</w:t>
      </w:r>
      <w:r w:rsidR="007F0180" w:rsidRPr="008257F0">
        <w:rPr>
          <w:rFonts w:ascii="Calibri" w:hAnsi="Calibri" w:cs="Calibri"/>
          <w:noProof/>
          <w:sz w:val="20"/>
          <w:szCs w:val="28"/>
        </w:rPr>
        <w:t xml:space="preserve"> (</w:t>
      </w:r>
      <w:r w:rsidRPr="008257F0">
        <w:rPr>
          <w:rFonts w:ascii="Calibri" w:hAnsi="Calibri" w:cs="Calibri"/>
          <w:noProof/>
          <w:sz w:val="20"/>
          <w:szCs w:val="28"/>
        </w:rPr>
        <w:t>2000</w:t>
      </w:r>
      <w:r w:rsidR="000B27AC" w:rsidRPr="008257F0">
        <w:rPr>
          <w:rFonts w:ascii="Calibri" w:hAnsi="Calibri" w:cs="Calibri"/>
          <w:noProof/>
          <w:sz w:val="20"/>
          <w:szCs w:val="28"/>
        </w:rPr>
        <w:t>)</w:t>
      </w:r>
      <w:r w:rsidRPr="008257F0">
        <w:rPr>
          <w:rFonts w:ascii="Calibri" w:hAnsi="Calibri" w:cs="Calibri"/>
          <w:noProof/>
          <w:sz w:val="20"/>
          <w:szCs w:val="28"/>
        </w:rPr>
        <w:t>. Prevalence and Precipitants of Aggression in Psychiatric Inpatient Units.</w:t>
      </w:r>
      <w:r w:rsidR="009E3302">
        <w:rPr>
          <w:rFonts w:ascii="Calibri" w:hAnsi="Calibri" w:cs="Calibri"/>
          <w:i/>
          <w:iCs/>
          <w:noProof/>
          <w:sz w:val="20"/>
          <w:szCs w:val="28"/>
        </w:rPr>
        <w:t xml:space="preserve"> Australian &amp; New Zealand Journal of Psychiatry.</w:t>
      </w:r>
      <w:r w:rsidRPr="008257F0">
        <w:rPr>
          <w:rFonts w:ascii="Calibri" w:hAnsi="Calibri" w:cs="Calibri"/>
          <w:i/>
          <w:iCs/>
          <w:noProof/>
          <w:sz w:val="20"/>
          <w:szCs w:val="28"/>
        </w:rPr>
        <w:t xml:space="preserve"> 34</w:t>
      </w:r>
      <w:r w:rsidRPr="008257F0">
        <w:rPr>
          <w:rFonts w:ascii="Calibri" w:hAnsi="Calibri" w:cs="Calibri"/>
          <w:noProof/>
          <w:sz w:val="20"/>
          <w:szCs w:val="28"/>
        </w:rPr>
        <w:t xml:space="preserve">, 967–974. </w:t>
      </w:r>
      <w:r w:rsidR="003D5FAB" w:rsidRPr="003D5FAB">
        <w:rPr>
          <w:rFonts w:ascii="Calibri" w:hAnsi="Calibri" w:cs="Calibri"/>
          <w:noProof/>
          <w:sz w:val="20"/>
          <w:szCs w:val="28"/>
        </w:rPr>
        <w:t>doi:10.1080/000486700271</w:t>
      </w:r>
    </w:p>
    <w:p w14:paraId="55871671" w14:textId="77777777" w:rsidR="003F4910" w:rsidRPr="008257F0" w:rsidRDefault="003F4910" w:rsidP="003F4910">
      <w:pPr>
        <w:pStyle w:val="ListParagraph"/>
        <w:rPr>
          <w:rFonts w:ascii="Calibri" w:hAnsi="Calibri" w:cs="Calibri"/>
          <w:noProof/>
          <w:sz w:val="20"/>
          <w:szCs w:val="28"/>
        </w:rPr>
      </w:pPr>
    </w:p>
    <w:p w14:paraId="2714B048" w14:textId="7756024E" w:rsidR="003F4910" w:rsidRPr="008257F0" w:rsidRDefault="0049609E" w:rsidP="003F491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Barry, K. R., Tudway, J. A., &amp; Blissett, J.</w:t>
      </w:r>
      <w:r w:rsidR="007F0180" w:rsidRPr="008257F0">
        <w:rPr>
          <w:rFonts w:ascii="Calibri" w:hAnsi="Calibri" w:cs="Calibri"/>
          <w:noProof/>
          <w:sz w:val="20"/>
          <w:szCs w:val="28"/>
        </w:rPr>
        <w:t xml:space="preserve"> (</w:t>
      </w:r>
      <w:r w:rsidRPr="008257F0">
        <w:rPr>
          <w:rFonts w:ascii="Calibri" w:hAnsi="Calibri" w:cs="Calibri"/>
          <w:noProof/>
          <w:sz w:val="20"/>
          <w:szCs w:val="28"/>
        </w:rPr>
        <w:t>2002</w:t>
      </w:r>
      <w:r w:rsidR="000B27AC" w:rsidRPr="008257F0">
        <w:rPr>
          <w:rFonts w:ascii="Calibri" w:hAnsi="Calibri" w:cs="Calibri"/>
          <w:noProof/>
          <w:sz w:val="20"/>
          <w:szCs w:val="28"/>
        </w:rPr>
        <w:t>)</w:t>
      </w:r>
      <w:r w:rsidRPr="008257F0">
        <w:rPr>
          <w:rFonts w:ascii="Calibri" w:hAnsi="Calibri" w:cs="Calibri"/>
          <w:noProof/>
          <w:sz w:val="20"/>
          <w:szCs w:val="28"/>
        </w:rPr>
        <w:t xml:space="preserve">. Staff drug knowledge and attitudes towards drug use among the mentally ill within a medium secure psychiatric hospital. </w:t>
      </w:r>
      <w:r w:rsidR="007C175F">
        <w:rPr>
          <w:rFonts w:ascii="Calibri" w:hAnsi="Calibri" w:cs="Calibri"/>
          <w:i/>
          <w:iCs/>
          <w:noProof/>
          <w:sz w:val="20"/>
          <w:szCs w:val="28"/>
        </w:rPr>
        <w:t>Journal of Substance Use</w:t>
      </w:r>
      <w:r w:rsidRPr="008257F0">
        <w:rPr>
          <w:rFonts w:ascii="Calibri" w:hAnsi="Calibri" w:cs="Calibri"/>
          <w:i/>
          <w:iCs/>
          <w:noProof/>
          <w:sz w:val="20"/>
          <w:szCs w:val="28"/>
        </w:rPr>
        <w:t>. 7</w:t>
      </w:r>
      <w:r w:rsidRPr="008257F0">
        <w:rPr>
          <w:rFonts w:ascii="Calibri" w:hAnsi="Calibri" w:cs="Calibri"/>
          <w:noProof/>
          <w:sz w:val="20"/>
          <w:szCs w:val="28"/>
        </w:rPr>
        <w:t xml:space="preserve">, 50–56. </w:t>
      </w:r>
      <w:r w:rsidR="00EA2A80">
        <w:rPr>
          <w:rFonts w:ascii="Calibri" w:hAnsi="Calibri" w:cs="Calibri"/>
          <w:noProof/>
          <w:sz w:val="20"/>
          <w:szCs w:val="28"/>
        </w:rPr>
        <w:t>doi</w:t>
      </w:r>
      <w:r w:rsidR="00EA2A80" w:rsidRPr="00EA2A80">
        <w:rPr>
          <w:rFonts w:ascii="Calibri" w:hAnsi="Calibri" w:cs="Calibri"/>
          <w:noProof/>
          <w:sz w:val="20"/>
          <w:szCs w:val="28"/>
        </w:rPr>
        <w:t>: 10.1080/14659890110110365</w:t>
      </w:r>
    </w:p>
    <w:p w14:paraId="5FBB84DC" w14:textId="77777777" w:rsidR="003F4910" w:rsidRPr="008257F0" w:rsidRDefault="003F4910" w:rsidP="003F4910">
      <w:pPr>
        <w:pStyle w:val="ListParagraph"/>
        <w:rPr>
          <w:rFonts w:ascii="Calibri" w:hAnsi="Calibri" w:cs="Calibri"/>
          <w:noProof/>
          <w:sz w:val="20"/>
          <w:szCs w:val="28"/>
        </w:rPr>
      </w:pPr>
    </w:p>
    <w:p w14:paraId="28A5A5FD" w14:textId="6F0821A9" w:rsidR="003F4910" w:rsidRPr="008257F0" w:rsidRDefault="0049609E" w:rsidP="003F491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Bartlett, C., Evans, M., Holloway, J., O’Connor, S., &amp; Harrison, G.</w:t>
      </w:r>
      <w:r w:rsidR="007F0180" w:rsidRPr="008257F0">
        <w:rPr>
          <w:rFonts w:ascii="Calibri" w:hAnsi="Calibri" w:cs="Calibri"/>
          <w:noProof/>
          <w:sz w:val="20"/>
          <w:szCs w:val="28"/>
        </w:rPr>
        <w:t xml:space="preserve"> (</w:t>
      </w:r>
      <w:r w:rsidRPr="008257F0">
        <w:rPr>
          <w:rFonts w:ascii="Calibri" w:hAnsi="Calibri" w:cs="Calibri"/>
          <w:noProof/>
          <w:sz w:val="20"/>
          <w:szCs w:val="28"/>
        </w:rPr>
        <w:t>1999</w:t>
      </w:r>
      <w:r w:rsidR="000B27AC" w:rsidRPr="008257F0">
        <w:rPr>
          <w:rFonts w:ascii="Calibri" w:hAnsi="Calibri" w:cs="Calibri"/>
          <w:noProof/>
          <w:sz w:val="20"/>
          <w:szCs w:val="28"/>
        </w:rPr>
        <w:t>)</w:t>
      </w:r>
      <w:r w:rsidRPr="008257F0">
        <w:rPr>
          <w:rFonts w:ascii="Calibri" w:hAnsi="Calibri" w:cs="Calibri"/>
          <w:noProof/>
          <w:sz w:val="20"/>
          <w:szCs w:val="28"/>
        </w:rPr>
        <w:t xml:space="preserve">. Markers of inappropriate placement in acute psychiatric inpatient care: A five hospital study. </w:t>
      </w:r>
      <w:r w:rsidR="00CF14A9">
        <w:rPr>
          <w:rFonts w:ascii="Calibri" w:hAnsi="Calibri" w:cs="Calibri"/>
          <w:i/>
          <w:iCs/>
          <w:noProof/>
          <w:sz w:val="20"/>
          <w:szCs w:val="28"/>
        </w:rPr>
        <w:t>Social Psychiatry and Psychiatric Epidemiology</w:t>
      </w:r>
      <w:r w:rsidRPr="008257F0">
        <w:rPr>
          <w:rFonts w:ascii="Calibri" w:hAnsi="Calibri" w:cs="Calibri"/>
          <w:i/>
          <w:iCs/>
          <w:noProof/>
          <w:sz w:val="20"/>
          <w:szCs w:val="28"/>
        </w:rPr>
        <w:t>. 34</w:t>
      </w:r>
      <w:r w:rsidRPr="008257F0">
        <w:rPr>
          <w:rFonts w:ascii="Calibri" w:hAnsi="Calibri" w:cs="Calibri"/>
          <w:noProof/>
          <w:sz w:val="20"/>
          <w:szCs w:val="28"/>
        </w:rPr>
        <w:t xml:space="preserve">, 367–375. </w:t>
      </w:r>
      <w:r w:rsidR="00471426" w:rsidRPr="00471426">
        <w:rPr>
          <w:rFonts w:ascii="Calibri" w:hAnsi="Calibri" w:cs="Calibri"/>
          <w:noProof/>
          <w:sz w:val="20"/>
          <w:szCs w:val="28"/>
        </w:rPr>
        <w:t>doi:10.1007/s001270050157</w:t>
      </w:r>
    </w:p>
    <w:p w14:paraId="75DDAC81" w14:textId="77777777" w:rsidR="003F4910" w:rsidRPr="008257F0" w:rsidRDefault="003F4910" w:rsidP="003F4910">
      <w:pPr>
        <w:pStyle w:val="ListParagraph"/>
        <w:rPr>
          <w:rFonts w:ascii="Calibri" w:hAnsi="Calibri" w:cs="Calibri"/>
          <w:noProof/>
          <w:sz w:val="20"/>
          <w:szCs w:val="28"/>
        </w:rPr>
      </w:pPr>
    </w:p>
    <w:p w14:paraId="5A941EF8" w14:textId="5A239CC9" w:rsidR="003F4910" w:rsidRPr="008257F0" w:rsidRDefault="0049609E" w:rsidP="003F491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Brown, Richard A., Ramsey, S. E.</w:t>
      </w:r>
      <w:r w:rsidR="007F0180" w:rsidRPr="008257F0">
        <w:rPr>
          <w:rFonts w:ascii="Calibri" w:hAnsi="Calibri" w:cs="Calibri"/>
          <w:noProof/>
          <w:sz w:val="20"/>
          <w:szCs w:val="28"/>
        </w:rPr>
        <w:t xml:space="preserve"> (</w:t>
      </w:r>
      <w:r w:rsidRPr="008257F0">
        <w:rPr>
          <w:rFonts w:ascii="Calibri" w:hAnsi="Calibri" w:cs="Calibri"/>
          <w:noProof/>
          <w:sz w:val="20"/>
          <w:szCs w:val="28"/>
        </w:rPr>
        <w:t>2000</w:t>
      </w:r>
      <w:r w:rsidR="000B27AC" w:rsidRPr="008257F0">
        <w:rPr>
          <w:rFonts w:ascii="Calibri" w:hAnsi="Calibri" w:cs="Calibri"/>
          <w:noProof/>
          <w:sz w:val="20"/>
          <w:szCs w:val="28"/>
        </w:rPr>
        <w:t>)</w:t>
      </w:r>
      <w:r w:rsidRPr="008257F0">
        <w:rPr>
          <w:rFonts w:ascii="Calibri" w:hAnsi="Calibri" w:cs="Calibri"/>
          <w:noProof/>
          <w:sz w:val="20"/>
          <w:szCs w:val="28"/>
        </w:rPr>
        <w:t xml:space="preserve">. Addressing comorbid depressive symptomatology in alcohol treatment. </w:t>
      </w:r>
      <w:r w:rsidR="00F23E0E">
        <w:rPr>
          <w:rFonts w:ascii="Calibri" w:hAnsi="Calibri" w:cs="Calibri"/>
          <w:i/>
          <w:iCs/>
          <w:noProof/>
          <w:sz w:val="20"/>
          <w:szCs w:val="28"/>
        </w:rPr>
        <w:t>Professional Psychology: Research and Practice</w:t>
      </w:r>
      <w:r w:rsidRPr="008257F0">
        <w:rPr>
          <w:rFonts w:ascii="Calibri" w:hAnsi="Calibri" w:cs="Calibri"/>
          <w:i/>
          <w:iCs/>
          <w:noProof/>
          <w:sz w:val="20"/>
          <w:szCs w:val="28"/>
        </w:rPr>
        <w:t>. 31</w:t>
      </w:r>
      <w:r w:rsidRPr="008257F0">
        <w:rPr>
          <w:rFonts w:ascii="Calibri" w:hAnsi="Calibri" w:cs="Calibri"/>
          <w:noProof/>
          <w:sz w:val="20"/>
          <w:szCs w:val="28"/>
        </w:rPr>
        <w:t>, 418–422.</w:t>
      </w:r>
      <w:r w:rsidR="00847D35">
        <w:rPr>
          <w:rFonts w:ascii="Calibri" w:hAnsi="Calibri" w:cs="Calibri"/>
          <w:noProof/>
          <w:sz w:val="20"/>
          <w:szCs w:val="28"/>
        </w:rPr>
        <w:t xml:space="preserve"> doi: </w:t>
      </w:r>
      <w:r w:rsidR="00847D35" w:rsidRPr="00847D35">
        <w:rPr>
          <w:rFonts w:ascii="Calibri" w:hAnsi="Calibri" w:cs="Calibri"/>
          <w:noProof/>
          <w:sz w:val="20"/>
          <w:szCs w:val="28"/>
        </w:rPr>
        <w:t>10.1037//0735-7028.31.4.418</w:t>
      </w:r>
    </w:p>
    <w:p w14:paraId="7F7504E7" w14:textId="77777777" w:rsidR="003F4910" w:rsidRPr="008257F0" w:rsidRDefault="003F4910" w:rsidP="003F4910">
      <w:pPr>
        <w:pStyle w:val="ListParagraph"/>
        <w:rPr>
          <w:rFonts w:ascii="Calibri" w:hAnsi="Calibri" w:cs="Calibri"/>
          <w:noProof/>
          <w:sz w:val="20"/>
          <w:szCs w:val="28"/>
        </w:rPr>
      </w:pPr>
    </w:p>
    <w:p w14:paraId="39380555" w14:textId="2AB7DF9A" w:rsidR="003F4910" w:rsidRPr="008257F0" w:rsidRDefault="0049609E" w:rsidP="003F491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Brown, S., O’Rourke, S., &amp; Schwannauer, M.</w:t>
      </w:r>
      <w:r w:rsidR="007F0180" w:rsidRPr="008257F0">
        <w:rPr>
          <w:rFonts w:ascii="Calibri" w:hAnsi="Calibri" w:cs="Calibri"/>
          <w:noProof/>
          <w:sz w:val="20"/>
          <w:szCs w:val="28"/>
        </w:rPr>
        <w:t xml:space="preserve"> (</w:t>
      </w:r>
      <w:r w:rsidRPr="008257F0">
        <w:rPr>
          <w:rFonts w:ascii="Calibri" w:hAnsi="Calibri" w:cs="Calibri"/>
          <w:noProof/>
          <w:sz w:val="20"/>
          <w:szCs w:val="28"/>
        </w:rPr>
        <w:t>2019</w:t>
      </w:r>
      <w:r w:rsidR="000B27AC" w:rsidRPr="008257F0">
        <w:rPr>
          <w:rFonts w:ascii="Calibri" w:hAnsi="Calibri" w:cs="Calibri"/>
          <w:noProof/>
          <w:sz w:val="20"/>
          <w:szCs w:val="28"/>
        </w:rPr>
        <w:t>)</w:t>
      </w:r>
      <w:r w:rsidRPr="008257F0">
        <w:rPr>
          <w:rFonts w:ascii="Calibri" w:hAnsi="Calibri" w:cs="Calibri"/>
          <w:noProof/>
          <w:sz w:val="20"/>
          <w:szCs w:val="28"/>
        </w:rPr>
        <w:t xml:space="preserve">. Risk factors for inpatient violence and self-harm in forensic psychiatry: the role of head injury, schizophrenia and substance misuse. </w:t>
      </w:r>
      <w:r w:rsidRPr="008257F0">
        <w:rPr>
          <w:rFonts w:ascii="Calibri" w:hAnsi="Calibri" w:cs="Calibri"/>
          <w:i/>
          <w:iCs/>
          <w:noProof/>
          <w:sz w:val="20"/>
          <w:szCs w:val="28"/>
        </w:rPr>
        <w:t>Brain Injury. 33</w:t>
      </w:r>
      <w:r w:rsidRPr="008257F0">
        <w:rPr>
          <w:rFonts w:ascii="Calibri" w:hAnsi="Calibri" w:cs="Calibri"/>
          <w:noProof/>
          <w:sz w:val="20"/>
          <w:szCs w:val="28"/>
        </w:rPr>
        <w:t>, 313–321.</w:t>
      </w:r>
      <w:r w:rsidR="008A3C85" w:rsidRPr="008A3C85">
        <w:t xml:space="preserve"> </w:t>
      </w:r>
      <w:r w:rsidR="008A3C85" w:rsidRPr="008A3C85">
        <w:rPr>
          <w:rFonts w:ascii="Calibri" w:hAnsi="Calibri" w:cs="Calibri"/>
          <w:noProof/>
          <w:sz w:val="20"/>
          <w:szCs w:val="28"/>
        </w:rPr>
        <w:t>doi:10.1080/02699052.2018.1553064</w:t>
      </w:r>
    </w:p>
    <w:p w14:paraId="35316FF6" w14:textId="77777777" w:rsidR="003F4910" w:rsidRPr="008257F0" w:rsidRDefault="003F4910" w:rsidP="003F4910">
      <w:pPr>
        <w:pStyle w:val="ListParagraph"/>
        <w:rPr>
          <w:rFonts w:ascii="Calibri" w:hAnsi="Calibri" w:cs="Calibri"/>
          <w:noProof/>
          <w:sz w:val="20"/>
          <w:szCs w:val="28"/>
        </w:rPr>
      </w:pPr>
    </w:p>
    <w:p w14:paraId="285B0024" w14:textId="77777777" w:rsidR="003F4910" w:rsidRPr="008257F0" w:rsidRDefault="0049609E" w:rsidP="003F491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 xml:space="preserve">Carey, T. L. (2018). Use of Antidepressants in Patients with Co-occurring Depression and Substance Use Disorders, in: </w:t>
      </w:r>
      <w:r w:rsidRPr="008257F0">
        <w:rPr>
          <w:rFonts w:ascii="Calibri" w:hAnsi="Calibri" w:cs="Calibri"/>
          <w:i/>
          <w:iCs/>
          <w:noProof/>
          <w:sz w:val="20"/>
          <w:szCs w:val="28"/>
        </w:rPr>
        <w:t>Handbook of experimental pharmacology</w:t>
      </w:r>
      <w:r w:rsidRPr="008257F0">
        <w:rPr>
          <w:rFonts w:ascii="Calibri" w:hAnsi="Calibri" w:cs="Calibri"/>
          <w:noProof/>
          <w:sz w:val="20"/>
          <w:szCs w:val="28"/>
        </w:rPr>
        <w:t xml:space="preserve">. pp. 359–370. </w:t>
      </w:r>
    </w:p>
    <w:p w14:paraId="462136E6" w14:textId="77777777" w:rsidR="003F4910" w:rsidRPr="008257F0" w:rsidRDefault="003F4910" w:rsidP="003F4910">
      <w:pPr>
        <w:pStyle w:val="ListParagraph"/>
        <w:rPr>
          <w:rFonts w:ascii="Calibri" w:hAnsi="Calibri" w:cs="Calibri"/>
          <w:noProof/>
          <w:sz w:val="20"/>
          <w:szCs w:val="28"/>
        </w:rPr>
      </w:pPr>
    </w:p>
    <w:p w14:paraId="5E561BC0" w14:textId="4EF0BAAD"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Clarke, D. E., Gonzalez, M., Pereira, A., Boyce-Gaudreau, K., Waldman, C., &amp; Demczuk, L.</w:t>
      </w:r>
      <w:r w:rsidR="007F0180" w:rsidRPr="008257F0">
        <w:rPr>
          <w:rFonts w:ascii="Calibri" w:hAnsi="Calibri" w:cs="Calibri"/>
          <w:noProof/>
          <w:sz w:val="20"/>
          <w:szCs w:val="28"/>
        </w:rPr>
        <w:t xml:space="preserve"> (</w:t>
      </w:r>
      <w:r w:rsidRPr="008257F0">
        <w:rPr>
          <w:rFonts w:ascii="Calibri" w:hAnsi="Calibri" w:cs="Calibri"/>
          <w:noProof/>
          <w:sz w:val="20"/>
          <w:szCs w:val="28"/>
        </w:rPr>
        <w:t>2015</w:t>
      </w:r>
      <w:r w:rsidR="000B27AC" w:rsidRPr="008257F0">
        <w:rPr>
          <w:rFonts w:ascii="Calibri" w:hAnsi="Calibri" w:cs="Calibri"/>
          <w:noProof/>
          <w:sz w:val="20"/>
          <w:szCs w:val="28"/>
        </w:rPr>
        <w:t>)</w:t>
      </w:r>
      <w:r w:rsidRPr="008257F0">
        <w:rPr>
          <w:rFonts w:ascii="Calibri" w:hAnsi="Calibri" w:cs="Calibri"/>
          <w:noProof/>
          <w:sz w:val="20"/>
          <w:szCs w:val="28"/>
        </w:rPr>
        <w:t>. The impact of knowledge on attitudes of emergency department staff towards patients with substance related presentations: a quantitative systematic review protocol.</w:t>
      </w:r>
      <w:r w:rsidR="00FF48EE">
        <w:rPr>
          <w:rFonts w:ascii="Calibri" w:hAnsi="Calibri" w:cs="Calibri"/>
          <w:i/>
          <w:iCs/>
          <w:noProof/>
          <w:sz w:val="20"/>
          <w:szCs w:val="28"/>
        </w:rPr>
        <w:t xml:space="preserve"> JBI Database of Systematic Reviews and Implementation Reports</w:t>
      </w:r>
      <w:r w:rsidRPr="008257F0">
        <w:rPr>
          <w:rFonts w:ascii="Calibri" w:hAnsi="Calibri" w:cs="Calibri"/>
          <w:i/>
          <w:iCs/>
          <w:noProof/>
          <w:sz w:val="20"/>
          <w:szCs w:val="28"/>
        </w:rPr>
        <w:t>. 13</w:t>
      </w:r>
      <w:r w:rsidRPr="008257F0">
        <w:rPr>
          <w:rFonts w:ascii="Calibri" w:hAnsi="Calibri" w:cs="Calibri"/>
          <w:noProof/>
          <w:sz w:val="20"/>
          <w:szCs w:val="28"/>
        </w:rPr>
        <w:t xml:space="preserve">, 133-45. </w:t>
      </w:r>
      <w:r w:rsidR="001B1C1C" w:rsidRPr="001B1C1C">
        <w:rPr>
          <w:rFonts w:ascii="Calibri" w:hAnsi="Calibri" w:cs="Calibri"/>
          <w:noProof/>
          <w:sz w:val="20"/>
          <w:szCs w:val="28"/>
        </w:rPr>
        <w:t>doi:10.11124/jbisrir-2015-2203</w:t>
      </w:r>
    </w:p>
    <w:p w14:paraId="28737722" w14:textId="77777777" w:rsidR="008257F0" w:rsidRPr="008257F0" w:rsidRDefault="008257F0" w:rsidP="008257F0">
      <w:pPr>
        <w:pStyle w:val="ListParagraph"/>
        <w:rPr>
          <w:rFonts w:ascii="Calibri" w:hAnsi="Calibri" w:cs="Calibri"/>
          <w:noProof/>
          <w:sz w:val="20"/>
          <w:szCs w:val="28"/>
        </w:rPr>
      </w:pPr>
    </w:p>
    <w:p w14:paraId="7A912C95" w14:textId="682611EC"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Cornelius, J. R., Salloum, I. M., Ehler, J. G., Jarrett, P. J., Cornelius, M. D., Perel, J. M., Black, A.</w:t>
      </w:r>
      <w:r w:rsidR="007F0180" w:rsidRPr="008257F0">
        <w:rPr>
          <w:rFonts w:ascii="Calibri" w:hAnsi="Calibri" w:cs="Calibri"/>
          <w:noProof/>
          <w:sz w:val="20"/>
          <w:szCs w:val="28"/>
        </w:rPr>
        <w:t xml:space="preserve"> (</w:t>
      </w:r>
      <w:r w:rsidRPr="008257F0">
        <w:rPr>
          <w:rFonts w:ascii="Calibri" w:hAnsi="Calibri" w:cs="Calibri"/>
          <w:noProof/>
          <w:sz w:val="20"/>
          <w:szCs w:val="28"/>
        </w:rPr>
        <w:t>1997</w:t>
      </w:r>
      <w:r w:rsidR="000B27AC" w:rsidRPr="008257F0">
        <w:rPr>
          <w:rFonts w:ascii="Calibri" w:hAnsi="Calibri" w:cs="Calibri"/>
          <w:noProof/>
          <w:sz w:val="20"/>
          <w:szCs w:val="28"/>
        </w:rPr>
        <w:t>)</w:t>
      </w:r>
      <w:r w:rsidRPr="008257F0">
        <w:rPr>
          <w:rFonts w:ascii="Calibri" w:hAnsi="Calibri" w:cs="Calibri"/>
          <w:noProof/>
          <w:sz w:val="20"/>
          <w:szCs w:val="28"/>
        </w:rPr>
        <w:t xml:space="preserve">. Fluoxetine in depressed alcoholics: A double-blind, placebo-controlled trial. </w:t>
      </w:r>
      <w:r w:rsidR="009845CE">
        <w:rPr>
          <w:rFonts w:ascii="Calibri" w:hAnsi="Calibri" w:cs="Calibri"/>
          <w:i/>
          <w:iCs/>
          <w:noProof/>
          <w:sz w:val="20"/>
          <w:szCs w:val="28"/>
        </w:rPr>
        <w:t>Archives of General Psychiatry</w:t>
      </w:r>
      <w:r w:rsidRPr="008257F0">
        <w:rPr>
          <w:rFonts w:ascii="Calibri" w:hAnsi="Calibri" w:cs="Calibri"/>
          <w:i/>
          <w:iCs/>
          <w:noProof/>
          <w:sz w:val="20"/>
          <w:szCs w:val="28"/>
        </w:rPr>
        <w:t>. 54</w:t>
      </w:r>
      <w:r w:rsidRPr="008257F0">
        <w:rPr>
          <w:rFonts w:ascii="Calibri" w:hAnsi="Calibri" w:cs="Calibri"/>
          <w:noProof/>
          <w:sz w:val="20"/>
          <w:szCs w:val="28"/>
        </w:rPr>
        <w:t>, 700–705.</w:t>
      </w:r>
      <w:r w:rsidR="007115B8" w:rsidRPr="007115B8">
        <w:t xml:space="preserve"> </w:t>
      </w:r>
      <w:r w:rsidR="007115B8" w:rsidRPr="007115B8">
        <w:rPr>
          <w:rFonts w:ascii="Calibri" w:hAnsi="Calibri" w:cs="Calibri"/>
          <w:noProof/>
          <w:sz w:val="20"/>
          <w:szCs w:val="28"/>
        </w:rPr>
        <w:t>doi:10.1001/archpsyc.1997.01830200024004</w:t>
      </w:r>
    </w:p>
    <w:p w14:paraId="2E683D60" w14:textId="77777777" w:rsidR="008257F0" w:rsidRPr="008257F0" w:rsidRDefault="008257F0" w:rsidP="008257F0">
      <w:pPr>
        <w:pStyle w:val="ListParagraph"/>
        <w:rPr>
          <w:rFonts w:ascii="Calibri" w:hAnsi="Calibri" w:cs="Calibri"/>
          <w:noProof/>
          <w:sz w:val="20"/>
          <w:szCs w:val="28"/>
        </w:rPr>
      </w:pPr>
    </w:p>
    <w:p w14:paraId="50C1EE54" w14:textId="1BCFF551"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Deckert, J., &amp; Erhardt, A.</w:t>
      </w:r>
      <w:r w:rsidR="007F0180" w:rsidRPr="008257F0">
        <w:rPr>
          <w:rFonts w:ascii="Calibri" w:hAnsi="Calibri" w:cs="Calibri"/>
          <w:noProof/>
          <w:sz w:val="20"/>
          <w:szCs w:val="28"/>
        </w:rPr>
        <w:t xml:space="preserve"> (</w:t>
      </w:r>
      <w:r w:rsidRPr="008257F0">
        <w:rPr>
          <w:rFonts w:ascii="Calibri" w:hAnsi="Calibri" w:cs="Calibri"/>
          <w:noProof/>
          <w:sz w:val="20"/>
          <w:szCs w:val="28"/>
        </w:rPr>
        <w:t>2019</w:t>
      </w:r>
      <w:r w:rsidR="000B27AC" w:rsidRPr="008257F0">
        <w:rPr>
          <w:rFonts w:ascii="Calibri" w:hAnsi="Calibri" w:cs="Calibri"/>
          <w:noProof/>
          <w:sz w:val="20"/>
          <w:szCs w:val="28"/>
        </w:rPr>
        <w:t>)</w:t>
      </w:r>
      <w:r w:rsidRPr="008257F0">
        <w:rPr>
          <w:rFonts w:ascii="Calibri" w:hAnsi="Calibri" w:cs="Calibri"/>
          <w:noProof/>
          <w:sz w:val="20"/>
          <w:szCs w:val="28"/>
        </w:rPr>
        <w:t xml:space="preserve">. Predicting treatment outcome for anxiety disorders with or without comorbid depression using clinical, imaging and (epi)genetic data. </w:t>
      </w:r>
      <w:r w:rsidR="0091533F">
        <w:rPr>
          <w:rFonts w:ascii="Calibri" w:hAnsi="Calibri" w:cs="Calibri"/>
          <w:i/>
          <w:iCs/>
          <w:noProof/>
          <w:sz w:val="20"/>
          <w:szCs w:val="28"/>
        </w:rPr>
        <w:t>Current Opinion in Psychiatry</w:t>
      </w:r>
      <w:r w:rsidRPr="008257F0">
        <w:rPr>
          <w:rFonts w:ascii="Calibri" w:hAnsi="Calibri" w:cs="Calibri"/>
          <w:i/>
          <w:iCs/>
          <w:noProof/>
          <w:sz w:val="20"/>
          <w:szCs w:val="28"/>
        </w:rPr>
        <w:t>. 32</w:t>
      </w:r>
      <w:r w:rsidRPr="008257F0">
        <w:rPr>
          <w:rFonts w:ascii="Calibri" w:hAnsi="Calibri" w:cs="Calibri"/>
          <w:noProof/>
          <w:sz w:val="20"/>
          <w:szCs w:val="28"/>
        </w:rPr>
        <w:t xml:space="preserve">, 1–6. </w:t>
      </w:r>
      <w:r w:rsidR="00F02D32" w:rsidRPr="00F02D32">
        <w:rPr>
          <w:rFonts w:ascii="Calibri" w:hAnsi="Calibri" w:cs="Calibri"/>
          <w:noProof/>
          <w:sz w:val="20"/>
          <w:szCs w:val="28"/>
        </w:rPr>
        <w:t>doi:10.1097/YCO.0000000000000468</w:t>
      </w:r>
    </w:p>
    <w:p w14:paraId="3AE0F3B1" w14:textId="77777777" w:rsidR="008257F0" w:rsidRPr="008257F0" w:rsidRDefault="008257F0" w:rsidP="008257F0">
      <w:pPr>
        <w:pStyle w:val="ListParagraph"/>
        <w:rPr>
          <w:rFonts w:ascii="Calibri" w:hAnsi="Calibri" w:cs="Calibri"/>
          <w:noProof/>
          <w:sz w:val="20"/>
          <w:szCs w:val="28"/>
        </w:rPr>
      </w:pPr>
    </w:p>
    <w:p w14:paraId="28C0CB24" w14:textId="77777777"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Department of Health and Social Care</w:t>
      </w:r>
      <w:r w:rsidR="007F0180" w:rsidRPr="008257F0">
        <w:rPr>
          <w:rFonts w:ascii="Calibri" w:hAnsi="Calibri" w:cs="Calibri"/>
          <w:noProof/>
          <w:sz w:val="20"/>
          <w:szCs w:val="28"/>
        </w:rPr>
        <w:t xml:space="preserve"> (</w:t>
      </w:r>
      <w:r w:rsidRPr="008257F0">
        <w:rPr>
          <w:rFonts w:ascii="Calibri" w:hAnsi="Calibri" w:cs="Calibri"/>
          <w:noProof/>
          <w:sz w:val="20"/>
          <w:szCs w:val="28"/>
        </w:rPr>
        <w:t>2017</w:t>
      </w:r>
      <w:r w:rsidR="000B27AC" w:rsidRPr="008257F0">
        <w:rPr>
          <w:rFonts w:ascii="Calibri" w:hAnsi="Calibri" w:cs="Calibri"/>
          <w:noProof/>
          <w:sz w:val="20"/>
          <w:szCs w:val="28"/>
        </w:rPr>
        <w:t>)</w:t>
      </w:r>
      <w:r w:rsidRPr="008257F0">
        <w:rPr>
          <w:rFonts w:ascii="Calibri" w:hAnsi="Calibri" w:cs="Calibri"/>
          <w:noProof/>
          <w:sz w:val="20"/>
          <w:szCs w:val="28"/>
        </w:rPr>
        <w:t>. Drug misuse and dependence: UK guidelines on clinical management</w:t>
      </w:r>
      <w:r w:rsidRPr="008257F0">
        <w:rPr>
          <w:rFonts w:ascii="Calibri" w:hAnsi="Calibri" w:cs="Calibri"/>
          <w:i/>
          <w:iCs/>
          <w:noProof/>
          <w:sz w:val="20"/>
          <w:szCs w:val="28"/>
        </w:rPr>
        <w:t xml:space="preserve">. </w:t>
      </w:r>
      <w:r w:rsidRPr="008257F0">
        <w:rPr>
          <w:rFonts w:ascii="Calibri" w:hAnsi="Calibri" w:cs="Calibri"/>
          <w:noProof/>
          <w:sz w:val="20"/>
          <w:szCs w:val="28"/>
        </w:rPr>
        <w:t>Available at: https://www.gov.uk/government/publications/drug-misuse-and-dependence-uk-guidelines-on-clinical-management</w:t>
      </w:r>
    </w:p>
    <w:p w14:paraId="073DDE4E" w14:textId="77777777" w:rsidR="008257F0" w:rsidRPr="008257F0" w:rsidRDefault="008257F0" w:rsidP="008257F0">
      <w:pPr>
        <w:pStyle w:val="ListParagraph"/>
        <w:rPr>
          <w:rFonts w:ascii="Calibri" w:hAnsi="Calibri" w:cs="Calibri"/>
          <w:noProof/>
          <w:sz w:val="20"/>
          <w:szCs w:val="28"/>
        </w:rPr>
      </w:pPr>
    </w:p>
    <w:p w14:paraId="7552B277" w14:textId="078D7918"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Ding, L., Landon, B. E., Wilson, I. B., Wong, M. D., Shapiro, M. F., &amp; Cleary, P. D.</w:t>
      </w:r>
      <w:r w:rsidR="007F0180" w:rsidRPr="008257F0">
        <w:rPr>
          <w:rFonts w:ascii="Calibri" w:hAnsi="Calibri" w:cs="Calibri"/>
          <w:noProof/>
          <w:sz w:val="20"/>
          <w:szCs w:val="28"/>
        </w:rPr>
        <w:t xml:space="preserve"> (</w:t>
      </w:r>
      <w:r w:rsidRPr="008257F0">
        <w:rPr>
          <w:rFonts w:ascii="Calibri" w:hAnsi="Calibri" w:cs="Calibri"/>
          <w:noProof/>
          <w:sz w:val="20"/>
          <w:szCs w:val="28"/>
        </w:rPr>
        <w:t>2005</w:t>
      </w:r>
      <w:r w:rsidR="000B27AC" w:rsidRPr="008257F0">
        <w:rPr>
          <w:rFonts w:ascii="Calibri" w:hAnsi="Calibri" w:cs="Calibri"/>
          <w:noProof/>
          <w:sz w:val="20"/>
          <w:szCs w:val="28"/>
        </w:rPr>
        <w:t>)</w:t>
      </w:r>
      <w:r w:rsidRPr="008257F0">
        <w:rPr>
          <w:rFonts w:ascii="Calibri" w:hAnsi="Calibri" w:cs="Calibri"/>
          <w:noProof/>
          <w:sz w:val="20"/>
          <w:szCs w:val="28"/>
        </w:rPr>
        <w:t xml:space="preserve">. Predictors and consequences of negative physician attitudes toward HIV-infected injection drug users. </w:t>
      </w:r>
      <w:r w:rsidR="00E2382F">
        <w:rPr>
          <w:rFonts w:ascii="Calibri" w:hAnsi="Calibri" w:cs="Calibri"/>
          <w:i/>
          <w:iCs/>
          <w:noProof/>
          <w:sz w:val="20"/>
          <w:szCs w:val="28"/>
        </w:rPr>
        <w:t>Archives of Internal Medicine</w:t>
      </w:r>
      <w:r w:rsidRPr="008257F0">
        <w:rPr>
          <w:rFonts w:ascii="Calibri" w:hAnsi="Calibri" w:cs="Calibri"/>
          <w:i/>
          <w:iCs/>
          <w:noProof/>
          <w:sz w:val="20"/>
          <w:szCs w:val="28"/>
        </w:rPr>
        <w:t>. 165</w:t>
      </w:r>
      <w:r w:rsidRPr="008257F0">
        <w:rPr>
          <w:rFonts w:ascii="Calibri" w:hAnsi="Calibri" w:cs="Calibri"/>
          <w:noProof/>
          <w:sz w:val="20"/>
          <w:szCs w:val="28"/>
        </w:rPr>
        <w:t xml:space="preserve">, 618–623. </w:t>
      </w:r>
      <w:r w:rsidR="00B21272" w:rsidRPr="00B21272">
        <w:rPr>
          <w:rFonts w:ascii="Calibri" w:hAnsi="Calibri" w:cs="Calibri"/>
          <w:noProof/>
          <w:sz w:val="20"/>
          <w:szCs w:val="28"/>
        </w:rPr>
        <w:t>doi:10.1001/archinte.165.6.618</w:t>
      </w:r>
    </w:p>
    <w:p w14:paraId="00956536" w14:textId="77777777" w:rsidR="008257F0" w:rsidRPr="008257F0" w:rsidRDefault="008257F0" w:rsidP="008257F0">
      <w:pPr>
        <w:pStyle w:val="ListParagraph"/>
        <w:rPr>
          <w:rFonts w:ascii="Calibri" w:hAnsi="Calibri" w:cs="Calibri"/>
          <w:noProof/>
          <w:sz w:val="20"/>
          <w:szCs w:val="28"/>
        </w:rPr>
      </w:pPr>
    </w:p>
    <w:p w14:paraId="4883A894" w14:textId="177E8BBB"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Dolan, M., &amp; Kirwan, H.</w:t>
      </w:r>
      <w:r w:rsidR="007F0180" w:rsidRPr="008257F0">
        <w:rPr>
          <w:rFonts w:ascii="Calibri" w:hAnsi="Calibri" w:cs="Calibri"/>
          <w:noProof/>
          <w:sz w:val="20"/>
          <w:szCs w:val="28"/>
        </w:rPr>
        <w:t xml:space="preserve"> (</w:t>
      </w:r>
      <w:r w:rsidRPr="008257F0">
        <w:rPr>
          <w:rFonts w:ascii="Calibri" w:hAnsi="Calibri" w:cs="Calibri"/>
          <w:noProof/>
          <w:sz w:val="20"/>
          <w:szCs w:val="28"/>
        </w:rPr>
        <w:t>2001</w:t>
      </w:r>
      <w:r w:rsidR="000B27AC" w:rsidRPr="008257F0">
        <w:rPr>
          <w:rFonts w:ascii="Calibri" w:hAnsi="Calibri" w:cs="Calibri"/>
          <w:noProof/>
          <w:sz w:val="20"/>
          <w:szCs w:val="28"/>
        </w:rPr>
        <w:t>)</w:t>
      </w:r>
      <w:r w:rsidRPr="008257F0">
        <w:rPr>
          <w:rFonts w:ascii="Calibri" w:hAnsi="Calibri" w:cs="Calibri"/>
          <w:noProof/>
          <w:sz w:val="20"/>
          <w:szCs w:val="28"/>
        </w:rPr>
        <w:t xml:space="preserve">. Survey of staff perceptions of illicit drug use among patients in a medium secure unit. </w:t>
      </w:r>
      <w:r w:rsidRPr="008257F0">
        <w:rPr>
          <w:rFonts w:ascii="Calibri" w:hAnsi="Calibri" w:cs="Calibri"/>
          <w:i/>
          <w:iCs/>
          <w:noProof/>
          <w:sz w:val="20"/>
          <w:szCs w:val="28"/>
        </w:rPr>
        <w:t>Psychiat</w:t>
      </w:r>
      <w:r w:rsidR="00745A37">
        <w:rPr>
          <w:rFonts w:ascii="Calibri" w:hAnsi="Calibri" w:cs="Calibri"/>
          <w:i/>
          <w:iCs/>
          <w:noProof/>
          <w:sz w:val="20"/>
          <w:szCs w:val="28"/>
        </w:rPr>
        <w:t>ric Bulletin</w:t>
      </w:r>
      <w:r w:rsidRPr="008257F0">
        <w:rPr>
          <w:rFonts w:ascii="Calibri" w:hAnsi="Calibri" w:cs="Calibri"/>
          <w:i/>
          <w:iCs/>
          <w:noProof/>
          <w:sz w:val="20"/>
          <w:szCs w:val="28"/>
        </w:rPr>
        <w:t>. 25</w:t>
      </w:r>
      <w:r w:rsidRPr="008257F0">
        <w:rPr>
          <w:rFonts w:ascii="Calibri" w:hAnsi="Calibri" w:cs="Calibri"/>
          <w:noProof/>
          <w:sz w:val="20"/>
          <w:szCs w:val="28"/>
        </w:rPr>
        <w:t xml:space="preserve">, 14–17. </w:t>
      </w:r>
      <w:r w:rsidR="00127DE9" w:rsidRPr="00127DE9">
        <w:rPr>
          <w:rFonts w:ascii="Calibri" w:hAnsi="Calibri" w:cs="Calibri"/>
          <w:noProof/>
          <w:sz w:val="20"/>
          <w:szCs w:val="28"/>
        </w:rPr>
        <w:t>doi:10.1192/pb.25.1.14</w:t>
      </w:r>
    </w:p>
    <w:p w14:paraId="7DE718BE" w14:textId="77777777" w:rsidR="008257F0" w:rsidRPr="008257F0" w:rsidRDefault="008257F0" w:rsidP="008257F0">
      <w:pPr>
        <w:pStyle w:val="ListParagraph"/>
        <w:rPr>
          <w:rFonts w:ascii="Calibri" w:hAnsi="Calibri" w:cs="Calibri"/>
          <w:noProof/>
          <w:sz w:val="20"/>
          <w:szCs w:val="28"/>
        </w:rPr>
      </w:pPr>
    </w:p>
    <w:p w14:paraId="3F750A4B" w14:textId="1383E32B"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Drummond, C.</w:t>
      </w:r>
      <w:r w:rsidR="007F0180" w:rsidRPr="008257F0">
        <w:rPr>
          <w:rFonts w:ascii="Calibri" w:hAnsi="Calibri" w:cs="Calibri"/>
          <w:noProof/>
          <w:sz w:val="20"/>
          <w:szCs w:val="28"/>
        </w:rPr>
        <w:t xml:space="preserve"> (</w:t>
      </w:r>
      <w:r w:rsidRPr="008257F0">
        <w:rPr>
          <w:rFonts w:ascii="Calibri" w:hAnsi="Calibri" w:cs="Calibri"/>
          <w:noProof/>
          <w:sz w:val="20"/>
          <w:szCs w:val="28"/>
        </w:rPr>
        <w:t>2017</w:t>
      </w:r>
      <w:r w:rsidR="000B27AC" w:rsidRPr="008257F0">
        <w:rPr>
          <w:rFonts w:ascii="Calibri" w:hAnsi="Calibri" w:cs="Calibri"/>
          <w:noProof/>
          <w:sz w:val="20"/>
          <w:szCs w:val="28"/>
        </w:rPr>
        <w:t>)</w:t>
      </w:r>
      <w:r w:rsidRPr="008257F0">
        <w:rPr>
          <w:rFonts w:ascii="Calibri" w:hAnsi="Calibri" w:cs="Calibri"/>
          <w:noProof/>
          <w:sz w:val="20"/>
          <w:szCs w:val="28"/>
        </w:rPr>
        <w:t xml:space="preserve">. Cuts to addiction services are a false economy. </w:t>
      </w:r>
      <w:r w:rsidR="00745A37">
        <w:rPr>
          <w:rFonts w:ascii="Calibri" w:hAnsi="Calibri" w:cs="Calibri"/>
          <w:i/>
          <w:iCs/>
          <w:noProof/>
          <w:sz w:val="20"/>
          <w:szCs w:val="28"/>
        </w:rPr>
        <w:t>British Medical Journal</w:t>
      </w:r>
      <w:r w:rsidRPr="008257F0">
        <w:rPr>
          <w:rFonts w:ascii="Calibri" w:hAnsi="Calibri" w:cs="Calibri"/>
          <w:i/>
          <w:iCs/>
          <w:noProof/>
          <w:sz w:val="20"/>
          <w:szCs w:val="28"/>
        </w:rPr>
        <w:t>. 357</w:t>
      </w:r>
      <w:r w:rsidRPr="008257F0">
        <w:rPr>
          <w:rFonts w:ascii="Calibri" w:hAnsi="Calibri" w:cs="Calibri"/>
          <w:noProof/>
          <w:sz w:val="20"/>
          <w:szCs w:val="28"/>
        </w:rPr>
        <w:t>, j2704</w:t>
      </w:r>
      <w:r w:rsidR="003D5C86">
        <w:rPr>
          <w:rFonts w:ascii="Calibri" w:hAnsi="Calibri" w:cs="Calibri"/>
          <w:noProof/>
          <w:sz w:val="20"/>
          <w:szCs w:val="28"/>
        </w:rPr>
        <w:t xml:space="preserve">. </w:t>
      </w:r>
      <w:r w:rsidR="003D5C86" w:rsidRPr="003D5C86">
        <w:rPr>
          <w:rFonts w:ascii="Calibri" w:hAnsi="Calibri" w:cs="Calibri"/>
          <w:noProof/>
          <w:sz w:val="20"/>
          <w:szCs w:val="28"/>
        </w:rPr>
        <w:t>doi:10.1136/bmj.j2704</w:t>
      </w:r>
    </w:p>
    <w:p w14:paraId="0818C47A" w14:textId="77777777" w:rsidR="008257F0" w:rsidRPr="008257F0" w:rsidRDefault="008257F0" w:rsidP="008257F0">
      <w:pPr>
        <w:pStyle w:val="ListParagraph"/>
        <w:rPr>
          <w:rFonts w:ascii="Calibri" w:hAnsi="Calibri" w:cs="Calibri"/>
          <w:noProof/>
          <w:sz w:val="20"/>
          <w:szCs w:val="28"/>
        </w:rPr>
      </w:pPr>
    </w:p>
    <w:p w14:paraId="7ADE231A" w14:textId="224940B6"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Ford, R., Bammer, G., &amp; Becker, N.</w:t>
      </w:r>
      <w:r w:rsidR="007F0180" w:rsidRPr="008257F0">
        <w:rPr>
          <w:rFonts w:ascii="Calibri" w:hAnsi="Calibri" w:cs="Calibri"/>
          <w:noProof/>
          <w:sz w:val="20"/>
          <w:szCs w:val="28"/>
        </w:rPr>
        <w:t xml:space="preserve"> (</w:t>
      </w:r>
      <w:r w:rsidRPr="008257F0">
        <w:rPr>
          <w:rFonts w:ascii="Calibri" w:hAnsi="Calibri" w:cs="Calibri"/>
          <w:noProof/>
          <w:sz w:val="20"/>
          <w:szCs w:val="28"/>
        </w:rPr>
        <w:t>2008</w:t>
      </w:r>
      <w:r w:rsidR="000B27AC" w:rsidRPr="008257F0">
        <w:rPr>
          <w:rFonts w:ascii="Calibri" w:hAnsi="Calibri" w:cs="Calibri"/>
          <w:noProof/>
          <w:sz w:val="20"/>
          <w:szCs w:val="28"/>
        </w:rPr>
        <w:t>)</w:t>
      </w:r>
      <w:r w:rsidRPr="008257F0">
        <w:rPr>
          <w:rFonts w:ascii="Calibri" w:hAnsi="Calibri" w:cs="Calibri"/>
          <w:noProof/>
          <w:sz w:val="20"/>
          <w:szCs w:val="28"/>
        </w:rPr>
        <w:t xml:space="preserve">. The determinants of nurses’ therapeutic attitude to patients who use illicit drugs and implications for workforce development. </w:t>
      </w:r>
      <w:r w:rsidRPr="008257F0">
        <w:rPr>
          <w:rFonts w:ascii="Calibri" w:hAnsi="Calibri" w:cs="Calibri"/>
          <w:i/>
          <w:iCs/>
          <w:noProof/>
          <w:sz w:val="20"/>
          <w:szCs w:val="28"/>
        </w:rPr>
        <w:t>J</w:t>
      </w:r>
      <w:r w:rsidR="008A4679">
        <w:rPr>
          <w:rFonts w:ascii="Calibri" w:hAnsi="Calibri" w:cs="Calibri"/>
          <w:i/>
          <w:iCs/>
          <w:noProof/>
          <w:sz w:val="20"/>
          <w:szCs w:val="28"/>
        </w:rPr>
        <w:t>ournal of Clinical Nursing</w:t>
      </w:r>
      <w:r w:rsidRPr="008257F0">
        <w:rPr>
          <w:rFonts w:ascii="Calibri" w:hAnsi="Calibri" w:cs="Calibri"/>
          <w:i/>
          <w:iCs/>
          <w:noProof/>
          <w:sz w:val="20"/>
          <w:szCs w:val="28"/>
        </w:rPr>
        <w:t>. 17</w:t>
      </w:r>
      <w:r w:rsidRPr="008257F0">
        <w:rPr>
          <w:rFonts w:ascii="Calibri" w:hAnsi="Calibri" w:cs="Calibri"/>
          <w:noProof/>
          <w:sz w:val="20"/>
          <w:szCs w:val="28"/>
        </w:rPr>
        <w:t xml:space="preserve">, 2452–2462. </w:t>
      </w:r>
      <w:r w:rsidR="00C53B57" w:rsidRPr="00C53B57">
        <w:rPr>
          <w:rFonts w:ascii="Calibri" w:hAnsi="Calibri" w:cs="Calibri"/>
          <w:noProof/>
          <w:sz w:val="20"/>
          <w:szCs w:val="28"/>
        </w:rPr>
        <w:t>doi:10.1111/j.1365-2702.2007.02266.x</w:t>
      </w:r>
    </w:p>
    <w:p w14:paraId="55B89CA4" w14:textId="77777777" w:rsidR="008257F0" w:rsidRPr="0043561D" w:rsidRDefault="008257F0" w:rsidP="0043561D">
      <w:pPr>
        <w:rPr>
          <w:rFonts w:ascii="Calibri" w:hAnsi="Calibri" w:cs="Calibri"/>
          <w:noProof/>
          <w:sz w:val="20"/>
          <w:szCs w:val="28"/>
        </w:rPr>
      </w:pPr>
    </w:p>
    <w:p w14:paraId="25F75D66" w14:textId="37AD9D91"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Grant, B. F.</w:t>
      </w:r>
      <w:r w:rsidR="007F0180" w:rsidRPr="008257F0">
        <w:rPr>
          <w:rFonts w:ascii="Calibri" w:hAnsi="Calibri" w:cs="Calibri"/>
          <w:noProof/>
          <w:sz w:val="20"/>
          <w:szCs w:val="28"/>
        </w:rPr>
        <w:t xml:space="preserve"> (</w:t>
      </w:r>
      <w:r w:rsidRPr="008257F0">
        <w:rPr>
          <w:rFonts w:ascii="Calibri" w:hAnsi="Calibri" w:cs="Calibri"/>
          <w:noProof/>
          <w:sz w:val="20"/>
          <w:szCs w:val="28"/>
        </w:rPr>
        <w:t>1995</w:t>
      </w:r>
      <w:r w:rsidR="000B27AC" w:rsidRPr="008257F0">
        <w:rPr>
          <w:rFonts w:ascii="Calibri" w:hAnsi="Calibri" w:cs="Calibri"/>
          <w:noProof/>
          <w:sz w:val="20"/>
          <w:szCs w:val="28"/>
        </w:rPr>
        <w:t>)</w:t>
      </w:r>
      <w:r w:rsidRPr="008257F0">
        <w:rPr>
          <w:rFonts w:ascii="Calibri" w:hAnsi="Calibri" w:cs="Calibri"/>
          <w:noProof/>
          <w:sz w:val="20"/>
          <w:szCs w:val="28"/>
        </w:rPr>
        <w:t xml:space="preserve">. Comorbidity between DSM-IV drug use disorders and major depression: results of a national survey of adults. </w:t>
      </w:r>
      <w:r w:rsidRPr="008257F0">
        <w:rPr>
          <w:rFonts w:ascii="Calibri" w:hAnsi="Calibri" w:cs="Calibri"/>
          <w:i/>
          <w:iCs/>
          <w:noProof/>
          <w:sz w:val="20"/>
          <w:szCs w:val="28"/>
        </w:rPr>
        <w:t>J</w:t>
      </w:r>
      <w:r w:rsidR="008A4679">
        <w:rPr>
          <w:rFonts w:ascii="Calibri" w:hAnsi="Calibri" w:cs="Calibri"/>
          <w:i/>
          <w:iCs/>
          <w:noProof/>
          <w:sz w:val="20"/>
          <w:szCs w:val="28"/>
        </w:rPr>
        <w:t>ournal of Substance Abuse</w:t>
      </w:r>
      <w:r w:rsidRPr="008257F0">
        <w:rPr>
          <w:rFonts w:ascii="Calibri" w:hAnsi="Calibri" w:cs="Calibri"/>
          <w:i/>
          <w:iCs/>
          <w:noProof/>
          <w:sz w:val="20"/>
          <w:szCs w:val="28"/>
        </w:rPr>
        <w:t>. 7</w:t>
      </w:r>
      <w:r w:rsidRPr="008257F0">
        <w:rPr>
          <w:rFonts w:ascii="Calibri" w:hAnsi="Calibri" w:cs="Calibri"/>
          <w:noProof/>
          <w:sz w:val="20"/>
          <w:szCs w:val="28"/>
        </w:rPr>
        <w:t xml:space="preserve">, 481–497. </w:t>
      </w:r>
      <w:r w:rsidR="001D63AC" w:rsidRPr="001D63AC">
        <w:rPr>
          <w:rFonts w:ascii="Calibri" w:hAnsi="Calibri" w:cs="Calibri"/>
          <w:noProof/>
          <w:sz w:val="20"/>
          <w:szCs w:val="28"/>
        </w:rPr>
        <w:t>doi:10.1016/0899-3289(95)90017-9</w:t>
      </w:r>
    </w:p>
    <w:p w14:paraId="1DC6D737" w14:textId="77777777" w:rsidR="008257F0" w:rsidRPr="008257F0" w:rsidRDefault="008257F0" w:rsidP="008257F0">
      <w:pPr>
        <w:pStyle w:val="ListParagraph"/>
        <w:rPr>
          <w:rFonts w:ascii="Calibri" w:hAnsi="Calibri" w:cs="Calibri"/>
          <w:noProof/>
          <w:sz w:val="20"/>
          <w:szCs w:val="28"/>
        </w:rPr>
      </w:pPr>
    </w:p>
    <w:p w14:paraId="4877AA8A" w14:textId="272A7474"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Hawton, K., Casañas i Comabella, C., Haw, C., &amp; Saunders, K.</w:t>
      </w:r>
      <w:r w:rsidR="007F0180" w:rsidRPr="008257F0">
        <w:rPr>
          <w:rFonts w:ascii="Calibri" w:hAnsi="Calibri" w:cs="Calibri"/>
          <w:noProof/>
          <w:sz w:val="20"/>
          <w:szCs w:val="28"/>
        </w:rPr>
        <w:t xml:space="preserve"> (</w:t>
      </w:r>
      <w:r w:rsidRPr="008257F0">
        <w:rPr>
          <w:rFonts w:ascii="Calibri" w:hAnsi="Calibri" w:cs="Calibri"/>
          <w:noProof/>
          <w:sz w:val="20"/>
          <w:szCs w:val="28"/>
        </w:rPr>
        <w:t>2013</w:t>
      </w:r>
      <w:r w:rsidR="000B27AC" w:rsidRPr="008257F0">
        <w:rPr>
          <w:rFonts w:ascii="Calibri" w:hAnsi="Calibri" w:cs="Calibri"/>
          <w:noProof/>
          <w:sz w:val="20"/>
          <w:szCs w:val="28"/>
        </w:rPr>
        <w:t>)</w:t>
      </w:r>
      <w:r w:rsidRPr="008257F0">
        <w:rPr>
          <w:rFonts w:ascii="Calibri" w:hAnsi="Calibri" w:cs="Calibri"/>
          <w:noProof/>
          <w:sz w:val="20"/>
          <w:szCs w:val="28"/>
        </w:rPr>
        <w:t xml:space="preserve">. Risk factors for suicide in individuals with depression: A systematic review. </w:t>
      </w:r>
      <w:r w:rsidRPr="008257F0">
        <w:rPr>
          <w:rFonts w:ascii="Calibri" w:hAnsi="Calibri" w:cs="Calibri"/>
          <w:i/>
          <w:iCs/>
          <w:noProof/>
          <w:sz w:val="20"/>
          <w:szCs w:val="28"/>
        </w:rPr>
        <w:t>J</w:t>
      </w:r>
      <w:r w:rsidR="008A4679">
        <w:rPr>
          <w:rFonts w:ascii="Calibri" w:hAnsi="Calibri" w:cs="Calibri"/>
          <w:i/>
          <w:iCs/>
          <w:noProof/>
          <w:sz w:val="20"/>
          <w:szCs w:val="28"/>
        </w:rPr>
        <w:t>ournal of Affective Disorders</w:t>
      </w:r>
      <w:r w:rsidRPr="008257F0">
        <w:rPr>
          <w:rFonts w:ascii="Calibri" w:hAnsi="Calibri" w:cs="Calibri"/>
          <w:i/>
          <w:iCs/>
          <w:noProof/>
          <w:sz w:val="20"/>
          <w:szCs w:val="28"/>
        </w:rPr>
        <w:t>. 147</w:t>
      </w:r>
      <w:r w:rsidRPr="008257F0">
        <w:rPr>
          <w:rFonts w:ascii="Calibri" w:hAnsi="Calibri" w:cs="Calibri"/>
          <w:noProof/>
          <w:sz w:val="20"/>
          <w:szCs w:val="28"/>
        </w:rPr>
        <w:t>, 17–28.</w:t>
      </w:r>
      <w:r w:rsidR="00627EFE" w:rsidRPr="00627EFE">
        <w:t xml:space="preserve"> </w:t>
      </w:r>
      <w:r w:rsidR="00627EFE" w:rsidRPr="00627EFE">
        <w:rPr>
          <w:rFonts w:ascii="Calibri" w:hAnsi="Calibri" w:cs="Calibri"/>
          <w:noProof/>
          <w:sz w:val="20"/>
          <w:szCs w:val="28"/>
        </w:rPr>
        <w:t>doi:10.1016/j.jad.2013.01.004</w:t>
      </w:r>
    </w:p>
    <w:p w14:paraId="31D6554A" w14:textId="77777777" w:rsidR="008257F0" w:rsidRPr="008257F0" w:rsidRDefault="008257F0" w:rsidP="008257F0">
      <w:pPr>
        <w:pStyle w:val="ListParagraph"/>
        <w:rPr>
          <w:rFonts w:ascii="Calibri" w:hAnsi="Calibri" w:cs="Calibri"/>
          <w:noProof/>
          <w:sz w:val="20"/>
          <w:szCs w:val="28"/>
        </w:rPr>
      </w:pPr>
    </w:p>
    <w:p w14:paraId="1A4002A6" w14:textId="1B9F4C52"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Hesse, M.</w:t>
      </w:r>
      <w:r w:rsidR="007F0180" w:rsidRPr="008257F0">
        <w:rPr>
          <w:rFonts w:ascii="Calibri" w:hAnsi="Calibri" w:cs="Calibri"/>
          <w:noProof/>
          <w:sz w:val="20"/>
          <w:szCs w:val="28"/>
        </w:rPr>
        <w:t xml:space="preserve"> (</w:t>
      </w:r>
      <w:r w:rsidRPr="008257F0">
        <w:rPr>
          <w:rFonts w:ascii="Calibri" w:hAnsi="Calibri" w:cs="Calibri"/>
          <w:noProof/>
          <w:sz w:val="20"/>
          <w:szCs w:val="28"/>
        </w:rPr>
        <w:t>2009</w:t>
      </w:r>
      <w:r w:rsidR="000B27AC" w:rsidRPr="008257F0">
        <w:rPr>
          <w:rFonts w:ascii="Calibri" w:hAnsi="Calibri" w:cs="Calibri"/>
          <w:noProof/>
          <w:sz w:val="20"/>
          <w:szCs w:val="28"/>
        </w:rPr>
        <w:t>)</w:t>
      </w:r>
      <w:r w:rsidRPr="008257F0">
        <w:rPr>
          <w:rFonts w:ascii="Calibri" w:hAnsi="Calibri" w:cs="Calibri"/>
          <w:noProof/>
          <w:sz w:val="20"/>
          <w:szCs w:val="28"/>
        </w:rPr>
        <w:t xml:space="preserve">. Integrated psychological treatment for substance use and co-morbid anxiety or depression vs. treatment for substance use alone. A systematic review of the published literature. </w:t>
      </w:r>
      <w:r w:rsidRPr="008257F0">
        <w:rPr>
          <w:rFonts w:ascii="Calibri" w:hAnsi="Calibri" w:cs="Calibri"/>
          <w:i/>
          <w:iCs/>
          <w:noProof/>
          <w:sz w:val="20"/>
          <w:szCs w:val="28"/>
        </w:rPr>
        <w:t>BMC Psychiatry. 9</w:t>
      </w:r>
      <w:r w:rsidRPr="008257F0">
        <w:rPr>
          <w:rFonts w:ascii="Calibri" w:hAnsi="Calibri" w:cs="Calibri"/>
          <w:noProof/>
          <w:sz w:val="20"/>
          <w:szCs w:val="28"/>
        </w:rPr>
        <w:t xml:space="preserve">, 6. </w:t>
      </w:r>
      <w:r w:rsidR="00DC2B58" w:rsidRPr="00DC2B58">
        <w:rPr>
          <w:rFonts w:ascii="Calibri" w:hAnsi="Calibri" w:cs="Calibri"/>
          <w:noProof/>
          <w:sz w:val="20"/>
          <w:szCs w:val="28"/>
        </w:rPr>
        <w:t>doi:10.1186/1471-244X-9-6</w:t>
      </w:r>
    </w:p>
    <w:p w14:paraId="24B26157" w14:textId="77777777" w:rsidR="008257F0" w:rsidRPr="008257F0" w:rsidRDefault="008257F0" w:rsidP="008257F0">
      <w:pPr>
        <w:pStyle w:val="ListParagraph"/>
        <w:rPr>
          <w:rFonts w:ascii="Calibri" w:hAnsi="Calibri" w:cs="Calibri"/>
          <w:noProof/>
          <w:sz w:val="20"/>
          <w:szCs w:val="28"/>
        </w:rPr>
      </w:pPr>
    </w:p>
    <w:p w14:paraId="2751084E" w14:textId="1544DB2C"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Hoff, R. A., &amp; Rosenheck, R. A.</w:t>
      </w:r>
      <w:r w:rsidR="007F0180" w:rsidRPr="008257F0">
        <w:rPr>
          <w:rFonts w:ascii="Calibri" w:hAnsi="Calibri" w:cs="Calibri"/>
          <w:noProof/>
          <w:sz w:val="20"/>
          <w:szCs w:val="28"/>
        </w:rPr>
        <w:t xml:space="preserve"> (</w:t>
      </w:r>
      <w:r w:rsidRPr="008257F0">
        <w:rPr>
          <w:rFonts w:ascii="Calibri" w:hAnsi="Calibri" w:cs="Calibri"/>
          <w:noProof/>
          <w:sz w:val="20"/>
          <w:szCs w:val="28"/>
        </w:rPr>
        <w:t>1999</w:t>
      </w:r>
      <w:r w:rsidR="000B27AC" w:rsidRPr="008257F0">
        <w:rPr>
          <w:rFonts w:ascii="Calibri" w:hAnsi="Calibri" w:cs="Calibri"/>
          <w:noProof/>
          <w:sz w:val="20"/>
          <w:szCs w:val="28"/>
        </w:rPr>
        <w:t>)</w:t>
      </w:r>
      <w:r w:rsidRPr="008257F0">
        <w:rPr>
          <w:rFonts w:ascii="Calibri" w:hAnsi="Calibri" w:cs="Calibri"/>
          <w:noProof/>
          <w:sz w:val="20"/>
          <w:szCs w:val="28"/>
        </w:rPr>
        <w:t xml:space="preserve">. The Cost of Treating Substance Abuse Patients With and Without Comorbid Psychiatric Disorders. </w:t>
      </w:r>
      <w:r w:rsidRPr="008257F0">
        <w:rPr>
          <w:rFonts w:ascii="Calibri" w:hAnsi="Calibri" w:cs="Calibri"/>
          <w:i/>
          <w:iCs/>
          <w:noProof/>
          <w:sz w:val="20"/>
          <w:szCs w:val="28"/>
        </w:rPr>
        <w:t>Psychiat</w:t>
      </w:r>
      <w:r w:rsidR="00471B57">
        <w:rPr>
          <w:rFonts w:ascii="Calibri" w:hAnsi="Calibri" w:cs="Calibri"/>
          <w:i/>
          <w:iCs/>
          <w:noProof/>
          <w:sz w:val="20"/>
          <w:szCs w:val="28"/>
        </w:rPr>
        <w:t>ric Services</w:t>
      </w:r>
      <w:r w:rsidRPr="008257F0">
        <w:rPr>
          <w:rFonts w:ascii="Calibri" w:hAnsi="Calibri" w:cs="Calibri"/>
          <w:i/>
          <w:iCs/>
          <w:noProof/>
          <w:sz w:val="20"/>
          <w:szCs w:val="28"/>
        </w:rPr>
        <w:t>. 50</w:t>
      </w:r>
      <w:r w:rsidRPr="008257F0">
        <w:rPr>
          <w:rFonts w:ascii="Calibri" w:hAnsi="Calibri" w:cs="Calibri"/>
          <w:noProof/>
          <w:sz w:val="20"/>
          <w:szCs w:val="28"/>
        </w:rPr>
        <w:t xml:space="preserve">, 1309–1315. </w:t>
      </w:r>
      <w:r w:rsidR="00412988" w:rsidRPr="00412988">
        <w:rPr>
          <w:rFonts w:ascii="Calibri" w:hAnsi="Calibri" w:cs="Calibri"/>
          <w:noProof/>
          <w:sz w:val="20"/>
          <w:szCs w:val="28"/>
        </w:rPr>
        <w:t>doi:10.1176/ps.50.10.1309</w:t>
      </w:r>
    </w:p>
    <w:p w14:paraId="6AB861B0" w14:textId="77777777" w:rsidR="008257F0" w:rsidRPr="008257F0" w:rsidRDefault="008257F0" w:rsidP="008257F0">
      <w:pPr>
        <w:pStyle w:val="ListParagraph"/>
        <w:rPr>
          <w:rFonts w:ascii="Calibri" w:hAnsi="Calibri" w:cs="Calibri"/>
          <w:noProof/>
          <w:sz w:val="20"/>
          <w:szCs w:val="28"/>
        </w:rPr>
      </w:pPr>
    </w:p>
    <w:p w14:paraId="10B32618" w14:textId="51B1A6CB"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Hölzel, L., Härter, M., Reese, C., &amp; Kriston, L.</w:t>
      </w:r>
      <w:r w:rsidR="007F0180" w:rsidRPr="008257F0">
        <w:rPr>
          <w:rFonts w:ascii="Calibri" w:hAnsi="Calibri" w:cs="Calibri"/>
          <w:noProof/>
          <w:sz w:val="20"/>
          <w:szCs w:val="28"/>
        </w:rPr>
        <w:t xml:space="preserve"> (</w:t>
      </w:r>
      <w:r w:rsidRPr="008257F0">
        <w:rPr>
          <w:rFonts w:ascii="Calibri" w:hAnsi="Calibri" w:cs="Calibri"/>
          <w:noProof/>
          <w:sz w:val="20"/>
          <w:szCs w:val="28"/>
        </w:rPr>
        <w:t>2011</w:t>
      </w:r>
      <w:r w:rsidR="000B27AC" w:rsidRPr="008257F0">
        <w:rPr>
          <w:rFonts w:ascii="Calibri" w:hAnsi="Calibri" w:cs="Calibri"/>
          <w:noProof/>
          <w:sz w:val="20"/>
          <w:szCs w:val="28"/>
        </w:rPr>
        <w:t>)</w:t>
      </w:r>
      <w:r w:rsidRPr="008257F0">
        <w:rPr>
          <w:rFonts w:ascii="Calibri" w:hAnsi="Calibri" w:cs="Calibri"/>
          <w:noProof/>
          <w:sz w:val="20"/>
          <w:szCs w:val="28"/>
        </w:rPr>
        <w:t xml:space="preserve">. Risk factors for chronic depression — A systematic review. </w:t>
      </w:r>
      <w:r w:rsidRPr="008257F0">
        <w:rPr>
          <w:rFonts w:ascii="Calibri" w:hAnsi="Calibri" w:cs="Calibri"/>
          <w:i/>
          <w:iCs/>
          <w:noProof/>
          <w:sz w:val="20"/>
          <w:szCs w:val="28"/>
        </w:rPr>
        <w:t>J</w:t>
      </w:r>
      <w:r w:rsidR="00471B57">
        <w:rPr>
          <w:rFonts w:ascii="Calibri" w:hAnsi="Calibri" w:cs="Calibri"/>
          <w:i/>
          <w:iCs/>
          <w:noProof/>
          <w:sz w:val="20"/>
          <w:szCs w:val="28"/>
        </w:rPr>
        <w:t>ournal of Affective Disorders</w:t>
      </w:r>
      <w:r w:rsidRPr="008257F0">
        <w:rPr>
          <w:rFonts w:ascii="Calibri" w:hAnsi="Calibri" w:cs="Calibri"/>
          <w:i/>
          <w:iCs/>
          <w:noProof/>
          <w:sz w:val="20"/>
          <w:szCs w:val="28"/>
        </w:rPr>
        <w:t>. 129</w:t>
      </w:r>
      <w:r w:rsidRPr="008257F0">
        <w:rPr>
          <w:rFonts w:ascii="Calibri" w:hAnsi="Calibri" w:cs="Calibri"/>
          <w:noProof/>
          <w:sz w:val="20"/>
          <w:szCs w:val="28"/>
        </w:rPr>
        <w:t xml:space="preserve">, 1–13. </w:t>
      </w:r>
      <w:r w:rsidR="00685C19" w:rsidRPr="00685C19">
        <w:rPr>
          <w:rFonts w:ascii="Calibri" w:hAnsi="Calibri" w:cs="Calibri"/>
          <w:noProof/>
          <w:sz w:val="20"/>
          <w:szCs w:val="28"/>
        </w:rPr>
        <w:t>doi:10.1016/j.jad.2010.03.025</w:t>
      </w:r>
    </w:p>
    <w:p w14:paraId="43C929EE" w14:textId="77777777" w:rsidR="008257F0" w:rsidRPr="008257F0" w:rsidRDefault="008257F0" w:rsidP="008257F0">
      <w:pPr>
        <w:pStyle w:val="ListParagraph"/>
        <w:rPr>
          <w:rFonts w:ascii="Calibri" w:hAnsi="Calibri" w:cs="Calibri"/>
          <w:noProof/>
          <w:sz w:val="20"/>
          <w:szCs w:val="28"/>
        </w:rPr>
      </w:pPr>
    </w:p>
    <w:p w14:paraId="1899EA4E" w14:textId="4457192B"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Howard, M. O., &amp; Chung, S. S.</w:t>
      </w:r>
      <w:r w:rsidR="007F0180" w:rsidRPr="008257F0">
        <w:rPr>
          <w:rFonts w:ascii="Calibri" w:hAnsi="Calibri" w:cs="Calibri"/>
          <w:noProof/>
          <w:sz w:val="20"/>
          <w:szCs w:val="28"/>
        </w:rPr>
        <w:t xml:space="preserve"> (</w:t>
      </w:r>
      <w:r w:rsidRPr="008257F0">
        <w:rPr>
          <w:rFonts w:ascii="Calibri" w:hAnsi="Calibri" w:cs="Calibri"/>
          <w:noProof/>
          <w:sz w:val="20"/>
          <w:szCs w:val="28"/>
        </w:rPr>
        <w:t>2000</w:t>
      </w:r>
      <w:r w:rsidR="000B27AC" w:rsidRPr="008257F0">
        <w:rPr>
          <w:rFonts w:ascii="Calibri" w:hAnsi="Calibri" w:cs="Calibri"/>
          <w:noProof/>
          <w:sz w:val="20"/>
          <w:szCs w:val="28"/>
        </w:rPr>
        <w:t>)</w:t>
      </w:r>
      <w:r w:rsidRPr="008257F0">
        <w:rPr>
          <w:rFonts w:ascii="Calibri" w:hAnsi="Calibri" w:cs="Calibri"/>
          <w:noProof/>
          <w:sz w:val="20"/>
          <w:szCs w:val="28"/>
        </w:rPr>
        <w:t xml:space="preserve">. Nurses’ attitudes toward substance misusers. </w:t>
      </w:r>
      <w:r w:rsidRPr="008257F0">
        <w:rPr>
          <w:rFonts w:ascii="Calibri" w:hAnsi="Calibri" w:cs="Calibri"/>
          <w:i/>
          <w:iCs/>
          <w:noProof/>
          <w:sz w:val="20"/>
          <w:szCs w:val="28"/>
        </w:rPr>
        <w:t>Subs</w:t>
      </w:r>
      <w:r w:rsidR="00471B57">
        <w:rPr>
          <w:rFonts w:ascii="Calibri" w:hAnsi="Calibri" w:cs="Calibri"/>
          <w:i/>
          <w:iCs/>
          <w:noProof/>
          <w:sz w:val="20"/>
          <w:szCs w:val="28"/>
        </w:rPr>
        <w:t xml:space="preserve">tance Use and </w:t>
      </w:r>
      <w:r w:rsidRPr="008257F0">
        <w:rPr>
          <w:rFonts w:ascii="Calibri" w:hAnsi="Calibri" w:cs="Calibri"/>
          <w:i/>
          <w:iCs/>
          <w:noProof/>
          <w:sz w:val="20"/>
          <w:szCs w:val="28"/>
        </w:rPr>
        <w:t xml:space="preserve"> Misuse. 35</w:t>
      </w:r>
      <w:r w:rsidRPr="008257F0">
        <w:rPr>
          <w:rFonts w:ascii="Calibri" w:hAnsi="Calibri" w:cs="Calibri"/>
          <w:noProof/>
          <w:sz w:val="20"/>
          <w:szCs w:val="28"/>
        </w:rPr>
        <w:t xml:space="preserve">, 347–365. </w:t>
      </w:r>
      <w:r w:rsidR="001D0251" w:rsidRPr="001D0251">
        <w:rPr>
          <w:rFonts w:ascii="Calibri" w:hAnsi="Calibri" w:cs="Calibri"/>
          <w:noProof/>
          <w:sz w:val="20"/>
          <w:szCs w:val="28"/>
        </w:rPr>
        <w:t>doi:10.3109/10826080009147701</w:t>
      </w:r>
    </w:p>
    <w:p w14:paraId="63BE7146" w14:textId="77777777" w:rsidR="008257F0" w:rsidRPr="008257F0" w:rsidRDefault="008257F0" w:rsidP="008257F0">
      <w:pPr>
        <w:pStyle w:val="ListParagraph"/>
        <w:rPr>
          <w:rFonts w:ascii="Calibri" w:hAnsi="Calibri" w:cs="Calibri"/>
          <w:noProof/>
          <w:sz w:val="20"/>
          <w:szCs w:val="28"/>
        </w:rPr>
      </w:pPr>
    </w:p>
    <w:p w14:paraId="2CBFF9BD" w14:textId="78AB632B"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Howard, V., &amp; Holmshaw, J.</w:t>
      </w:r>
      <w:r w:rsidR="007F0180" w:rsidRPr="008257F0">
        <w:rPr>
          <w:rFonts w:ascii="Calibri" w:hAnsi="Calibri" w:cs="Calibri"/>
          <w:noProof/>
          <w:sz w:val="20"/>
          <w:szCs w:val="28"/>
        </w:rPr>
        <w:t xml:space="preserve"> (</w:t>
      </w:r>
      <w:r w:rsidRPr="008257F0">
        <w:rPr>
          <w:rFonts w:ascii="Calibri" w:hAnsi="Calibri" w:cs="Calibri"/>
          <w:noProof/>
          <w:sz w:val="20"/>
          <w:szCs w:val="28"/>
        </w:rPr>
        <w:t>2010</w:t>
      </w:r>
      <w:r w:rsidR="000B27AC" w:rsidRPr="008257F0">
        <w:rPr>
          <w:rFonts w:ascii="Calibri" w:hAnsi="Calibri" w:cs="Calibri"/>
          <w:noProof/>
          <w:sz w:val="20"/>
          <w:szCs w:val="28"/>
        </w:rPr>
        <w:t>)</w:t>
      </w:r>
      <w:r w:rsidRPr="008257F0">
        <w:rPr>
          <w:rFonts w:ascii="Calibri" w:hAnsi="Calibri" w:cs="Calibri"/>
          <w:noProof/>
          <w:sz w:val="20"/>
          <w:szCs w:val="28"/>
        </w:rPr>
        <w:t xml:space="preserve">. Inpatient staff perceptions in providing care to individuals with co-occurring mental health problems and illicit substance use. </w:t>
      </w:r>
      <w:r w:rsidRPr="008257F0">
        <w:rPr>
          <w:rFonts w:ascii="Calibri" w:hAnsi="Calibri" w:cs="Calibri"/>
          <w:i/>
          <w:iCs/>
          <w:noProof/>
          <w:sz w:val="20"/>
          <w:szCs w:val="28"/>
        </w:rPr>
        <w:t>J</w:t>
      </w:r>
      <w:r w:rsidR="00FF78AE">
        <w:rPr>
          <w:rFonts w:ascii="Calibri" w:hAnsi="Calibri" w:cs="Calibri"/>
          <w:i/>
          <w:iCs/>
          <w:noProof/>
          <w:sz w:val="20"/>
          <w:szCs w:val="28"/>
        </w:rPr>
        <w:t>ournal of Psychiatric and Mental Health Nursing</w:t>
      </w:r>
      <w:r w:rsidRPr="008257F0">
        <w:rPr>
          <w:rFonts w:ascii="Calibri" w:hAnsi="Calibri" w:cs="Calibri"/>
          <w:i/>
          <w:iCs/>
          <w:noProof/>
          <w:sz w:val="20"/>
          <w:szCs w:val="28"/>
        </w:rPr>
        <w:t>. 17</w:t>
      </w:r>
      <w:r w:rsidRPr="008257F0">
        <w:rPr>
          <w:rFonts w:ascii="Calibri" w:hAnsi="Calibri" w:cs="Calibri"/>
          <w:noProof/>
          <w:sz w:val="20"/>
          <w:szCs w:val="28"/>
        </w:rPr>
        <w:t xml:space="preserve">, 862–872. </w:t>
      </w:r>
      <w:r w:rsidR="00095EC0" w:rsidRPr="00095EC0">
        <w:rPr>
          <w:rFonts w:ascii="Calibri" w:hAnsi="Calibri" w:cs="Calibri"/>
          <w:noProof/>
          <w:sz w:val="20"/>
          <w:szCs w:val="28"/>
        </w:rPr>
        <w:t>doi:10.1111/j.1365-2850.2010.01620.x</w:t>
      </w:r>
    </w:p>
    <w:p w14:paraId="5BDC8088" w14:textId="77777777" w:rsidR="008257F0" w:rsidRPr="008257F0" w:rsidRDefault="008257F0" w:rsidP="008257F0">
      <w:pPr>
        <w:pStyle w:val="ListParagraph"/>
        <w:rPr>
          <w:rFonts w:ascii="Calibri" w:hAnsi="Calibri" w:cs="Calibri"/>
          <w:noProof/>
          <w:sz w:val="20"/>
          <w:szCs w:val="28"/>
        </w:rPr>
      </w:pPr>
    </w:p>
    <w:p w14:paraId="162362FE" w14:textId="497BDA17"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Huntley, D. A., Cho, D. W., Christman, J., &amp; Csernansky, J. G.</w:t>
      </w:r>
      <w:r w:rsidR="007F0180" w:rsidRPr="008257F0">
        <w:rPr>
          <w:rFonts w:ascii="Calibri" w:hAnsi="Calibri" w:cs="Calibri"/>
          <w:noProof/>
          <w:sz w:val="20"/>
          <w:szCs w:val="28"/>
        </w:rPr>
        <w:t xml:space="preserve"> (</w:t>
      </w:r>
      <w:r w:rsidRPr="008257F0">
        <w:rPr>
          <w:rFonts w:ascii="Calibri" w:hAnsi="Calibri" w:cs="Calibri"/>
          <w:noProof/>
          <w:sz w:val="20"/>
          <w:szCs w:val="28"/>
        </w:rPr>
        <w:t>1998</w:t>
      </w:r>
      <w:r w:rsidR="000B27AC" w:rsidRPr="008257F0">
        <w:rPr>
          <w:rFonts w:ascii="Calibri" w:hAnsi="Calibri" w:cs="Calibri"/>
          <w:noProof/>
          <w:sz w:val="20"/>
          <w:szCs w:val="28"/>
        </w:rPr>
        <w:t>)</w:t>
      </w:r>
      <w:r w:rsidRPr="008257F0">
        <w:rPr>
          <w:rFonts w:ascii="Calibri" w:hAnsi="Calibri" w:cs="Calibri"/>
          <w:noProof/>
          <w:sz w:val="20"/>
          <w:szCs w:val="28"/>
        </w:rPr>
        <w:t xml:space="preserve">. Predicting length of stay in an acute psychiatric hospital. </w:t>
      </w:r>
      <w:r w:rsidRPr="008257F0">
        <w:rPr>
          <w:rFonts w:ascii="Calibri" w:hAnsi="Calibri" w:cs="Calibri"/>
          <w:i/>
          <w:iCs/>
          <w:noProof/>
          <w:sz w:val="20"/>
          <w:szCs w:val="28"/>
        </w:rPr>
        <w:t>Psychiat</w:t>
      </w:r>
      <w:r w:rsidR="00FF78AE">
        <w:rPr>
          <w:rFonts w:ascii="Calibri" w:hAnsi="Calibri" w:cs="Calibri"/>
          <w:i/>
          <w:iCs/>
          <w:noProof/>
          <w:sz w:val="20"/>
          <w:szCs w:val="28"/>
        </w:rPr>
        <w:t>ric Services</w:t>
      </w:r>
      <w:r w:rsidRPr="008257F0">
        <w:rPr>
          <w:rFonts w:ascii="Calibri" w:hAnsi="Calibri" w:cs="Calibri"/>
          <w:i/>
          <w:iCs/>
          <w:noProof/>
          <w:sz w:val="20"/>
          <w:szCs w:val="28"/>
        </w:rPr>
        <w:t>. 49</w:t>
      </w:r>
      <w:r w:rsidRPr="008257F0">
        <w:rPr>
          <w:rFonts w:ascii="Calibri" w:hAnsi="Calibri" w:cs="Calibri"/>
          <w:noProof/>
          <w:sz w:val="20"/>
          <w:szCs w:val="28"/>
        </w:rPr>
        <w:t xml:space="preserve">, 1049–1053. </w:t>
      </w:r>
      <w:r w:rsidR="00E05DF3" w:rsidRPr="00E05DF3">
        <w:rPr>
          <w:rFonts w:ascii="Calibri" w:hAnsi="Calibri" w:cs="Calibri"/>
          <w:noProof/>
          <w:sz w:val="20"/>
          <w:szCs w:val="28"/>
        </w:rPr>
        <w:t>doi:10.1176/ps.49.8.1049</w:t>
      </w:r>
    </w:p>
    <w:p w14:paraId="66997460" w14:textId="77777777" w:rsidR="008257F0" w:rsidRPr="008257F0" w:rsidRDefault="008257F0" w:rsidP="008257F0">
      <w:pPr>
        <w:pStyle w:val="ListParagraph"/>
        <w:rPr>
          <w:rFonts w:ascii="Calibri" w:hAnsi="Calibri" w:cs="Calibri"/>
          <w:noProof/>
          <w:sz w:val="20"/>
          <w:szCs w:val="28"/>
        </w:rPr>
      </w:pPr>
    </w:p>
    <w:p w14:paraId="3C7C5AD3" w14:textId="77777777"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IBM Corp.</w:t>
      </w:r>
      <w:r w:rsidR="007F0180" w:rsidRPr="008257F0">
        <w:rPr>
          <w:rFonts w:ascii="Calibri" w:hAnsi="Calibri" w:cs="Calibri"/>
          <w:noProof/>
          <w:sz w:val="20"/>
          <w:szCs w:val="28"/>
        </w:rPr>
        <w:t xml:space="preserve"> (</w:t>
      </w:r>
      <w:r w:rsidRPr="008257F0">
        <w:rPr>
          <w:rFonts w:ascii="Calibri" w:hAnsi="Calibri" w:cs="Calibri"/>
          <w:noProof/>
          <w:sz w:val="20"/>
          <w:szCs w:val="28"/>
        </w:rPr>
        <w:t>2017</w:t>
      </w:r>
      <w:r w:rsidR="000B27AC" w:rsidRPr="008257F0">
        <w:rPr>
          <w:rFonts w:ascii="Calibri" w:hAnsi="Calibri" w:cs="Calibri"/>
          <w:noProof/>
          <w:sz w:val="20"/>
          <w:szCs w:val="28"/>
        </w:rPr>
        <w:t>)</w:t>
      </w:r>
      <w:r w:rsidRPr="008257F0">
        <w:rPr>
          <w:rFonts w:ascii="Calibri" w:hAnsi="Calibri" w:cs="Calibri"/>
          <w:noProof/>
          <w:sz w:val="20"/>
          <w:szCs w:val="28"/>
        </w:rPr>
        <w:t xml:space="preserve">. IBM SPSS Statistics for Windows, Version 25. Armonk, NY: </w:t>
      </w:r>
      <w:r w:rsidRPr="008257F0">
        <w:rPr>
          <w:rFonts w:ascii="Calibri" w:hAnsi="Calibri" w:cs="Calibri"/>
          <w:i/>
          <w:iCs/>
          <w:noProof/>
          <w:sz w:val="20"/>
          <w:szCs w:val="28"/>
        </w:rPr>
        <w:t>IBM Corp</w:t>
      </w:r>
      <w:r w:rsidRPr="008257F0">
        <w:rPr>
          <w:rFonts w:ascii="Calibri" w:hAnsi="Calibri" w:cs="Calibri"/>
          <w:noProof/>
          <w:sz w:val="20"/>
          <w:szCs w:val="28"/>
        </w:rPr>
        <w:t>.</w:t>
      </w:r>
    </w:p>
    <w:p w14:paraId="09B51A63" w14:textId="77777777" w:rsidR="008257F0" w:rsidRPr="008257F0" w:rsidRDefault="008257F0" w:rsidP="008257F0">
      <w:pPr>
        <w:pStyle w:val="ListParagraph"/>
        <w:rPr>
          <w:rFonts w:ascii="Calibri" w:hAnsi="Calibri" w:cs="Calibri"/>
          <w:noProof/>
          <w:sz w:val="20"/>
          <w:szCs w:val="28"/>
        </w:rPr>
      </w:pPr>
    </w:p>
    <w:p w14:paraId="2E228EFF" w14:textId="11AD19BF"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Jané-Llopis, E., &amp; Matytsina, I.</w:t>
      </w:r>
      <w:r w:rsidR="007F0180" w:rsidRPr="008257F0">
        <w:rPr>
          <w:rFonts w:ascii="Calibri" w:hAnsi="Calibri" w:cs="Calibri"/>
          <w:noProof/>
          <w:sz w:val="20"/>
          <w:szCs w:val="28"/>
        </w:rPr>
        <w:t xml:space="preserve"> (</w:t>
      </w:r>
      <w:r w:rsidRPr="008257F0">
        <w:rPr>
          <w:rFonts w:ascii="Calibri" w:hAnsi="Calibri" w:cs="Calibri"/>
          <w:noProof/>
          <w:sz w:val="20"/>
          <w:szCs w:val="28"/>
        </w:rPr>
        <w:t>2006</w:t>
      </w:r>
      <w:r w:rsidR="000B27AC" w:rsidRPr="008257F0">
        <w:rPr>
          <w:rFonts w:ascii="Calibri" w:hAnsi="Calibri" w:cs="Calibri"/>
          <w:noProof/>
          <w:sz w:val="20"/>
          <w:szCs w:val="28"/>
        </w:rPr>
        <w:t>)</w:t>
      </w:r>
      <w:r w:rsidRPr="008257F0">
        <w:rPr>
          <w:rFonts w:ascii="Calibri" w:hAnsi="Calibri" w:cs="Calibri"/>
          <w:noProof/>
          <w:sz w:val="20"/>
          <w:szCs w:val="28"/>
        </w:rPr>
        <w:t xml:space="preserve">. Mental health and alcohol, drugs and tobacco: a review of the comorbidity between mental disorders and the use of alcohol, tobacco and illicit drugs. </w:t>
      </w:r>
      <w:r w:rsidRPr="008257F0">
        <w:rPr>
          <w:rFonts w:ascii="Calibri" w:hAnsi="Calibri" w:cs="Calibri"/>
          <w:i/>
          <w:iCs/>
          <w:noProof/>
          <w:sz w:val="20"/>
          <w:szCs w:val="28"/>
        </w:rPr>
        <w:t xml:space="preserve">Drug </w:t>
      </w:r>
      <w:r w:rsidR="00AE25AC">
        <w:rPr>
          <w:rFonts w:ascii="Calibri" w:hAnsi="Calibri" w:cs="Calibri"/>
          <w:i/>
          <w:iCs/>
          <w:noProof/>
          <w:sz w:val="20"/>
          <w:szCs w:val="28"/>
        </w:rPr>
        <w:t>and Alcohol Review</w:t>
      </w:r>
      <w:r w:rsidRPr="008257F0">
        <w:rPr>
          <w:rFonts w:ascii="Calibri" w:hAnsi="Calibri" w:cs="Calibri"/>
          <w:i/>
          <w:iCs/>
          <w:noProof/>
          <w:sz w:val="20"/>
          <w:szCs w:val="28"/>
        </w:rPr>
        <w:t>. 25</w:t>
      </w:r>
      <w:r w:rsidRPr="008257F0">
        <w:rPr>
          <w:rFonts w:ascii="Calibri" w:hAnsi="Calibri" w:cs="Calibri"/>
          <w:noProof/>
          <w:sz w:val="20"/>
          <w:szCs w:val="28"/>
        </w:rPr>
        <w:t>, 515–536.</w:t>
      </w:r>
      <w:r w:rsidR="008F3D05" w:rsidRPr="008F3D05">
        <w:t xml:space="preserve"> </w:t>
      </w:r>
      <w:r w:rsidR="008F3D05" w:rsidRPr="008F3D05">
        <w:rPr>
          <w:rFonts w:ascii="Calibri" w:hAnsi="Calibri" w:cs="Calibri"/>
          <w:noProof/>
          <w:sz w:val="20"/>
          <w:szCs w:val="28"/>
        </w:rPr>
        <w:t>doi:10.1080/09595230600944461</w:t>
      </w:r>
    </w:p>
    <w:p w14:paraId="7ED49DDB" w14:textId="77777777" w:rsidR="008257F0" w:rsidRPr="008257F0" w:rsidRDefault="008257F0" w:rsidP="008257F0">
      <w:pPr>
        <w:pStyle w:val="ListParagraph"/>
        <w:rPr>
          <w:rFonts w:ascii="Calibri" w:hAnsi="Calibri" w:cs="Calibri"/>
          <w:noProof/>
          <w:sz w:val="20"/>
          <w:szCs w:val="28"/>
        </w:rPr>
      </w:pPr>
    </w:p>
    <w:p w14:paraId="7F5606C3" w14:textId="27E553BB"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Johns, A.</w:t>
      </w:r>
      <w:r w:rsidR="007F0180" w:rsidRPr="008257F0">
        <w:rPr>
          <w:rFonts w:ascii="Calibri" w:hAnsi="Calibri" w:cs="Calibri"/>
          <w:noProof/>
          <w:sz w:val="20"/>
          <w:szCs w:val="28"/>
        </w:rPr>
        <w:t xml:space="preserve"> (</w:t>
      </w:r>
      <w:r w:rsidRPr="008257F0">
        <w:rPr>
          <w:rFonts w:ascii="Calibri" w:hAnsi="Calibri" w:cs="Calibri"/>
          <w:noProof/>
          <w:sz w:val="20"/>
          <w:szCs w:val="28"/>
        </w:rPr>
        <w:t>1997</w:t>
      </w:r>
      <w:r w:rsidR="000B27AC" w:rsidRPr="008257F0">
        <w:rPr>
          <w:rFonts w:ascii="Calibri" w:hAnsi="Calibri" w:cs="Calibri"/>
          <w:noProof/>
          <w:sz w:val="20"/>
          <w:szCs w:val="28"/>
        </w:rPr>
        <w:t>)</w:t>
      </w:r>
      <w:r w:rsidRPr="008257F0">
        <w:rPr>
          <w:rFonts w:ascii="Calibri" w:hAnsi="Calibri" w:cs="Calibri"/>
          <w:noProof/>
          <w:sz w:val="20"/>
          <w:szCs w:val="28"/>
        </w:rPr>
        <w:t xml:space="preserve">. Substance misuse: A primary risk and a major problem of comorbidity. </w:t>
      </w:r>
      <w:bookmarkStart w:id="7" w:name="_Hlk43915504"/>
      <w:r w:rsidRPr="008257F0">
        <w:rPr>
          <w:rFonts w:ascii="Calibri" w:hAnsi="Calibri" w:cs="Calibri"/>
          <w:i/>
          <w:iCs/>
          <w:noProof/>
          <w:sz w:val="20"/>
          <w:szCs w:val="28"/>
        </w:rPr>
        <w:t>Int</w:t>
      </w:r>
      <w:r w:rsidR="007E0F42">
        <w:rPr>
          <w:rFonts w:ascii="Calibri" w:hAnsi="Calibri" w:cs="Calibri"/>
          <w:i/>
          <w:iCs/>
          <w:noProof/>
          <w:sz w:val="20"/>
          <w:szCs w:val="28"/>
        </w:rPr>
        <w:t>ernational Review of Psychiatry</w:t>
      </w:r>
      <w:bookmarkEnd w:id="7"/>
      <w:r w:rsidRPr="008257F0">
        <w:rPr>
          <w:rFonts w:ascii="Calibri" w:hAnsi="Calibri" w:cs="Calibri"/>
          <w:i/>
          <w:iCs/>
          <w:noProof/>
          <w:sz w:val="20"/>
          <w:szCs w:val="28"/>
        </w:rPr>
        <w:t>. 9</w:t>
      </w:r>
      <w:r w:rsidRPr="008257F0">
        <w:rPr>
          <w:rFonts w:ascii="Calibri" w:hAnsi="Calibri" w:cs="Calibri"/>
          <w:noProof/>
          <w:sz w:val="20"/>
          <w:szCs w:val="28"/>
        </w:rPr>
        <w:t>, 233–241.</w:t>
      </w:r>
      <w:r w:rsidR="002E4C7A">
        <w:rPr>
          <w:rFonts w:ascii="Calibri" w:hAnsi="Calibri" w:cs="Calibri"/>
          <w:noProof/>
          <w:sz w:val="20"/>
          <w:szCs w:val="28"/>
        </w:rPr>
        <w:t xml:space="preserve"> doi:</w:t>
      </w:r>
      <w:r w:rsidR="002E4C7A" w:rsidRPr="002E4C7A">
        <w:t xml:space="preserve"> </w:t>
      </w:r>
      <w:r w:rsidR="002E4C7A" w:rsidRPr="002E4C7A">
        <w:rPr>
          <w:rFonts w:ascii="Calibri" w:hAnsi="Calibri" w:cs="Calibri"/>
          <w:noProof/>
          <w:sz w:val="20"/>
          <w:szCs w:val="28"/>
        </w:rPr>
        <w:t>10.1080/09540269775448</w:t>
      </w:r>
    </w:p>
    <w:p w14:paraId="224E6818" w14:textId="77777777" w:rsidR="008257F0" w:rsidRPr="008257F0" w:rsidRDefault="008257F0" w:rsidP="008257F0">
      <w:pPr>
        <w:pStyle w:val="ListParagraph"/>
        <w:rPr>
          <w:rFonts w:ascii="Calibri" w:hAnsi="Calibri" w:cs="Calibri"/>
          <w:noProof/>
          <w:sz w:val="20"/>
          <w:szCs w:val="28"/>
        </w:rPr>
      </w:pPr>
    </w:p>
    <w:p w14:paraId="585137AA" w14:textId="164B5FFE"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Kelleher, S.</w:t>
      </w:r>
      <w:r w:rsidR="007F0180" w:rsidRPr="008257F0">
        <w:rPr>
          <w:rFonts w:ascii="Calibri" w:hAnsi="Calibri" w:cs="Calibri"/>
          <w:noProof/>
          <w:sz w:val="20"/>
          <w:szCs w:val="28"/>
        </w:rPr>
        <w:t xml:space="preserve"> (</w:t>
      </w:r>
      <w:r w:rsidRPr="008257F0">
        <w:rPr>
          <w:rFonts w:ascii="Calibri" w:hAnsi="Calibri" w:cs="Calibri"/>
          <w:noProof/>
          <w:sz w:val="20"/>
          <w:szCs w:val="28"/>
        </w:rPr>
        <w:t>2007</w:t>
      </w:r>
      <w:r w:rsidR="000B27AC" w:rsidRPr="008257F0">
        <w:rPr>
          <w:rFonts w:ascii="Calibri" w:hAnsi="Calibri" w:cs="Calibri"/>
          <w:noProof/>
          <w:sz w:val="20"/>
          <w:szCs w:val="28"/>
        </w:rPr>
        <w:t>)</w:t>
      </w:r>
      <w:r w:rsidRPr="008257F0">
        <w:rPr>
          <w:rFonts w:ascii="Calibri" w:hAnsi="Calibri" w:cs="Calibri"/>
          <w:noProof/>
          <w:sz w:val="20"/>
          <w:szCs w:val="28"/>
        </w:rPr>
        <w:t xml:space="preserve">. Health care professionals’ knowledge and attitudes regarding substance use and substance users. </w:t>
      </w:r>
      <w:r w:rsidRPr="008257F0">
        <w:rPr>
          <w:rFonts w:ascii="Calibri" w:hAnsi="Calibri" w:cs="Calibri"/>
          <w:i/>
          <w:iCs/>
          <w:noProof/>
          <w:sz w:val="20"/>
          <w:szCs w:val="28"/>
        </w:rPr>
        <w:t xml:space="preserve">Accident </w:t>
      </w:r>
      <w:r w:rsidR="00E70D3B">
        <w:rPr>
          <w:rFonts w:ascii="Calibri" w:hAnsi="Calibri" w:cs="Calibri"/>
          <w:i/>
          <w:iCs/>
          <w:noProof/>
          <w:sz w:val="20"/>
          <w:szCs w:val="28"/>
        </w:rPr>
        <w:t>and Emergency Nursing</w:t>
      </w:r>
      <w:r w:rsidRPr="008257F0">
        <w:rPr>
          <w:rFonts w:ascii="Calibri" w:hAnsi="Calibri" w:cs="Calibri"/>
          <w:i/>
          <w:iCs/>
          <w:noProof/>
          <w:sz w:val="20"/>
          <w:szCs w:val="28"/>
        </w:rPr>
        <w:t>. 15</w:t>
      </w:r>
      <w:r w:rsidRPr="008257F0">
        <w:rPr>
          <w:rFonts w:ascii="Calibri" w:hAnsi="Calibri" w:cs="Calibri"/>
          <w:noProof/>
          <w:sz w:val="20"/>
          <w:szCs w:val="28"/>
        </w:rPr>
        <w:t xml:space="preserve">, 161–165. </w:t>
      </w:r>
      <w:r w:rsidR="005945A0" w:rsidRPr="005945A0">
        <w:rPr>
          <w:rFonts w:ascii="Calibri" w:hAnsi="Calibri" w:cs="Calibri"/>
          <w:noProof/>
          <w:sz w:val="20"/>
          <w:szCs w:val="28"/>
        </w:rPr>
        <w:t>doi:10.1016/j.aaen.2007.05.005</w:t>
      </w:r>
    </w:p>
    <w:p w14:paraId="3ED162E7" w14:textId="77777777" w:rsidR="008257F0" w:rsidRPr="008257F0" w:rsidRDefault="008257F0" w:rsidP="008257F0">
      <w:pPr>
        <w:pStyle w:val="ListParagraph"/>
        <w:rPr>
          <w:rFonts w:ascii="Calibri" w:hAnsi="Calibri" w:cs="Calibri"/>
          <w:noProof/>
          <w:sz w:val="20"/>
          <w:szCs w:val="28"/>
        </w:rPr>
      </w:pPr>
    </w:p>
    <w:p w14:paraId="4888419F" w14:textId="225541C9"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Kessler, R. C., Berglund, P., Demler, O., Jin, R., Merikangas, K. R., &amp; Walters, E. E.</w:t>
      </w:r>
      <w:r w:rsidR="007F0180" w:rsidRPr="008257F0">
        <w:rPr>
          <w:rFonts w:ascii="Calibri" w:hAnsi="Calibri" w:cs="Calibri"/>
          <w:noProof/>
          <w:sz w:val="20"/>
          <w:szCs w:val="28"/>
        </w:rPr>
        <w:t xml:space="preserve"> (</w:t>
      </w:r>
      <w:r w:rsidRPr="008257F0">
        <w:rPr>
          <w:rFonts w:ascii="Calibri" w:hAnsi="Calibri" w:cs="Calibri"/>
          <w:noProof/>
          <w:sz w:val="20"/>
          <w:szCs w:val="28"/>
        </w:rPr>
        <w:t>2005</w:t>
      </w:r>
      <w:r w:rsidR="000B27AC" w:rsidRPr="008257F0">
        <w:rPr>
          <w:rFonts w:ascii="Calibri" w:hAnsi="Calibri" w:cs="Calibri"/>
          <w:noProof/>
          <w:sz w:val="20"/>
          <w:szCs w:val="28"/>
        </w:rPr>
        <w:t>)</w:t>
      </w:r>
      <w:r w:rsidRPr="008257F0">
        <w:rPr>
          <w:rFonts w:ascii="Calibri" w:hAnsi="Calibri" w:cs="Calibri"/>
          <w:noProof/>
          <w:sz w:val="20"/>
          <w:szCs w:val="28"/>
        </w:rPr>
        <w:t xml:space="preserve">. Lifetime Prevalence and Age-of-Onset Distributions of DSM-IV Disorders in the National Comorbidity Survey Replication. </w:t>
      </w:r>
      <w:r w:rsidRPr="008257F0">
        <w:rPr>
          <w:rFonts w:ascii="Calibri" w:hAnsi="Calibri" w:cs="Calibri"/>
          <w:i/>
          <w:iCs/>
          <w:noProof/>
          <w:sz w:val="20"/>
          <w:szCs w:val="28"/>
        </w:rPr>
        <w:t>Arch</w:t>
      </w:r>
      <w:r w:rsidR="00E70D3B">
        <w:rPr>
          <w:rFonts w:ascii="Calibri" w:hAnsi="Calibri" w:cs="Calibri"/>
          <w:i/>
          <w:iCs/>
          <w:noProof/>
          <w:sz w:val="20"/>
          <w:szCs w:val="28"/>
        </w:rPr>
        <w:t>ives of General Psychiatry</w:t>
      </w:r>
      <w:r w:rsidRPr="008257F0">
        <w:rPr>
          <w:rFonts w:ascii="Calibri" w:hAnsi="Calibri" w:cs="Calibri"/>
          <w:i/>
          <w:iCs/>
          <w:noProof/>
          <w:sz w:val="20"/>
          <w:szCs w:val="28"/>
        </w:rPr>
        <w:t>. 62</w:t>
      </w:r>
      <w:r w:rsidRPr="008257F0">
        <w:rPr>
          <w:rFonts w:ascii="Calibri" w:hAnsi="Calibri" w:cs="Calibri"/>
          <w:noProof/>
          <w:sz w:val="20"/>
          <w:szCs w:val="28"/>
        </w:rPr>
        <w:t xml:space="preserve">, 593. </w:t>
      </w:r>
      <w:r w:rsidR="008F638F" w:rsidRPr="008F638F">
        <w:rPr>
          <w:rFonts w:ascii="Calibri" w:hAnsi="Calibri" w:cs="Calibri"/>
          <w:noProof/>
          <w:sz w:val="20"/>
          <w:szCs w:val="28"/>
        </w:rPr>
        <w:t>doi:10.1001/archpsyc.62.6.593</w:t>
      </w:r>
    </w:p>
    <w:p w14:paraId="2E4A5B63" w14:textId="77777777" w:rsidR="008257F0" w:rsidRPr="008257F0" w:rsidRDefault="008257F0" w:rsidP="008257F0">
      <w:pPr>
        <w:pStyle w:val="ListParagraph"/>
        <w:rPr>
          <w:rFonts w:ascii="Calibri" w:hAnsi="Calibri" w:cs="Calibri"/>
          <w:noProof/>
          <w:sz w:val="20"/>
          <w:szCs w:val="28"/>
        </w:rPr>
      </w:pPr>
    </w:p>
    <w:p w14:paraId="12A5FAA7" w14:textId="4E57FD4B"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Kessler, R. C., Crum, R. M., Warner, L. A., Nelson, C. B., Schulenberg, J., &amp; Anthony, J. C.</w:t>
      </w:r>
      <w:r w:rsidR="007F0180" w:rsidRPr="008257F0">
        <w:rPr>
          <w:rFonts w:ascii="Calibri" w:hAnsi="Calibri" w:cs="Calibri"/>
          <w:noProof/>
          <w:sz w:val="20"/>
          <w:szCs w:val="28"/>
        </w:rPr>
        <w:t xml:space="preserve"> (</w:t>
      </w:r>
      <w:r w:rsidRPr="008257F0">
        <w:rPr>
          <w:rFonts w:ascii="Calibri" w:hAnsi="Calibri" w:cs="Calibri"/>
          <w:noProof/>
          <w:sz w:val="20"/>
          <w:szCs w:val="28"/>
        </w:rPr>
        <w:t>1997</w:t>
      </w:r>
      <w:r w:rsidR="000B27AC" w:rsidRPr="008257F0">
        <w:rPr>
          <w:rFonts w:ascii="Calibri" w:hAnsi="Calibri" w:cs="Calibri"/>
          <w:noProof/>
          <w:sz w:val="20"/>
          <w:szCs w:val="28"/>
        </w:rPr>
        <w:t>)</w:t>
      </w:r>
      <w:r w:rsidRPr="008257F0">
        <w:rPr>
          <w:rFonts w:ascii="Calibri" w:hAnsi="Calibri" w:cs="Calibri"/>
          <w:noProof/>
          <w:sz w:val="20"/>
          <w:szCs w:val="28"/>
        </w:rPr>
        <w:t xml:space="preserve">. Lifetime co-occurrence of DSM-III-R alcohol abuse and dependence with other psychiatric disorders in the national comorbidity survey. </w:t>
      </w:r>
      <w:r w:rsidRPr="008257F0">
        <w:rPr>
          <w:rFonts w:ascii="Calibri" w:hAnsi="Calibri" w:cs="Calibri"/>
          <w:i/>
          <w:iCs/>
          <w:noProof/>
          <w:sz w:val="20"/>
          <w:szCs w:val="28"/>
        </w:rPr>
        <w:t>Arch</w:t>
      </w:r>
      <w:r w:rsidR="00B61617">
        <w:rPr>
          <w:rFonts w:ascii="Calibri" w:hAnsi="Calibri" w:cs="Calibri"/>
          <w:i/>
          <w:iCs/>
          <w:noProof/>
          <w:sz w:val="20"/>
          <w:szCs w:val="28"/>
        </w:rPr>
        <w:t>ives of General Psychiatry</w:t>
      </w:r>
      <w:r w:rsidRPr="008257F0">
        <w:rPr>
          <w:rFonts w:ascii="Calibri" w:hAnsi="Calibri" w:cs="Calibri"/>
          <w:i/>
          <w:iCs/>
          <w:noProof/>
          <w:sz w:val="20"/>
          <w:szCs w:val="28"/>
        </w:rPr>
        <w:t>. 54</w:t>
      </w:r>
      <w:r w:rsidRPr="008257F0">
        <w:rPr>
          <w:rFonts w:ascii="Calibri" w:hAnsi="Calibri" w:cs="Calibri"/>
          <w:noProof/>
          <w:sz w:val="20"/>
          <w:szCs w:val="28"/>
        </w:rPr>
        <w:t xml:space="preserve">, 313–321. </w:t>
      </w:r>
      <w:r w:rsidR="00682998" w:rsidRPr="00682998">
        <w:rPr>
          <w:rFonts w:ascii="Calibri" w:hAnsi="Calibri" w:cs="Calibri"/>
          <w:noProof/>
          <w:sz w:val="20"/>
          <w:szCs w:val="28"/>
        </w:rPr>
        <w:t>doi:10.1001/archpsyc.1997.01830160031005</w:t>
      </w:r>
    </w:p>
    <w:p w14:paraId="048D8A93" w14:textId="77777777" w:rsidR="008257F0" w:rsidRPr="008257F0" w:rsidRDefault="008257F0" w:rsidP="008257F0">
      <w:pPr>
        <w:pStyle w:val="ListParagraph"/>
        <w:rPr>
          <w:rFonts w:ascii="Calibri" w:hAnsi="Calibri" w:cs="Calibri"/>
          <w:noProof/>
          <w:sz w:val="20"/>
          <w:szCs w:val="28"/>
        </w:rPr>
      </w:pPr>
    </w:p>
    <w:p w14:paraId="6F7C7F59" w14:textId="09E49619"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King, C. A., Horwitz, A., Czyz, E., &amp; Lindsay, R.</w:t>
      </w:r>
      <w:r w:rsidR="007F0180" w:rsidRPr="008257F0">
        <w:rPr>
          <w:rFonts w:ascii="Calibri" w:hAnsi="Calibri" w:cs="Calibri"/>
          <w:noProof/>
          <w:sz w:val="20"/>
          <w:szCs w:val="28"/>
        </w:rPr>
        <w:t xml:space="preserve"> (</w:t>
      </w:r>
      <w:r w:rsidRPr="008257F0">
        <w:rPr>
          <w:rFonts w:ascii="Calibri" w:hAnsi="Calibri" w:cs="Calibri"/>
          <w:noProof/>
          <w:sz w:val="20"/>
          <w:szCs w:val="28"/>
        </w:rPr>
        <w:t>2017</w:t>
      </w:r>
      <w:r w:rsidR="000B27AC" w:rsidRPr="008257F0">
        <w:rPr>
          <w:rFonts w:ascii="Calibri" w:hAnsi="Calibri" w:cs="Calibri"/>
          <w:noProof/>
          <w:sz w:val="20"/>
          <w:szCs w:val="28"/>
        </w:rPr>
        <w:t>)</w:t>
      </w:r>
      <w:r w:rsidRPr="008257F0">
        <w:rPr>
          <w:rFonts w:ascii="Calibri" w:hAnsi="Calibri" w:cs="Calibri"/>
          <w:noProof/>
          <w:sz w:val="20"/>
          <w:szCs w:val="28"/>
        </w:rPr>
        <w:t xml:space="preserve">. Suicide Risk Screening in Healthcare Settings: Identifying Males and Females at Risk. </w:t>
      </w:r>
      <w:r w:rsidRPr="008257F0">
        <w:rPr>
          <w:rFonts w:ascii="Calibri" w:hAnsi="Calibri" w:cs="Calibri"/>
          <w:i/>
          <w:iCs/>
          <w:noProof/>
          <w:sz w:val="20"/>
          <w:szCs w:val="28"/>
        </w:rPr>
        <w:t>J</w:t>
      </w:r>
      <w:r w:rsidR="00CC5146">
        <w:rPr>
          <w:rFonts w:ascii="Calibri" w:hAnsi="Calibri" w:cs="Calibri"/>
          <w:i/>
          <w:iCs/>
          <w:noProof/>
          <w:sz w:val="20"/>
          <w:szCs w:val="28"/>
        </w:rPr>
        <w:t>ournal of Clinical Psychology in Medical Settings</w:t>
      </w:r>
      <w:r w:rsidRPr="008257F0">
        <w:rPr>
          <w:rFonts w:ascii="Calibri" w:hAnsi="Calibri" w:cs="Calibri"/>
          <w:i/>
          <w:iCs/>
          <w:noProof/>
          <w:sz w:val="20"/>
          <w:szCs w:val="28"/>
        </w:rPr>
        <w:t>. S. 24</w:t>
      </w:r>
      <w:r w:rsidRPr="008257F0">
        <w:rPr>
          <w:rFonts w:ascii="Calibri" w:hAnsi="Calibri" w:cs="Calibri"/>
          <w:noProof/>
          <w:sz w:val="20"/>
          <w:szCs w:val="28"/>
        </w:rPr>
        <w:t xml:space="preserve">, 8–20. </w:t>
      </w:r>
      <w:r w:rsidR="00DF51A2" w:rsidRPr="00DF51A2">
        <w:rPr>
          <w:rFonts w:ascii="Calibri" w:hAnsi="Calibri" w:cs="Calibri"/>
          <w:noProof/>
          <w:sz w:val="20"/>
          <w:szCs w:val="28"/>
        </w:rPr>
        <w:t>doi:10.1007/s10880-017-9486-y</w:t>
      </w:r>
    </w:p>
    <w:p w14:paraId="162E709F" w14:textId="77777777" w:rsidR="008257F0" w:rsidRPr="008257F0" w:rsidRDefault="008257F0" w:rsidP="008257F0">
      <w:pPr>
        <w:pStyle w:val="ListParagraph"/>
        <w:rPr>
          <w:rFonts w:ascii="Calibri" w:hAnsi="Calibri" w:cs="Calibri"/>
          <w:noProof/>
          <w:sz w:val="20"/>
          <w:szCs w:val="28"/>
        </w:rPr>
      </w:pPr>
    </w:p>
    <w:p w14:paraId="4F9A5F32" w14:textId="7F988813"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Lingford-Hughes, A. R., Welch, S., &amp; Nutt, D. J.</w:t>
      </w:r>
      <w:r w:rsidR="007F0180" w:rsidRPr="008257F0">
        <w:rPr>
          <w:rFonts w:ascii="Calibri" w:hAnsi="Calibri" w:cs="Calibri"/>
          <w:noProof/>
          <w:sz w:val="20"/>
          <w:szCs w:val="28"/>
        </w:rPr>
        <w:t xml:space="preserve"> (</w:t>
      </w:r>
      <w:r w:rsidRPr="008257F0">
        <w:rPr>
          <w:rFonts w:ascii="Calibri" w:hAnsi="Calibri" w:cs="Calibri"/>
          <w:noProof/>
          <w:sz w:val="20"/>
          <w:szCs w:val="28"/>
        </w:rPr>
        <w:t>2004</w:t>
      </w:r>
      <w:r w:rsidR="000B27AC" w:rsidRPr="008257F0">
        <w:rPr>
          <w:rFonts w:ascii="Calibri" w:hAnsi="Calibri" w:cs="Calibri"/>
          <w:noProof/>
          <w:sz w:val="20"/>
          <w:szCs w:val="28"/>
        </w:rPr>
        <w:t>)</w:t>
      </w:r>
      <w:r w:rsidRPr="008257F0">
        <w:rPr>
          <w:rFonts w:ascii="Calibri" w:hAnsi="Calibri" w:cs="Calibri"/>
          <w:noProof/>
          <w:sz w:val="20"/>
          <w:szCs w:val="28"/>
        </w:rPr>
        <w:t xml:space="preserve">. Evidence-based guidelines for the pharmacological management of substance misuse, addiction and comorbidity: recommendations from the British Association for Psychopharmacology. </w:t>
      </w:r>
      <w:r w:rsidRPr="008257F0">
        <w:rPr>
          <w:rFonts w:ascii="Calibri" w:hAnsi="Calibri" w:cs="Calibri"/>
          <w:i/>
          <w:iCs/>
          <w:noProof/>
          <w:sz w:val="20"/>
          <w:szCs w:val="28"/>
        </w:rPr>
        <w:t>J</w:t>
      </w:r>
      <w:r w:rsidR="00AD02BF">
        <w:rPr>
          <w:rFonts w:ascii="Calibri" w:hAnsi="Calibri" w:cs="Calibri"/>
          <w:i/>
          <w:iCs/>
          <w:noProof/>
          <w:sz w:val="20"/>
          <w:szCs w:val="28"/>
        </w:rPr>
        <w:t>ournal of</w:t>
      </w:r>
      <w:r w:rsidRPr="008257F0">
        <w:rPr>
          <w:rFonts w:ascii="Calibri" w:hAnsi="Calibri" w:cs="Calibri"/>
          <w:i/>
          <w:iCs/>
          <w:noProof/>
          <w:sz w:val="20"/>
          <w:szCs w:val="28"/>
        </w:rPr>
        <w:t xml:space="preserve"> Psychopharmacol</w:t>
      </w:r>
      <w:r w:rsidR="00AD02BF">
        <w:rPr>
          <w:rFonts w:ascii="Calibri" w:hAnsi="Calibri" w:cs="Calibri"/>
          <w:i/>
          <w:iCs/>
          <w:noProof/>
          <w:sz w:val="20"/>
          <w:szCs w:val="28"/>
        </w:rPr>
        <w:t>ogy</w:t>
      </w:r>
      <w:r w:rsidRPr="008257F0">
        <w:rPr>
          <w:rFonts w:ascii="Calibri" w:hAnsi="Calibri" w:cs="Calibri"/>
          <w:i/>
          <w:iCs/>
          <w:noProof/>
          <w:sz w:val="20"/>
          <w:szCs w:val="28"/>
        </w:rPr>
        <w:t>. 18</w:t>
      </w:r>
      <w:r w:rsidRPr="008257F0">
        <w:rPr>
          <w:rFonts w:ascii="Calibri" w:hAnsi="Calibri" w:cs="Calibri"/>
          <w:noProof/>
          <w:sz w:val="20"/>
          <w:szCs w:val="28"/>
        </w:rPr>
        <w:t xml:space="preserve">, 293–335. </w:t>
      </w:r>
      <w:r w:rsidR="0012339F" w:rsidRPr="0012339F">
        <w:rPr>
          <w:rFonts w:ascii="Calibri" w:hAnsi="Calibri" w:cs="Calibri"/>
          <w:noProof/>
          <w:sz w:val="20"/>
          <w:szCs w:val="28"/>
        </w:rPr>
        <w:t>doi:10.1177/026988110401800321</w:t>
      </w:r>
    </w:p>
    <w:p w14:paraId="7042D502" w14:textId="77777777" w:rsidR="008257F0" w:rsidRPr="008257F0" w:rsidRDefault="008257F0" w:rsidP="008257F0">
      <w:pPr>
        <w:pStyle w:val="ListParagraph"/>
        <w:rPr>
          <w:rFonts w:ascii="Calibri" w:hAnsi="Calibri" w:cs="Calibri"/>
          <w:noProof/>
          <w:sz w:val="20"/>
          <w:szCs w:val="28"/>
        </w:rPr>
      </w:pPr>
    </w:p>
    <w:p w14:paraId="0D9C84CB" w14:textId="20221A32"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Long, C. G., &amp; Hollin, C. R.</w:t>
      </w:r>
      <w:r w:rsidR="007F0180" w:rsidRPr="008257F0">
        <w:rPr>
          <w:rFonts w:ascii="Calibri" w:hAnsi="Calibri" w:cs="Calibri"/>
          <w:noProof/>
          <w:sz w:val="20"/>
          <w:szCs w:val="28"/>
        </w:rPr>
        <w:t xml:space="preserve"> (</w:t>
      </w:r>
      <w:r w:rsidRPr="008257F0">
        <w:rPr>
          <w:rFonts w:ascii="Calibri" w:hAnsi="Calibri" w:cs="Calibri"/>
          <w:noProof/>
          <w:sz w:val="20"/>
          <w:szCs w:val="28"/>
        </w:rPr>
        <w:t>2009</w:t>
      </w:r>
      <w:r w:rsidR="000B27AC" w:rsidRPr="008257F0">
        <w:rPr>
          <w:rFonts w:ascii="Calibri" w:hAnsi="Calibri" w:cs="Calibri"/>
          <w:noProof/>
          <w:sz w:val="20"/>
          <w:szCs w:val="28"/>
        </w:rPr>
        <w:t>)</w:t>
      </w:r>
      <w:r w:rsidRPr="008257F0">
        <w:rPr>
          <w:rFonts w:ascii="Calibri" w:hAnsi="Calibri" w:cs="Calibri"/>
          <w:noProof/>
          <w:sz w:val="20"/>
          <w:szCs w:val="28"/>
        </w:rPr>
        <w:t xml:space="preserve">. Assessing Comorbid Substance Use in Detained Psychiatric Patients: Issues and Instruments for Evaluating Treatment Outcome. </w:t>
      </w:r>
      <w:r w:rsidRPr="008257F0">
        <w:rPr>
          <w:rFonts w:ascii="Calibri" w:hAnsi="Calibri" w:cs="Calibri"/>
          <w:i/>
          <w:iCs/>
          <w:noProof/>
          <w:sz w:val="20"/>
          <w:szCs w:val="28"/>
        </w:rPr>
        <w:t>Subst</w:t>
      </w:r>
      <w:r w:rsidR="00AD02BF">
        <w:rPr>
          <w:rFonts w:ascii="Calibri" w:hAnsi="Calibri" w:cs="Calibri"/>
          <w:i/>
          <w:iCs/>
          <w:noProof/>
          <w:sz w:val="20"/>
          <w:szCs w:val="28"/>
        </w:rPr>
        <w:t>ance Use and Misuse</w:t>
      </w:r>
      <w:r w:rsidRPr="008257F0">
        <w:rPr>
          <w:rFonts w:ascii="Calibri" w:hAnsi="Calibri" w:cs="Calibri"/>
          <w:i/>
          <w:iCs/>
          <w:noProof/>
          <w:sz w:val="20"/>
          <w:szCs w:val="28"/>
        </w:rPr>
        <w:t>. 44</w:t>
      </w:r>
      <w:r w:rsidRPr="008257F0">
        <w:rPr>
          <w:rFonts w:ascii="Calibri" w:hAnsi="Calibri" w:cs="Calibri"/>
          <w:noProof/>
          <w:sz w:val="20"/>
          <w:szCs w:val="28"/>
        </w:rPr>
        <w:t xml:space="preserve">, 1602–1641. </w:t>
      </w:r>
      <w:r w:rsidR="00DF296B" w:rsidRPr="00DF296B">
        <w:rPr>
          <w:rFonts w:ascii="Calibri" w:hAnsi="Calibri" w:cs="Calibri"/>
          <w:noProof/>
          <w:sz w:val="20"/>
          <w:szCs w:val="28"/>
        </w:rPr>
        <w:t>doi:10.1080/10826080802486434</w:t>
      </w:r>
    </w:p>
    <w:p w14:paraId="489F2461" w14:textId="77777777" w:rsidR="008257F0" w:rsidRPr="008257F0" w:rsidRDefault="008257F0" w:rsidP="008257F0">
      <w:pPr>
        <w:pStyle w:val="ListParagraph"/>
        <w:rPr>
          <w:rFonts w:ascii="Calibri" w:hAnsi="Calibri" w:cs="Calibri"/>
          <w:noProof/>
          <w:sz w:val="20"/>
          <w:szCs w:val="28"/>
        </w:rPr>
      </w:pPr>
    </w:p>
    <w:p w14:paraId="49F73BA3" w14:textId="3B9BF645"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Luoma, J. B., Twohig, M. P., Waltz, T., Hayes, S. C., Roget, N., Padilla, M., &amp; Fisher, G.</w:t>
      </w:r>
      <w:r w:rsidR="007F0180" w:rsidRPr="008257F0">
        <w:rPr>
          <w:rFonts w:ascii="Calibri" w:hAnsi="Calibri" w:cs="Calibri"/>
          <w:noProof/>
          <w:sz w:val="20"/>
          <w:szCs w:val="28"/>
        </w:rPr>
        <w:t xml:space="preserve"> (</w:t>
      </w:r>
      <w:r w:rsidRPr="008257F0">
        <w:rPr>
          <w:rFonts w:ascii="Calibri" w:hAnsi="Calibri" w:cs="Calibri"/>
          <w:noProof/>
          <w:sz w:val="20"/>
          <w:szCs w:val="28"/>
        </w:rPr>
        <w:t>2007</w:t>
      </w:r>
      <w:r w:rsidR="000B27AC" w:rsidRPr="008257F0">
        <w:rPr>
          <w:rFonts w:ascii="Calibri" w:hAnsi="Calibri" w:cs="Calibri"/>
          <w:noProof/>
          <w:sz w:val="20"/>
          <w:szCs w:val="28"/>
        </w:rPr>
        <w:t>)</w:t>
      </w:r>
      <w:r w:rsidRPr="008257F0">
        <w:rPr>
          <w:rFonts w:ascii="Calibri" w:hAnsi="Calibri" w:cs="Calibri"/>
          <w:noProof/>
          <w:sz w:val="20"/>
          <w:szCs w:val="28"/>
        </w:rPr>
        <w:t xml:space="preserve">. An investigation of stigma in individuals receiving treatment for substance abuse. </w:t>
      </w:r>
      <w:r w:rsidRPr="008257F0">
        <w:rPr>
          <w:rFonts w:ascii="Calibri" w:hAnsi="Calibri" w:cs="Calibri"/>
          <w:i/>
          <w:iCs/>
          <w:noProof/>
          <w:sz w:val="20"/>
          <w:szCs w:val="28"/>
        </w:rPr>
        <w:t>Addic</w:t>
      </w:r>
      <w:r w:rsidR="00AD02BF">
        <w:rPr>
          <w:rFonts w:ascii="Calibri" w:hAnsi="Calibri" w:cs="Calibri"/>
          <w:i/>
          <w:iCs/>
          <w:noProof/>
          <w:sz w:val="20"/>
          <w:szCs w:val="28"/>
        </w:rPr>
        <w:t>tive Behaviors</w:t>
      </w:r>
      <w:r w:rsidRPr="008257F0">
        <w:rPr>
          <w:rFonts w:ascii="Calibri" w:hAnsi="Calibri" w:cs="Calibri"/>
          <w:i/>
          <w:iCs/>
          <w:noProof/>
          <w:sz w:val="20"/>
          <w:szCs w:val="28"/>
        </w:rPr>
        <w:t>. 32</w:t>
      </w:r>
      <w:r w:rsidRPr="008257F0">
        <w:rPr>
          <w:rFonts w:ascii="Calibri" w:hAnsi="Calibri" w:cs="Calibri"/>
          <w:noProof/>
          <w:sz w:val="20"/>
          <w:szCs w:val="28"/>
        </w:rPr>
        <w:t>, 1331–1346.</w:t>
      </w:r>
      <w:r w:rsidR="008C3B8C" w:rsidRPr="008C3B8C">
        <w:t xml:space="preserve"> </w:t>
      </w:r>
      <w:r w:rsidR="008C3B8C" w:rsidRPr="008C3B8C">
        <w:rPr>
          <w:rFonts w:ascii="Calibri" w:hAnsi="Calibri" w:cs="Calibri"/>
          <w:noProof/>
          <w:sz w:val="20"/>
          <w:szCs w:val="28"/>
        </w:rPr>
        <w:t>doi:10.1016/j.addbeh.2006.09.008</w:t>
      </w:r>
    </w:p>
    <w:p w14:paraId="2CB7B5C1" w14:textId="77777777" w:rsidR="008257F0" w:rsidRPr="008257F0" w:rsidRDefault="008257F0" w:rsidP="008257F0">
      <w:pPr>
        <w:pStyle w:val="ListParagraph"/>
        <w:rPr>
          <w:rFonts w:ascii="Calibri" w:hAnsi="Calibri" w:cs="Calibri"/>
          <w:noProof/>
          <w:sz w:val="20"/>
          <w:szCs w:val="28"/>
        </w:rPr>
      </w:pPr>
    </w:p>
    <w:p w14:paraId="22843239" w14:textId="5A742BF8"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Martino, S., Zimbrean, P., Forray, A., Kaufman, J. S., Desan, P. H., Olmstead, T. A., Yonkers, K. A.</w:t>
      </w:r>
      <w:r w:rsidR="007F0180" w:rsidRPr="008257F0">
        <w:rPr>
          <w:rFonts w:ascii="Calibri" w:hAnsi="Calibri" w:cs="Calibri"/>
          <w:noProof/>
          <w:sz w:val="20"/>
          <w:szCs w:val="28"/>
        </w:rPr>
        <w:t xml:space="preserve"> (</w:t>
      </w:r>
      <w:r w:rsidRPr="008257F0">
        <w:rPr>
          <w:rFonts w:ascii="Calibri" w:hAnsi="Calibri" w:cs="Calibri"/>
          <w:noProof/>
          <w:sz w:val="20"/>
          <w:szCs w:val="28"/>
        </w:rPr>
        <w:t>2019</w:t>
      </w:r>
      <w:r w:rsidR="000B27AC" w:rsidRPr="008257F0">
        <w:rPr>
          <w:rFonts w:ascii="Calibri" w:hAnsi="Calibri" w:cs="Calibri"/>
          <w:noProof/>
          <w:sz w:val="20"/>
          <w:szCs w:val="28"/>
        </w:rPr>
        <w:t>)</w:t>
      </w:r>
      <w:r w:rsidRPr="008257F0">
        <w:rPr>
          <w:rFonts w:ascii="Calibri" w:hAnsi="Calibri" w:cs="Calibri"/>
          <w:noProof/>
          <w:sz w:val="20"/>
          <w:szCs w:val="28"/>
        </w:rPr>
        <w:t xml:space="preserve">. Implementing Motivational Interviewing for Substance Misuse on Medical Inpatient Units: a Randomized Controlled Trial. </w:t>
      </w:r>
      <w:r w:rsidRPr="008257F0">
        <w:rPr>
          <w:rFonts w:ascii="Calibri" w:hAnsi="Calibri" w:cs="Calibri"/>
          <w:i/>
          <w:iCs/>
          <w:noProof/>
          <w:sz w:val="20"/>
          <w:szCs w:val="28"/>
        </w:rPr>
        <w:t>J</w:t>
      </w:r>
      <w:r w:rsidR="008C1F36">
        <w:rPr>
          <w:rFonts w:ascii="Calibri" w:hAnsi="Calibri" w:cs="Calibri"/>
          <w:i/>
          <w:iCs/>
          <w:noProof/>
          <w:sz w:val="20"/>
          <w:szCs w:val="28"/>
        </w:rPr>
        <w:t>ournal of General Internal Medicine</w:t>
      </w:r>
      <w:r w:rsidRPr="008257F0">
        <w:rPr>
          <w:rFonts w:ascii="Calibri" w:hAnsi="Calibri" w:cs="Calibri"/>
          <w:i/>
          <w:iCs/>
          <w:noProof/>
          <w:sz w:val="20"/>
          <w:szCs w:val="28"/>
        </w:rPr>
        <w:t>. 34</w:t>
      </w:r>
      <w:r w:rsidRPr="008257F0">
        <w:rPr>
          <w:rFonts w:ascii="Calibri" w:hAnsi="Calibri" w:cs="Calibri"/>
          <w:noProof/>
          <w:sz w:val="20"/>
          <w:szCs w:val="28"/>
        </w:rPr>
        <w:t xml:space="preserve">, 2520–2529. </w:t>
      </w:r>
      <w:r w:rsidR="00B65D60" w:rsidRPr="00B65D60">
        <w:rPr>
          <w:rFonts w:ascii="Calibri" w:hAnsi="Calibri" w:cs="Calibri"/>
          <w:noProof/>
          <w:sz w:val="20"/>
          <w:szCs w:val="28"/>
        </w:rPr>
        <w:t>doi:10.1007/s11606-019-05257-3</w:t>
      </w:r>
    </w:p>
    <w:p w14:paraId="44876855" w14:textId="77777777" w:rsidR="008257F0" w:rsidRPr="008257F0" w:rsidRDefault="008257F0" w:rsidP="008257F0">
      <w:pPr>
        <w:pStyle w:val="ListParagraph"/>
        <w:rPr>
          <w:rFonts w:ascii="Calibri" w:hAnsi="Calibri" w:cs="Calibri"/>
          <w:noProof/>
          <w:sz w:val="20"/>
          <w:szCs w:val="28"/>
        </w:rPr>
      </w:pPr>
    </w:p>
    <w:p w14:paraId="29E0CDFB" w14:textId="146EABFD"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McGrath, P. J., Nunes, E. V, Stewart, J. W., Goldman, D., Agosti, V., Ocepek-Welikson, K., &amp; Quitkin, F. M.</w:t>
      </w:r>
      <w:r w:rsidR="007F0180" w:rsidRPr="008257F0">
        <w:rPr>
          <w:rFonts w:ascii="Calibri" w:hAnsi="Calibri" w:cs="Calibri"/>
          <w:noProof/>
          <w:sz w:val="20"/>
          <w:szCs w:val="28"/>
        </w:rPr>
        <w:t xml:space="preserve"> (</w:t>
      </w:r>
      <w:r w:rsidRPr="008257F0">
        <w:rPr>
          <w:rFonts w:ascii="Calibri" w:hAnsi="Calibri" w:cs="Calibri"/>
          <w:noProof/>
          <w:sz w:val="20"/>
          <w:szCs w:val="28"/>
        </w:rPr>
        <w:t>1996</w:t>
      </w:r>
      <w:r w:rsidR="000B27AC" w:rsidRPr="008257F0">
        <w:rPr>
          <w:rFonts w:ascii="Calibri" w:hAnsi="Calibri" w:cs="Calibri"/>
          <w:noProof/>
          <w:sz w:val="20"/>
          <w:szCs w:val="28"/>
        </w:rPr>
        <w:t>)</w:t>
      </w:r>
      <w:r w:rsidRPr="008257F0">
        <w:rPr>
          <w:rFonts w:ascii="Calibri" w:hAnsi="Calibri" w:cs="Calibri"/>
          <w:noProof/>
          <w:sz w:val="20"/>
          <w:szCs w:val="28"/>
        </w:rPr>
        <w:t xml:space="preserve">. Imipramine treatment of alcoholics with primary depression: A placebo-controlled clinical trial. </w:t>
      </w:r>
      <w:r w:rsidRPr="008257F0">
        <w:rPr>
          <w:rFonts w:ascii="Calibri" w:hAnsi="Calibri" w:cs="Calibri"/>
          <w:i/>
          <w:iCs/>
          <w:noProof/>
          <w:sz w:val="20"/>
          <w:szCs w:val="28"/>
        </w:rPr>
        <w:t>Arch</w:t>
      </w:r>
      <w:r w:rsidR="008C1F36">
        <w:rPr>
          <w:rFonts w:ascii="Calibri" w:hAnsi="Calibri" w:cs="Calibri"/>
          <w:i/>
          <w:iCs/>
          <w:noProof/>
          <w:sz w:val="20"/>
          <w:szCs w:val="28"/>
        </w:rPr>
        <w:t>ives of General Psychiatry</w:t>
      </w:r>
      <w:r w:rsidRPr="008257F0">
        <w:rPr>
          <w:rFonts w:ascii="Calibri" w:hAnsi="Calibri" w:cs="Calibri"/>
          <w:i/>
          <w:iCs/>
          <w:noProof/>
          <w:sz w:val="20"/>
          <w:szCs w:val="28"/>
        </w:rPr>
        <w:t>. 53</w:t>
      </w:r>
      <w:r w:rsidRPr="008257F0">
        <w:rPr>
          <w:rFonts w:ascii="Calibri" w:hAnsi="Calibri" w:cs="Calibri"/>
          <w:noProof/>
          <w:sz w:val="20"/>
          <w:szCs w:val="28"/>
        </w:rPr>
        <w:t xml:space="preserve">, 232–240. </w:t>
      </w:r>
      <w:r w:rsidR="0087679D" w:rsidRPr="0087679D">
        <w:rPr>
          <w:rFonts w:ascii="Calibri" w:hAnsi="Calibri" w:cs="Calibri"/>
          <w:noProof/>
          <w:sz w:val="20"/>
          <w:szCs w:val="28"/>
        </w:rPr>
        <w:t>doi:10.1001/archpsyc.1996.01830030054009</w:t>
      </w:r>
    </w:p>
    <w:p w14:paraId="304AE5C2" w14:textId="77777777" w:rsidR="008257F0" w:rsidRPr="008257F0" w:rsidRDefault="008257F0" w:rsidP="008257F0">
      <w:pPr>
        <w:pStyle w:val="ListParagraph"/>
        <w:rPr>
          <w:rFonts w:ascii="Calibri" w:hAnsi="Calibri" w:cs="Calibri"/>
          <w:noProof/>
          <w:sz w:val="20"/>
          <w:szCs w:val="28"/>
        </w:rPr>
      </w:pPr>
    </w:p>
    <w:p w14:paraId="0C5BCB1E" w14:textId="3778ED36"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Miller, W. R., &amp; Rose, G. S.</w:t>
      </w:r>
      <w:r w:rsidR="007F0180" w:rsidRPr="008257F0">
        <w:rPr>
          <w:rFonts w:ascii="Calibri" w:hAnsi="Calibri" w:cs="Calibri"/>
          <w:noProof/>
          <w:sz w:val="20"/>
          <w:szCs w:val="28"/>
        </w:rPr>
        <w:t xml:space="preserve"> (</w:t>
      </w:r>
      <w:r w:rsidRPr="008257F0">
        <w:rPr>
          <w:rFonts w:ascii="Calibri" w:hAnsi="Calibri" w:cs="Calibri"/>
          <w:noProof/>
          <w:sz w:val="20"/>
          <w:szCs w:val="28"/>
        </w:rPr>
        <w:t>2009</w:t>
      </w:r>
      <w:r w:rsidR="000B27AC" w:rsidRPr="008257F0">
        <w:rPr>
          <w:rFonts w:ascii="Calibri" w:hAnsi="Calibri" w:cs="Calibri"/>
          <w:noProof/>
          <w:sz w:val="20"/>
          <w:szCs w:val="28"/>
        </w:rPr>
        <w:t>)</w:t>
      </w:r>
      <w:r w:rsidRPr="008257F0">
        <w:rPr>
          <w:rFonts w:ascii="Calibri" w:hAnsi="Calibri" w:cs="Calibri"/>
          <w:noProof/>
          <w:sz w:val="20"/>
          <w:szCs w:val="28"/>
        </w:rPr>
        <w:t xml:space="preserve">. Toward a Theory of Motivational Interviewing. </w:t>
      </w:r>
      <w:r w:rsidRPr="008257F0">
        <w:rPr>
          <w:rFonts w:ascii="Calibri" w:hAnsi="Calibri" w:cs="Calibri"/>
          <w:i/>
          <w:iCs/>
          <w:noProof/>
          <w:sz w:val="20"/>
          <w:szCs w:val="28"/>
        </w:rPr>
        <w:t>Am</w:t>
      </w:r>
      <w:r w:rsidR="009309F5">
        <w:rPr>
          <w:rFonts w:ascii="Calibri" w:hAnsi="Calibri" w:cs="Calibri"/>
          <w:i/>
          <w:iCs/>
          <w:noProof/>
          <w:sz w:val="20"/>
          <w:szCs w:val="28"/>
        </w:rPr>
        <w:t>erican Psychologist</w:t>
      </w:r>
      <w:r w:rsidRPr="008257F0">
        <w:rPr>
          <w:rFonts w:ascii="Calibri" w:hAnsi="Calibri" w:cs="Calibri"/>
          <w:i/>
          <w:iCs/>
          <w:noProof/>
          <w:sz w:val="20"/>
          <w:szCs w:val="28"/>
        </w:rPr>
        <w:t>. 64</w:t>
      </w:r>
      <w:r w:rsidRPr="008257F0">
        <w:rPr>
          <w:rFonts w:ascii="Calibri" w:hAnsi="Calibri" w:cs="Calibri"/>
          <w:noProof/>
          <w:sz w:val="20"/>
          <w:szCs w:val="28"/>
        </w:rPr>
        <w:t xml:space="preserve">, 527–537. </w:t>
      </w:r>
      <w:r w:rsidR="00DE77B6" w:rsidRPr="00DE77B6">
        <w:rPr>
          <w:rFonts w:ascii="Calibri" w:hAnsi="Calibri" w:cs="Calibri"/>
          <w:noProof/>
          <w:sz w:val="20"/>
          <w:szCs w:val="28"/>
        </w:rPr>
        <w:t>doi:10.1037/a0016830</w:t>
      </w:r>
    </w:p>
    <w:p w14:paraId="388BEA2F" w14:textId="77777777" w:rsidR="008257F0" w:rsidRPr="008257F0" w:rsidRDefault="008257F0" w:rsidP="008257F0">
      <w:pPr>
        <w:pStyle w:val="ListParagraph"/>
        <w:rPr>
          <w:rFonts w:ascii="Calibri" w:hAnsi="Calibri" w:cs="Calibri"/>
          <w:noProof/>
          <w:sz w:val="20"/>
          <w:szCs w:val="28"/>
        </w:rPr>
      </w:pPr>
    </w:p>
    <w:p w14:paraId="386D2755" w14:textId="39F8566F"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Mitchell, A. J., Malone, D., &amp; Doebbeling, C. C.</w:t>
      </w:r>
      <w:r w:rsidR="007F0180" w:rsidRPr="008257F0">
        <w:rPr>
          <w:rFonts w:ascii="Calibri" w:hAnsi="Calibri" w:cs="Calibri"/>
          <w:noProof/>
          <w:sz w:val="20"/>
          <w:szCs w:val="28"/>
        </w:rPr>
        <w:t xml:space="preserve"> (</w:t>
      </w:r>
      <w:r w:rsidRPr="008257F0">
        <w:rPr>
          <w:rFonts w:ascii="Calibri" w:hAnsi="Calibri" w:cs="Calibri"/>
          <w:noProof/>
          <w:sz w:val="20"/>
          <w:szCs w:val="28"/>
        </w:rPr>
        <w:t>2009</w:t>
      </w:r>
      <w:r w:rsidR="000B27AC" w:rsidRPr="008257F0">
        <w:rPr>
          <w:rFonts w:ascii="Calibri" w:hAnsi="Calibri" w:cs="Calibri"/>
          <w:noProof/>
          <w:sz w:val="20"/>
          <w:szCs w:val="28"/>
        </w:rPr>
        <w:t>)</w:t>
      </w:r>
      <w:r w:rsidRPr="008257F0">
        <w:rPr>
          <w:rFonts w:ascii="Calibri" w:hAnsi="Calibri" w:cs="Calibri"/>
          <w:noProof/>
          <w:sz w:val="20"/>
          <w:szCs w:val="28"/>
        </w:rPr>
        <w:t xml:space="preserve">. Quality of medical care for people with and without comorbid mental illness and substance misuse: Systematic review of comparative studies. </w:t>
      </w:r>
      <w:r w:rsidRPr="008257F0">
        <w:rPr>
          <w:rFonts w:ascii="Calibri" w:hAnsi="Calibri" w:cs="Calibri"/>
          <w:i/>
          <w:iCs/>
          <w:noProof/>
          <w:sz w:val="20"/>
          <w:szCs w:val="28"/>
        </w:rPr>
        <w:t>Brit</w:t>
      </w:r>
      <w:r w:rsidR="009309F5">
        <w:rPr>
          <w:rFonts w:ascii="Calibri" w:hAnsi="Calibri" w:cs="Calibri"/>
          <w:i/>
          <w:iCs/>
          <w:noProof/>
          <w:sz w:val="20"/>
          <w:szCs w:val="28"/>
        </w:rPr>
        <w:t>ish Journal of Psychiatry</w:t>
      </w:r>
      <w:r w:rsidRPr="008257F0">
        <w:rPr>
          <w:rFonts w:ascii="Calibri" w:hAnsi="Calibri" w:cs="Calibri"/>
          <w:i/>
          <w:iCs/>
          <w:noProof/>
          <w:sz w:val="20"/>
          <w:szCs w:val="28"/>
        </w:rPr>
        <w:t>.</w:t>
      </w:r>
      <w:r w:rsidR="009309F5">
        <w:rPr>
          <w:rFonts w:ascii="Calibri" w:hAnsi="Calibri" w:cs="Calibri"/>
          <w:i/>
          <w:iCs/>
          <w:noProof/>
          <w:sz w:val="20"/>
          <w:szCs w:val="28"/>
        </w:rPr>
        <w:t xml:space="preserve"> </w:t>
      </w:r>
      <w:r w:rsidRPr="008257F0">
        <w:rPr>
          <w:rFonts w:ascii="Calibri" w:hAnsi="Calibri" w:cs="Calibri"/>
          <w:i/>
          <w:iCs/>
          <w:noProof/>
          <w:sz w:val="20"/>
          <w:szCs w:val="28"/>
        </w:rPr>
        <w:t>194</w:t>
      </w:r>
      <w:r w:rsidRPr="008257F0">
        <w:rPr>
          <w:rFonts w:ascii="Calibri" w:hAnsi="Calibri" w:cs="Calibri"/>
          <w:noProof/>
          <w:sz w:val="20"/>
          <w:szCs w:val="28"/>
        </w:rPr>
        <w:t xml:space="preserve">, 491–499. </w:t>
      </w:r>
      <w:r w:rsidR="00C10B5A" w:rsidRPr="00C10B5A">
        <w:rPr>
          <w:rFonts w:ascii="Calibri" w:hAnsi="Calibri" w:cs="Calibri"/>
          <w:noProof/>
          <w:sz w:val="20"/>
          <w:szCs w:val="28"/>
        </w:rPr>
        <w:t>doi:10.1192/bjp.bp.107.045732</w:t>
      </w:r>
    </w:p>
    <w:p w14:paraId="4E8AC5C3" w14:textId="77777777" w:rsidR="008257F0" w:rsidRPr="008257F0" w:rsidRDefault="008257F0" w:rsidP="008257F0">
      <w:pPr>
        <w:pStyle w:val="ListParagraph"/>
        <w:rPr>
          <w:rFonts w:ascii="Calibri" w:hAnsi="Calibri" w:cs="Calibri"/>
          <w:noProof/>
          <w:sz w:val="20"/>
          <w:szCs w:val="28"/>
        </w:rPr>
      </w:pPr>
    </w:p>
    <w:p w14:paraId="3225B8EA" w14:textId="1AD84AF6"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Mohammadi, D.</w:t>
      </w:r>
      <w:r w:rsidR="007F0180" w:rsidRPr="008257F0">
        <w:rPr>
          <w:rFonts w:ascii="Calibri" w:hAnsi="Calibri" w:cs="Calibri"/>
          <w:noProof/>
          <w:sz w:val="20"/>
          <w:szCs w:val="28"/>
        </w:rPr>
        <w:t xml:space="preserve"> (</w:t>
      </w:r>
      <w:r w:rsidRPr="008257F0">
        <w:rPr>
          <w:rFonts w:ascii="Calibri" w:hAnsi="Calibri" w:cs="Calibri"/>
          <w:noProof/>
          <w:sz w:val="20"/>
          <w:szCs w:val="28"/>
        </w:rPr>
        <w:t>2014</w:t>
      </w:r>
      <w:r w:rsidR="000B27AC" w:rsidRPr="008257F0">
        <w:rPr>
          <w:rFonts w:ascii="Calibri" w:hAnsi="Calibri" w:cs="Calibri"/>
          <w:noProof/>
          <w:sz w:val="20"/>
          <w:szCs w:val="28"/>
        </w:rPr>
        <w:t>)</w:t>
      </w:r>
      <w:r w:rsidRPr="008257F0">
        <w:rPr>
          <w:rFonts w:ascii="Calibri" w:hAnsi="Calibri" w:cs="Calibri"/>
          <w:noProof/>
          <w:sz w:val="20"/>
          <w:szCs w:val="28"/>
        </w:rPr>
        <w:t xml:space="preserve">. Addiction services in England: in need of an intervention. </w:t>
      </w:r>
      <w:r w:rsidRPr="008257F0">
        <w:rPr>
          <w:rFonts w:ascii="Calibri" w:hAnsi="Calibri" w:cs="Calibri"/>
          <w:i/>
          <w:iCs/>
          <w:noProof/>
          <w:sz w:val="20"/>
          <w:szCs w:val="28"/>
        </w:rPr>
        <w:t>Lancet Psychiat</w:t>
      </w:r>
      <w:r w:rsidR="008D0C91">
        <w:rPr>
          <w:rFonts w:ascii="Calibri" w:hAnsi="Calibri" w:cs="Calibri"/>
          <w:i/>
          <w:iCs/>
          <w:noProof/>
          <w:sz w:val="20"/>
          <w:szCs w:val="28"/>
        </w:rPr>
        <w:t>ry</w:t>
      </w:r>
      <w:r w:rsidRPr="008257F0">
        <w:rPr>
          <w:rFonts w:ascii="Calibri" w:hAnsi="Calibri" w:cs="Calibri"/>
          <w:i/>
          <w:iCs/>
          <w:noProof/>
          <w:sz w:val="20"/>
          <w:szCs w:val="28"/>
        </w:rPr>
        <w:t>. 1</w:t>
      </w:r>
      <w:r w:rsidRPr="008257F0">
        <w:rPr>
          <w:rFonts w:ascii="Calibri" w:hAnsi="Calibri" w:cs="Calibri"/>
          <w:noProof/>
          <w:sz w:val="20"/>
          <w:szCs w:val="28"/>
        </w:rPr>
        <w:t>, 421–422.</w:t>
      </w:r>
      <w:r w:rsidR="008E183C" w:rsidRPr="008E183C">
        <w:t xml:space="preserve"> </w:t>
      </w:r>
      <w:r w:rsidR="008E183C" w:rsidRPr="008E183C">
        <w:rPr>
          <w:rFonts w:ascii="Calibri" w:hAnsi="Calibri" w:cs="Calibri"/>
          <w:noProof/>
          <w:sz w:val="20"/>
          <w:szCs w:val="28"/>
        </w:rPr>
        <w:t>doi:10.1016/S2215-0366(14)00015-7</w:t>
      </w:r>
    </w:p>
    <w:p w14:paraId="6C33C159" w14:textId="77777777" w:rsidR="008257F0" w:rsidRPr="008257F0" w:rsidRDefault="008257F0" w:rsidP="008257F0">
      <w:pPr>
        <w:pStyle w:val="ListParagraph"/>
        <w:rPr>
          <w:rFonts w:ascii="Calibri" w:hAnsi="Calibri" w:cs="Calibri"/>
          <w:noProof/>
          <w:sz w:val="20"/>
          <w:szCs w:val="28"/>
        </w:rPr>
      </w:pPr>
    </w:p>
    <w:p w14:paraId="067DF43B" w14:textId="77777777"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National Institute for Health and Care Excellence</w:t>
      </w:r>
      <w:r w:rsidR="007F0180" w:rsidRPr="008257F0">
        <w:rPr>
          <w:rFonts w:ascii="Calibri" w:hAnsi="Calibri" w:cs="Calibri"/>
          <w:noProof/>
          <w:sz w:val="20"/>
          <w:szCs w:val="28"/>
        </w:rPr>
        <w:t xml:space="preserve"> (</w:t>
      </w:r>
      <w:r w:rsidRPr="008257F0">
        <w:rPr>
          <w:rFonts w:ascii="Calibri" w:hAnsi="Calibri" w:cs="Calibri"/>
          <w:noProof/>
          <w:sz w:val="20"/>
          <w:szCs w:val="28"/>
        </w:rPr>
        <w:t>2011</w:t>
      </w:r>
      <w:r w:rsidR="000B27AC" w:rsidRPr="008257F0">
        <w:rPr>
          <w:rFonts w:ascii="Calibri" w:hAnsi="Calibri" w:cs="Calibri"/>
          <w:noProof/>
          <w:sz w:val="20"/>
          <w:szCs w:val="28"/>
        </w:rPr>
        <w:t>)</w:t>
      </w:r>
      <w:r w:rsidRPr="008257F0">
        <w:rPr>
          <w:rFonts w:ascii="Calibri" w:hAnsi="Calibri" w:cs="Calibri"/>
          <w:noProof/>
          <w:sz w:val="20"/>
          <w:szCs w:val="28"/>
        </w:rPr>
        <w:t>. Common mental health problems: identification and pathways to care (</w:t>
      </w:r>
      <w:r w:rsidRPr="008257F0">
        <w:rPr>
          <w:rFonts w:ascii="Calibri" w:hAnsi="Calibri" w:cs="Calibri"/>
          <w:i/>
          <w:iCs/>
          <w:noProof/>
          <w:sz w:val="20"/>
          <w:szCs w:val="28"/>
        </w:rPr>
        <w:t>CG123</w:t>
      </w:r>
      <w:r w:rsidRPr="008257F0">
        <w:rPr>
          <w:rFonts w:ascii="Calibri" w:hAnsi="Calibri" w:cs="Calibri"/>
          <w:noProof/>
          <w:sz w:val="20"/>
          <w:szCs w:val="28"/>
        </w:rPr>
        <w:t>). Available at https://www.nice.org.uk/guidance/CG123</w:t>
      </w:r>
    </w:p>
    <w:p w14:paraId="290F2CBD" w14:textId="77777777" w:rsidR="008257F0" w:rsidRPr="008257F0" w:rsidRDefault="008257F0" w:rsidP="008257F0">
      <w:pPr>
        <w:pStyle w:val="ListParagraph"/>
        <w:rPr>
          <w:rFonts w:ascii="Calibri" w:hAnsi="Calibri" w:cs="Calibri"/>
          <w:noProof/>
          <w:sz w:val="20"/>
          <w:szCs w:val="28"/>
        </w:rPr>
      </w:pPr>
    </w:p>
    <w:p w14:paraId="367769BF" w14:textId="77777777"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National Institute for Health and Care Excellence</w:t>
      </w:r>
      <w:r w:rsidR="007F0180" w:rsidRPr="008257F0">
        <w:rPr>
          <w:rFonts w:ascii="Calibri" w:hAnsi="Calibri" w:cs="Calibri"/>
          <w:noProof/>
          <w:sz w:val="20"/>
          <w:szCs w:val="28"/>
        </w:rPr>
        <w:t xml:space="preserve"> (</w:t>
      </w:r>
      <w:r w:rsidRPr="008257F0">
        <w:rPr>
          <w:rFonts w:ascii="Calibri" w:hAnsi="Calibri" w:cs="Calibri"/>
          <w:noProof/>
          <w:sz w:val="20"/>
          <w:szCs w:val="28"/>
        </w:rPr>
        <w:t>2011</w:t>
      </w:r>
      <w:r w:rsidR="000B27AC" w:rsidRPr="008257F0">
        <w:rPr>
          <w:rFonts w:ascii="Calibri" w:hAnsi="Calibri" w:cs="Calibri"/>
          <w:noProof/>
          <w:sz w:val="20"/>
          <w:szCs w:val="28"/>
        </w:rPr>
        <w:t>)</w:t>
      </w:r>
      <w:r w:rsidRPr="008257F0">
        <w:rPr>
          <w:rFonts w:ascii="Calibri" w:hAnsi="Calibri" w:cs="Calibri"/>
          <w:noProof/>
          <w:sz w:val="20"/>
          <w:szCs w:val="28"/>
        </w:rPr>
        <w:t>. Service user experience in adult mental health: improving the experience of care for people using adult NHS mental health services (</w:t>
      </w:r>
      <w:r w:rsidRPr="008257F0">
        <w:rPr>
          <w:rFonts w:ascii="Calibri" w:hAnsi="Calibri" w:cs="Calibri"/>
          <w:i/>
          <w:iCs/>
          <w:noProof/>
          <w:sz w:val="20"/>
          <w:szCs w:val="28"/>
        </w:rPr>
        <w:t>CG136</w:t>
      </w:r>
      <w:r w:rsidRPr="008257F0">
        <w:rPr>
          <w:rFonts w:ascii="Calibri" w:hAnsi="Calibri" w:cs="Calibri"/>
          <w:noProof/>
          <w:sz w:val="20"/>
          <w:szCs w:val="28"/>
        </w:rPr>
        <w:t>). Available at https://www.nice.org.uk/guidance/cg136</w:t>
      </w:r>
    </w:p>
    <w:p w14:paraId="1E2089EC" w14:textId="77777777" w:rsidR="008257F0" w:rsidRPr="008257F0" w:rsidRDefault="008257F0" w:rsidP="008257F0">
      <w:pPr>
        <w:pStyle w:val="ListParagraph"/>
        <w:rPr>
          <w:rFonts w:ascii="Calibri" w:hAnsi="Calibri" w:cs="Calibri"/>
          <w:noProof/>
          <w:sz w:val="20"/>
          <w:szCs w:val="28"/>
        </w:rPr>
      </w:pPr>
    </w:p>
    <w:p w14:paraId="2A5EAFC5" w14:textId="77777777"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National Institute for Health and Care Excellence</w:t>
      </w:r>
      <w:r w:rsidR="007F0180" w:rsidRPr="008257F0">
        <w:rPr>
          <w:rFonts w:ascii="Calibri" w:hAnsi="Calibri" w:cs="Calibri"/>
          <w:noProof/>
          <w:sz w:val="20"/>
          <w:szCs w:val="28"/>
        </w:rPr>
        <w:t xml:space="preserve"> (</w:t>
      </w:r>
      <w:r w:rsidRPr="008257F0">
        <w:rPr>
          <w:rFonts w:ascii="Calibri" w:hAnsi="Calibri" w:cs="Calibri"/>
          <w:noProof/>
          <w:sz w:val="20"/>
          <w:szCs w:val="28"/>
        </w:rPr>
        <w:t>2016</w:t>
      </w:r>
      <w:r w:rsidR="000B27AC" w:rsidRPr="008257F0">
        <w:rPr>
          <w:rFonts w:ascii="Calibri" w:hAnsi="Calibri" w:cs="Calibri"/>
          <w:noProof/>
          <w:sz w:val="20"/>
          <w:szCs w:val="28"/>
        </w:rPr>
        <w:t>)</w:t>
      </w:r>
      <w:r w:rsidRPr="008257F0">
        <w:rPr>
          <w:rFonts w:ascii="Calibri" w:hAnsi="Calibri" w:cs="Calibri"/>
          <w:noProof/>
          <w:sz w:val="20"/>
          <w:szCs w:val="28"/>
        </w:rPr>
        <w:t>. Transition between inpatient mental health settings and community or care home settings (</w:t>
      </w:r>
      <w:r w:rsidRPr="008257F0">
        <w:rPr>
          <w:rFonts w:ascii="Calibri" w:hAnsi="Calibri" w:cs="Calibri"/>
          <w:i/>
          <w:iCs/>
          <w:noProof/>
          <w:sz w:val="20"/>
          <w:szCs w:val="28"/>
        </w:rPr>
        <w:t>NG53</w:t>
      </w:r>
      <w:r w:rsidRPr="008257F0">
        <w:rPr>
          <w:rFonts w:ascii="Calibri" w:hAnsi="Calibri" w:cs="Calibri"/>
          <w:noProof/>
          <w:sz w:val="20"/>
          <w:szCs w:val="28"/>
        </w:rPr>
        <w:t>). Available at https://www.nice.org.uk/guidance/ng53</w:t>
      </w:r>
    </w:p>
    <w:p w14:paraId="0D89F388" w14:textId="77777777" w:rsidR="008257F0" w:rsidRPr="008257F0" w:rsidRDefault="008257F0" w:rsidP="008257F0">
      <w:pPr>
        <w:pStyle w:val="ListParagraph"/>
        <w:rPr>
          <w:rFonts w:ascii="Calibri" w:hAnsi="Calibri" w:cs="Calibri"/>
          <w:noProof/>
          <w:sz w:val="20"/>
          <w:szCs w:val="28"/>
        </w:rPr>
      </w:pPr>
    </w:p>
    <w:p w14:paraId="22BDDCC3" w14:textId="55BDFE58"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Nunes, E. V., &amp; Levin, F. R.</w:t>
      </w:r>
      <w:r w:rsidR="007F0180" w:rsidRPr="008257F0">
        <w:rPr>
          <w:rFonts w:ascii="Calibri" w:hAnsi="Calibri" w:cs="Calibri"/>
          <w:noProof/>
          <w:sz w:val="20"/>
          <w:szCs w:val="28"/>
        </w:rPr>
        <w:t xml:space="preserve"> (</w:t>
      </w:r>
      <w:r w:rsidRPr="008257F0">
        <w:rPr>
          <w:rFonts w:ascii="Calibri" w:hAnsi="Calibri" w:cs="Calibri"/>
          <w:noProof/>
          <w:sz w:val="20"/>
          <w:szCs w:val="28"/>
        </w:rPr>
        <w:t>2004</w:t>
      </w:r>
      <w:r w:rsidR="000B27AC" w:rsidRPr="008257F0">
        <w:rPr>
          <w:rFonts w:ascii="Calibri" w:hAnsi="Calibri" w:cs="Calibri"/>
          <w:noProof/>
          <w:sz w:val="20"/>
          <w:szCs w:val="28"/>
        </w:rPr>
        <w:t>)</w:t>
      </w:r>
      <w:r w:rsidRPr="008257F0">
        <w:rPr>
          <w:rFonts w:ascii="Calibri" w:hAnsi="Calibri" w:cs="Calibri"/>
          <w:noProof/>
          <w:sz w:val="20"/>
          <w:szCs w:val="28"/>
        </w:rPr>
        <w:t xml:space="preserve">. Treatment of Depression in Patients with Alcohol or Other Drug Dependence: A Meta-analysis. </w:t>
      </w:r>
      <w:r w:rsidRPr="008257F0">
        <w:rPr>
          <w:rFonts w:ascii="Calibri" w:hAnsi="Calibri" w:cs="Calibri"/>
          <w:i/>
          <w:iCs/>
          <w:noProof/>
          <w:sz w:val="20"/>
          <w:szCs w:val="28"/>
        </w:rPr>
        <w:t>J</w:t>
      </w:r>
      <w:r w:rsidR="008D0C91">
        <w:rPr>
          <w:rFonts w:ascii="Calibri" w:hAnsi="Calibri" w:cs="Calibri"/>
          <w:i/>
          <w:iCs/>
          <w:noProof/>
          <w:sz w:val="20"/>
          <w:szCs w:val="28"/>
        </w:rPr>
        <w:t>ournal of the American Medical Association</w:t>
      </w:r>
      <w:r w:rsidRPr="008257F0">
        <w:rPr>
          <w:rFonts w:ascii="Calibri" w:hAnsi="Calibri" w:cs="Calibri"/>
          <w:i/>
          <w:iCs/>
          <w:noProof/>
          <w:sz w:val="20"/>
          <w:szCs w:val="28"/>
        </w:rPr>
        <w:t>. 291</w:t>
      </w:r>
      <w:r w:rsidRPr="008257F0">
        <w:rPr>
          <w:rFonts w:ascii="Calibri" w:hAnsi="Calibri" w:cs="Calibri"/>
          <w:noProof/>
          <w:sz w:val="20"/>
          <w:szCs w:val="28"/>
        </w:rPr>
        <w:t xml:space="preserve">, 1887–1896. </w:t>
      </w:r>
      <w:r w:rsidR="00E821C5" w:rsidRPr="00E821C5">
        <w:rPr>
          <w:rFonts w:ascii="Calibri" w:hAnsi="Calibri" w:cs="Calibri"/>
          <w:noProof/>
          <w:sz w:val="20"/>
          <w:szCs w:val="28"/>
        </w:rPr>
        <w:t>doi:10.1001/jama.291.15.1887</w:t>
      </w:r>
    </w:p>
    <w:p w14:paraId="68CAF4DC" w14:textId="77777777" w:rsidR="008257F0" w:rsidRPr="008257F0" w:rsidRDefault="008257F0" w:rsidP="008257F0">
      <w:pPr>
        <w:pStyle w:val="ListParagraph"/>
        <w:rPr>
          <w:rFonts w:ascii="Calibri" w:hAnsi="Calibri" w:cs="Calibri"/>
          <w:noProof/>
          <w:sz w:val="20"/>
          <w:szCs w:val="28"/>
        </w:rPr>
      </w:pPr>
    </w:p>
    <w:p w14:paraId="15D1C406" w14:textId="6E8E0C6B"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Nunes, E. V., Quitkin, F. M., Donovan, S. J., Deliyannides, D., Ocepek-Welihson, K., Koenig, T., … Woody, G.</w:t>
      </w:r>
      <w:r w:rsidR="007F0180" w:rsidRPr="008257F0">
        <w:rPr>
          <w:rFonts w:ascii="Calibri" w:hAnsi="Calibri" w:cs="Calibri"/>
          <w:noProof/>
          <w:sz w:val="20"/>
          <w:szCs w:val="28"/>
        </w:rPr>
        <w:t xml:space="preserve"> (</w:t>
      </w:r>
      <w:r w:rsidRPr="008257F0">
        <w:rPr>
          <w:rFonts w:ascii="Calibri" w:hAnsi="Calibri" w:cs="Calibri"/>
          <w:noProof/>
          <w:sz w:val="20"/>
          <w:szCs w:val="28"/>
        </w:rPr>
        <w:t>1998</w:t>
      </w:r>
      <w:r w:rsidR="000B27AC" w:rsidRPr="008257F0">
        <w:rPr>
          <w:rFonts w:ascii="Calibri" w:hAnsi="Calibri" w:cs="Calibri"/>
          <w:noProof/>
          <w:sz w:val="20"/>
          <w:szCs w:val="28"/>
        </w:rPr>
        <w:t>)</w:t>
      </w:r>
      <w:r w:rsidRPr="008257F0">
        <w:rPr>
          <w:rFonts w:ascii="Calibri" w:hAnsi="Calibri" w:cs="Calibri"/>
          <w:noProof/>
          <w:sz w:val="20"/>
          <w:szCs w:val="28"/>
        </w:rPr>
        <w:t xml:space="preserve">. Imipramine treatment of opiate-dependent patients with depressive disorders: A placebo-controlled trial. </w:t>
      </w:r>
      <w:r w:rsidRPr="008257F0">
        <w:rPr>
          <w:rFonts w:ascii="Calibri" w:hAnsi="Calibri" w:cs="Calibri"/>
          <w:i/>
          <w:iCs/>
          <w:noProof/>
          <w:sz w:val="20"/>
          <w:szCs w:val="28"/>
        </w:rPr>
        <w:t>Arch</w:t>
      </w:r>
      <w:r w:rsidR="008D0C91">
        <w:rPr>
          <w:rFonts w:ascii="Calibri" w:hAnsi="Calibri" w:cs="Calibri"/>
          <w:i/>
          <w:iCs/>
          <w:noProof/>
          <w:sz w:val="20"/>
          <w:szCs w:val="28"/>
        </w:rPr>
        <w:t>ives of General Psychiatry</w:t>
      </w:r>
      <w:r w:rsidRPr="008257F0">
        <w:rPr>
          <w:rFonts w:ascii="Calibri" w:hAnsi="Calibri" w:cs="Calibri"/>
          <w:i/>
          <w:iCs/>
          <w:noProof/>
          <w:sz w:val="20"/>
          <w:szCs w:val="28"/>
        </w:rPr>
        <w:t>. 55</w:t>
      </w:r>
      <w:r w:rsidRPr="008257F0">
        <w:rPr>
          <w:rFonts w:ascii="Calibri" w:hAnsi="Calibri" w:cs="Calibri"/>
          <w:noProof/>
          <w:sz w:val="20"/>
          <w:szCs w:val="28"/>
        </w:rPr>
        <w:t xml:space="preserve">, 153–160. </w:t>
      </w:r>
      <w:r w:rsidR="00A464A0" w:rsidRPr="00A464A0">
        <w:rPr>
          <w:rFonts w:ascii="Calibri" w:hAnsi="Calibri" w:cs="Calibri"/>
          <w:noProof/>
          <w:sz w:val="20"/>
          <w:szCs w:val="28"/>
        </w:rPr>
        <w:t>doi:10.1001/archpsyc.55.2.153</w:t>
      </w:r>
    </w:p>
    <w:p w14:paraId="2B59DA65" w14:textId="77777777" w:rsidR="008257F0" w:rsidRPr="008257F0" w:rsidRDefault="008257F0" w:rsidP="008257F0">
      <w:pPr>
        <w:pStyle w:val="ListParagraph"/>
        <w:rPr>
          <w:rFonts w:ascii="Calibri" w:hAnsi="Calibri" w:cs="Calibri"/>
          <w:noProof/>
          <w:sz w:val="20"/>
          <w:szCs w:val="28"/>
        </w:rPr>
      </w:pPr>
    </w:p>
    <w:p w14:paraId="42C8BEA9" w14:textId="487ADD76"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Palmer, R. S., Murphy, M. K., Piselli, A., &amp; Ball, S. A.</w:t>
      </w:r>
      <w:r w:rsidR="007F0180" w:rsidRPr="008257F0">
        <w:rPr>
          <w:rFonts w:ascii="Calibri" w:hAnsi="Calibri" w:cs="Calibri"/>
          <w:noProof/>
          <w:sz w:val="20"/>
          <w:szCs w:val="28"/>
        </w:rPr>
        <w:t xml:space="preserve"> (</w:t>
      </w:r>
      <w:r w:rsidRPr="008257F0">
        <w:rPr>
          <w:rFonts w:ascii="Calibri" w:hAnsi="Calibri" w:cs="Calibri"/>
          <w:noProof/>
          <w:sz w:val="20"/>
          <w:szCs w:val="28"/>
        </w:rPr>
        <w:t>2009</w:t>
      </w:r>
      <w:r w:rsidR="000B27AC" w:rsidRPr="008257F0">
        <w:rPr>
          <w:rFonts w:ascii="Calibri" w:hAnsi="Calibri" w:cs="Calibri"/>
          <w:noProof/>
          <w:sz w:val="20"/>
          <w:szCs w:val="28"/>
        </w:rPr>
        <w:t>)</w:t>
      </w:r>
      <w:r w:rsidRPr="008257F0">
        <w:rPr>
          <w:rFonts w:ascii="Calibri" w:hAnsi="Calibri" w:cs="Calibri"/>
          <w:noProof/>
          <w:sz w:val="20"/>
          <w:szCs w:val="28"/>
        </w:rPr>
        <w:t xml:space="preserve">. Substance user treatment dropout from client and clinician perspectives: A pilot study. </w:t>
      </w:r>
      <w:r w:rsidRPr="008257F0">
        <w:rPr>
          <w:rFonts w:ascii="Calibri" w:hAnsi="Calibri" w:cs="Calibri"/>
          <w:i/>
          <w:iCs/>
          <w:noProof/>
          <w:sz w:val="20"/>
          <w:szCs w:val="28"/>
        </w:rPr>
        <w:t>Subst</w:t>
      </w:r>
      <w:r w:rsidR="00070619">
        <w:rPr>
          <w:rFonts w:ascii="Calibri" w:hAnsi="Calibri" w:cs="Calibri"/>
          <w:i/>
          <w:iCs/>
          <w:noProof/>
          <w:sz w:val="20"/>
          <w:szCs w:val="28"/>
        </w:rPr>
        <w:t>ance Use and Misuse</w:t>
      </w:r>
      <w:r w:rsidRPr="008257F0">
        <w:rPr>
          <w:rFonts w:ascii="Calibri" w:hAnsi="Calibri" w:cs="Calibri"/>
          <w:i/>
          <w:iCs/>
          <w:noProof/>
          <w:sz w:val="20"/>
          <w:szCs w:val="28"/>
        </w:rPr>
        <w:t>. 44</w:t>
      </w:r>
      <w:r w:rsidRPr="008257F0">
        <w:rPr>
          <w:rFonts w:ascii="Calibri" w:hAnsi="Calibri" w:cs="Calibri"/>
          <w:noProof/>
          <w:sz w:val="20"/>
          <w:szCs w:val="28"/>
        </w:rPr>
        <w:t xml:space="preserve">, 1021–1038. </w:t>
      </w:r>
      <w:r w:rsidR="00466244" w:rsidRPr="00466244">
        <w:rPr>
          <w:rFonts w:ascii="Calibri" w:hAnsi="Calibri" w:cs="Calibri"/>
          <w:noProof/>
          <w:sz w:val="20"/>
          <w:szCs w:val="28"/>
        </w:rPr>
        <w:t>doi:10.1080/10826080802495237</w:t>
      </w:r>
    </w:p>
    <w:p w14:paraId="2A472047" w14:textId="77777777" w:rsidR="008257F0" w:rsidRPr="008257F0" w:rsidRDefault="008257F0" w:rsidP="008257F0">
      <w:pPr>
        <w:pStyle w:val="ListParagraph"/>
        <w:rPr>
          <w:rFonts w:ascii="Calibri" w:hAnsi="Calibri" w:cs="Calibri"/>
          <w:noProof/>
          <w:sz w:val="20"/>
          <w:szCs w:val="28"/>
        </w:rPr>
      </w:pPr>
    </w:p>
    <w:p w14:paraId="1F0BCA54" w14:textId="23DD440C"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Peckover, S., &amp; Chidlaw, R. G.</w:t>
      </w:r>
      <w:r w:rsidR="007F0180" w:rsidRPr="008257F0">
        <w:rPr>
          <w:rFonts w:ascii="Calibri" w:hAnsi="Calibri" w:cs="Calibri"/>
          <w:noProof/>
          <w:sz w:val="20"/>
          <w:szCs w:val="28"/>
        </w:rPr>
        <w:t xml:space="preserve"> (</w:t>
      </w:r>
      <w:r w:rsidRPr="008257F0">
        <w:rPr>
          <w:rFonts w:ascii="Calibri" w:hAnsi="Calibri" w:cs="Calibri"/>
          <w:noProof/>
          <w:sz w:val="20"/>
          <w:szCs w:val="28"/>
        </w:rPr>
        <w:t>2007</w:t>
      </w:r>
      <w:r w:rsidR="000B27AC" w:rsidRPr="008257F0">
        <w:rPr>
          <w:rFonts w:ascii="Calibri" w:hAnsi="Calibri" w:cs="Calibri"/>
          <w:noProof/>
          <w:sz w:val="20"/>
          <w:szCs w:val="28"/>
        </w:rPr>
        <w:t>)</w:t>
      </w:r>
      <w:r w:rsidRPr="008257F0">
        <w:rPr>
          <w:rFonts w:ascii="Calibri" w:hAnsi="Calibri" w:cs="Calibri"/>
          <w:noProof/>
          <w:sz w:val="20"/>
          <w:szCs w:val="28"/>
        </w:rPr>
        <w:t xml:space="preserve">. Too frightened to care? Accounts by district nurses working with clients who misuse substances. </w:t>
      </w:r>
      <w:r w:rsidRPr="008257F0">
        <w:rPr>
          <w:rFonts w:ascii="Calibri" w:hAnsi="Calibri" w:cs="Calibri"/>
          <w:i/>
          <w:iCs/>
          <w:noProof/>
          <w:sz w:val="20"/>
          <w:szCs w:val="28"/>
        </w:rPr>
        <w:t>Health</w:t>
      </w:r>
      <w:r w:rsidR="00B764E5">
        <w:rPr>
          <w:rFonts w:ascii="Calibri" w:hAnsi="Calibri" w:cs="Calibri"/>
          <w:i/>
          <w:iCs/>
          <w:noProof/>
          <w:sz w:val="20"/>
          <w:szCs w:val="28"/>
        </w:rPr>
        <w:t xml:space="preserve"> &amp; Social Care in the Community</w:t>
      </w:r>
      <w:r w:rsidRPr="008257F0">
        <w:rPr>
          <w:rFonts w:ascii="Calibri" w:hAnsi="Calibri" w:cs="Calibri"/>
          <w:i/>
          <w:iCs/>
          <w:noProof/>
          <w:sz w:val="20"/>
          <w:szCs w:val="28"/>
        </w:rPr>
        <w:t>. 15</w:t>
      </w:r>
      <w:r w:rsidRPr="008257F0">
        <w:rPr>
          <w:rFonts w:ascii="Calibri" w:hAnsi="Calibri" w:cs="Calibri"/>
          <w:noProof/>
          <w:sz w:val="20"/>
          <w:szCs w:val="28"/>
        </w:rPr>
        <w:t xml:space="preserve">, 238–245. </w:t>
      </w:r>
      <w:r w:rsidR="003F3DA4" w:rsidRPr="003F3DA4">
        <w:rPr>
          <w:rFonts w:ascii="Calibri" w:hAnsi="Calibri" w:cs="Calibri"/>
          <w:noProof/>
          <w:sz w:val="20"/>
          <w:szCs w:val="28"/>
        </w:rPr>
        <w:t>doi:10.1111/j.1365-2524.2006.00683.x</w:t>
      </w:r>
    </w:p>
    <w:p w14:paraId="225DC252" w14:textId="77777777" w:rsidR="008257F0" w:rsidRPr="008257F0" w:rsidRDefault="008257F0" w:rsidP="008257F0">
      <w:pPr>
        <w:pStyle w:val="ListParagraph"/>
        <w:rPr>
          <w:rFonts w:ascii="Calibri" w:hAnsi="Calibri" w:cs="Calibri"/>
          <w:noProof/>
          <w:sz w:val="20"/>
          <w:szCs w:val="28"/>
        </w:rPr>
      </w:pPr>
    </w:p>
    <w:p w14:paraId="7A5F82C0" w14:textId="09EDEEEC"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Perry, S., Frances, A., Klar, H., &amp; Clarkin, J.</w:t>
      </w:r>
      <w:r w:rsidR="007F0180" w:rsidRPr="008257F0">
        <w:rPr>
          <w:rFonts w:ascii="Calibri" w:hAnsi="Calibri" w:cs="Calibri"/>
          <w:noProof/>
          <w:sz w:val="20"/>
          <w:szCs w:val="28"/>
        </w:rPr>
        <w:t xml:space="preserve"> (</w:t>
      </w:r>
      <w:r w:rsidRPr="008257F0">
        <w:rPr>
          <w:rFonts w:ascii="Calibri" w:hAnsi="Calibri" w:cs="Calibri"/>
          <w:noProof/>
          <w:sz w:val="20"/>
          <w:szCs w:val="28"/>
        </w:rPr>
        <w:t>1983</w:t>
      </w:r>
      <w:r w:rsidR="000B27AC" w:rsidRPr="008257F0">
        <w:rPr>
          <w:rFonts w:ascii="Calibri" w:hAnsi="Calibri" w:cs="Calibri"/>
          <w:noProof/>
          <w:sz w:val="20"/>
          <w:szCs w:val="28"/>
        </w:rPr>
        <w:t>)</w:t>
      </w:r>
      <w:r w:rsidRPr="008257F0">
        <w:rPr>
          <w:rFonts w:ascii="Calibri" w:hAnsi="Calibri" w:cs="Calibri"/>
          <w:noProof/>
          <w:sz w:val="20"/>
          <w:szCs w:val="28"/>
        </w:rPr>
        <w:t xml:space="preserve">. Selection criteria for individual dynamic psychotherapies. </w:t>
      </w:r>
      <w:r w:rsidRPr="008257F0">
        <w:rPr>
          <w:rFonts w:ascii="Calibri" w:hAnsi="Calibri" w:cs="Calibri"/>
          <w:i/>
          <w:iCs/>
          <w:noProof/>
          <w:sz w:val="20"/>
          <w:szCs w:val="28"/>
        </w:rPr>
        <w:t>Psychiat</w:t>
      </w:r>
      <w:r w:rsidR="00126B10">
        <w:rPr>
          <w:rFonts w:ascii="Calibri" w:hAnsi="Calibri" w:cs="Calibri"/>
          <w:i/>
          <w:iCs/>
          <w:noProof/>
          <w:sz w:val="20"/>
          <w:szCs w:val="28"/>
        </w:rPr>
        <w:t>ric Quarterly</w:t>
      </w:r>
      <w:r w:rsidRPr="008257F0">
        <w:rPr>
          <w:rFonts w:ascii="Calibri" w:hAnsi="Calibri" w:cs="Calibri"/>
          <w:i/>
          <w:iCs/>
          <w:noProof/>
          <w:sz w:val="20"/>
          <w:szCs w:val="28"/>
        </w:rPr>
        <w:t>. 55</w:t>
      </w:r>
      <w:r w:rsidRPr="008257F0">
        <w:rPr>
          <w:rFonts w:ascii="Calibri" w:hAnsi="Calibri" w:cs="Calibri"/>
          <w:noProof/>
          <w:sz w:val="20"/>
          <w:szCs w:val="28"/>
        </w:rPr>
        <w:t xml:space="preserve">, 3–16. </w:t>
      </w:r>
      <w:r w:rsidR="00A5717F" w:rsidRPr="00A5717F">
        <w:rPr>
          <w:rFonts w:ascii="Calibri" w:hAnsi="Calibri" w:cs="Calibri"/>
          <w:noProof/>
          <w:sz w:val="20"/>
          <w:szCs w:val="28"/>
        </w:rPr>
        <w:t>doi:10.1007/BF01064832</w:t>
      </w:r>
    </w:p>
    <w:p w14:paraId="3D27F384" w14:textId="77777777" w:rsidR="008257F0" w:rsidRPr="008257F0" w:rsidRDefault="008257F0" w:rsidP="008257F0">
      <w:pPr>
        <w:pStyle w:val="ListParagraph"/>
        <w:rPr>
          <w:rFonts w:ascii="Calibri" w:hAnsi="Calibri" w:cs="Calibri"/>
          <w:noProof/>
          <w:sz w:val="20"/>
          <w:szCs w:val="28"/>
        </w:rPr>
      </w:pPr>
    </w:p>
    <w:p w14:paraId="496035C9" w14:textId="662F6309"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Pompili, M., Serafini, G., Del Casale, A., Rigucci, S., Innamorati, M., Girardi, P., Lester, D.</w:t>
      </w:r>
      <w:r w:rsidR="007F0180" w:rsidRPr="008257F0">
        <w:rPr>
          <w:rFonts w:ascii="Calibri" w:hAnsi="Calibri" w:cs="Calibri"/>
          <w:noProof/>
          <w:sz w:val="20"/>
          <w:szCs w:val="28"/>
        </w:rPr>
        <w:t xml:space="preserve"> (</w:t>
      </w:r>
      <w:r w:rsidRPr="008257F0">
        <w:rPr>
          <w:rFonts w:ascii="Calibri" w:hAnsi="Calibri" w:cs="Calibri"/>
          <w:noProof/>
          <w:sz w:val="20"/>
          <w:szCs w:val="28"/>
        </w:rPr>
        <w:t>2009</w:t>
      </w:r>
      <w:r w:rsidR="000B27AC" w:rsidRPr="008257F0">
        <w:rPr>
          <w:rFonts w:ascii="Calibri" w:hAnsi="Calibri" w:cs="Calibri"/>
          <w:noProof/>
          <w:sz w:val="20"/>
          <w:szCs w:val="28"/>
        </w:rPr>
        <w:t>)</w:t>
      </w:r>
      <w:r w:rsidRPr="008257F0">
        <w:rPr>
          <w:rFonts w:ascii="Calibri" w:hAnsi="Calibri" w:cs="Calibri"/>
          <w:noProof/>
          <w:sz w:val="20"/>
          <w:szCs w:val="28"/>
        </w:rPr>
        <w:t xml:space="preserve">. Improving adherence in mood disorders: the struggle against relapse, recurrence and suicide risk. </w:t>
      </w:r>
      <w:bookmarkStart w:id="8" w:name="_Hlk43915234"/>
      <w:r w:rsidRPr="008257F0">
        <w:rPr>
          <w:rFonts w:ascii="Calibri" w:hAnsi="Calibri" w:cs="Calibri"/>
          <w:i/>
          <w:iCs/>
          <w:noProof/>
          <w:sz w:val="20"/>
          <w:szCs w:val="28"/>
        </w:rPr>
        <w:t>Exper</w:t>
      </w:r>
      <w:r w:rsidR="00801E47">
        <w:rPr>
          <w:rFonts w:ascii="Calibri" w:hAnsi="Calibri" w:cs="Calibri"/>
          <w:i/>
          <w:iCs/>
          <w:noProof/>
          <w:sz w:val="20"/>
          <w:szCs w:val="28"/>
        </w:rPr>
        <w:t>t Review of Neurotherapeutics</w:t>
      </w:r>
      <w:bookmarkEnd w:id="8"/>
      <w:r w:rsidRPr="008257F0">
        <w:rPr>
          <w:rFonts w:ascii="Calibri" w:hAnsi="Calibri" w:cs="Calibri"/>
          <w:i/>
          <w:iCs/>
          <w:noProof/>
          <w:sz w:val="20"/>
          <w:szCs w:val="28"/>
        </w:rPr>
        <w:t>. 9</w:t>
      </w:r>
      <w:r w:rsidRPr="008257F0">
        <w:rPr>
          <w:rFonts w:ascii="Calibri" w:hAnsi="Calibri" w:cs="Calibri"/>
          <w:noProof/>
          <w:sz w:val="20"/>
          <w:szCs w:val="28"/>
        </w:rPr>
        <w:t>, 985–1004.</w:t>
      </w:r>
      <w:r w:rsidR="0023655A" w:rsidRPr="0023655A">
        <w:t xml:space="preserve"> </w:t>
      </w:r>
      <w:r w:rsidR="0023655A" w:rsidRPr="0023655A">
        <w:rPr>
          <w:rFonts w:ascii="Calibri" w:hAnsi="Calibri" w:cs="Calibri"/>
          <w:noProof/>
          <w:sz w:val="20"/>
          <w:szCs w:val="28"/>
        </w:rPr>
        <w:t>doi:10.1586/ern.09.62</w:t>
      </w:r>
    </w:p>
    <w:p w14:paraId="0AFC4D1E" w14:textId="77777777" w:rsidR="008257F0" w:rsidRPr="008257F0" w:rsidRDefault="008257F0" w:rsidP="008257F0">
      <w:pPr>
        <w:pStyle w:val="ListParagraph"/>
        <w:rPr>
          <w:rFonts w:ascii="Calibri" w:hAnsi="Calibri" w:cs="Calibri"/>
          <w:noProof/>
          <w:sz w:val="20"/>
          <w:szCs w:val="28"/>
        </w:rPr>
      </w:pPr>
    </w:p>
    <w:p w14:paraId="3E633076" w14:textId="177A738F"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Pompili, M., Venturini, P., Palermo, M., Stefani, H., Seretti, M. E., Lamis, D. A., Girardi, P.</w:t>
      </w:r>
      <w:r w:rsidR="008110C3" w:rsidRPr="008257F0">
        <w:rPr>
          <w:rFonts w:ascii="Calibri" w:hAnsi="Calibri" w:cs="Calibri"/>
          <w:noProof/>
          <w:sz w:val="20"/>
          <w:szCs w:val="28"/>
        </w:rPr>
        <w:t xml:space="preserve"> (</w:t>
      </w:r>
      <w:r w:rsidRPr="008257F0">
        <w:rPr>
          <w:rFonts w:ascii="Calibri" w:hAnsi="Calibri" w:cs="Calibri"/>
          <w:noProof/>
          <w:sz w:val="20"/>
          <w:szCs w:val="28"/>
        </w:rPr>
        <w:t>2013</w:t>
      </w:r>
      <w:r w:rsidR="000B27AC" w:rsidRPr="008257F0">
        <w:rPr>
          <w:rFonts w:ascii="Calibri" w:hAnsi="Calibri" w:cs="Calibri"/>
          <w:noProof/>
          <w:sz w:val="20"/>
          <w:szCs w:val="28"/>
        </w:rPr>
        <w:t>)</w:t>
      </w:r>
      <w:r w:rsidRPr="008257F0">
        <w:rPr>
          <w:rFonts w:ascii="Calibri" w:hAnsi="Calibri" w:cs="Calibri"/>
          <w:noProof/>
          <w:sz w:val="20"/>
          <w:szCs w:val="28"/>
        </w:rPr>
        <w:t xml:space="preserve">. Mood disorders medications: predictors of nonadherence – review of the current literature. </w:t>
      </w:r>
      <w:r w:rsidR="00801E47" w:rsidRPr="008257F0">
        <w:rPr>
          <w:rFonts w:ascii="Calibri" w:hAnsi="Calibri" w:cs="Calibri"/>
          <w:i/>
          <w:iCs/>
          <w:noProof/>
          <w:sz w:val="20"/>
          <w:szCs w:val="28"/>
        </w:rPr>
        <w:t>Exper</w:t>
      </w:r>
      <w:r w:rsidR="00801E47">
        <w:rPr>
          <w:rFonts w:ascii="Calibri" w:hAnsi="Calibri" w:cs="Calibri"/>
          <w:i/>
          <w:iCs/>
          <w:noProof/>
          <w:sz w:val="20"/>
          <w:szCs w:val="28"/>
        </w:rPr>
        <w:t>t Review of Neurotherapeutics</w:t>
      </w:r>
      <w:r w:rsidR="00801E47" w:rsidRPr="008257F0" w:rsidDel="00801E47">
        <w:rPr>
          <w:rFonts w:ascii="Calibri" w:hAnsi="Calibri" w:cs="Calibri"/>
          <w:i/>
          <w:iCs/>
          <w:noProof/>
          <w:sz w:val="20"/>
          <w:szCs w:val="28"/>
        </w:rPr>
        <w:t xml:space="preserve"> </w:t>
      </w:r>
      <w:r w:rsidRPr="008257F0">
        <w:rPr>
          <w:rFonts w:ascii="Calibri" w:hAnsi="Calibri" w:cs="Calibri"/>
          <w:i/>
          <w:iCs/>
          <w:noProof/>
          <w:sz w:val="20"/>
          <w:szCs w:val="28"/>
        </w:rPr>
        <w:t>. 13</w:t>
      </w:r>
      <w:r w:rsidRPr="008257F0">
        <w:rPr>
          <w:rFonts w:ascii="Calibri" w:hAnsi="Calibri" w:cs="Calibri"/>
          <w:noProof/>
          <w:sz w:val="20"/>
          <w:szCs w:val="28"/>
        </w:rPr>
        <w:t xml:space="preserve">, 809–825. </w:t>
      </w:r>
      <w:r w:rsidR="000A154F" w:rsidRPr="000A154F">
        <w:rPr>
          <w:rFonts w:ascii="Calibri" w:hAnsi="Calibri" w:cs="Calibri"/>
          <w:noProof/>
          <w:sz w:val="20"/>
          <w:szCs w:val="28"/>
        </w:rPr>
        <w:t>doi:10.1586/14737175.2013.811976</w:t>
      </w:r>
    </w:p>
    <w:p w14:paraId="7E46F16F" w14:textId="77777777" w:rsidR="008257F0" w:rsidRPr="008257F0" w:rsidRDefault="008257F0" w:rsidP="008257F0">
      <w:pPr>
        <w:pStyle w:val="ListParagraph"/>
        <w:rPr>
          <w:rFonts w:ascii="Calibri" w:hAnsi="Calibri" w:cs="Calibri"/>
          <w:noProof/>
          <w:sz w:val="20"/>
          <w:szCs w:val="28"/>
        </w:rPr>
      </w:pPr>
    </w:p>
    <w:p w14:paraId="19644D61" w14:textId="06F1E087"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Prochaska, J. J., Gill, P., Hall, S. E., &amp; Hall, S. M.</w:t>
      </w:r>
      <w:r w:rsidR="008110C3" w:rsidRPr="008257F0">
        <w:rPr>
          <w:rFonts w:ascii="Calibri" w:hAnsi="Calibri" w:cs="Calibri"/>
          <w:noProof/>
          <w:sz w:val="20"/>
          <w:szCs w:val="28"/>
        </w:rPr>
        <w:t xml:space="preserve"> (</w:t>
      </w:r>
      <w:r w:rsidRPr="008257F0">
        <w:rPr>
          <w:rFonts w:ascii="Calibri" w:hAnsi="Calibri" w:cs="Calibri"/>
          <w:noProof/>
          <w:sz w:val="20"/>
          <w:szCs w:val="28"/>
        </w:rPr>
        <w:t>2005</w:t>
      </w:r>
      <w:r w:rsidR="000B27AC" w:rsidRPr="008257F0">
        <w:rPr>
          <w:rFonts w:ascii="Calibri" w:hAnsi="Calibri" w:cs="Calibri"/>
          <w:noProof/>
          <w:sz w:val="20"/>
          <w:szCs w:val="28"/>
        </w:rPr>
        <w:t>)</w:t>
      </w:r>
      <w:r w:rsidRPr="008257F0">
        <w:rPr>
          <w:rFonts w:ascii="Calibri" w:hAnsi="Calibri" w:cs="Calibri"/>
          <w:noProof/>
          <w:sz w:val="20"/>
          <w:szCs w:val="28"/>
        </w:rPr>
        <w:t xml:space="preserve">. Identification and treatment of substance misuse on an inpatient psychiatry unit. </w:t>
      </w:r>
      <w:r w:rsidRPr="008257F0">
        <w:rPr>
          <w:rFonts w:ascii="Calibri" w:hAnsi="Calibri" w:cs="Calibri"/>
          <w:i/>
          <w:iCs/>
          <w:noProof/>
          <w:sz w:val="20"/>
          <w:szCs w:val="28"/>
        </w:rPr>
        <w:t>Psychiat</w:t>
      </w:r>
      <w:r w:rsidR="00801E47">
        <w:rPr>
          <w:rFonts w:ascii="Calibri" w:hAnsi="Calibri" w:cs="Calibri"/>
          <w:i/>
          <w:iCs/>
          <w:noProof/>
          <w:sz w:val="20"/>
          <w:szCs w:val="28"/>
        </w:rPr>
        <w:t>ric Services</w:t>
      </w:r>
      <w:r w:rsidRPr="008257F0">
        <w:rPr>
          <w:rFonts w:ascii="Calibri" w:hAnsi="Calibri" w:cs="Calibri"/>
          <w:i/>
          <w:iCs/>
          <w:noProof/>
          <w:sz w:val="20"/>
          <w:szCs w:val="28"/>
        </w:rPr>
        <w:t>. 56</w:t>
      </w:r>
      <w:r w:rsidRPr="008257F0">
        <w:rPr>
          <w:rFonts w:ascii="Calibri" w:hAnsi="Calibri" w:cs="Calibri"/>
          <w:noProof/>
          <w:sz w:val="20"/>
          <w:szCs w:val="28"/>
        </w:rPr>
        <w:t xml:space="preserve">, 347–349. </w:t>
      </w:r>
      <w:r w:rsidR="00707FEF" w:rsidRPr="00707FEF">
        <w:rPr>
          <w:rFonts w:ascii="Calibri" w:hAnsi="Calibri" w:cs="Calibri"/>
          <w:noProof/>
          <w:sz w:val="20"/>
          <w:szCs w:val="28"/>
        </w:rPr>
        <w:t>doi:10.1176/appi.ps.56.3.347</w:t>
      </w:r>
    </w:p>
    <w:p w14:paraId="37F93B8F" w14:textId="77777777" w:rsidR="008257F0" w:rsidRPr="008257F0" w:rsidRDefault="008257F0" w:rsidP="008257F0">
      <w:pPr>
        <w:pStyle w:val="ListParagraph"/>
        <w:rPr>
          <w:rFonts w:ascii="Calibri" w:hAnsi="Calibri" w:cs="Calibri"/>
          <w:noProof/>
          <w:sz w:val="20"/>
          <w:szCs w:val="28"/>
        </w:rPr>
      </w:pPr>
    </w:p>
    <w:p w14:paraId="34367048" w14:textId="77777777"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Public Health England</w:t>
      </w:r>
      <w:r w:rsidR="008110C3" w:rsidRPr="008257F0">
        <w:rPr>
          <w:rFonts w:ascii="Calibri" w:hAnsi="Calibri" w:cs="Calibri"/>
          <w:noProof/>
          <w:sz w:val="20"/>
          <w:szCs w:val="28"/>
        </w:rPr>
        <w:t xml:space="preserve"> (</w:t>
      </w:r>
      <w:r w:rsidRPr="008257F0">
        <w:rPr>
          <w:rFonts w:ascii="Calibri" w:hAnsi="Calibri" w:cs="Calibri"/>
          <w:noProof/>
          <w:sz w:val="20"/>
          <w:szCs w:val="28"/>
        </w:rPr>
        <w:t>2016</w:t>
      </w:r>
      <w:r w:rsidR="000B27AC" w:rsidRPr="008257F0">
        <w:rPr>
          <w:rFonts w:ascii="Calibri" w:hAnsi="Calibri" w:cs="Calibri"/>
          <w:noProof/>
          <w:sz w:val="20"/>
          <w:szCs w:val="28"/>
        </w:rPr>
        <w:t>)</w:t>
      </w:r>
      <w:r w:rsidRPr="008257F0">
        <w:rPr>
          <w:rFonts w:ascii="Calibri" w:hAnsi="Calibri" w:cs="Calibri"/>
          <w:noProof/>
          <w:sz w:val="20"/>
          <w:szCs w:val="28"/>
        </w:rPr>
        <w:t>. Public Health Profiles. Retrieved August 5, 2019, from https://fingertips.phe.org.uk/search/anxiety#page/3/gid/1/pat/6/par/E12000004/ati/102/are/E06000015/iid/90647/age/168/sex/4</w:t>
      </w:r>
    </w:p>
    <w:p w14:paraId="277E44B6" w14:textId="77777777" w:rsidR="008257F0" w:rsidRPr="008257F0" w:rsidRDefault="008257F0" w:rsidP="008257F0">
      <w:pPr>
        <w:pStyle w:val="ListParagraph"/>
        <w:rPr>
          <w:rFonts w:ascii="Calibri" w:hAnsi="Calibri" w:cs="Calibri"/>
          <w:noProof/>
          <w:sz w:val="20"/>
          <w:szCs w:val="28"/>
        </w:rPr>
      </w:pPr>
    </w:p>
    <w:p w14:paraId="3CD67BB1" w14:textId="77777777"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Public Health England</w:t>
      </w:r>
      <w:r w:rsidR="008110C3" w:rsidRPr="008257F0">
        <w:rPr>
          <w:rFonts w:ascii="Calibri" w:hAnsi="Calibri" w:cs="Calibri"/>
          <w:noProof/>
          <w:sz w:val="20"/>
          <w:szCs w:val="28"/>
        </w:rPr>
        <w:t xml:space="preserve"> (</w:t>
      </w:r>
      <w:r w:rsidRPr="008257F0">
        <w:rPr>
          <w:rFonts w:ascii="Calibri" w:hAnsi="Calibri" w:cs="Calibri"/>
          <w:noProof/>
          <w:sz w:val="20"/>
          <w:szCs w:val="28"/>
        </w:rPr>
        <w:t>2017</w:t>
      </w:r>
      <w:r w:rsidR="000B27AC" w:rsidRPr="008257F0">
        <w:rPr>
          <w:rFonts w:ascii="Calibri" w:hAnsi="Calibri" w:cs="Calibri"/>
          <w:noProof/>
          <w:sz w:val="20"/>
          <w:szCs w:val="28"/>
        </w:rPr>
        <w:t>)</w:t>
      </w:r>
      <w:r w:rsidRPr="008257F0">
        <w:rPr>
          <w:rFonts w:ascii="Calibri" w:hAnsi="Calibri" w:cs="Calibri"/>
          <w:noProof/>
          <w:sz w:val="20"/>
          <w:szCs w:val="28"/>
        </w:rPr>
        <w:t>. Public Health Profiles. Retrieved August 5, 2019, from https://fingertips.phe.org.uk/search/depression#page/3/gid/1/pat/6/par/E12000004/ati/102/are/E06000015/iid/90578/age/1/sex/4</w:t>
      </w:r>
    </w:p>
    <w:p w14:paraId="0B54051A" w14:textId="77777777" w:rsidR="008257F0" w:rsidRPr="008257F0" w:rsidRDefault="008257F0" w:rsidP="008257F0">
      <w:pPr>
        <w:pStyle w:val="ListParagraph"/>
        <w:rPr>
          <w:rFonts w:ascii="Calibri" w:hAnsi="Calibri" w:cs="Calibri"/>
          <w:noProof/>
          <w:sz w:val="20"/>
          <w:szCs w:val="28"/>
        </w:rPr>
      </w:pPr>
    </w:p>
    <w:p w14:paraId="7ADA1DE6" w14:textId="2A65037A"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Roy-Byrne, P. P., Pages, K. P., Russo, J. E., Jaffe, C., Blume, A. W., Kingsley, E., Ries, R. K.</w:t>
      </w:r>
      <w:r w:rsidR="008110C3" w:rsidRPr="008257F0">
        <w:rPr>
          <w:rFonts w:ascii="Calibri" w:hAnsi="Calibri" w:cs="Calibri"/>
          <w:noProof/>
          <w:sz w:val="20"/>
          <w:szCs w:val="28"/>
        </w:rPr>
        <w:t xml:space="preserve"> (</w:t>
      </w:r>
      <w:r w:rsidRPr="008257F0">
        <w:rPr>
          <w:rFonts w:ascii="Calibri" w:hAnsi="Calibri" w:cs="Calibri"/>
          <w:noProof/>
          <w:sz w:val="20"/>
          <w:szCs w:val="28"/>
        </w:rPr>
        <w:t>2000</w:t>
      </w:r>
      <w:r w:rsidR="000B27AC" w:rsidRPr="008257F0">
        <w:rPr>
          <w:rFonts w:ascii="Calibri" w:hAnsi="Calibri" w:cs="Calibri"/>
          <w:noProof/>
          <w:sz w:val="20"/>
          <w:szCs w:val="28"/>
        </w:rPr>
        <w:t>)</w:t>
      </w:r>
      <w:r w:rsidRPr="008257F0">
        <w:rPr>
          <w:rFonts w:ascii="Calibri" w:hAnsi="Calibri" w:cs="Calibri"/>
          <w:noProof/>
          <w:sz w:val="20"/>
          <w:szCs w:val="28"/>
        </w:rPr>
        <w:t xml:space="preserve">. Nefazodone treatment of major depression in alcohol-dependent patients: A double-blind, placebo-controlled trial. </w:t>
      </w:r>
      <w:r w:rsidRPr="008257F0">
        <w:rPr>
          <w:rFonts w:ascii="Calibri" w:hAnsi="Calibri" w:cs="Calibri"/>
          <w:i/>
          <w:iCs/>
          <w:noProof/>
          <w:sz w:val="20"/>
          <w:szCs w:val="28"/>
        </w:rPr>
        <w:t>J</w:t>
      </w:r>
      <w:r w:rsidR="000B6F59">
        <w:rPr>
          <w:rFonts w:ascii="Calibri" w:hAnsi="Calibri" w:cs="Calibri"/>
          <w:i/>
          <w:iCs/>
          <w:noProof/>
          <w:sz w:val="20"/>
          <w:szCs w:val="28"/>
        </w:rPr>
        <w:t>ournal of Clinical Psychopharmacology</w:t>
      </w:r>
      <w:r w:rsidRPr="008257F0">
        <w:rPr>
          <w:rFonts w:ascii="Calibri" w:hAnsi="Calibri" w:cs="Calibri"/>
          <w:i/>
          <w:iCs/>
          <w:noProof/>
          <w:sz w:val="20"/>
          <w:szCs w:val="28"/>
        </w:rPr>
        <w:t>. 20</w:t>
      </w:r>
      <w:r w:rsidRPr="008257F0">
        <w:rPr>
          <w:rFonts w:ascii="Calibri" w:hAnsi="Calibri" w:cs="Calibri"/>
          <w:noProof/>
          <w:sz w:val="20"/>
          <w:szCs w:val="28"/>
        </w:rPr>
        <w:t xml:space="preserve">, 129–136. </w:t>
      </w:r>
      <w:r w:rsidR="000E3E2E" w:rsidRPr="000E3E2E">
        <w:rPr>
          <w:rFonts w:ascii="Calibri" w:hAnsi="Calibri" w:cs="Calibri"/>
          <w:noProof/>
          <w:sz w:val="20"/>
          <w:szCs w:val="28"/>
        </w:rPr>
        <w:t>doi:10.1097/00004714-200004000-00003</w:t>
      </w:r>
    </w:p>
    <w:p w14:paraId="1CB9F9F1" w14:textId="77777777" w:rsidR="008257F0" w:rsidRPr="008257F0" w:rsidRDefault="008257F0" w:rsidP="008257F0">
      <w:pPr>
        <w:pStyle w:val="ListParagraph"/>
        <w:rPr>
          <w:rFonts w:ascii="Calibri" w:hAnsi="Calibri" w:cs="Calibri"/>
          <w:noProof/>
          <w:sz w:val="20"/>
          <w:szCs w:val="28"/>
        </w:rPr>
      </w:pPr>
    </w:p>
    <w:p w14:paraId="15EA21C5" w14:textId="77777777" w:rsidR="008257F0" w:rsidRPr="008257F0" w:rsidRDefault="0049609E" w:rsidP="008257F0">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Royal College of Psychiatrists – College Centre for Quality Improvement</w:t>
      </w:r>
      <w:r w:rsidR="008110C3" w:rsidRPr="008257F0">
        <w:rPr>
          <w:rFonts w:ascii="Calibri" w:hAnsi="Calibri" w:cs="Calibri"/>
          <w:noProof/>
          <w:sz w:val="20"/>
          <w:szCs w:val="28"/>
        </w:rPr>
        <w:t xml:space="preserve"> (</w:t>
      </w:r>
      <w:r w:rsidRPr="008257F0">
        <w:rPr>
          <w:rFonts w:ascii="Calibri" w:hAnsi="Calibri" w:cs="Calibri"/>
          <w:noProof/>
          <w:sz w:val="20"/>
          <w:szCs w:val="28"/>
        </w:rPr>
        <w:t>2017</w:t>
      </w:r>
      <w:r w:rsidR="000B27AC" w:rsidRPr="008257F0">
        <w:rPr>
          <w:rFonts w:ascii="Calibri" w:hAnsi="Calibri" w:cs="Calibri"/>
          <w:noProof/>
          <w:sz w:val="20"/>
          <w:szCs w:val="28"/>
        </w:rPr>
        <w:t>)</w:t>
      </w:r>
      <w:r w:rsidRPr="008257F0">
        <w:rPr>
          <w:rFonts w:ascii="Calibri" w:hAnsi="Calibri" w:cs="Calibri"/>
          <w:noProof/>
          <w:sz w:val="20"/>
          <w:szCs w:val="28"/>
        </w:rPr>
        <w:t>. Standards for Inpatient Mental Health Services, second edition. Available at: https://www.rcpsych.ac.uk/improving-care/ccqi/resources/core-standards-project.</w:t>
      </w:r>
    </w:p>
    <w:p w14:paraId="521E38BD" w14:textId="77777777" w:rsidR="008257F0" w:rsidRPr="008257F0" w:rsidRDefault="008257F0" w:rsidP="008257F0">
      <w:pPr>
        <w:pStyle w:val="ListParagraph"/>
        <w:rPr>
          <w:rFonts w:ascii="Calibri" w:hAnsi="Calibri" w:cs="Calibri"/>
          <w:noProof/>
          <w:sz w:val="20"/>
          <w:szCs w:val="28"/>
        </w:rPr>
      </w:pPr>
    </w:p>
    <w:p w14:paraId="5E03130E" w14:textId="1E9D0667" w:rsidR="007C3329" w:rsidRPr="00933AF9" w:rsidRDefault="0049609E" w:rsidP="007C3329">
      <w:pPr>
        <w:pStyle w:val="ListParagraph"/>
        <w:widowControl w:val="0"/>
        <w:numPr>
          <w:ilvl w:val="0"/>
          <w:numId w:val="17"/>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Royal College of Psychiatrists</w:t>
      </w:r>
      <w:r w:rsidR="008110C3" w:rsidRPr="008257F0">
        <w:rPr>
          <w:rFonts w:ascii="Calibri" w:hAnsi="Calibri" w:cs="Calibri"/>
          <w:noProof/>
          <w:sz w:val="20"/>
          <w:szCs w:val="28"/>
        </w:rPr>
        <w:t xml:space="preserve"> (</w:t>
      </w:r>
      <w:r w:rsidRPr="008257F0">
        <w:rPr>
          <w:rFonts w:ascii="Calibri" w:hAnsi="Calibri" w:cs="Calibri"/>
          <w:noProof/>
          <w:sz w:val="20"/>
          <w:szCs w:val="28"/>
        </w:rPr>
        <w:t>2019</w:t>
      </w:r>
      <w:r w:rsidR="000B27AC" w:rsidRPr="008257F0">
        <w:rPr>
          <w:rFonts w:ascii="Calibri" w:hAnsi="Calibri" w:cs="Calibri"/>
          <w:noProof/>
          <w:sz w:val="20"/>
          <w:szCs w:val="28"/>
        </w:rPr>
        <w:t>)</w:t>
      </w:r>
      <w:r w:rsidRPr="008257F0">
        <w:rPr>
          <w:rFonts w:ascii="Calibri" w:hAnsi="Calibri" w:cs="Calibri"/>
          <w:noProof/>
          <w:sz w:val="20"/>
          <w:szCs w:val="28"/>
        </w:rPr>
        <w:t>. How are inpatient mental health services for people with anxiety and depression performing? Main findings from the National Clinical Audit of Anxiety and Depression: a report co-produced with service users and carers. Available at: https://www.rcpsych.ac.uk/docs/default-source/improving-care/ccqi/national-clinical-audits/ncaad-documents/ncaad-main-report.pdf</w:t>
      </w:r>
    </w:p>
    <w:p w14:paraId="21E66574" w14:textId="5D6049A7" w:rsidR="008257F0" w:rsidRDefault="008257F0" w:rsidP="008257F0">
      <w:pPr>
        <w:pStyle w:val="ListParagraph"/>
        <w:rPr>
          <w:rFonts w:ascii="Calibri" w:hAnsi="Calibri" w:cs="Calibri"/>
          <w:noProof/>
          <w:sz w:val="20"/>
          <w:szCs w:val="28"/>
        </w:rPr>
      </w:pPr>
    </w:p>
    <w:p w14:paraId="4783B9EC" w14:textId="2A040441" w:rsidR="008301F9" w:rsidRPr="00A73377" w:rsidRDefault="007C3329" w:rsidP="00A73377">
      <w:pPr>
        <w:ind w:left="720" w:hanging="360"/>
        <w:rPr>
          <w:rFonts w:ascii="Calibri" w:hAnsi="Calibri" w:cs="Calibri"/>
          <w:noProof/>
          <w:sz w:val="20"/>
          <w:szCs w:val="28"/>
        </w:rPr>
      </w:pPr>
      <w:r>
        <w:rPr>
          <w:rFonts w:ascii="Calibri" w:hAnsi="Calibri" w:cs="Calibri"/>
          <w:noProof/>
          <w:sz w:val="20"/>
          <w:szCs w:val="28"/>
        </w:rPr>
        <w:t>56.</w:t>
      </w:r>
      <w:r w:rsidR="008301F9">
        <w:rPr>
          <w:rFonts w:ascii="Calibri" w:hAnsi="Calibri" w:cs="Calibri"/>
          <w:noProof/>
          <w:sz w:val="20"/>
          <w:szCs w:val="28"/>
        </w:rPr>
        <w:tab/>
      </w:r>
      <w:r>
        <w:rPr>
          <w:rFonts w:ascii="Calibri" w:hAnsi="Calibri" w:cs="Calibri"/>
          <w:noProof/>
          <w:sz w:val="20"/>
          <w:szCs w:val="28"/>
        </w:rPr>
        <w:t>R</w:t>
      </w:r>
      <w:r w:rsidR="008301F9">
        <w:rPr>
          <w:rFonts w:ascii="Calibri" w:hAnsi="Calibri" w:cs="Calibri"/>
          <w:noProof/>
          <w:sz w:val="20"/>
          <w:szCs w:val="28"/>
        </w:rPr>
        <w:t xml:space="preserve">oyal College of Psychiatrists (2019). Statistical Report - </w:t>
      </w:r>
      <w:r w:rsidR="008301F9" w:rsidRPr="008301F9">
        <w:rPr>
          <w:rFonts w:ascii="Calibri" w:hAnsi="Calibri" w:cs="Calibri"/>
          <w:noProof/>
          <w:sz w:val="20"/>
          <w:szCs w:val="28"/>
        </w:rPr>
        <w:t>Analysis examining inter-rater reliability</w:t>
      </w:r>
      <w:r w:rsidR="008301F9">
        <w:rPr>
          <w:rFonts w:ascii="Calibri" w:hAnsi="Calibri" w:cs="Calibri"/>
          <w:noProof/>
          <w:sz w:val="20"/>
          <w:szCs w:val="28"/>
        </w:rPr>
        <w:t xml:space="preserve"> </w:t>
      </w:r>
      <w:r w:rsidR="008301F9" w:rsidRPr="008301F9">
        <w:rPr>
          <w:rFonts w:ascii="Calibri" w:hAnsi="Calibri" w:cs="Calibri"/>
          <w:noProof/>
          <w:sz w:val="20"/>
          <w:szCs w:val="28"/>
        </w:rPr>
        <w:t>for Core Audit data fro</w:t>
      </w:r>
      <w:r w:rsidR="008301F9">
        <w:rPr>
          <w:rFonts w:ascii="Calibri" w:hAnsi="Calibri" w:cs="Calibri"/>
          <w:noProof/>
          <w:sz w:val="20"/>
          <w:szCs w:val="28"/>
        </w:rPr>
        <w:t xml:space="preserve">m National Clinical Audit of Anxiety and Depression. Available at:  </w:t>
      </w:r>
      <w:r w:rsidR="008301F9" w:rsidRPr="008301F9">
        <w:rPr>
          <w:rFonts w:ascii="Calibri" w:hAnsi="Calibri" w:cs="Calibri"/>
          <w:noProof/>
          <w:sz w:val="20"/>
          <w:szCs w:val="28"/>
        </w:rPr>
        <w:t>https://itineris.rcpsych.ac.uk/docs/default-source/improving-care/ccqi/national-clinical-audits/ncaad-documents/ncaad-inter-rater-report.pdf?sfvrsn=6ff443fc_2</w:t>
      </w:r>
    </w:p>
    <w:p w14:paraId="54EEE314" w14:textId="77777777" w:rsidR="007C3329" w:rsidRPr="008257F0" w:rsidRDefault="007C3329" w:rsidP="008257F0">
      <w:pPr>
        <w:pStyle w:val="ListParagraph"/>
        <w:rPr>
          <w:rFonts w:ascii="Calibri" w:hAnsi="Calibri" w:cs="Calibri"/>
          <w:noProof/>
          <w:sz w:val="20"/>
          <w:szCs w:val="28"/>
        </w:rPr>
      </w:pPr>
    </w:p>
    <w:p w14:paraId="14C2F599" w14:textId="3F99E9D7" w:rsidR="008257F0" w:rsidRPr="008257F0" w:rsidRDefault="0049609E" w:rsidP="00933AF9">
      <w:pPr>
        <w:pStyle w:val="ListParagraph"/>
        <w:widowControl w:val="0"/>
        <w:numPr>
          <w:ilvl w:val="0"/>
          <w:numId w:val="20"/>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Runeson, B., Odeberg, J., Pettersson, A., Edbom, T., Jildevik Adamsson, I., &amp; Waern, M.</w:t>
      </w:r>
      <w:r w:rsidR="008110C3" w:rsidRPr="008257F0">
        <w:rPr>
          <w:rFonts w:ascii="Calibri" w:hAnsi="Calibri" w:cs="Calibri"/>
          <w:noProof/>
          <w:sz w:val="20"/>
          <w:szCs w:val="28"/>
        </w:rPr>
        <w:t xml:space="preserve"> (</w:t>
      </w:r>
      <w:r w:rsidRPr="008257F0">
        <w:rPr>
          <w:rFonts w:ascii="Calibri" w:hAnsi="Calibri" w:cs="Calibri"/>
          <w:noProof/>
          <w:sz w:val="20"/>
          <w:szCs w:val="28"/>
        </w:rPr>
        <w:t>2017</w:t>
      </w:r>
      <w:r w:rsidR="000B27AC" w:rsidRPr="008257F0">
        <w:rPr>
          <w:rFonts w:ascii="Calibri" w:hAnsi="Calibri" w:cs="Calibri"/>
          <w:noProof/>
          <w:sz w:val="20"/>
          <w:szCs w:val="28"/>
        </w:rPr>
        <w:t>)</w:t>
      </w:r>
      <w:r w:rsidRPr="008257F0">
        <w:rPr>
          <w:rFonts w:ascii="Calibri" w:hAnsi="Calibri" w:cs="Calibri"/>
          <w:noProof/>
          <w:sz w:val="20"/>
          <w:szCs w:val="28"/>
        </w:rPr>
        <w:t xml:space="preserve">. Instruments for the assessment of suicide risk: A systematic review evaluating the certainty of the evidence. </w:t>
      </w:r>
      <w:r w:rsidRPr="008257F0">
        <w:rPr>
          <w:rFonts w:ascii="Calibri" w:hAnsi="Calibri" w:cs="Calibri"/>
          <w:i/>
          <w:iCs/>
          <w:noProof/>
          <w:sz w:val="20"/>
          <w:szCs w:val="28"/>
        </w:rPr>
        <w:t>PloS One. 12</w:t>
      </w:r>
      <w:r w:rsidRPr="008257F0">
        <w:rPr>
          <w:rFonts w:ascii="Calibri" w:hAnsi="Calibri" w:cs="Calibri"/>
          <w:noProof/>
          <w:sz w:val="20"/>
          <w:szCs w:val="28"/>
        </w:rPr>
        <w:t>, e0180292.</w:t>
      </w:r>
      <w:r w:rsidR="00D024B4" w:rsidRPr="00D024B4">
        <w:t xml:space="preserve"> </w:t>
      </w:r>
      <w:r w:rsidR="00D024B4" w:rsidRPr="00D024B4">
        <w:rPr>
          <w:rFonts w:ascii="Calibri" w:hAnsi="Calibri" w:cs="Calibri"/>
          <w:noProof/>
          <w:sz w:val="20"/>
          <w:szCs w:val="28"/>
        </w:rPr>
        <w:t>doi:10.1371/journal.pone.0180292</w:t>
      </w:r>
    </w:p>
    <w:p w14:paraId="16549BD7" w14:textId="77777777" w:rsidR="008257F0" w:rsidRPr="008257F0" w:rsidRDefault="008257F0" w:rsidP="008257F0">
      <w:pPr>
        <w:pStyle w:val="ListParagraph"/>
        <w:rPr>
          <w:rFonts w:ascii="Calibri" w:hAnsi="Calibri" w:cs="Calibri"/>
          <w:noProof/>
          <w:sz w:val="20"/>
          <w:szCs w:val="28"/>
        </w:rPr>
      </w:pPr>
    </w:p>
    <w:p w14:paraId="4F542C78" w14:textId="6CC3C35C" w:rsidR="008257F0" w:rsidRPr="008257F0" w:rsidRDefault="0049609E" w:rsidP="00933AF9">
      <w:pPr>
        <w:pStyle w:val="ListParagraph"/>
        <w:widowControl w:val="0"/>
        <w:numPr>
          <w:ilvl w:val="0"/>
          <w:numId w:val="20"/>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Saraceno, L., Munafó, M., Heron, J., Craddock, N., &amp; van den Bree, M. B. M.</w:t>
      </w:r>
      <w:r w:rsidR="008110C3" w:rsidRPr="008257F0">
        <w:rPr>
          <w:rFonts w:ascii="Calibri" w:hAnsi="Calibri" w:cs="Calibri"/>
          <w:noProof/>
          <w:sz w:val="20"/>
          <w:szCs w:val="28"/>
        </w:rPr>
        <w:t xml:space="preserve"> (</w:t>
      </w:r>
      <w:r w:rsidRPr="008257F0">
        <w:rPr>
          <w:rFonts w:ascii="Calibri" w:hAnsi="Calibri" w:cs="Calibri"/>
          <w:noProof/>
          <w:sz w:val="20"/>
          <w:szCs w:val="28"/>
        </w:rPr>
        <w:t>2009</w:t>
      </w:r>
      <w:r w:rsidR="000B27AC" w:rsidRPr="008257F0">
        <w:rPr>
          <w:rFonts w:ascii="Calibri" w:hAnsi="Calibri" w:cs="Calibri"/>
          <w:noProof/>
          <w:sz w:val="20"/>
          <w:szCs w:val="28"/>
        </w:rPr>
        <w:t>)</w:t>
      </w:r>
      <w:r w:rsidRPr="008257F0">
        <w:rPr>
          <w:rFonts w:ascii="Calibri" w:hAnsi="Calibri" w:cs="Calibri"/>
          <w:noProof/>
          <w:sz w:val="20"/>
          <w:szCs w:val="28"/>
        </w:rPr>
        <w:t xml:space="preserve">. Genetic and non-genetic influences on the development of co-occurring alcohol problem use and internalizing symptomatology in adolescence: a review. </w:t>
      </w:r>
      <w:r w:rsidRPr="008257F0">
        <w:rPr>
          <w:rFonts w:ascii="Calibri" w:hAnsi="Calibri" w:cs="Calibri"/>
          <w:i/>
          <w:iCs/>
          <w:noProof/>
          <w:sz w:val="20"/>
          <w:szCs w:val="28"/>
        </w:rPr>
        <w:t>Addiction. 104</w:t>
      </w:r>
      <w:r w:rsidRPr="008257F0">
        <w:rPr>
          <w:rFonts w:ascii="Calibri" w:hAnsi="Calibri" w:cs="Calibri"/>
          <w:noProof/>
          <w:sz w:val="20"/>
          <w:szCs w:val="28"/>
        </w:rPr>
        <w:t xml:space="preserve">, 1100–1121. </w:t>
      </w:r>
      <w:r w:rsidR="00D1095D" w:rsidRPr="00D1095D">
        <w:rPr>
          <w:rFonts w:ascii="Calibri" w:hAnsi="Calibri" w:cs="Calibri"/>
          <w:noProof/>
          <w:sz w:val="20"/>
          <w:szCs w:val="28"/>
        </w:rPr>
        <w:t>doi:10.1111/j.1360-0443.2009.02571.x</w:t>
      </w:r>
    </w:p>
    <w:p w14:paraId="6B3ADBEC" w14:textId="77777777" w:rsidR="008257F0" w:rsidRPr="008257F0" w:rsidRDefault="008257F0" w:rsidP="008257F0">
      <w:pPr>
        <w:pStyle w:val="ListParagraph"/>
        <w:rPr>
          <w:rFonts w:ascii="Calibri" w:hAnsi="Calibri" w:cs="Calibri"/>
          <w:noProof/>
          <w:sz w:val="20"/>
          <w:szCs w:val="28"/>
        </w:rPr>
      </w:pPr>
    </w:p>
    <w:p w14:paraId="26C93DC3" w14:textId="6F431EC6" w:rsidR="008257F0" w:rsidRPr="008257F0" w:rsidRDefault="0049609E" w:rsidP="00933AF9">
      <w:pPr>
        <w:pStyle w:val="ListParagraph"/>
        <w:widowControl w:val="0"/>
        <w:numPr>
          <w:ilvl w:val="0"/>
          <w:numId w:val="20"/>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Schomerus, G., Corrigan, P. W., Klauer, T., Kuwert, P., Freyberger, H. J., &amp; Lucht, M.</w:t>
      </w:r>
      <w:r w:rsidR="008110C3" w:rsidRPr="008257F0">
        <w:rPr>
          <w:rFonts w:ascii="Calibri" w:hAnsi="Calibri" w:cs="Calibri"/>
          <w:noProof/>
          <w:sz w:val="20"/>
          <w:szCs w:val="28"/>
        </w:rPr>
        <w:t xml:space="preserve"> (</w:t>
      </w:r>
      <w:r w:rsidRPr="008257F0">
        <w:rPr>
          <w:rFonts w:ascii="Calibri" w:hAnsi="Calibri" w:cs="Calibri"/>
          <w:noProof/>
          <w:sz w:val="20"/>
          <w:szCs w:val="28"/>
        </w:rPr>
        <w:t>2011</w:t>
      </w:r>
      <w:r w:rsidR="000B27AC" w:rsidRPr="008257F0">
        <w:rPr>
          <w:rFonts w:ascii="Calibri" w:hAnsi="Calibri" w:cs="Calibri"/>
          <w:noProof/>
          <w:sz w:val="20"/>
          <w:szCs w:val="28"/>
        </w:rPr>
        <w:t>)</w:t>
      </w:r>
      <w:r w:rsidRPr="008257F0">
        <w:rPr>
          <w:rFonts w:ascii="Calibri" w:hAnsi="Calibri" w:cs="Calibri"/>
          <w:noProof/>
          <w:sz w:val="20"/>
          <w:szCs w:val="28"/>
        </w:rPr>
        <w:t xml:space="preserve">. Self-stigma in alcohol dependence: Consequences for drinking-refusal self-efficacy. </w:t>
      </w:r>
      <w:r w:rsidRPr="008257F0">
        <w:rPr>
          <w:rFonts w:ascii="Calibri" w:hAnsi="Calibri" w:cs="Calibri"/>
          <w:i/>
          <w:iCs/>
          <w:noProof/>
          <w:sz w:val="20"/>
          <w:szCs w:val="28"/>
        </w:rPr>
        <w:t>Drug</w:t>
      </w:r>
      <w:r w:rsidR="00DA2B0A">
        <w:rPr>
          <w:rFonts w:ascii="Calibri" w:hAnsi="Calibri" w:cs="Calibri"/>
          <w:i/>
          <w:iCs/>
          <w:noProof/>
          <w:sz w:val="20"/>
          <w:szCs w:val="28"/>
        </w:rPr>
        <w:t xml:space="preserve"> &amp;</w:t>
      </w:r>
      <w:r w:rsidRPr="008257F0">
        <w:rPr>
          <w:rFonts w:ascii="Calibri" w:hAnsi="Calibri" w:cs="Calibri"/>
          <w:i/>
          <w:iCs/>
          <w:noProof/>
          <w:sz w:val="20"/>
          <w:szCs w:val="28"/>
        </w:rPr>
        <w:t xml:space="preserve"> Alcohol Depend</w:t>
      </w:r>
      <w:r w:rsidR="00DA2B0A">
        <w:rPr>
          <w:rFonts w:ascii="Calibri" w:hAnsi="Calibri" w:cs="Calibri"/>
          <w:i/>
          <w:iCs/>
          <w:noProof/>
          <w:sz w:val="20"/>
          <w:szCs w:val="28"/>
        </w:rPr>
        <w:t>ence</w:t>
      </w:r>
      <w:r w:rsidRPr="008257F0">
        <w:rPr>
          <w:rFonts w:ascii="Calibri" w:hAnsi="Calibri" w:cs="Calibri"/>
          <w:i/>
          <w:iCs/>
          <w:noProof/>
          <w:sz w:val="20"/>
          <w:szCs w:val="28"/>
        </w:rPr>
        <w:t>. 114</w:t>
      </w:r>
      <w:r w:rsidRPr="008257F0">
        <w:rPr>
          <w:rFonts w:ascii="Calibri" w:hAnsi="Calibri" w:cs="Calibri"/>
          <w:noProof/>
          <w:sz w:val="20"/>
          <w:szCs w:val="28"/>
        </w:rPr>
        <w:t>, 12–17.</w:t>
      </w:r>
      <w:r w:rsidR="00370797" w:rsidRPr="00370797">
        <w:t xml:space="preserve"> </w:t>
      </w:r>
      <w:r w:rsidR="00370797" w:rsidRPr="00370797">
        <w:rPr>
          <w:rFonts w:ascii="Calibri" w:hAnsi="Calibri" w:cs="Calibri"/>
          <w:noProof/>
          <w:sz w:val="20"/>
          <w:szCs w:val="28"/>
        </w:rPr>
        <w:t>doi:10.1016/j.drugalcdep.2010.08.013</w:t>
      </w:r>
    </w:p>
    <w:p w14:paraId="11533863" w14:textId="77777777" w:rsidR="008257F0" w:rsidRPr="008257F0" w:rsidRDefault="008257F0" w:rsidP="008257F0">
      <w:pPr>
        <w:pStyle w:val="ListParagraph"/>
        <w:rPr>
          <w:rFonts w:ascii="Calibri" w:hAnsi="Calibri" w:cs="Calibri"/>
          <w:noProof/>
          <w:sz w:val="20"/>
          <w:szCs w:val="28"/>
        </w:rPr>
      </w:pPr>
    </w:p>
    <w:p w14:paraId="6EE99695" w14:textId="63721C12" w:rsidR="008257F0" w:rsidRPr="008257F0" w:rsidRDefault="0049609E" w:rsidP="00933AF9">
      <w:pPr>
        <w:pStyle w:val="ListParagraph"/>
        <w:widowControl w:val="0"/>
        <w:numPr>
          <w:ilvl w:val="0"/>
          <w:numId w:val="20"/>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Scott, J., Gilvarry, E., &amp; Farrell, M.</w:t>
      </w:r>
      <w:r w:rsidR="008110C3" w:rsidRPr="008257F0">
        <w:rPr>
          <w:rFonts w:ascii="Calibri" w:hAnsi="Calibri" w:cs="Calibri"/>
          <w:noProof/>
          <w:sz w:val="20"/>
          <w:szCs w:val="28"/>
        </w:rPr>
        <w:t xml:space="preserve"> (</w:t>
      </w:r>
      <w:r w:rsidRPr="008257F0">
        <w:rPr>
          <w:rFonts w:ascii="Calibri" w:hAnsi="Calibri" w:cs="Calibri"/>
          <w:noProof/>
          <w:sz w:val="20"/>
          <w:szCs w:val="28"/>
        </w:rPr>
        <w:t>1998</w:t>
      </w:r>
      <w:r w:rsidR="000B27AC" w:rsidRPr="008257F0">
        <w:rPr>
          <w:rFonts w:ascii="Calibri" w:hAnsi="Calibri" w:cs="Calibri"/>
          <w:noProof/>
          <w:sz w:val="20"/>
          <w:szCs w:val="28"/>
        </w:rPr>
        <w:t>)</w:t>
      </w:r>
      <w:r w:rsidRPr="008257F0">
        <w:rPr>
          <w:rFonts w:ascii="Calibri" w:hAnsi="Calibri" w:cs="Calibri"/>
          <w:noProof/>
          <w:sz w:val="20"/>
          <w:szCs w:val="28"/>
        </w:rPr>
        <w:t xml:space="preserve">. Managing anxiety and depression in alcohol and drug dependence. </w:t>
      </w:r>
      <w:r w:rsidRPr="008257F0">
        <w:rPr>
          <w:rFonts w:ascii="Calibri" w:hAnsi="Calibri" w:cs="Calibri"/>
          <w:i/>
          <w:iCs/>
          <w:noProof/>
          <w:sz w:val="20"/>
          <w:szCs w:val="28"/>
        </w:rPr>
        <w:t>Addict</w:t>
      </w:r>
      <w:r w:rsidR="00DA2B0A">
        <w:rPr>
          <w:rFonts w:ascii="Calibri" w:hAnsi="Calibri" w:cs="Calibri"/>
          <w:i/>
          <w:iCs/>
          <w:noProof/>
          <w:sz w:val="20"/>
          <w:szCs w:val="28"/>
        </w:rPr>
        <w:t>ive Behaviors</w:t>
      </w:r>
      <w:r w:rsidRPr="008257F0">
        <w:rPr>
          <w:rFonts w:ascii="Calibri" w:hAnsi="Calibri" w:cs="Calibri"/>
          <w:i/>
          <w:iCs/>
          <w:noProof/>
          <w:sz w:val="20"/>
          <w:szCs w:val="28"/>
        </w:rPr>
        <w:t>. 23</w:t>
      </w:r>
      <w:r w:rsidRPr="008257F0">
        <w:rPr>
          <w:rFonts w:ascii="Calibri" w:hAnsi="Calibri" w:cs="Calibri"/>
          <w:noProof/>
          <w:sz w:val="20"/>
          <w:szCs w:val="28"/>
        </w:rPr>
        <w:t>, 919–931.</w:t>
      </w:r>
      <w:r w:rsidR="00746902" w:rsidRPr="00746902">
        <w:t xml:space="preserve"> </w:t>
      </w:r>
      <w:r w:rsidR="00746902" w:rsidRPr="00746902">
        <w:rPr>
          <w:rFonts w:ascii="Calibri" w:hAnsi="Calibri" w:cs="Calibri"/>
          <w:noProof/>
          <w:sz w:val="20"/>
          <w:szCs w:val="28"/>
        </w:rPr>
        <w:t>doi:10.1016/s0306-4603(98)00074-4</w:t>
      </w:r>
    </w:p>
    <w:p w14:paraId="1242CCB7" w14:textId="77777777" w:rsidR="008257F0" w:rsidRPr="008257F0" w:rsidRDefault="008257F0" w:rsidP="008257F0">
      <w:pPr>
        <w:pStyle w:val="ListParagraph"/>
        <w:rPr>
          <w:rFonts w:ascii="Calibri" w:hAnsi="Calibri" w:cs="Calibri"/>
          <w:noProof/>
          <w:sz w:val="20"/>
          <w:szCs w:val="28"/>
        </w:rPr>
      </w:pPr>
    </w:p>
    <w:p w14:paraId="09D754A1" w14:textId="2D01A739" w:rsidR="008257F0" w:rsidRPr="008257F0" w:rsidRDefault="0049609E" w:rsidP="00933AF9">
      <w:pPr>
        <w:pStyle w:val="ListParagraph"/>
        <w:widowControl w:val="0"/>
        <w:numPr>
          <w:ilvl w:val="0"/>
          <w:numId w:val="20"/>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Sher, L.</w:t>
      </w:r>
      <w:r w:rsidR="008110C3" w:rsidRPr="008257F0">
        <w:rPr>
          <w:rFonts w:ascii="Calibri" w:hAnsi="Calibri" w:cs="Calibri"/>
          <w:noProof/>
          <w:sz w:val="20"/>
          <w:szCs w:val="28"/>
        </w:rPr>
        <w:t xml:space="preserve"> (</w:t>
      </w:r>
      <w:r w:rsidRPr="008257F0">
        <w:rPr>
          <w:rFonts w:ascii="Calibri" w:hAnsi="Calibri" w:cs="Calibri"/>
          <w:noProof/>
          <w:sz w:val="20"/>
          <w:szCs w:val="28"/>
        </w:rPr>
        <w:t>2006</w:t>
      </w:r>
      <w:r w:rsidR="000B27AC" w:rsidRPr="008257F0">
        <w:rPr>
          <w:rFonts w:ascii="Calibri" w:hAnsi="Calibri" w:cs="Calibri"/>
          <w:noProof/>
          <w:sz w:val="20"/>
          <w:szCs w:val="28"/>
        </w:rPr>
        <w:t>)</w:t>
      </w:r>
      <w:r w:rsidRPr="008257F0">
        <w:rPr>
          <w:rFonts w:ascii="Calibri" w:hAnsi="Calibri" w:cs="Calibri"/>
          <w:noProof/>
          <w:sz w:val="20"/>
          <w:szCs w:val="28"/>
        </w:rPr>
        <w:t xml:space="preserve">. Alcoholism and suicidal behavior: a clinical overview. </w:t>
      </w:r>
      <w:r w:rsidR="0009232C" w:rsidRPr="008257F0">
        <w:rPr>
          <w:rFonts w:ascii="Calibri" w:hAnsi="Calibri" w:cs="Calibri"/>
          <w:i/>
          <w:iCs/>
          <w:noProof/>
          <w:sz w:val="20"/>
          <w:szCs w:val="28"/>
        </w:rPr>
        <w:t>Acta Psychiatr</w:t>
      </w:r>
      <w:r w:rsidR="0009232C">
        <w:rPr>
          <w:rFonts w:ascii="Calibri" w:hAnsi="Calibri" w:cs="Calibri"/>
          <w:i/>
          <w:iCs/>
          <w:noProof/>
          <w:sz w:val="20"/>
          <w:szCs w:val="28"/>
        </w:rPr>
        <w:t>ica</w:t>
      </w:r>
      <w:r w:rsidR="0009232C" w:rsidRPr="008257F0">
        <w:rPr>
          <w:rFonts w:ascii="Calibri" w:hAnsi="Calibri" w:cs="Calibri"/>
          <w:i/>
          <w:iCs/>
          <w:noProof/>
          <w:sz w:val="20"/>
          <w:szCs w:val="28"/>
        </w:rPr>
        <w:t xml:space="preserve"> Scand</w:t>
      </w:r>
      <w:r w:rsidR="0009232C">
        <w:rPr>
          <w:rFonts w:ascii="Calibri" w:hAnsi="Calibri" w:cs="Calibri"/>
          <w:i/>
          <w:iCs/>
          <w:noProof/>
          <w:sz w:val="20"/>
          <w:szCs w:val="28"/>
        </w:rPr>
        <w:t>inavica</w:t>
      </w:r>
      <w:r w:rsidRPr="008257F0">
        <w:rPr>
          <w:rFonts w:ascii="Calibri" w:hAnsi="Calibri" w:cs="Calibri"/>
          <w:i/>
          <w:iCs/>
          <w:noProof/>
          <w:sz w:val="20"/>
          <w:szCs w:val="28"/>
        </w:rPr>
        <w:t>. 113</w:t>
      </w:r>
      <w:r w:rsidRPr="008257F0">
        <w:rPr>
          <w:rFonts w:ascii="Calibri" w:hAnsi="Calibri" w:cs="Calibri"/>
          <w:noProof/>
          <w:sz w:val="20"/>
          <w:szCs w:val="28"/>
        </w:rPr>
        <w:t>, 13–22.</w:t>
      </w:r>
      <w:r w:rsidR="002C5903" w:rsidRPr="002C5903">
        <w:t xml:space="preserve"> </w:t>
      </w:r>
      <w:r w:rsidR="002C5903" w:rsidRPr="002C5903">
        <w:rPr>
          <w:rFonts w:ascii="Calibri" w:hAnsi="Calibri" w:cs="Calibri"/>
          <w:noProof/>
          <w:sz w:val="20"/>
          <w:szCs w:val="28"/>
        </w:rPr>
        <w:t>doi:10.1111/j.1600-0447.2005.00643.x</w:t>
      </w:r>
    </w:p>
    <w:p w14:paraId="24D64ED3" w14:textId="77777777" w:rsidR="008257F0" w:rsidRPr="008257F0" w:rsidRDefault="008257F0" w:rsidP="008257F0">
      <w:pPr>
        <w:pStyle w:val="ListParagraph"/>
        <w:rPr>
          <w:rFonts w:ascii="Calibri" w:hAnsi="Calibri" w:cs="Calibri"/>
          <w:noProof/>
          <w:sz w:val="20"/>
          <w:szCs w:val="28"/>
        </w:rPr>
      </w:pPr>
    </w:p>
    <w:p w14:paraId="77F503F5" w14:textId="71180C14" w:rsidR="008257F0" w:rsidRPr="008257F0" w:rsidRDefault="0049609E" w:rsidP="00933AF9">
      <w:pPr>
        <w:pStyle w:val="ListParagraph"/>
        <w:widowControl w:val="0"/>
        <w:numPr>
          <w:ilvl w:val="0"/>
          <w:numId w:val="20"/>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Sinclair, J. M. A., Latifi, A. H., &amp; Latifi, A. W.</w:t>
      </w:r>
      <w:r w:rsidR="008110C3" w:rsidRPr="008257F0">
        <w:rPr>
          <w:rFonts w:ascii="Calibri" w:hAnsi="Calibri" w:cs="Calibri"/>
          <w:noProof/>
          <w:sz w:val="20"/>
          <w:szCs w:val="28"/>
        </w:rPr>
        <w:t xml:space="preserve"> (</w:t>
      </w:r>
      <w:r w:rsidRPr="008257F0">
        <w:rPr>
          <w:rFonts w:ascii="Calibri" w:hAnsi="Calibri" w:cs="Calibri"/>
          <w:noProof/>
          <w:sz w:val="20"/>
          <w:szCs w:val="28"/>
        </w:rPr>
        <w:t>2008</w:t>
      </w:r>
      <w:r w:rsidR="000B27AC" w:rsidRPr="008257F0">
        <w:rPr>
          <w:rFonts w:ascii="Calibri" w:hAnsi="Calibri" w:cs="Calibri"/>
          <w:noProof/>
          <w:sz w:val="20"/>
          <w:szCs w:val="28"/>
        </w:rPr>
        <w:t>)</w:t>
      </w:r>
      <w:r w:rsidRPr="008257F0">
        <w:rPr>
          <w:rFonts w:ascii="Calibri" w:hAnsi="Calibri" w:cs="Calibri"/>
          <w:noProof/>
          <w:sz w:val="20"/>
          <w:szCs w:val="28"/>
        </w:rPr>
        <w:t xml:space="preserve">. Co-morbid substance misuse in psychiatric patients: Prevalence and association with length of inpatient stay. </w:t>
      </w:r>
      <w:r w:rsidRPr="008257F0">
        <w:rPr>
          <w:rFonts w:ascii="Calibri" w:hAnsi="Calibri" w:cs="Calibri"/>
          <w:i/>
          <w:iCs/>
          <w:noProof/>
          <w:sz w:val="20"/>
          <w:szCs w:val="28"/>
        </w:rPr>
        <w:t>J</w:t>
      </w:r>
      <w:r w:rsidR="0011188B">
        <w:rPr>
          <w:rFonts w:ascii="Calibri" w:hAnsi="Calibri" w:cs="Calibri"/>
          <w:i/>
          <w:iCs/>
          <w:noProof/>
          <w:sz w:val="20"/>
          <w:szCs w:val="28"/>
        </w:rPr>
        <w:t>ournal of Psychopharmacology</w:t>
      </w:r>
      <w:r w:rsidRPr="008257F0">
        <w:rPr>
          <w:rFonts w:ascii="Calibri" w:hAnsi="Calibri" w:cs="Calibri"/>
          <w:i/>
          <w:iCs/>
          <w:noProof/>
          <w:sz w:val="20"/>
          <w:szCs w:val="28"/>
        </w:rPr>
        <w:t>. 22</w:t>
      </w:r>
      <w:r w:rsidRPr="008257F0">
        <w:rPr>
          <w:rFonts w:ascii="Calibri" w:hAnsi="Calibri" w:cs="Calibri"/>
          <w:noProof/>
          <w:sz w:val="20"/>
          <w:szCs w:val="28"/>
        </w:rPr>
        <w:t xml:space="preserve">, 92–99. </w:t>
      </w:r>
      <w:r w:rsidR="0053567D" w:rsidRPr="0053567D">
        <w:rPr>
          <w:rFonts w:ascii="Calibri" w:hAnsi="Calibri" w:cs="Calibri"/>
          <w:noProof/>
          <w:sz w:val="20"/>
          <w:szCs w:val="28"/>
        </w:rPr>
        <w:t>doi:10.1177/0269881107082029</w:t>
      </w:r>
    </w:p>
    <w:p w14:paraId="0DA5B5EF" w14:textId="77777777" w:rsidR="008257F0" w:rsidRPr="008257F0" w:rsidRDefault="008257F0" w:rsidP="008257F0">
      <w:pPr>
        <w:pStyle w:val="ListParagraph"/>
        <w:rPr>
          <w:rFonts w:ascii="Calibri" w:hAnsi="Calibri" w:cs="Calibri"/>
          <w:noProof/>
          <w:sz w:val="20"/>
          <w:szCs w:val="28"/>
        </w:rPr>
      </w:pPr>
    </w:p>
    <w:p w14:paraId="6603D630" w14:textId="264714BE" w:rsidR="008257F0" w:rsidRPr="008257F0" w:rsidRDefault="0049609E" w:rsidP="00933AF9">
      <w:pPr>
        <w:pStyle w:val="ListParagraph"/>
        <w:widowControl w:val="0"/>
        <w:numPr>
          <w:ilvl w:val="0"/>
          <w:numId w:val="20"/>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Sullivan, L. E., Fiellin, D. A., &amp; O’Connor, P. G.</w:t>
      </w:r>
      <w:r w:rsidR="008110C3" w:rsidRPr="008257F0">
        <w:rPr>
          <w:rFonts w:ascii="Calibri" w:hAnsi="Calibri" w:cs="Calibri"/>
          <w:noProof/>
          <w:sz w:val="20"/>
          <w:szCs w:val="28"/>
        </w:rPr>
        <w:t xml:space="preserve"> (</w:t>
      </w:r>
      <w:r w:rsidRPr="008257F0">
        <w:rPr>
          <w:rFonts w:ascii="Calibri" w:hAnsi="Calibri" w:cs="Calibri"/>
          <w:noProof/>
          <w:sz w:val="20"/>
          <w:szCs w:val="28"/>
        </w:rPr>
        <w:t>2005</w:t>
      </w:r>
      <w:r w:rsidR="000B27AC" w:rsidRPr="008257F0">
        <w:rPr>
          <w:rFonts w:ascii="Calibri" w:hAnsi="Calibri" w:cs="Calibri"/>
          <w:noProof/>
          <w:sz w:val="20"/>
          <w:szCs w:val="28"/>
        </w:rPr>
        <w:t>)</w:t>
      </w:r>
      <w:r w:rsidRPr="008257F0">
        <w:rPr>
          <w:rFonts w:ascii="Calibri" w:hAnsi="Calibri" w:cs="Calibri"/>
          <w:noProof/>
          <w:sz w:val="20"/>
          <w:szCs w:val="28"/>
        </w:rPr>
        <w:t xml:space="preserve">. The prevalence and impact of alcohol problems in major depression: A systematic review. </w:t>
      </w:r>
      <w:r w:rsidRPr="008257F0">
        <w:rPr>
          <w:rFonts w:ascii="Calibri" w:hAnsi="Calibri" w:cs="Calibri"/>
          <w:i/>
          <w:iCs/>
          <w:noProof/>
          <w:sz w:val="20"/>
          <w:szCs w:val="28"/>
        </w:rPr>
        <w:t>Am</w:t>
      </w:r>
      <w:r w:rsidR="00137AA8">
        <w:rPr>
          <w:rFonts w:ascii="Calibri" w:hAnsi="Calibri" w:cs="Calibri"/>
          <w:i/>
          <w:iCs/>
          <w:noProof/>
          <w:sz w:val="20"/>
          <w:szCs w:val="28"/>
        </w:rPr>
        <w:t>erican Journal of Medicine</w:t>
      </w:r>
      <w:r w:rsidRPr="008257F0">
        <w:rPr>
          <w:rFonts w:ascii="Calibri" w:hAnsi="Calibri" w:cs="Calibri"/>
          <w:i/>
          <w:iCs/>
          <w:noProof/>
          <w:sz w:val="20"/>
          <w:szCs w:val="28"/>
        </w:rPr>
        <w:t>. 118</w:t>
      </w:r>
      <w:r w:rsidRPr="008257F0">
        <w:rPr>
          <w:rFonts w:ascii="Calibri" w:hAnsi="Calibri" w:cs="Calibri"/>
          <w:noProof/>
          <w:sz w:val="20"/>
          <w:szCs w:val="28"/>
        </w:rPr>
        <w:t xml:space="preserve">, 330–341. </w:t>
      </w:r>
      <w:r w:rsidR="00745736" w:rsidRPr="00745736">
        <w:rPr>
          <w:rFonts w:ascii="Calibri" w:hAnsi="Calibri" w:cs="Calibri"/>
          <w:noProof/>
          <w:sz w:val="20"/>
          <w:szCs w:val="28"/>
        </w:rPr>
        <w:t>doi:10.1016/j.amjmed.2005.01.007</w:t>
      </w:r>
    </w:p>
    <w:p w14:paraId="3C3CD1AB" w14:textId="77777777" w:rsidR="008257F0" w:rsidRPr="008257F0" w:rsidRDefault="008257F0" w:rsidP="008257F0">
      <w:pPr>
        <w:pStyle w:val="ListParagraph"/>
        <w:rPr>
          <w:rFonts w:ascii="Calibri" w:hAnsi="Calibri" w:cs="Calibri"/>
          <w:noProof/>
          <w:sz w:val="20"/>
          <w:szCs w:val="28"/>
        </w:rPr>
      </w:pPr>
    </w:p>
    <w:p w14:paraId="1435D73E" w14:textId="2D1741CC" w:rsidR="008257F0" w:rsidRPr="008257F0" w:rsidRDefault="0049609E" w:rsidP="00933AF9">
      <w:pPr>
        <w:pStyle w:val="ListParagraph"/>
        <w:widowControl w:val="0"/>
        <w:numPr>
          <w:ilvl w:val="0"/>
          <w:numId w:val="20"/>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Thornicroft, G., Rose, D., &amp; Kassam, A.</w:t>
      </w:r>
      <w:r w:rsidR="008110C3" w:rsidRPr="008257F0">
        <w:rPr>
          <w:rFonts w:ascii="Calibri" w:hAnsi="Calibri" w:cs="Calibri"/>
          <w:noProof/>
          <w:sz w:val="20"/>
          <w:szCs w:val="28"/>
        </w:rPr>
        <w:t xml:space="preserve"> (</w:t>
      </w:r>
      <w:r w:rsidRPr="008257F0">
        <w:rPr>
          <w:rFonts w:ascii="Calibri" w:hAnsi="Calibri" w:cs="Calibri"/>
          <w:noProof/>
          <w:sz w:val="20"/>
          <w:szCs w:val="28"/>
        </w:rPr>
        <w:t>2007</w:t>
      </w:r>
      <w:r w:rsidR="000B27AC" w:rsidRPr="008257F0">
        <w:rPr>
          <w:rFonts w:ascii="Calibri" w:hAnsi="Calibri" w:cs="Calibri"/>
          <w:noProof/>
          <w:sz w:val="20"/>
          <w:szCs w:val="28"/>
        </w:rPr>
        <w:t>)</w:t>
      </w:r>
      <w:r w:rsidRPr="008257F0">
        <w:rPr>
          <w:rFonts w:ascii="Calibri" w:hAnsi="Calibri" w:cs="Calibri"/>
          <w:noProof/>
          <w:sz w:val="20"/>
          <w:szCs w:val="28"/>
        </w:rPr>
        <w:t>. Discrimination in health care against people with mental illness.</w:t>
      </w:r>
      <w:r w:rsidRPr="008257F0">
        <w:rPr>
          <w:rFonts w:ascii="Calibri" w:hAnsi="Calibri" w:cs="Calibri"/>
          <w:i/>
          <w:iCs/>
          <w:noProof/>
          <w:sz w:val="20"/>
          <w:szCs w:val="28"/>
        </w:rPr>
        <w:t xml:space="preserve"> </w:t>
      </w:r>
      <w:r w:rsidR="00A42C96" w:rsidRPr="008257F0">
        <w:rPr>
          <w:rFonts w:ascii="Calibri" w:hAnsi="Calibri" w:cs="Calibri"/>
          <w:i/>
          <w:iCs/>
          <w:noProof/>
          <w:sz w:val="20"/>
          <w:szCs w:val="28"/>
        </w:rPr>
        <w:t>Int</w:t>
      </w:r>
      <w:r w:rsidR="00A42C96">
        <w:rPr>
          <w:rFonts w:ascii="Calibri" w:hAnsi="Calibri" w:cs="Calibri"/>
          <w:i/>
          <w:iCs/>
          <w:noProof/>
          <w:sz w:val="20"/>
          <w:szCs w:val="28"/>
        </w:rPr>
        <w:t>ernational Review of Psychiatry</w:t>
      </w:r>
      <w:r w:rsidRPr="008257F0">
        <w:rPr>
          <w:rFonts w:ascii="Calibri" w:hAnsi="Calibri" w:cs="Calibri"/>
          <w:i/>
          <w:iCs/>
          <w:noProof/>
          <w:sz w:val="20"/>
          <w:szCs w:val="28"/>
        </w:rPr>
        <w:t>. 19</w:t>
      </w:r>
      <w:r w:rsidRPr="008257F0">
        <w:rPr>
          <w:rFonts w:ascii="Calibri" w:hAnsi="Calibri" w:cs="Calibri"/>
          <w:noProof/>
          <w:sz w:val="20"/>
          <w:szCs w:val="28"/>
        </w:rPr>
        <w:t>, 113–122.</w:t>
      </w:r>
      <w:r w:rsidR="0015124D" w:rsidRPr="0015124D">
        <w:t xml:space="preserve"> </w:t>
      </w:r>
      <w:r w:rsidR="0015124D" w:rsidRPr="0015124D">
        <w:rPr>
          <w:rFonts w:ascii="Calibri" w:hAnsi="Calibri" w:cs="Calibri"/>
          <w:noProof/>
          <w:sz w:val="20"/>
          <w:szCs w:val="28"/>
        </w:rPr>
        <w:t>doi:10.1080/09540260701278937</w:t>
      </w:r>
    </w:p>
    <w:p w14:paraId="708F15D9" w14:textId="77777777" w:rsidR="008257F0" w:rsidRPr="008257F0" w:rsidRDefault="008257F0" w:rsidP="008257F0">
      <w:pPr>
        <w:pStyle w:val="ListParagraph"/>
        <w:rPr>
          <w:rFonts w:ascii="Calibri" w:hAnsi="Calibri" w:cs="Calibri"/>
          <w:noProof/>
          <w:sz w:val="20"/>
          <w:szCs w:val="28"/>
        </w:rPr>
      </w:pPr>
    </w:p>
    <w:p w14:paraId="38A18171" w14:textId="78EA939F" w:rsidR="008257F0" w:rsidRPr="008257F0" w:rsidRDefault="0049609E" w:rsidP="00933AF9">
      <w:pPr>
        <w:pStyle w:val="ListParagraph"/>
        <w:widowControl w:val="0"/>
        <w:numPr>
          <w:ilvl w:val="0"/>
          <w:numId w:val="20"/>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Turner, S., Mota, N., Bolton, J., &amp; Sareen, J.</w:t>
      </w:r>
      <w:r w:rsidR="008110C3" w:rsidRPr="008257F0">
        <w:rPr>
          <w:rFonts w:ascii="Calibri" w:hAnsi="Calibri" w:cs="Calibri"/>
          <w:noProof/>
          <w:sz w:val="20"/>
          <w:szCs w:val="28"/>
        </w:rPr>
        <w:t xml:space="preserve"> (</w:t>
      </w:r>
      <w:r w:rsidRPr="008257F0">
        <w:rPr>
          <w:rFonts w:ascii="Calibri" w:hAnsi="Calibri" w:cs="Calibri"/>
          <w:noProof/>
          <w:sz w:val="20"/>
          <w:szCs w:val="28"/>
        </w:rPr>
        <w:t>2018</w:t>
      </w:r>
      <w:r w:rsidR="000B27AC" w:rsidRPr="008257F0">
        <w:rPr>
          <w:rFonts w:ascii="Calibri" w:hAnsi="Calibri" w:cs="Calibri"/>
          <w:noProof/>
          <w:sz w:val="20"/>
          <w:szCs w:val="28"/>
        </w:rPr>
        <w:t>)</w:t>
      </w:r>
      <w:r w:rsidRPr="008257F0">
        <w:rPr>
          <w:rFonts w:ascii="Calibri" w:hAnsi="Calibri" w:cs="Calibri"/>
          <w:noProof/>
          <w:sz w:val="20"/>
          <w:szCs w:val="28"/>
        </w:rPr>
        <w:t xml:space="preserve">. Self-medication with alcohol or drugs for mood and anxiety disorders: A narrative review of the epidemiological literature. </w:t>
      </w:r>
      <w:r w:rsidRPr="008257F0">
        <w:rPr>
          <w:rFonts w:ascii="Calibri" w:hAnsi="Calibri" w:cs="Calibri"/>
          <w:i/>
          <w:iCs/>
          <w:noProof/>
          <w:sz w:val="20"/>
          <w:szCs w:val="28"/>
        </w:rPr>
        <w:t>Depress</w:t>
      </w:r>
      <w:r w:rsidR="00A42C96">
        <w:rPr>
          <w:rFonts w:ascii="Calibri" w:hAnsi="Calibri" w:cs="Calibri"/>
          <w:i/>
          <w:iCs/>
          <w:noProof/>
          <w:sz w:val="20"/>
          <w:szCs w:val="28"/>
        </w:rPr>
        <w:t>ion and</w:t>
      </w:r>
      <w:r w:rsidRPr="008257F0">
        <w:rPr>
          <w:rFonts w:ascii="Calibri" w:hAnsi="Calibri" w:cs="Calibri"/>
          <w:i/>
          <w:iCs/>
          <w:noProof/>
          <w:sz w:val="20"/>
          <w:szCs w:val="28"/>
        </w:rPr>
        <w:t xml:space="preserve"> Anxiety. 35</w:t>
      </w:r>
      <w:r w:rsidRPr="008257F0">
        <w:rPr>
          <w:rFonts w:ascii="Calibri" w:hAnsi="Calibri" w:cs="Calibri"/>
          <w:noProof/>
          <w:sz w:val="20"/>
          <w:szCs w:val="28"/>
        </w:rPr>
        <w:t>, 851–860.</w:t>
      </w:r>
      <w:r w:rsidR="00CA52B0" w:rsidRPr="00CA52B0">
        <w:t xml:space="preserve"> </w:t>
      </w:r>
      <w:r w:rsidR="00CA52B0" w:rsidRPr="00CA52B0">
        <w:rPr>
          <w:rFonts w:ascii="Calibri" w:hAnsi="Calibri" w:cs="Calibri"/>
          <w:noProof/>
          <w:sz w:val="20"/>
          <w:szCs w:val="28"/>
        </w:rPr>
        <w:t>doi:10.1002/da.22771</w:t>
      </w:r>
    </w:p>
    <w:p w14:paraId="26EFAB83" w14:textId="77777777" w:rsidR="008257F0" w:rsidRPr="008257F0" w:rsidRDefault="008257F0" w:rsidP="008257F0">
      <w:pPr>
        <w:pStyle w:val="ListParagraph"/>
        <w:rPr>
          <w:rFonts w:ascii="Calibri" w:hAnsi="Calibri" w:cs="Calibri"/>
          <w:noProof/>
          <w:sz w:val="20"/>
          <w:szCs w:val="28"/>
        </w:rPr>
      </w:pPr>
    </w:p>
    <w:p w14:paraId="09178C8D" w14:textId="40024EB6" w:rsidR="008257F0" w:rsidRPr="008257F0" w:rsidRDefault="0049609E" w:rsidP="00933AF9">
      <w:pPr>
        <w:pStyle w:val="ListParagraph"/>
        <w:widowControl w:val="0"/>
        <w:numPr>
          <w:ilvl w:val="0"/>
          <w:numId w:val="20"/>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van Boekel, L. C., Brouwers, E. P. M., van Weeghel, J., &amp; Garretsen, H. F. L.</w:t>
      </w:r>
      <w:r w:rsidR="008110C3" w:rsidRPr="008257F0">
        <w:rPr>
          <w:rFonts w:ascii="Calibri" w:hAnsi="Calibri" w:cs="Calibri"/>
          <w:noProof/>
          <w:sz w:val="20"/>
          <w:szCs w:val="28"/>
        </w:rPr>
        <w:t xml:space="preserve"> (</w:t>
      </w:r>
      <w:r w:rsidRPr="008257F0">
        <w:rPr>
          <w:rFonts w:ascii="Calibri" w:hAnsi="Calibri" w:cs="Calibri"/>
          <w:noProof/>
          <w:sz w:val="20"/>
          <w:szCs w:val="28"/>
        </w:rPr>
        <w:t>2013</w:t>
      </w:r>
      <w:r w:rsidR="000B27AC" w:rsidRPr="008257F0">
        <w:rPr>
          <w:rFonts w:ascii="Calibri" w:hAnsi="Calibri" w:cs="Calibri"/>
          <w:noProof/>
          <w:sz w:val="20"/>
          <w:szCs w:val="28"/>
        </w:rPr>
        <w:t>)</w:t>
      </w:r>
      <w:r w:rsidRPr="008257F0">
        <w:rPr>
          <w:rFonts w:ascii="Calibri" w:hAnsi="Calibri" w:cs="Calibri"/>
          <w:noProof/>
          <w:sz w:val="20"/>
          <w:szCs w:val="28"/>
        </w:rPr>
        <w:t xml:space="preserve">. Stigma among health professionals towards patients with substance use disorders and its consequences for healthcare delivery: Systematic review. </w:t>
      </w:r>
      <w:r w:rsidRPr="008257F0">
        <w:rPr>
          <w:rFonts w:ascii="Calibri" w:hAnsi="Calibri" w:cs="Calibri"/>
          <w:i/>
          <w:iCs/>
          <w:noProof/>
          <w:sz w:val="20"/>
          <w:szCs w:val="28"/>
        </w:rPr>
        <w:t xml:space="preserve">Drug </w:t>
      </w:r>
      <w:r w:rsidR="008B3E9A">
        <w:rPr>
          <w:rFonts w:ascii="Calibri" w:hAnsi="Calibri" w:cs="Calibri"/>
          <w:i/>
          <w:iCs/>
          <w:noProof/>
          <w:sz w:val="20"/>
          <w:szCs w:val="28"/>
        </w:rPr>
        <w:t xml:space="preserve">&amp; </w:t>
      </w:r>
      <w:r w:rsidRPr="008257F0">
        <w:rPr>
          <w:rFonts w:ascii="Calibri" w:hAnsi="Calibri" w:cs="Calibri"/>
          <w:i/>
          <w:iCs/>
          <w:noProof/>
          <w:sz w:val="20"/>
          <w:szCs w:val="28"/>
        </w:rPr>
        <w:t>Alcohol Depend</w:t>
      </w:r>
      <w:r w:rsidR="008B3E9A">
        <w:rPr>
          <w:rFonts w:ascii="Calibri" w:hAnsi="Calibri" w:cs="Calibri"/>
          <w:i/>
          <w:iCs/>
          <w:noProof/>
          <w:sz w:val="20"/>
          <w:szCs w:val="28"/>
        </w:rPr>
        <w:t>ence</w:t>
      </w:r>
      <w:r w:rsidRPr="008257F0">
        <w:rPr>
          <w:rFonts w:ascii="Calibri" w:hAnsi="Calibri" w:cs="Calibri"/>
          <w:i/>
          <w:iCs/>
          <w:noProof/>
          <w:sz w:val="20"/>
          <w:szCs w:val="28"/>
        </w:rPr>
        <w:t>. 131</w:t>
      </w:r>
      <w:r w:rsidRPr="008257F0">
        <w:rPr>
          <w:rFonts w:ascii="Calibri" w:hAnsi="Calibri" w:cs="Calibri"/>
          <w:noProof/>
          <w:sz w:val="20"/>
          <w:szCs w:val="28"/>
        </w:rPr>
        <w:t xml:space="preserve">, 23–35. </w:t>
      </w:r>
      <w:r w:rsidR="00AB1B02" w:rsidRPr="00AB1B02">
        <w:rPr>
          <w:rFonts w:ascii="Calibri" w:hAnsi="Calibri" w:cs="Calibri"/>
          <w:noProof/>
          <w:sz w:val="20"/>
          <w:szCs w:val="28"/>
        </w:rPr>
        <w:t>doi:10.1016/j.drugalcdep.2013.02.018</w:t>
      </w:r>
    </w:p>
    <w:p w14:paraId="6777AFCC" w14:textId="77777777" w:rsidR="008257F0" w:rsidRPr="008257F0" w:rsidRDefault="008257F0" w:rsidP="008257F0">
      <w:pPr>
        <w:pStyle w:val="ListParagraph"/>
        <w:rPr>
          <w:rFonts w:ascii="Calibri" w:hAnsi="Calibri" w:cs="Calibri"/>
          <w:noProof/>
          <w:sz w:val="20"/>
          <w:szCs w:val="28"/>
        </w:rPr>
      </w:pPr>
    </w:p>
    <w:p w14:paraId="48BA1ABC" w14:textId="6909BFF1" w:rsidR="008257F0" w:rsidRPr="008257F0" w:rsidRDefault="0049609E" w:rsidP="00933AF9">
      <w:pPr>
        <w:pStyle w:val="ListParagraph"/>
        <w:widowControl w:val="0"/>
        <w:numPr>
          <w:ilvl w:val="0"/>
          <w:numId w:val="20"/>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Virtanen, S., Kuja-Halkola, R., Mataix-Cols, D., Jayaram-Lindström, N., D’Onofrio, B. M., Larsson, H., … Latvala, A.</w:t>
      </w:r>
      <w:r w:rsidR="008110C3" w:rsidRPr="008257F0">
        <w:rPr>
          <w:rFonts w:ascii="Calibri" w:hAnsi="Calibri" w:cs="Calibri"/>
          <w:noProof/>
          <w:sz w:val="20"/>
          <w:szCs w:val="28"/>
        </w:rPr>
        <w:t xml:space="preserve"> (</w:t>
      </w:r>
      <w:r w:rsidRPr="008257F0">
        <w:rPr>
          <w:rFonts w:ascii="Calibri" w:hAnsi="Calibri" w:cs="Calibri"/>
          <w:noProof/>
          <w:sz w:val="20"/>
          <w:szCs w:val="28"/>
        </w:rPr>
        <w:t>2019</w:t>
      </w:r>
      <w:r w:rsidR="000B27AC" w:rsidRPr="008257F0">
        <w:rPr>
          <w:rFonts w:ascii="Calibri" w:hAnsi="Calibri" w:cs="Calibri"/>
          <w:noProof/>
          <w:sz w:val="20"/>
          <w:szCs w:val="28"/>
        </w:rPr>
        <w:t>)</w:t>
      </w:r>
      <w:r w:rsidRPr="008257F0">
        <w:rPr>
          <w:rFonts w:ascii="Calibri" w:hAnsi="Calibri" w:cs="Calibri"/>
          <w:noProof/>
          <w:sz w:val="20"/>
          <w:szCs w:val="28"/>
        </w:rPr>
        <w:t xml:space="preserve">. Comorbidity of substance misuse with anxiety-related and depressive disorders: a genetically informative population study of 3 million individuals in Sweden. </w:t>
      </w:r>
      <w:r w:rsidRPr="008257F0">
        <w:rPr>
          <w:rFonts w:ascii="Calibri" w:hAnsi="Calibri" w:cs="Calibri"/>
          <w:i/>
          <w:iCs/>
          <w:noProof/>
          <w:sz w:val="20"/>
          <w:szCs w:val="28"/>
        </w:rPr>
        <w:t>Psychol</w:t>
      </w:r>
      <w:r w:rsidR="00A516C8">
        <w:rPr>
          <w:rFonts w:ascii="Calibri" w:hAnsi="Calibri" w:cs="Calibri"/>
          <w:i/>
          <w:iCs/>
          <w:noProof/>
          <w:sz w:val="20"/>
          <w:szCs w:val="28"/>
        </w:rPr>
        <w:t>ogical Medicine</w:t>
      </w:r>
      <w:r w:rsidRPr="008257F0">
        <w:rPr>
          <w:rFonts w:ascii="Calibri" w:hAnsi="Calibri" w:cs="Calibri"/>
          <w:i/>
          <w:iCs/>
          <w:noProof/>
          <w:sz w:val="20"/>
          <w:szCs w:val="28"/>
        </w:rPr>
        <w:t>. 1</w:t>
      </w:r>
      <w:r w:rsidRPr="008257F0">
        <w:rPr>
          <w:rFonts w:ascii="Calibri" w:hAnsi="Calibri" w:cs="Calibri"/>
          <w:noProof/>
          <w:sz w:val="20"/>
          <w:szCs w:val="28"/>
        </w:rPr>
        <w:t xml:space="preserve">, 1–10. </w:t>
      </w:r>
      <w:r w:rsidR="00384686" w:rsidRPr="00384686">
        <w:rPr>
          <w:rFonts w:ascii="Calibri" w:hAnsi="Calibri" w:cs="Calibri"/>
          <w:noProof/>
          <w:sz w:val="20"/>
          <w:szCs w:val="28"/>
        </w:rPr>
        <w:t>doi:10.1017/S0033291719001788</w:t>
      </w:r>
    </w:p>
    <w:p w14:paraId="26A06C26" w14:textId="77777777" w:rsidR="008257F0" w:rsidRPr="008257F0" w:rsidRDefault="008257F0" w:rsidP="008257F0">
      <w:pPr>
        <w:pStyle w:val="ListParagraph"/>
        <w:rPr>
          <w:rFonts w:ascii="Calibri" w:hAnsi="Calibri" w:cs="Calibri"/>
          <w:noProof/>
          <w:sz w:val="20"/>
          <w:szCs w:val="28"/>
        </w:rPr>
      </w:pPr>
    </w:p>
    <w:p w14:paraId="374378A1" w14:textId="64B3422E" w:rsidR="008257F0" w:rsidRPr="008257F0" w:rsidRDefault="0049609E" w:rsidP="00933AF9">
      <w:pPr>
        <w:pStyle w:val="ListParagraph"/>
        <w:widowControl w:val="0"/>
        <w:numPr>
          <w:ilvl w:val="0"/>
          <w:numId w:val="20"/>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Walter, F., Carr, M. J., Mok, P. L. H., Astrup, A., Antonsen, S., Pedersen, C. B., Webb, R. T.</w:t>
      </w:r>
      <w:r w:rsidR="008110C3" w:rsidRPr="008257F0">
        <w:rPr>
          <w:rFonts w:ascii="Calibri" w:hAnsi="Calibri" w:cs="Calibri"/>
          <w:noProof/>
          <w:sz w:val="20"/>
          <w:szCs w:val="28"/>
        </w:rPr>
        <w:t xml:space="preserve"> (</w:t>
      </w:r>
      <w:r w:rsidRPr="008257F0">
        <w:rPr>
          <w:rFonts w:ascii="Calibri" w:hAnsi="Calibri" w:cs="Calibri"/>
          <w:noProof/>
          <w:sz w:val="20"/>
          <w:szCs w:val="28"/>
        </w:rPr>
        <w:t>2017</w:t>
      </w:r>
      <w:r w:rsidR="000B27AC" w:rsidRPr="008257F0">
        <w:rPr>
          <w:rFonts w:ascii="Calibri" w:hAnsi="Calibri" w:cs="Calibri"/>
          <w:noProof/>
          <w:sz w:val="20"/>
          <w:szCs w:val="28"/>
        </w:rPr>
        <w:t>)</w:t>
      </w:r>
      <w:r w:rsidRPr="008257F0">
        <w:rPr>
          <w:rFonts w:ascii="Calibri" w:hAnsi="Calibri" w:cs="Calibri"/>
          <w:noProof/>
          <w:sz w:val="20"/>
          <w:szCs w:val="28"/>
        </w:rPr>
        <w:t xml:space="preserve">. Premature mortality among patients recently discharged from their first inpatient psychiatric treatment. </w:t>
      </w:r>
      <w:r w:rsidRPr="008257F0">
        <w:rPr>
          <w:rFonts w:ascii="Calibri" w:hAnsi="Calibri" w:cs="Calibri"/>
          <w:i/>
          <w:iCs/>
          <w:noProof/>
          <w:sz w:val="20"/>
          <w:szCs w:val="28"/>
        </w:rPr>
        <w:t>JAMA Psychiatr</w:t>
      </w:r>
      <w:r w:rsidR="0004389A">
        <w:rPr>
          <w:rFonts w:ascii="Calibri" w:hAnsi="Calibri" w:cs="Calibri"/>
          <w:i/>
          <w:iCs/>
          <w:noProof/>
          <w:sz w:val="20"/>
          <w:szCs w:val="28"/>
        </w:rPr>
        <w:t>y</w:t>
      </w:r>
      <w:r w:rsidRPr="008257F0">
        <w:rPr>
          <w:rFonts w:ascii="Calibri" w:hAnsi="Calibri" w:cs="Calibri"/>
          <w:i/>
          <w:iCs/>
          <w:noProof/>
          <w:sz w:val="20"/>
          <w:szCs w:val="28"/>
        </w:rPr>
        <w:t>. 74</w:t>
      </w:r>
      <w:r w:rsidRPr="008257F0">
        <w:rPr>
          <w:rFonts w:ascii="Calibri" w:hAnsi="Calibri" w:cs="Calibri"/>
          <w:noProof/>
          <w:sz w:val="20"/>
          <w:szCs w:val="28"/>
        </w:rPr>
        <w:t>, 485–492.</w:t>
      </w:r>
      <w:r w:rsidR="0097048C" w:rsidRPr="0097048C">
        <w:t xml:space="preserve"> </w:t>
      </w:r>
      <w:r w:rsidR="0097048C" w:rsidRPr="0097048C">
        <w:rPr>
          <w:rFonts w:ascii="Calibri" w:hAnsi="Calibri" w:cs="Calibri"/>
          <w:noProof/>
          <w:sz w:val="20"/>
          <w:szCs w:val="28"/>
        </w:rPr>
        <w:t>doi:10.1001/jamapsychiatry.2017.0071</w:t>
      </w:r>
    </w:p>
    <w:p w14:paraId="3277806C" w14:textId="77777777" w:rsidR="008257F0" w:rsidRPr="008257F0" w:rsidRDefault="008257F0" w:rsidP="008257F0">
      <w:pPr>
        <w:pStyle w:val="ListParagraph"/>
        <w:rPr>
          <w:rFonts w:ascii="Calibri" w:hAnsi="Calibri" w:cs="Calibri"/>
          <w:noProof/>
          <w:sz w:val="20"/>
          <w:szCs w:val="28"/>
        </w:rPr>
      </w:pPr>
    </w:p>
    <w:p w14:paraId="62E25E92" w14:textId="3800E867" w:rsidR="008257F0" w:rsidRPr="008257F0" w:rsidRDefault="0049609E" w:rsidP="00933AF9">
      <w:pPr>
        <w:pStyle w:val="ListParagraph"/>
        <w:widowControl w:val="0"/>
        <w:numPr>
          <w:ilvl w:val="0"/>
          <w:numId w:val="20"/>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Watkins, K. E., Burnam, A., Kung, F.-Y., &amp; Paddock, S.</w:t>
      </w:r>
      <w:r w:rsidR="008110C3" w:rsidRPr="008257F0">
        <w:rPr>
          <w:rFonts w:ascii="Calibri" w:hAnsi="Calibri" w:cs="Calibri"/>
          <w:noProof/>
          <w:sz w:val="20"/>
          <w:szCs w:val="28"/>
        </w:rPr>
        <w:t xml:space="preserve"> (</w:t>
      </w:r>
      <w:r w:rsidRPr="008257F0">
        <w:rPr>
          <w:rFonts w:ascii="Calibri" w:hAnsi="Calibri" w:cs="Calibri"/>
          <w:noProof/>
          <w:sz w:val="20"/>
          <w:szCs w:val="28"/>
        </w:rPr>
        <w:t>2001</w:t>
      </w:r>
      <w:r w:rsidR="000B27AC" w:rsidRPr="008257F0">
        <w:rPr>
          <w:rFonts w:ascii="Calibri" w:hAnsi="Calibri" w:cs="Calibri"/>
          <w:noProof/>
          <w:sz w:val="20"/>
          <w:szCs w:val="28"/>
        </w:rPr>
        <w:t>)</w:t>
      </w:r>
      <w:r w:rsidRPr="008257F0">
        <w:rPr>
          <w:rFonts w:ascii="Calibri" w:hAnsi="Calibri" w:cs="Calibri"/>
          <w:noProof/>
          <w:sz w:val="20"/>
          <w:szCs w:val="28"/>
        </w:rPr>
        <w:t xml:space="preserve">. A National Survey of Care for Persons With Co-occurring Mental and Substance Use Disorders. </w:t>
      </w:r>
      <w:r w:rsidRPr="008257F0">
        <w:rPr>
          <w:rFonts w:ascii="Calibri" w:hAnsi="Calibri" w:cs="Calibri"/>
          <w:i/>
          <w:iCs/>
          <w:noProof/>
          <w:sz w:val="20"/>
          <w:szCs w:val="28"/>
        </w:rPr>
        <w:t>Psychiatr</w:t>
      </w:r>
      <w:r w:rsidR="00A516C8">
        <w:rPr>
          <w:rFonts w:ascii="Calibri" w:hAnsi="Calibri" w:cs="Calibri"/>
          <w:i/>
          <w:iCs/>
          <w:noProof/>
          <w:sz w:val="20"/>
          <w:szCs w:val="28"/>
        </w:rPr>
        <w:t>ic Services</w:t>
      </w:r>
      <w:r w:rsidRPr="008257F0">
        <w:rPr>
          <w:rFonts w:ascii="Calibri" w:hAnsi="Calibri" w:cs="Calibri"/>
          <w:i/>
          <w:iCs/>
          <w:noProof/>
          <w:sz w:val="20"/>
          <w:szCs w:val="28"/>
        </w:rPr>
        <w:t>. 52</w:t>
      </w:r>
      <w:r w:rsidRPr="008257F0">
        <w:rPr>
          <w:rFonts w:ascii="Calibri" w:hAnsi="Calibri" w:cs="Calibri"/>
          <w:noProof/>
          <w:sz w:val="20"/>
          <w:szCs w:val="28"/>
        </w:rPr>
        <w:t xml:space="preserve">, 1062–1068. </w:t>
      </w:r>
      <w:r w:rsidR="003B077B" w:rsidRPr="003B077B">
        <w:rPr>
          <w:rFonts w:ascii="Calibri" w:hAnsi="Calibri" w:cs="Calibri"/>
          <w:noProof/>
          <w:sz w:val="20"/>
          <w:szCs w:val="28"/>
        </w:rPr>
        <w:t>doi:10.1176/appi.ps.52.8.1062</w:t>
      </w:r>
    </w:p>
    <w:p w14:paraId="2152F7A9" w14:textId="77777777" w:rsidR="008257F0" w:rsidRPr="008257F0" w:rsidRDefault="008257F0" w:rsidP="008257F0">
      <w:pPr>
        <w:pStyle w:val="ListParagraph"/>
        <w:rPr>
          <w:rFonts w:ascii="Calibri" w:hAnsi="Calibri" w:cs="Calibri"/>
          <w:noProof/>
          <w:sz w:val="20"/>
          <w:szCs w:val="28"/>
        </w:rPr>
      </w:pPr>
    </w:p>
    <w:p w14:paraId="5702E5B8" w14:textId="77777777" w:rsidR="008257F0" w:rsidRPr="008257F0" w:rsidRDefault="0049609E" w:rsidP="00933AF9">
      <w:pPr>
        <w:pStyle w:val="ListParagraph"/>
        <w:widowControl w:val="0"/>
        <w:numPr>
          <w:ilvl w:val="0"/>
          <w:numId w:val="20"/>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Weiss, R., Najavits, L., &amp; G., H.</w:t>
      </w:r>
      <w:r w:rsidR="008110C3" w:rsidRPr="008257F0">
        <w:rPr>
          <w:rFonts w:ascii="Calibri" w:hAnsi="Calibri" w:cs="Calibri"/>
          <w:noProof/>
          <w:sz w:val="20"/>
          <w:szCs w:val="28"/>
        </w:rPr>
        <w:t xml:space="preserve"> (</w:t>
      </w:r>
      <w:r w:rsidRPr="008257F0">
        <w:rPr>
          <w:rFonts w:ascii="Calibri" w:hAnsi="Calibri" w:cs="Calibri"/>
          <w:noProof/>
          <w:sz w:val="20"/>
          <w:szCs w:val="28"/>
        </w:rPr>
        <w:t>1998</w:t>
      </w:r>
      <w:r w:rsidR="000B27AC" w:rsidRPr="008257F0">
        <w:rPr>
          <w:rFonts w:ascii="Calibri" w:hAnsi="Calibri" w:cs="Calibri"/>
          <w:noProof/>
          <w:sz w:val="20"/>
          <w:szCs w:val="28"/>
        </w:rPr>
        <w:t>)</w:t>
      </w:r>
      <w:r w:rsidRPr="008257F0">
        <w:rPr>
          <w:rFonts w:ascii="Calibri" w:hAnsi="Calibri" w:cs="Calibri"/>
          <w:noProof/>
          <w:sz w:val="20"/>
          <w:szCs w:val="28"/>
        </w:rPr>
        <w:t xml:space="preserve">. Overview of treatment modalities for dual diagnosis patients: pharmacotherapy, psychotherapy, and 12-step programs. In: Kranzler HR, Tinsley JA, eds, Dual Diagnosis and Treatment: </w:t>
      </w:r>
      <w:r w:rsidRPr="008257F0">
        <w:rPr>
          <w:rFonts w:ascii="Calibri" w:hAnsi="Calibri" w:cs="Calibri"/>
          <w:i/>
          <w:iCs/>
          <w:noProof/>
          <w:sz w:val="20"/>
          <w:szCs w:val="28"/>
        </w:rPr>
        <w:t>Substance Abuse and Comorbid Disorders, 2nd ed</w:t>
      </w:r>
      <w:r w:rsidRPr="008257F0">
        <w:rPr>
          <w:rFonts w:ascii="Calibri" w:hAnsi="Calibri" w:cs="Calibri"/>
          <w:noProof/>
          <w:sz w:val="20"/>
          <w:szCs w:val="28"/>
        </w:rPr>
        <w:t xml:space="preserve">. New York, NY: Marcel Dekker. pp 87-107. </w:t>
      </w:r>
    </w:p>
    <w:p w14:paraId="25339F09" w14:textId="77777777" w:rsidR="008257F0" w:rsidRPr="008257F0" w:rsidRDefault="008257F0" w:rsidP="008257F0">
      <w:pPr>
        <w:pStyle w:val="ListParagraph"/>
        <w:rPr>
          <w:rFonts w:ascii="Calibri" w:hAnsi="Calibri" w:cs="Calibri"/>
          <w:noProof/>
          <w:sz w:val="20"/>
          <w:szCs w:val="28"/>
        </w:rPr>
      </w:pPr>
    </w:p>
    <w:p w14:paraId="1471F7A1" w14:textId="7D2030F3" w:rsidR="0049609E" w:rsidRPr="008257F0" w:rsidRDefault="0049609E" w:rsidP="00933AF9">
      <w:pPr>
        <w:pStyle w:val="ListParagraph"/>
        <w:widowControl w:val="0"/>
        <w:numPr>
          <w:ilvl w:val="0"/>
          <w:numId w:val="20"/>
        </w:numPr>
        <w:autoSpaceDE w:val="0"/>
        <w:autoSpaceDN w:val="0"/>
        <w:adjustRightInd w:val="0"/>
        <w:spacing w:line="240" w:lineRule="auto"/>
        <w:rPr>
          <w:rFonts w:ascii="Calibri" w:hAnsi="Calibri" w:cs="Calibri"/>
          <w:noProof/>
          <w:sz w:val="20"/>
          <w:szCs w:val="28"/>
        </w:rPr>
      </w:pPr>
      <w:r w:rsidRPr="008257F0">
        <w:rPr>
          <w:rFonts w:ascii="Calibri" w:hAnsi="Calibri" w:cs="Calibri"/>
          <w:noProof/>
          <w:sz w:val="20"/>
          <w:szCs w:val="28"/>
        </w:rPr>
        <w:t>World Health Organisation.</w:t>
      </w:r>
      <w:r w:rsidR="008110C3" w:rsidRPr="008257F0">
        <w:rPr>
          <w:rFonts w:ascii="Calibri" w:hAnsi="Calibri" w:cs="Calibri"/>
          <w:noProof/>
          <w:sz w:val="20"/>
          <w:szCs w:val="28"/>
        </w:rPr>
        <w:t xml:space="preserve"> (</w:t>
      </w:r>
      <w:r w:rsidRPr="008257F0">
        <w:rPr>
          <w:rFonts w:ascii="Calibri" w:hAnsi="Calibri" w:cs="Calibri"/>
          <w:noProof/>
          <w:sz w:val="20"/>
          <w:szCs w:val="28"/>
        </w:rPr>
        <w:t>2017</w:t>
      </w:r>
      <w:r w:rsidR="008110C3" w:rsidRPr="008257F0">
        <w:rPr>
          <w:rFonts w:ascii="Calibri" w:hAnsi="Calibri" w:cs="Calibri"/>
          <w:noProof/>
          <w:sz w:val="20"/>
          <w:szCs w:val="28"/>
        </w:rPr>
        <w:t>)</w:t>
      </w:r>
      <w:r w:rsidRPr="008257F0">
        <w:rPr>
          <w:rFonts w:ascii="Calibri" w:hAnsi="Calibri" w:cs="Calibri"/>
          <w:noProof/>
          <w:sz w:val="20"/>
          <w:szCs w:val="28"/>
        </w:rPr>
        <w:t>. Depression and Other Common Mental Disorders: Global Health Estimates. Available at: https://apps.who.int/iris/bitstream/handle/10665/254610/WHO-MSD-MER-2017.2-eng.pdf</w:t>
      </w:r>
    </w:p>
    <w:p w14:paraId="270CFC86" w14:textId="62F32DC4" w:rsidR="001B1222" w:rsidRDefault="0049609E" w:rsidP="0049609E">
      <w:r w:rsidRPr="008257F0">
        <w:rPr>
          <w:sz w:val="24"/>
          <w:szCs w:val="24"/>
        </w:rPr>
        <w:fldChar w:fldCharType="end"/>
      </w:r>
    </w:p>
    <w:p w14:paraId="2C5E1521" w14:textId="77C6469F" w:rsidR="00103906" w:rsidRPr="004216CA" w:rsidRDefault="00103906" w:rsidP="00103906">
      <w:pPr>
        <w:pStyle w:val="Heading2"/>
        <w:rPr>
          <w:b/>
          <w:bCs/>
          <w:color w:val="auto"/>
        </w:rPr>
      </w:pPr>
      <w:r w:rsidRPr="004216CA">
        <w:rPr>
          <w:b/>
          <w:bCs/>
          <w:color w:val="auto"/>
        </w:rPr>
        <w:t>D</w:t>
      </w:r>
      <w:r>
        <w:rPr>
          <w:b/>
          <w:bCs/>
          <w:color w:val="auto"/>
        </w:rPr>
        <w:t>ATA AVAILABILITY</w:t>
      </w:r>
    </w:p>
    <w:p w14:paraId="305D4F28" w14:textId="77777777" w:rsidR="00103906" w:rsidRDefault="00103906" w:rsidP="00103906"/>
    <w:p w14:paraId="232C8682" w14:textId="781E5819" w:rsidR="005E0BFF" w:rsidRDefault="00103906">
      <w:r>
        <w:lastRenderedPageBreak/>
        <w:t xml:space="preserve">All authors had access to the full study dataset. The dataset is held by the NCAAD team at the </w:t>
      </w:r>
      <w:proofErr w:type="spellStart"/>
      <w:r>
        <w:t>RCPsych</w:t>
      </w:r>
      <w:proofErr w:type="spellEnd"/>
      <w:r>
        <w:t xml:space="preserve"> Centre for Quality Improvement and could be made available on request. </w:t>
      </w:r>
    </w:p>
    <w:p w14:paraId="3F269C9C" w14:textId="6E9F59DE" w:rsidR="002B61A7" w:rsidRDefault="002B61A7"/>
    <w:p w14:paraId="72479A86" w14:textId="153D6982" w:rsidR="003C3EE0" w:rsidRDefault="003C3EE0"/>
    <w:p w14:paraId="70054ADC" w14:textId="09A77C2F" w:rsidR="003C3EE0" w:rsidRDefault="003C3EE0"/>
    <w:p w14:paraId="7953D410" w14:textId="0A0419DC" w:rsidR="003C3EE0" w:rsidRDefault="003C3EE0"/>
    <w:p w14:paraId="5A60B35C" w14:textId="158BA3C1" w:rsidR="003C3EE0" w:rsidRDefault="003C3EE0"/>
    <w:p w14:paraId="2915DBC3" w14:textId="2EF94CB1" w:rsidR="003C3EE0" w:rsidRDefault="003C3EE0"/>
    <w:p w14:paraId="2CFFE8CF" w14:textId="77116221" w:rsidR="003C3EE0" w:rsidRDefault="003C3EE0"/>
    <w:p w14:paraId="70EE7FC0" w14:textId="4395AE53" w:rsidR="003C3EE0" w:rsidRDefault="003C3EE0"/>
    <w:p w14:paraId="604D91BF" w14:textId="554E262B" w:rsidR="003C3EE0" w:rsidRDefault="003C3EE0"/>
    <w:p w14:paraId="321B10FF" w14:textId="521C39B8" w:rsidR="003C3EE0" w:rsidRDefault="003C3EE0"/>
    <w:p w14:paraId="1FDF323F" w14:textId="178DA931" w:rsidR="003C3EE0" w:rsidRDefault="003C3EE0"/>
    <w:p w14:paraId="30A07333" w14:textId="74F38D91" w:rsidR="003C3EE0" w:rsidRDefault="003C3EE0"/>
    <w:p w14:paraId="3E8ADFB9" w14:textId="194396D1" w:rsidR="003C3EE0" w:rsidRDefault="003C3EE0"/>
    <w:p w14:paraId="50FD7C35" w14:textId="46E7E53D" w:rsidR="003C3EE0" w:rsidRDefault="003C3EE0"/>
    <w:p w14:paraId="4952239C" w14:textId="2F841369" w:rsidR="003C3EE0" w:rsidRDefault="003C3EE0"/>
    <w:p w14:paraId="78E96EE5" w14:textId="0763DD45" w:rsidR="003C3EE0" w:rsidRDefault="003C3EE0"/>
    <w:p w14:paraId="1D2C5438" w14:textId="1868011E" w:rsidR="003C3EE0" w:rsidRDefault="003C3EE0"/>
    <w:p w14:paraId="68FFAB05" w14:textId="15BDD10F" w:rsidR="003C3EE0" w:rsidRDefault="003C3EE0"/>
    <w:p w14:paraId="2E09EB04" w14:textId="7D69A78A" w:rsidR="003C3EE0" w:rsidRDefault="003C3EE0"/>
    <w:p w14:paraId="594D4A6C" w14:textId="23AA9FC4" w:rsidR="003C3EE0" w:rsidRDefault="003C3EE0"/>
    <w:p w14:paraId="63BFE1BE" w14:textId="19E9D0AB" w:rsidR="003C3EE0" w:rsidRDefault="003C3EE0"/>
    <w:p w14:paraId="39F6E373" w14:textId="28D0340E" w:rsidR="003C3EE0" w:rsidRDefault="003C3EE0"/>
    <w:p w14:paraId="313A4106" w14:textId="77777777" w:rsidR="003C3EE0" w:rsidRDefault="003C3EE0"/>
    <w:p w14:paraId="53ABD726" w14:textId="77777777" w:rsidR="002B61A7" w:rsidRDefault="002B61A7" w:rsidP="002B61A7">
      <w:pPr>
        <w:pStyle w:val="Heading2"/>
      </w:pPr>
      <w:r>
        <w:t>Table 1</w:t>
      </w:r>
    </w:p>
    <w:p w14:paraId="02699E8E" w14:textId="77777777" w:rsidR="002B61A7" w:rsidRDefault="002B61A7" w:rsidP="002B61A7">
      <w:pPr>
        <w:pStyle w:val="NoSpacing"/>
      </w:pPr>
    </w:p>
    <w:tbl>
      <w:tblPr>
        <w:tblStyle w:val="TableGrid"/>
        <w:tblW w:w="9893" w:type="dxa"/>
        <w:tblLook w:val="04A0" w:firstRow="1" w:lastRow="0" w:firstColumn="1" w:lastColumn="0" w:noHBand="0" w:noVBand="1"/>
      </w:tblPr>
      <w:tblGrid>
        <w:gridCol w:w="1690"/>
        <w:gridCol w:w="1445"/>
        <w:gridCol w:w="1309"/>
        <w:gridCol w:w="1935"/>
        <w:gridCol w:w="828"/>
        <w:gridCol w:w="1858"/>
        <w:gridCol w:w="828"/>
      </w:tblGrid>
      <w:tr w:rsidR="002B61A7" w14:paraId="4336893C" w14:textId="77777777" w:rsidTr="0015446E">
        <w:tc>
          <w:tcPr>
            <w:tcW w:w="9893" w:type="dxa"/>
            <w:gridSpan w:val="7"/>
            <w:tcBorders>
              <w:bottom w:val="single" w:sz="4" w:space="0" w:color="auto"/>
            </w:tcBorders>
            <w:shd w:val="clear" w:color="auto" w:fill="8EAADB" w:themeFill="accent1" w:themeFillTint="99"/>
          </w:tcPr>
          <w:p w14:paraId="28F46795" w14:textId="77777777" w:rsidR="002B61A7" w:rsidRDefault="002B61A7" w:rsidP="0015446E">
            <w:pPr>
              <w:pStyle w:val="NoSpacing"/>
              <w:jc w:val="center"/>
            </w:pPr>
            <w:r>
              <w:t xml:space="preserve">Table </w:t>
            </w:r>
            <w:proofErr w:type="gramStart"/>
            <w:r>
              <w:t>1  Analysis</w:t>
            </w:r>
            <w:proofErr w:type="gramEnd"/>
            <w:r>
              <w:t xml:space="preserve"> of demographic / clinical factors (independent variables) associated with substance disorder (dependant variable)</w:t>
            </w:r>
          </w:p>
        </w:tc>
      </w:tr>
      <w:tr w:rsidR="002B61A7" w14:paraId="7BD3EA4B" w14:textId="77777777" w:rsidTr="00EF3D83">
        <w:tc>
          <w:tcPr>
            <w:tcW w:w="1690" w:type="dxa"/>
            <w:tcBorders>
              <w:bottom w:val="nil"/>
              <w:right w:val="nil"/>
            </w:tcBorders>
            <w:shd w:val="clear" w:color="auto" w:fill="D9E2F3" w:themeFill="accent1" w:themeFillTint="33"/>
          </w:tcPr>
          <w:p w14:paraId="1E3BA5EE" w14:textId="77777777" w:rsidR="002B61A7" w:rsidRDefault="002B61A7" w:rsidP="0015446E">
            <w:pPr>
              <w:pStyle w:val="NoSpacing"/>
            </w:pPr>
          </w:p>
        </w:tc>
        <w:tc>
          <w:tcPr>
            <w:tcW w:w="1445" w:type="dxa"/>
            <w:tcBorders>
              <w:left w:val="nil"/>
              <w:bottom w:val="nil"/>
              <w:right w:val="nil"/>
            </w:tcBorders>
            <w:shd w:val="clear" w:color="auto" w:fill="D9E2F3" w:themeFill="accent1" w:themeFillTint="33"/>
          </w:tcPr>
          <w:p w14:paraId="71595AD9" w14:textId="77777777" w:rsidR="002B61A7" w:rsidRDefault="002B61A7" w:rsidP="0015446E">
            <w:pPr>
              <w:pStyle w:val="NoSpacing"/>
              <w:jc w:val="center"/>
            </w:pPr>
            <w:r>
              <w:t>Substance Disorder</w:t>
            </w:r>
          </w:p>
          <w:p w14:paraId="0BFF2A4D" w14:textId="77777777" w:rsidR="002B61A7" w:rsidRDefault="002B61A7" w:rsidP="0015446E">
            <w:pPr>
              <w:pStyle w:val="NoSpacing"/>
              <w:jc w:val="center"/>
            </w:pPr>
            <w:r>
              <w:t>N</w:t>
            </w:r>
          </w:p>
          <w:p w14:paraId="57067C00" w14:textId="77777777" w:rsidR="002B61A7" w:rsidRDefault="002B61A7" w:rsidP="0015446E">
            <w:pPr>
              <w:pStyle w:val="NoSpacing"/>
              <w:jc w:val="center"/>
            </w:pPr>
            <w:r>
              <w:t>(% of row)</w:t>
            </w:r>
          </w:p>
        </w:tc>
        <w:tc>
          <w:tcPr>
            <w:tcW w:w="1309" w:type="dxa"/>
            <w:tcBorders>
              <w:left w:val="nil"/>
              <w:bottom w:val="nil"/>
              <w:right w:val="nil"/>
            </w:tcBorders>
            <w:shd w:val="clear" w:color="auto" w:fill="D9E2F3" w:themeFill="accent1" w:themeFillTint="33"/>
          </w:tcPr>
          <w:p w14:paraId="2ECFF666" w14:textId="77777777" w:rsidR="002B61A7" w:rsidRDefault="002B61A7" w:rsidP="0015446E">
            <w:pPr>
              <w:pStyle w:val="NoSpacing"/>
              <w:jc w:val="center"/>
            </w:pPr>
            <w:r>
              <w:t xml:space="preserve">No Substance Disorder </w:t>
            </w:r>
          </w:p>
          <w:p w14:paraId="7B2C7E31" w14:textId="77777777" w:rsidR="002B61A7" w:rsidRDefault="002B61A7" w:rsidP="0015446E">
            <w:pPr>
              <w:pStyle w:val="NoSpacing"/>
              <w:jc w:val="center"/>
            </w:pPr>
            <w:r>
              <w:t xml:space="preserve">N </w:t>
            </w:r>
          </w:p>
          <w:p w14:paraId="74F22784" w14:textId="77777777" w:rsidR="002B61A7" w:rsidRDefault="002B61A7" w:rsidP="0015446E">
            <w:pPr>
              <w:pStyle w:val="NoSpacing"/>
              <w:jc w:val="center"/>
            </w:pPr>
            <w:r>
              <w:t>(% of row)</w:t>
            </w:r>
          </w:p>
        </w:tc>
        <w:tc>
          <w:tcPr>
            <w:tcW w:w="1935" w:type="dxa"/>
            <w:tcBorders>
              <w:left w:val="nil"/>
              <w:bottom w:val="nil"/>
              <w:right w:val="nil"/>
            </w:tcBorders>
            <w:shd w:val="clear" w:color="auto" w:fill="D9E2F3" w:themeFill="accent1" w:themeFillTint="33"/>
          </w:tcPr>
          <w:p w14:paraId="08E2EDC4" w14:textId="77777777" w:rsidR="002B61A7" w:rsidRDefault="002B61A7" w:rsidP="0015446E">
            <w:pPr>
              <w:pStyle w:val="NoSpacing"/>
              <w:jc w:val="center"/>
            </w:pPr>
          </w:p>
          <w:p w14:paraId="04C82098" w14:textId="77777777" w:rsidR="002B61A7" w:rsidRDefault="002B61A7" w:rsidP="0015446E">
            <w:pPr>
              <w:pStyle w:val="NoSpacing"/>
              <w:jc w:val="center"/>
            </w:pPr>
            <w:r>
              <w:t>Unadjusted OR</w:t>
            </w:r>
          </w:p>
          <w:p w14:paraId="0C971707" w14:textId="77777777" w:rsidR="002B61A7" w:rsidRDefault="002B61A7" w:rsidP="0015446E">
            <w:pPr>
              <w:pStyle w:val="NoSpacing"/>
              <w:jc w:val="center"/>
            </w:pPr>
            <w:r>
              <w:t>(95% CI)</w:t>
            </w:r>
          </w:p>
        </w:tc>
        <w:tc>
          <w:tcPr>
            <w:tcW w:w="828" w:type="dxa"/>
            <w:tcBorders>
              <w:left w:val="nil"/>
              <w:bottom w:val="nil"/>
              <w:right w:val="nil"/>
            </w:tcBorders>
            <w:shd w:val="clear" w:color="auto" w:fill="D9E2F3" w:themeFill="accent1" w:themeFillTint="33"/>
          </w:tcPr>
          <w:p w14:paraId="1B5B16AD" w14:textId="77777777" w:rsidR="002B61A7" w:rsidRDefault="002B61A7" w:rsidP="0015446E">
            <w:pPr>
              <w:pStyle w:val="NoSpacing"/>
              <w:jc w:val="center"/>
            </w:pPr>
          </w:p>
          <w:p w14:paraId="1081A7FE" w14:textId="77777777" w:rsidR="002B61A7" w:rsidRDefault="002B61A7" w:rsidP="0015446E">
            <w:pPr>
              <w:pStyle w:val="NoSpacing"/>
              <w:jc w:val="center"/>
            </w:pPr>
            <w:r>
              <w:t>P</w:t>
            </w:r>
          </w:p>
          <w:p w14:paraId="59167724" w14:textId="77777777" w:rsidR="002B61A7" w:rsidRPr="00A83704" w:rsidRDefault="002B61A7" w:rsidP="0015446E">
            <w:pPr>
              <w:jc w:val="center"/>
            </w:pPr>
          </w:p>
        </w:tc>
        <w:tc>
          <w:tcPr>
            <w:tcW w:w="1858" w:type="dxa"/>
            <w:tcBorders>
              <w:left w:val="nil"/>
              <w:bottom w:val="nil"/>
              <w:right w:val="nil"/>
            </w:tcBorders>
            <w:shd w:val="clear" w:color="auto" w:fill="D9E2F3" w:themeFill="accent1" w:themeFillTint="33"/>
          </w:tcPr>
          <w:p w14:paraId="4DE57EF0" w14:textId="77777777" w:rsidR="002B61A7" w:rsidRDefault="002B61A7" w:rsidP="0015446E">
            <w:pPr>
              <w:pStyle w:val="NoSpacing"/>
              <w:jc w:val="center"/>
            </w:pPr>
          </w:p>
          <w:p w14:paraId="78439560" w14:textId="77777777" w:rsidR="002B61A7" w:rsidRPr="00164874" w:rsidRDefault="002B61A7" w:rsidP="0015446E">
            <w:pPr>
              <w:pStyle w:val="NoSpacing"/>
              <w:jc w:val="center"/>
              <w:rPr>
                <w:vertAlign w:val="superscript"/>
              </w:rPr>
            </w:pPr>
            <w:proofErr w:type="spellStart"/>
            <w:r>
              <w:t>Adjusted</w:t>
            </w:r>
            <w:r>
              <w:rPr>
                <w:vertAlign w:val="superscript"/>
              </w:rPr>
              <w:t>a</w:t>
            </w:r>
            <w:proofErr w:type="spellEnd"/>
            <w:r>
              <w:t xml:space="preserve"> OR</w:t>
            </w:r>
          </w:p>
          <w:p w14:paraId="53C67C0F" w14:textId="77777777" w:rsidR="002B61A7" w:rsidRDefault="002B61A7" w:rsidP="0015446E">
            <w:pPr>
              <w:pStyle w:val="NoSpacing"/>
              <w:jc w:val="center"/>
            </w:pPr>
            <w:r>
              <w:t>(95% CI)</w:t>
            </w:r>
          </w:p>
        </w:tc>
        <w:tc>
          <w:tcPr>
            <w:tcW w:w="828" w:type="dxa"/>
            <w:tcBorders>
              <w:left w:val="nil"/>
              <w:bottom w:val="nil"/>
            </w:tcBorders>
            <w:shd w:val="clear" w:color="auto" w:fill="D9E2F3" w:themeFill="accent1" w:themeFillTint="33"/>
          </w:tcPr>
          <w:p w14:paraId="009232C8" w14:textId="77777777" w:rsidR="002B61A7" w:rsidRDefault="002B61A7" w:rsidP="0015446E">
            <w:pPr>
              <w:pStyle w:val="NoSpacing"/>
              <w:jc w:val="center"/>
            </w:pPr>
          </w:p>
          <w:p w14:paraId="03B2C248" w14:textId="77777777" w:rsidR="002B61A7" w:rsidRDefault="002B61A7" w:rsidP="0015446E">
            <w:pPr>
              <w:pStyle w:val="NoSpacing"/>
              <w:jc w:val="center"/>
            </w:pPr>
            <w:r>
              <w:t>P</w:t>
            </w:r>
          </w:p>
        </w:tc>
      </w:tr>
      <w:tr w:rsidR="002B61A7" w14:paraId="79EB23CB" w14:textId="77777777" w:rsidTr="00EF3D83">
        <w:tc>
          <w:tcPr>
            <w:tcW w:w="1690" w:type="dxa"/>
            <w:tcBorders>
              <w:top w:val="nil"/>
              <w:bottom w:val="single" w:sz="4" w:space="0" w:color="auto"/>
              <w:right w:val="nil"/>
            </w:tcBorders>
            <w:shd w:val="clear" w:color="auto" w:fill="BFBFBF" w:themeFill="background1" w:themeFillShade="BF"/>
          </w:tcPr>
          <w:p w14:paraId="0BD0360B" w14:textId="77777777" w:rsidR="002B61A7" w:rsidRDefault="002B61A7" w:rsidP="0015446E">
            <w:pPr>
              <w:pStyle w:val="NoSpacing"/>
              <w:jc w:val="center"/>
            </w:pPr>
            <w:r>
              <w:t xml:space="preserve">Age </w:t>
            </w:r>
          </w:p>
          <w:p w14:paraId="4DB602B6" w14:textId="77777777" w:rsidR="002B61A7" w:rsidRDefault="002B61A7" w:rsidP="0015446E">
            <w:pPr>
              <w:pStyle w:val="NoSpacing"/>
              <w:jc w:val="center"/>
            </w:pPr>
            <w:r>
              <w:lastRenderedPageBreak/>
              <w:t>n=3795</w:t>
            </w:r>
          </w:p>
        </w:tc>
        <w:tc>
          <w:tcPr>
            <w:tcW w:w="1445" w:type="dxa"/>
            <w:tcBorders>
              <w:top w:val="nil"/>
              <w:left w:val="nil"/>
              <w:bottom w:val="single" w:sz="4" w:space="0" w:color="auto"/>
              <w:right w:val="nil"/>
            </w:tcBorders>
            <w:shd w:val="clear" w:color="auto" w:fill="BFBFBF" w:themeFill="background1" w:themeFillShade="BF"/>
          </w:tcPr>
          <w:p w14:paraId="5A92DB3B" w14:textId="77777777" w:rsidR="002B61A7" w:rsidRDefault="002B61A7" w:rsidP="0015446E">
            <w:pPr>
              <w:pStyle w:val="NoSpacing"/>
              <w:jc w:val="center"/>
            </w:pPr>
          </w:p>
        </w:tc>
        <w:tc>
          <w:tcPr>
            <w:tcW w:w="1309" w:type="dxa"/>
            <w:tcBorders>
              <w:top w:val="nil"/>
              <w:left w:val="nil"/>
              <w:bottom w:val="single" w:sz="4" w:space="0" w:color="auto"/>
              <w:right w:val="nil"/>
            </w:tcBorders>
            <w:shd w:val="clear" w:color="auto" w:fill="BFBFBF" w:themeFill="background1" w:themeFillShade="BF"/>
          </w:tcPr>
          <w:p w14:paraId="4EF13B7A" w14:textId="77777777" w:rsidR="002B61A7" w:rsidRDefault="002B61A7" w:rsidP="0015446E">
            <w:pPr>
              <w:pStyle w:val="NoSpacing"/>
              <w:jc w:val="center"/>
            </w:pPr>
          </w:p>
        </w:tc>
        <w:tc>
          <w:tcPr>
            <w:tcW w:w="1935" w:type="dxa"/>
            <w:tcBorders>
              <w:top w:val="nil"/>
              <w:left w:val="nil"/>
              <w:bottom w:val="single" w:sz="4" w:space="0" w:color="auto"/>
              <w:right w:val="nil"/>
            </w:tcBorders>
            <w:shd w:val="clear" w:color="auto" w:fill="BFBFBF" w:themeFill="background1" w:themeFillShade="BF"/>
          </w:tcPr>
          <w:p w14:paraId="17839762" w14:textId="77777777" w:rsidR="002B61A7" w:rsidRDefault="002B61A7" w:rsidP="0015446E">
            <w:pPr>
              <w:pStyle w:val="NoSpacing"/>
              <w:jc w:val="center"/>
            </w:pPr>
          </w:p>
        </w:tc>
        <w:tc>
          <w:tcPr>
            <w:tcW w:w="828" w:type="dxa"/>
            <w:tcBorders>
              <w:top w:val="nil"/>
              <w:left w:val="nil"/>
              <w:bottom w:val="single" w:sz="4" w:space="0" w:color="auto"/>
              <w:right w:val="nil"/>
            </w:tcBorders>
            <w:shd w:val="clear" w:color="auto" w:fill="BFBFBF" w:themeFill="background1" w:themeFillShade="BF"/>
          </w:tcPr>
          <w:p w14:paraId="2E5338D5" w14:textId="77777777" w:rsidR="002B61A7" w:rsidRDefault="002B61A7" w:rsidP="0015446E">
            <w:pPr>
              <w:pStyle w:val="NoSpacing"/>
              <w:jc w:val="center"/>
            </w:pPr>
          </w:p>
        </w:tc>
        <w:tc>
          <w:tcPr>
            <w:tcW w:w="1858" w:type="dxa"/>
            <w:tcBorders>
              <w:top w:val="nil"/>
              <w:left w:val="nil"/>
              <w:bottom w:val="single" w:sz="4" w:space="0" w:color="auto"/>
              <w:right w:val="nil"/>
            </w:tcBorders>
            <w:shd w:val="clear" w:color="auto" w:fill="BFBFBF" w:themeFill="background1" w:themeFillShade="BF"/>
          </w:tcPr>
          <w:p w14:paraId="49B81FFD" w14:textId="77777777" w:rsidR="002B61A7" w:rsidRDefault="002B61A7" w:rsidP="0015446E">
            <w:pPr>
              <w:pStyle w:val="NoSpacing"/>
              <w:jc w:val="center"/>
            </w:pPr>
          </w:p>
        </w:tc>
        <w:tc>
          <w:tcPr>
            <w:tcW w:w="828" w:type="dxa"/>
            <w:tcBorders>
              <w:top w:val="nil"/>
              <w:left w:val="nil"/>
              <w:bottom w:val="single" w:sz="4" w:space="0" w:color="auto"/>
            </w:tcBorders>
            <w:shd w:val="clear" w:color="auto" w:fill="BFBFBF" w:themeFill="background1" w:themeFillShade="BF"/>
          </w:tcPr>
          <w:p w14:paraId="37B01A3B" w14:textId="77777777" w:rsidR="002B61A7" w:rsidRDefault="002B61A7" w:rsidP="0015446E">
            <w:pPr>
              <w:pStyle w:val="NoSpacing"/>
              <w:jc w:val="center"/>
            </w:pPr>
          </w:p>
        </w:tc>
      </w:tr>
      <w:tr w:rsidR="002B61A7" w14:paraId="123F9A4F" w14:textId="77777777" w:rsidTr="00EF3D83">
        <w:tc>
          <w:tcPr>
            <w:tcW w:w="1690" w:type="dxa"/>
            <w:tcBorders>
              <w:bottom w:val="nil"/>
            </w:tcBorders>
          </w:tcPr>
          <w:p w14:paraId="4CC92532" w14:textId="77777777" w:rsidR="002B61A7" w:rsidRDefault="002B61A7" w:rsidP="0015446E">
            <w:pPr>
              <w:pStyle w:val="NoSpacing"/>
              <w:jc w:val="center"/>
            </w:pPr>
            <w:r>
              <w:t>&lt;18</w:t>
            </w:r>
          </w:p>
        </w:tc>
        <w:tc>
          <w:tcPr>
            <w:tcW w:w="1445" w:type="dxa"/>
            <w:tcBorders>
              <w:bottom w:val="single" w:sz="4" w:space="0" w:color="auto"/>
              <w:right w:val="nil"/>
            </w:tcBorders>
          </w:tcPr>
          <w:p w14:paraId="5BA4D225" w14:textId="77777777" w:rsidR="002B61A7" w:rsidRDefault="002B61A7" w:rsidP="0015446E">
            <w:pPr>
              <w:pStyle w:val="NoSpacing"/>
              <w:jc w:val="center"/>
            </w:pPr>
            <w:r>
              <w:t>4</w:t>
            </w:r>
          </w:p>
          <w:p w14:paraId="5D1EAD42" w14:textId="77777777" w:rsidR="002B61A7" w:rsidRDefault="002B61A7" w:rsidP="0015446E">
            <w:pPr>
              <w:pStyle w:val="NoSpacing"/>
              <w:jc w:val="center"/>
            </w:pPr>
            <w:r>
              <w:t>(4.2)</w:t>
            </w:r>
          </w:p>
        </w:tc>
        <w:tc>
          <w:tcPr>
            <w:tcW w:w="1309" w:type="dxa"/>
            <w:tcBorders>
              <w:left w:val="nil"/>
              <w:bottom w:val="single" w:sz="4" w:space="0" w:color="auto"/>
              <w:right w:val="nil"/>
            </w:tcBorders>
          </w:tcPr>
          <w:p w14:paraId="7CE99251" w14:textId="77777777" w:rsidR="002B61A7" w:rsidRDefault="002B61A7" w:rsidP="0015446E">
            <w:pPr>
              <w:pStyle w:val="NoSpacing"/>
              <w:jc w:val="center"/>
            </w:pPr>
            <w:r>
              <w:t>91</w:t>
            </w:r>
          </w:p>
          <w:p w14:paraId="279F295C" w14:textId="77777777" w:rsidR="002B61A7" w:rsidRDefault="002B61A7" w:rsidP="0015446E">
            <w:pPr>
              <w:pStyle w:val="NoSpacing"/>
              <w:jc w:val="center"/>
            </w:pPr>
            <w:r>
              <w:t>(95.8)</w:t>
            </w:r>
          </w:p>
        </w:tc>
        <w:tc>
          <w:tcPr>
            <w:tcW w:w="1935" w:type="dxa"/>
            <w:tcBorders>
              <w:left w:val="nil"/>
              <w:bottom w:val="single" w:sz="4" w:space="0" w:color="auto"/>
              <w:right w:val="nil"/>
            </w:tcBorders>
          </w:tcPr>
          <w:p w14:paraId="200272AF" w14:textId="77777777" w:rsidR="002B61A7" w:rsidRDefault="002B61A7" w:rsidP="0015446E">
            <w:pPr>
              <w:pStyle w:val="NoSpacing"/>
              <w:jc w:val="center"/>
            </w:pPr>
            <w:r>
              <w:t>0.20</w:t>
            </w:r>
          </w:p>
          <w:p w14:paraId="18F66943" w14:textId="77777777" w:rsidR="002B61A7" w:rsidRDefault="002B61A7" w:rsidP="0015446E">
            <w:pPr>
              <w:pStyle w:val="NoSpacing"/>
              <w:jc w:val="center"/>
            </w:pPr>
            <w:r>
              <w:t>(0.07 to 0.56)</w:t>
            </w:r>
          </w:p>
        </w:tc>
        <w:tc>
          <w:tcPr>
            <w:tcW w:w="828" w:type="dxa"/>
            <w:tcBorders>
              <w:left w:val="nil"/>
              <w:bottom w:val="single" w:sz="4" w:space="0" w:color="auto"/>
              <w:right w:val="nil"/>
            </w:tcBorders>
          </w:tcPr>
          <w:p w14:paraId="4030DFF8" w14:textId="77777777" w:rsidR="002B61A7" w:rsidRDefault="002B61A7" w:rsidP="0015446E">
            <w:pPr>
              <w:pStyle w:val="NoSpacing"/>
              <w:jc w:val="center"/>
            </w:pPr>
            <w:r>
              <w:t>0.002</w:t>
            </w:r>
          </w:p>
        </w:tc>
        <w:tc>
          <w:tcPr>
            <w:tcW w:w="1858" w:type="dxa"/>
            <w:tcBorders>
              <w:left w:val="nil"/>
              <w:bottom w:val="single" w:sz="4" w:space="0" w:color="auto"/>
              <w:right w:val="nil"/>
            </w:tcBorders>
          </w:tcPr>
          <w:p w14:paraId="2E0D0283" w14:textId="77777777" w:rsidR="002B61A7" w:rsidRDefault="002B61A7" w:rsidP="0015446E">
            <w:pPr>
              <w:pStyle w:val="NoSpacing"/>
              <w:jc w:val="center"/>
            </w:pPr>
            <w:r>
              <w:t>0.28</w:t>
            </w:r>
          </w:p>
          <w:p w14:paraId="44263820" w14:textId="77777777" w:rsidR="002B61A7" w:rsidRDefault="002B61A7" w:rsidP="0015446E">
            <w:pPr>
              <w:pStyle w:val="NoSpacing"/>
              <w:jc w:val="center"/>
            </w:pPr>
            <w:r>
              <w:t>(0.07 to 1.10)</w:t>
            </w:r>
          </w:p>
        </w:tc>
        <w:tc>
          <w:tcPr>
            <w:tcW w:w="828" w:type="dxa"/>
            <w:tcBorders>
              <w:left w:val="nil"/>
              <w:bottom w:val="single" w:sz="4" w:space="0" w:color="auto"/>
            </w:tcBorders>
          </w:tcPr>
          <w:p w14:paraId="094409FB" w14:textId="77777777" w:rsidR="002B61A7" w:rsidRDefault="002B61A7" w:rsidP="0015446E">
            <w:pPr>
              <w:pStyle w:val="NoSpacing"/>
              <w:jc w:val="center"/>
            </w:pPr>
            <w:r>
              <w:t>0.068</w:t>
            </w:r>
          </w:p>
        </w:tc>
      </w:tr>
      <w:tr w:rsidR="002B61A7" w14:paraId="48083501" w14:textId="77777777" w:rsidTr="00EF3D83">
        <w:tc>
          <w:tcPr>
            <w:tcW w:w="1690" w:type="dxa"/>
            <w:tcBorders>
              <w:top w:val="nil"/>
              <w:bottom w:val="nil"/>
            </w:tcBorders>
          </w:tcPr>
          <w:p w14:paraId="2D0F7E0D" w14:textId="77777777" w:rsidR="002B61A7" w:rsidRDefault="002B61A7" w:rsidP="0015446E">
            <w:pPr>
              <w:pStyle w:val="NoSpacing"/>
              <w:jc w:val="center"/>
            </w:pPr>
            <w:r>
              <w:t>18 to 24</w:t>
            </w:r>
          </w:p>
        </w:tc>
        <w:tc>
          <w:tcPr>
            <w:tcW w:w="1445" w:type="dxa"/>
            <w:tcBorders>
              <w:bottom w:val="single" w:sz="4" w:space="0" w:color="auto"/>
              <w:right w:val="nil"/>
            </w:tcBorders>
          </w:tcPr>
          <w:p w14:paraId="466378C9" w14:textId="77777777" w:rsidR="002B61A7" w:rsidRDefault="002B61A7" w:rsidP="0015446E">
            <w:pPr>
              <w:pStyle w:val="NoSpacing"/>
              <w:jc w:val="center"/>
            </w:pPr>
            <w:r>
              <w:t>51</w:t>
            </w:r>
          </w:p>
          <w:p w14:paraId="711D9C78" w14:textId="77777777" w:rsidR="002B61A7" w:rsidRDefault="002B61A7" w:rsidP="0015446E">
            <w:pPr>
              <w:pStyle w:val="NoSpacing"/>
              <w:jc w:val="center"/>
            </w:pPr>
            <w:r>
              <w:t>(12.5)</w:t>
            </w:r>
          </w:p>
        </w:tc>
        <w:tc>
          <w:tcPr>
            <w:tcW w:w="1309" w:type="dxa"/>
            <w:tcBorders>
              <w:left w:val="nil"/>
              <w:bottom w:val="single" w:sz="4" w:space="0" w:color="auto"/>
              <w:right w:val="nil"/>
            </w:tcBorders>
          </w:tcPr>
          <w:p w14:paraId="1808A58D" w14:textId="77777777" w:rsidR="002B61A7" w:rsidRDefault="002B61A7" w:rsidP="0015446E">
            <w:pPr>
              <w:pStyle w:val="NoSpacing"/>
              <w:jc w:val="center"/>
            </w:pPr>
            <w:r>
              <w:t>356</w:t>
            </w:r>
          </w:p>
          <w:p w14:paraId="1EC3D2BD" w14:textId="77777777" w:rsidR="002B61A7" w:rsidRDefault="002B61A7" w:rsidP="0015446E">
            <w:pPr>
              <w:pStyle w:val="NoSpacing"/>
              <w:jc w:val="center"/>
            </w:pPr>
            <w:r>
              <w:t>(87.5)</w:t>
            </w:r>
          </w:p>
        </w:tc>
        <w:tc>
          <w:tcPr>
            <w:tcW w:w="1935" w:type="dxa"/>
            <w:tcBorders>
              <w:left w:val="nil"/>
              <w:bottom w:val="single" w:sz="4" w:space="0" w:color="auto"/>
              <w:right w:val="nil"/>
            </w:tcBorders>
          </w:tcPr>
          <w:p w14:paraId="59785F32" w14:textId="77777777" w:rsidR="002B61A7" w:rsidRDefault="002B61A7" w:rsidP="0015446E">
            <w:pPr>
              <w:pStyle w:val="NoSpacing"/>
              <w:jc w:val="center"/>
            </w:pPr>
            <w:r>
              <w:t>0.66</w:t>
            </w:r>
          </w:p>
          <w:p w14:paraId="79E8E664" w14:textId="77777777" w:rsidR="002B61A7" w:rsidRDefault="002B61A7" w:rsidP="0015446E">
            <w:pPr>
              <w:pStyle w:val="NoSpacing"/>
              <w:jc w:val="center"/>
            </w:pPr>
            <w:r>
              <w:t>(0.46 to 0.94)</w:t>
            </w:r>
          </w:p>
        </w:tc>
        <w:tc>
          <w:tcPr>
            <w:tcW w:w="828" w:type="dxa"/>
            <w:tcBorders>
              <w:left w:val="nil"/>
              <w:bottom w:val="single" w:sz="4" w:space="0" w:color="auto"/>
              <w:right w:val="nil"/>
            </w:tcBorders>
          </w:tcPr>
          <w:p w14:paraId="76DB7360" w14:textId="77777777" w:rsidR="002B61A7" w:rsidRDefault="002B61A7" w:rsidP="0015446E">
            <w:pPr>
              <w:pStyle w:val="NoSpacing"/>
              <w:jc w:val="center"/>
            </w:pPr>
            <w:r>
              <w:t>0.020</w:t>
            </w:r>
          </w:p>
        </w:tc>
        <w:tc>
          <w:tcPr>
            <w:tcW w:w="1858" w:type="dxa"/>
            <w:tcBorders>
              <w:left w:val="nil"/>
              <w:bottom w:val="single" w:sz="4" w:space="0" w:color="auto"/>
              <w:right w:val="nil"/>
            </w:tcBorders>
          </w:tcPr>
          <w:p w14:paraId="5BE61D30" w14:textId="77777777" w:rsidR="002B61A7" w:rsidRDefault="002B61A7" w:rsidP="0015446E">
            <w:pPr>
              <w:pStyle w:val="NoSpacing"/>
              <w:jc w:val="center"/>
            </w:pPr>
            <w:r>
              <w:t>0.67</w:t>
            </w:r>
          </w:p>
          <w:p w14:paraId="25FAA942" w14:textId="77777777" w:rsidR="002B61A7" w:rsidRDefault="002B61A7" w:rsidP="0015446E">
            <w:pPr>
              <w:pStyle w:val="NoSpacing"/>
              <w:jc w:val="center"/>
            </w:pPr>
            <w:r>
              <w:t>(0.43 to 1.04)</w:t>
            </w:r>
          </w:p>
        </w:tc>
        <w:tc>
          <w:tcPr>
            <w:tcW w:w="828" w:type="dxa"/>
            <w:tcBorders>
              <w:left w:val="nil"/>
              <w:bottom w:val="single" w:sz="4" w:space="0" w:color="auto"/>
            </w:tcBorders>
          </w:tcPr>
          <w:p w14:paraId="1C3C1542" w14:textId="77777777" w:rsidR="002B61A7" w:rsidRDefault="002B61A7" w:rsidP="0015446E">
            <w:pPr>
              <w:pStyle w:val="NoSpacing"/>
              <w:jc w:val="center"/>
            </w:pPr>
            <w:r>
              <w:t>0.076</w:t>
            </w:r>
          </w:p>
        </w:tc>
      </w:tr>
      <w:tr w:rsidR="002B61A7" w14:paraId="41D01B75" w14:textId="77777777" w:rsidTr="00EF3D83">
        <w:tc>
          <w:tcPr>
            <w:tcW w:w="1690" w:type="dxa"/>
            <w:tcBorders>
              <w:top w:val="nil"/>
              <w:bottom w:val="nil"/>
            </w:tcBorders>
          </w:tcPr>
          <w:p w14:paraId="7DE651C2" w14:textId="77777777" w:rsidR="002B61A7" w:rsidRDefault="002B61A7" w:rsidP="0015446E">
            <w:pPr>
              <w:pStyle w:val="NoSpacing"/>
              <w:jc w:val="center"/>
            </w:pPr>
            <w:r>
              <w:t>25 to 34</w:t>
            </w:r>
          </w:p>
        </w:tc>
        <w:tc>
          <w:tcPr>
            <w:tcW w:w="1445" w:type="dxa"/>
            <w:tcBorders>
              <w:bottom w:val="single" w:sz="4" w:space="0" w:color="auto"/>
              <w:right w:val="nil"/>
            </w:tcBorders>
          </w:tcPr>
          <w:p w14:paraId="07DB7CFC" w14:textId="77777777" w:rsidR="002B61A7" w:rsidRDefault="002B61A7" w:rsidP="0015446E">
            <w:pPr>
              <w:pStyle w:val="NoSpacing"/>
              <w:jc w:val="center"/>
            </w:pPr>
            <w:r>
              <w:t>150</w:t>
            </w:r>
          </w:p>
          <w:p w14:paraId="0A568C9E" w14:textId="77777777" w:rsidR="002B61A7" w:rsidRDefault="002B61A7" w:rsidP="0015446E">
            <w:pPr>
              <w:pStyle w:val="NoSpacing"/>
              <w:jc w:val="center"/>
            </w:pPr>
            <w:r>
              <w:t>(21.8)</w:t>
            </w:r>
          </w:p>
        </w:tc>
        <w:tc>
          <w:tcPr>
            <w:tcW w:w="1309" w:type="dxa"/>
            <w:tcBorders>
              <w:left w:val="nil"/>
              <w:bottom w:val="single" w:sz="4" w:space="0" w:color="auto"/>
              <w:right w:val="nil"/>
            </w:tcBorders>
          </w:tcPr>
          <w:p w14:paraId="355D3E4C" w14:textId="77777777" w:rsidR="002B61A7" w:rsidRDefault="002B61A7" w:rsidP="0015446E">
            <w:pPr>
              <w:pStyle w:val="NoSpacing"/>
              <w:jc w:val="center"/>
            </w:pPr>
            <w:r>
              <w:t>537</w:t>
            </w:r>
          </w:p>
          <w:p w14:paraId="552BCC97" w14:textId="77777777" w:rsidR="002B61A7" w:rsidRDefault="002B61A7" w:rsidP="0015446E">
            <w:pPr>
              <w:pStyle w:val="NoSpacing"/>
              <w:jc w:val="center"/>
            </w:pPr>
            <w:r>
              <w:t>(78.2)</w:t>
            </w:r>
          </w:p>
        </w:tc>
        <w:tc>
          <w:tcPr>
            <w:tcW w:w="1935" w:type="dxa"/>
            <w:tcBorders>
              <w:left w:val="nil"/>
              <w:bottom w:val="single" w:sz="4" w:space="0" w:color="auto"/>
              <w:right w:val="nil"/>
            </w:tcBorders>
          </w:tcPr>
          <w:p w14:paraId="0C5494AD" w14:textId="77777777" w:rsidR="002B61A7" w:rsidRDefault="002B61A7" w:rsidP="0015446E">
            <w:pPr>
              <w:pStyle w:val="NoSpacing"/>
              <w:jc w:val="center"/>
            </w:pPr>
            <w:r>
              <w:t>1.28</w:t>
            </w:r>
          </w:p>
          <w:p w14:paraId="23D85FD4" w14:textId="77777777" w:rsidR="002B61A7" w:rsidRDefault="002B61A7" w:rsidP="0015446E">
            <w:pPr>
              <w:pStyle w:val="NoSpacing"/>
              <w:jc w:val="center"/>
            </w:pPr>
            <w:r>
              <w:t>(0.99 to 1.67)</w:t>
            </w:r>
          </w:p>
        </w:tc>
        <w:tc>
          <w:tcPr>
            <w:tcW w:w="828" w:type="dxa"/>
            <w:tcBorders>
              <w:left w:val="nil"/>
              <w:bottom w:val="single" w:sz="4" w:space="0" w:color="auto"/>
              <w:right w:val="nil"/>
            </w:tcBorders>
          </w:tcPr>
          <w:p w14:paraId="3EE11D96" w14:textId="77777777" w:rsidR="002B61A7" w:rsidRDefault="002B61A7" w:rsidP="0015446E">
            <w:pPr>
              <w:pStyle w:val="NoSpacing"/>
              <w:jc w:val="center"/>
            </w:pPr>
            <w:r>
              <w:t>0.063</w:t>
            </w:r>
          </w:p>
        </w:tc>
        <w:tc>
          <w:tcPr>
            <w:tcW w:w="1858" w:type="dxa"/>
            <w:tcBorders>
              <w:left w:val="nil"/>
              <w:bottom w:val="single" w:sz="4" w:space="0" w:color="auto"/>
              <w:right w:val="nil"/>
            </w:tcBorders>
          </w:tcPr>
          <w:p w14:paraId="5D38C79A" w14:textId="77777777" w:rsidR="002B61A7" w:rsidRDefault="002B61A7" w:rsidP="0015446E">
            <w:pPr>
              <w:pStyle w:val="NoSpacing"/>
              <w:jc w:val="center"/>
            </w:pPr>
            <w:r>
              <w:t>1.38</w:t>
            </w:r>
          </w:p>
          <w:p w14:paraId="664E3D0E" w14:textId="77777777" w:rsidR="002B61A7" w:rsidRDefault="002B61A7" w:rsidP="0015446E">
            <w:pPr>
              <w:pStyle w:val="NoSpacing"/>
              <w:jc w:val="center"/>
            </w:pPr>
            <w:r>
              <w:t>(1.02 to 1.88)</w:t>
            </w:r>
          </w:p>
        </w:tc>
        <w:tc>
          <w:tcPr>
            <w:tcW w:w="828" w:type="dxa"/>
            <w:tcBorders>
              <w:left w:val="nil"/>
              <w:bottom w:val="single" w:sz="4" w:space="0" w:color="auto"/>
            </w:tcBorders>
          </w:tcPr>
          <w:p w14:paraId="62892151" w14:textId="77777777" w:rsidR="002B61A7" w:rsidRDefault="002B61A7" w:rsidP="0015446E">
            <w:pPr>
              <w:pStyle w:val="NoSpacing"/>
              <w:jc w:val="center"/>
            </w:pPr>
            <w:r>
              <w:t>0.037</w:t>
            </w:r>
          </w:p>
        </w:tc>
      </w:tr>
      <w:tr w:rsidR="002B61A7" w14:paraId="4C08AE1D" w14:textId="77777777" w:rsidTr="00EF3D83">
        <w:tc>
          <w:tcPr>
            <w:tcW w:w="1690" w:type="dxa"/>
            <w:tcBorders>
              <w:top w:val="nil"/>
              <w:bottom w:val="nil"/>
            </w:tcBorders>
          </w:tcPr>
          <w:p w14:paraId="67BA3B15" w14:textId="77777777" w:rsidR="002B61A7" w:rsidRDefault="002B61A7" w:rsidP="0015446E">
            <w:pPr>
              <w:pStyle w:val="NoSpacing"/>
              <w:jc w:val="center"/>
            </w:pPr>
            <w:r>
              <w:t>35 to 44</w:t>
            </w:r>
          </w:p>
        </w:tc>
        <w:tc>
          <w:tcPr>
            <w:tcW w:w="1445" w:type="dxa"/>
            <w:tcBorders>
              <w:bottom w:val="single" w:sz="4" w:space="0" w:color="auto"/>
              <w:right w:val="nil"/>
            </w:tcBorders>
          </w:tcPr>
          <w:p w14:paraId="6E797DD3" w14:textId="77777777" w:rsidR="002B61A7" w:rsidRDefault="002B61A7" w:rsidP="0015446E">
            <w:pPr>
              <w:pStyle w:val="NoSpacing"/>
              <w:jc w:val="center"/>
            </w:pPr>
            <w:r>
              <w:t>123</w:t>
            </w:r>
          </w:p>
          <w:p w14:paraId="45DD08C1" w14:textId="77777777" w:rsidR="002B61A7" w:rsidRDefault="002B61A7" w:rsidP="0015446E">
            <w:pPr>
              <w:pStyle w:val="NoSpacing"/>
              <w:jc w:val="center"/>
            </w:pPr>
            <w:r>
              <w:t>(20.1)</w:t>
            </w:r>
          </w:p>
        </w:tc>
        <w:tc>
          <w:tcPr>
            <w:tcW w:w="1309" w:type="dxa"/>
            <w:tcBorders>
              <w:left w:val="nil"/>
              <w:bottom w:val="single" w:sz="4" w:space="0" w:color="auto"/>
              <w:right w:val="nil"/>
            </w:tcBorders>
          </w:tcPr>
          <w:p w14:paraId="4BA5ACC1" w14:textId="77777777" w:rsidR="002B61A7" w:rsidRDefault="002B61A7" w:rsidP="0015446E">
            <w:pPr>
              <w:pStyle w:val="NoSpacing"/>
              <w:jc w:val="center"/>
            </w:pPr>
            <w:r>
              <w:t>489</w:t>
            </w:r>
          </w:p>
          <w:p w14:paraId="2DE13D62" w14:textId="77777777" w:rsidR="002B61A7" w:rsidRDefault="002B61A7" w:rsidP="0015446E">
            <w:pPr>
              <w:pStyle w:val="NoSpacing"/>
              <w:jc w:val="center"/>
            </w:pPr>
            <w:r>
              <w:t>(79.9)</w:t>
            </w:r>
          </w:p>
        </w:tc>
        <w:tc>
          <w:tcPr>
            <w:tcW w:w="1935" w:type="dxa"/>
            <w:tcBorders>
              <w:left w:val="nil"/>
              <w:bottom w:val="single" w:sz="4" w:space="0" w:color="auto"/>
              <w:right w:val="nil"/>
            </w:tcBorders>
          </w:tcPr>
          <w:p w14:paraId="34FCA734" w14:textId="77777777" w:rsidR="002B61A7" w:rsidRDefault="002B61A7" w:rsidP="0015446E">
            <w:pPr>
              <w:pStyle w:val="NoSpacing"/>
              <w:jc w:val="center"/>
            </w:pPr>
            <w:r>
              <w:t>1.16</w:t>
            </w:r>
          </w:p>
          <w:p w14:paraId="5BA73E1F" w14:textId="77777777" w:rsidR="002B61A7" w:rsidRDefault="002B61A7" w:rsidP="0015446E">
            <w:pPr>
              <w:pStyle w:val="NoSpacing"/>
              <w:jc w:val="center"/>
            </w:pPr>
            <w:r>
              <w:t>(0.88 to 1.52)</w:t>
            </w:r>
          </w:p>
        </w:tc>
        <w:tc>
          <w:tcPr>
            <w:tcW w:w="828" w:type="dxa"/>
            <w:tcBorders>
              <w:left w:val="nil"/>
              <w:bottom w:val="single" w:sz="4" w:space="0" w:color="auto"/>
              <w:right w:val="nil"/>
            </w:tcBorders>
          </w:tcPr>
          <w:p w14:paraId="3A0708FF" w14:textId="77777777" w:rsidR="002B61A7" w:rsidRDefault="002B61A7" w:rsidP="0015446E">
            <w:pPr>
              <w:pStyle w:val="NoSpacing"/>
              <w:jc w:val="center"/>
            </w:pPr>
            <w:r>
              <w:t>0.301</w:t>
            </w:r>
          </w:p>
        </w:tc>
        <w:tc>
          <w:tcPr>
            <w:tcW w:w="1858" w:type="dxa"/>
            <w:tcBorders>
              <w:left w:val="nil"/>
              <w:bottom w:val="single" w:sz="4" w:space="0" w:color="auto"/>
              <w:right w:val="nil"/>
            </w:tcBorders>
          </w:tcPr>
          <w:p w14:paraId="3AF10165" w14:textId="77777777" w:rsidR="002B61A7" w:rsidRDefault="002B61A7" w:rsidP="0015446E">
            <w:pPr>
              <w:pStyle w:val="NoSpacing"/>
              <w:jc w:val="center"/>
            </w:pPr>
            <w:r>
              <w:t>1.18</w:t>
            </w:r>
          </w:p>
          <w:p w14:paraId="4ACF429A" w14:textId="77777777" w:rsidR="002B61A7" w:rsidRDefault="002B61A7" w:rsidP="0015446E">
            <w:pPr>
              <w:pStyle w:val="NoSpacing"/>
              <w:jc w:val="center"/>
            </w:pPr>
            <w:r>
              <w:t>(0.86 to 1.63)</w:t>
            </w:r>
          </w:p>
        </w:tc>
        <w:tc>
          <w:tcPr>
            <w:tcW w:w="828" w:type="dxa"/>
            <w:tcBorders>
              <w:left w:val="nil"/>
              <w:bottom w:val="single" w:sz="4" w:space="0" w:color="auto"/>
            </w:tcBorders>
          </w:tcPr>
          <w:p w14:paraId="0C3AEFA8" w14:textId="77777777" w:rsidR="002B61A7" w:rsidRDefault="002B61A7" w:rsidP="0015446E">
            <w:pPr>
              <w:pStyle w:val="NoSpacing"/>
              <w:jc w:val="center"/>
            </w:pPr>
            <w:r>
              <w:t>0.313</w:t>
            </w:r>
          </w:p>
        </w:tc>
      </w:tr>
      <w:tr w:rsidR="002B61A7" w14:paraId="4B5848B7" w14:textId="77777777" w:rsidTr="00EF3D83">
        <w:tc>
          <w:tcPr>
            <w:tcW w:w="1690" w:type="dxa"/>
            <w:tcBorders>
              <w:top w:val="nil"/>
              <w:bottom w:val="nil"/>
            </w:tcBorders>
          </w:tcPr>
          <w:p w14:paraId="040C5D37" w14:textId="77777777" w:rsidR="002B61A7" w:rsidRDefault="002B61A7" w:rsidP="0015446E">
            <w:pPr>
              <w:pStyle w:val="NoSpacing"/>
              <w:jc w:val="center"/>
            </w:pPr>
            <w:r>
              <w:t>45 to 54</w:t>
            </w:r>
          </w:p>
        </w:tc>
        <w:tc>
          <w:tcPr>
            <w:tcW w:w="1445" w:type="dxa"/>
            <w:tcBorders>
              <w:bottom w:val="single" w:sz="4" w:space="0" w:color="auto"/>
              <w:right w:val="nil"/>
            </w:tcBorders>
          </w:tcPr>
          <w:p w14:paraId="6960AFD0" w14:textId="77777777" w:rsidR="002B61A7" w:rsidRDefault="002B61A7" w:rsidP="0015446E">
            <w:pPr>
              <w:pStyle w:val="NoSpacing"/>
              <w:jc w:val="center"/>
            </w:pPr>
            <w:r>
              <w:t>127</w:t>
            </w:r>
          </w:p>
          <w:p w14:paraId="3D45BE8A" w14:textId="77777777" w:rsidR="002B61A7" w:rsidRDefault="002B61A7" w:rsidP="0015446E">
            <w:pPr>
              <w:pStyle w:val="NoSpacing"/>
              <w:jc w:val="center"/>
            </w:pPr>
            <w:r>
              <w:t>(17.9)</w:t>
            </w:r>
          </w:p>
        </w:tc>
        <w:tc>
          <w:tcPr>
            <w:tcW w:w="1309" w:type="dxa"/>
            <w:tcBorders>
              <w:left w:val="nil"/>
              <w:bottom w:val="single" w:sz="4" w:space="0" w:color="auto"/>
              <w:right w:val="nil"/>
            </w:tcBorders>
          </w:tcPr>
          <w:p w14:paraId="37AB9744" w14:textId="77777777" w:rsidR="002B61A7" w:rsidRDefault="002B61A7" w:rsidP="0015446E">
            <w:pPr>
              <w:pStyle w:val="NoSpacing"/>
              <w:jc w:val="center"/>
            </w:pPr>
            <w:r>
              <w:t>584</w:t>
            </w:r>
          </w:p>
          <w:p w14:paraId="4CD6CB18" w14:textId="77777777" w:rsidR="002B61A7" w:rsidRDefault="002B61A7" w:rsidP="0015446E">
            <w:pPr>
              <w:pStyle w:val="NoSpacing"/>
              <w:jc w:val="center"/>
            </w:pPr>
            <w:r>
              <w:t>(82.1)</w:t>
            </w:r>
          </w:p>
        </w:tc>
        <w:tc>
          <w:tcPr>
            <w:tcW w:w="1935" w:type="dxa"/>
            <w:tcBorders>
              <w:left w:val="nil"/>
              <w:bottom w:val="single" w:sz="4" w:space="0" w:color="auto"/>
              <w:right w:val="nil"/>
            </w:tcBorders>
          </w:tcPr>
          <w:p w14:paraId="673A24D1" w14:textId="77777777" w:rsidR="002B61A7" w:rsidRDefault="002B61A7" w:rsidP="0015446E">
            <w:pPr>
              <w:pStyle w:val="NoSpacing"/>
              <w:jc w:val="center"/>
            </w:pPr>
            <w:r>
              <w:t>Ref</w:t>
            </w:r>
          </w:p>
        </w:tc>
        <w:tc>
          <w:tcPr>
            <w:tcW w:w="828" w:type="dxa"/>
            <w:tcBorders>
              <w:left w:val="nil"/>
              <w:bottom w:val="single" w:sz="4" w:space="0" w:color="auto"/>
              <w:right w:val="nil"/>
            </w:tcBorders>
          </w:tcPr>
          <w:p w14:paraId="3CA3629B" w14:textId="77777777" w:rsidR="002B61A7" w:rsidRDefault="002B61A7" w:rsidP="0015446E">
            <w:pPr>
              <w:pStyle w:val="NoSpacing"/>
              <w:jc w:val="center"/>
            </w:pPr>
          </w:p>
        </w:tc>
        <w:tc>
          <w:tcPr>
            <w:tcW w:w="1858" w:type="dxa"/>
            <w:tcBorders>
              <w:left w:val="nil"/>
              <w:bottom w:val="single" w:sz="4" w:space="0" w:color="auto"/>
              <w:right w:val="nil"/>
            </w:tcBorders>
          </w:tcPr>
          <w:p w14:paraId="630AB7BD" w14:textId="77777777" w:rsidR="002B61A7" w:rsidRDefault="002B61A7" w:rsidP="0015446E">
            <w:pPr>
              <w:pStyle w:val="NoSpacing"/>
              <w:jc w:val="center"/>
            </w:pPr>
            <w:r>
              <w:t>Ref</w:t>
            </w:r>
          </w:p>
        </w:tc>
        <w:tc>
          <w:tcPr>
            <w:tcW w:w="828" w:type="dxa"/>
            <w:tcBorders>
              <w:left w:val="nil"/>
              <w:bottom w:val="single" w:sz="4" w:space="0" w:color="auto"/>
            </w:tcBorders>
          </w:tcPr>
          <w:p w14:paraId="2D37A8ED" w14:textId="77777777" w:rsidR="002B61A7" w:rsidRDefault="002B61A7" w:rsidP="0015446E">
            <w:pPr>
              <w:pStyle w:val="NoSpacing"/>
              <w:jc w:val="center"/>
            </w:pPr>
          </w:p>
        </w:tc>
      </w:tr>
      <w:tr w:rsidR="002B61A7" w14:paraId="6E756A29" w14:textId="77777777" w:rsidTr="00EF3D83">
        <w:tc>
          <w:tcPr>
            <w:tcW w:w="1690" w:type="dxa"/>
            <w:tcBorders>
              <w:top w:val="nil"/>
              <w:bottom w:val="nil"/>
            </w:tcBorders>
          </w:tcPr>
          <w:p w14:paraId="14EA6C4D" w14:textId="77777777" w:rsidR="002B61A7" w:rsidRDefault="002B61A7" w:rsidP="0015446E">
            <w:pPr>
              <w:pStyle w:val="NoSpacing"/>
              <w:jc w:val="center"/>
            </w:pPr>
            <w:r>
              <w:t>55 to 64</w:t>
            </w:r>
          </w:p>
        </w:tc>
        <w:tc>
          <w:tcPr>
            <w:tcW w:w="1445" w:type="dxa"/>
            <w:tcBorders>
              <w:bottom w:val="single" w:sz="4" w:space="0" w:color="auto"/>
              <w:right w:val="nil"/>
            </w:tcBorders>
          </w:tcPr>
          <w:p w14:paraId="004974F5" w14:textId="77777777" w:rsidR="002B61A7" w:rsidRDefault="002B61A7" w:rsidP="0015446E">
            <w:pPr>
              <w:pStyle w:val="NoSpacing"/>
              <w:jc w:val="center"/>
            </w:pPr>
            <w:r>
              <w:t>56</w:t>
            </w:r>
          </w:p>
          <w:p w14:paraId="1D188A36" w14:textId="77777777" w:rsidR="002B61A7" w:rsidRDefault="002B61A7" w:rsidP="0015446E">
            <w:pPr>
              <w:pStyle w:val="NoSpacing"/>
              <w:jc w:val="center"/>
            </w:pPr>
            <w:r>
              <w:t>(11.1)</w:t>
            </w:r>
          </w:p>
        </w:tc>
        <w:tc>
          <w:tcPr>
            <w:tcW w:w="1309" w:type="dxa"/>
            <w:tcBorders>
              <w:left w:val="nil"/>
              <w:bottom w:val="single" w:sz="4" w:space="0" w:color="auto"/>
              <w:right w:val="nil"/>
            </w:tcBorders>
          </w:tcPr>
          <w:p w14:paraId="517AFDBA" w14:textId="77777777" w:rsidR="002B61A7" w:rsidRDefault="002B61A7" w:rsidP="0015446E">
            <w:pPr>
              <w:pStyle w:val="NoSpacing"/>
              <w:jc w:val="center"/>
            </w:pPr>
            <w:r>
              <w:t>448</w:t>
            </w:r>
          </w:p>
          <w:p w14:paraId="7664B510" w14:textId="77777777" w:rsidR="002B61A7" w:rsidRDefault="002B61A7" w:rsidP="0015446E">
            <w:pPr>
              <w:pStyle w:val="NoSpacing"/>
              <w:jc w:val="center"/>
            </w:pPr>
            <w:r>
              <w:t>(88.9)</w:t>
            </w:r>
          </w:p>
        </w:tc>
        <w:tc>
          <w:tcPr>
            <w:tcW w:w="1935" w:type="dxa"/>
            <w:tcBorders>
              <w:left w:val="nil"/>
              <w:bottom w:val="single" w:sz="4" w:space="0" w:color="auto"/>
              <w:right w:val="nil"/>
            </w:tcBorders>
          </w:tcPr>
          <w:p w14:paraId="1083279E" w14:textId="77777777" w:rsidR="002B61A7" w:rsidRDefault="002B61A7" w:rsidP="0015446E">
            <w:pPr>
              <w:pStyle w:val="NoSpacing"/>
              <w:jc w:val="center"/>
            </w:pPr>
            <w:r>
              <w:t>0.58</w:t>
            </w:r>
          </w:p>
          <w:p w14:paraId="1293952B" w14:textId="77777777" w:rsidR="002B61A7" w:rsidRDefault="002B61A7" w:rsidP="0015446E">
            <w:pPr>
              <w:pStyle w:val="NoSpacing"/>
              <w:jc w:val="center"/>
            </w:pPr>
            <w:r>
              <w:t>(0.41 to 0.81)</w:t>
            </w:r>
          </w:p>
        </w:tc>
        <w:tc>
          <w:tcPr>
            <w:tcW w:w="828" w:type="dxa"/>
            <w:tcBorders>
              <w:left w:val="nil"/>
              <w:bottom w:val="single" w:sz="4" w:space="0" w:color="auto"/>
              <w:right w:val="nil"/>
            </w:tcBorders>
          </w:tcPr>
          <w:p w14:paraId="42CE5203" w14:textId="77777777" w:rsidR="002B61A7" w:rsidRDefault="002B61A7" w:rsidP="0015446E">
            <w:pPr>
              <w:pStyle w:val="NoSpacing"/>
              <w:jc w:val="center"/>
            </w:pPr>
            <w:r>
              <w:t>0.001</w:t>
            </w:r>
          </w:p>
        </w:tc>
        <w:tc>
          <w:tcPr>
            <w:tcW w:w="1858" w:type="dxa"/>
            <w:tcBorders>
              <w:left w:val="nil"/>
              <w:bottom w:val="single" w:sz="4" w:space="0" w:color="auto"/>
              <w:right w:val="nil"/>
            </w:tcBorders>
          </w:tcPr>
          <w:p w14:paraId="002D0A32" w14:textId="77777777" w:rsidR="002B61A7" w:rsidRDefault="002B61A7" w:rsidP="0015446E">
            <w:pPr>
              <w:pStyle w:val="NoSpacing"/>
              <w:jc w:val="center"/>
            </w:pPr>
            <w:r>
              <w:t>0.74</w:t>
            </w:r>
          </w:p>
          <w:p w14:paraId="5AECD01E" w14:textId="77777777" w:rsidR="002B61A7" w:rsidRDefault="002B61A7" w:rsidP="0015446E">
            <w:pPr>
              <w:pStyle w:val="NoSpacing"/>
              <w:jc w:val="center"/>
            </w:pPr>
            <w:r>
              <w:t>(0.50 to 1.10)</w:t>
            </w:r>
          </w:p>
        </w:tc>
        <w:tc>
          <w:tcPr>
            <w:tcW w:w="828" w:type="dxa"/>
            <w:tcBorders>
              <w:left w:val="nil"/>
              <w:bottom w:val="single" w:sz="4" w:space="0" w:color="auto"/>
            </w:tcBorders>
          </w:tcPr>
          <w:p w14:paraId="49F8F254" w14:textId="77777777" w:rsidR="002B61A7" w:rsidRDefault="002B61A7" w:rsidP="0015446E">
            <w:pPr>
              <w:pStyle w:val="NoSpacing"/>
              <w:jc w:val="center"/>
            </w:pPr>
            <w:r>
              <w:t>0.135</w:t>
            </w:r>
          </w:p>
        </w:tc>
      </w:tr>
      <w:tr w:rsidR="002B61A7" w14:paraId="216A510A" w14:textId="77777777" w:rsidTr="00EF3D83">
        <w:tc>
          <w:tcPr>
            <w:tcW w:w="1690" w:type="dxa"/>
            <w:tcBorders>
              <w:top w:val="nil"/>
              <w:bottom w:val="nil"/>
            </w:tcBorders>
          </w:tcPr>
          <w:p w14:paraId="2976AB72" w14:textId="77777777" w:rsidR="002B61A7" w:rsidRDefault="002B61A7" w:rsidP="0015446E">
            <w:pPr>
              <w:pStyle w:val="NoSpacing"/>
              <w:jc w:val="center"/>
            </w:pPr>
            <w:r>
              <w:t>65 to 74</w:t>
            </w:r>
          </w:p>
        </w:tc>
        <w:tc>
          <w:tcPr>
            <w:tcW w:w="1445" w:type="dxa"/>
            <w:tcBorders>
              <w:bottom w:val="single" w:sz="4" w:space="0" w:color="auto"/>
              <w:right w:val="nil"/>
            </w:tcBorders>
          </w:tcPr>
          <w:p w14:paraId="489BF454" w14:textId="77777777" w:rsidR="002B61A7" w:rsidRDefault="002B61A7" w:rsidP="0015446E">
            <w:pPr>
              <w:pStyle w:val="NoSpacing"/>
              <w:jc w:val="center"/>
            </w:pPr>
            <w:r>
              <w:t>23</w:t>
            </w:r>
          </w:p>
          <w:p w14:paraId="21F91209" w14:textId="77777777" w:rsidR="002B61A7" w:rsidRDefault="002B61A7" w:rsidP="0015446E">
            <w:pPr>
              <w:pStyle w:val="NoSpacing"/>
              <w:jc w:val="center"/>
            </w:pPr>
            <w:r>
              <w:t>(5.5)</w:t>
            </w:r>
          </w:p>
        </w:tc>
        <w:tc>
          <w:tcPr>
            <w:tcW w:w="1309" w:type="dxa"/>
            <w:tcBorders>
              <w:left w:val="nil"/>
              <w:bottom w:val="single" w:sz="4" w:space="0" w:color="auto"/>
              <w:right w:val="nil"/>
            </w:tcBorders>
          </w:tcPr>
          <w:p w14:paraId="6B359CBD" w14:textId="77777777" w:rsidR="002B61A7" w:rsidRDefault="002B61A7" w:rsidP="0015446E">
            <w:pPr>
              <w:pStyle w:val="NoSpacing"/>
              <w:jc w:val="center"/>
            </w:pPr>
            <w:r>
              <w:t>397</w:t>
            </w:r>
          </w:p>
          <w:p w14:paraId="02CAE4B7" w14:textId="77777777" w:rsidR="002B61A7" w:rsidRDefault="002B61A7" w:rsidP="0015446E">
            <w:pPr>
              <w:pStyle w:val="NoSpacing"/>
              <w:jc w:val="center"/>
            </w:pPr>
            <w:r>
              <w:t>(94.5)</w:t>
            </w:r>
          </w:p>
        </w:tc>
        <w:tc>
          <w:tcPr>
            <w:tcW w:w="1935" w:type="dxa"/>
            <w:tcBorders>
              <w:left w:val="nil"/>
              <w:bottom w:val="single" w:sz="4" w:space="0" w:color="auto"/>
              <w:right w:val="nil"/>
            </w:tcBorders>
          </w:tcPr>
          <w:p w14:paraId="3CB5033E" w14:textId="77777777" w:rsidR="002B61A7" w:rsidRDefault="002B61A7" w:rsidP="0015446E">
            <w:pPr>
              <w:pStyle w:val="NoSpacing"/>
              <w:jc w:val="center"/>
            </w:pPr>
            <w:r>
              <w:t>0.27</w:t>
            </w:r>
          </w:p>
          <w:p w14:paraId="074A354D" w14:textId="77777777" w:rsidR="002B61A7" w:rsidRDefault="002B61A7" w:rsidP="0015446E">
            <w:pPr>
              <w:pStyle w:val="NoSpacing"/>
              <w:jc w:val="center"/>
            </w:pPr>
            <w:r>
              <w:t>(0.17 to 0.42)</w:t>
            </w:r>
          </w:p>
        </w:tc>
        <w:tc>
          <w:tcPr>
            <w:tcW w:w="828" w:type="dxa"/>
            <w:tcBorders>
              <w:left w:val="nil"/>
              <w:bottom w:val="single" w:sz="4" w:space="0" w:color="auto"/>
              <w:right w:val="nil"/>
            </w:tcBorders>
          </w:tcPr>
          <w:p w14:paraId="44EB71EF" w14:textId="77777777" w:rsidR="002B61A7" w:rsidRDefault="002B61A7" w:rsidP="0015446E">
            <w:pPr>
              <w:pStyle w:val="NoSpacing"/>
              <w:jc w:val="center"/>
            </w:pPr>
            <w:r>
              <w:t>&lt;0.001</w:t>
            </w:r>
          </w:p>
        </w:tc>
        <w:tc>
          <w:tcPr>
            <w:tcW w:w="1858" w:type="dxa"/>
            <w:tcBorders>
              <w:left w:val="nil"/>
              <w:bottom w:val="single" w:sz="4" w:space="0" w:color="auto"/>
              <w:right w:val="nil"/>
            </w:tcBorders>
          </w:tcPr>
          <w:p w14:paraId="177EC90D" w14:textId="77777777" w:rsidR="002B61A7" w:rsidRDefault="002B61A7" w:rsidP="0015446E">
            <w:pPr>
              <w:pStyle w:val="NoSpacing"/>
              <w:jc w:val="center"/>
            </w:pPr>
            <w:r>
              <w:t>0.39</w:t>
            </w:r>
          </w:p>
          <w:p w14:paraId="75F3A86C" w14:textId="77777777" w:rsidR="002B61A7" w:rsidRDefault="002B61A7" w:rsidP="0015446E">
            <w:pPr>
              <w:pStyle w:val="NoSpacing"/>
              <w:jc w:val="center"/>
            </w:pPr>
            <w:r>
              <w:t>(0.19 to 0.83)</w:t>
            </w:r>
          </w:p>
        </w:tc>
        <w:tc>
          <w:tcPr>
            <w:tcW w:w="828" w:type="dxa"/>
            <w:tcBorders>
              <w:left w:val="nil"/>
              <w:bottom w:val="single" w:sz="4" w:space="0" w:color="auto"/>
            </w:tcBorders>
          </w:tcPr>
          <w:p w14:paraId="1F9139FD" w14:textId="77777777" w:rsidR="002B61A7" w:rsidRDefault="002B61A7" w:rsidP="0015446E">
            <w:pPr>
              <w:pStyle w:val="NoSpacing"/>
              <w:jc w:val="center"/>
            </w:pPr>
            <w:r>
              <w:t>0.015</w:t>
            </w:r>
          </w:p>
        </w:tc>
      </w:tr>
      <w:tr w:rsidR="002B61A7" w14:paraId="778AFB74" w14:textId="77777777" w:rsidTr="00EF3D83">
        <w:tc>
          <w:tcPr>
            <w:tcW w:w="1690" w:type="dxa"/>
            <w:tcBorders>
              <w:top w:val="nil"/>
              <w:bottom w:val="single" w:sz="4" w:space="0" w:color="auto"/>
            </w:tcBorders>
          </w:tcPr>
          <w:p w14:paraId="06B3B3F8" w14:textId="77777777" w:rsidR="002B61A7" w:rsidRDefault="002B61A7" w:rsidP="0015446E">
            <w:pPr>
              <w:pStyle w:val="NoSpacing"/>
              <w:jc w:val="center"/>
            </w:pPr>
            <w:r>
              <w:t>75+</w:t>
            </w:r>
          </w:p>
        </w:tc>
        <w:tc>
          <w:tcPr>
            <w:tcW w:w="1445" w:type="dxa"/>
            <w:tcBorders>
              <w:bottom w:val="single" w:sz="4" w:space="0" w:color="auto"/>
              <w:right w:val="nil"/>
            </w:tcBorders>
          </w:tcPr>
          <w:p w14:paraId="370BE193" w14:textId="77777777" w:rsidR="002B61A7" w:rsidRDefault="002B61A7" w:rsidP="0015446E">
            <w:pPr>
              <w:pStyle w:val="NoSpacing"/>
              <w:jc w:val="center"/>
            </w:pPr>
            <w:r>
              <w:t>9</w:t>
            </w:r>
          </w:p>
          <w:p w14:paraId="5DD98BE2" w14:textId="77777777" w:rsidR="002B61A7" w:rsidRDefault="002B61A7" w:rsidP="0015446E">
            <w:pPr>
              <w:pStyle w:val="NoSpacing"/>
              <w:jc w:val="center"/>
            </w:pPr>
            <w:r>
              <w:t>(2.5)</w:t>
            </w:r>
          </w:p>
        </w:tc>
        <w:tc>
          <w:tcPr>
            <w:tcW w:w="1309" w:type="dxa"/>
            <w:tcBorders>
              <w:left w:val="nil"/>
              <w:bottom w:val="single" w:sz="4" w:space="0" w:color="auto"/>
              <w:right w:val="nil"/>
            </w:tcBorders>
          </w:tcPr>
          <w:p w14:paraId="7DD841E0" w14:textId="77777777" w:rsidR="002B61A7" w:rsidRDefault="002B61A7" w:rsidP="0015446E">
            <w:pPr>
              <w:pStyle w:val="NoSpacing"/>
              <w:jc w:val="center"/>
            </w:pPr>
            <w:r>
              <w:t>350</w:t>
            </w:r>
          </w:p>
          <w:p w14:paraId="6C643A57" w14:textId="77777777" w:rsidR="002B61A7" w:rsidRDefault="002B61A7" w:rsidP="0015446E">
            <w:pPr>
              <w:pStyle w:val="NoSpacing"/>
              <w:jc w:val="center"/>
            </w:pPr>
            <w:r>
              <w:t>(97.5)</w:t>
            </w:r>
          </w:p>
        </w:tc>
        <w:tc>
          <w:tcPr>
            <w:tcW w:w="1935" w:type="dxa"/>
            <w:tcBorders>
              <w:left w:val="nil"/>
              <w:bottom w:val="single" w:sz="4" w:space="0" w:color="auto"/>
              <w:right w:val="nil"/>
            </w:tcBorders>
          </w:tcPr>
          <w:p w14:paraId="5C1F0122" w14:textId="77777777" w:rsidR="002B61A7" w:rsidRDefault="002B61A7" w:rsidP="0015446E">
            <w:pPr>
              <w:pStyle w:val="NoSpacing"/>
              <w:jc w:val="center"/>
            </w:pPr>
            <w:r>
              <w:t>0.12</w:t>
            </w:r>
          </w:p>
          <w:p w14:paraId="2C7B53FD" w14:textId="77777777" w:rsidR="002B61A7" w:rsidRDefault="002B61A7" w:rsidP="0015446E">
            <w:pPr>
              <w:pStyle w:val="NoSpacing"/>
              <w:jc w:val="center"/>
            </w:pPr>
            <w:r>
              <w:t>(0.06 to 0.24)</w:t>
            </w:r>
          </w:p>
        </w:tc>
        <w:tc>
          <w:tcPr>
            <w:tcW w:w="828" w:type="dxa"/>
            <w:tcBorders>
              <w:left w:val="nil"/>
              <w:bottom w:val="single" w:sz="4" w:space="0" w:color="auto"/>
              <w:right w:val="nil"/>
            </w:tcBorders>
          </w:tcPr>
          <w:p w14:paraId="1251D433" w14:textId="77777777" w:rsidR="002B61A7" w:rsidRDefault="002B61A7" w:rsidP="0015446E">
            <w:pPr>
              <w:pStyle w:val="NoSpacing"/>
              <w:jc w:val="center"/>
            </w:pPr>
            <w:r>
              <w:t>&lt;0.001</w:t>
            </w:r>
          </w:p>
        </w:tc>
        <w:tc>
          <w:tcPr>
            <w:tcW w:w="1858" w:type="dxa"/>
            <w:tcBorders>
              <w:left w:val="nil"/>
              <w:bottom w:val="single" w:sz="4" w:space="0" w:color="auto"/>
              <w:right w:val="nil"/>
            </w:tcBorders>
          </w:tcPr>
          <w:p w14:paraId="68466059" w14:textId="77777777" w:rsidR="002B61A7" w:rsidRDefault="002B61A7" w:rsidP="0015446E">
            <w:pPr>
              <w:pStyle w:val="NoSpacing"/>
              <w:jc w:val="center"/>
            </w:pPr>
            <w:r>
              <w:t>0.19</w:t>
            </w:r>
          </w:p>
          <w:p w14:paraId="6EEB1C88" w14:textId="77777777" w:rsidR="002B61A7" w:rsidRDefault="002B61A7" w:rsidP="0015446E">
            <w:pPr>
              <w:pStyle w:val="NoSpacing"/>
              <w:jc w:val="center"/>
            </w:pPr>
            <w:r>
              <w:t>(0.07 to 0.48)</w:t>
            </w:r>
          </w:p>
        </w:tc>
        <w:tc>
          <w:tcPr>
            <w:tcW w:w="828" w:type="dxa"/>
            <w:tcBorders>
              <w:left w:val="nil"/>
              <w:bottom w:val="single" w:sz="4" w:space="0" w:color="auto"/>
            </w:tcBorders>
          </w:tcPr>
          <w:p w14:paraId="4CB28451" w14:textId="77777777" w:rsidR="002B61A7" w:rsidRDefault="002B61A7" w:rsidP="0015446E">
            <w:pPr>
              <w:pStyle w:val="NoSpacing"/>
              <w:jc w:val="center"/>
            </w:pPr>
            <w:r>
              <w:t>0.001</w:t>
            </w:r>
          </w:p>
        </w:tc>
      </w:tr>
      <w:tr w:rsidR="002B61A7" w14:paraId="24067D75" w14:textId="77777777" w:rsidTr="00EF3D83">
        <w:tc>
          <w:tcPr>
            <w:tcW w:w="1690" w:type="dxa"/>
            <w:tcBorders>
              <w:bottom w:val="single" w:sz="4" w:space="0" w:color="auto"/>
              <w:right w:val="nil"/>
            </w:tcBorders>
            <w:shd w:val="clear" w:color="auto" w:fill="BFBFBF" w:themeFill="background1" w:themeFillShade="BF"/>
          </w:tcPr>
          <w:p w14:paraId="29DD7DCA" w14:textId="77777777" w:rsidR="002B61A7" w:rsidRDefault="002B61A7" w:rsidP="0015446E">
            <w:pPr>
              <w:pStyle w:val="NoSpacing"/>
              <w:jc w:val="center"/>
            </w:pPr>
            <w:r>
              <w:t xml:space="preserve">Gender </w:t>
            </w:r>
          </w:p>
          <w:p w14:paraId="312F708C" w14:textId="77777777" w:rsidR="002B61A7" w:rsidRDefault="002B61A7" w:rsidP="0015446E">
            <w:pPr>
              <w:pStyle w:val="NoSpacing"/>
              <w:jc w:val="center"/>
            </w:pPr>
            <w:r>
              <w:t>n=3789</w:t>
            </w:r>
          </w:p>
        </w:tc>
        <w:tc>
          <w:tcPr>
            <w:tcW w:w="1445" w:type="dxa"/>
            <w:tcBorders>
              <w:left w:val="nil"/>
              <w:bottom w:val="single" w:sz="4" w:space="0" w:color="auto"/>
              <w:right w:val="nil"/>
            </w:tcBorders>
            <w:shd w:val="clear" w:color="auto" w:fill="BFBFBF" w:themeFill="background1" w:themeFillShade="BF"/>
          </w:tcPr>
          <w:p w14:paraId="03FD6D40" w14:textId="77777777" w:rsidR="002B61A7" w:rsidRDefault="002B61A7" w:rsidP="0015446E">
            <w:pPr>
              <w:pStyle w:val="NoSpacing"/>
              <w:jc w:val="center"/>
            </w:pPr>
          </w:p>
        </w:tc>
        <w:tc>
          <w:tcPr>
            <w:tcW w:w="1309" w:type="dxa"/>
            <w:tcBorders>
              <w:left w:val="nil"/>
              <w:bottom w:val="single" w:sz="4" w:space="0" w:color="auto"/>
              <w:right w:val="nil"/>
            </w:tcBorders>
            <w:shd w:val="clear" w:color="auto" w:fill="BFBFBF" w:themeFill="background1" w:themeFillShade="BF"/>
          </w:tcPr>
          <w:p w14:paraId="2C54E12E" w14:textId="77777777" w:rsidR="002B61A7" w:rsidRDefault="002B61A7" w:rsidP="0015446E">
            <w:pPr>
              <w:pStyle w:val="NoSpacing"/>
              <w:jc w:val="center"/>
            </w:pPr>
          </w:p>
        </w:tc>
        <w:tc>
          <w:tcPr>
            <w:tcW w:w="1935" w:type="dxa"/>
            <w:tcBorders>
              <w:left w:val="nil"/>
              <w:bottom w:val="single" w:sz="4" w:space="0" w:color="auto"/>
              <w:right w:val="nil"/>
            </w:tcBorders>
            <w:shd w:val="clear" w:color="auto" w:fill="BFBFBF" w:themeFill="background1" w:themeFillShade="BF"/>
          </w:tcPr>
          <w:p w14:paraId="4F4F6CA3" w14:textId="77777777" w:rsidR="002B61A7" w:rsidRDefault="002B61A7" w:rsidP="0015446E">
            <w:pPr>
              <w:pStyle w:val="NoSpacing"/>
              <w:jc w:val="center"/>
            </w:pPr>
          </w:p>
        </w:tc>
        <w:tc>
          <w:tcPr>
            <w:tcW w:w="828" w:type="dxa"/>
            <w:tcBorders>
              <w:left w:val="nil"/>
              <w:bottom w:val="single" w:sz="4" w:space="0" w:color="auto"/>
              <w:right w:val="nil"/>
            </w:tcBorders>
            <w:shd w:val="clear" w:color="auto" w:fill="BFBFBF" w:themeFill="background1" w:themeFillShade="BF"/>
          </w:tcPr>
          <w:p w14:paraId="35079BA2" w14:textId="77777777" w:rsidR="002B61A7" w:rsidRDefault="002B61A7" w:rsidP="0015446E">
            <w:pPr>
              <w:pStyle w:val="NoSpacing"/>
              <w:jc w:val="center"/>
            </w:pPr>
          </w:p>
        </w:tc>
        <w:tc>
          <w:tcPr>
            <w:tcW w:w="1858" w:type="dxa"/>
            <w:tcBorders>
              <w:left w:val="nil"/>
              <w:bottom w:val="single" w:sz="4" w:space="0" w:color="auto"/>
              <w:right w:val="nil"/>
            </w:tcBorders>
            <w:shd w:val="clear" w:color="auto" w:fill="BFBFBF" w:themeFill="background1" w:themeFillShade="BF"/>
          </w:tcPr>
          <w:p w14:paraId="7FEA5756" w14:textId="77777777" w:rsidR="002B61A7" w:rsidRDefault="002B61A7" w:rsidP="0015446E">
            <w:pPr>
              <w:pStyle w:val="NoSpacing"/>
              <w:jc w:val="center"/>
            </w:pPr>
          </w:p>
        </w:tc>
        <w:tc>
          <w:tcPr>
            <w:tcW w:w="828" w:type="dxa"/>
            <w:tcBorders>
              <w:left w:val="nil"/>
              <w:bottom w:val="single" w:sz="4" w:space="0" w:color="auto"/>
            </w:tcBorders>
            <w:shd w:val="clear" w:color="auto" w:fill="BFBFBF" w:themeFill="background1" w:themeFillShade="BF"/>
          </w:tcPr>
          <w:p w14:paraId="5C257501" w14:textId="77777777" w:rsidR="002B61A7" w:rsidRDefault="002B61A7" w:rsidP="0015446E">
            <w:pPr>
              <w:pStyle w:val="NoSpacing"/>
              <w:jc w:val="center"/>
            </w:pPr>
          </w:p>
        </w:tc>
      </w:tr>
      <w:tr w:rsidR="002B61A7" w14:paraId="675816A3" w14:textId="77777777" w:rsidTr="00EF3D83">
        <w:tc>
          <w:tcPr>
            <w:tcW w:w="1690" w:type="dxa"/>
            <w:tcBorders>
              <w:bottom w:val="nil"/>
            </w:tcBorders>
          </w:tcPr>
          <w:p w14:paraId="2807C008" w14:textId="77777777" w:rsidR="002B61A7" w:rsidRDefault="002B61A7" w:rsidP="0015446E">
            <w:pPr>
              <w:pStyle w:val="NoSpacing"/>
              <w:jc w:val="center"/>
            </w:pPr>
            <w:r>
              <w:t>Male</w:t>
            </w:r>
          </w:p>
        </w:tc>
        <w:tc>
          <w:tcPr>
            <w:tcW w:w="1445" w:type="dxa"/>
            <w:tcBorders>
              <w:bottom w:val="single" w:sz="4" w:space="0" w:color="auto"/>
              <w:right w:val="nil"/>
            </w:tcBorders>
          </w:tcPr>
          <w:p w14:paraId="4C5EB42B" w14:textId="77777777" w:rsidR="002B61A7" w:rsidRDefault="002B61A7" w:rsidP="0015446E">
            <w:pPr>
              <w:pStyle w:val="NoSpacing"/>
              <w:jc w:val="center"/>
            </w:pPr>
            <w:r>
              <w:t>379</w:t>
            </w:r>
          </w:p>
          <w:p w14:paraId="6832B77A" w14:textId="77777777" w:rsidR="002B61A7" w:rsidRDefault="002B61A7" w:rsidP="0015446E">
            <w:pPr>
              <w:pStyle w:val="NoSpacing"/>
              <w:jc w:val="center"/>
            </w:pPr>
            <w:r>
              <w:t>(19.5)</w:t>
            </w:r>
          </w:p>
        </w:tc>
        <w:tc>
          <w:tcPr>
            <w:tcW w:w="1309" w:type="dxa"/>
            <w:tcBorders>
              <w:left w:val="nil"/>
              <w:bottom w:val="single" w:sz="4" w:space="0" w:color="auto"/>
              <w:right w:val="nil"/>
            </w:tcBorders>
          </w:tcPr>
          <w:p w14:paraId="7CB5A5B3" w14:textId="77777777" w:rsidR="002B61A7" w:rsidRDefault="002B61A7" w:rsidP="0015446E">
            <w:pPr>
              <w:pStyle w:val="NoSpacing"/>
              <w:jc w:val="center"/>
            </w:pPr>
            <w:r>
              <w:t>1565</w:t>
            </w:r>
          </w:p>
          <w:p w14:paraId="5FA2B0D2" w14:textId="77777777" w:rsidR="002B61A7" w:rsidRDefault="002B61A7" w:rsidP="0015446E">
            <w:pPr>
              <w:pStyle w:val="NoSpacing"/>
              <w:jc w:val="center"/>
            </w:pPr>
            <w:r>
              <w:t>(80.5)</w:t>
            </w:r>
          </w:p>
        </w:tc>
        <w:tc>
          <w:tcPr>
            <w:tcW w:w="1935" w:type="dxa"/>
            <w:tcBorders>
              <w:left w:val="nil"/>
              <w:bottom w:val="single" w:sz="4" w:space="0" w:color="auto"/>
              <w:right w:val="nil"/>
            </w:tcBorders>
          </w:tcPr>
          <w:p w14:paraId="7F665E99" w14:textId="77777777" w:rsidR="002B61A7" w:rsidRDefault="002B61A7" w:rsidP="0015446E">
            <w:pPr>
              <w:pStyle w:val="NoSpacing"/>
              <w:jc w:val="center"/>
            </w:pPr>
            <w:r>
              <w:t>Ref</w:t>
            </w:r>
          </w:p>
        </w:tc>
        <w:tc>
          <w:tcPr>
            <w:tcW w:w="828" w:type="dxa"/>
            <w:tcBorders>
              <w:left w:val="nil"/>
              <w:bottom w:val="single" w:sz="4" w:space="0" w:color="auto"/>
              <w:right w:val="nil"/>
            </w:tcBorders>
          </w:tcPr>
          <w:p w14:paraId="15480C85" w14:textId="77777777" w:rsidR="002B61A7" w:rsidRDefault="002B61A7" w:rsidP="0015446E">
            <w:pPr>
              <w:pStyle w:val="NoSpacing"/>
              <w:jc w:val="center"/>
            </w:pPr>
          </w:p>
        </w:tc>
        <w:tc>
          <w:tcPr>
            <w:tcW w:w="1858" w:type="dxa"/>
            <w:tcBorders>
              <w:left w:val="nil"/>
              <w:bottom w:val="single" w:sz="4" w:space="0" w:color="auto"/>
              <w:right w:val="nil"/>
            </w:tcBorders>
          </w:tcPr>
          <w:p w14:paraId="08150464" w14:textId="77777777" w:rsidR="002B61A7" w:rsidRDefault="002B61A7" w:rsidP="0015446E">
            <w:pPr>
              <w:pStyle w:val="NoSpacing"/>
              <w:jc w:val="center"/>
            </w:pPr>
            <w:r>
              <w:t>Ref</w:t>
            </w:r>
          </w:p>
        </w:tc>
        <w:tc>
          <w:tcPr>
            <w:tcW w:w="828" w:type="dxa"/>
            <w:tcBorders>
              <w:left w:val="nil"/>
              <w:bottom w:val="single" w:sz="4" w:space="0" w:color="auto"/>
            </w:tcBorders>
          </w:tcPr>
          <w:p w14:paraId="29561B0A" w14:textId="77777777" w:rsidR="002B61A7" w:rsidRDefault="002B61A7" w:rsidP="0015446E">
            <w:pPr>
              <w:pStyle w:val="NoSpacing"/>
              <w:jc w:val="center"/>
            </w:pPr>
          </w:p>
        </w:tc>
      </w:tr>
      <w:tr w:rsidR="002B61A7" w14:paraId="01E7BFCD" w14:textId="77777777" w:rsidTr="00EF3D83">
        <w:tc>
          <w:tcPr>
            <w:tcW w:w="1690" w:type="dxa"/>
            <w:tcBorders>
              <w:top w:val="nil"/>
              <w:bottom w:val="single" w:sz="4" w:space="0" w:color="auto"/>
            </w:tcBorders>
          </w:tcPr>
          <w:p w14:paraId="39695A69" w14:textId="77777777" w:rsidR="002B61A7" w:rsidRDefault="002B61A7" w:rsidP="0015446E">
            <w:pPr>
              <w:pStyle w:val="NoSpacing"/>
              <w:jc w:val="center"/>
            </w:pPr>
            <w:r>
              <w:t>Female</w:t>
            </w:r>
          </w:p>
        </w:tc>
        <w:tc>
          <w:tcPr>
            <w:tcW w:w="1445" w:type="dxa"/>
            <w:tcBorders>
              <w:bottom w:val="single" w:sz="4" w:space="0" w:color="auto"/>
              <w:right w:val="nil"/>
            </w:tcBorders>
          </w:tcPr>
          <w:p w14:paraId="19BE36E7" w14:textId="77777777" w:rsidR="002B61A7" w:rsidRDefault="002B61A7" w:rsidP="0015446E">
            <w:pPr>
              <w:pStyle w:val="NoSpacing"/>
              <w:jc w:val="center"/>
            </w:pPr>
            <w:r>
              <w:t>164</w:t>
            </w:r>
          </w:p>
          <w:p w14:paraId="314CFDB5" w14:textId="77777777" w:rsidR="002B61A7" w:rsidRDefault="002B61A7" w:rsidP="0015446E">
            <w:pPr>
              <w:pStyle w:val="NoSpacing"/>
              <w:jc w:val="center"/>
            </w:pPr>
            <w:r>
              <w:t>(8.9)</w:t>
            </w:r>
          </w:p>
        </w:tc>
        <w:tc>
          <w:tcPr>
            <w:tcW w:w="1309" w:type="dxa"/>
            <w:tcBorders>
              <w:left w:val="nil"/>
              <w:bottom w:val="single" w:sz="4" w:space="0" w:color="auto"/>
              <w:right w:val="nil"/>
            </w:tcBorders>
          </w:tcPr>
          <w:p w14:paraId="71ADCEA9" w14:textId="77777777" w:rsidR="002B61A7" w:rsidRDefault="002B61A7" w:rsidP="0015446E">
            <w:pPr>
              <w:pStyle w:val="NoSpacing"/>
              <w:jc w:val="center"/>
            </w:pPr>
            <w:r>
              <w:t>1681</w:t>
            </w:r>
          </w:p>
          <w:p w14:paraId="33DE154B" w14:textId="77777777" w:rsidR="002B61A7" w:rsidRDefault="002B61A7" w:rsidP="0015446E">
            <w:pPr>
              <w:pStyle w:val="NoSpacing"/>
              <w:jc w:val="center"/>
            </w:pPr>
            <w:r>
              <w:t>(91.1)</w:t>
            </w:r>
          </w:p>
        </w:tc>
        <w:tc>
          <w:tcPr>
            <w:tcW w:w="1935" w:type="dxa"/>
            <w:tcBorders>
              <w:left w:val="nil"/>
              <w:bottom w:val="single" w:sz="4" w:space="0" w:color="auto"/>
              <w:right w:val="nil"/>
            </w:tcBorders>
          </w:tcPr>
          <w:p w14:paraId="69E3A74D" w14:textId="77777777" w:rsidR="002B61A7" w:rsidRDefault="002B61A7" w:rsidP="0015446E">
            <w:pPr>
              <w:pStyle w:val="NoSpacing"/>
              <w:jc w:val="center"/>
            </w:pPr>
            <w:r>
              <w:t>0.40</w:t>
            </w:r>
          </w:p>
          <w:p w14:paraId="5D9612A2" w14:textId="77777777" w:rsidR="002B61A7" w:rsidRDefault="002B61A7" w:rsidP="0015446E">
            <w:pPr>
              <w:pStyle w:val="NoSpacing"/>
              <w:jc w:val="center"/>
            </w:pPr>
            <w:r>
              <w:t>(0.33 to 0.49)</w:t>
            </w:r>
          </w:p>
        </w:tc>
        <w:tc>
          <w:tcPr>
            <w:tcW w:w="828" w:type="dxa"/>
            <w:tcBorders>
              <w:left w:val="nil"/>
              <w:bottom w:val="single" w:sz="4" w:space="0" w:color="auto"/>
              <w:right w:val="nil"/>
            </w:tcBorders>
          </w:tcPr>
          <w:p w14:paraId="6155ACA3" w14:textId="77777777" w:rsidR="002B61A7" w:rsidRDefault="002B61A7" w:rsidP="0015446E">
            <w:pPr>
              <w:pStyle w:val="NoSpacing"/>
              <w:jc w:val="center"/>
            </w:pPr>
            <w:r>
              <w:t>&lt;0.001</w:t>
            </w:r>
          </w:p>
        </w:tc>
        <w:tc>
          <w:tcPr>
            <w:tcW w:w="1858" w:type="dxa"/>
            <w:tcBorders>
              <w:left w:val="nil"/>
              <w:bottom w:val="single" w:sz="4" w:space="0" w:color="auto"/>
              <w:right w:val="nil"/>
            </w:tcBorders>
          </w:tcPr>
          <w:p w14:paraId="2ECCD69D" w14:textId="77777777" w:rsidR="002B61A7" w:rsidRDefault="002B61A7" w:rsidP="0015446E">
            <w:pPr>
              <w:pStyle w:val="NoSpacing"/>
              <w:jc w:val="center"/>
            </w:pPr>
            <w:r>
              <w:t>0.50</w:t>
            </w:r>
          </w:p>
          <w:p w14:paraId="03520002" w14:textId="77777777" w:rsidR="002B61A7" w:rsidRDefault="002B61A7" w:rsidP="0015446E">
            <w:pPr>
              <w:pStyle w:val="NoSpacing"/>
              <w:jc w:val="center"/>
            </w:pPr>
            <w:r>
              <w:t>(0.40 to 0.62)</w:t>
            </w:r>
          </w:p>
        </w:tc>
        <w:tc>
          <w:tcPr>
            <w:tcW w:w="828" w:type="dxa"/>
            <w:tcBorders>
              <w:left w:val="nil"/>
              <w:bottom w:val="single" w:sz="4" w:space="0" w:color="auto"/>
            </w:tcBorders>
          </w:tcPr>
          <w:p w14:paraId="7BD6FE53" w14:textId="77777777" w:rsidR="002B61A7" w:rsidRDefault="002B61A7" w:rsidP="0015446E">
            <w:pPr>
              <w:pStyle w:val="NoSpacing"/>
              <w:jc w:val="center"/>
            </w:pPr>
            <w:r>
              <w:t>&lt;0.001</w:t>
            </w:r>
          </w:p>
        </w:tc>
      </w:tr>
      <w:tr w:rsidR="002B61A7" w14:paraId="052A0E5E" w14:textId="77777777" w:rsidTr="00EF3D83">
        <w:tc>
          <w:tcPr>
            <w:tcW w:w="1690" w:type="dxa"/>
            <w:tcBorders>
              <w:bottom w:val="single" w:sz="4" w:space="0" w:color="auto"/>
              <w:right w:val="nil"/>
            </w:tcBorders>
            <w:shd w:val="clear" w:color="auto" w:fill="BFBFBF" w:themeFill="background1" w:themeFillShade="BF"/>
          </w:tcPr>
          <w:p w14:paraId="32B5D971" w14:textId="77777777" w:rsidR="002B61A7" w:rsidRDefault="002B61A7" w:rsidP="0015446E">
            <w:pPr>
              <w:pStyle w:val="NoSpacing"/>
              <w:jc w:val="center"/>
            </w:pPr>
            <w:r>
              <w:t xml:space="preserve">Ethnicity </w:t>
            </w:r>
          </w:p>
          <w:p w14:paraId="05637FDA" w14:textId="77777777" w:rsidR="002B61A7" w:rsidRDefault="002B61A7" w:rsidP="0015446E">
            <w:pPr>
              <w:pStyle w:val="NoSpacing"/>
              <w:jc w:val="center"/>
            </w:pPr>
            <w:r>
              <w:t>n=3565</w:t>
            </w:r>
          </w:p>
        </w:tc>
        <w:tc>
          <w:tcPr>
            <w:tcW w:w="1445" w:type="dxa"/>
            <w:tcBorders>
              <w:left w:val="nil"/>
              <w:bottom w:val="single" w:sz="4" w:space="0" w:color="auto"/>
              <w:right w:val="nil"/>
            </w:tcBorders>
            <w:shd w:val="clear" w:color="auto" w:fill="BFBFBF" w:themeFill="background1" w:themeFillShade="BF"/>
          </w:tcPr>
          <w:p w14:paraId="552C705D" w14:textId="77777777" w:rsidR="002B61A7" w:rsidRDefault="002B61A7" w:rsidP="0015446E">
            <w:pPr>
              <w:pStyle w:val="NoSpacing"/>
              <w:jc w:val="center"/>
            </w:pPr>
          </w:p>
        </w:tc>
        <w:tc>
          <w:tcPr>
            <w:tcW w:w="1309" w:type="dxa"/>
            <w:tcBorders>
              <w:left w:val="nil"/>
              <w:bottom w:val="single" w:sz="4" w:space="0" w:color="auto"/>
              <w:right w:val="nil"/>
            </w:tcBorders>
            <w:shd w:val="clear" w:color="auto" w:fill="BFBFBF" w:themeFill="background1" w:themeFillShade="BF"/>
          </w:tcPr>
          <w:p w14:paraId="24DF7308" w14:textId="77777777" w:rsidR="002B61A7" w:rsidRDefault="002B61A7" w:rsidP="0015446E">
            <w:pPr>
              <w:pStyle w:val="NoSpacing"/>
              <w:jc w:val="center"/>
            </w:pPr>
          </w:p>
        </w:tc>
        <w:tc>
          <w:tcPr>
            <w:tcW w:w="1935" w:type="dxa"/>
            <w:tcBorders>
              <w:left w:val="nil"/>
              <w:bottom w:val="single" w:sz="4" w:space="0" w:color="auto"/>
              <w:right w:val="nil"/>
            </w:tcBorders>
            <w:shd w:val="clear" w:color="auto" w:fill="BFBFBF" w:themeFill="background1" w:themeFillShade="BF"/>
          </w:tcPr>
          <w:p w14:paraId="2B4CCC2E" w14:textId="77777777" w:rsidR="002B61A7" w:rsidRDefault="002B61A7" w:rsidP="0015446E">
            <w:pPr>
              <w:pStyle w:val="NoSpacing"/>
              <w:jc w:val="center"/>
            </w:pPr>
          </w:p>
        </w:tc>
        <w:tc>
          <w:tcPr>
            <w:tcW w:w="828" w:type="dxa"/>
            <w:tcBorders>
              <w:left w:val="nil"/>
              <w:bottom w:val="single" w:sz="4" w:space="0" w:color="auto"/>
              <w:right w:val="nil"/>
            </w:tcBorders>
            <w:shd w:val="clear" w:color="auto" w:fill="BFBFBF" w:themeFill="background1" w:themeFillShade="BF"/>
          </w:tcPr>
          <w:p w14:paraId="3C41C51F" w14:textId="77777777" w:rsidR="002B61A7" w:rsidRDefault="002B61A7" w:rsidP="0015446E">
            <w:pPr>
              <w:pStyle w:val="NoSpacing"/>
              <w:jc w:val="center"/>
            </w:pPr>
          </w:p>
        </w:tc>
        <w:tc>
          <w:tcPr>
            <w:tcW w:w="1858" w:type="dxa"/>
            <w:tcBorders>
              <w:left w:val="nil"/>
              <w:bottom w:val="single" w:sz="4" w:space="0" w:color="auto"/>
              <w:right w:val="nil"/>
            </w:tcBorders>
            <w:shd w:val="clear" w:color="auto" w:fill="BFBFBF" w:themeFill="background1" w:themeFillShade="BF"/>
          </w:tcPr>
          <w:p w14:paraId="423409E2" w14:textId="77777777" w:rsidR="002B61A7" w:rsidRDefault="002B61A7" w:rsidP="0015446E">
            <w:pPr>
              <w:pStyle w:val="NoSpacing"/>
              <w:jc w:val="center"/>
            </w:pPr>
          </w:p>
        </w:tc>
        <w:tc>
          <w:tcPr>
            <w:tcW w:w="828" w:type="dxa"/>
            <w:tcBorders>
              <w:left w:val="nil"/>
              <w:bottom w:val="single" w:sz="4" w:space="0" w:color="auto"/>
            </w:tcBorders>
            <w:shd w:val="clear" w:color="auto" w:fill="BFBFBF" w:themeFill="background1" w:themeFillShade="BF"/>
          </w:tcPr>
          <w:p w14:paraId="616BF1D9" w14:textId="77777777" w:rsidR="002B61A7" w:rsidRDefault="002B61A7" w:rsidP="0015446E">
            <w:pPr>
              <w:pStyle w:val="NoSpacing"/>
              <w:jc w:val="center"/>
            </w:pPr>
          </w:p>
        </w:tc>
      </w:tr>
      <w:tr w:rsidR="002B61A7" w14:paraId="5102354A" w14:textId="77777777" w:rsidTr="00EF3D83">
        <w:tc>
          <w:tcPr>
            <w:tcW w:w="1690" w:type="dxa"/>
            <w:tcBorders>
              <w:bottom w:val="nil"/>
            </w:tcBorders>
          </w:tcPr>
          <w:p w14:paraId="3975DB47" w14:textId="77777777" w:rsidR="002B61A7" w:rsidRDefault="002B61A7" w:rsidP="0015446E">
            <w:pPr>
              <w:pStyle w:val="NoSpacing"/>
              <w:jc w:val="center"/>
            </w:pPr>
            <w:r>
              <w:t>White</w:t>
            </w:r>
          </w:p>
        </w:tc>
        <w:tc>
          <w:tcPr>
            <w:tcW w:w="1445" w:type="dxa"/>
            <w:tcBorders>
              <w:bottom w:val="single" w:sz="4" w:space="0" w:color="auto"/>
              <w:right w:val="nil"/>
            </w:tcBorders>
          </w:tcPr>
          <w:p w14:paraId="796A164B" w14:textId="77777777" w:rsidR="002B61A7" w:rsidRDefault="002B61A7" w:rsidP="0015446E">
            <w:pPr>
              <w:pStyle w:val="NoSpacing"/>
              <w:jc w:val="center"/>
            </w:pPr>
            <w:r>
              <w:t>457</w:t>
            </w:r>
          </w:p>
          <w:p w14:paraId="75E643D6" w14:textId="77777777" w:rsidR="002B61A7" w:rsidRDefault="002B61A7" w:rsidP="0015446E">
            <w:pPr>
              <w:pStyle w:val="NoSpacing"/>
              <w:jc w:val="center"/>
            </w:pPr>
            <w:r>
              <w:t>(14.3)</w:t>
            </w:r>
          </w:p>
        </w:tc>
        <w:tc>
          <w:tcPr>
            <w:tcW w:w="1309" w:type="dxa"/>
            <w:tcBorders>
              <w:left w:val="nil"/>
              <w:bottom w:val="single" w:sz="4" w:space="0" w:color="auto"/>
              <w:right w:val="nil"/>
            </w:tcBorders>
          </w:tcPr>
          <w:p w14:paraId="1DC56E0B" w14:textId="77777777" w:rsidR="002B61A7" w:rsidRDefault="002B61A7" w:rsidP="0015446E">
            <w:pPr>
              <w:pStyle w:val="NoSpacing"/>
              <w:jc w:val="center"/>
            </w:pPr>
            <w:r>
              <w:t>2737</w:t>
            </w:r>
          </w:p>
          <w:p w14:paraId="3A1B54DE" w14:textId="77777777" w:rsidR="002B61A7" w:rsidRDefault="002B61A7" w:rsidP="0015446E">
            <w:pPr>
              <w:pStyle w:val="NoSpacing"/>
              <w:jc w:val="center"/>
            </w:pPr>
            <w:r>
              <w:t>(85.7)</w:t>
            </w:r>
          </w:p>
        </w:tc>
        <w:tc>
          <w:tcPr>
            <w:tcW w:w="1935" w:type="dxa"/>
            <w:tcBorders>
              <w:left w:val="nil"/>
              <w:bottom w:val="single" w:sz="4" w:space="0" w:color="auto"/>
              <w:right w:val="nil"/>
            </w:tcBorders>
          </w:tcPr>
          <w:p w14:paraId="45939D51" w14:textId="77777777" w:rsidR="002B61A7" w:rsidRDefault="002B61A7" w:rsidP="0015446E">
            <w:pPr>
              <w:pStyle w:val="NoSpacing"/>
              <w:jc w:val="center"/>
            </w:pPr>
            <w:r>
              <w:t>Ref</w:t>
            </w:r>
          </w:p>
        </w:tc>
        <w:tc>
          <w:tcPr>
            <w:tcW w:w="828" w:type="dxa"/>
            <w:tcBorders>
              <w:left w:val="nil"/>
              <w:bottom w:val="single" w:sz="4" w:space="0" w:color="auto"/>
              <w:right w:val="nil"/>
            </w:tcBorders>
          </w:tcPr>
          <w:p w14:paraId="4B071001" w14:textId="77777777" w:rsidR="002B61A7" w:rsidRDefault="002B61A7" w:rsidP="0015446E">
            <w:pPr>
              <w:pStyle w:val="NoSpacing"/>
              <w:jc w:val="center"/>
            </w:pPr>
          </w:p>
        </w:tc>
        <w:tc>
          <w:tcPr>
            <w:tcW w:w="1858" w:type="dxa"/>
            <w:tcBorders>
              <w:left w:val="nil"/>
              <w:bottom w:val="single" w:sz="4" w:space="0" w:color="auto"/>
              <w:right w:val="nil"/>
            </w:tcBorders>
          </w:tcPr>
          <w:p w14:paraId="68FDDF8F" w14:textId="77777777" w:rsidR="002B61A7" w:rsidRDefault="002B61A7" w:rsidP="0015446E">
            <w:pPr>
              <w:pStyle w:val="NoSpacing"/>
              <w:jc w:val="center"/>
            </w:pPr>
            <w:r>
              <w:t>Ref</w:t>
            </w:r>
          </w:p>
        </w:tc>
        <w:tc>
          <w:tcPr>
            <w:tcW w:w="828" w:type="dxa"/>
            <w:tcBorders>
              <w:left w:val="nil"/>
              <w:bottom w:val="single" w:sz="4" w:space="0" w:color="auto"/>
            </w:tcBorders>
          </w:tcPr>
          <w:p w14:paraId="6E76720C" w14:textId="77777777" w:rsidR="002B61A7" w:rsidRDefault="002B61A7" w:rsidP="0015446E">
            <w:pPr>
              <w:pStyle w:val="NoSpacing"/>
              <w:jc w:val="center"/>
            </w:pPr>
          </w:p>
        </w:tc>
      </w:tr>
      <w:tr w:rsidR="002B61A7" w14:paraId="703C5548" w14:textId="77777777" w:rsidTr="00EF3D83">
        <w:tc>
          <w:tcPr>
            <w:tcW w:w="1690" w:type="dxa"/>
            <w:tcBorders>
              <w:top w:val="nil"/>
              <w:bottom w:val="nil"/>
            </w:tcBorders>
          </w:tcPr>
          <w:p w14:paraId="5CC32655" w14:textId="77777777" w:rsidR="002B61A7" w:rsidRDefault="002B61A7" w:rsidP="0015446E">
            <w:pPr>
              <w:pStyle w:val="NoSpacing"/>
              <w:jc w:val="center"/>
            </w:pPr>
            <w:r>
              <w:t>Black</w:t>
            </w:r>
          </w:p>
        </w:tc>
        <w:tc>
          <w:tcPr>
            <w:tcW w:w="1445" w:type="dxa"/>
            <w:tcBorders>
              <w:bottom w:val="single" w:sz="4" w:space="0" w:color="auto"/>
              <w:right w:val="nil"/>
            </w:tcBorders>
          </w:tcPr>
          <w:p w14:paraId="45A26B89" w14:textId="77777777" w:rsidR="002B61A7" w:rsidRDefault="002B61A7" w:rsidP="0015446E">
            <w:pPr>
              <w:pStyle w:val="NoSpacing"/>
              <w:jc w:val="center"/>
            </w:pPr>
            <w:r>
              <w:t>8</w:t>
            </w:r>
          </w:p>
          <w:p w14:paraId="03044CC0" w14:textId="77777777" w:rsidR="002B61A7" w:rsidRDefault="002B61A7" w:rsidP="0015446E">
            <w:pPr>
              <w:pStyle w:val="NoSpacing"/>
              <w:jc w:val="center"/>
            </w:pPr>
            <w:r>
              <w:t>(9.9)</w:t>
            </w:r>
          </w:p>
        </w:tc>
        <w:tc>
          <w:tcPr>
            <w:tcW w:w="1309" w:type="dxa"/>
            <w:tcBorders>
              <w:left w:val="nil"/>
              <w:bottom w:val="single" w:sz="4" w:space="0" w:color="auto"/>
              <w:right w:val="nil"/>
            </w:tcBorders>
          </w:tcPr>
          <w:p w14:paraId="57011D64" w14:textId="77777777" w:rsidR="002B61A7" w:rsidRDefault="002B61A7" w:rsidP="0015446E">
            <w:pPr>
              <w:pStyle w:val="NoSpacing"/>
              <w:jc w:val="center"/>
            </w:pPr>
            <w:r>
              <w:t>73</w:t>
            </w:r>
          </w:p>
          <w:p w14:paraId="60D175A5" w14:textId="77777777" w:rsidR="002B61A7" w:rsidRDefault="002B61A7" w:rsidP="0015446E">
            <w:pPr>
              <w:pStyle w:val="NoSpacing"/>
              <w:jc w:val="center"/>
            </w:pPr>
            <w:r>
              <w:t>(90.1)</w:t>
            </w:r>
          </w:p>
        </w:tc>
        <w:tc>
          <w:tcPr>
            <w:tcW w:w="1935" w:type="dxa"/>
            <w:tcBorders>
              <w:left w:val="nil"/>
              <w:bottom w:val="single" w:sz="4" w:space="0" w:color="auto"/>
              <w:right w:val="nil"/>
            </w:tcBorders>
          </w:tcPr>
          <w:p w14:paraId="5E9B367F" w14:textId="77777777" w:rsidR="002B61A7" w:rsidRDefault="002B61A7" w:rsidP="0015446E">
            <w:pPr>
              <w:pStyle w:val="NoSpacing"/>
              <w:jc w:val="center"/>
            </w:pPr>
            <w:r>
              <w:t>0.66</w:t>
            </w:r>
          </w:p>
          <w:p w14:paraId="03869423" w14:textId="77777777" w:rsidR="002B61A7" w:rsidRDefault="002B61A7" w:rsidP="0015446E">
            <w:pPr>
              <w:pStyle w:val="NoSpacing"/>
              <w:jc w:val="center"/>
            </w:pPr>
            <w:r>
              <w:t>(0.31 to 1.37)</w:t>
            </w:r>
          </w:p>
        </w:tc>
        <w:tc>
          <w:tcPr>
            <w:tcW w:w="828" w:type="dxa"/>
            <w:tcBorders>
              <w:left w:val="nil"/>
              <w:bottom w:val="single" w:sz="4" w:space="0" w:color="auto"/>
              <w:right w:val="nil"/>
            </w:tcBorders>
          </w:tcPr>
          <w:p w14:paraId="5CEDA8B4" w14:textId="77777777" w:rsidR="002B61A7" w:rsidRDefault="002B61A7" w:rsidP="0015446E">
            <w:pPr>
              <w:pStyle w:val="NoSpacing"/>
              <w:jc w:val="center"/>
            </w:pPr>
            <w:r>
              <w:t>0.263</w:t>
            </w:r>
          </w:p>
        </w:tc>
        <w:tc>
          <w:tcPr>
            <w:tcW w:w="1858" w:type="dxa"/>
            <w:tcBorders>
              <w:left w:val="nil"/>
              <w:bottom w:val="single" w:sz="4" w:space="0" w:color="auto"/>
              <w:right w:val="nil"/>
            </w:tcBorders>
          </w:tcPr>
          <w:p w14:paraId="246DDEC1" w14:textId="77777777" w:rsidR="002B61A7" w:rsidRDefault="002B61A7" w:rsidP="0015446E">
            <w:pPr>
              <w:pStyle w:val="NoSpacing"/>
              <w:jc w:val="center"/>
            </w:pPr>
            <w:r>
              <w:t>0.46</w:t>
            </w:r>
          </w:p>
          <w:p w14:paraId="26075207" w14:textId="77777777" w:rsidR="002B61A7" w:rsidRDefault="002B61A7" w:rsidP="0015446E">
            <w:pPr>
              <w:pStyle w:val="NoSpacing"/>
              <w:jc w:val="center"/>
            </w:pPr>
            <w:r>
              <w:t>(0.20 to 1.03)</w:t>
            </w:r>
          </w:p>
        </w:tc>
        <w:tc>
          <w:tcPr>
            <w:tcW w:w="828" w:type="dxa"/>
            <w:tcBorders>
              <w:left w:val="nil"/>
              <w:bottom w:val="single" w:sz="4" w:space="0" w:color="auto"/>
            </w:tcBorders>
          </w:tcPr>
          <w:p w14:paraId="01E2AE10" w14:textId="77777777" w:rsidR="002B61A7" w:rsidRDefault="002B61A7" w:rsidP="0015446E">
            <w:pPr>
              <w:pStyle w:val="NoSpacing"/>
              <w:jc w:val="center"/>
            </w:pPr>
            <w:r>
              <w:t>0.059</w:t>
            </w:r>
          </w:p>
        </w:tc>
      </w:tr>
      <w:tr w:rsidR="002B61A7" w14:paraId="3948153B" w14:textId="77777777" w:rsidTr="00EF3D83">
        <w:tc>
          <w:tcPr>
            <w:tcW w:w="1690" w:type="dxa"/>
            <w:tcBorders>
              <w:top w:val="nil"/>
              <w:bottom w:val="nil"/>
            </w:tcBorders>
          </w:tcPr>
          <w:p w14:paraId="55A09136" w14:textId="77777777" w:rsidR="002B61A7" w:rsidRDefault="002B61A7" w:rsidP="0015446E">
            <w:pPr>
              <w:pStyle w:val="NoSpacing"/>
              <w:jc w:val="center"/>
            </w:pPr>
            <w:r>
              <w:t>Asian</w:t>
            </w:r>
          </w:p>
        </w:tc>
        <w:tc>
          <w:tcPr>
            <w:tcW w:w="1445" w:type="dxa"/>
            <w:tcBorders>
              <w:bottom w:val="single" w:sz="4" w:space="0" w:color="auto"/>
              <w:right w:val="nil"/>
            </w:tcBorders>
          </w:tcPr>
          <w:p w14:paraId="0BEF9E4F" w14:textId="77777777" w:rsidR="002B61A7" w:rsidRDefault="002B61A7" w:rsidP="0015446E">
            <w:pPr>
              <w:pStyle w:val="NoSpacing"/>
              <w:jc w:val="center"/>
            </w:pPr>
            <w:r>
              <w:t>22</w:t>
            </w:r>
          </w:p>
          <w:p w14:paraId="02990070" w14:textId="77777777" w:rsidR="002B61A7" w:rsidRDefault="002B61A7" w:rsidP="0015446E">
            <w:pPr>
              <w:pStyle w:val="NoSpacing"/>
              <w:jc w:val="center"/>
            </w:pPr>
            <w:r>
              <w:t>(14.5)</w:t>
            </w:r>
          </w:p>
        </w:tc>
        <w:tc>
          <w:tcPr>
            <w:tcW w:w="1309" w:type="dxa"/>
            <w:tcBorders>
              <w:left w:val="nil"/>
              <w:bottom w:val="single" w:sz="4" w:space="0" w:color="auto"/>
              <w:right w:val="nil"/>
            </w:tcBorders>
          </w:tcPr>
          <w:p w14:paraId="42B283F5" w14:textId="77777777" w:rsidR="002B61A7" w:rsidRDefault="002B61A7" w:rsidP="0015446E">
            <w:pPr>
              <w:pStyle w:val="NoSpacing"/>
              <w:jc w:val="center"/>
            </w:pPr>
            <w:r>
              <w:t>130</w:t>
            </w:r>
          </w:p>
          <w:p w14:paraId="557D1B7B" w14:textId="77777777" w:rsidR="002B61A7" w:rsidRDefault="002B61A7" w:rsidP="0015446E">
            <w:pPr>
              <w:pStyle w:val="NoSpacing"/>
              <w:jc w:val="center"/>
            </w:pPr>
            <w:r>
              <w:t>(85.5)</w:t>
            </w:r>
          </w:p>
        </w:tc>
        <w:tc>
          <w:tcPr>
            <w:tcW w:w="1935" w:type="dxa"/>
            <w:tcBorders>
              <w:left w:val="nil"/>
              <w:bottom w:val="single" w:sz="4" w:space="0" w:color="auto"/>
              <w:right w:val="nil"/>
            </w:tcBorders>
          </w:tcPr>
          <w:p w14:paraId="3B94277C" w14:textId="77777777" w:rsidR="002B61A7" w:rsidRDefault="002B61A7" w:rsidP="0015446E">
            <w:pPr>
              <w:pStyle w:val="NoSpacing"/>
              <w:jc w:val="center"/>
            </w:pPr>
            <w:r>
              <w:t>1.01</w:t>
            </w:r>
          </w:p>
          <w:p w14:paraId="3DBB85CE" w14:textId="77777777" w:rsidR="002B61A7" w:rsidRDefault="002B61A7" w:rsidP="0015446E">
            <w:pPr>
              <w:pStyle w:val="NoSpacing"/>
              <w:jc w:val="center"/>
            </w:pPr>
            <w:r>
              <w:t>(0.64 to 1.61)</w:t>
            </w:r>
          </w:p>
        </w:tc>
        <w:tc>
          <w:tcPr>
            <w:tcW w:w="828" w:type="dxa"/>
            <w:tcBorders>
              <w:left w:val="nil"/>
              <w:bottom w:val="single" w:sz="4" w:space="0" w:color="auto"/>
              <w:right w:val="nil"/>
            </w:tcBorders>
          </w:tcPr>
          <w:p w14:paraId="5E090DCB" w14:textId="77777777" w:rsidR="002B61A7" w:rsidRDefault="002B61A7" w:rsidP="0015446E">
            <w:pPr>
              <w:pStyle w:val="NoSpacing"/>
              <w:jc w:val="center"/>
            </w:pPr>
            <w:r>
              <w:t>0.955</w:t>
            </w:r>
          </w:p>
        </w:tc>
        <w:tc>
          <w:tcPr>
            <w:tcW w:w="1858" w:type="dxa"/>
            <w:tcBorders>
              <w:left w:val="nil"/>
              <w:bottom w:val="single" w:sz="4" w:space="0" w:color="auto"/>
              <w:right w:val="nil"/>
            </w:tcBorders>
          </w:tcPr>
          <w:p w14:paraId="1C631C69" w14:textId="77777777" w:rsidR="002B61A7" w:rsidRDefault="002B61A7" w:rsidP="0015446E">
            <w:pPr>
              <w:pStyle w:val="NoSpacing"/>
              <w:jc w:val="center"/>
            </w:pPr>
            <w:r>
              <w:t>0.70</w:t>
            </w:r>
          </w:p>
          <w:p w14:paraId="21459EB2" w14:textId="77777777" w:rsidR="002B61A7" w:rsidRDefault="002B61A7" w:rsidP="0015446E">
            <w:pPr>
              <w:pStyle w:val="NoSpacing"/>
              <w:jc w:val="center"/>
            </w:pPr>
            <w:r>
              <w:t>(0.41 to 1.18)</w:t>
            </w:r>
          </w:p>
        </w:tc>
        <w:tc>
          <w:tcPr>
            <w:tcW w:w="828" w:type="dxa"/>
            <w:tcBorders>
              <w:left w:val="nil"/>
              <w:bottom w:val="single" w:sz="4" w:space="0" w:color="auto"/>
            </w:tcBorders>
          </w:tcPr>
          <w:p w14:paraId="06E5CF23" w14:textId="77777777" w:rsidR="002B61A7" w:rsidRDefault="002B61A7" w:rsidP="0015446E">
            <w:pPr>
              <w:pStyle w:val="NoSpacing"/>
              <w:jc w:val="center"/>
            </w:pPr>
            <w:r>
              <w:t>0.179</w:t>
            </w:r>
          </w:p>
        </w:tc>
      </w:tr>
      <w:tr w:rsidR="002B61A7" w14:paraId="1305553A" w14:textId="77777777" w:rsidTr="00EF3D83">
        <w:tc>
          <w:tcPr>
            <w:tcW w:w="1690" w:type="dxa"/>
            <w:tcBorders>
              <w:top w:val="nil"/>
              <w:bottom w:val="nil"/>
            </w:tcBorders>
          </w:tcPr>
          <w:p w14:paraId="1D635605" w14:textId="77777777" w:rsidR="002B61A7" w:rsidRDefault="002B61A7" w:rsidP="0015446E">
            <w:pPr>
              <w:pStyle w:val="NoSpacing"/>
              <w:jc w:val="center"/>
            </w:pPr>
            <w:r>
              <w:t>Mixed</w:t>
            </w:r>
          </w:p>
        </w:tc>
        <w:tc>
          <w:tcPr>
            <w:tcW w:w="1445" w:type="dxa"/>
            <w:tcBorders>
              <w:bottom w:val="single" w:sz="4" w:space="0" w:color="auto"/>
              <w:right w:val="nil"/>
            </w:tcBorders>
          </w:tcPr>
          <w:p w14:paraId="06E7D2A4" w14:textId="77777777" w:rsidR="002B61A7" w:rsidRDefault="002B61A7" w:rsidP="0015446E">
            <w:pPr>
              <w:pStyle w:val="NoSpacing"/>
              <w:jc w:val="center"/>
            </w:pPr>
            <w:r>
              <w:t>9</w:t>
            </w:r>
          </w:p>
          <w:p w14:paraId="0688825F" w14:textId="77777777" w:rsidR="002B61A7" w:rsidRDefault="002B61A7" w:rsidP="0015446E">
            <w:pPr>
              <w:pStyle w:val="NoSpacing"/>
              <w:jc w:val="center"/>
            </w:pPr>
            <w:r>
              <w:t>(13.0)</w:t>
            </w:r>
          </w:p>
        </w:tc>
        <w:tc>
          <w:tcPr>
            <w:tcW w:w="1309" w:type="dxa"/>
            <w:tcBorders>
              <w:left w:val="nil"/>
              <w:bottom w:val="single" w:sz="4" w:space="0" w:color="auto"/>
              <w:right w:val="nil"/>
            </w:tcBorders>
          </w:tcPr>
          <w:p w14:paraId="3DFE311B" w14:textId="77777777" w:rsidR="002B61A7" w:rsidRDefault="002B61A7" w:rsidP="0015446E">
            <w:pPr>
              <w:pStyle w:val="NoSpacing"/>
              <w:jc w:val="center"/>
            </w:pPr>
            <w:r>
              <w:t>60</w:t>
            </w:r>
          </w:p>
          <w:p w14:paraId="5BAEB44B" w14:textId="77777777" w:rsidR="002B61A7" w:rsidRDefault="002B61A7" w:rsidP="0015446E">
            <w:pPr>
              <w:pStyle w:val="NoSpacing"/>
              <w:jc w:val="center"/>
            </w:pPr>
            <w:r>
              <w:t>(87.0)</w:t>
            </w:r>
          </w:p>
        </w:tc>
        <w:tc>
          <w:tcPr>
            <w:tcW w:w="1935" w:type="dxa"/>
            <w:tcBorders>
              <w:left w:val="nil"/>
              <w:bottom w:val="single" w:sz="4" w:space="0" w:color="auto"/>
              <w:right w:val="nil"/>
            </w:tcBorders>
          </w:tcPr>
          <w:p w14:paraId="58479921" w14:textId="77777777" w:rsidR="002B61A7" w:rsidRDefault="002B61A7" w:rsidP="0015446E">
            <w:pPr>
              <w:pStyle w:val="NoSpacing"/>
              <w:jc w:val="center"/>
            </w:pPr>
            <w:r>
              <w:t>0.90</w:t>
            </w:r>
          </w:p>
          <w:p w14:paraId="4DCA78CE" w14:textId="77777777" w:rsidR="002B61A7" w:rsidRDefault="002B61A7" w:rsidP="0015446E">
            <w:pPr>
              <w:pStyle w:val="NoSpacing"/>
              <w:jc w:val="center"/>
            </w:pPr>
            <w:r>
              <w:t>(0.44 to 1.82)</w:t>
            </w:r>
          </w:p>
        </w:tc>
        <w:tc>
          <w:tcPr>
            <w:tcW w:w="828" w:type="dxa"/>
            <w:tcBorders>
              <w:left w:val="nil"/>
              <w:bottom w:val="single" w:sz="4" w:space="0" w:color="auto"/>
              <w:right w:val="nil"/>
            </w:tcBorders>
          </w:tcPr>
          <w:p w14:paraId="6B894D4D" w14:textId="77777777" w:rsidR="002B61A7" w:rsidRDefault="002B61A7" w:rsidP="0015446E">
            <w:pPr>
              <w:pStyle w:val="NoSpacing"/>
              <w:jc w:val="center"/>
            </w:pPr>
            <w:r>
              <w:t>0.767</w:t>
            </w:r>
          </w:p>
        </w:tc>
        <w:tc>
          <w:tcPr>
            <w:tcW w:w="1858" w:type="dxa"/>
            <w:tcBorders>
              <w:left w:val="nil"/>
              <w:bottom w:val="single" w:sz="4" w:space="0" w:color="auto"/>
              <w:right w:val="nil"/>
            </w:tcBorders>
          </w:tcPr>
          <w:p w14:paraId="0D677458" w14:textId="77777777" w:rsidR="002B61A7" w:rsidRDefault="002B61A7" w:rsidP="0015446E">
            <w:pPr>
              <w:pStyle w:val="NoSpacing"/>
              <w:jc w:val="center"/>
            </w:pPr>
            <w:r>
              <w:t>0.78</w:t>
            </w:r>
          </w:p>
          <w:p w14:paraId="54E700B3" w14:textId="77777777" w:rsidR="002B61A7" w:rsidRDefault="002B61A7" w:rsidP="0015446E">
            <w:pPr>
              <w:pStyle w:val="NoSpacing"/>
              <w:jc w:val="center"/>
            </w:pPr>
            <w:r>
              <w:t>(0.36 to 1.69)</w:t>
            </w:r>
          </w:p>
        </w:tc>
        <w:tc>
          <w:tcPr>
            <w:tcW w:w="828" w:type="dxa"/>
            <w:tcBorders>
              <w:left w:val="nil"/>
              <w:bottom w:val="single" w:sz="4" w:space="0" w:color="auto"/>
            </w:tcBorders>
          </w:tcPr>
          <w:p w14:paraId="3D12BDBA" w14:textId="77777777" w:rsidR="002B61A7" w:rsidRDefault="002B61A7" w:rsidP="0015446E">
            <w:pPr>
              <w:pStyle w:val="NoSpacing"/>
              <w:jc w:val="center"/>
            </w:pPr>
            <w:r>
              <w:t>0.523</w:t>
            </w:r>
          </w:p>
        </w:tc>
      </w:tr>
      <w:tr w:rsidR="002B61A7" w14:paraId="3110CA06" w14:textId="77777777" w:rsidTr="00EF3D83">
        <w:tc>
          <w:tcPr>
            <w:tcW w:w="1690" w:type="dxa"/>
            <w:tcBorders>
              <w:top w:val="nil"/>
              <w:bottom w:val="single" w:sz="4" w:space="0" w:color="auto"/>
            </w:tcBorders>
          </w:tcPr>
          <w:p w14:paraId="4EA33E94" w14:textId="77777777" w:rsidR="002B61A7" w:rsidRDefault="002B61A7" w:rsidP="0015446E">
            <w:pPr>
              <w:pStyle w:val="NoSpacing"/>
              <w:jc w:val="center"/>
            </w:pPr>
            <w:r>
              <w:t>Other</w:t>
            </w:r>
          </w:p>
        </w:tc>
        <w:tc>
          <w:tcPr>
            <w:tcW w:w="1445" w:type="dxa"/>
            <w:tcBorders>
              <w:bottom w:val="single" w:sz="4" w:space="0" w:color="auto"/>
              <w:right w:val="nil"/>
            </w:tcBorders>
          </w:tcPr>
          <w:p w14:paraId="67A4898E" w14:textId="77777777" w:rsidR="002B61A7" w:rsidRDefault="002B61A7" w:rsidP="0015446E">
            <w:pPr>
              <w:pStyle w:val="NoSpacing"/>
              <w:jc w:val="center"/>
            </w:pPr>
            <w:r>
              <w:t>4</w:t>
            </w:r>
          </w:p>
          <w:p w14:paraId="2E3E0BF7" w14:textId="77777777" w:rsidR="002B61A7" w:rsidRDefault="002B61A7" w:rsidP="0015446E">
            <w:pPr>
              <w:pStyle w:val="NoSpacing"/>
              <w:jc w:val="center"/>
            </w:pPr>
            <w:r>
              <w:t>(5.8)</w:t>
            </w:r>
          </w:p>
        </w:tc>
        <w:tc>
          <w:tcPr>
            <w:tcW w:w="1309" w:type="dxa"/>
            <w:tcBorders>
              <w:left w:val="nil"/>
              <w:bottom w:val="single" w:sz="4" w:space="0" w:color="auto"/>
              <w:right w:val="nil"/>
            </w:tcBorders>
          </w:tcPr>
          <w:p w14:paraId="1D5DD47B" w14:textId="77777777" w:rsidR="002B61A7" w:rsidRDefault="002B61A7" w:rsidP="0015446E">
            <w:pPr>
              <w:pStyle w:val="NoSpacing"/>
              <w:jc w:val="center"/>
            </w:pPr>
            <w:r>
              <w:t>65</w:t>
            </w:r>
          </w:p>
          <w:p w14:paraId="33AD2CAE" w14:textId="77777777" w:rsidR="002B61A7" w:rsidRDefault="002B61A7" w:rsidP="0015446E">
            <w:pPr>
              <w:pStyle w:val="NoSpacing"/>
              <w:jc w:val="center"/>
            </w:pPr>
            <w:r>
              <w:t>(94.2)</w:t>
            </w:r>
          </w:p>
        </w:tc>
        <w:tc>
          <w:tcPr>
            <w:tcW w:w="1935" w:type="dxa"/>
            <w:tcBorders>
              <w:left w:val="nil"/>
              <w:bottom w:val="single" w:sz="4" w:space="0" w:color="auto"/>
              <w:right w:val="nil"/>
            </w:tcBorders>
          </w:tcPr>
          <w:p w14:paraId="1597D951" w14:textId="77777777" w:rsidR="002B61A7" w:rsidRDefault="002B61A7" w:rsidP="0015446E">
            <w:pPr>
              <w:pStyle w:val="NoSpacing"/>
              <w:jc w:val="center"/>
            </w:pPr>
            <w:r>
              <w:t>0.37</w:t>
            </w:r>
          </w:p>
          <w:p w14:paraId="7D78C48D" w14:textId="77777777" w:rsidR="002B61A7" w:rsidRDefault="002B61A7" w:rsidP="0015446E">
            <w:pPr>
              <w:pStyle w:val="NoSpacing"/>
              <w:jc w:val="center"/>
            </w:pPr>
            <w:r>
              <w:t>(0.13 to 1.02)</w:t>
            </w:r>
          </w:p>
        </w:tc>
        <w:tc>
          <w:tcPr>
            <w:tcW w:w="828" w:type="dxa"/>
            <w:tcBorders>
              <w:left w:val="nil"/>
              <w:bottom w:val="single" w:sz="4" w:space="0" w:color="auto"/>
              <w:right w:val="nil"/>
            </w:tcBorders>
          </w:tcPr>
          <w:p w14:paraId="1D19440B" w14:textId="77777777" w:rsidR="002B61A7" w:rsidRDefault="002B61A7" w:rsidP="0015446E">
            <w:pPr>
              <w:pStyle w:val="NoSpacing"/>
              <w:jc w:val="center"/>
            </w:pPr>
            <w:r>
              <w:t>0.054</w:t>
            </w:r>
          </w:p>
        </w:tc>
        <w:tc>
          <w:tcPr>
            <w:tcW w:w="1858" w:type="dxa"/>
            <w:tcBorders>
              <w:left w:val="nil"/>
              <w:bottom w:val="single" w:sz="4" w:space="0" w:color="auto"/>
              <w:right w:val="nil"/>
            </w:tcBorders>
          </w:tcPr>
          <w:p w14:paraId="6D542658" w14:textId="77777777" w:rsidR="002B61A7" w:rsidRDefault="002B61A7" w:rsidP="0015446E">
            <w:pPr>
              <w:pStyle w:val="NoSpacing"/>
              <w:jc w:val="center"/>
            </w:pPr>
            <w:r>
              <w:t>0.34</w:t>
            </w:r>
          </w:p>
          <w:p w14:paraId="505001B1" w14:textId="77777777" w:rsidR="002B61A7" w:rsidRDefault="002B61A7" w:rsidP="0015446E">
            <w:pPr>
              <w:pStyle w:val="NoSpacing"/>
              <w:jc w:val="center"/>
            </w:pPr>
            <w:r>
              <w:t>(0.12 to 0.96)</w:t>
            </w:r>
          </w:p>
        </w:tc>
        <w:tc>
          <w:tcPr>
            <w:tcW w:w="828" w:type="dxa"/>
            <w:tcBorders>
              <w:left w:val="nil"/>
              <w:bottom w:val="single" w:sz="4" w:space="0" w:color="auto"/>
            </w:tcBorders>
          </w:tcPr>
          <w:p w14:paraId="285DC9BB" w14:textId="77777777" w:rsidR="002B61A7" w:rsidRDefault="002B61A7" w:rsidP="0015446E">
            <w:pPr>
              <w:pStyle w:val="NoSpacing"/>
              <w:jc w:val="center"/>
            </w:pPr>
            <w:r>
              <w:t>0.041</w:t>
            </w:r>
          </w:p>
        </w:tc>
      </w:tr>
      <w:tr w:rsidR="00EF3D83" w14:paraId="13FB3F20" w14:textId="77777777" w:rsidTr="00EF3D83">
        <w:tc>
          <w:tcPr>
            <w:tcW w:w="1690" w:type="dxa"/>
            <w:tcBorders>
              <w:bottom w:val="single" w:sz="4" w:space="0" w:color="auto"/>
              <w:right w:val="nil"/>
            </w:tcBorders>
            <w:shd w:val="clear" w:color="auto" w:fill="BFBFBF" w:themeFill="background1" w:themeFillShade="BF"/>
          </w:tcPr>
          <w:p w14:paraId="6C231FC5" w14:textId="4E354B72" w:rsidR="00EF3D83" w:rsidRDefault="00EF3D83" w:rsidP="00EF3D83">
            <w:pPr>
              <w:pStyle w:val="NoSpacing"/>
              <w:jc w:val="center"/>
            </w:pPr>
            <w:bookmarkStart w:id="9" w:name="_Hlk46224845"/>
            <w:r>
              <w:t>Employment n=3305</w:t>
            </w:r>
          </w:p>
        </w:tc>
        <w:tc>
          <w:tcPr>
            <w:tcW w:w="1445" w:type="dxa"/>
            <w:tcBorders>
              <w:left w:val="nil"/>
              <w:bottom w:val="single" w:sz="4" w:space="0" w:color="auto"/>
              <w:right w:val="nil"/>
            </w:tcBorders>
            <w:shd w:val="clear" w:color="auto" w:fill="BFBFBF" w:themeFill="background1" w:themeFillShade="BF"/>
          </w:tcPr>
          <w:p w14:paraId="1A86AF5F" w14:textId="77777777" w:rsidR="00EF3D83" w:rsidRDefault="00EF3D83" w:rsidP="00EF3D83">
            <w:pPr>
              <w:pStyle w:val="NoSpacing"/>
              <w:jc w:val="center"/>
            </w:pPr>
          </w:p>
        </w:tc>
        <w:tc>
          <w:tcPr>
            <w:tcW w:w="1309" w:type="dxa"/>
            <w:tcBorders>
              <w:left w:val="nil"/>
              <w:bottom w:val="single" w:sz="4" w:space="0" w:color="auto"/>
              <w:right w:val="nil"/>
            </w:tcBorders>
            <w:shd w:val="clear" w:color="auto" w:fill="BFBFBF" w:themeFill="background1" w:themeFillShade="BF"/>
          </w:tcPr>
          <w:p w14:paraId="3C028B15" w14:textId="77777777" w:rsidR="00EF3D83" w:rsidRDefault="00EF3D83" w:rsidP="00EF3D83">
            <w:pPr>
              <w:pStyle w:val="NoSpacing"/>
              <w:jc w:val="center"/>
            </w:pPr>
          </w:p>
        </w:tc>
        <w:tc>
          <w:tcPr>
            <w:tcW w:w="1935" w:type="dxa"/>
            <w:tcBorders>
              <w:left w:val="nil"/>
              <w:bottom w:val="single" w:sz="4" w:space="0" w:color="auto"/>
              <w:right w:val="nil"/>
            </w:tcBorders>
            <w:shd w:val="clear" w:color="auto" w:fill="BFBFBF" w:themeFill="background1" w:themeFillShade="BF"/>
          </w:tcPr>
          <w:p w14:paraId="489E679D" w14:textId="77777777" w:rsidR="00EF3D83" w:rsidRDefault="00EF3D83" w:rsidP="00EF3D83">
            <w:pPr>
              <w:pStyle w:val="NoSpacing"/>
              <w:jc w:val="center"/>
            </w:pPr>
          </w:p>
        </w:tc>
        <w:tc>
          <w:tcPr>
            <w:tcW w:w="828" w:type="dxa"/>
            <w:tcBorders>
              <w:left w:val="nil"/>
              <w:bottom w:val="single" w:sz="4" w:space="0" w:color="auto"/>
              <w:right w:val="nil"/>
            </w:tcBorders>
            <w:shd w:val="clear" w:color="auto" w:fill="BFBFBF" w:themeFill="background1" w:themeFillShade="BF"/>
          </w:tcPr>
          <w:p w14:paraId="7FF9DAB5" w14:textId="77777777" w:rsidR="00EF3D83" w:rsidRDefault="00EF3D83" w:rsidP="00EF3D83">
            <w:pPr>
              <w:pStyle w:val="NoSpacing"/>
              <w:jc w:val="center"/>
            </w:pPr>
          </w:p>
        </w:tc>
        <w:tc>
          <w:tcPr>
            <w:tcW w:w="1858" w:type="dxa"/>
            <w:tcBorders>
              <w:left w:val="nil"/>
              <w:bottom w:val="single" w:sz="4" w:space="0" w:color="auto"/>
              <w:right w:val="nil"/>
            </w:tcBorders>
            <w:shd w:val="clear" w:color="auto" w:fill="BFBFBF" w:themeFill="background1" w:themeFillShade="BF"/>
          </w:tcPr>
          <w:p w14:paraId="2F484871" w14:textId="77777777" w:rsidR="00EF3D83" w:rsidRDefault="00EF3D83" w:rsidP="00EF3D83">
            <w:pPr>
              <w:pStyle w:val="NoSpacing"/>
              <w:jc w:val="center"/>
            </w:pPr>
          </w:p>
        </w:tc>
        <w:tc>
          <w:tcPr>
            <w:tcW w:w="828" w:type="dxa"/>
            <w:tcBorders>
              <w:left w:val="nil"/>
              <w:bottom w:val="single" w:sz="4" w:space="0" w:color="auto"/>
            </w:tcBorders>
            <w:shd w:val="clear" w:color="auto" w:fill="BFBFBF" w:themeFill="background1" w:themeFillShade="BF"/>
          </w:tcPr>
          <w:p w14:paraId="030FE61B" w14:textId="77777777" w:rsidR="00EF3D83" w:rsidRDefault="00EF3D83" w:rsidP="00EF3D83">
            <w:pPr>
              <w:pStyle w:val="NoSpacing"/>
              <w:jc w:val="center"/>
            </w:pPr>
          </w:p>
        </w:tc>
      </w:tr>
      <w:tr w:rsidR="00EF3D83" w14:paraId="753576C0" w14:textId="77777777" w:rsidTr="00EF3D83">
        <w:tc>
          <w:tcPr>
            <w:tcW w:w="1690" w:type="dxa"/>
            <w:tcBorders>
              <w:bottom w:val="nil"/>
            </w:tcBorders>
          </w:tcPr>
          <w:p w14:paraId="28B173A3" w14:textId="1A3A412D" w:rsidR="00EF3D83" w:rsidRDefault="00EF3D83" w:rsidP="00EF3D83">
            <w:pPr>
              <w:pStyle w:val="NoSpacing"/>
              <w:jc w:val="center"/>
            </w:pPr>
            <w:r>
              <w:t>Employed</w:t>
            </w:r>
          </w:p>
        </w:tc>
        <w:tc>
          <w:tcPr>
            <w:tcW w:w="1445" w:type="dxa"/>
            <w:tcBorders>
              <w:bottom w:val="single" w:sz="4" w:space="0" w:color="auto"/>
              <w:right w:val="nil"/>
            </w:tcBorders>
          </w:tcPr>
          <w:p w14:paraId="6F296A63" w14:textId="77777777" w:rsidR="00EF3D83" w:rsidRDefault="00EF3D83" w:rsidP="00EF3D83">
            <w:pPr>
              <w:pStyle w:val="NoSpacing"/>
              <w:jc w:val="center"/>
            </w:pPr>
            <w:r>
              <w:t>107</w:t>
            </w:r>
          </w:p>
          <w:p w14:paraId="41BD0800" w14:textId="22E34FED" w:rsidR="00EF3D83" w:rsidRDefault="00EF3D83" w:rsidP="00EF3D83">
            <w:pPr>
              <w:pStyle w:val="NoSpacing"/>
              <w:jc w:val="center"/>
            </w:pPr>
            <w:r>
              <w:t>(12.4)</w:t>
            </w:r>
          </w:p>
        </w:tc>
        <w:tc>
          <w:tcPr>
            <w:tcW w:w="1309" w:type="dxa"/>
            <w:tcBorders>
              <w:left w:val="nil"/>
              <w:bottom w:val="single" w:sz="4" w:space="0" w:color="auto"/>
              <w:right w:val="nil"/>
            </w:tcBorders>
          </w:tcPr>
          <w:p w14:paraId="4F42E588" w14:textId="77777777" w:rsidR="00EF3D83" w:rsidRDefault="00EF3D83" w:rsidP="00EF3D83">
            <w:pPr>
              <w:pStyle w:val="NoSpacing"/>
              <w:jc w:val="center"/>
            </w:pPr>
            <w:r>
              <w:t>753</w:t>
            </w:r>
          </w:p>
          <w:p w14:paraId="7B66E684" w14:textId="546C8007" w:rsidR="00EF3D83" w:rsidRDefault="00EF3D83" w:rsidP="00EF3D83">
            <w:pPr>
              <w:pStyle w:val="NoSpacing"/>
              <w:jc w:val="center"/>
            </w:pPr>
            <w:r>
              <w:t>(87.6)</w:t>
            </w:r>
          </w:p>
        </w:tc>
        <w:tc>
          <w:tcPr>
            <w:tcW w:w="1935" w:type="dxa"/>
            <w:tcBorders>
              <w:left w:val="nil"/>
              <w:bottom w:val="single" w:sz="4" w:space="0" w:color="auto"/>
              <w:right w:val="nil"/>
            </w:tcBorders>
          </w:tcPr>
          <w:p w14:paraId="35A64D77" w14:textId="617E4079" w:rsidR="00EF3D83" w:rsidRDefault="00EF3D83" w:rsidP="00EF3D83">
            <w:pPr>
              <w:pStyle w:val="NoSpacing"/>
              <w:jc w:val="center"/>
            </w:pPr>
            <w:r>
              <w:t>Ref</w:t>
            </w:r>
          </w:p>
        </w:tc>
        <w:tc>
          <w:tcPr>
            <w:tcW w:w="828" w:type="dxa"/>
            <w:tcBorders>
              <w:left w:val="nil"/>
              <w:bottom w:val="single" w:sz="4" w:space="0" w:color="auto"/>
              <w:right w:val="nil"/>
            </w:tcBorders>
          </w:tcPr>
          <w:p w14:paraId="47F69D48" w14:textId="77777777" w:rsidR="00EF3D83" w:rsidRDefault="00EF3D83" w:rsidP="00EF3D83">
            <w:pPr>
              <w:pStyle w:val="NoSpacing"/>
              <w:jc w:val="center"/>
            </w:pPr>
          </w:p>
        </w:tc>
        <w:tc>
          <w:tcPr>
            <w:tcW w:w="1858" w:type="dxa"/>
            <w:tcBorders>
              <w:left w:val="nil"/>
              <w:bottom w:val="single" w:sz="4" w:space="0" w:color="auto"/>
              <w:right w:val="nil"/>
            </w:tcBorders>
          </w:tcPr>
          <w:p w14:paraId="5AFC9ED5" w14:textId="11A4208D" w:rsidR="00EF3D83" w:rsidRDefault="00EF3D83" w:rsidP="00EF3D83">
            <w:pPr>
              <w:pStyle w:val="NoSpacing"/>
              <w:jc w:val="center"/>
            </w:pPr>
            <w:r>
              <w:t>Ref</w:t>
            </w:r>
          </w:p>
        </w:tc>
        <w:tc>
          <w:tcPr>
            <w:tcW w:w="828" w:type="dxa"/>
            <w:tcBorders>
              <w:left w:val="nil"/>
              <w:bottom w:val="single" w:sz="4" w:space="0" w:color="auto"/>
            </w:tcBorders>
          </w:tcPr>
          <w:p w14:paraId="28663CC1" w14:textId="77777777" w:rsidR="00EF3D83" w:rsidRDefault="00EF3D83" w:rsidP="00EF3D83">
            <w:pPr>
              <w:pStyle w:val="NoSpacing"/>
              <w:jc w:val="center"/>
            </w:pPr>
          </w:p>
        </w:tc>
      </w:tr>
      <w:tr w:rsidR="00EF3D83" w14:paraId="182F9683" w14:textId="77777777" w:rsidTr="00EF3D83">
        <w:tc>
          <w:tcPr>
            <w:tcW w:w="1690" w:type="dxa"/>
            <w:tcBorders>
              <w:top w:val="nil"/>
              <w:bottom w:val="nil"/>
            </w:tcBorders>
          </w:tcPr>
          <w:p w14:paraId="1F199E43" w14:textId="607DF32C" w:rsidR="00EF3D83" w:rsidRDefault="00EF3D83" w:rsidP="00EF3D83">
            <w:pPr>
              <w:pStyle w:val="NoSpacing"/>
              <w:jc w:val="center"/>
            </w:pPr>
            <w:r>
              <w:t>Unemployed</w:t>
            </w:r>
          </w:p>
        </w:tc>
        <w:tc>
          <w:tcPr>
            <w:tcW w:w="1445" w:type="dxa"/>
            <w:tcBorders>
              <w:bottom w:val="single" w:sz="4" w:space="0" w:color="auto"/>
              <w:right w:val="nil"/>
            </w:tcBorders>
          </w:tcPr>
          <w:p w14:paraId="6443FAAC" w14:textId="77777777" w:rsidR="00EF3D83" w:rsidRDefault="00EF3D83" w:rsidP="00EF3D83">
            <w:pPr>
              <w:pStyle w:val="NoSpacing"/>
              <w:jc w:val="center"/>
            </w:pPr>
            <w:r>
              <w:t>189</w:t>
            </w:r>
          </w:p>
          <w:p w14:paraId="0928DBA3" w14:textId="1EF474F3" w:rsidR="00EF3D83" w:rsidRDefault="00EF3D83" w:rsidP="00EF3D83">
            <w:pPr>
              <w:pStyle w:val="NoSpacing"/>
              <w:jc w:val="center"/>
            </w:pPr>
            <w:r>
              <w:t>(22.2)</w:t>
            </w:r>
          </w:p>
        </w:tc>
        <w:tc>
          <w:tcPr>
            <w:tcW w:w="1309" w:type="dxa"/>
            <w:tcBorders>
              <w:left w:val="nil"/>
              <w:bottom w:val="single" w:sz="4" w:space="0" w:color="auto"/>
              <w:right w:val="nil"/>
            </w:tcBorders>
          </w:tcPr>
          <w:p w14:paraId="1AB71138" w14:textId="77777777" w:rsidR="00EF3D83" w:rsidRDefault="00EF3D83" w:rsidP="00EF3D83">
            <w:pPr>
              <w:pStyle w:val="NoSpacing"/>
              <w:jc w:val="center"/>
            </w:pPr>
            <w:r>
              <w:t>662</w:t>
            </w:r>
          </w:p>
          <w:p w14:paraId="3946B510" w14:textId="7C1C4651" w:rsidR="00EF3D83" w:rsidRDefault="00EF3D83" w:rsidP="00EF3D83">
            <w:pPr>
              <w:pStyle w:val="NoSpacing"/>
              <w:jc w:val="center"/>
            </w:pPr>
            <w:r>
              <w:t>(77.8)</w:t>
            </w:r>
          </w:p>
        </w:tc>
        <w:tc>
          <w:tcPr>
            <w:tcW w:w="1935" w:type="dxa"/>
            <w:tcBorders>
              <w:left w:val="nil"/>
              <w:bottom w:val="single" w:sz="4" w:space="0" w:color="auto"/>
              <w:right w:val="nil"/>
            </w:tcBorders>
          </w:tcPr>
          <w:p w14:paraId="3703E5B8" w14:textId="77777777" w:rsidR="00EF3D83" w:rsidRDefault="00EF3D83" w:rsidP="00EF3D83">
            <w:pPr>
              <w:pStyle w:val="NoSpacing"/>
              <w:jc w:val="center"/>
            </w:pPr>
            <w:r>
              <w:t>2.00</w:t>
            </w:r>
          </w:p>
          <w:p w14:paraId="668B823D" w14:textId="2B90A780" w:rsidR="00EF3D83" w:rsidRDefault="00EF3D83" w:rsidP="00EF3D83">
            <w:pPr>
              <w:pStyle w:val="NoSpacing"/>
              <w:jc w:val="center"/>
            </w:pPr>
            <w:r>
              <w:t>(1.55 to 2.60)</w:t>
            </w:r>
          </w:p>
        </w:tc>
        <w:tc>
          <w:tcPr>
            <w:tcW w:w="828" w:type="dxa"/>
            <w:tcBorders>
              <w:left w:val="nil"/>
              <w:bottom w:val="single" w:sz="4" w:space="0" w:color="auto"/>
              <w:right w:val="nil"/>
            </w:tcBorders>
          </w:tcPr>
          <w:p w14:paraId="1110566C" w14:textId="4D63BDF4" w:rsidR="00EF3D83" w:rsidRDefault="00EF3D83" w:rsidP="00EF3D83">
            <w:pPr>
              <w:pStyle w:val="NoSpacing"/>
              <w:jc w:val="center"/>
            </w:pPr>
            <w:r>
              <w:t>&lt;0.001</w:t>
            </w:r>
          </w:p>
        </w:tc>
        <w:tc>
          <w:tcPr>
            <w:tcW w:w="1858" w:type="dxa"/>
            <w:tcBorders>
              <w:left w:val="nil"/>
              <w:bottom w:val="single" w:sz="4" w:space="0" w:color="auto"/>
              <w:right w:val="nil"/>
            </w:tcBorders>
          </w:tcPr>
          <w:p w14:paraId="3A84A8E8" w14:textId="77777777" w:rsidR="00EF3D83" w:rsidRDefault="00EF3D83" w:rsidP="00EF3D83">
            <w:pPr>
              <w:pStyle w:val="NoSpacing"/>
              <w:jc w:val="center"/>
            </w:pPr>
            <w:r>
              <w:t>1.93</w:t>
            </w:r>
          </w:p>
          <w:p w14:paraId="6094747B" w14:textId="0E50B0C3" w:rsidR="00EF3D83" w:rsidRDefault="00EF3D83" w:rsidP="00EF3D83">
            <w:pPr>
              <w:pStyle w:val="NoSpacing"/>
              <w:jc w:val="center"/>
            </w:pPr>
            <w:r>
              <w:t>(1.39 to 2.50)</w:t>
            </w:r>
          </w:p>
        </w:tc>
        <w:tc>
          <w:tcPr>
            <w:tcW w:w="828" w:type="dxa"/>
            <w:tcBorders>
              <w:left w:val="nil"/>
              <w:bottom w:val="single" w:sz="4" w:space="0" w:color="auto"/>
            </w:tcBorders>
          </w:tcPr>
          <w:p w14:paraId="3A4585ED" w14:textId="54FB9AB0" w:rsidR="00EF3D83" w:rsidRDefault="00EF3D83" w:rsidP="00EF3D83">
            <w:pPr>
              <w:pStyle w:val="NoSpacing"/>
              <w:jc w:val="center"/>
            </w:pPr>
            <w:r>
              <w:t>&lt;0.001</w:t>
            </w:r>
          </w:p>
        </w:tc>
      </w:tr>
      <w:tr w:rsidR="00EF3D83" w14:paraId="32FA3A2E" w14:textId="77777777" w:rsidTr="00EF3D83">
        <w:tc>
          <w:tcPr>
            <w:tcW w:w="1690" w:type="dxa"/>
            <w:tcBorders>
              <w:top w:val="nil"/>
              <w:bottom w:val="nil"/>
            </w:tcBorders>
          </w:tcPr>
          <w:p w14:paraId="74ADE904" w14:textId="2B99DD68" w:rsidR="00EF3D83" w:rsidRDefault="00EF3D83" w:rsidP="00EF3D83">
            <w:pPr>
              <w:pStyle w:val="NoSpacing"/>
              <w:jc w:val="center"/>
            </w:pPr>
            <w:r>
              <w:t>Long-term sick</w:t>
            </w:r>
          </w:p>
        </w:tc>
        <w:tc>
          <w:tcPr>
            <w:tcW w:w="1445" w:type="dxa"/>
            <w:tcBorders>
              <w:bottom w:val="single" w:sz="4" w:space="0" w:color="auto"/>
              <w:right w:val="nil"/>
            </w:tcBorders>
          </w:tcPr>
          <w:p w14:paraId="604A0734" w14:textId="77777777" w:rsidR="00EF3D83" w:rsidRDefault="00EF3D83" w:rsidP="00EF3D83">
            <w:pPr>
              <w:pStyle w:val="NoSpacing"/>
              <w:jc w:val="center"/>
            </w:pPr>
            <w:r>
              <w:t>124</w:t>
            </w:r>
          </w:p>
          <w:p w14:paraId="4C690443" w14:textId="13034A08" w:rsidR="00EF3D83" w:rsidRDefault="00EF3D83" w:rsidP="00EF3D83">
            <w:pPr>
              <w:pStyle w:val="NoSpacing"/>
              <w:jc w:val="center"/>
            </w:pPr>
            <w:r>
              <w:t>(18.6)</w:t>
            </w:r>
          </w:p>
        </w:tc>
        <w:tc>
          <w:tcPr>
            <w:tcW w:w="1309" w:type="dxa"/>
            <w:tcBorders>
              <w:left w:val="nil"/>
              <w:bottom w:val="single" w:sz="4" w:space="0" w:color="auto"/>
              <w:right w:val="nil"/>
            </w:tcBorders>
          </w:tcPr>
          <w:p w14:paraId="13A24553" w14:textId="77777777" w:rsidR="00EF3D83" w:rsidRDefault="00EF3D83" w:rsidP="00EF3D83">
            <w:pPr>
              <w:pStyle w:val="NoSpacing"/>
              <w:jc w:val="center"/>
            </w:pPr>
            <w:r>
              <w:t>541</w:t>
            </w:r>
          </w:p>
          <w:p w14:paraId="59265F95" w14:textId="534A396D" w:rsidR="00EF3D83" w:rsidRDefault="00EF3D83" w:rsidP="00EF3D83">
            <w:pPr>
              <w:pStyle w:val="NoSpacing"/>
              <w:jc w:val="center"/>
            </w:pPr>
            <w:r>
              <w:t>(81.4)</w:t>
            </w:r>
          </w:p>
        </w:tc>
        <w:tc>
          <w:tcPr>
            <w:tcW w:w="1935" w:type="dxa"/>
            <w:tcBorders>
              <w:left w:val="nil"/>
              <w:bottom w:val="single" w:sz="4" w:space="0" w:color="auto"/>
              <w:right w:val="nil"/>
            </w:tcBorders>
          </w:tcPr>
          <w:p w14:paraId="00D36483" w14:textId="77777777" w:rsidR="00EF3D83" w:rsidRDefault="00EF3D83" w:rsidP="00EF3D83">
            <w:pPr>
              <w:pStyle w:val="NoSpacing"/>
              <w:jc w:val="center"/>
            </w:pPr>
            <w:r>
              <w:t xml:space="preserve">1.61 </w:t>
            </w:r>
          </w:p>
          <w:p w14:paraId="65831966" w14:textId="48C3A039" w:rsidR="00EF3D83" w:rsidRDefault="00EF3D83" w:rsidP="00EF3D83">
            <w:pPr>
              <w:pStyle w:val="NoSpacing"/>
              <w:jc w:val="center"/>
            </w:pPr>
            <w:r>
              <w:t>(1.22 to 2.14)</w:t>
            </w:r>
          </w:p>
        </w:tc>
        <w:tc>
          <w:tcPr>
            <w:tcW w:w="828" w:type="dxa"/>
            <w:tcBorders>
              <w:left w:val="nil"/>
              <w:bottom w:val="single" w:sz="4" w:space="0" w:color="auto"/>
              <w:right w:val="nil"/>
            </w:tcBorders>
          </w:tcPr>
          <w:p w14:paraId="71725410" w14:textId="0F801497" w:rsidR="00EF3D83" w:rsidRDefault="00EF3D83" w:rsidP="00EF3D83">
            <w:pPr>
              <w:pStyle w:val="NoSpacing"/>
              <w:jc w:val="center"/>
            </w:pPr>
            <w:r>
              <w:t>&lt;0.001</w:t>
            </w:r>
          </w:p>
        </w:tc>
        <w:tc>
          <w:tcPr>
            <w:tcW w:w="1858" w:type="dxa"/>
            <w:tcBorders>
              <w:left w:val="nil"/>
              <w:bottom w:val="single" w:sz="4" w:space="0" w:color="auto"/>
              <w:right w:val="nil"/>
            </w:tcBorders>
          </w:tcPr>
          <w:p w14:paraId="5DA9304E" w14:textId="77777777" w:rsidR="00EF3D83" w:rsidRDefault="00EF3D83" w:rsidP="00EF3D83">
            <w:pPr>
              <w:pStyle w:val="NoSpacing"/>
              <w:jc w:val="center"/>
            </w:pPr>
            <w:r>
              <w:t>1.54</w:t>
            </w:r>
          </w:p>
          <w:p w14:paraId="600D07B6" w14:textId="3EAF0DCE" w:rsidR="00EF3D83" w:rsidRDefault="00EF3D83" w:rsidP="00EF3D83">
            <w:pPr>
              <w:pStyle w:val="NoSpacing"/>
              <w:jc w:val="center"/>
            </w:pPr>
            <w:r>
              <w:t>(1.11 to 2.23)</w:t>
            </w:r>
          </w:p>
        </w:tc>
        <w:tc>
          <w:tcPr>
            <w:tcW w:w="828" w:type="dxa"/>
            <w:tcBorders>
              <w:left w:val="nil"/>
              <w:bottom w:val="single" w:sz="4" w:space="0" w:color="auto"/>
            </w:tcBorders>
          </w:tcPr>
          <w:p w14:paraId="6EEDC70D" w14:textId="208D9290" w:rsidR="00EF3D83" w:rsidRDefault="00EF3D83" w:rsidP="00EF3D83">
            <w:pPr>
              <w:pStyle w:val="NoSpacing"/>
              <w:jc w:val="center"/>
            </w:pPr>
            <w:r>
              <w:t>0.001</w:t>
            </w:r>
          </w:p>
        </w:tc>
      </w:tr>
      <w:tr w:rsidR="00EF3D83" w14:paraId="7A88199E" w14:textId="77777777" w:rsidTr="00EF3D83">
        <w:tc>
          <w:tcPr>
            <w:tcW w:w="1690" w:type="dxa"/>
            <w:tcBorders>
              <w:top w:val="nil"/>
              <w:bottom w:val="nil"/>
            </w:tcBorders>
          </w:tcPr>
          <w:p w14:paraId="4496C550" w14:textId="1093131E" w:rsidR="00EF3D83" w:rsidRDefault="00EF3D83" w:rsidP="00EF3D83">
            <w:pPr>
              <w:pStyle w:val="NoSpacing"/>
              <w:jc w:val="center"/>
            </w:pPr>
            <w:r>
              <w:t>Retired</w:t>
            </w:r>
          </w:p>
        </w:tc>
        <w:tc>
          <w:tcPr>
            <w:tcW w:w="1445" w:type="dxa"/>
            <w:tcBorders>
              <w:bottom w:val="single" w:sz="4" w:space="0" w:color="auto"/>
              <w:right w:val="nil"/>
            </w:tcBorders>
          </w:tcPr>
          <w:p w14:paraId="42CE8EFB" w14:textId="77777777" w:rsidR="00EF3D83" w:rsidRDefault="00EF3D83" w:rsidP="00EF3D83">
            <w:pPr>
              <w:pStyle w:val="NoSpacing"/>
              <w:jc w:val="center"/>
            </w:pPr>
            <w:r>
              <w:t>37</w:t>
            </w:r>
          </w:p>
          <w:p w14:paraId="452758FB" w14:textId="094FF9D8" w:rsidR="00EF3D83" w:rsidRDefault="00EF3D83" w:rsidP="00EF3D83">
            <w:pPr>
              <w:pStyle w:val="NoSpacing"/>
              <w:jc w:val="center"/>
            </w:pPr>
            <w:r>
              <w:t>(4.8)</w:t>
            </w:r>
          </w:p>
        </w:tc>
        <w:tc>
          <w:tcPr>
            <w:tcW w:w="1309" w:type="dxa"/>
            <w:tcBorders>
              <w:left w:val="nil"/>
              <w:bottom w:val="single" w:sz="4" w:space="0" w:color="auto"/>
              <w:right w:val="nil"/>
            </w:tcBorders>
          </w:tcPr>
          <w:p w14:paraId="4E5C5093" w14:textId="77777777" w:rsidR="00EF3D83" w:rsidRDefault="00EF3D83" w:rsidP="00EF3D83">
            <w:pPr>
              <w:pStyle w:val="NoSpacing"/>
              <w:jc w:val="center"/>
            </w:pPr>
            <w:r>
              <w:t>735</w:t>
            </w:r>
          </w:p>
          <w:p w14:paraId="7B3F1B75" w14:textId="468BF8CF" w:rsidR="00EF3D83" w:rsidRDefault="00EF3D83" w:rsidP="00EF3D83">
            <w:pPr>
              <w:pStyle w:val="NoSpacing"/>
              <w:jc w:val="center"/>
            </w:pPr>
            <w:r>
              <w:t>(95.2)</w:t>
            </w:r>
          </w:p>
        </w:tc>
        <w:tc>
          <w:tcPr>
            <w:tcW w:w="1935" w:type="dxa"/>
            <w:tcBorders>
              <w:left w:val="nil"/>
              <w:bottom w:val="single" w:sz="4" w:space="0" w:color="auto"/>
              <w:right w:val="nil"/>
            </w:tcBorders>
          </w:tcPr>
          <w:p w14:paraId="3FD98383" w14:textId="77777777" w:rsidR="00EF3D83" w:rsidRDefault="00EF3D83" w:rsidP="00EF3D83">
            <w:pPr>
              <w:pStyle w:val="NoSpacing"/>
              <w:jc w:val="center"/>
            </w:pPr>
            <w:r>
              <w:t>0.35</w:t>
            </w:r>
          </w:p>
          <w:p w14:paraId="7F185ED8" w14:textId="1697064C" w:rsidR="00EF3D83" w:rsidRDefault="00EF3D83" w:rsidP="00EF3D83">
            <w:pPr>
              <w:pStyle w:val="NoSpacing"/>
              <w:jc w:val="center"/>
            </w:pPr>
            <w:r>
              <w:t>(0.24 to 0.52)</w:t>
            </w:r>
          </w:p>
        </w:tc>
        <w:tc>
          <w:tcPr>
            <w:tcW w:w="828" w:type="dxa"/>
            <w:tcBorders>
              <w:left w:val="nil"/>
              <w:bottom w:val="single" w:sz="4" w:space="0" w:color="auto"/>
              <w:right w:val="nil"/>
            </w:tcBorders>
          </w:tcPr>
          <w:p w14:paraId="64FB7981" w14:textId="3C02B140" w:rsidR="00EF3D83" w:rsidRDefault="00EF3D83" w:rsidP="00EF3D83">
            <w:pPr>
              <w:pStyle w:val="NoSpacing"/>
              <w:jc w:val="center"/>
            </w:pPr>
            <w:r>
              <w:t>&lt;0.001</w:t>
            </w:r>
          </w:p>
        </w:tc>
        <w:tc>
          <w:tcPr>
            <w:tcW w:w="1858" w:type="dxa"/>
            <w:tcBorders>
              <w:left w:val="nil"/>
              <w:bottom w:val="single" w:sz="4" w:space="0" w:color="auto"/>
              <w:right w:val="nil"/>
            </w:tcBorders>
          </w:tcPr>
          <w:p w14:paraId="719080F9" w14:textId="77777777" w:rsidR="00EF3D83" w:rsidRDefault="00EF3D83" w:rsidP="00EF3D83">
            <w:pPr>
              <w:pStyle w:val="NoSpacing"/>
              <w:jc w:val="center"/>
            </w:pPr>
            <w:r>
              <w:t>0.87</w:t>
            </w:r>
          </w:p>
          <w:p w14:paraId="79A0D1F3" w14:textId="4FB0BC47" w:rsidR="00EF3D83" w:rsidRDefault="00EF3D83" w:rsidP="00EF3D83">
            <w:pPr>
              <w:pStyle w:val="NoSpacing"/>
              <w:jc w:val="center"/>
            </w:pPr>
            <w:r>
              <w:t>(0.14 to 1.48)</w:t>
            </w:r>
          </w:p>
        </w:tc>
        <w:tc>
          <w:tcPr>
            <w:tcW w:w="828" w:type="dxa"/>
            <w:tcBorders>
              <w:left w:val="nil"/>
              <w:bottom w:val="single" w:sz="4" w:space="0" w:color="auto"/>
            </w:tcBorders>
          </w:tcPr>
          <w:p w14:paraId="29A35888" w14:textId="41FE842D" w:rsidR="00EF3D83" w:rsidRDefault="00EF3D83" w:rsidP="00EF3D83">
            <w:pPr>
              <w:pStyle w:val="NoSpacing"/>
              <w:jc w:val="center"/>
            </w:pPr>
            <w:r>
              <w:t>0.351</w:t>
            </w:r>
          </w:p>
        </w:tc>
      </w:tr>
      <w:tr w:rsidR="00EF3D83" w14:paraId="35D95D48" w14:textId="77777777" w:rsidTr="00EF3D83">
        <w:tc>
          <w:tcPr>
            <w:tcW w:w="1690" w:type="dxa"/>
            <w:tcBorders>
              <w:top w:val="nil"/>
              <w:bottom w:val="single" w:sz="4" w:space="0" w:color="auto"/>
            </w:tcBorders>
          </w:tcPr>
          <w:p w14:paraId="524BB5CA" w14:textId="0DAA2383" w:rsidR="00EF3D83" w:rsidRDefault="00EF3D83" w:rsidP="00EF3D83">
            <w:pPr>
              <w:pStyle w:val="NoSpacing"/>
              <w:jc w:val="center"/>
            </w:pPr>
            <w:r>
              <w:t>Student</w:t>
            </w:r>
          </w:p>
        </w:tc>
        <w:tc>
          <w:tcPr>
            <w:tcW w:w="1445" w:type="dxa"/>
            <w:tcBorders>
              <w:bottom w:val="single" w:sz="4" w:space="0" w:color="auto"/>
              <w:right w:val="nil"/>
            </w:tcBorders>
          </w:tcPr>
          <w:p w14:paraId="33C7D1A5" w14:textId="77777777" w:rsidR="00EF3D83" w:rsidRDefault="00EF3D83" w:rsidP="00EF3D83">
            <w:pPr>
              <w:pStyle w:val="NoSpacing"/>
              <w:jc w:val="center"/>
            </w:pPr>
            <w:r>
              <w:t>11</w:t>
            </w:r>
          </w:p>
          <w:p w14:paraId="6BD94E7B" w14:textId="13C27758" w:rsidR="00EF3D83" w:rsidRDefault="00EF3D83" w:rsidP="00EF3D83">
            <w:pPr>
              <w:pStyle w:val="NoSpacing"/>
              <w:jc w:val="center"/>
            </w:pPr>
            <w:r>
              <w:t>(7.0)</w:t>
            </w:r>
          </w:p>
        </w:tc>
        <w:tc>
          <w:tcPr>
            <w:tcW w:w="1309" w:type="dxa"/>
            <w:tcBorders>
              <w:left w:val="nil"/>
              <w:bottom w:val="single" w:sz="4" w:space="0" w:color="auto"/>
              <w:right w:val="nil"/>
            </w:tcBorders>
          </w:tcPr>
          <w:p w14:paraId="292F33AF" w14:textId="77777777" w:rsidR="00EF3D83" w:rsidRDefault="00EF3D83" w:rsidP="00EF3D83">
            <w:pPr>
              <w:pStyle w:val="NoSpacing"/>
              <w:jc w:val="center"/>
            </w:pPr>
            <w:r>
              <w:t>146</w:t>
            </w:r>
          </w:p>
          <w:p w14:paraId="6E4A4866" w14:textId="12DE85F6" w:rsidR="00EF3D83" w:rsidRDefault="00EF3D83" w:rsidP="00EF3D83">
            <w:pPr>
              <w:pStyle w:val="NoSpacing"/>
              <w:jc w:val="center"/>
            </w:pPr>
            <w:r>
              <w:t>(93.0)</w:t>
            </w:r>
          </w:p>
        </w:tc>
        <w:tc>
          <w:tcPr>
            <w:tcW w:w="1935" w:type="dxa"/>
            <w:tcBorders>
              <w:left w:val="nil"/>
              <w:bottom w:val="single" w:sz="4" w:space="0" w:color="auto"/>
              <w:right w:val="nil"/>
            </w:tcBorders>
          </w:tcPr>
          <w:p w14:paraId="2C9B1FF3" w14:textId="77777777" w:rsidR="00EF3D83" w:rsidRDefault="00EF3D83" w:rsidP="00EF3D83">
            <w:pPr>
              <w:pStyle w:val="NoSpacing"/>
              <w:jc w:val="center"/>
            </w:pPr>
            <w:r>
              <w:t>0.53</w:t>
            </w:r>
          </w:p>
          <w:p w14:paraId="4CC238C3" w14:textId="56258850" w:rsidR="00EF3D83" w:rsidRDefault="00EF3D83" w:rsidP="00EF3D83">
            <w:pPr>
              <w:pStyle w:val="NoSpacing"/>
              <w:jc w:val="center"/>
            </w:pPr>
            <w:r>
              <w:t>(0.28 to 1.01)</w:t>
            </w:r>
          </w:p>
        </w:tc>
        <w:tc>
          <w:tcPr>
            <w:tcW w:w="828" w:type="dxa"/>
            <w:tcBorders>
              <w:left w:val="nil"/>
              <w:bottom w:val="single" w:sz="4" w:space="0" w:color="auto"/>
              <w:right w:val="nil"/>
            </w:tcBorders>
          </w:tcPr>
          <w:p w14:paraId="52087864" w14:textId="77D567AD" w:rsidR="00EF3D83" w:rsidRDefault="00EF3D83" w:rsidP="00EF3D83">
            <w:pPr>
              <w:pStyle w:val="NoSpacing"/>
              <w:jc w:val="center"/>
            </w:pPr>
            <w:r>
              <w:t>0.054</w:t>
            </w:r>
          </w:p>
        </w:tc>
        <w:tc>
          <w:tcPr>
            <w:tcW w:w="1858" w:type="dxa"/>
            <w:tcBorders>
              <w:left w:val="nil"/>
              <w:bottom w:val="single" w:sz="4" w:space="0" w:color="auto"/>
              <w:right w:val="nil"/>
            </w:tcBorders>
          </w:tcPr>
          <w:p w14:paraId="3B25060A" w14:textId="77777777" w:rsidR="00EF3D83" w:rsidRDefault="00EF3D83" w:rsidP="00EF3D83">
            <w:pPr>
              <w:pStyle w:val="NoSpacing"/>
              <w:jc w:val="center"/>
            </w:pPr>
            <w:r>
              <w:t>0.93</w:t>
            </w:r>
          </w:p>
          <w:p w14:paraId="475A777B" w14:textId="16658C0C" w:rsidR="00EF3D83" w:rsidRDefault="00EF3D83" w:rsidP="00EF3D83">
            <w:pPr>
              <w:pStyle w:val="NoSpacing"/>
              <w:jc w:val="center"/>
            </w:pPr>
            <w:r>
              <w:t>(0.11 to 1.79)</w:t>
            </w:r>
          </w:p>
        </w:tc>
        <w:tc>
          <w:tcPr>
            <w:tcW w:w="828" w:type="dxa"/>
            <w:tcBorders>
              <w:left w:val="nil"/>
              <w:bottom w:val="single" w:sz="4" w:space="0" w:color="auto"/>
            </w:tcBorders>
          </w:tcPr>
          <w:p w14:paraId="74A6961A" w14:textId="179E7B36" w:rsidR="00EF3D83" w:rsidRDefault="00EF3D83" w:rsidP="00EF3D83">
            <w:pPr>
              <w:pStyle w:val="NoSpacing"/>
              <w:jc w:val="center"/>
            </w:pPr>
            <w:r>
              <w:t>0.725</w:t>
            </w:r>
          </w:p>
        </w:tc>
      </w:tr>
      <w:bookmarkEnd w:id="9"/>
      <w:tr w:rsidR="002B61A7" w14:paraId="06A012AC" w14:textId="77777777" w:rsidTr="00EF3D83">
        <w:tc>
          <w:tcPr>
            <w:tcW w:w="1690" w:type="dxa"/>
            <w:tcBorders>
              <w:bottom w:val="single" w:sz="4" w:space="0" w:color="auto"/>
              <w:right w:val="nil"/>
            </w:tcBorders>
            <w:shd w:val="clear" w:color="auto" w:fill="BFBFBF" w:themeFill="background1" w:themeFillShade="BF"/>
          </w:tcPr>
          <w:p w14:paraId="6EDC541E" w14:textId="77777777" w:rsidR="002B61A7" w:rsidRDefault="002B61A7" w:rsidP="0015446E">
            <w:pPr>
              <w:pStyle w:val="NoSpacing"/>
              <w:jc w:val="center"/>
            </w:pPr>
            <w:r>
              <w:t>Accommodation n=3508</w:t>
            </w:r>
          </w:p>
        </w:tc>
        <w:tc>
          <w:tcPr>
            <w:tcW w:w="1445" w:type="dxa"/>
            <w:tcBorders>
              <w:left w:val="nil"/>
              <w:bottom w:val="single" w:sz="4" w:space="0" w:color="auto"/>
              <w:right w:val="nil"/>
            </w:tcBorders>
            <w:shd w:val="clear" w:color="auto" w:fill="BFBFBF" w:themeFill="background1" w:themeFillShade="BF"/>
          </w:tcPr>
          <w:p w14:paraId="1593EF3F" w14:textId="77777777" w:rsidR="002B61A7" w:rsidRDefault="002B61A7" w:rsidP="0015446E">
            <w:pPr>
              <w:pStyle w:val="NoSpacing"/>
              <w:jc w:val="center"/>
            </w:pPr>
          </w:p>
        </w:tc>
        <w:tc>
          <w:tcPr>
            <w:tcW w:w="1309" w:type="dxa"/>
            <w:tcBorders>
              <w:left w:val="nil"/>
              <w:bottom w:val="single" w:sz="4" w:space="0" w:color="auto"/>
              <w:right w:val="nil"/>
            </w:tcBorders>
            <w:shd w:val="clear" w:color="auto" w:fill="BFBFBF" w:themeFill="background1" w:themeFillShade="BF"/>
          </w:tcPr>
          <w:p w14:paraId="674E1089" w14:textId="77777777" w:rsidR="002B61A7" w:rsidRDefault="002B61A7" w:rsidP="0015446E">
            <w:pPr>
              <w:pStyle w:val="NoSpacing"/>
              <w:jc w:val="center"/>
            </w:pPr>
          </w:p>
        </w:tc>
        <w:tc>
          <w:tcPr>
            <w:tcW w:w="1935" w:type="dxa"/>
            <w:tcBorders>
              <w:left w:val="nil"/>
              <w:bottom w:val="single" w:sz="4" w:space="0" w:color="auto"/>
              <w:right w:val="nil"/>
            </w:tcBorders>
            <w:shd w:val="clear" w:color="auto" w:fill="BFBFBF" w:themeFill="background1" w:themeFillShade="BF"/>
          </w:tcPr>
          <w:p w14:paraId="38DD5101" w14:textId="77777777" w:rsidR="002B61A7" w:rsidRDefault="002B61A7" w:rsidP="0015446E">
            <w:pPr>
              <w:pStyle w:val="NoSpacing"/>
              <w:jc w:val="center"/>
            </w:pPr>
          </w:p>
        </w:tc>
        <w:tc>
          <w:tcPr>
            <w:tcW w:w="828" w:type="dxa"/>
            <w:tcBorders>
              <w:left w:val="nil"/>
              <w:bottom w:val="single" w:sz="4" w:space="0" w:color="auto"/>
              <w:right w:val="nil"/>
            </w:tcBorders>
            <w:shd w:val="clear" w:color="auto" w:fill="BFBFBF" w:themeFill="background1" w:themeFillShade="BF"/>
          </w:tcPr>
          <w:p w14:paraId="1D796929" w14:textId="77777777" w:rsidR="002B61A7" w:rsidRDefault="002B61A7" w:rsidP="0015446E">
            <w:pPr>
              <w:pStyle w:val="NoSpacing"/>
              <w:jc w:val="center"/>
            </w:pPr>
          </w:p>
        </w:tc>
        <w:tc>
          <w:tcPr>
            <w:tcW w:w="1858" w:type="dxa"/>
            <w:tcBorders>
              <w:left w:val="nil"/>
              <w:bottom w:val="single" w:sz="4" w:space="0" w:color="auto"/>
              <w:right w:val="nil"/>
            </w:tcBorders>
            <w:shd w:val="clear" w:color="auto" w:fill="BFBFBF" w:themeFill="background1" w:themeFillShade="BF"/>
          </w:tcPr>
          <w:p w14:paraId="55C3FC8C" w14:textId="77777777" w:rsidR="002B61A7" w:rsidRDefault="002B61A7" w:rsidP="0015446E">
            <w:pPr>
              <w:pStyle w:val="NoSpacing"/>
              <w:jc w:val="center"/>
            </w:pPr>
          </w:p>
        </w:tc>
        <w:tc>
          <w:tcPr>
            <w:tcW w:w="828" w:type="dxa"/>
            <w:tcBorders>
              <w:left w:val="nil"/>
              <w:bottom w:val="single" w:sz="4" w:space="0" w:color="auto"/>
            </w:tcBorders>
            <w:shd w:val="clear" w:color="auto" w:fill="BFBFBF" w:themeFill="background1" w:themeFillShade="BF"/>
          </w:tcPr>
          <w:p w14:paraId="5ABC589B" w14:textId="77777777" w:rsidR="002B61A7" w:rsidRDefault="002B61A7" w:rsidP="0015446E">
            <w:pPr>
              <w:pStyle w:val="NoSpacing"/>
              <w:jc w:val="center"/>
            </w:pPr>
          </w:p>
        </w:tc>
      </w:tr>
      <w:tr w:rsidR="002B61A7" w14:paraId="764E9B04" w14:textId="77777777" w:rsidTr="00EF3D83">
        <w:tc>
          <w:tcPr>
            <w:tcW w:w="1690" w:type="dxa"/>
            <w:tcBorders>
              <w:bottom w:val="nil"/>
            </w:tcBorders>
          </w:tcPr>
          <w:p w14:paraId="45F8F43A" w14:textId="77777777" w:rsidR="002B61A7" w:rsidRDefault="002B61A7" w:rsidP="0015446E">
            <w:pPr>
              <w:pStyle w:val="NoSpacing"/>
              <w:jc w:val="center"/>
            </w:pPr>
            <w:r>
              <w:t>Mainstream</w:t>
            </w:r>
          </w:p>
        </w:tc>
        <w:tc>
          <w:tcPr>
            <w:tcW w:w="1445" w:type="dxa"/>
            <w:tcBorders>
              <w:bottom w:val="single" w:sz="4" w:space="0" w:color="auto"/>
              <w:right w:val="nil"/>
            </w:tcBorders>
          </w:tcPr>
          <w:p w14:paraId="7ABE2132" w14:textId="77777777" w:rsidR="002B61A7" w:rsidRDefault="002B61A7" w:rsidP="0015446E">
            <w:pPr>
              <w:pStyle w:val="NoSpacing"/>
              <w:jc w:val="center"/>
            </w:pPr>
            <w:r>
              <w:t>381</w:t>
            </w:r>
          </w:p>
          <w:p w14:paraId="6B0C69FB" w14:textId="77777777" w:rsidR="002B61A7" w:rsidRDefault="002B61A7" w:rsidP="0015446E">
            <w:pPr>
              <w:pStyle w:val="NoSpacing"/>
              <w:jc w:val="center"/>
            </w:pPr>
            <w:r>
              <w:t>(13.0)</w:t>
            </w:r>
          </w:p>
        </w:tc>
        <w:tc>
          <w:tcPr>
            <w:tcW w:w="1309" w:type="dxa"/>
            <w:tcBorders>
              <w:left w:val="nil"/>
              <w:bottom w:val="single" w:sz="4" w:space="0" w:color="auto"/>
              <w:right w:val="nil"/>
            </w:tcBorders>
          </w:tcPr>
          <w:p w14:paraId="564AB4E6" w14:textId="77777777" w:rsidR="002B61A7" w:rsidRDefault="002B61A7" w:rsidP="0015446E">
            <w:pPr>
              <w:pStyle w:val="NoSpacing"/>
              <w:jc w:val="center"/>
            </w:pPr>
            <w:r>
              <w:t>2555</w:t>
            </w:r>
          </w:p>
          <w:p w14:paraId="0B0AB8FE" w14:textId="77777777" w:rsidR="002B61A7" w:rsidRDefault="002B61A7" w:rsidP="0015446E">
            <w:pPr>
              <w:pStyle w:val="NoSpacing"/>
              <w:jc w:val="center"/>
            </w:pPr>
            <w:r>
              <w:t>(87.0)</w:t>
            </w:r>
          </w:p>
        </w:tc>
        <w:tc>
          <w:tcPr>
            <w:tcW w:w="1935" w:type="dxa"/>
            <w:tcBorders>
              <w:left w:val="nil"/>
              <w:bottom w:val="single" w:sz="4" w:space="0" w:color="auto"/>
              <w:right w:val="nil"/>
            </w:tcBorders>
          </w:tcPr>
          <w:p w14:paraId="3567AF28" w14:textId="77777777" w:rsidR="002B61A7" w:rsidRDefault="002B61A7" w:rsidP="0015446E">
            <w:pPr>
              <w:pStyle w:val="NoSpacing"/>
              <w:jc w:val="center"/>
            </w:pPr>
            <w:r>
              <w:t>Ref</w:t>
            </w:r>
          </w:p>
        </w:tc>
        <w:tc>
          <w:tcPr>
            <w:tcW w:w="828" w:type="dxa"/>
            <w:tcBorders>
              <w:left w:val="nil"/>
              <w:bottom w:val="single" w:sz="4" w:space="0" w:color="auto"/>
              <w:right w:val="nil"/>
            </w:tcBorders>
          </w:tcPr>
          <w:p w14:paraId="65B764ED" w14:textId="77777777" w:rsidR="002B61A7" w:rsidRDefault="002B61A7" w:rsidP="0015446E">
            <w:pPr>
              <w:pStyle w:val="NoSpacing"/>
              <w:jc w:val="center"/>
            </w:pPr>
          </w:p>
        </w:tc>
        <w:tc>
          <w:tcPr>
            <w:tcW w:w="1858" w:type="dxa"/>
            <w:tcBorders>
              <w:left w:val="nil"/>
              <w:bottom w:val="single" w:sz="4" w:space="0" w:color="auto"/>
              <w:right w:val="nil"/>
            </w:tcBorders>
          </w:tcPr>
          <w:p w14:paraId="47A7B84E" w14:textId="77777777" w:rsidR="002B61A7" w:rsidRDefault="002B61A7" w:rsidP="0015446E">
            <w:pPr>
              <w:pStyle w:val="NoSpacing"/>
              <w:jc w:val="center"/>
            </w:pPr>
            <w:r>
              <w:t>Ref</w:t>
            </w:r>
          </w:p>
        </w:tc>
        <w:tc>
          <w:tcPr>
            <w:tcW w:w="828" w:type="dxa"/>
            <w:tcBorders>
              <w:left w:val="nil"/>
              <w:bottom w:val="single" w:sz="4" w:space="0" w:color="auto"/>
            </w:tcBorders>
          </w:tcPr>
          <w:p w14:paraId="08566ADF" w14:textId="77777777" w:rsidR="002B61A7" w:rsidRDefault="002B61A7" w:rsidP="0015446E">
            <w:pPr>
              <w:pStyle w:val="NoSpacing"/>
              <w:jc w:val="center"/>
            </w:pPr>
          </w:p>
        </w:tc>
      </w:tr>
      <w:tr w:rsidR="002B61A7" w14:paraId="4663C540" w14:textId="77777777" w:rsidTr="00EF3D83">
        <w:tc>
          <w:tcPr>
            <w:tcW w:w="1690" w:type="dxa"/>
            <w:tcBorders>
              <w:top w:val="nil"/>
              <w:bottom w:val="nil"/>
            </w:tcBorders>
          </w:tcPr>
          <w:p w14:paraId="409DD686" w14:textId="77777777" w:rsidR="002B61A7" w:rsidRDefault="002B61A7" w:rsidP="0015446E">
            <w:pPr>
              <w:pStyle w:val="NoSpacing"/>
              <w:jc w:val="center"/>
            </w:pPr>
            <w:r>
              <w:lastRenderedPageBreak/>
              <w:t>Supported</w:t>
            </w:r>
          </w:p>
        </w:tc>
        <w:tc>
          <w:tcPr>
            <w:tcW w:w="1445" w:type="dxa"/>
            <w:tcBorders>
              <w:bottom w:val="single" w:sz="4" w:space="0" w:color="auto"/>
              <w:right w:val="nil"/>
            </w:tcBorders>
          </w:tcPr>
          <w:p w14:paraId="023BA614" w14:textId="77777777" w:rsidR="002B61A7" w:rsidRDefault="002B61A7" w:rsidP="0015446E">
            <w:pPr>
              <w:pStyle w:val="NoSpacing"/>
              <w:jc w:val="center"/>
            </w:pPr>
            <w:r>
              <w:t>26</w:t>
            </w:r>
          </w:p>
          <w:p w14:paraId="455F071C" w14:textId="77777777" w:rsidR="002B61A7" w:rsidRDefault="002B61A7" w:rsidP="0015446E">
            <w:pPr>
              <w:pStyle w:val="NoSpacing"/>
              <w:jc w:val="center"/>
            </w:pPr>
            <w:r>
              <w:t>(14.0)</w:t>
            </w:r>
          </w:p>
        </w:tc>
        <w:tc>
          <w:tcPr>
            <w:tcW w:w="1309" w:type="dxa"/>
            <w:tcBorders>
              <w:left w:val="nil"/>
              <w:bottom w:val="single" w:sz="4" w:space="0" w:color="auto"/>
              <w:right w:val="nil"/>
            </w:tcBorders>
          </w:tcPr>
          <w:p w14:paraId="69A09FB4" w14:textId="77777777" w:rsidR="002B61A7" w:rsidRDefault="002B61A7" w:rsidP="0015446E">
            <w:pPr>
              <w:pStyle w:val="NoSpacing"/>
              <w:jc w:val="center"/>
            </w:pPr>
            <w:r>
              <w:t>160</w:t>
            </w:r>
          </w:p>
          <w:p w14:paraId="521BA7C3" w14:textId="77777777" w:rsidR="002B61A7" w:rsidRDefault="002B61A7" w:rsidP="0015446E">
            <w:pPr>
              <w:pStyle w:val="NoSpacing"/>
              <w:jc w:val="center"/>
            </w:pPr>
            <w:r>
              <w:t>(86.0)</w:t>
            </w:r>
          </w:p>
        </w:tc>
        <w:tc>
          <w:tcPr>
            <w:tcW w:w="1935" w:type="dxa"/>
            <w:tcBorders>
              <w:left w:val="nil"/>
              <w:bottom w:val="single" w:sz="4" w:space="0" w:color="auto"/>
              <w:right w:val="nil"/>
            </w:tcBorders>
          </w:tcPr>
          <w:p w14:paraId="09FFC8D9" w14:textId="77777777" w:rsidR="002B61A7" w:rsidRDefault="002B61A7" w:rsidP="0015446E">
            <w:pPr>
              <w:pStyle w:val="NoSpacing"/>
              <w:jc w:val="center"/>
            </w:pPr>
            <w:r>
              <w:t>1.09</w:t>
            </w:r>
          </w:p>
          <w:p w14:paraId="34C8DA9D" w14:textId="77777777" w:rsidR="002B61A7" w:rsidRDefault="002B61A7" w:rsidP="0015446E">
            <w:pPr>
              <w:pStyle w:val="NoSpacing"/>
              <w:jc w:val="center"/>
            </w:pPr>
            <w:r>
              <w:t>(0.71 to 1.67)</w:t>
            </w:r>
          </w:p>
        </w:tc>
        <w:tc>
          <w:tcPr>
            <w:tcW w:w="828" w:type="dxa"/>
            <w:tcBorders>
              <w:left w:val="nil"/>
              <w:bottom w:val="single" w:sz="4" w:space="0" w:color="auto"/>
              <w:right w:val="nil"/>
            </w:tcBorders>
          </w:tcPr>
          <w:p w14:paraId="18779234" w14:textId="77777777" w:rsidR="002B61A7" w:rsidRDefault="002B61A7" w:rsidP="0015446E">
            <w:pPr>
              <w:pStyle w:val="NoSpacing"/>
              <w:jc w:val="center"/>
            </w:pPr>
            <w:r>
              <w:t>0.694</w:t>
            </w:r>
          </w:p>
        </w:tc>
        <w:tc>
          <w:tcPr>
            <w:tcW w:w="1858" w:type="dxa"/>
            <w:tcBorders>
              <w:left w:val="nil"/>
              <w:bottom w:val="single" w:sz="4" w:space="0" w:color="auto"/>
              <w:right w:val="nil"/>
            </w:tcBorders>
          </w:tcPr>
          <w:p w14:paraId="3E308E36" w14:textId="77777777" w:rsidR="002B61A7" w:rsidRDefault="002B61A7" w:rsidP="0015446E">
            <w:pPr>
              <w:pStyle w:val="NoSpacing"/>
              <w:jc w:val="center"/>
            </w:pPr>
            <w:r>
              <w:t>1.25</w:t>
            </w:r>
          </w:p>
          <w:p w14:paraId="67CC85BB" w14:textId="77777777" w:rsidR="002B61A7" w:rsidRDefault="002B61A7" w:rsidP="0015446E">
            <w:pPr>
              <w:pStyle w:val="NoSpacing"/>
              <w:jc w:val="center"/>
            </w:pPr>
            <w:r>
              <w:t>(0.77 to 2.03)</w:t>
            </w:r>
          </w:p>
        </w:tc>
        <w:tc>
          <w:tcPr>
            <w:tcW w:w="828" w:type="dxa"/>
            <w:tcBorders>
              <w:left w:val="nil"/>
              <w:bottom w:val="single" w:sz="4" w:space="0" w:color="auto"/>
            </w:tcBorders>
          </w:tcPr>
          <w:p w14:paraId="2C334827" w14:textId="77777777" w:rsidR="002B61A7" w:rsidRDefault="002B61A7" w:rsidP="0015446E">
            <w:pPr>
              <w:pStyle w:val="NoSpacing"/>
              <w:jc w:val="center"/>
            </w:pPr>
            <w:r>
              <w:t>0.364</w:t>
            </w:r>
          </w:p>
        </w:tc>
      </w:tr>
      <w:tr w:rsidR="002B61A7" w14:paraId="37511E4D" w14:textId="77777777" w:rsidTr="00EF3D83">
        <w:tc>
          <w:tcPr>
            <w:tcW w:w="1690" w:type="dxa"/>
            <w:tcBorders>
              <w:top w:val="nil"/>
              <w:bottom w:val="nil"/>
            </w:tcBorders>
          </w:tcPr>
          <w:p w14:paraId="7C931438" w14:textId="77777777" w:rsidR="002B61A7" w:rsidRDefault="002B61A7" w:rsidP="0015446E">
            <w:pPr>
              <w:pStyle w:val="NoSpacing"/>
              <w:jc w:val="center"/>
            </w:pPr>
            <w:r>
              <w:t>Homeless</w:t>
            </w:r>
          </w:p>
        </w:tc>
        <w:tc>
          <w:tcPr>
            <w:tcW w:w="1445" w:type="dxa"/>
            <w:tcBorders>
              <w:bottom w:val="single" w:sz="4" w:space="0" w:color="auto"/>
              <w:right w:val="nil"/>
            </w:tcBorders>
          </w:tcPr>
          <w:p w14:paraId="317B9EBB" w14:textId="77777777" w:rsidR="002B61A7" w:rsidRDefault="002B61A7" w:rsidP="0015446E">
            <w:pPr>
              <w:pStyle w:val="NoSpacing"/>
              <w:jc w:val="center"/>
            </w:pPr>
            <w:r>
              <w:t>79</w:t>
            </w:r>
          </w:p>
          <w:p w14:paraId="6E854578" w14:textId="77777777" w:rsidR="002B61A7" w:rsidRDefault="002B61A7" w:rsidP="0015446E">
            <w:pPr>
              <w:pStyle w:val="NoSpacing"/>
              <w:jc w:val="center"/>
            </w:pPr>
            <w:r>
              <w:t>(35.4)</w:t>
            </w:r>
          </w:p>
        </w:tc>
        <w:tc>
          <w:tcPr>
            <w:tcW w:w="1309" w:type="dxa"/>
            <w:tcBorders>
              <w:left w:val="nil"/>
              <w:bottom w:val="single" w:sz="4" w:space="0" w:color="auto"/>
              <w:right w:val="nil"/>
            </w:tcBorders>
          </w:tcPr>
          <w:p w14:paraId="09C70F1F" w14:textId="77777777" w:rsidR="002B61A7" w:rsidRDefault="002B61A7" w:rsidP="0015446E">
            <w:pPr>
              <w:pStyle w:val="NoSpacing"/>
              <w:jc w:val="center"/>
            </w:pPr>
            <w:r>
              <w:t>144</w:t>
            </w:r>
          </w:p>
          <w:p w14:paraId="349BDBEC" w14:textId="77777777" w:rsidR="002B61A7" w:rsidRDefault="002B61A7" w:rsidP="0015446E">
            <w:pPr>
              <w:pStyle w:val="NoSpacing"/>
              <w:jc w:val="center"/>
            </w:pPr>
            <w:r>
              <w:t>(64.6)</w:t>
            </w:r>
          </w:p>
        </w:tc>
        <w:tc>
          <w:tcPr>
            <w:tcW w:w="1935" w:type="dxa"/>
            <w:tcBorders>
              <w:left w:val="nil"/>
              <w:bottom w:val="single" w:sz="4" w:space="0" w:color="auto"/>
              <w:right w:val="nil"/>
            </w:tcBorders>
          </w:tcPr>
          <w:p w14:paraId="5A50C765" w14:textId="77777777" w:rsidR="002B61A7" w:rsidRDefault="002B61A7" w:rsidP="0015446E">
            <w:pPr>
              <w:pStyle w:val="NoSpacing"/>
              <w:jc w:val="center"/>
            </w:pPr>
            <w:r>
              <w:t>3.68</w:t>
            </w:r>
          </w:p>
          <w:p w14:paraId="67FE65A6" w14:textId="77777777" w:rsidR="002B61A7" w:rsidRDefault="002B61A7" w:rsidP="0015446E">
            <w:pPr>
              <w:pStyle w:val="NoSpacing"/>
              <w:jc w:val="center"/>
            </w:pPr>
            <w:r>
              <w:t>(2.74 to 4.94)</w:t>
            </w:r>
          </w:p>
        </w:tc>
        <w:tc>
          <w:tcPr>
            <w:tcW w:w="828" w:type="dxa"/>
            <w:tcBorders>
              <w:left w:val="nil"/>
              <w:bottom w:val="single" w:sz="4" w:space="0" w:color="auto"/>
              <w:right w:val="nil"/>
            </w:tcBorders>
          </w:tcPr>
          <w:p w14:paraId="258E8A17" w14:textId="77777777" w:rsidR="002B61A7" w:rsidRDefault="002B61A7" w:rsidP="0015446E">
            <w:pPr>
              <w:pStyle w:val="NoSpacing"/>
              <w:jc w:val="center"/>
            </w:pPr>
            <w:r>
              <w:t>&lt;0.001</w:t>
            </w:r>
          </w:p>
        </w:tc>
        <w:tc>
          <w:tcPr>
            <w:tcW w:w="1858" w:type="dxa"/>
            <w:tcBorders>
              <w:left w:val="nil"/>
              <w:bottom w:val="single" w:sz="4" w:space="0" w:color="auto"/>
              <w:right w:val="nil"/>
            </w:tcBorders>
          </w:tcPr>
          <w:p w14:paraId="685466B3" w14:textId="77777777" w:rsidR="002B61A7" w:rsidRDefault="002B61A7" w:rsidP="0015446E">
            <w:pPr>
              <w:pStyle w:val="NoSpacing"/>
              <w:jc w:val="center"/>
            </w:pPr>
            <w:r>
              <w:t>1.89</w:t>
            </w:r>
          </w:p>
          <w:p w14:paraId="08F4D2C6" w14:textId="77777777" w:rsidR="002B61A7" w:rsidRDefault="002B61A7" w:rsidP="0015446E">
            <w:pPr>
              <w:pStyle w:val="NoSpacing"/>
              <w:jc w:val="center"/>
            </w:pPr>
            <w:r>
              <w:t>(1.33 to 2.70)</w:t>
            </w:r>
          </w:p>
        </w:tc>
        <w:tc>
          <w:tcPr>
            <w:tcW w:w="828" w:type="dxa"/>
            <w:tcBorders>
              <w:left w:val="nil"/>
              <w:bottom w:val="single" w:sz="4" w:space="0" w:color="auto"/>
            </w:tcBorders>
          </w:tcPr>
          <w:p w14:paraId="33469F11" w14:textId="77777777" w:rsidR="002B61A7" w:rsidRDefault="002B61A7" w:rsidP="0015446E">
            <w:pPr>
              <w:pStyle w:val="NoSpacing"/>
              <w:jc w:val="center"/>
            </w:pPr>
            <w:r>
              <w:t>&lt;0.001</w:t>
            </w:r>
          </w:p>
        </w:tc>
      </w:tr>
      <w:tr w:rsidR="002B61A7" w14:paraId="62806FF4" w14:textId="77777777" w:rsidTr="00EF3D83">
        <w:tc>
          <w:tcPr>
            <w:tcW w:w="1690" w:type="dxa"/>
            <w:tcBorders>
              <w:top w:val="nil"/>
              <w:bottom w:val="single" w:sz="4" w:space="0" w:color="auto"/>
            </w:tcBorders>
          </w:tcPr>
          <w:p w14:paraId="3E04429E" w14:textId="77777777" w:rsidR="002B61A7" w:rsidRDefault="002B61A7" w:rsidP="0015446E">
            <w:pPr>
              <w:pStyle w:val="NoSpacing"/>
              <w:jc w:val="center"/>
            </w:pPr>
            <w:r>
              <w:t>Other</w:t>
            </w:r>
          </w:p>
        </w:tc>
        <w:tc>
          <w:tcPr>
            <w:tcW w:w="1445" w:type="dxa"/>
            <w:tcBorders>
              <w:bottom w:val="single" w:sz="4" w:space="0" w:color="auto"/>
              <w:right w:val="nil"/>
            </w:tcBorders>
          </w:tcPr>
          <w:p w14:paraId="447C8EA6" w14:textId="77777777" w:rsidR="002B61A7" w:rsidRDefault="002B61A7" w:rsidP="0015446E">
            <w:pPr>
              <w:pStyle w:val="NoSpacing"/>
              <w:jc w:val="center"/>
            </w:pPr>
            <w:r>
              <w:t>29</w:t>
            </w:r>
          </w:p>
          <w:p w14:paraId="79795BAE" w14:textId="77777777" w:rsidR="002B61A7" w:rsidRDefault="002B61A7" w:rsidP="0015446E">
            <w:pPr>
              <w:pStyle w:val="NoSpacing"/>
              <w:jc w:val="center"/>
            </w:pPr>
            <w:r>
              <w:t>(17.8)</w:t>
            </w:r>
          </w:p>
        </w:tc>
        <w:tc>
          <w:tcPr>
            <w:tcW w:w="1309" w:type="dxa"/>
            <w:tcBorders>
              <w:left w:val="nil"/>
              <w:bottom w:val="single" w:sz="4" w:space="0" w:color="auto"/>
              <w:right w:val="nil"/>
            </w:tcBorders>
          </w:tcPr>
          <w:p w14:paraId="3FBF1933" w14:textId="77777777" w:rsidR="002B61A7" w:rsidRDefault="002B61A7" w:rsidP="0015446E">
            <w:pPr>
              <w:pStyle w:val="NoSpacing"/>
              <w:jc w:val="center"/>
            </w:pPr>
            <w:r>
              <w:t>134</w:t>
            </w:r>
          </w:p>
          <w:p w14:paraId="21367E17" w14:textId="77777777" w:rsidR="002B61A7" w:rsidRDefault="002B61A7" w:rsidP="0015446E">
            <w:pPr>
              <w:pStyle w:val="NoSpacing"/>
              <w:jc w:val="center"/>
            </w:pPr>
            <w:r>
              <w:t>(82.2)</w:t>
            </w:r>
          </w:p>
        </w:tc>
        <w:tc>
          <w:tcPr>
            <w:tcW w:w="1935" w:type="dxa"/>
            <w:tcBorders>
              <w:left w:val="nil"/>
              <w:bottom w:val="single" w:sz="4" w:space="0" w:color="auto"/>
              <w:right w:val="nil"/>
            </w:tcBorders>
          </w:tcPr>
          <w:p w14:paraId="428FF38D" w14:textId="77777777" w:rsidR="002B61A7" w:rsidRDefault="002B61A7" w:rsidP="0015446E">
            <w:pPr>
              <w:pStyle w:val="NoSpacing"/>
              <w:jc w:val="center"/>
            </w:pPr>
            <w:r>
              <w:t>1.45</w:t>
            </w:r>
          </w:p>
          <w:p w14:paraId="277F2EBB" w14:textId="77777777" w:rsidR="002B61A7" w:rsidRDefault="002B61A7" w:rsidP="0015446E">
            <w:pPr>
              <w:pStyle w:val="NoSpacing"/>
              <w:jc w:val="center"/>
            </w:pPr>
            <w:r>
              <w:t>(0.96 to 2.20)</w:t>
            </w:r>
          </w:p>
        </w:tc>
        <w:tc>
          <w:tcPr>
            <w:tcW w:w="828" w:type="dxa"/>
            <w:tcBorders>
              <w:left w:val="nil"/>
              <w:bottom w:val="single" w:sz="4" w:space="0" w:color="auto"/>
              <w:right w:val="nil"/>
            </w:tcBorders>
          </w:tcPr>
          <w:p w14:paraId="553092D9" w14:textId="77777777" w:rsidR="002B61A7" w:rsidRDefault="002B61A7" w:rsidP="0015446E">
            <w:pPr>
              <w:pStyle w:val="NoSpacing"/>
              <w:jc w:val="center"/>
            </w:pPr>
            <w:r>
              <w:t>0.079</w:t>
            </w:r>
          </w:p>
        </w:tc>
        <w:tc>
          <w:tcPr>
            <w:tcW w:w="1858" w:type="dxa"/>
            <w:tcBorders>
              <w:left w:val="nil"/>
              <w:bottom w:val="single" w:sz="4" w:space="0" w:color="auto"/>
              <w:right w:val="nil"/>
            </w:tcBorders>
          </w:tcPr>
          <w:p w14:paraId="437E83A5" w14:textId="77777777" w:rsidR="002B61A7" w:rsidRDefault="002B61A7" w:rsidP="0015446E">
            <w:pPr>
              <w:pStyle w:val="NoSpacing"/>
              <w:jc w:val="center"/>
            </w:pPr>
            <w:r>
              <w:t>1.39</w:t>
            </w:r>
          </w:p>
          <w:p w14:paraId="678D3199" w14:textId="77777777" w:rsidR="002B61A7" w:rsidRDefault="002B61A7" w:rsidP="0015446E">
            <w:pPr>
              <w:pStyle w:val="NoSpacing"/>
              <w:jc w:val="center"/>
            </w:pPr>
            <w:r>
              <w:t>(0.87 to 2.22)</w:t>
            </w:r>
          </w:p>
        </w:tc>
        <w:tc>
          <w:tcPr>
            <w:tcW w:w="828" w:type="dxa"/>
            <w:tcBorders>
              <w:left w:val="nil"/>
              <w:bottom w:val="single" w:sz="4" w:space="0" w:color="auto"/>
            </w:tcBorders>
          </w:tcPr>
          <w:p w14:paraId="2EB4A090" w14:textId="77777777" w:rsidR="002B61A7" w:rsidRDefault="002B61A7" w:rsidP="0015446E">
            <w:pPr>
              <w:pStyle w:val="NoSpacing"/>
              <w:jc w:val="center"/>
            </w:pPr>
            <w:r>
              <w:t>0.173</w:t>
            </w:r>
          </w:p>
        </w:tc>
      </w:tr>
      <w:tr w:rsidR="002B61A7" w14:paraId="13A3110D" w14:textId="77777777" w:rsidTr="00EF3D83">
        <w:tc>
          <w:tcPr>
            <w:tcW w:w="1690" w:type="dxa"/>
            <w:tcBorders>
              <w:bottom w:val="single" w:sz="4" w:space="0" w:color="auto"/>
              <w:right w:val="nil"/>
            </w:tcBorders>
            <w:shd w:val="clear" w:color="auto" w:fill="BFBFBF" w:themeFill="background1" w:themeFillShade="BF"/>
          </w:tcPr>
          <w:p w14:paraId="7453D3F5" w14:textId="77777777" w:rsidR="002B61A7" w:rsidRDefault="002B61A7" w:rsidP="0015446E">
            <w:pPr>
              <w:pStyle w:val="NoSpacing"/>
            </w:pPr>
            <w:r>
              <w:t>Detention Status</w:t>
            </w:r>
          </w:p>
          <w:p w14:paraId="4EF7428F" w14:textId="77777777" w:rsidR="002B61A7" w:rsidRDefault="002B61A7" w:rsidP="0015446E">
            <w:pPr>
              <w:pStyle w:val="NoSpacing"/>
              <w:jc w:val="center"/>
            </w:pPr>
            <w:r>
              <w:t>n = 3795</w:t>
            </w:r>
          </w:p>
        </w:tc>
        <w:tc>
          <w:tcPr>
            <w:tcW w:w="1445" w:type="dxa"/>
            <w:tcBorders>
              <w:left w:val="nil"/>
              <w:bottom w:val="single" w:sz="4" w:space="0" w:color="auto"/>
              <w:right w:val="nil"/>
            </w:tcBorders>
            <w:shd w:val="clear" w:color="auto" w:fill="BFBFBF" w:themeFill="background1" w:themeFillShade="BF"/>
          </w:tcPr>
          <w:p w14:paraId="7EC138CB" w14:textId="77777777" w:rsidR="002B61A7" w:rsidRDefault="002B61A7" w:rsidP="0015446E">
            <w:pPr>
              <w:pStyle w:val="NoSpacing"/>
              <w:jc w:val="center"/>
            </w:pPr>
          </w:p>
        </w:tc>
        <w:tc>
          <w:tcPr>
            <w:tcW w:w="1309" w:type="dxa"/>
            <w:tcBorders>
              <w:left w:val="nil"/>
              <w:bottom w:val="single" w:sz="4" w:space="0" w:color="auto"/>
              <w:right w:val="nil"/>
            </w:tcBorders>
            <w:shd w:val="clear" w:color="auto" w:fill="BFBFBF" w:themeFill="background1" w:themeFillShade="BF"/>
          </w:tcPr>
          <w:p w14:paraId="55ACC393" w14:textId="77777777" w:rsidR="002B61A7" w:rsidRDefault="002B61A7" w:rsidP="0015446E">
            <w:pPr>
              <w:pStyle w:val="NoSpacing"/>
              <w:jc w:val="center"/>
            </w:pPr>
          </w:p>
        </w:tc>
        <w:tc>
          <w:tcPr>
            <w:tcW w:w="1935" w:type="dxa"/>
            <w:tcBorders>
              <w:left w:val="nil"/>
              <w:bottom w:val="single" w:sz="4" w:space="0" w:color="auto"/>
              <w:right w:val="nil"/>
            </w:tcBorders>
            <w:shd w:val="clear" w:color="auto" w:fill="BFBFBF" w:themeFill="background1" w:themeFillShade="BF"/>
          </w:tcPr>
          <w:p w14:paraId="5FD7B3BE" w14:textId="77777777" w:rsidR="002B61A7" w:rsidRDefault="002B61A7" w:rsidP="0015446E">
            <w:pPr>
              <w:pStyle w:val="NoSpacing"/>
              <w:jc w:val="center"/>
            </w:pPr>
          </w:p>
        </w:tc>
        <w:tc>
          <w:tcPr>
            <w:tcW w:w="828" w:type="dxa"/>
            <w:tcBorders>
              <w:left w:val="nil"/>
              <w:bottom w:val="single" w:sz="4" w:space="0" w:color="auto"/>
              <w:right w:val="nil"/>
            </w:tcBorders>
            <w:shd w:val="clear" w:color="auto" w:fill="BFBFBF" w:themeFill="background1" w:themeFillShade="BF"/>
          </w:tcPr>
          <w:p w14:paraId="71177BF4" w14:textId="77777777" w:rsidR="002B61A7" w:rsidRDefault="002B61A7" w:rsidP="0015446E">
            <w:pPr>
              <w:pStyle w:val="NoSpacing"/>
              <w:jc w:val="center"/>
            </w:pPr>
          </w:p>
        </w:tc>
        <w:tc>
          <w:tcPr>
            <w:tcW w:w="1858" w:type="dxa"/>
            <w:tcBorders>
              <w:left w:val="nil"/>
              <w:bottom w:val="single" w:sz="4" w:space="0" w:color="auto"/>
              <w:right w:val="nil"/>
            </w:tcBorders>
            <w:shd w:val="clear" w:color="auto" w:fill="BFBFBF" w:themeFill="background1" w:themeFillShade="BF"/>
          </w:tcPr>
          <w:p w14:paraId="2CFB2A1D" w14:textId="77777777" w:rsidR="002B61A7" w:rsidRDefault="002B61A7" w:rsidP="0015446E">
            <w:pPr>
              <w:pStyle w:val="NoSpacing"/>
              <w:jc w:val="center"/>
            </w:pPr>
          </w:p>
        </w:tc>
        <w:tc>
          <w:tcPr>
            <w:tcW w:w="828" w:type="dxa"/>
            <w:tcBorders>
              <w:left w:val="nil"/>
              <w:bottom w:val="single" w:sz="4" w:space="0" w:color="auto"/>
            </w:tcBorders>
            <w:shd w:val="clear" w:color="auto" w:fill="BFBFBF" w:themeFill="background1" w:themeFillShade="BF"/>
          </w:tcPr>
          <w:p w14:paraId="3A8B78B8" w14:textId="77777777" w:rsidR="002B61A7" w:rsidRDefault="002B61A7" w:rsidP="0015446E">
            <w:pPr>
              <w:pStyle w:val="NoSpacing"/>
              <w:jc w:val="center"/>
            </w:pPr>
          </w:p>
        </w:tc>
      </w:tr>
      <w:tr w:rsidR="002B61A7" w14:paraId="464F0297" w14:textId="77777777" w:rsidTr="00EF3D83">
        <w:tc>
          <w:tcPr>
            <w:tcW w:w="1690" w:type="dxa"/>
            <w:tcBorders>
              <w:bottom w:val="nil"/>
            </w:tcBorders>
          </w:tcPr>
          <w:p w14:paraId="71D1C9E8" w14:textId="77777777" w:rsidR="002B61A7" w:rsidRDefault="002B61A7" w:rsidP="0015446E">
            <w:pPr>
              <w:pStyle w:val="NoSpacing"/>
              <w:jc w:val="center"/>
            </w:pPr>
            <w:r>
              <w:t>Voluntary</w:t>
            </w:r>
          </w:p>
          <w:p w14:paraId="183BAD3D" w14:textId="77777777" w:rsidR="002B61A7" w:rsidRDefault="002B61A7" w:rsidP="0015446E">
            <w:pPr>
              <w:pStyle w:val="NoSpacing"/>
              <w:jc w:val="center"/>
            </w:pPr>
          </w:p>
        </w:tc>
        <w:tc>
          <w:tcPr>
            <w:tcW w:w="1445" w:type="dxa"/>
            <w:tcBorders>
              <w:bottom w:val="single" w:sz="4" w:space="0" w:color="auto"/>
              <w:right w:val="nil"/>
            </w:tcBorders>
          </w:tcPr>
          <w:p w14:paraId="4471BCA0" w14:textId="77777777" w:rsidR="002B61A7" w:rsidRDefault="002B61A7" w:rsidP="0015446E">
            <w:pPr>
              <w:pStyle w:val="NoSpacing"/>
              <w:jc w:val="center"/>
            </w:pPr>
            <w:r>
              <w:t>479</w:t>
            </w:r>
          </w:p>
          <w:p w14:paraId="5A5E1A31" w14:textId="77777777" w:rsidR="002B61A7" w:rsidRDefault="002B61A7" w:rsidP="0015446E">
            <w:pPr>
              <w:pStyle w:val="NoSpacing"/>
              <w:jc w:val="center"/>
            </w:pPr>
            <w:r>
              <w:t>(15.1)</w:t>
            </w:r>
          </w:p>
        </w:tc>
        <w:tc>
          <w:tcPr>
            <w:tcW w:w="1309" w:type="dxa"/>
            <w:tcBorders>
              <w:left w:val="nil"/>
              <w:bottom w:val="single" w:sz="4" w:space="0" w:color="auto"/>
              <w:right w:val="nil"/>
            </w:tcBorders>
          </w:tcPr>
          <w:p w14:paraId="671FC25C" w14:textId="77777777" w:rsidR="002B61A7" w:rsidRDefault="002B61A7" w:rsidP="0015446E">
            <w:pPr>
              <w:pStyle w:val="NoSpacing"/>
              <w:jc w:val="center"/>
            </w:pPr>
            <w:r>
              <w:t>2686</w:t>
            </w:r>
          </w:p>
          <w:p w14:paraId="4870273A" w14:textId="77777777" w:rsidR="002B61A7" w:rsidRDefault="002B61A7" w:rsidP="0015446E">
            <w:pPr>
              <w:pStyle w:val="NoSpacing"/>
              <w:jc w:val="center"/>
            </w:pPr>
            <w:r>
              <w:t>(84.9)</w:t>
            </w:r>
          </w:p>
        </w:tc>
        <w:tc>
          <w:tcPr>
            <w:tcW w:w="1935" w:type="dxa"/>
            <w:tcBorders>
              <w:left w:val="nil"/>
              <w:bottom w:val="single" w:sz="4" w:space="0" w:color="auto"/>
              <w:right w:val="nil"/>
            </w:tcBorders>
          </w:tcPr>
          <w:p w14:paraId="119DB3D1" w14:textId="77777777" w:rsidR="002B61A7" w:rsidRDefault="002B61A7" w:rsidP="0015446E">
            <w:pPr>
              <w:pStyle w:val="NoSpacing"/>
              <w:jc w:val="center"/>
            </w:pPr>
            <w:r>
              <w:t>Ref</w:t>
            </w:r>
          </w:p>
        </w:tc>
        <w:tc>
          <w:tcPr>
            <w:tcW w:w="828" w:type="dxa"/>
            <w:tcBorders>
              <w:left w:val="nil"/>
              <w:bottom w:val="single" w:sz="4" w:space="0" w:color="auto"/>
              <w:right w:val="nil"/>
            </w:tcBorders>
          </w:tcPr>
          <w:p w14:paraId="6A0800EF" w14:textId="77777777" w:rsidR="002B61A7" w:rsidRDefault="002B61A7" w:rsidP="0015446E">
            <w:pPr>
              <w:pStyle w:val="NoSpacing"/>
              <w:jc w:val="center"/>
            </w:pPr>
          </w:p>
        </w:tc>
        <w:tc>
          <w:tcPr>
            <w:tcW w:w="1858" w:type="dxa"/>
            <w:tcBorders>
              <w:left w:val="nil"/>
              <w:bottom w:val="single" w:sz="4" w:space="0" w:color="auto"/>
              <w:right w:val="nil"/>
            </w:tcBorders>
          </w:tcPr>
          <w:p w14:paraId="5018D0E0" w14:textId="77777777" w:rsidR="002B61A7" w:rsidRDefault="002B61A7" w:rsidP="0015446E">
            <w:pPr>
              <w:pStyle w:val="NoSpacing"/>
              <w:jc w:val="center"/>
            </w:pPr>
            <w:r>
              <w:t>Ref</w:t>
            </w:r>
          </w:p>
        </w:tc>
        <w:tc>
          <w:tcPr>
            <w:tcW w:w="828" w:type="dxa"/>
            <w:tcBorders>
              <w:left w:val="nil"/>
              <w:bottom w:val="single" w:sz="4" w:space="0" w:color="auto"/>
            </w:tcBorders>
          </w:tcPr>
          <w:p w14:paraId="63120B79" w14:textId="77777777" w:rsidR="002B61A7" w:rsidRDefault="002B61A7" w:rsidP="0015446E">
            <w:pPr>
              <w:pStyle w:val="NoSpacing"/>
              <w:jc w:val="center"/>
            </w:pPr>
          </w:p>
        </w:tc>
      </w:tr>
      <w:tr w:rsidR="002B61A7" w14:paraId="0324DDBB" w14:textId="77777777" w:rsidTr="00EF3D83">
        <w:tc>
          <w:tcPr>
            <w:tcW w:w="1690" w:type="dxa"/>
            <w:tcBorders>
              <w:top w:val="nil"/>
              <w:bottom w:val="single" w:sz="4" w:space="0" w:color="auto"/>
            </w:tcBorders>
          </w:tcPr>
          <w:p w14:paraId="60232854" w14:textId="77777777" w:rsidR="002B61A7" w:rsidRDefault="002B61A7" w:rsidP="0015446E">
            <w:pPr>
              <w:pStyle w:val="NoSpacing"/>
              <w:jc w:val="center"/>
            </w:pPr>
            <w:r>
              <w:t>Involuntary</w:t>
            </w:r>
          </w:p>
        </w:tc>
        <w:tc>
          <w:tcPr>
            <w:tcW w:w="1445" w:type="dxa"/>
            <w:tcBorders>
              <w:bottom w:val="single" w:sz="4" w:space="0" w:color="auto"/>
              <w:right w:val="nil"/>
            </w:tcBorders>
          </w:tcPr>
          <w:p w14:paraId="3FCF17AD" w14:textId="77777777" w:rsidR="002B61A7" w:rsidRDefault="002B61A7" w:rsidP="0015446E">
            <w:pPr>
              <w:pStyle w:val="NoSpacing"/>
              <w:jc w:val="center"/>
            </w:pPr>
            <w:r>
              <w:t>64</w:t>
            </w:r>
          </w:p>
          <w:p w14:paraId="06CC16AD" w14:textId="77777777" w:rsidR="002B61A7" w:rsidRDefault="002B61A7" w:rsidP="0015446E">
            <w:pPr>
              <w:pStyle w:val="NoSpacing"/>
              <w:jc w:val="center"/>
            </w:pPr>
            <w:r>
              <w:t>(10.2)</w:t>
            </w:r>
          </w:p>
        </w:tc>
        <w:tc>
          <w:tcPr>
            <w:tcW w:w="1309" w:type="dxa"/>
            <w:tcBorders>
              <w:left w:val="nil"/>
              <w:bottom w:val="single" w:sz="4" w:space="0" w:color="auto"/>
              <w:right w:val="nil"/>
            </w:tcBorders>
          </w:tcPr>
          <w:p w14:paraId="5E8EA19E" w14:textId="77777777" w:rsidR="002B61A7" w:rsidRDefault="002B61A7" w:rsidP="0015446E">
            <w:pPr>
              <w:pStyle w:val="NoSpacing"/>
              <w:jc w:val="center"/>
            </w:pPr>
            <w:r>
              <w:t>566</w:t>
            </w:r>
          </w:p>
          <w:p w14:paraId="20DB2223" w14:textId="77777777" w:rsidR="002B61A7" w:rsidRDefault="002B61A7" w:rsidP="0015446E">
            <w:pPr>
              <w:pStyle w:val="NoSpacing"/>
              <w:jc w:val="center"/>
            </w:pPr>
            <w:r>
              <w:t>(89.8)</w:t>
            </w:r>
          </w:p>
        </w:tc>
        <w:tc>
          <w:tcPr>
            <w:tcW w:w="1935" w:type="dxa"/>
            <w:tcBorders>
              <w:left w:val="nil"/>
              <w:bottom w:val="single" w:sz="4" w:space="0" w:color="auto"/>
              <w:right w:val="nil"/>
            </w:tcBorders>
          </w:tcPr>
          <w:p w14:paraId="11B9563C" w14:textId="77777777" w:rsidR="002B61A7" w:rsidRDefault="002B61A7" w:rsidP="0015446E">
            <w:pPr>
              <w:pStyle w:val="NoSpacing"/>
              <w:jc w:val="center"/>
            </w:pPr>
            <w:r>
              <w:t>0.63</w:t>
            </w:r>
          </w:p>
          <w:p w14:paraId="0E2DF425" w14:textId="77777777" w:rsidR="002B61A7" w:rsidRDefault="002B61A7" w:rsidP="0015446E">
            <w:pPr>
              <w:pStyle w:val="NoSpacing"/>
              <w:jc w:val="center"/>
            </w:pPr>
            <w:r>
              <w:t>(0.48 to 0.84)</w:t>
            </w:r>
          </w:p>
        </w:tc>
        <w:tc>
          <w:tcPr>
            <w:tcW w:w="828" w:type="dxa"/>
            <w:tcBorders>
              <w:left w:val="nil"/>
              <w:bottom w:val="single" w:sz="4" w:space="0" w:color="auto"/>
              <w:right w:val="nil"/>
            </w:tcBorders>
          </w:tcPr>
          <w:p w14:paraId="13FBF9B3" w14:textId="77777777" w:rsidR="002B61A7" w:rsidRDefault="002B61A7" w:rsidP="0015446E">
            <w:pPr>
              <w:pStyle w:val="NoSpacing"/>
              <w:jc w:val="center"/>
            </w:pPr>
            <w:r>
              <w:t>0.001</w:t>
            </w:r>
          </w:p>
        </w:tc>
        <w:tc>
          <w:tcPr>
            <w:tcW w:w="1858" w:type="dxa"/>
            <w:tcBorders>
              <w:left w:val="nil"/>
              <w:bottom w:val="single" w:sz="4" w:space="0" w:color="auto"/>
              <w:right w:val="nil"/>
            </w:tcBorders>
          </w:tcPr>
          <w:p w14:paraId="44A6FBBA" w14:textId="77777777" w:rsidR="002B61A7" w:rsidRDefault="002B61A7" w:rsidP="0015446E">
            <w:pPr>
              <w:pStyle w:val="NoSpacing"/>
              <w:jc w:val="center"/>
            </w:pPr>
            <w:r>
              <w:t>0.71</w:t>
            </w:r>
          </w:p>
          <w:p w14:paraId="5513F525" w14:textId="77777777" w:rsidR="002B61A7" w:rsidRDefault="002B61A7" w:rsidP="0015446E">
            <w:pPr>
              <w:pStyle w:val="NoSpacing"/>
              <w:jc w:val="center"/>
            </w:pPr>
            <w:r>
              <w:t>(0.51 to 0.98)</w:t>
            </w:r>
          </w:p>
        </w:tc>
        <w:tc>
          <w:tcPr>
            <w:tcW w:w="828" w:type="dxa"/>
            <w:tcBorders>
              <w:left w:val="nil"/>
              <w:bottom w:val="single" w:sz="4" w:space="0" w:color="auto"/>
            </w:tcBorders>
          </w:tcPr>
          <w:p w14:paraId="79B07FD4" w14:textId="77777777" w:rsidR="002B61A7" w:rsidRDefault="002B61A7" w:rsidP="0015446E">
            <w:pPr>
              <w:pStyle w:val="NoSpacing"/>
              <w:jc w:val="center"/>
            </w:pPr>
            <w:r>
              <w:t>0.035</w:t>
            </w:r>
          </w:p>
        </w:tc>
      </w:tr>
      <w:tr w:rsidR="002B61A7" w14:paraId="16F87A8A" w14:textId="77777777" w:rsidTr="00EF3D83">
        <w:tc>
          <w:tcPr>
            <w:tcW w:w="1690" w:type="dxa"/>
            <w:tcBorders>
              <w:right w:val="nil"/>
            </w:tcBorders>
            <w:shd w:val="clear" w:color="auto" w:fill="D9E2F3" w:themeFill="accent1" w:themeFillTint="33"/>
          </w:tcPr>
          <w:p w14:paraId="385B1032" w14:textId="77777777" w:rsidR="002B61A7" w:rsidRDefault="002B61A7" w:rsidP="0015446E">
            <w:pPr>
              <w:pStyle w:val="NoSpacing"/>
              <w:jc w:val="center"/>
            </w:pPr>
          </w:p>
        </w:tc>
        <w:tc>
          <w:tcPr>
            <w:tcW w:w="1445" w:type="dxa"/>
            <w:tcBorders>
              <w:left w:val="nil"/>
              <w:right w:val="nil"/>
            </w:tcBorders>
            <w:shd w:val="clear" w:color="auto" w:fill="D9E2F3" w:themeFill="accent1" w:themeFillTint="33"/>
          </w:tcPr>
          <w:p w14:paraId="18893007" w14:textId="77777777" w:rsidR="002B61A7" w:rsidRDefault="002B61A7" w:rsidP="0015446E">
            <w:pPr>
              <w:pStyle w:val="NoSpacing"/>
              <w:jc w:val="center"/>
            </w:pPr>
            <w:r>
              <w:t>Substance Disorder</w:t>
            </w:r>
          </w:p>
          <w:p w14:paraId="62042933" w14:textId="77777777" w:rsidR="002B61A7" w:rsidRDefault="002B61A7" w:rsidP="0015446E">
            <w:pPr>
              <w:pStyle w:val="NoSpacing"/>
              <w:jc w:val="center"/>
            </w:pPr>
            <w:r>
              <w:t>Mean</w:t>
            </w:r>
          </w:p>
          <w:p w14:paraId="54AD6D42" w14:textId="77777777" w:rsidR="002B61A7" w:rsidRDefault="002B61A7" w:rsidP="0015446E">
            <w:pPr>
              <w:pStyle w:val="NoSpacing"/>
              <w:jc w:val="center"/>
            </w:pPr>
            <w:r>
              <w:t>Median</w:t>
            </w:r>
          </w:p>
          <w:p w14:paraId="1C454DC0" w14:textId="77777777" w:rsidR="002B61A7" w:rsidRDefault="002B61A7" w:rsidP="0015446E">
            <w:pPr>
              <w:pStyle w:val="NoSpacing"/>
              <w:jc w:val="center"/>
            </w:pPr>
            <w:r>
              <w:t>STD</w:t>
            </w:r>
          </w:p>
        </w:tc>
        <w:tc>
          <w:tcPr>
            <w:tcW w:w="1309" w:type="dxa"/>
            <w:tcBorders>
              <w:left w:val="nil"/>
              <w:right w:val="nil"/>
            </w:tcBorders>
            <w:shd w:val="clear" w:color="auto" w:fill="D9E2F3" w:themeFill="accent1" w:themeFillTint="33"/>
          </w:tcPr>
          <w:p w14:paraId="29C4913F" w14:textId="77777777" w:rsidR="002B61A7" w:rsidRDefault="002B61A7" w:rsidP="0015446E">
            <w:pPr>
              <w:pStyle w:val="NoSpacing"/>
              <w:jc w:val="center"/>
            </w:pPr>
            <w:r>
              <w:t>No Substance Disorder</w:t>
            </w:r>
          </w:p>
          <w:p w14:paraId="7504F733" w14:textId="77777777" w:rsidR="002B61A7" w:rsidRDefault="002B61A7" w:rsidP="0015446E">
            <w:pPr>
              <w:pStyle w:val="NoSpacing"/>
              <w:jc w:val="center"/>
            </w:pPr>
            <w:r>
              <w:t>Mean</w:t>
            </w:r>
          </w:p>
          <w:p w14:paraId="5A8C4D25" w14:textId="77777777" w:rsidR="002B61A7" w:rsidRDefault="002B61A7" w:rsidP="0015446E">
            <w:pPr>
              <w:pStyle w:val="NoSpacing"/>
              <w:jc w:val="center"/>
            </w:pPr>
            <w:r>
              <w:t>Median</w:t>
            </w:r>
          </w:p>
          <w:p w14:paraId="53787AC1" w14:textId="77777777" w:rsidR="002B61A7" w:rsidRPr="00D90E0E" w:rsidRDefault="002B61A7" w:rsidP="0015446E">
            <w:pPr>
              <w:pStyle w:val="NoSpacing"/>
              <w:jc w:val="center"/>
            </w:pPr>
            <w:r>
              <w:t>STD</w:t>
            </w:r>
          </w:p>
        </w:tc>
        <w:tc>
          <w:tcPr>
            <w:tcW w:w="1935" w:type="dxa"/>
            <w:tcBorders>
              <w:left w:val="nil"/>
              <w:right w:val="nil"/>
            </w:tcBorders>
            <w:shd w:val="clear" w:color="auto" w:fill="D9E2F3" w:themeFill="accent1" w:themeFillTint="33"/>
          </w:tcPr>
          <w:p w14:paraId="500A10AF" w14:textId="77777777" w:rsidR="002B61A7" w:rsidRDefault="002B61A7" w:rsidP="0015446E">
            <w:pPr>
              <w:pStyle w:val="NoSpacing"/>
              <w:jc w:val="center"/>
            </w:pPr>
          </w:p>
          <w:p w14:paraId="2D2EE9DC" w14:textId="77777777" w:rsidR="002B61A7" w:rsidRDefault="002B61A7" w:rsidP="0015446E">
            <w:pPr>
              <w:pStyle w:val="NoSpacing"/>
              <w:jc w:val="center"/>
            </w:pPr>
            <w:r>
              <w:t>Unadjusted</w:t>
            </w:r>
          </w:p>
          <w:p w14:paraId="7BCE600E" w14:textId="77777777" w:rsidR="002B61A7" w:rsidRDefault="002B61A7" w:rsidP="0015446E">
            <w:pPr>
              <w:pStyle w:val="NoSpacing"/>
              <w:jc w:val="center"/>
            </w:pPr>
            <w:r>
              <w:t>B coefficient</w:t>
            </w:r>
          </w:p>
          <w:p w14:paraId="3747EFB3" w14:textId="77777777" w:rsidR="002B61A7" w:rsidRDefault="002B61A7" w:rsidP="0015446E">
            <w:pPr>
              <w:pStyle w:val="NoSpacing"/>
              <w:jc w:val="center"/>
            </w:pPr>
            <w:r>
              <w:t>95% CI</w:t>
            </w:r>
          </w:p>
        </w:tc>
        <w:tc>
          <w:tcPr>
            <w:tcW w:w="828" w:type="dxa"/>
            <w:tcBorders>
              <w:left w:val="nil"/>
              <w:right w:val="nil"/>
            </w:tcBorders>
            <w:shd w:val="clear" w:color="auto" w:fill="D9E2F3" w:themeFill="accent1" w:themeFillTint="33"/>
          </w:tcPr>
          <w:p w14:paraId="5DC36E2F" w14:textId="77777777" w:rsidR="002B61A7" w:rsidRDefault="002B61A7" w:rsidP="0015446E">
            <w:pPr>
              <w:pStyle w:val="NoSpacing"/>
              <w:jc w:val="center"/>
            </w:pPr>
          </w:p>
          <w:p w14:paraId="2D66D7D8" w14:textId="77777777" w:rsidR="002B61A7" w:rsidRDefault="002B61A7" w:rsidP="0015446E">
            <w:pPr>
              <w:pStyle w:val="NoSpacing"/>
              <w:jc w:val="center"/>
            </w:pPr>
            <w:r>
              <w:t>P</w:t>
            </w:r>
          </w:p>
        </w:tc>
        <w:tc>
          <w:tcPr>
            <w:tcW w:w="1858" w:type="dxa"/>
            <w:tcBorders>
              <w:left w:val="nil"/>
              <w:right w:val="nil"/>
            </w:tcBorders>
            <w:shd w:val="clear" w:color="auto" w:fill="D9E2F3" w:themeFill="accent1" w:themeFillTint="33"/>
          </w:tcPr>
          <w:p w14:paraId="5D7339FB" w14:textId="77777777" w:rsidR="002B61A7" w:rsidRDefault="002B61A7" w:rsidP="0015446E">
            <w:pPr>
              <w:pStyle w:val="NoSpacing"/>
              <w:jc w:val="center"/>
            </w:pPr>
          </w:p>
          <w:p w14:paraId="28843B16" w14:textId="77777777" w:rsidR="002B61A7" w:rsidRPr="00BC6BC0" w:rsidRDefault="002B61A7" w:rsidP="0015446E">
            <w:pPr>
              <w:pStyle w:val="NoSpacing"/>
              <w:jc w:val="center"/>
              <w:rPr>
                <w:vertAlign w:val="superscript"/>
              </w:rPr>
            </w:pPr>
            <w:proofErr w:type="spellStart"/>
            <w:r>
              <w:t>Adjusted</w:t>
            </w:r>
            <w:r>
              <w:rPr>
                <w:vertAlign w:val="superscript"/>
              </w:rPr>
              <w:t>a</w:t>
            </w:r>
            <w:proofErr w:type="spellEnd"/>
          </w:p>
          <w:p w14:paraId="73DB79DB" w14:textId="77777777" w:rsidR="002B61A7" w:rsidRDefault="002B61A7" w:rsidP="0015446E">
            <w:pPr>
              <w:pStyle w:val="NoSpacing"/>
              <w:jc w:val="center"/>
            </w:pPr>
            <w:r>
              <w:t>B coefficient</w:t>
            </w:r>
          </w:p>
          <w:p w14:paraId="45DEAF9C" w14:textId="77777777" w:rsidR="002B61A7" w:rsidRDefault="002B61A7" w:rsidP="0015446E">
            <w:pPr>
              <w:pStyle w:val="NoSpacing"/>
              <w:jc w:val="center"/>
            </w:pPr>
            <w:r>
              <w:t>95% CI</w:t>
            </w:r>
          </w:p>
        </w:tc>
        <w:tc>
          <w:tcPr>
            <w:tcW w:w="828" w:type="dxa"/>
            <w:tcBorders>
              <w:left w:val="nil"/>
            </w:tcBorders>
            <w:shd w:val="clear" w:color="auto" w:fill="D9E2F3" w:themeFill="accent1" w:themeFillTint="33"/>
          </w:tcPr>
          <w:p w14:paraId="0B03C0A0" w14:textId="77777777" w:rsidR="002B61A7" w:rsidRDefault="002B61A7" w:rsidP="0015446E">
            <w:pPr>
              <w:pStyle w:val="NoSpacing"/>
              <w:jc w:val="center"/>
            </w:pPr>
          </w:p>
          <w:p w14:paraId="2A018282" w14:textId="77777777" w:rsidR="002B61A7" w:rsidRDefault="002B61A7" w:rsidP="0015446E">
            <w:pPr>
              <w:pStyle w:val="NoSpacing"/>
              <w:jc w:val="center"/>
            </w:pPr>
            <w:r>
              <w:t>P</w:t>
            </w:r>
          </w:p>
        </w:tc>
      </w:tr>
      <w:tr w:rsidR="002B61A7" w14:paraId="0469F78A" w14:textId="77777777" w:rsidTr="00EF3D83">
        <w:tc>
          <w:tcPr>
            <w:tcW w:w="1690" w:type="dxa"/>
          </w:tcPr>
          <w:p w14:paraId="5581B448" w14:textId="77777777" w:rsidR="002B61A7" w:rsidRDefault="002B61A7" w:rsidP="0015446E">
            <w:pPr>
              <w:pStyle w:val="NoSpacing"/>
              <w:jc w:val="center"/>
            </w:pPr>
            <w:r>
              <w:t>Wait time for bed</w:t>
            </w:r>
          </w:p>
          <w:p w14:paraId="6BEE182D" w14:textId="77777777" w:rsidR="002B61A7" w:rsidRDefault="002B61A7" w:rsidP="0015446E">
            <w:pPr>
              <w:pStyle w:val="NoSpacing"/>
              <w:jc w:val="center"/>
            </w:pPr>
            <w:r>
              <w:t>n=2207</w:t>
            </w:r>
          </w:p>
        </w:tc>
        <w:tc>
          <w:tcPr>
            <w:tcW w:w="1445" w:type="dxa"/>
          </w:tcPr>
          <w:p w14:paraId="28227760" w14:textId="77777777" w:rsidR="002B61A7" w:rsidRDefault="002B61A7" w:rsidP="0015446E">
            <w:pPr>
              <w:pStyle w:val="NoSpacing"/>
              <w:jc w:val="center"/>
            </w:pPr>
            <w:r>
              <w:t>20.31 hours</w:t>
            </w:r>
          </w:p>
          <w:p w14:paraId="4D4A6F9F" w14:textId="77777777" w:rsidR="002B61A7" w:rsidRDefault="002B61A7" w:rsidP="0015446E">
            <w:pPr>
              <w:pStyle w:val="NoSpacing"/>
              <w:jc w:val="center"/>
            </w:pPr>
            <w:r>
              <w:t>5.30 hours</w:t>
            </w:r>
          </w:p>
          <w:p w14:paraId="3BA9071F" w14:textId="77777777" w:rsidR="002B61A7" w:rsidRDefault="002B61A7" w:rsidP="0015446E">
            <w:pPr>
              <w:pStyle w:val="NoSpacing"/>
              <w:jc w:val="center"/>
            </w:pPr>
            <w:r>
              <w:t>52.72 hours</w:t>
            </w:r>
          </w:p>
        </w:tc>
        <w:tc>
          <w:tcPr>
            <w:tcW w:w="1309" w:type="dxa"/>
          </w:tcPr>
          <w:p w14:paraId="5E82FA5D" w14:textId="77777777" w:rsidR="002B61A7" w:rsidRDefault="002B61A7" w:rsidP="0015446E">
            <w:pPr>
              <w:pStyle w:val="NoSpacing"/>
              <w:jc w:val="center"/>
            </w:pPr>
            <w:r>
              <w:t>34.68 hours</w:t>
            </w:r>
          </w:p>
          <w:p w14:paraId="61CBB446" w14:textId="77777777" w:rsidR="002B61A7" w:rsidRDefault="002B61A7" w:rsidP="0015446E">
            <w:pPr>
              <w:pStyle w:val="NoSpacing"/>
              <w:jc w:val="center"/>
            </w:pPr>
            <w:r>
              <w:t>5.44 hours</w:t>
            </w:r>
          </w:p>
          <w:p w14:paraId="5ECFD03F" w14:textId="77777777" w:rsidR="002B61A7" w:rsidRDefault="002B61A7" w:rsidP="0015446E">
            <w:pPr>
              <w:pStyle w:val="NoSpacing"/>
              <w:jc w:val="center"/>
            </w:pPr>
            <w:r>
              <w:t>70.96 hours</w:t>
            </w:r>
          </w:p>
        </w:tc>
        <w:tc>
          <w:tcPr>
            <w:tcW w:w="1935" w:type="dxa"/>
          </w:tcPr>
          <w:p w14:paraId="6574F386" w14:textId="77777777" w:rsidR="002B61A7" w:rsidRDefault="002B61A7" w:rsidP="0015446E">
            <w:pPr>
              <w:pStyle w:val="NoSpacing"/>
              <w:jc w:val="center"/>
            </w:pPr>
            <w:r>
              <w:t>-14.37 hours</w:t>
            </w:r>
          </w:p>
          <w:p w14:paraId="52AF586F" w14:textId="77777777" w:rsidR="002B61A7" w:rsidRDefault="002B61A7" w:rsidP="0015446E">
            <w:pPr>
              <w:pStyle w:val="NoSpacing"/>
              <w:jc w:val="center"/>
            </w:pPr>
            <w:r>
              <w:t>- 32.53 to 3.79 hours</w:t>
            </w:r>
          </w:p>
        </w:tc>
        <w:tc>
          <w:tcPr>
            <w:tcW w:w="828" w:type="dxa"/>
          </w:tcPr>
          <w:p w14:paraId="2BE084B9" w14:textId="77777777" w:rsidR="002B61A7" w:rsidRDefault="002B61A7" w:rsidP="0015446E">
            <w:pPr>
              <w:pStyle w:val="NoSpacing"/>
              <w:jc w:val="center"/>
            </w:pPr>
            <w:r>
              <w:t>0.121</w:t>
            </w:r>
          </w:p>
        </w:tc>
        <w:tc>
          <w:tcPr>
            <w:tcW w:w="1858" w:type="dxa"/>
          </w:tcPr>
          <w:p w14:paraId="5F508459" w14:textId="77777777" w:rsidR="002B61A7" w:rsidRDefault="002B61A7" w:rsidP="0015446E">
            <w:pPr>
              <w:pStyle w:val="NoSpacing"/>
              <w:jc w:val="center"/>
            </w:pPr>
            <w:r>
              <w:t>-4.25 hours</w:t>
            </w:r>
          </w:p>
          <w:p w14:paraId="2EF22DB0" w14:textId="77777777" w:rsidR="002B61A7" w:rsidRDefault="002B61A7" w:rsidP="0015446E">
            <w:pPr>
              <w:pStyle w:val="NoSpacing"/>
              <w:jc w:val="center"/>
            </w:pPr>
            <w:r>
              <w:t xml:space="preserve"> - 20.00 to 11.50 hours</w:t>
            </w:r>
          </w:p>
        </w:tc>
        <w:tc>
          <w:tcPr>
            <w:tcW w:w="828" w:type="dxa"/>
          </w:tcPr>
          <w:p w14:paraId="1BCF8D3C" w14:textId="77777777" w:rsidR="002B61A7" w:rsidRDefault="002B61A7" w:rsidP="0015446E">
            <w:pPr>
              <w:pStyle w:val="NoSpacing"/>
              <w:jc w:val="center"/>
            </w:pPr>
            <w:r>
              <w:t>0.597</w:t>
            </w:r>
          </w:p>
        </w:tc>
      </w:tr>
      <w:tr w:rsidR="002B61A7" w14:paraId="58BA0484" w14:textId="77777777" w:rsidTr="00EF3D83">
        <w:tc>
          <w:tcPr>
            <w:tcW w:w="1690" w:type="dxa"/>
          </w:tcPr>
          <w:p w14:paraId="704A1A35" w14:textId="77777777" w:rsidR="002B61A7" w:rsidRDefault="002B61A7" w:rsidP="0015446E">
            <w:pPr>
              <w:pStyle w:val="NoSpacing"/>
              <w:jc w:val="center"/>
            </w:pPr>
            <w:r>
              <w:t>Length of admission n=3795</w:t>
            </w:r>
          </w:p>
        </w:tc>
        <w:tc>
          <w:tcPr>
            <w:tcW w:w="1445" w:type="dxa"/>
          </w:tcPr>
          <w:p w14:paraId="65DC627B" w14:textId="77777777" w:rsidR="002B61A7" w:rsidRDefault="002B61A7" w:rsidP="0015446E">
            <w:pPr>
              <w:pStyle w:val="NoSpacing"/>
              <w:jc w:val="center"/>
            </w:pPr>
            <w:r>
              <w:t>17.14 days</w:t>
            </w:r>
          </w:p>
          <w:p w14:paraId="52BAF302" w14:textId="77777777" w:rsidR="002B61A7" w:rsidRDefault="002B61A7" w:rsidP="0015446E">
            <w:pPr>
              <w:pStyle w:val="NoSpacing"/>
              <w:jc w:val="center"/>
            </w:pPr>
            <w:r>
              <w:t>10.00 days</w:t>
            </w:r>
          </w:p>
          <w:p w14:paraId="690963E6" w14:textId="77777777" w:rsidR="002B61A7" w:rsidRDefault="002B61A7" w:rsidP="0015446E">
            <w:pPr>
              <w:pStyle w:val="NoSpacing"/>
              <w:jc w:val="center"/>
            </w:pPr>
            <w:r>
              <w:t>26.11 days</w:t>
            </w:r>
          </w:p>
        </w:tc>
        <w:tc>
          <w:tcPr>
            <w:tcW w:w="1309" w:type="dxa"/>
          </w:tcPr>
          <w:p w14:paraId="284A5608" w14:textId="77777777" w:rsidR="002B61A7" w:rsidRDefault="002B61A7" w:rsidP="0015446E">
            <w:pPr>
              <w:pStyle w:val="NoSpacing"/>
              <w:jc w:val="center"/>
            </w:pPr>
            <w:r>
              <w:t>27.95 days</w:t>
            </w:r>
          </w:p>
          <w:p w14:paraId="46D344D3" w14:textId="77777777" w:rsidR="002B61A7" w:rsidRDefault="002B61A7" w:rsidP="0015446E">
            <w:pPr>
              <w:pStyle w:val="NoSpacing"/>
              <w:jc w:val="center"/>
            </w:pPr>
            <w:r>
              <w:t>14.00 days</w:t>
            </w:r>
          </w:p>
          <w:p w14:paraId="32043D47" w14:textId="77777777" w:rsidR="002B61A7" w:rsidRDefault="002B61A7" w:rsidP="0015446E">
            <w:pPr>
              <w:pStyle w:val="NoSpacing"/>
              <w:jc w:val="center"/>
            </w:pPr>
            <w:r>
              <w:t>41.45 days</w:t>
            </w:r>
          </w:p>
        </w:tc>
        <w:tc>
          <w:tcPr>
            <w:tcW w:w="1935" w:type="dxa"/>
          </w:tcPr>
          <w:p w14:paraId="67AF9279" w14:textId="77777777" w:rsidR="002B61A7" w:rsidRDefault="002B61A7" w:rsidP="0015446E">
            <w:pPr>
              <w:pStyle w:val="NoSpacing"/>
              <w:jc w:val="center"/>
            </w:pPr>
            <w:r>
              <w:t>- 10.81 days</w:t>
            </w:r>
          </w:p>
          <w:p w14:paraId="55932950" w14:textId="77777777" w:rsidR="002B61A7" w:rsidRDefault="002B61A7" w:rsidP="0015446E">
            <w:pPr>
              <w:pStyle w:val="NoSpacing"/>
              <w:jc w:val="center"/>
            </w:pPr>
            <w:r>
              <w:t>- 14.62 to -7.00 days</w:t>
            </w:r>
          </w:p>
        </w:tc>
        <w:tc>
          <w:tcPr>
            <w:tcW w:w="828" w:type="dxa"/>
          </w:tcPr>
          <w:p w14:paraId="09A4B77C" w14:textId="77777777" w:rsidR="002B61A7" w:rsidRDefault="002B61A7" w:rsidP="0015446E">
            <w:pPr>
              <w:pStyle w:val="NoSpacing"/>
              <w:jc w:val="center"/>
            </w:pPr>
            <w:r>
              <w:t>&lt;0.001</w:t>
            </w:r>
          </w:p>
        </w:tc>
        <w:tc>
          <w:tcPr>
            <w:tcW w:w="1858" w:type="dxa"/>
          </w:tcPr>
          <w:p w14:paraId="0F1FC639" w14:textId="77777777" w:rsidR="002B61A7" w:rsidRDefault="002B61A7" w:rsidP="0015446E">
            <w:pPr>
              <w:pStyle w:val="NoSpacing"/>
              <w:jc w:val="center"/>
            </w:pPr>
            <w:r>
              <w:t>-7.20 days</w:t>
            </w:r>
          </w:p>
          <w:p w14:paraId="510438B2" w14:textId="77777777" w:rsidR="002B61A7" w:rsidRDefault="002B61A7" w:rsidP="0015446E">
            <w:pPr>
              <w:pStyle w:val="NoSpacing"/>
              <w:jc w:val="center"/>
            </w:pPr>
            <w:r>
              <w:t>- 11.49 to -2.91 days</w:t>
            </w:r>
          </w:p>
        </w:tc>
        <w:tc>
          <w:tcPr>
            <w:tcW w:w="828" w:type="dxa"/>
          </w:tcPr>
          <w:p w14:paraId="29FFE326" w14:textId="77777777" w:rsidR="002B61A7" w:rsidRDefault="002B61A7" w:rsidP="0015446E">
            <w:pPr>
              <w:pStyle w:val="NoSpacing"/>
              <w:jc w:val="center"/>
            </w:pPr>
            <w:r>
              <w:t>0.001</w:t>
            </w:r>
          </w:p>
        </w:tc>
      </w:tr>
    </w:tbl>
    <w:p w14:paraId="734C2261" w14:textId="77777777" w:rsidR="002B61A7" w:rsidRDefault="002B61A7" w:rsidP="002B61A7">
      <w:pPr>
        <w:pStyle w:val="NoSpacing"/>
      </w:pPr>
    </w:p>
    <w:p w14:paraId="4ACFC8B1" w14:textId="77777777" w:rsidR="002B61A7" w:rsidRDefault="002B61A7" w:rsidP="002B61A7">
      <w:pPr>
        <w:pStyle w:val="NoSpacing"/>
      </w:pPr>
    </w:p>
    <w:p w14:paraId="2053060B" w14:textId="77777777" w:rsidR="002B61A7" w:rsidRDefault="002B61A7" w:rsidP="002B61A7">
      <w:pPr>
        <w:pStyle w:val="NoSpacing"/>
        <w:numPr>
          <w:ilvl w:val="0"/>
          <w:numId w:val="14"/>
        </w:numPr>
      </w:pPr>
      <w:r>
        <w:t xml:space="preserve">Adjusted for NHS trust, age, gender, ethnicity, employment, accommodation, detention status, length of admission and primary/ secondary diagnosis. </w:t>
      </w:r>
    </w:p>
    <w:p w14:paraId="2C1BA25F" w14:textId="77777777" w:rsidR="002B61A7" w:rsidRDefault="002B61A7" w:rsidP="002B61A7">
      <w:pPr>
        <w:pStyle w:val="NoSpacing"/>
      </w:pPr>
    </w:p>
    <w:p w14:paraId="3B30F034" w14:textId="77777777" w:rsidR="002B61A7" w:rsidRDefault="002B61A7" w:rsidP="002B61A7">
      <w:pPr>
        <w:pStyle w:val="NoSpacing"/>
      </w:pPr>
    </w:p>
    <w:p w14:paraId="5F7BBEA0" w14:textId="77777777" w:rsidR="002B61A7" w:rsidRDefault="002B61A7" w:rsidP="002B61A7">
      <w:pPr>
        <w:pStyle w:val="NoSpacing"/>
      </w:pPr>
    </w:p>
    <w:p w14:paraId="294CE1C2" w14:textId="77777777" w:rsidR="002B61A7" w:rsidRDefault="002B61A7" w:rsidP="002B61A7">
      <w:pPr>
        <w:pStyle w:val="NoSpacing"/>
      </w:pPr>
    </w:p>
    <w:p w14:paraId="057D9CF5" w14:textId="77777777" w:rsidR="002B61A7" w:rsidRDefault="002B61A7" w:rsidP="002B61A7">
      <w:pPr>
        <w:pStyle w:val="NoSpacing"/>
      </w:pPr>
    </w:p>
    <w:p w14:paraId="3EFB0F70" w14:textId="77777777" w:rsidR="002B61A7" w:rsidRDefault="002B61A7" w:rsidP="002B61A7">
      <w:pPr>
        <w:pStyle w:val="NoSpacing"/>
      </w:pPr>
    </w:p>
    <w:p w14:paraId="408C0A83" w14:textId="77777777" w:rsidR="002B61A7" w:rsidRDefault="002B61A7" w:rsidP="002B61A7">
      <w:pPr>
        <w:pStyle w:val="NoSpacing"/>
      </w:pPr>
    </w:p>
    <w:p w14:paraId="577C20B9" w14:textId="77777777" w:rsidR="002B61A7" w:rsidRDefault="002B61A7" w:rsidP="002B61A7">
      <w:pPr>
        <w:pStyle w:val="NoSpacing"/>
      </w:pPr>
    </w:p>
    <w:p w14:paraId="500050F1" w14:textId="77777777" w:rsidR="002B61A7" w:rsidRDefault="002B61A7" w:rsidP="002B61A7">
      <w:pPr>
        <w:pStyle w:val="NoSpacing"/>
      </w:pPr>
    </w:p>
    <w:p w14:paraId="372E116E" w14:textId="77777777" w:rsidR="002B61A7" w:rsidRDefault="002B61A7" w:rsidP="002B61A7">
      <w:pPr>
        <w:pStyle w:val="NoSpacing"/>
      </w:pPr>
    </w:p>
    <w:p w14:paraId="54E49BBD" w14:textId="77777777" w:rsidR="002B61A7" w:rsidRDefault="002B61A7" w:rsidP="002B61A7">
      <w:pPr>
        <w:pStyle w:val="NoSpacing"/>
      </w:pPr>
    </w:p>
    <w:p w14:paraId="61377BCC" w14:textId="77777777" w:rsidR="002B61A7" w:rsidRDefault="002B61A7" w:rsidP="002B61A7">
      <w:pPr>
        <w:pStyle w:val="Heading2"/>
      </w:pPr>
      <w:r>
        <w:t>Table 2</w:t>
      </w:r>
    </w:p>
    <w:p w14:paraId="28952EA8" w14:textId="77777777" w:rsidR="002B61A7" w:rsidRDefault="002B61A7" w:rsidP="002B61A7">
      <w:pPr>
        <w:pStyle w:val="NoSpacing"/>
      </w:pPr>
    </w:p>
    <w:tbl>
      <w:tblPr>
        <w:tblStyle w:val="TableGrid"/>
        <w:tblW w:w="9016" w:type="dxa"/>
        <w:jc w:val="center"/>
        <w:tblLayout w:type="fixed"/>
        <w:tblLook w:val="04A0" w:firstRow="1" w:lastRow="0" w:firstColumn="1" w:lastColumn="0" w:noHBand="0" w:noVBand="1"/>
      </w:tblPr>
      <w:tblGrid>
        <w:gridCol w:w="1471"/>
        <w:gridCol w:w="1327"/>
        <w:gridCol w:w="1297"/>
        <w:gridCol w:w="1429"/>
        <w:gridCol w:w="850"/>
        <w:gridCol w:w="1559"/>
        <w:gridCol w:w="1083"/>
      </w:tblGrid>
      <w:tr w:rsidR="002B61A7" w14:paraId="6C6FE5E9" w14:textId="77777777" w:rsidTr="0015446E">
        <w:trPr>
          <w:trHeight w:val="491"/>
          <w:jc w:val="center"/>
        </w:trPr>
        <w:tc>
          <w:tcPr>
            <w:tcW w:w="9016" w:type="dxa"/>
            <w:gridSpan w:val="7"/>
            <w:tcBorders>
              <w:bottom w:val="single" w:sz="4" w:space="0" w:color="auto"/>
            </w:tcBorders>
            <w:shd w:val="clear" w:color="auto" w:fill="8EAADB" w:themeFill="accent1" w:themeFillTint="99"/>
          </w:tcPr>
          <w:p w14:paraId="7E2BABEF" w14:textId="77777777" w:rsidR="002B61A7" w:rsidRDefault="002B61A7" w:rsidP="0015446E">
            <w:pPr>
              <w:pStyle w:val="NoSpacing"/>
            </w:pPr>
            <w:r>
              <w:t xml:space="preserve">Table 2 – association of primary diagnosis (independent variable) with substance use disorder (dependant variable). </w:t>
            </w:r>
          </w:p>
        </w:tc>
      </w:tr>
      <w:tr w:rsidR="002B61A7" w14:paraId="10F1709F" w14:textId="77777777" w:rsidTr="0015446E">
        <w:trPr>
          <w:trHeight w:val="842"/>
          <w:jc w:val="center"/>
        </w:trPr>
        <w:tc>
          <w:tcPr>
            <w:tcW w:w="1471" w:type="dxa"/>
            <w:tcBorders>
              <w:right w:val="nil"/>
            </w:tcBorders>
            <w:shd w:val="clear" w:color="auto" w:fill="D9E2F3" w:themeFill="accent1" w:themeFillTint="33"/>
          </w:tcPr>
          <w:p w14:paraId="1BD3FFAD" w14:textId="77777777" w:rsidR="002B61A7" w:rsidRDefault="002B61A7" w:rsidP="0015446E">
            <w:pPr>
              <w:pStyle w:val="NoSpacing"/>
              <w:jc w:val="center"/>
            </w:pPr>
            <w:r>
              <w:t>Primary outcome</w:t>
            </w:r>
          </w:p>
        </w:tc>
        <w:tc>
          <w:tcPr>
            <w:tcW w:w="1327" w:type="dxa"/>
            <w:tcBorders>
              <w:left w:val="nil"/>
              <w:bottom w:val="single" w:sz="4" w:space="0" w:color="auto"/>
              <w:right w:val="nil"/>
            </w:tcBorders>
            <w:shd w:val="clear" w:color="auto" w:fill="D9E2F3" w:themeFill="accent1" w:themeFillTint="33"/>
          </w:tcPr>
          <w:p w14:paraId="2F045635" w14:textId="77777777" w:rsidR="002B61A7" w:rsidRDefault="002B61A7" w:rsidP="0015446E">
            <w:pPr>
              <w:pStyle w:val="NoSpacing"/>
              <w:jc w:val="center"/>
            </w:pPr>
            <w:r>
              <w:t>Substance disorder</w:t>
            </w:r>
          </w:p>
          <w:p w14:paraId="546BF83C" w14:textId="77777777" w:rsidR="002B61A7" w:rsidRDefault="002B61A7" w:rsidP="0015446E">
            <w:pPr>
              <w:pStyle w:val="NoSpacing"/>
              <w:jc w:val="center"/>
            </w:pPr>
            <w:r>
              <w:t xml:space="preserve">N </w:t>
            </w:r>
          </w:p>
          <w:p w14:paraId="4D1EEC7D" w14:textId="77777777" w:rsidR="002B61A7" w:rsidRDefault="002B61A7" w:rsidP="0015446E">
            <w:pPr>
              <w:pStyle w:val="NoSpacing"/>
              <w:jc w:val="center"/>
            </w:pPr>
            <w:r>
              <w:t>(% of row)</w:t>
            </w:r>
          </w:p>
        </w:tc>
        <w:tc>
          <w:tcPr>
            <w:tcW w:w="1297" w:type="dxa"/>
            <w:tcBorders>
              <w:left w:val="nil"/>
              <w:bottom w:val="single" w:sz="4" w:space="0" w:color="auto"/>
              <w:right w:val="nil"/>
            </w:tcBorders>
            <w:shd w:val="clear" w:color="auto" w:fill="D9E2F3" w:themeFill="accent1" w:themeFillTint="33"/>
          </w:tcPr>
          <w:p w14:paraId="36635752" w14:textId="77777777" w:rsidR="002B61A7" w:rsidRDefault="002B61A7" w:rsidP="0015446E">
            <w:pPr>
              <w:pStyle w:val="NoSpacing"/>
              <w:jc w:val="center"/>
            </w:pPr>
            <w:r>
              <w:t xml:space="preserve">No substance </w:t>
            </w:r>
            <w:proofErr w:type="gramStart"/>
            <w:r>
              <w:t>disorder</w:t>
            </w:r>
            <w:proofErr w:type="gramEnd"/>
          </w:p>
          <w:p w14:paraId="1C19AB73" w14:textId="77777777" w:rsidR="002B61A7" w:rsidRDefault="002B61A7" w:rsidP="0015446E">
            <w:pPr>
              <w:pStyle w:val="NoSpacing"/>
              <w:jc w:val="center"/>
            </w:pPr>
            <w:r>
              <w:t xml:space="preserve">N </w:t>
            </w:r>
          </w:p>
          <w:p w14:paraId="1FD31945" w14:textId="77777777" w:rsidR="002B61A7" w:rsidRDefault="002B61A7" w:rsidP="0015446E">
            <w:pPr>
              <w:pStyle w:val="NoSpacing"/>
              <w:jc w:val="center"/>
            </w:pPr>
            <w:r>
              <w:t>(% of row)</w:t>
            </w:r>
          </w:p>
        </w:tc>
        <w:tc>
          <w:tcPr>
            <w:tcW w:w="1429" w:type="dxa"/>
            <w:tcBorders>
              <w:left w:val="nil"/>
              <w:bottom w:val="single" w:sz="4" w:space="0" w:color="auto"/>
              <w:right w:val="nil"/>
            </w:tcBorders>
            <w:shd w:val="clear" w:color="auto" w:fill="D9E2F3" w:themeFill="accent1" w:themeFillTint="33"/>
          </w:tcPr>
          <w:p w14:paraId="007D3247" w14:textId="77777777" w:rsidR="002B61A7" w:rsidRDefault="002B61A7" w:rsidP="0015446E">
            <w:pPr>
              <w:pStyle w:val="NoSpacing"/>
              <w:jc w:val="center"/>
            </w:pPr>
            <w:r>
              <w:t xml:space="preserve">OR </w:t>
            </w:r>
          </w:p>
          <w:p w14:paraId="5DFE88D6" w14:textId="77777777" w:rsidR="002B61A7" w:rsidRDefault="002B61A7" w:rsidP="0015446E">
            <w:pPr>
              <w:pStyle w:val="NoSpacing"/>
              <w:jc w:val="center"/>
            </w:pPr>
            <w:r>
              <w:t>95% CI</w:t>
            </w:r>
          </w:p>
          <w:p w14:paraId="08D458AE" w14:textId="77777777" w:rsidR="002B61A7" w:rsidRPr="00C67B34" w:rsidRDefault="002B61A7" w:rsidP="0015446E">
            <w:pPr>
              <w:pStyle w:val="NoSpacing"/>
              <w:jc w:val="center"/>
            </w:pPr>
          </w:p>
        </w:tc>
        <w:tc>
          <w:tcPr>
            <w:tcW w:w="850" w:type="dxa"/>
            <w:tcBorders>
              <w:left w:val="nil"/>
              <w:bottom w:val="single" w:sz="4" w:space="0" w:color="auto"/>
              <w:right w:val="nil"/>
            </w:tcBorders>
            <w:shd w:val="clear" w:color="auto" w:fill="D9E2F3" w:themeFill="accent1" w:themeFillTint="33"/>
          </w:tcPr>
          <w:p w14:paraId="555ACF78" w14:textId="77777777" w:rsidR="002B61A7" w:rsidRDefault="002B61A7" w:rsidP="0015446E">
            <w:pPr>
              <w:pStyle w:val="NoSpacing"/>
              <w:jc w:val="center"/>
            </w:pPr>
          </w:p>
          <w:p w14:paraId="17D61AA5" w14:textId="77777777" w:rsidR="002B61A7" w:rsidRDefault="002B61A7" w:rsidP="0015446E">
            <w:pPr>
              <w:pStyle w:val="NoSpacing"/>
              <w:jc w:val="center"/>
            </w:pPr>
            <w:r>
              <w:t>P</w:t>
            </w:r>
          </w:p>
        </w:tc>
        <w:tc>
          <w:tcPr>
            <w:tcW w:w="1559" w:type="dxa"/>
            <w:tcBorders>
              <w:left w:val="nil"/>
              <w:bottom w:val="single" w:sz="4" w:space="0" w:color="auto"/>
              <w:right w:val="nil"/>
            </w:tcBorders>
            <w:shd w:val="clear" w:color="auto" w:fill="D9E2F3" w:themeFill="accent1" w:themeFillTint="33"/>
          </w:tcPr>
          <w:p w14:paraId="0BC8DC93" w14:textId="77777777" w:rsidR="002B61A7" w:rsidRDefault="002B61A7" w:rsidP="0015446E">
            <w:pPr>
              <w:pStyle w:val="NoSpacing"/>
              <w:jc w:val="center"/>
            </w:pPr>
            <w:proofErr w:type="spellStart"/>
            <w:r>
              <w:t>Adjusted</w:t>
            </w:r>
            <w:r>
              <w:rPr>
                <w:vertAlign w:val="superscript"/>
              </w:rPr>
              <w:t>a</w:t>
            </w:r>
            <w:proofErr w:type="spellEnd"/>
            <w:r>
              <w:t xml:space="preserve"> OR </w:t>
            </w:r>
          </w:p>
          <w:p w14:paraId="33C2A275" w14:textId="77777777" w:rsidR="002B61A7" w:rsidRDefault="002B61A7" w:rsidP="0015446E">
            <w:pPr>
              <w:pStyle w:val="NoSpacing"/>
              <w:jc w:val="center"/>
            </w:pPr>
            <w:r>
              <w:t>95% CI</w:t>
            </w:r>
          </w:p>
          <w:p w14:paraId="4CDF3F0A" w14:textId="77777777" w:rsidR="002B61A7" w:rsidRDefault="002B61A7" w:rsidP="0015446E">
            <w:pPr>
              <w:pStyle w:val="NoSpacing"/>
            </w:pPr>
          </w:p>
        </w:tc>
        <w:tc>
          <w:tcPr>
            <w:tcW w:w="1083" w:type="dxa"/>
            <w:tcBorders>
              <w:left w:val="nil"/>
              <w:bottom w:val="single" w:sz="4" w:space="0" w:color="auto"/>
            </w:tcBorders>
            <w:shd w:val="clear" w:color="auto" w:fill="D9E2F3" w:themeFill="accent1" w:themeFillTint="33"/>
          </w:tcPr>
          <w:p w14:paraId="2B8248FD" w14:textId="77777777" w:rsidR="002B61A7" w:rsidRDefault="002B61A7" w:rsidP="0015446E">
            <w:pPr>
              <w:pStyle w:val="NoSpacing"/>
              <w:jc w:val="center"/>
            </w:pPr>
          </w:p>
          <w:p w14:paraId="4036CA08" w14:textId="77777777" w:rsidR="002B61A7" w:rsidRDefault="002B61A7" w:rsidP="0015446E">
            <w:pPr>
              <w:pStyle w:val="NoSpacing"/>
              <w:jc w:val="center"/>
            </w:pPr>
            <w:r>
              <w:t>P</w:t>
            </w:r>
          </w:p>
        </w:tc>
      </w:tr>
      <w:tr w:rsidR="002B61A7" w14:paraId="6CD6F19B" w14:textId="77777777" w:rsidTr="0015446E">
        <w:trPr>
          <w:trHeight w:val="276"/>
          <w:jc w:val="center"/>
        </w:trPr>
        <w:tc>
          <w:tcPr>
            <w:tcW w:w="1471" w:type="dxa"/>
          </w:tcPr>
          <w:p w14:paraId="197A43D4" w14:textId="77777777" w:rsidR="002B61A7" w:rsidRDefault="002B61A7" w:rsidP="0015446E">
            <w:pPr>
              <w:pStyle w:val="NoSpacing"/>
              <w:jc w:val="center"/>
            </w:pPr>
            <w:r>
              <w:lastRenderedPageBreak/>
              <w:t>Depressive episode - mild</w:t>
            </w:r>
          </w:p>
        </w:tc>
        <w:tc>
          <w:tcPr>
            <w:tcW w:w="1327" w:type="dxa"/>
            <w:tcBorders>
              <w:bottom w:val="single" w:sz="4" w:space="0" w:color="auto"/>
              <w:right w:val="nil"/>
            </w:tcBorders>
          </w:tcPr>
          <w:p w14:paraId="0288DB1C" w14:textId="77777777" w:rsidR="002B61A7" w:rsidRDefault="002B61A7" w:rsidP="0015446E">
            <w:pPr>
              <w:pStyle w:val="NoSpacing"/>
              <w:jc w:val="center"/>
            </w:pPr>
            <w:r>
              <w:t>20</w:t>
            </w:r>
          </w:p>
          <w:p w14:paraId="574A7266" w14:textId="77777777" w:rsidR="002B61A7" w:rsidRDefault="002B61A7" w:rsidP="0015446E">
            <w:pPr>
              <w:pStyle w:val="NoSpacing"/>
              <w:jc w:val="center"/>
            </w:pPr>
            <w:r>
              <w:t>(19.6)</w:t>
            </w:r>
          </w:p>
        </w:tc>
        <w:tc>
          <w:tcPr>
            <w:tcW w:w="1297" w:type="dxa"/>
            <w:tcBorders>
              <w:left w:val="nil"/>
              <w:bottom w:val="single" w:sz="4" w:space="0" w:color="auto"/>
              <w:right w:val="nil"/>
            </w:tcBorders>
          </w:tcPr>
          <w:p w14:paraId="5E1399DB" w14:textId="77777777" w:rsidR="002B61A7" w:rsidRDefault="002B61A7" w:rsidP="0015446E">
            <w:pPr>
              <w:pStyle w:val="NoSpacing"/>
              <w:jc w:val="center"/>
            </w:pPr>
            <w:r>
              <w:t>82</w:t>
            </w:r>
          </w:p>
          <w:p w14:paraId="31025F7E" w14:textId="77777777" w:rsidR="002B61A7" w:rsidRDefault="002B61A7" w:rsidP="0015446E">
            <w:pPr>
              <w:pStyle w:val="NoSpacing"/>
              <w:jc w:val="center"/>
            </w:pPr>
            <w:r>
              <w:t>(80.4)</w:t>
            </w:r>
          </w:p>
        </w:tc>
        <w:tc>
          <w:tcPr>
            <w:tcW w:w="1429" w:type="dxa"/>
            <w:tcBorders>
              <w:left w:val="nil"/>
              <w:bottom w:val="single" w:sz="4" w:space="0" w:color="auto"/>
              <w:right w:val="nil"/>
            </w:tcBorders>
          </w:tcPr>
          <w:p w14:paraId="4316450E" w14:textId="77777777" w:rsidR="002B61A7" w:rsidRDefault="002B61A7" w:rsidP="0015446E">
            <w:pPr>
              <w:pStyle w:val="NoSpacing"/>
              <w:jc w:val="center"/>
            </w:pPr>
            <w:r>
              <w:t>Ref</w:t>
            </w:r>
          </w:p>
        </w:tc>
        <w:tc>
          <w:tcPr>
            <w:tcW w:w="850" w:type="dxa"/>
            <w:tcBorders>
              <w:left w:val="nil"/>
              <w:bottom w:val="single" w:sz="4" w:space="0" w:color="auto"/>
              <w:right w:val="nil"/>
            </w:tcBorders>
          </w:tcPr>
          <w:p w14:paraId="48641396" w14:textId="77777777" w:rsidR="002B61A7" w:rsidRDefault="002B61A7" w:rsidP="0015446E">
            <w:pPr>
              <w:pStyle w:val="NoSpacing"/>
              <w:jc w:val="center"/>
            </w:pPr>
          </w:p>
        </w:tc>
        <w:tc>
          <w:tcPr>
            <w:tcW w:w="1559" w:type="dxa"/>
            <w:tcBorders>
              <w:left w:val="nil"/>
              <w:bottom w:val="single" w:sz="4" w:space="0" w:color="auto"/>
              <w:right w:val="nil"/>
            </w:tcBorders>
          </w:tcPr>
          <w:p w14:paraId="425031BE" w14:textId="77777777" w:rsidR="002B61A7" w:rsidRDefault="002B61A7" w:rsidP="0015446E">
            <w:pPr>
              <w:pStyle w:val="NoSpacing"/>
              <w:jc w:val="center"/>
            </w:pPr>
            <w:r>
              <w:t>Ref</w:t>
            </w:r>
          </w:p>
        </w:tc>
        <w:tc>
          <w:tcPr>
            <w:tcW w:w="1083" w:type="dxa"/>
            <w:tcBorders>
              <w:left w:val="nil"/>
              <w:bottom w:val="single" w:sz="4" w:space="0" w:color="auto"/>
            </w:tcBorders>
          </w:tcPr>
          <w:p w14:paraId="19910E1B" w14:textId="77777777" w:rsidR="002B61A7" w:rsidRDefault="002B61A7" w:rsidP="0015446E">
            <w:pPr>
              <w:pStyle w:val="NoSpacing"/>
              <w:jc w:val="center"/>
            </w:pPr>
          </w:p>
        </w:tc>
      </w:tr>
      <w:tr w:rsidR="002B61A7" w14:paraId="21EF8D80" w14:textId="77777777" w:rsidTr="0015446E">
        <w:trPr>
          <w:trHeight w:val="276"/>
          <w:jc w:val="center"/>
        </w:trPr>
        <w:tc>
          <w:tcPr>
            <w:tcW w:w="1471" w:type="dxa"/>
          </w:tcPr>
          <w:p w14:paraId="0CFFB24F" w14:textId="77777777" w:rsidR="002B61A7" w:rsidRDefault="002B61A7" w:rsidP="0015446E">
            <w:pPr>
              <w:pStyle w:val="NoSpacing"/>
              <w:jc w:val="center"/>
            </w:pPr>
            <w:r>
              <w:t>Depressive episode - mod</w:t>
            </w:r>
          </w:p>
        </w:tc>
        <w:tc>
          <w:tcPr>
            <w:tcW w:w="1327" w:type="dxa"/>
            <w:tcBorders>
              <w:bottom w:val="single" w:sz="4" w:space="0" w:color="auto"/>
              <w:right w:val="nil"/>
            </w:tcBorders>
          </w:tcPr>
          <w:p w14:paraId="486842DC" w14:textId="77777777" w:rsidR="002B61A7" w:rsidRDefault="002B61A7" w:rsidP="0015446E">
            <w:pPr>
              <w:pStyle w:val="NoSpacing"/>
              <w:jc w:val="center"/>
            </w:pPr>
            <w:r>
              <w:t>71</w:t>
            </w:r>
          </w:p>
          <w:p w14:paraId="62D9DAAB" w14:textId="77777777" w:rsidR="002B61A7" w:rsidRDefault="002B61A7" w:rsidP="0015446E">
            <w:pPr>
              <w:pStyle w:val="NoSpacing"/>
              <w:jc w:val="center"/>
            </w:pPr>
            <w:r>
              <w:t>(15.6)</w:t>
            </w:r>
          </w:p>
        </w:tc>
        <w:tc>
          <w:tcPr>
            <w:tcW w:w="1297" w:type="dxa"/>
            <w:tcBorders>
              <w:left w:val="nil"/>
              <w:bottom w:val="single" w:sz="4" w:space="0" w:color="auto"/>
              <w:right w:val="nil"/>
            </w:tcBorders>
          </w:tcPr>
          <w:p w14:paraId="5AA6CFC6" w14:textId="77777777" w:rsidR="002B61A7" w:rsidRDefault="002B61A7" w:rsidP="0015446E">
            <w:pPr>
              <w:pStyle w:val="NoSpacing"/>
              <w:jc w:val="center"/>
            </w:pPr>
            <w:r>
              <w:t>384</w:t>
            </w:r>
          </w:p>
          <w:p w14:paraId="4C7DD039" w14:textId="77777777" w:rsidR="002B61A7" w:rsidRDefault="002B61A7" w:rsidP="0015446E">
            <w:pPr>
              <w:pStyle w:val="NoSpacing"/>
              <w:jc w:val="center"/>
            </w:pPr>
            <w:r>
              <w:t>(84.4)</w:t>
            </w:r>
          </w:p>
        </w:tc>
        <w:tc>
          <w:tcPr>
            <w:tcW w:w="1429" w:type="dxa"/>
            <w:tcBorders>
              <w:left w:val="nil"/>
              <w:bottom w:val="single" w:sz="4" w:space="0" w:color="auto"/>
              <w:right w:val="nil"/>
            </w:tcBorders>
          </w:tcPr>
          <w:p w14:paraId="11A9E6C3" w14:textId="77777777" w:rsidR="002B61A7" w:rsidRDefault="002B61A7" w:rsidP="0015446E">
            <w:pPr>
              <w:pStyle w:val="NoSpacing"/>
              <w:jc w:val="center"/>
            </w:pPr>
            <w:r>
              <w:t>0.76</w:t>
            </w:r>
          </w:p>
          <w:p w14:paraId="3E068854" w14:textId="77777777" w:rsidR="002B61A7" w:rsidRDefault="002B61A7" w:rsidP="0015446E">
            <w:pPr>
              <w:pStyle w:val="NoSpacing"/>
              <w:jc w:val="center"/>
            </w:pPr>
            <w:r>
              <w:t>(0.44 to 1.32)</w:t>
            </w:r>
          </w:p>
        </w:tc>
        <w:tc>
          <w:tcPr>
            <w:tcW w:w="850" w:type="dxa"/>
            <w:tcBorders>
              <w:left w:val="nil"/>
              <w:bottom w:val="single" w:sz="4" w:space="0" w:color="auto"/>
              <w:right w:val="nil"/>
            </w:tcBorders>
          </w:tcPr>
          <w:p w14:paraId="1BA8CEEB" w14:textId="77777777" w:rsidR="002B61A7" w:rsidRDefault="002B61A7" w:rsidP="0015446E">
            <w:pPr>
              <w:pStyle w:val="NoSpacing"/>
              <w:jc w:val="center"/>
            </w:pPr>
            <w:r>
              <w:t>0.324</w:t>
            </w:r>
          </w:p>
        </w:tc>
        <w:tc>
          <w:tcPr>
            <w:tcW w:w="1559" w:type="dxa"/>
            <w:tcBorders>
              <w:left w:val="nil"/>
              <w:bottom w:val="single" w:sz="4" w:space="0" w:color="auto"/>
              <w:right w:val="nil"/>
            </w:tcBorders>
          </w:tcPr>
          <w:p w14:paraId="3616BD07" w14:textId="77777777" w:rsidR="002B61A7" w:rsidRDefault="002B61A7" w:rsidP="0015446E">
            <w:pPr>
              <w:pStyle w:val="NoSpacing"/>
              <w:jc w:val="center"/>
            </w:pPr>
            <w:r>
              <w:t>0.79</w:t>
            </w:r>
          </w:p>
          <w:p w14:paraId="215E7D1A" w14:textId="77777777" w:rsidR="002B61A7" w:rsidRDefault="002B61A7" w:rsidP="0015446E">
            <w:pPr>
              <w:pStyle w:val="NoSpacing"/>
              <w:jc w:val="center"/>
            </w:pPr>
            <w:r>
              <w:t>(0.42 to 1.46)</w:t>
            </w:r>
          </w:p>
        </w:tc>
        <w:tc>
          <w:tcPr>
            <w:tcW w:w="1083" w:type="dxa"/>
            <w:tcBorders>
              <w:left w:val="nil"/>
              <w:bottom w:val="single" w:sz="4" w:space="0" w:color="auto"/>
            </w:tcBorders>
          </w:tcPr>
          <w:p w14:paraId="40F213D4" w14:textId="77777777" w:rsidR="002B61A7" w:rsidRDefault="002B61A7" w:rsidP="0015446E">
            <w:pPr>
              <w:pStyle w:val="NoSpacing"/>
              <w:jc w:val="center"/>
            </w:pPr>
            <w:r>
              <w:t>0.442</w:t>
            </w:r>
          </w:p>
        </w:tc>
      </w:tr>
      <w:tr w:rsidR="002B61A7" w14:paraId="64547871" w14:textId="77777777" w:rsidTr="0015446E">
        <w:trPr>
          <w:trHeight w:val="276"/>
          <w:jc w:val="center"/>
        </w:trPr>
        <w:tc>
          <w:tcPr>
            <w:tcW w:w="1471" w:type="dxa"/>
          </w:tcPr>
          <w:p w14:paraId="7E142709" w14:textId="77777777" w:rsidR="002B61A7" w:rsidRDefault="002B61A7" w:rsidP="0015446E">
            <w:pPr>
              <w:pStyle w:val="NoSpacing"/>
              <w:jc w:val="center"/>
            </w:pPr>
            <w:r>
              <w:t>Depressive episode - severe</w:t>
            </w:r>
          </w:p>
        </w:tc>
        <w:tc>
          <w:tcPr>
            <w:tcW w:w="1327" w:type="dxa"/>
            <w:tcBorders>
              <w:bottom w:val="single" w:sz="4" w:space="0" w:color="auto"/>
              <w:right w:val="nil"/>
            </w:tcBorders>
          </w:tcPr>
          <w:p w14:paraId="662A85AB" w14:textId="77777777" w:rsidR="002B61A7" w:rsidRDefault="002B61A7" w:rsidP="0015446E">
            <w:pPr>
              <w:pStyle w:val="NoSpacing"/>
              <w:jc w:val="center"/>
            </w:pPr>
            <w:r>
              <w:t>31</w:t>
            </w:r>
          </w:p>
          <w:p w14:paraId="0856E5A3" w14:textId="77777777" w:rsidR="002B61A7" w:rsidRDefault="002B61A7" w:rsidP="0015446E">
            <w:pPr>
              <w:pStyle w:val="NoSpacing"/>
              <w:jc w:val="center"/>
            </w:pPr>
            <w:r>
              <w:t>(8.4)</w:t>
            </w:r>
          </w:p>
        </w:tc>
        <w:tc>
          <w:tcPr>
            <w:tcW w:w="1297" w:type="dxa"/>
            <w:tcBorders>
              <w:left w:val="nil"/>
              <w:bottom w:val="single" w:sz="4" w:space="0" w:color="auto"/>
              <w:right w:val="nil"/>
            </w:tcBorders>
          </w:tcPr>
          <w:p w14:paraId="08B46301" w14:textId="77777777" w:rsidR="002B61A7" w:rsidRDefault="002B61A7" w:rsidP="0015446E">
            <w:pPr>
              <w:pStyle w:val="NoSpacing"/>
              <w:jc w:val="center"/>
            </w:pPr>
            <w:r>
              <w:t>338</w:t>
            </w:r>
          </w:p>
          <w:p w14:paraId="0B46C71A" w14:textId="77777777" w:rsidR="002B61A7" w:rsidRDefault="002B61A7" w:rsidP="0015446E">
            <w:pPr>
              <w:pStyle w:val="NoSpacing"/>
              <w:jc w:val="center"/>
            </w:pPr>
            <w:r>
              <w:t>(91.6)</w:t>
            </w:r>
          </w:p>
        </w:tc>
        <w:tc>
          <w:tcPr>
            <w:tcW w:w="1429" w:type="dxa"/>
            <w:tcBorders>
              <w:left w:val="nil"/>
              <w:bottom w:val="single" w:sz="4" w:space="0" w:color="auto"/>
              <w:right w:val="nil"/>
            </w:tcBorders>
          </w:tcPr>
          <w:p w14:paraId="3550EA97" w14:textId="77777777" w:rsidR="002B61A7" w:rsidRDefault="002B61A7" w:rsidP="0015446E">
            <w:pPr>
              <w:pStyle w:val="NoSpacing"/>
              <w:jc w:val="center"/>
            </w:pPr>
            <w:r>
              <w:t>0.38</w:t>
            </w:r>
          </w:p>
          <w:p w14:paraId="7C447AE5" w14:textId="77777777" w:rsidR="002B61A7" w:rsidRDefault="002B61A7" w:rsidP="0015446E">
            <w:pPr>
              <w:pStyle w:val="NoSpacing"/>
              <w:jc w:val="center"/>
            </w:pPr>
            <w:r>
              <w:t>(0.20 to 0.69)</w:t>
            </w:r>
          </w:p>
        </w:tc>
        <w:tc>
          <w:tcPr>
            <w:tcW w:w="850" w:type="dxa"/>
            <w:tcBorders>
              <w:left w:val="nil"/>
              <w:bottom w:val="single" w:sz="4" w:space="0" w:color="auto"/>
              <w:right w:val="nil"/>
            </w:tcBorders>
          </w:tcPr>
          <w:p w14:paraId="6A2B8D70" w14:textId="77777777" w:rsidR="002B61A7" w:rsidRDefault="002B61A7" w:rsidP="0015446E">
            <w:pPr>
              <w:pStyle w:val="NoSpacing"/>
              <w:jc w:val="center"/>
            </w:pPr>
            <w:r>
              <w:t>0.002</w:t>
            </w:r>
          </w:p>
        </w:tc>
        <w:tc>
          <w:tcPr>
            <w:tcW w:w="1559" w:type="dxa"/>
            <w:tcBorders>
              <w:left w:val="nil"/>
              <w:bottom w:val="single" w:sz="4" w:space="0" w:color="auto"/>
              <w:right w:val="nil"/>
            </w:tcBorders>
          </w:tcPr>
          <w:p w14:paraId="23DDF168" w14:textId="77777777" w:rsidR="002B61A7" w:rsidRDefault="002B61A7" w:rsidP="0015446E">
            <w:pPr>
              <w:pStyle w:val="NoSpacing"/>
              <w:jc w:val="center"/>
            </w:pPr>
            <w:r>
              <w:t>0.41</w:t>
            </w:r>
          </w:p>
          <w:p w14:paraId="1482F5F4" w14:textId="77777777" w:rsidR="002B61A7" w:rsidRDefault="002B61A7" w:rsidP="0015446E">
            <w:pPr>
              <w:pStyle w:val="NoSpacing"/>
              <w:jc w:val="center"/>
            </w:pPr>
            <w:r>
              <w:t>(0.22 to 0.81)</w:t>
            </w:r>
          </w:p>
        </w:tc>
        <w:tc>
          <w:tcPr>
            <w:tcW w:w="1083" w:type="dxa"/>
            <w:tcBorders>
              <w:left w:val="nil"/>
              <w:bottom w:val="single" w:sz="4" w:space="0" w:color="auto"/>
            </w:tcBorders>
          </w:tcPr>
          <w:p w14:paraId="7F225CF1" w14:textId="77777777" w:rsidR="002B61A7" w:rsidRDefault="002B61A7" w:rsidP="0015446E">
            <w:pPr>
              <w:pStyle w:val="NoSpacing"/>
              <w:jc w:val="center"/>
            </w:pPr>
            <w:r>
              <w:t>0.031</w:t>
            </w:r>
          </w:p>
        </w:tc>
      </w:tr>
      <w:tr w:rsidR="002B61A7" w14:paraId="4D7E0632" w14:textId="77777777" w:rsidTr="0015446E">
        <w:trPr>
          <w:trHeight w:val="276"/>
          <w:jc w:val="center"/>
        </w:trPr>
        <w:tc>
          <w:tcPr>
            <w:tcW w:w="1471" w:type="dxa"/>
          </w:tcPr>
          <w:p w14:paraId="179D80AA" w14:textId="77777777" w:rsidR="002B61A7" w:rsidRDefault="002B61A7" w:rsidP="0015446E">
            <w:pPr>
              <w:pStyle w:val="NoSpacing"/>
              <w:jc w:val="center"/>
            </w:pPr>
            <w:r>
              <w:t>Depressive episode - other</w:t>
            </w:r>
          </w:p>
        </w:tc>
        <w:tc>
          <w:tcPr>
            <w:tcW w:w="1327" w:type="dxa"/>
            <w:tcBorders>
              <w:bottom w:val="single" w:sz="4" w:space="0" w:color="auto"/>
              <w:right w:val="nil"/>
            </w:tcBorders>
          </w:tcPr>
          <w:p w14:paraId="105DA5AB" w14:textId="77777777" w:rsidR="002B61A7" w:rsidRDefault="002B61A7" w:rsidP="0015446E">
            <w:pPr>
              <w:pStyle w:val="NoSpacing"/>
              <w:jc w:val="center"/>
            </w:pPr>
            <w:r>
              <w:t>60</w:t>
            </w:r>
          </w:p>
          <w:p w14:paraId="73A95587" w14:textId="77777777" w:rsidR="002B61A7" w:rsidRDefault="002B61A7" w:rsidP="0015446E">
            <w:pPr>
              <w:pStyle w:val="NoSpacing"/>
              <w:jc w:val="center"/>
            </w:pPr>
            <w:r>
              <w:t>(16.5)</w:t>
            </w:r>
          </w:p>
        </w:tc>
        <w:tc>
          <w:tcPr>
            <w:tcW w:w="1297" w:type="dxa"/>
            <w:tcBorders>
              <w:left w:val="nil"/>
              <w:bottom w:val="single" w:sz="4" w:space="0" w:color="auto"/>
              <w:right w:val="nil"/>
            </w:tcBorders>
          </w:tcPr>
          <w:p w14:paraId="42431607" w14:textId="77777777" w:rsidR="002B61A7" w:rsidRDefault="002B61A7" w:rsidP="0015446E">
            <w:pPr>
              <w:pStyle w:val="NoSpacing"/>
              <w:jc w:val="center"/>
            </w:pPr>
            <w:r>
              <w:t>303</w:t>
            </w:r>
          </w:p>
          <w:p w14:paraId="22B0D94B" w14:textId="77777777" w:rsidR="002B61A7" w:rsidRDefault="002B61A7" w:rsidP="0015446E">
            <w:pPr>
              <w:pStyle w:val="NoSpacing"/>
              <w:jc w:val="center"/>
            </w:pPr>
            <w:r>
              <w:t>(83.5)</w:t>
            </w:r>
          </w:p>
        </w:tc>
        <w:tc>
          <w:tcPr>
            <w:tcW w:w="1429" w:type="dxa"/>
            <w:tcBorders>
              <w:left w:val="nil"/>
              <w:bottom w:val="single" w:sz="4" w:space="0" w:color="auto"/>
              <w:right w:val="nil"/>
            </w:tcBorders>
          </w:tcPr>
          <w:p w14:paraId="758CE869" w14:textId="77777777" w:rsidR="002B61A7" w:rsidRDefault="002B61A7" w:rsidP="0015446E">
            <w:pPr>
              <w:pStyle w:val="NoSpacing"/>
              <w:jc w:val="center"/>
            </w:pPr>
            <w:r>
              <w:t>0.81</w:t>
            </w:r>
          </w:p>
          <w:p w14:paraId="39BD0000" w14:textId="77777777" w:rsidR="002B61A7" w:rsidRDefault="002B61A7" w:rsidP="0015446E">
            <w:pPr>
              <w:pStyle w:val="NoSpacing"/>
              <w:jc w:val="center"/>
            </w:pPr>
            <w:r>
              <w:t>(0.46 to 1.42)</w:t>
            </w:r>
          </w:p>
        </w:tc>
        <w:tc>
          <w:tcPr>
            <w:tcW w:w="850" w:type="dxa"/>
            <w:tcBorders>
              <w:left w:val="nil"/>
              <w:bottom w:val="single" w:sz="4" w:space="0" w:color="auto"/>
              <w:right w:val="nil"/>
            </w:tcBorders>
          </w:tcPr>
          <w:p w14:paraId="22B5E395" w14:textId="77777777" w:rsidR="002B61A7" w:rsidRDefault="002B61A7" w:rsidP="0015446E">
            <w:pPr>
              <w:pStyle w:val="NoSpacing"/>
              <w:jc w:val="center"/>
            </w:pPr>
            <w:r>
              <w:t>0.467</w:t>
            </w:r>
          </w:p>
        </w:tc>
        <w:tc>
          <w:tcPr>
            <w:tcW w:w="1559" w:type="dxa"/>
            <w:tcBorders>
              <w:left w:val="nil"/>
              <w:bottom w:val="single" w:sz="4" w:space="0" w:color="auto"/>
              <w:right w:val="nil"/>
            </w:tcBorders>
          </w:tcPr>
          <w:p w14:paraId="36E88DF7" w14:textId="77777777" w:rsidR="002B61A7" w:rsidRDefault="002B61A7" w:rsidP="0015446E">
            <w:pPr>
              <w:pStyle w:val="NoSpacing"/>
              <w:jc w:val="center"/>
            </w:pPr>
            <w:r>
              <w:t>0.87</w:t>
            </w:r>
          </w:p>
          <w:p w14:paraId="129B1779" w14:textId="77777777" w:rsidR="002B61A7" w:rsidRDefault="002B61A7" w:rsidP="0015446E">
            <w:pPr>
              <w:pStyle w:val="NoSpacing"/>
              <w:jc w:val="center"/>
            </w:pPr>
            <w:r>
              <w:t>(0.46 to 1.63)</w:t>
            </w:r>
          </w:p>
        </w:tc>
        <w:tc>
          <w:tcPr>
            <w:tcW w:w="1083" w:type="dxa"/>
            <w:tcBorders>
              <w:left w:val="nil"/>
              <w:bottom w:val="single" w:sz="4" w:space="0" w:color="auto"/>
            </w:tcBorders>
          </w:tcPr>
          <w:p w14:paraId="62E02F28" w14:textId="77777777" w:rsidR="002B61A7" w:rsidRDefault="002B61A7" w:rsidP="0015446E">
            <w:pPr>
              <w:pStyle w:val="NoSpacing"/>
              <w:jc w:val="center"/>
            </w:pPr>
            <w:r>
              <w:t>0.658</w:t>
            </w:r>
          </w:p>
        </w:tc>
      </w:tr>
      <w:tr w:rsidR="002B61A7" w14:paraId="31CDB450" w14:textId="77777777" w:rsidTr="0015446E">
        <w:trPr>
          <w:trHeight w:val="289"/>
          <w:jc w:val="center"/>
        </w:trPr>
        <w:tc>
          <w:tcPr>
            <w:tcW w:w="1471" w:type="dxa"/>
          </w:tcPr>
          <w:p w14:paraId="76C07EE2" w14:textId="3BD743C2" w:rsidR="002B61A7" w:rsidRDefault="002B61A7" w:rsidP="0015446E">
            <w:pPr>
              <w:pStyle w:val="NoSpacing"/>
              <w:jc w:val="center"/>
            </w:pPr>
            <w:r>
              <w:t xml:space="preserve">Recurrent </w:t>
            </w:r>
            <w:proofErr w:type="spellStart"/>
            <w:r>
              <w:t>DD</w:t>
            </w:r>
            <w:r w:rsidR="00007DC3">
              <w:rPr>
                <w:vertAlign w:val="superscript"/>
              </w:rPr>
              <w:t>b</w:t>
            </w:r>
            <w:proofErr w:type="spellEnd"/>
            <w:r>
              <w:t xml:space="preserve"> - mild</w:t>
            </w:r>
          </w:p>
        </w:tc>
        <w:tc>
          <w:tcPr>
            <w:tcW w:w="1327" w:type="dxa"/>
            <w:tcBorders>
              <w:bottom w:val="single" w:sz="4" w:space="0" w:color="auto"/>
              <w:right w:val="nil"/>
            </w:tcBorders>
          </w:tcPr>
          <w:p w14:paraId="51D09252" w14:textId="77777777" w:rsidR="002B61A7" w:rsidRDefault="002B61A7" w:rsidP="0015446E">
            <w:pPr>
              <w:pStyle w:val="NoSpacing"/>
              <w:jc w:val="center"/>
            </w:pPr>
            <w:r>
              <w:t>7</w:t>
            </w:r>
          </w:p>
          <w:p w14:paraId="498A351F" w14:textId="77777777" w:rsidR="002B61A7" w:rsidRDefault="002B61A7" w:rsidP="0015446E">
            <w:pPr>
              <w:pStyle w:val="NoSpacing"/>
              <w:jc w:val="center"/>
            </w:pPr>
            <w:r>
              <w:t>(10.6)</w:t>
            </w:r>
          </w:p>
        </w:tc>
        <w:tc>
          <w:tcPr>
            <w:tcW w:w="1297" w:type="dxa"/>
            <w:tcBorders>
              <w:left w:val="nil"/>
              <w:bottom w:val="single" w:sz="4" w:space="0" w:color="auto"/>
              <w:right w:val="nil"/>
            </w:tcBorders>
          </w:tcPr>
          <w:p w14:paraId="5624BE3A" w14:textId="77777777" w:rsidR="002B61A7" w:rsidRDefault="002B61A7" w:rsidP="0015446E">
            <w:pPr>
              <w:pStyle w:val="NoSpacing"/>
              <w:jc w:val="center"/>
            </w:pPr>
            <w:r>
              <w:t>59</w:t>
            </w:r>
          </w:p>
          <w:p w14:paraId="5AA29A59" w14:textId="77777777" w:rsidR="002B61A7" w:rsidRDefault="002B61A7" w:rsidP="0015446E">
            <w:pPr>
              <w:pStyle w:val="NoSpacing"/>
              <w:jc w:val="center"/>
            </w:pPr>
            <w:r>
              <w:t>(89.4)</w:t>
            </w:r>
          </w:p>
        </w:tc>
        <w:tc>
          <w:tcPr>
            <w:tcW w:w="1429" w:type="dxa"/>
            <w:tcBorders>
              <w:left w:val="nil"/>
              <w:bottom w:val="single" w:sz="4" w:space="0" w:color="auto"/>
              <w:right w:val="nil"/>
            </w:tcBorders>
          </w:tcPr>
          <w:p w14:paraId="2B083C06" w14:textId="77777777" w:rsidR="002B61A7" w:rsidRDefault="002B61A7" w:rsidP="0015446E">
            <w:pPr>
              <w:pStyle w:val="NoSpacing"/>
              <w:jc w:val="center"/>
            </w:pPr>
            <w:r>
              <w:t>0.49</w:t>
            </w:r>
          </w:p>
          <w:p w14:paraId="75F37709" w14:textId="77777777" w:rsidR="002B61A7" w:rsidRDefault="002B61A7" w:rsidP="0015446E">
            <w:pPr>
              <w:pStyle w:val="NoSpacing"/>
              <w:jc w:val="center"/>
            </w:pPr>
            <w:r>
              <w:t>(0.19 to 1.23)</w:t>
            </w:r>
          </w:p>
        </w:tc>
        <w:tc>
          <w:tcPr>
            <w:tcW w:w="850" w:type="dxa"/>
            <w:tcBorders>
              <w:left w:val="nil"/>
              <w:bottom w:val="single" w:sz="4" w:space="0" w:color="auto"/>
              <w:right w:val="nil"/>
            </w:tcBorders>
          </w:tcPr>
          <w:p w14:paraId="182A91B4" w14:textId="77777777" w:rsidR="002B61A7" w:rsidRDefault="002B61A7" w:rsidP="0015446E">
            <w:pPr>
              <w:pStyle w:val="NoSpacing"/>
              <w:jc w:val="center"/>
            </w:pPr>
            <w:r>
              <w:t>0.126</w:t>
            </w:r>
          </w:p>
        </w:tc>
        <w:tc>
          <w:tcPr>
            <w:tcW w:w="1559" w:type="dxa"/>
            <w:tcBorders>
              <w:left w:val="nil"/>
              <w:bottom w:val="single" w:sz="4" w:space="0" w:color="auto"/>
              <w:right w:val="nil"/>
            </w:tcBorders>
          </w:tcPr>
          <w:p w14:paraId="34245C91" w14:textId="77777777" w:rsidR="002B61A7" w:rsidRDefault="002B61A7" w:rsidP="0015446E">
            <w:pPr>
              <w:pStyle w:val="NoSpacing"/>
              <w:jc w:val="center"/>
            </w:pPr>
            <w:r>
              <w:t>0.60</w:t>
            </w:r>
          </w:p>
          <w:p w14:paraId="71FFE6A9" w14:textId="77777777" w:rsidR="002B61A7" w:rsidRDefault="002B61A7" w:rsidP="0015446E">
            <w:pPr>
              <w:pStyle w:val="NoSpacing"/>
              <w:jc w:val="center"/>
            </w:pPr>
            <w:r>
              <w:t>(0.20 to 1.78)</w:t>
            </w:r>
          </w:p>
        </w:tc>
        <w:tc>
          <w:tcPr>
            <w:tcW w:w="1083" w:type="dxa"/>
            <w:tcBorders>
              <w:left w:val="nil"/>
              <w:bottom w:val="single" w:sz="4" w:space="0" w:color="auto"/>
            </w:tcBorders>
          </w:tcPr>
          <w:p w14:paraId="0140E63F" w14:textId="77777777" w:rsidR="002B61A7" w:rsidRDefault="002B61A7" w:rsidP="0015446E">
            <w:pPr>
              <w:pStyle w:val="NoSpacing"/>
              <w:jc w:val="center"/>
            </w:pPr>
            <w:r>
              <w:t>0.354</w:t>
            </w:r>
          </w:p>
        </w:tc>
      </w:tr>
      <w:tr w:rsidR="002B61A7" w14:paraId="00E355CA" w14:textId="77777777" w:rsidTr="0015446E">
        <w:trPr>
          <w:trHeight w:val="276"/>
          <w:jc w:val="center"/>
        </w:trPr>
        <w:tc>
          <w:tcPr>
            <w:tcW w:w="1471" w:type="dxa"/>
          </w:tcPr>
          <w:p w14:paraId="3B8B2819" w14:textId="77777777" w:rsidR="002B61A7" w:rsidRDefault="002B61A7" w:rsidP="0015446E">
            <w:pPr>
              <w:pStyle w:val="NoSpacing"/>
              <w:jc w:val="center"/>
            </w:pPr>
            <w:r>
              <w:t>Recurrent DD - mod</w:t>
            </w:r>
          </w:p>
        </w:tc>
        <w:tc>
          <w:tcPr>
            <w:tcW w:w="1327" w:type="dxa"/>
            <w:tcBorders>
              <w:bottom w:val="single" w:sz="4" w:space="0" w:color="auto"/>
              <w:right w:val="nil"/>
            </w:tcBorders>
          </w:tcPr>
          <w:p w14:paraId="648E0D8D" w14:textId="77777777" w:rsidR="002B61A7" w:rsidRDefault="002B61A7" w:rsidP="0015446E">
            <w:pPr>
              <w:pStyle w:val="NoSpacing"/>
              <w:jc w:val="center"/>
            </w:pPr>
            <w:r>
              <w:t>39</w:t>
            </w:r>
          </w:p>
          <w:p w14:paraId="38AAC0E0" w14:textId="77777777" w:rsidR="002B61A7" w:rsidRDefault="002B61A7" w:rsidP="0015446E">
            <w:pPr>
              <w:pStyle w:val="NoSpacing"/>
              <w:jc w:val="center"/>
            </w:pPr>
            <w:r>
              <w:t>(17.5)</w:t>
            </w:r>
          </w:p>
        </w:tc>
        <w:tc>
          <w:tcPr>
            <w:tcW w:w="1297" w:type="dxa"/>
            <w:tcBorders>
              <w:left w:val="nil"/>
              <w:bottom w:val="single" w:sz="4" w:space="0" w:color="auto"/>
              <w:right w:val="nil"/>
            </w:tcBorders>
          </w:tcPr>
          <w:p w14:paraId="09B62560" w14:textId="77777777" w:rsidR="002B61A7" w:rsidRDefault="002B61A7" w:rsidP="0015446E">
            <w:pPr>
              <w:pStyle w:val="NoSpacing"/>
              <w:jc w:val="center"/>
            </w:pPr>
            <w:r>
              <w:t>184</w:t>
            </w:r>
          </w:p>
          <w:p w14:paraId="2BC478BE" w14:textId="77777777" w:rsidR="002B61A7" w:rsidRDefault="002B61A7" w:rsidP="0015446E">
            <w:pPr>
              <w:pStyle w:val="NoSpacing"/>
              <w:jc w:val="center"/>
            </w:pPr>
            <w:r>
              <w:t>(82.5)</w:t>
            </w:r>
          </w:p>
        </w:tc>
        <w:tc>
          <w:tcPr>
            <w:tcW w:w="1429" w:type="dxa"/>
            <w:tcBorders>
              <w:left w:val="nil"/>
              <w:bottom w:val="single" w:sz="4" w:space="0" w:color="auto"/>
              <w:right w:val="nil"/>
            </w:tcBorders>
          </w:tcPr>
          <w:p w14:paraId="2B58D296" w14:textId="77777777" w:rsidR="002B61A7" w:rsidRDefault="002B61A7" w:rsidP="0015446E">
            <w:pPr>
              <w:pStyle w:val="NoSpacing"/>
              <w:jc w:val="center"/>
            </w:pPr>
            <w:r>
              <w:t>0.87</w:t>
            </w:r>
          </w:p>
          <w:p w14:paraId="09939BDD" w14:textId="77777777" w:rsidR="002B61A7" w:rsidRDefault="002B61A7" w:rsidP="0015446E">
            <w:pPr>
              <w:pStyle w:val="NoSpacing"/>
              <w:jc w:val="center"/>
            </w:pPr>
            <w:r>
              <w:t>(0.48 to 1.58)</w:t>
            </w:r>
          </w:p>
        </w:tc>
        <w:tc>
          <w:tcPr>
            <w:tcW w:w="850" w:type="dxa"/>
            <w:tcBorders>
              <w:left w:val="nil"/>
              <w:bottom w:val="single" w:sz="4" w:space="0" w:color="auto"/>
              <w:right w:val="nil"/>
            </w:tcBorders>
          </w:tcPr>
          <w:p w14:paraId="7ECF18D1" w14:textId="77777777" w:rsidR="002B61A7" w:rsidRDefault="002B61A7" w:rsidP="0015446E">
            <w:pPr>
              <w:pStyle w:val="NoSpacing"/>
              <w:jc w:val="center"/>
            </w:pPr>
            <w:r>
              <w:t>0.646</w:t>
            </w:r>
          </w:p>
        </w:tc>
        <w:tc>
          <w:tcPr>
            <w:tcW w:w="1559" w:type="dxa"/>
            <w:tcBorders>
              <w:left w:val="nil"/>
              <w:bottom w:val="single" w:sz="4" w:space="0" w:color="auto"/>
              <w:right w:val="nil"/>
            </w:tcBorders>
          </w:tcPr>
          <w:p w14:paraId="69F7F838" w14:textId="77777777" w:rsidR="002B61A7" w:rsidRDefault="002B61A7" w:rsidP="0015446E">
            <w:pPr>
              <w:pStyle w:val="NoSpacing"/>
              <w:jc w:val="center"/>
            </w:pPr>
            <w:r>
              <w:t>1.03</w:t>
            </w:r>
          </w:p>
          <w:p w14:paraId="68FA6491" w14:textId="77777777" w:rsidR="002B61A7" w:rsidRDefault="002B61A7" w:rsidP="0015446E">
            <w:pPr>
              <w:pStyle w:val="NoSpacing"/>
              <w:jc w:val="center"/>
            </w:pPr>
            <w:r>
              <w:t>(0.53 to 2.00)</w:t>
            </w:r>
          </w:p>
        </w:tc>
        <w:tc>
          <w:tcPr>
            <w:tcW w:w="1083" w:type="dxa"/>
            <w:tcBorders>
              <w:left w:val="nil"/>
              <w:bottom w:val="single" w:sz="4" w:space="0" w:color="auto"/>
            </w:tcBorders>
          </w:tcPr>
          <w:p w14:paraId="68F101EA" w14:textId="77777777" w:rsidR="002B61A7" w:rsidRDefault="002B61A7" w:rsidP="0015446E">
            <w:pPr>
              <w:pStyle w:val="NoSpacing"/>
              <w:jc w:val="center"/>
            </w:pPr>
            <w:r>
              <w:t>0.933</w:t>
            </w:r>
          </w:p>
        </w:tc>
      </w:tr>
      <w:tr w:rsidR="002B61A7" w14:paraId="6B473BBD" w14:textId="77777777" w:rsidTr="0015446E">
        <w:trPr>
          <w:trHeight w:val="276"/>
          <w:jc w:val="center"/>
        </w:trPr>
        <w:tc>
          <w:tcPr>
            <w:tcW w:w="1471" w:type="dxa"/>
          </w:tcPr>
          <w:p w14:paraId="2C5EC973" w14:textId="77777777" w:rsidR="002B61A7" w:rsidRDefault="002B61A7" w:rsidP="0015446E">
            <w:pPr>
              <w:pStyle w:val="NoSpacing"/>
              <w:jc w:val="center"/>
            </w:pPr>
            <w:r>
              <w:t>Recurrent DD - severe</w:t>
            </w:r>
          </w:p>
        </w:tc>
        <w:tc>
          <w:tcPr>
            <w:tcW w:w="1327" w:type="dxa"/>
            <w:tcBorders>
              <w:bottom w:val="single" w:sz="4" w:space="0" w:color="auto"/>
              <w:right w:val="nil"/>
            </w:tcBorders>
          </w:tcPr>
          <w:p w14:paraId="4B631AEB" w14:textId="77777777" w:rsidR="002B61A7" w:rsidRDefault="002B61A7" w:rsidP="0015446E">
            <w:pPr>
              <w:pStyle w:val="NoSpacing"/>
              <w:jc w:val="center"/>
            </w:pPr>
            <w:r>
              <w:t>16</w:t>
            </w:r>
          </w:p>
          <w:p w14:paraId="340C7C0E" w14:textId="77777777" w:rsidR="002B61A7" w:rsidRDefault="002B61A7" w:rsidP="0015446E">
            <w:pPr>
              <w:pStyle w:val="NoSpacing"/>
              <w:jc w:val="center"/>
            </w:pPr>
            <w:r>
              <w:t>(8.2)</w:t>
            </w:r>
          </w:p>
        </w:tc>
        <w:tc>
          <w:tcPr>
            <w:tcW w:w="1297" w:type="dxa"/>
            <w:tcBorders>
              <w:left w:val="nil"/>
              <w:bottom w:val="single" w:sz="4" w:space="0" w:color="auto"/>
              <w:right w:val="nil"/>
            </w:tcBorders>
          </w:tcPr>
          <w:p w14:paraId="5DFFFC9A" w14:textId="77777777" w:rsidR="002B61A7" w:rsidRDefault="002B61A7" w:rsidP="0015446E">
            <w:pPr>
              <w:pStyle w:val="NoSpacing"/>
              <w:jc w:val="center"/>
            </w:pPr>
            <w:r>
              <w:t>179</w:t>
            </w:r>
          </w:p>
          <w:p w14:paraId="408A7FC7" w14:textId="77777777" w:rsidR="002B61A7" w:rsidRDefault="002B61A7" w:rsidP="0015446E">
            <w:pPr>
              <w:pStyle w:val="NoSpacing"/>
              <w:jc w:val="center"/>
            </w:pPr>
            <w:r>
              <w:t>(91.8)</w:t>
            </w:r>
          </w:p>
        </w:tc>
        <w:tc>
          <w:tcPr>
            <w:tcW w:w="1429" w:type="dxa"/>
            <w:tcBorders>
              <w:left w:val="nil"/>
              <w:bottom w:val="single" w:sz="4" w:space="0" w:color="auto"/>
              <w:right w:val="nil"/>
            </w:tcBorders>
          </w:tcPr>
          <w:p w14:paraId="1C54DB59" w14:textId="77777777" w:rsidR="002B61A7" w:rsidRDefault="002B61A7" w:rsidP="0015446E">
            <w:pPr>
              <w:pStyle w:val="NoSpacing"/>
              <w:jc w:val="center"/>
            </w:pPr>
            <w:r>
              <w:t>0.37</w:t>
            </w:r>
          </w:p>
          <w:p w14:paraId="7E6FA7F1" w14:textId="77777777" w:rsidR="002B61A7" w:rsidRDefault="002B61A7" w:rsidP="0015446E">
            <w:pPr>
              <w:pStyle w:val="NoSpacing"/>
              <w:jc w:val="center"/>
            </w:pPr>
            <w:r>
              <w:t>(0.18 to 0.74)</w:t>
            </w:r>
          </w:p>
        </w:tc>
        <w:tc>
          <w:tcPr>
            <w:tcW w:w="850" w:type="dxa"/>
            <w:tcBorders>
              <w:left w:val="nil"/>
              <w:bottom w:val="single" w:sz="4" w:space="0" w:color="auto"/>
              <w:right w:val="nil"/>
            </w:tcBorders>
          </w:tcPr>
          <w:p w14:paraId="1C8AB4C0" w14:textId="77777777" w:rsidR="002B61A7" w:rsidRDefault="002B61A7" w:rsidP="0015446E">
            <w:pPr>
              <w:pStyle w:val="NoSpacing"/>
              <w:jc w:val="center"/>
            </w:pPr>
            <w:r>
              <w:t>0.005</w:t>
            </w:r>
          </w:p>
        </w:tc>
        <w:tc>
          <w:tcPr>
            <w:tcW w:w="1559" w:type="dxa"/>
            <w:tcBorders>
              <w:left w:val="nil"/>
              <w:bottom w:val="single" w:sz="4" w:space="0" w:color="auto"/>
              <w:right w:val="nil"/>
            </w:tcBorders>
          </w:tcPr>
          <w:p w14:paraId="1044E852" w14:textId="77777777" w:rsidR="002B61A7" w:rsidRDefault="002B61A7" w:rsidP="0015446E">
            <w:pPr>
              <w:pStyle w:val="NoSpacing"/>
              <w:jc w:val="center"/>
            </w:pPr>
            <w:r>
              <w:t>0.44</w:t>
            </w:r>
          </w:p>
          <w:p w14:paraId="3E91389A" w14:textId="77777777" w:rsidR="002B61A7" w:rsidRDefault="002B61A7" w:rsidP="0015446E">
            <w:pPr>
              <w:pStyle w:val="NoSpacing"/>
              <w:jc w:val="center"/>
            </w:pPr>
            <w:r>
              <w:t>(0.19 to 0.87)</w:t>
            </w:r>
          </w:p>
        </w:tc>
        <w:tc>
          <w:tcPr>
            <w:tcW w:w="1083" w:type="dxa"/>
            <w:tcBorders>
              <w:left w:val="nil"/>
              <w:bottom w:val="single" w:sz="4" w:space="0" w:color="auto"/>
            </w:tcBorders>
          </w:tcPr>
          <w:p w14:paraId="6435493B" w14:textId="77777777" w:rsidR="002B61A7" w:rsidRDefault="002B61A7" w:rsidP="0015446E">
            <w:pPr>
              <w:pStyle w:val="NoSpacing"/>
              <w:jc w:val="center"/>
            </w:pPr>
            <w:r>
              <w:t>0.035</w:t>
            </w:r>
          </w:p>
        </w:tc>
      </w:tr>
      <w:tr w:rsidR="002B61A7" w14:paraId="64903382" w14:textId="77777777" w:rsidTr="0015446E">
        <w:trPr>
          <w:trHeight w:val="276"/>
          <w:jc w:val="center"/>
        </w:trPr>
        <w:tc>
          <w:tcPr>
            <w:tcW w:w="1471" w:type="dxa"/>
          </w:tcPr>
          <w:p w14:paraId="26CBC3AA" w14:textId="77777777" w:rsidR="002B61A7" w:rsidRDefault="002B61A7" w:rsidP="0015446E">
            <w:pPr>
              <w:pStyle w:val="NoSpacing"/>
              <w:jc w:val="center"/>
            </w:pPr>
            <w:r>
              <w:t>Recurrent DD - other</w:t>
            </w:r>
          </w:p>
        </w:tc>
        <w:tc>
          <w:tcPr>
            <w:tcW w:w="1327" w:type="dxa"/>
            <w:tcBorders>
              <w:bottom w:val="single" w:sz="4" w:space="0" w:color="auto"/>
              <w:right w:val="nil"/>
            </w:tcBorders>
          </w:tcPr>
          <w:p w14:paraId="721E09ED" w14:textId="77777777" w:rsidR="002B61A7" w:rsidRDefault="002B61A7" w:rsidP="0015446E">
            <w:pPr>
              <w:pStyle w:val="NoSpacing"/>
              <w:jc w:val="center"/>
            </w:pPr>
            <w:r>
              <w:t>13</w:t>
            </w:r>
          </w:p>
          <w:p w14:paraId="056FB9A5" w14:textId="77777777" w:rsidR="002B61A7" w:rsidRDefault="002B61A7" w:rsidP="0015446E">
            <w:pPr>
              <w:pStyle w:val="NoSpacing"/>
              <w:jc w:val="center"/>
            </w:pPr>
            <w:r>
              <w:t>(10.2)</w:t>
            </w:r>
          </w:p>
        </w:tc>
        <w:tc>
          <w:tcPr>
            <w:tcW w:w="1297" w:type="dxa"/>
            <w:tcBorders>
              <w:left w:val="nil"/>
              <w:bottom w:val="single" w:sz="4" w:space="0" w:color="auto"/>
              <w:right w:val="nil"/>
            </w:tcBorders>
          </w:tcPr>
          <w:p w14:paraId="2A319BD3" w14:textId="77777777" w:rsidR="002B61A7" w:rsidRDefault="002B61A7" w:rsidP="0015446E">
            <w:pPr>
              <w:pStyle w:val="NoSpacing"/>
              <w:jc w:val="center"/>
            </w:pPr>
            <w:r>
              <w:t>115</w:t>
            </w:r>
          </w:p>
          <w:p w14:paraId="4C33BFEC" w14:textId="77777777" w:rsidR="002B61A7" w:rsidRDefault="002B61A7" w:rsidP="0015446E">
            <w:pPr>
              <w:pStyle w:val="NoSpacing"/>
              <w:jc w:val="center"/>
            </w:pPr>
            <w:r>
              <w:t>(89.8)</w:t>
            </w:r>
          </w:p>
        </w:tc>
        <w:tc>
          <w:tcPr>
            <w:tcW w:w="1429" w:type="dxa"/>
            <w:tcBorders>
              <w:left w:val="nil"/>
              <w:bottom w:val="single" w:sz="4" w:space="0" w:color="auto"/>
              <w:right w:val="nil"/>
            </w:tcBorders>
          </w:tcPr>
          <w:p w14:paraId="7856AB81" w14:textId="77777777" w:rsidR="002B61A7" w:rsidRDefault="002B61A7" w:rsidP="0015446E">
            <w:pPr>
              <w:pStyle w:val="NoSpacing"/>
              <w:jc w:val="center"/>
            </w:pPr>
            <w:r>
              <w:t>0.46</w:t>
            </w:r>
          </w:p>
          <w:p w14:paraId="2FFE6DD9" w14:textId="77777777" w:rsidR="002B61A7" w:rsidRDefault="002B61A7" w:rsidP="0015446E">
            <w:pPr>
              <w:pStyle w:val="NoSpacing"/>
              <w:jc w:val="center"/>
            </w:pPr>
            <w:r>
              <w:t>(0.22 to 0.98)</w:t>
            </w:r>
          </w:p>
        </w:tc>
        <w:tc>
          <w:tcPr>
            <w:tcW w:w="850" w:type="dxa"/>
            <w:tcBorders>
              <w:left w:val="nil"/>
              <w:bottom w:val="single" w:sz="4" w:space="0" w:color="auto"/>
              <w:right w:val="nil"/>
            </w:tcBorders>
          </w:tcPr>
          <w:p w14:paraId="4EC8EC95" w14:textId="77777777" w:rsidR="002B61A7" w:rsidRDefault="002B61A7" w:rsidP="0015446E">
            <w:pPr>
              <w:pStyle w:val="NoSpacing"/>
              <w:jc w:val="center"/>
            </w:pPr>
            <w:r>
              <w:t>0.045</w:t>
            </w:r>
          </w:p>
        </w:tc>
        <w:tc>
          <w:tcPr>
            <w:tcW w:w="1559" w:type="dxa"/>
            <w:tcBorders>
              <w:left w:val="nil"/>
              <w:bottom w:val="single" w:sz="4" w:space="0" w:color="auto"/>
              <w:right w:val="nil"/>
            </w:tcBorders>
          </w:tcPr>
          <w:p w14:paraId="0D28E64D" w14:textId="77777777" w:rsidR="002B61A7" w:rsidRDefault="002B61A7" w:rsidP="0015446E">
            <w:pPr>
              <w:pStyle w:val="NoSpacing"/>
              <w:jc w:val="center"/>
            </w:pPr>
            <w:r>
              <w:t>0.68</w:t>
            </w:r>
          </w:p>
          <w:p w14:paraId="7517C71A" w14:textId="77777777" w:rsidR="002B61A7" w:rsidRDefault="002B61A7" w:rsidP="0015446E">
            <w:pPr>
              <w:pStyle w:val="NoSpacing"/>
              <w:jc w:val="center"/>
            </w:pPr>
            <w:r>
              <w:t>(0.30 to 1.55)</w:t>
            </w:r>
          </w:p>
        </w:tc>
        <w:tc>
          <w:tcPr>
            <w:tcW w:w="1083" w:type="dxa"/>
            <w:tcBorders>
              <w:left w:val="nil"/>
              <w:bottom w:val="single" w:sz="4" w:space="0" w:color="auto"/>
            </w:tcBorders>
          </w:tcPr>
          <w:p w14:paraId="2C3E13F4" w14:textId="77777777" w:rsidR="002B61A7" w:rsidRDefault="002B61A7" w:rsidP="0015446E">
            <w:pPr>
              <w:pStyle w:val="NoSpacing"/>
              <w:jc w:val="center"/>
            </w:pPr>
            <w:r>
              <w:t>0.353</w:t>
            </w:r>
          </w:p>
        </w:tc>
      </w:tr>
      <w:tr w:rsidR="002B61A7" w14:paraId="38481FF9" w14:textId="77777777" w:rsidTr="0015446E">
        <w:trPr>
          <w:trHeight w:val="276"/>
          <w:jc w:val="center"/>
        </w:trPr>
        <w:tc>
          <w:tcPr>
            <w:tcW w:w="1471" w:type="dxa"/>
          </w:tcPr>
          <w:p w14:paraId="0B14E117" w14:textId="77777777" w:rsidR="002B61A7" w:rsidRDefault="002B61A7" w:rsidP="0015446E">
            <w:pPr>
              <w:pStyle w:val="NoSpacing"/>
              <w:jc w:val="center"/>
            </w:pPr>
            <w:r>
              <w:t>Other affective</w:t>
            </w:r>
          </w:p>
        </w:tc>
        <w:tc>
          <w:tcPr>
            <w:tcW w:w="1327" w:type="dxa"/>
            <w:tcBorders>
              <w:bottom w:val="single" w:sz="4" w:space="0" w:color="auto"/>
              <w:right w:val="nil"/>
            </w:tcBorders>
          </w:tcPr>
          <w:p w14:paraId="3B0BE12F" w14:textId="77777777" w:rsidR="002B61A7" w:rsidRDefault="002B61A7" w:rsidP="0015446E">
            <w:pPr>
              <w:pStyle w:val="NoSpacing"/>
              <w:jc w:val="center"/>
            </w:pPr>
            <w:r>
              <w:t>8</w:t>
            </w:r>
          </w:p>
          <w:p w14:paraId="51CA99E5" w14:textId="77777777" w:rsidR="002B61A7" w:rsidRDefault="002B61A7" w:rsidP="0015446E">
            <w:pPr>
              <w:pStyle w:val="NoSpacing"/>
              <w:jc w:val="center"/>
            </w:pPr>
            <w:r>
              <w:t>(17.8)</w:t>
            </w:r>
          </w:p>
        </w:tc>
        <w:tc>
          <w:tcPr>
            <w:tcW w:w="1297" w:type="dxa"/>
            <w:tcBorders>
              <w:left w:val="nil"/>
              <w:bottom w:val="single" w:sz="4" w:space="0" w:color="auto"/>
              <w:right w:val="nil"/>
            </w:tcBorders>
          </w:tcPr>
          <w:p w14:paraId="647ECD84" w14:textId="77777777" w:rsidR="002B61A7" w:rsidRDefault="002B61A7" w:rsidP="0015446E">
            <w:pPr>
              <w:pStyle w:val="NoSpacing"/>
              <w:jc w:val="center"/>
            </w:pPr>
            <w:r>
              <w:t>37</w:t>
            </w:r>
          </w:p>
          <w:p w14:paraId="6F9F2D4C" w14:textId="77777777" w:rsidR="002B61A7" w:rsidRDefault="002B61A7" w:rsidP="0015446E">
            <w:pPr>
              <w:pStyle w:val="NoSpacing"/>
              <w:jc w:val="center"/>
            </w:pPr>
            <w:r>
              <w:t>(82.2)</w:t>
            </w:r>
          </w:p>
        </w:tc>
        <w:tc>
          <w:tcPr>
            <w:tcW w:w="1429" w:type="dxa"/>
            <w:tcBorders>
              <w:left w:val="nil"/>
              <w:bottom w:val="single" w:sz="4" w:space="0" w:color="auto"/>
              <w:right w:val="nil"/>
            </w:tcBorders>
          </w:tcPr>
          <w:p w14:paraId="4899AF79" w14:textId="77777777" w:rsidR="002B61A7" w:rsidRDefault="002B61A7" w:rsidP="0015446E">
            <w:pPr>
              <w:pStyle w:val="NoSpacing"/>
              <w:jc w:val="center"/>
            </w:pPr>
            <w:r>
              <w:t>0.87</w:t>
            </w:r>
          </w:p>
          <w:p w14:paraId="4AEDA054" w14:textId="77777777" w:rsidR="002B61A7" w:rsidRDefault="002B61A7" w:rsidP="0015446E">
            <w:pPr>
              <w:pStyle w:val="NoSpacing"/>
              <w:jc w:val="center"/>
            </w:pPr>
            <w:r>
              <w:t>(0.36 to 2.20)</w:t>
            </w:r>
          </w:p>
        </w:tc>
        <w:tc>
          <w:tcPr>
            <w:tcW w:w="850" w:type="dxa"/>
            <w:tcBorders>
              <w:left w:val="nil"/>
              <w:bottom w:val="single" w:sz="4" w:space="0" w:color="auto"/>
              <w:right w:val="nil"/>
            </w:tcBorders>
          </w:tcPr>
          <w:p w14:paraId="192C9B86" w14:textId="77777777" w:rsidR="002B61A7" w:rsidRDefault="002B61A7" w:rsidP="0015446E">
            <w:pPr>
              <w:pStyle w:val="NoSpacing"/>
              <w:jc w:val="center"/>
            </w:pPr>
            <w:r>
              <w:t>0.795</w:t>
            </w:r>
          </w:p>
        </w:tc>
        <w:tc>
          <w:tcPr>
            <w:tcW w:w="1559" w:type="dxa"/>
            <w:tcBorders>
              <w:left w:val="nil"/>
              <w:bottom w:val="single" w:sz="4" w:space="0" w:color="auto"/>
              <w:right w:val="nil"/>
            </w:tcBorders>
          </w:tcPr>
          <w:p w14:paraId="5F571176" w14:textId="77777777" w:rsidR="002B61A7" w:rsidRDefault="002B61A7" w:rsidP="0015446E">
            <w:pPr>
              <w:pStyle w:val="NoSpacing"/>
              <w:jc w:val="center"/>
            </w:pPr>
            <w:r>
              <w:t>0.89</w:t>
            </w:r>
          </w:p>
          <w:p w14:paraId="2A45B509" w14:textId="77777777" w:rsidR="002B61A7" w:rsidRDefault="002B61A7" w:rsidP="0015446E">
            <w:pPr>
              <w:pStyle w:val="NoSpacing"/>
              <w:jc w:val="center"/>
            </w:pPr>
            <w:r>
              <w:t>(0.34 to 2.35)</w:t>
            </w:r>
          </w:p>
        </w:tc>
        <w:tc>
          <w:tcPr>
            <w:tcW w:w="1083" w:type="dxa"/>
            <w:tcBorders>
              <w:left w:val="nil"/>
              <w:bottom w:val="single" w:sz="4" w:space="0" w:color="auto"/>
            </w:tcBorders>
          </w:tcPr>
          <w:p w14:paraId="4F3ED397" w14:textId="77777777" w:rsidR="002B61A7" w:rsidRDefault="002B61A7" w:rsidP="0015446E">
            <w:pPr>
              <w:pStyle w:val="NoSpacing"/>
              <w:jc w:val="center"/>
            </w:pPr>
            <w:r>
              <w:t>0.812</w:t>
            </w:r>
          </w:p>
        </w:tc>
      </w:tr>
      <w:tr w:rsidR="002B61A7" w14:paraId="670A906A" w14:textId="77777777" w:rsidTr="0015446E">
        <w:trPr>
          <w:trHeight w:val="276"/>
          <w:jc w:val="center"/>
        </w:trPr>
        <w:tc>
          <w:tcPr>
            <w:tcW w:w="1471" w:type="dxa"/>
          </w:tcPr>
          <w:p w14:paraId="41FF5E50" w14:textId="77777777" w:rsidR="002B61A7" w:rsidRDefault="002B61A7" w:rsidP="0015446E">
            <w:pPr>
              <w:pStyle w:val="NoSpacing"/>
              <w:jc w:val="center"/>
            </w:pPr>
            <w:r>
              <w:t>Phobia</w:t>
            </w:r>
          </w:p>
        </w:tc>
        <w:tc>
          <w:tcPr>
            <w:tcW w:w="1327" w:type="dxa"/>
            <w:tcBorders>
              <w:bottom w:val="single" w:sz="4" w:space="0" w:color="auto"/>
              <w:right w:val="nil"/>
            </w:tcBorders>
          </w:tcPr>
          <w:p w14:paraId="7CD1E825" w14:textId="77777777" w:rsidR="002B61A7" w:rsidRDefault="002B61A7" w:rsidP="0015446E">
            <w:pPr>
              <w:pStyle w:val="NoSpacing"/>
              <w:jc w:val="center"/>
            </w:pPr>
            <w:r>
              <w:t>4</w:t>
            </w:r>
          </w:p>
          <w:p w14:paraId="1BC3BF6A" w14:textId="77777777" w:rsidR="002B61A7" w:rsidRDefault="002B61A7" w:rsidP="0015446E">
            <w:pPr>
              <w:pStyle w:val="NoSpacing"/>
              <w:jc w:val="center"/>
            </w:pPr>
            <w:r>
              <w:t>(23.5)</w:t>
            </w:r>
          </w:p>
        </w:tc>
        <w:tc>
          <w:tcPr>
            <w:tcW w:w="1297" w:type="dxa"/>
            <w:tcBorders>
              <w:left w:val="nil"/>
              <w:bottom w:val="single" w:sz="4" w:space="0" w:color="auto"/>
              <w:right w:val="nil"/>
            </w:tcBorders>
          </w:tcPr>
          <w:p w14:paraId="3F93159B" w14:textId="77777777" w:rsidR="002B61A7" w:rsidRDefault="002B61A7" w:rsidP="0015446E">
            <w:pPr>
              <w:pStyle w:val="NoSpacing"/>
              <w:jc w:val="center"/>
            </w:pPr>
            <w:r>
              <w:t>13</w:t>
            </w:r>
          </w:p>
          <w:p w14:paraId="08B0BBD2" w14:textId="77777777" w:rsidR="002B61A7" w:rsidRDefault="002B61A7" w:rsidP="0015446E">
            <w:pPr>
              <w:pStyle w:val="NoSpacing"/>
              <w:jc w:val="center"/>
            </w:pPr>
            <w:r>
              <w:t>(76.5)</w:t>
            </w:r>
          </w:p>
        </w:tc>
        <w:tc>
          <w:tcPr>
            <w:tcW w:w="1429" w:type="dxa"/>
            <w:tcBorders>
              <w:left w:val="nil"/>
              <w:bottom w:val="single" w:sz="4" w:space="0" w:color="auto"/>
              <w:right w:val="nil"/>
            </w:tcBorders>
          </w:tcPr>
          <w:p w14:paraId="7F2218F7" w14:textId="77777777" w:rsidR="002B61A7" w:rsidRDefault="002B61A7" w:rsidP="0015446E">
            <w:pPr>
              <w:pStyle w:val="NoSpacing"/>
              <w:jc w:val="center"/>
            </w:pPr>
            <w:r>
              <w:t>1.26</w:t>
            </w:r>
          </w:p>
          <w:p w14:paraId="5A24A5FA" w14:textId="77777777" w:rsidR="002B61A7" w:rsidRDefault="002B61A7" w:rsidP="0015446E">
            <w:pPr>
              <w:pStyle w:val="NoSpacing"/>
              <w:jc w:val="center"/>
            </w:pPr>
            <w:r>
              <w:t>(0.37 to 4.28)</w:t>
            </w:r>
          </w:p>
        </w:tc>
        <w:tc>
          <w:tcPr>
            <w:tcW w:w="850" w:type="dxa"/>
            <w:tcBorders>
              <w:left w:val="nil"/>
              <w:bottom w:val="single" w:sz="4" w:space="0" w:color="auto"/>
              <w:right w:val="nil"/>
            </w:tcBorders>
          </w:tcPr>
          <w:p w14:paraId="4B00578A" w14:textId="77777777" w:rsidR="002B61A7" w:rsidRDefault="002B61A7" w:rsidP="0015446E">
            <w:pPr>
              <w:pStyle w:val="NoSpacing"/>
              <w:jc w:val="center"/>
            </w:pPr>
            <w:r>
              <w:t>0.710</w:t>
            </w:r>
          </w:p>
        </w:tc>
        <w:tc>
          <w:tcPr>
            <w:tcW w:w="1559" w:type="dxa"/>
            <w:tcBorders>
              <w:left w:val="nil"/>
              <w:bottom w:val="single" w:sz="4" w:space="0" w:color="auto"/>
              <w:right w:val="nil"/>
            </w:tcBorders>
          </w:tcPr>
          <w:p w14:paraId="672B1C4D" w14:textId="77777777" w:rsidR="002B61A7" w:rsidRDefault="002B61A7" w:rsidP="0015446E">
            <w:pPr>
              <w:pStyle w:val="NoSpacing"/>
              <w:jc w:val="center"/>
            </w:pPr>
            <w:r>
              <w:t>1.19</w:t>
            </w:r>
          </w:p>
          <w:p w14:paraId="7BE9A7A3" w14:textId="77777777" w:rsidR="002B61A7" w:rsidRDefault="002B61A7" w:rsidP="0015446E">
            <w:pPr>
              <w:pStyle w:val="NoSpacing"/>
              <w:jc w:val="center"/>
            </w:pPr>
            <w:r>
              <w:t>(0.31 to 1.17)</w:t>
            </w:r>
          </w:p>
        </w:tc>
        <w:tc>
          <w:tcPr>
            <w:tcW w:w="1083" w:type="dxa"/>
            <w:tcBorders>
              <w:left w:val="nil"/>
              <w:bottom w:val="single" w:sz="4" w:space="0" w:color="auto"/>
            </w:tcBorders>
          </w:tcPr>
          <w:p w14:paraId="4DD1071C" w14:textId="77777777" w:rsidR="002B61A7" w:rsidRDefault="002B61A7" w:rsidP="0015446E">
            <w:pPr>
              <w:pStyle w:val="NoSpacing"/>
              <w:jc w:val="center"/>
            </w:pPr>
            <w:r>
              <w:t>0.797</w:t>
            </w:r>
          </w:p>
        </w:tc>
      </w:tr>
      <w:tr w:rsidR="002B61A7" w14:paraId="0F3AF49E" w14:textId="77777777" w:rsidTr="0015446E">
        <w:trPr>
          <w:trHeight w:val="276"/>
          <w:jc w:val="center"/>
        </w:trPr>
        <w:tc>
          <w:tcPr>
            <w:tcW w:w="1471" w:type="dxa"/>
            <w:shd w:val="clear" w:color="auto" w:fill="auto"/>
          </w:tcPr>
          <w:p w14:paraId="1B532B25" w14:textId="77777777" w:rsidR="002B61A7" w:rsidRDefault="002B61A7" w:rsidP="0015446E">
            <w:pPr>
              <w:pStyle w:val="NoSpacing"/>
              <w:jc w:val="center"/>
            </w:pPr>
            <w:r>
              <w:t>Mixed anxiety / depression</w:t>
            </w:r>
          </w:p>
        </w:tc>
        <w:tc>
          <w:tcPr>
            <w:tcW w:w="1327" w:type="dxa"/>
            <w:tcBorders>
              <w:bottom w:val="single" w:sz="4" w:space="0" w:color="auto"/>
              <w:right w:val="nil"/>
            </w:tcBorders>
            <w:shd w:val="clear" w:color="auto" w:fill="auto"/>
          </w:tcPr>
          <w:p w14:paraId="60AAEED9" w14:textId="77777777" w:rsidR="002B61A7" w:rsidRDefault="002B61A7" w:rsidP="0015446E">
            <w:pPr>
              <w:pStyle w:val="NoSpacing"/>
              <w:jc w:val="center"/>
            </w:pPr>
            <w:r>
              <w:t>48</w:t>
            </w:r>
          </w:p>
          <w:p w14:paraId="1899F4D1" w14:textId="77777777" w:rsidR="002B61A7" w:rsidRDefault="002B61A7" w:rsidP="0015446E">
            <w:pPr>
              <w:pStyle w:val="NoSpacing"/>
              <w:jc w:val="center"/>
            </w:pPr>
            <w:r>
              <w:t>(11.5)</w:t>
            </w:r>
          </w:p>
        </w:tc>
        <w:tc>
          <w:tcPr>
            <w:tcW w:w="1297" w:type="dxa"/>
            <w:tcBorders>
              <w:left w:val="nil"/>
              <w:bottom w:val="single" w:sz="4" w:space="0" w:color="auto"/>
              <w:right w:val="nil"/>
            </w:tcBorders>
            <w:shd w:val="clear" w:color="auto" w:fill="auto"/>
          </w:tcPr>
          <w:p w14:paraId="6551C4AC" w14:textId="77777777" w:rsidR="002B61A7" w:rsidRDefault="002B61A7" w:rsidP="0015446E">
            <w:pPr>
              <w:pStyle w:val="NoSpacing"/>
              <w:jc w:val="center"/>
            </w:pPr>
            <w:r>
              <w:t>369</w:t>
            </w:r>
          </w:p>
          <w:p w14:paraId="0CF2F705" w14:textId="77777777" w:rsidR="002B61A7" w:rsidRDefault="002B61A7" w:rsidP="0015446E">
            <w:pPr>
              <w:pStyle w:val="NoSpacing"/>
              <w:jc w:val="center"/>
            </w:pPr>
            <w:r>
              <w:t>(88.5)</w:t>
            </w:r>
          </w:p>
        </w:tc>
        <w:tc>
          <w:tcPr>
            <w:tcW w:w="1429" w:type="dxa"/>
            <w:tcBorders>
              <w:left w:val="nil"/>
              <w:bottom w:val="single" w:sz="4" w:space="0" w:color="auto"/>
              <w:right w:val="nil"/>
            </w:tcBorders>
            <w:shd w:val="clear" w:color="auto" w:fill="auto"/>
          </w:tcPr>
          <w:p w14:paraId="5FFB29F2" w14:textId="77777777" w:rsidR="002B61A7" w:rsidRDefault="002B61A7" w:rsidP="0015446E">
            <w:pPr>
              <w:pStyle w:val="NoSpacing"/>
              <w:jc w:val="center"/>
            </w:pPr>
            <w:r>
              <w:t>0.53</w:t>
            </w:r>
          </w:p>
          <w:p w14:paraId="41850C6B" w14:textId="77777777" w:rsidR="002B61A7" w:rsidRDefault="002B61A7" w:rsidP="0015446E">
            <w:pPr>
              <w:pStyle w:val="NoSpacing"/>
              <w:jc w:val="center"/>
            </w:pPr>
            <w:r>
              <w:t>(0.30 to 0.95)</w:t>
            </w:r>
          </w:p>
        </w:tc>
        <w:tc>
          <w:tcPr>
            <w:tcW w:w="850" w:type="dxa"/>
            <w:tcBorders>
              <w:left w:val="nil"/>
              <w:bottom w:val="single" w:sz="4" w:space="0" w:color="auto"/>
              <w:right w:val="nil"/>
            </w:tcBorders>
          </w:tcPr>
          <w:p w14:paraId="283A471B" w14:textId="77777777" w:rsidR="002B61A7" w:rsidRDefault="002B61A7" w:rsidP="0015446E">
            <w:pPr>
              <w:pStyle w:val="NoSpacing"/>
              <w:jc w:val="center"/>
            </w:pPr>
            <w:r>
              <w:t>0.032</w:t>
            </w:r>
          </w:p>
        </w:tc>
        <w:tc>
          <w:tcPr>
            <w:tcW w:w="1559" w:type="dxa"/>
            <w:tcBorders>
              <w:left w:val="nil"/>
              <w:bottom w:val="single" w:sz="4" w:space="0" w:color="auto"/>
              <w:right w:val="nil"/>
            </w:tcBorders>
            <w:shd w:val="clear" w:color="auto" w:fill="auto"/>
          </w:tcPr>
          <w:p w14:paraId="5EC68F4E" w14:textId="77777777" w:rsidR="002B61A7" w:rsidRDefault="002B61A7" w:rsidP="0015446E">
            <w:pPr>
              <w:pStyle w:val="NoSpacing"/>
              <w:jc w:val="center"/>
            </w:pPr>
            <w:r>
              <w:t>0.51</w:t>
            </w:r>
          </w:p>
          <w:p w14:paraId="02747B88" w14:textId="77777777" w:rsidR="002B61A7" w:rsidRDefault="002B61A7" w:rsidP="0015446E">
            <w:pPr>
              <w:pStyle w:val="NoSpacing"/>
              <w:jc w:val="center"/>
            </w:pPr>
            <w:r>
              <w:t>(0.27 to 0.97)</w:t>
            </w:r>
          </w:p>
        </w:tc>
        <w:tc>
          <w:tcPr>
            <w:tcW w:w="1083" w:type="dxa"/>
            <w:tcBorders>
              <w:left w:val="nil"/>
              <w:bottom w:val="single" w:sz="4" w:space="0" w:color="auto"/>
            </w:tcBorders>
          </w:tcPr>
          <w:p w14:paraId="49B3BBDD" w14:textId="77777777" w:rsidR="002B61A7" w:rsidRDefault="002B61A7" w:rsidP="0015446E">
            <w:pPr>
              <w:pStyle w:val="NoSpacing"/>
              <w:jc w:val="center"/>
            </w:pPr>
            <w:r>
              <w:t>0.044</w:t>
            </w:r>
          </w:p>
        </w:tc>
      </w:tr>
      <w:tr w:rsidR="002B61A7" w14:paraId="270AB64B" w14:textId="77777777" w:rsidTr="0015446E">
        <w:trPr>
          <w:trHeight w:val="276"/>
          <w:jc w:val="center"/>
        </w:trPr>
        <w:tc>
          <w:tcPr>
            <w:tcW w:w="1471" w:type="dxa"/>
          </w:tcPr>
          <w:p w14:paraId="63C70805" w14:textId="77777777" w:rsidR="002B61A7" w:rsidRDefault="002B61A7" w:rsidP="0015446E">
            <w:pPr>
              <w:pStyle w:val="NoSpacing"/>
              <w:jc w:val="center"/>
            </w:pPr>
            <w:r>
              <w:t>Other anxiety</w:t>
            </w:r>
          </w:p>
        </w:tc>
        <w:tc>
          <w:tcPr>
            <w:tcW w:w="1327" w:type="dxa"/>
            <w:tcBorders>
              <w:bottom w:val="single" w:sz="4" w:space="0" w:color="auto"/>
              <w:right w:val="nil"/>
            </w:tcBorders>
          </w:tcPr>
          <w:p w14:paraId="658B919D" w14:textId="77777777" w:rsidR="002B61A7" w:rsidRDefault="002B61A7" w:rsidP="0015446E">
            <w:pPr>
              <w:pStyle w:val="NoSpacing"/>
              <w:jc w:val="center"/>
            </w:pPr>
            <w:r>
              <w:t>32</w:t>
            </w:r>
          </w:p>
          <w:p w14:paraId="365E2028" w14:textId="77777777" w:rsidR="002B61A7" w:rsidRDefault="002B61A7" w:rsidP="0015446E">
            <w:pPr>
              <w:pStyle w:val="NoSpacing"/>
              <w:jc w:val="center"/>
            </w:pPr>
            <w:r>
              <w:t>(11.7)</w:t>
            </w:r>
          </w:p>
        </w:tc>
        <w:tc>
          <w:tcPr>
            <w:tcW w:w="1297" w:type="dxa"/>
            <w:tcBorders>
              <w:left w:val="nil"/>
              <w:bottom w:val="single" w:sz="4" w:space="0" w:color="auto"/>
              <w:right w:val="nil"/>
            </w:tcBorders>
          </w:tcPr>
          <w:p w14:paraId="54047C7E" w14:textId="77777777" w:rsidR="002B61A7" w:rsidRDefault="002B61A7" w:rsidP="0015446E">
            <w:pPr>
              <w:pStyle w:val="NoSpacing"/>
              <w:jc w:val="center"/>
            </w:pPr>
            <w:r>
              <w:t>242</w:t>
            </w:r>
          </w:p>
          <w:p w14:paraId="4B28BF12" w14:textId="77777777" w:rsidR="002B61A7" w:rsidRDefault="002B61A7" w:rsidP="0015446E">
            <w:pPr>
              <w:pStyle w:val="NoSpacing"/>
              <w:jc w:val="center"/>
            </w:pPr>
            <w:r>
              <w:t>(88.3)</w:t>
            </w:r>
          </w:p>
        </w:tc>
        <w:tc>
          <w:tcPr>
            <w:tcW w:w="1429" w:type="dxa"/>
            <w:tcBorders>
              <w:left w:val="nil"/>
              <w:bottom w:val="single" w:sz="4" w:space="0" w:color="auto"/>
              <w:right w:val="nil"/>
            </w:tcBorders>
          </w:tcPr>
          <w:p w14:paraId="7536F272" w14:textId="77777777" w:rsidR="002B61A7" w:rsidRDefault="002B61A7" w:rsidP="0015446E">
            <w:pPr>
              <w:pStyle w:val="NoSpacing"/>
              <w:jc w:val="center"/>
            </w:pPr>
            <w:r>
              <w:t>0.54</w:t>
            </w:r>
          </w:p>
          <w:p w14:paraId="5800089B" w14:textId="77777777" w:rsidR="002B61A7" w:rsidRDefault="002B61A7" w:rsidP="0015446E">
            <w:pPr>
              <w:pStyle w:val="NoSpacing"/>
              <w:jc w:val="center"/>
            </w:pPr>
            <w:r>
              <w:t>(0.29 to 1.00)</w:t>
            </w:r>
          </w:p>
        </w:tc>
        <w:tc>
          <w:tcPr>
            <w:tcW w:w="850" w:type="dxa"/>
            <w:tcBorders>
              <w:left w:val="nil"/>
              <w:bottom w:val="single" w:sz="4" w:space="0" w:color="auto"/>
              <w:right w:val="nil"/>
            </w:tcBorders>
          </w:tcPr>
          <w:p w14:paraId="145712A1" w14:textId="77777777" w:rsidR="002B61A7" w:rsidRDefault="002B61A7" w:rsidP="0015446E">
            <w:pPr>
              <w:pStyle w:val="NoSpacing"/>
              <w:jc w:val="center"/>
            </w:pPr>
            <w:r>
              <w:t>0.050</w:t>
            </w:r>
          </w:p>
        </w:tc>
        <w:tc>
          <w:tcPr>
            <w:tcW w:w="1559" w:type="dxa"/>
            <w:tcBorders>
              <w:left w:val="nil"/>
              <w:bottom w:val="single" w:sz="4" w:space="0" w:color="auto"/>
              <w:right w:val="nil"/>
            </w:tcBorders>
          </w:tcPr>
          <w:p w14:paraId="6B7268AD" w14:textId="77777777" w:rsidR="002B61A7" w:rsidRDefault="002B61A7" w:rsidP="0015446E">
            <w:pPr>
              <w:pStyle w:val="NoSpacing"/>
              <w:jc w:val="center"/>
            </w:pPr>
            <w:r>
              <w:t>0.55</w:t>
            </w:r>
          </w:p>
          <w:p w14:paraId="1F26ABE9" w14:textId="77777777" w:rsidR="002B61A7" w:rsidRDefault="002B61A7" w:rsidP="0015446E">
            <w:pPr>
              <w:pStyle w:val="NoSpacing"/>
              <w:jc w:val="center"/>
            </w:pPr>
            <w:r>
              <w:t>(0.27 to 1.11)</w:t>
            </w:r>
          </w:p>
        </w:tc>
        <w:tc>
          <w:tcPr>
            <w:tcW w:w="1083" w:type="dxa"/>
            <w:tcBorders>
              <w:left w:val="nil"/>
              <w:bottom w:val="single" w:sz="4" w:space="0" w:color="auto"/>
            </w:tcBorders>
          </w:tcPr>
          <w:p w14:paraId="299DD540" w14:textId="77777777" w:rsidR="002B61A7" w:rsidRDefault="002B61A7" w:rsidP="0015446E">
            <w:pPr>
              <w:pStyle w:val="NoSpacing"/>
              <w:jc w:val="center"/>
            </w:pPr>
            <w:r>
              <w:t>0.097</w:t>
            </w:r>
          </w:p>
        </w:tc>
      </w:tr>
      <w:tr w:rsidR="002B61A7" w14:paraId="11BD5B3C" w14:textId="77777777" w:rsidTr="0015446E">
        <w:trPr>
          <w:trHeight w:val="276"/>
          <w:jc w:val="center"/>
        </w:trPr>
        <w:tc>
          <w:tcPr>
            <w:tcW w:w="1471" w:type="dxa"/>
          </w:tcPr>
          <w:p w14:paraId="61001E01" w14:textId="7ED2122F" w:rsidR="002B61A7" w:rsidRPr="00007DC3" w:rsidRDefault="002B61A7" w:rsidP="0015446E">
            <w:pPr>
              <w:pStyle w:val="NoSpacing"/>
              <w:jc w:val="center"/>
              <w:rPr>
                <w:vertAlign w:val="superscript"/>
              </w:rPr>
            </w:pPr>
            <w:proofErr w:type="spellStart"/>
            <w:r>
              <w:t>OCD</w:t>
            </w:r>
            <w:r w:rsidR="00007DC3">
              <w:rPr>
                <w:vertAlign w:val="superscript"/>
              </w:rPr>
              <w:t>c</w:t>
            </w:r>
            <w:proofErr w:type="spellEnd"/>
          </w:p>
        </w:tc>
        <w:tc>
          <w:tcPr>
            <w:tcW w:w="1327" w:type="dxa"/>
            <w:tcBorders>
              <w:bottom w:val="single" w:sz="4" w:space="0" w:color="auto"/>
              <w:right w:val="nil"/>
            </w:tcBorders>
          </w:tcPr>
          <w:p w14:paraId="5C8C067F" w14:textId="77777777" w:rsidR="002B61A7" w:rsidRDefault="002B61A7" w:rsidP="0015446E">
            <w:pPr>
              <w:pStyle w:val="NoSpacing"/>
              <w:jc w:val="center"/>
            </w:pPr>
            <w:r>
              <w:t>5</w:t>
            </w:r>
          </w:p>
          <w:p w14:paraId="02E212D4" w14:textId="77777777" w:rsidR="002B61A7" w:rsidRDefault="002B61A7" w:rsidP="0015446E">
            <w:pPr>
              <w:pStyle w:val="NoSpacing"/>
              <w:jc w:val="center"/>
            </w:pPr>
            <w:r>
              <w:t>(5.4)</w:t>
            </w:r>
          </w:p>
        </w:tc>
        <w:tc>
          <w:tcPr>
            <w:tcW w:w="1297" w:type="dxa"/>
            <w:tcBorders>
              <w:left w:val="nil"/>
              <w:bottom w:val="single" w:sz="4" w:space="0" w:color="auto"/>
              <w:right w:val="nil"/>
            </w:tcBorders>
          </w:tcPr>
          <w:p w14:paraId="35F8F694" w14:textId="77777777" w:rsidR="002B61A7" w:rsidRDefault="002B61A7" w:rsidP="0015446E">
            <w:pPr>
              <w:pStyle w:val="NoSpacing"/>
              <w:jc w:val="center"/>
            </w:pPr>
            <w:r>
              <w:t>88</w:t>
            </w:r>
          </w:p>
          <w:p w14:paraId="2B186203" w14:textId="77777777" w:rsidR="002B61A7" w:rsidRDefault="002B61A7" w:rsidP="0015446E">
            <w:pPr>
              <w:pStyle w:val="NoSpacing"/>
              <w:jc w:val="center"/>
            </w:pPr>
            <w:r>
              <w:t>(94.6)</w:t>
            </w:r>
          </w:p>
        </w:tc>
        <w:tc>
          <w:tcPr>
            <w:tcW w:w="1429" w:type="dxa"/>
            <w:tcBorders>
              <w:left w:val="nil"/>
              <w:bottom w:val="single" w:sz="4" w:space="0" w:color="auto"/>
              <w:right w:val="nil"/>
            </w:tcBorders>
          </w:tcPr>
          <w:p w14:paraId="6174DA30" w14:textId="77777777" w:rsidR="002B61A7" w:rsidRDefault="002B61A7" w:rsidP="0015446E">
            <w:pPr>
              <w:pStyle w:val="NoSpacing"/>
              <w:jc w:val="center"/>
            </w:pPr>
            <w:r>
              <w:t>0.23</w:t>
            </w:r>
          </w:p>
          <w:p w14:paraId="5AE3601E" w14:textId="77777777" w:rsidR="002B61A7" w:rsidRDefault="002B61A7" w:rsidP="0015446E">
            <w:pPr>
              <w:pStyle w:val="NoSpacing"/>
              <w:jc w:val="center"/>
            </w:pPr>
            <w:r>
              <w:t>(0.08 to 0.65)</w:t>
            </w:r>
          </w:p>
        </w:tc>
        <w:tc>
          <w:tcPr>
            <w:tcW w:w="850" w:type="dxa"/>
            <w:tcBorders>
              <w:left w:val="nil"/>
              <w:bottom w:val="single" w:sz="4" w:space="0" w:color="auto"/>
              <w:right w:val="nil"/>
            </w:tcBorders>
          </w:tcPr>
          <w:p w14:paraId="5FEB4254" w14:textId="77777777" w:rsidR="002B61A7" w:rsidRDefault="002B61A7" w:rsidP="0015446E">
            <w:pPr>
              <w:pStyle w:val="NoSpacing"/>
              <w:jc w:val="center"/>
            </w:pPr>
            <w:r>
              <w:t>0.005</w:t>
            </w:r>
          </w:p>
        </w:tc>
        <w:tc>
          <w:tcPr>
            <w:tcW w:w="1559" w:type="dxa"/>
            <w:tcBorders>
              <w:left w:val="nil"/>
              <w:bottom w:val="single" w:sz="4" w:space="0" w:color="auto"/>
              <w:right w:val="nil"/>
            </w:tcBorders>
          </w:tcPr>
          <w:p w14:paraId="5F5C6BC7" w14:textId="77777777" w:rsidR="002B61A7" w:rsidRDefault="002B61A7" w:rsidP="0015446E">
            <w:pPr>
              <w:pStyle w:val="NoSpacing"/>
              <w:jc w:val="center"/>
            </w:pPr>
            <w:r>
              <w:t xml:space="preserve">0.18 </w:t>
            </w:r>
          </w:p>
          <w:p w14:paraId="779F9445" w14:textId="77777777" w:rsidR="002B61A7" w:rsidRDefault="002B61A7" w:rsidP="0015446E">
            <w:pPr>
              <w:pStyle w:val="NoSpacing"/>
              <w:jc w:val="center"/>
            </w:pPr>
            <w:r>
              <w:t>(0.06 to 0.52)</w:t>
            </w:r>
          </w:p>
        </w:tc>
        <w:tc>
          <w:tcPr>
            <w:tcW w:w="1083" w:type="dxa"/>
            <w:tcBorders>
              <w:left w:val="nil"/>
              <w:bottom w:val="single" w:sz="4" w:space="0" w:color="auto"/>
            </w:tcBorders>
          </w:tcPr>
          <w:p w14:paraId="4008193F" w14:textId="77777777" w:rsidR="002B61A7" w:rsidRDefault="002B61A7" w:rsidP="0015446E">
            <w:pPr>
              <w:pStyle w:val="NoSpacing"/>
              <w:jc w:val="center"/>
            </w:pPr>
            <w:r>
              <w:t>0.002</w:t>
            </w:r>
          </w:p>
        </w:tc>
      </w:tr>
      <w:tr w:rsidR="002B61A7" w14:paraId="1B892B33" w14:textId="77777777" w:rsidTr="0015446E">
        <w:trPr>
          <w:trHeight w:val="276"/>
          <w:jc w:val="center"/>
        </w:trPr>
        <w:tc>
          <w:tcPr>
            <w:tcW w:w="1471" w:type="dxa"/>
          </w:tcPr>
          <w:p w14:paraId="2861BC01" w14:textId="20DE0106" w:rsidR="002B61A7" w:rsidRPr="00007DC3" w:rsidRDefault="002B61A7" w:rsidP="0015446E">
            <w:pPr>
              <w:pStyle w:val="NoSpacing"/>
              <w:jc w:val="center"/>
              <w:rPr>
                <w:vertAlign w:val="superscript"/>
              </w:rPr>
            </w:pPr>
            <w:proofErr w:type="spellStart"/>
            <w:r>
              <w:t>PTSD</w:t>
            </w:r>
            <w:r w:rsidR="00007DC3">
              <w:rPr>
                <w:vertAlign w:val="superscript"/>
              </w:rPr>
              <w:t>d</w:t>
            </w:r>
            <w:proofErr w:type="spellEnd"/>
          </w:p>
        </w:tc>
        <w:tc>
          <w:tcPr>
            <w:tcW w:w="1327" w:type="dxa"/>
            <w:tcBorders>
              <w:bottom w:val="single" w:sz="4" w:space="0" w:color="auto"/>
              <w:right w:val="nil"/>
            </w:tcBorders>
          </w:tcPr>
          <w:p w14:paraId="48763679" w14:textId="77777777" w:rsidR="002B61A7" w:rsidRDefault="002B61A7" w:rsidP="0015446E">
            <w:pPr>
              <w:pStyle w:val="NoSpacing"/>
              <w:jc w:val="center"/>
            </w:pPr>
            <w:r>
              <w:t>36</w:t>
            </w:r>
          </w:p>
          <w:p w14:paraId="7A149E10" w14:textId="77777777" w:rsidR="002B61A7" w:rsidRDefault="002B61A7" w:rsidP="0015446E">
            <w:pPr>
              <w:pStyle w:val="NoSpacing"/>
              <w:jc w:val="center"/>
            </w:pPr>
            <w:r>
              <w:t>(19.9)</w:t>
            </w:r>
          </w:p>
        </w:tc>
        <w:tc>
          <w:tcPr>
            <w:tcW w:w="1297" w:type="dxa"/>
            <w:tcBorders>
              <w:left w:val="nil"/>
              <w:bottom w:val="single" w:sz="4" w:space="0" w:color="auto"/>
              <w:right w:val="nil"/>
            </w:tcBorders>
          </w:tcPr>
          <w:p w14:paraId="0400D16A" w14:textId="77777777" w:rsidR="002B61A7" w:rsidRDefault="002B61A7" w:rsidP="0015446E">
            <w:pPr>
              <w:pStyle w:val="NoSpacing"/>
              <w:jc w:val="center"/>
            </w:pPr>
            <w:r>
              <w:t>145</w:t>
            </w:r>
          </w:p>
          <w:p w14:paraId="2E6E7DE4" w14:textId="77777777" w:rsidR="002B61A7" w:rsidRDefault="002B61A7" w:rsidP="0015446E">
            <w:pPr>
              <w:pStyle w:val="NoSpacing"/>
              <w:jc w:val="center"/>
            </w:pPr>
            <w:r>
              <w:t>(80.1)</w:t>
            </w:r>
          </w:p>
        </w:tc>
        <w:tc>
          <w:tcPr>
            <w:tcW w:w="1429" w:type="dxa"/>
            <w:tcBorders>
              <w:left w:val="nil"/>
              <w:bottom w:val="single" w:sz="4" w:space="0" w:color="auto"/>
              <w:right w:val="nil"/>
            </w:tcBorders>
          </w:tcPr>
          <w:p w14:paraId="5FE05803" w14:textId="77777777" w:rsidR="002B61A7" w:rsidRDefault="002B61A7" w:rsidP="0015446E">
            <w:pPr>
              <w:pStyle w:val="NoSpacing"/>
              <w:jc w:val="center"/>
            </w:pPr>
            <w:r>
              <w:t>1.02</w:t>
            </w:r>
          </w:p>
          <w:p w14:paraId="3C9D502B" w14:textId="77777777" w:rsidR="002B61A7" w:rsidRDefault="002B61A7" w:rsidP="0015446E">
            <w:pPr>
              <w:pStyle w:val="NoSpacing"/>
              <w:jc w:val="center"/>
            </w:pPr>
            <w:r>
              <w:t>(0.55 to 1.87)</w:t>
            </w:r>
          </w:p>
        </w:tc>
        <w:tc>
          <w:tcPr>
            <w:tcW w:w="850" w:type="dxa"/>
            <w:tcBorders>
              <w:left w:val="nil"/>
              <w:bottom w:val="single" w:sz="4" w:space="0" w:color="auto"/>
              <w:right w:val="nil"/>
            </w:tcBorders>
          </w:tcPr>
          <w:p w14:paraId="7A195CBB" w14:textId="77777777" w:rsidR="002B61A7" w:rsidRDefault="002B61A7" w:rsidP="0015446E">
            <w:pPr>
              <w:pStyle w:val="NoSpacing"/>
              <w:jc w:val="center"/>
            </w:pPr>
            <w:r>
              <w:t>0.954</w:t>
            </w:r>
          </w:p>
        </w:tc>
        <w:tc>
          <w:tcPr>
            <w:tcW w:w="1559" w:type="dxa"/>
            <w:tcBorders>
              <w:left w:val="nil"/>
              <w:bottom w:val="single" w:sz="4" w:space="0" w:color="auto"/>
              <w:right w:val="nil"/>
            </w:tcBorders>
          </w:tcPr>
          <w:p w14:paraId="3A076D57" w14:textId="77777777" w:rsidR="002B61A7" w:rsidRDefault="002B61A7" w:rsidP="0015446E">
            <w:pPr>
              <w:pStyle w:val="NoSpacing"/>
              <w:jc w:val="center"/>
            </w:pPr>
            <w:r>
              <w:t>0.69</w:t>
            </w:r>
          </w:p>
          <w:p w14:paraId="49FA82BD" w14:textId="77777777" w:rsidR="002B61A7" w:rsidRDefault="002B61A7" w:rsidP="0015446E">
            <w:pPr>
              <w:pStyle w:val="NoSpacing"/>
              <w:jc w:val="center"/>
            </w:pPr>
            <w:r>
              <w:t>(0.34 to 1.41)</w:t>
            </w:r>
          </w:p>
        </w:tc>
        <w:tc>
          <w:tcPr>
            <w:tcW w:w="1083" w:type="dxa"/>
            <w:tcBorders>
              <w:left w:val="nil"/>
              <w:bottom w:val="single" w:sz="4" w:space="0" w:color="auto"/>
            </w:tcBorders>
          </w:tcPr>
          <w:p w14:paraId="2A766839" w14:textId="77777777" w:rsidR="002B61A7" w:rsidRDefault="002B61A7" w:rsidP="0015446E">
            <w:pPr>
              <w:pStyle w:val="NoSpacing"/>
              <w:jc w:val="center"/>
            </w:pPr>
            <w:r>
              <w:t>0.309</w:t>
            </w:r>
          </w:p>
        </w:tc>
      </w:tr>
      <w:tr w:rsidR="002B61A7" w14:paraId="457BA8D8" w14:textId="77777777" w:rsidTr="0015446E">
        <w:trPr>
          <w:trHeight w:val="276"/>
          <w:jc w:val="center"/>
        </w:trPr>
        <w:tc>
          <w:tcPr>
            <w:tcW w:w="1471" w:type="dxa"/>
          </w:tcPr>
          <w:p w14:paraId="784B0ADB" w14:textId="77777777" w:rsidR="002B61A7" w:rsidRDefault="002B61A7" w:rsidP="0015446E">
            <w:pPr>
              <w:pStyle w:val="NoSpacing"/>
              <w:jc w:val="center"/>
            </w:pPr>
            <w:r>
              <w:t>Adjustment</w:t>
            </w:r>
          </w:p>
        </w:tc>
        <w:tc>
          <w:tcPr>
            <w:tcW w:w="1327" w:type="dxa"/>
            <w:tcBorders>
              <w:bottom w:val="single" w:sz="4" w:space="0" w:color="auto"/>
              <w:right w:val="nil"/>
            </w:tcBorders>
          </w:tcPr>
          <w:p w14:paraId="71EC70C3" w14:textId="77777777" w:rsidR="002B61A7" w:rsidRDefault="002B61A7" w:rsidP="0015446E">
            <w:pPr>
              <w:pStyle w:val="NoSpacing"/>
              <w:jc w:val="center"/>
            </w:pPr>
            <w:r>
              <w:t>117</w:t>
            </w:r>
          </w:p>
          <w:p w14:paraId="16AED6C3" w14:textId="77777777" w:rsidR="002B61A7" w:rsidRDefault="002B61A7" w:rsidP="0015446E">
            <w:pPr>
              <w:pStyle w:val="NoSpacing"/>
              <w:jc w:val="center"/>
            </w:pPr>
            <w:r>
              <w:t>(19.6)</w:t>
            </w:r>
          </w:p>
        </w:tc>
        <w:tc>
          <w:tcPr>
            <w:tcW w:w="1297" w:type="dxa"/>
            <w:tcBorders>
              <w:left w:val="nil"/>
              <w:bottom w:val="single" w:sz="4" w:space="0" w:color="auto"/>
              <w:right w:val="nil"/>
            </w:tcBorders>
          </w:tcPr>
          <w:p w14:paraId="4C71BC4C" w14:textId="77777777" w:rsidR="002B61A7" w:rsidRDefault="002B61A7" w:rsidP="0015446E">
            <w:pPr>
              <w:pStyle w:val="NoSpacing"/>
              <w:jc w:val="center"/>
            </w:pPr>
            <w:r>
              <w:t>479</w:t>
            </w:r>
          </w:p>
          <w:p w14:paraId="4251980F" w14:textId="77777777" w:rsidR="002B61A7" w:rsidRDefault="002B61A7" w:rsidP="0015446E">
            <w:pPr>
              <w:pStyle w:val="NoSpacing"/>
              <w:jc w:val="center"/>
            </w:pPr>
            <w:r>
              <w:t>(80.4)</w:t>
            </w:r>
          </w:p>
        </w:tc>
        <w:tc>
          <w:tcPr>
            <w:tcW w:w="1429" w:type="dxa"/>
            <w:tcBorders>
              <w:left w:val="nil"/>
              <w:bottom w:val="single" w:sz="4" w:space="0" w:color="auto"/>
              <w:right w:val="nil"/>
            </w:tcBorders>
          </w:tcPr>
          <w:p w14:paraId="4F43593B" w14:textId="77777777" w:rsidR="002B61A7" w:rsidRDefault="002B61A7" w:rsidP="0015446E">
            <w:pPr>
              <w:pStyle w:val="NoSpacing"/>
              <w:jc w:val="center"/>
            </w:pPr>
            <w:r>
              <w:t>1.00</w:t>
            </w:r>
          </w:p>
          <w:p w14:paraId="65C307D8" w14:textId="77777777" w:rsidR="002B61A7" w:rsidRDefault="002B61A7" w:rsidP="0015446E">
            <w:pPr>
              <w:pStyle w:val="NoSpacing"/>
              <w:jc w:val="center"/>
            </w:pPr>
            <w:r>
              <w:t>(0.59 to 1.70)</w:t>
            </w:r>
          </w:p>
        </w:tc>
        <w:tc>
          <w:tcPr>
            <w:tcW w:w="850" w:type="dxa"/>
            <w:tcBorders>
              <w:left w:val="nil"/>
              <w:bottom w:val="single" w:sz="4" w:space="0" w:color="auto"/>
              <w:right w:val="nil"/>
            </w:tcBorders>
          </w:tcPr>
          <w:p w14:paraId="0610DA64" w14:textId="77777777" w:rsidR="002B61A7" w:rsidRDefault="002B61A7" w:rsidP="0015446E">
            <w:pPr>
              <w:pStyle w:val="NoSpacing"/>
              <w:jc w:val="center"/>
            </w:pPr>
            <w:r>
              <w:t>0.996</w:t>
            </w:r>
          </w:p>
        </w:tc>
        <w:tc>
          <w:tcPr>
            <w:tcW w:w="1559" w:type="dxa"/>
            <w:tcBorders>
              <w:left w:val="nil"/>
              <w:bottom w:val="single" w:sz="4" w:space="0" w:color="auto"/>
              <w:right w:val="nil"/>
            </w:tcBorders>
          </w:tcPr>
          <w:p w14:paraId="4F96D78A" w14:textId="77777777" w:rsidR="002B61A7" w:rsidRDefault="002B61A7" w:rsidP="0015446E">
            <w:pPr>
              <w:pStyle w:val="NoSpacing"/>
              <w:jc w:val="center"/>
            </w:pPr>
            <w:r>
              <w:t>0.86</w:t>
            </w:r>
          </w:p>
          <w:p w14:paraId="68D79F39" w14:textId="77777777" w:rsidR="002B61A7" w:rsidRDefault="002B61A7" w:rsidP="0015446E">
            <w:pPr>
              <w:pStyle w:val="NoSpacing"/>
              <w:jc w:val="center"/>
            </w:pPr>
            <w:r>
              <w:t>(0.48 to 1.56)</w:t>
            </w:r>
          </w:p>
        </w:tc>
        <w:tc>
          <w:tcPr>
            <w:tcW w:w="1083" w:type="dxa"/>
            <w:tcBorders>
              <w:left w:val="nil"/>
              <w:bottom w:val="single" w:sz="4" w:space="0" w:color="auto"/>
            </w:tcBorders>
          </w:tcPr>
          <w:p w14:paraId="33044299" w14:textId="77777777" w:rsidR="002B61A7" w:rsidRDefault="002B61A7" w:rsidP="0015446E">
            <w:pPr>
              <w:pStyle w:val="NoSpacing"/>
              <w:jc w:val="center"/>
            </w:pPr>
            <w:r>
              <w:t>0.617</w:t>
            </w:r>
          </w:p>
        </w:tc>
      </w:tr>
      <w:tr w:rsidR="002B61A7" w14:paraId="221BC8B8" w14:textId="77777777" w:rsidTr="0015446E">
        <w:trPr>
          <w:trHeight w:val="276"/>
          <w:jc w:val="center"/>
        </w:trPr>
        <w:tc>
          <w:tcPr>
            <w:tcW w:w="1471" w:type="dxa"/>
          </w:tcPr>
          <w:p w14:paraId="34094853" w14:textId="77777777" w:rsidR="002B61A7" w:rsidRDefault="002B61A7" w:rsidP="0015446E">
            <w:pPr>
              <w:pStyle w:val="NoSpacing"/>
              <w:jc w:val="center"/>
            </w:pPr>
            <w:r>
              <w:t>Other stress-related</w:t>
            </w:r>
          </w:p>
        </w:tc>
        <w:tc>
          <w:tcPr>
            <w:tcW w:w="1327" w:type="dxa"/>
            <w:tcBorders>
              <w:bottom w:val="single" w:sz="4" w:space="0" w:color="auto"/>
              <w:right w:val="nil"/>
            </w:tcBorders>
          </w:tcPr>
          <w:p w14:paraId="63287A88" w14:textId="77777777" w:rsidR="002B61A7" w:rsidRDefault="002B61A7" w:rsidP="0015446E">
            <w:pPr>
              <w:pStyle w:val="NoSpacing"/>
              <w:jc w:val="center"/>
            </w:pPr>
            <w:r>
              <w:t>36</w:t>
            </w:r>
          </w:p>
          <w:p w14:paraId="22F1A034" w14:textId="77777777" w:rsidR="002B61A7" w:rsidRDefault="002B61A7" w:rsidP="0015446E">
            <w:pPr>
              <w:pStyle w:val="NoSpacing"/>
              <w:jc w:val="center"/>
            </w:pPr>
            <w:r>
              <w:t>(13.3)</w:t>
            </w:r>
          </w:p>
        </w:tc>
        <w:tc>
          <w:tcPr>
            <w:tcW w:w="1297" w:type="dxa"/>
            <w:tcBorders>
              <w:left w:val="nil"/>
              <w:bottom w:val="single" w:sz="4" w:space="0" w:color="auto"/>
              <w:right w:val="nil"/>
            </w:tcBorders>
          </w:tcPr>
          <w:p w14:paraId="2A9BBAD7" w14:textId="77777777" w:rsidR="002B61A7" w:rsidRDefault="002B61A7" w:rsidP="0015446E">
            <w:pPr>
              <w:pStyle w:val="NoSpacing"/>
              <w:jc w:val="center"/>
            </w:pPr>
            <w:r>
              <w:t>235</w:t>
            </w:r>
          </w:p>
          <w:p w14:paraId="335B9CAD" w14:textId="77777777" w:rsidR="002B61A7" w:rsidRDefault="002B61A7" w:rsidP="0015446E">
            <w:pPr>
              <w:pStyle w:val="NoSpacing"/>
              <w:jc w:val="center"/>
            </w:pPr>
            <w:r>
              <w:t>(86.7)</w:t>
            </w:r>
          </w:p>
        </w:tc>
        <w:tc>
          <w:tcPr>
            <w:tcW w:w="1429" w:type="dxa"/>
            <w:tcBorders>
              <w:left w:val="nil"/>
              <w:bottom w:val="single" w:sz="4" w:space="0" w:color="auto"/>
              <w:right w:val="nil"/>
            </w:tcBorders>
          </w:tcPr>
          <w:p w14:paraId="5C967921" w14:textId="77777777" w:rsidR="002B61A7" w:rsidRDefault="002B61A7" w:rsidP="0015446E">
            <w:pPr>
              <w:pStyle w:val="NoSpacing"/>
              <w:jc w:val="center"/>
            </w:pPr>
            <w:r>
              <w:t>0.63</w:t>
            </w:r>
          </w:p>
          <w:p w14:paraId="13B1D07E" w14:textId="77777777" w:rsidR="002B61A7" w:rsidRDefault="002B61A7" w:rsidP="0015446E">
            <w:pPr>
              <w:pStyle w:val="NoSpacing"/>
              <w:jc w:val="center"/>
            </w:pPr>
            <w:r>
              <w:t>(0.34 to 1.15)</w:t>
            </w:r>
          </w:p>
        </w:tc>
        <w:tc>
          <w:tcPr>
            <w:tcW w:w="850" w:type="dxa"/>
            <w:tcBorders>
              <w:left w:val="nil"/>
              <w:bottom w:val="single" w:sz="4" w:space="0" w:color="auto"/>
              <w:right w:val="nil"/>
            </w:tcBorders>
          </w:tcPr>
          <w:p w14:paraId="27981BA9" w14:textId="77777777" w:rsidR="002B61A7" w:rsidRDefault="002B61A7" w:rsidP="0015446E">
            <w:pPr>
              <w:pStyle w:val="NoSpacing"/>
              <w:jc w:val="center"/>
            </w:pPr>
            <w:r>
              <w:t>0.130</w:t>
            </w:r>
          </w:p>
        </w:tc>
        <w:tc>
          <w:tcPr>
            <w:tcW w:w="1559" w:type="dxa"/>
            <w:tcBorders>
              <w:left w:val="nil"/>
              <w:bottom w:val="single" w:sz="4" w:space="0" w:color="auto"/>
              <w:right w:val="nil"/>
            </w:tcBorders>
          </w:tcPr>
          <w:p w14:paraId="1169EA7B" w14:textId="77777777" w:rsidR="002B61A7" w:rsidRDefault="002B61A7" w:rsidP="0015446E">
            <w:pPr>
              <w:pStyle w:val="NoSpacing"/>
              <w:jc w:val="center"/>
            </w:pPr>
            <w:r>
              <w:t>0.48</w:t>
            </w:r>
          </w:p>
          <w:p w14:paraId="27551A1F" w14:textId="77777777" w:rsidR="002B61A7" w:rsidRDefault="002B61A7" w:rsidP="0015446E">
            <w:pPr>
              <w:pStyle w:val="NoSpacing"/>
              <w:jc w:val="center"/>
            </w:pPr>
            <w:r>
              <w:t>(0.24 to 0.94)</w:t>
            </w:r>
          </w:p>
        </w:tc>
        <w:tc>
          <w:tcPr>
            <w:tcW w:w="1083" w:type="dxa"/>
            <w:tcBorders>
              <w:left w:val="nil"/>
              <w:bottom w:val="single" w:sz="4" w:space="0" w:color="auto"/>
            </w:tcBorders>
          </w:tcPr>
          <w:p w14:paraId="06D7DBE6" w14:textId="77777777" w:rsidR="002B61A7" w:rsidRDefault="002B61A7" w:rsidP="0015446E">
            <w:pPr>
              <w:pStyle w:val="NoSpacing"/>
              <w:jc w:val="center"/>
            </w:pPr>
            <w:r>
              <w:t>0.033</w:t>
            </w:r>
          </w:p>
        </w:tc>
      </w:tr>
    </w:tbl>
    <w:p w14:paraId="1EEFFD3C" w14:textId="77777777" w:rsidR="002B61A7" w:rsidRDefault="002B61A7" w:rsidP="002B61A7"/>
    <w:p w14:paraId="04D8ACC3" w14:textId="60ABD233" w:rsidR="00007DC3" w:rsidRDefault="002B61A7" w:rsidP="00007DC3">
      <w:pPr>
        <w:pStyle w:val="NoSpacing"/>
        <w:numPr>
          <w:ilvl w:val="0"/>
          <w:numId w:val="15"/>
        </w:numPr>
      </w:pPr>
      <w:r>
        <w:t xml:space="preserve">Adjusted for NHS trust, age, gender, ethnicity, employment, accommodation, detention status, length of admission and primary/ secondary diagnosis. </w:t>
      </w:r>
    </w:p>
    <w:p w14:paraId="3AABE6CA" w14:textId="3BBA53B6" w:rsidR="00007DC3" w:rsidRDefault="00007DC3" w:rsidP="00007DC3">
      <w:pPr>
        <w:pStyle w:val="NoSpacing"/>
        <w:numPr>
          <w:ilvl w:val="0"/>
          <w:numId w:val="15"/>
        </w:numPr>
      </w:pPr>
      <w:r>
        <w:t>DD = depressive disorder</w:t>
      </w:r>
    </w:p>
    <w:p w14:paraId="762A4082" w14:textId="513FF8DD" w:rsidR="00007DC3" w:rsidRDefault="00007DC3" w:rsidP="00007DC3">
      <w:pPr>
        <w:pStyle w:val="NoSpacing"/>
        <w:numPr>
          <w:ilvl w:val="0"/>
          <w:numId w:val="15"/>
        </w:numPr>
      </w:pPr>
      <w:r>
        <w:t>OCD = Obsessive-compulsive disorder</w:t>
      </w:r>
    </w:p>
    <w:p w14:paraId="1E3B0603" w14:textId="2B243E2E" w:rsidR="00007DC3" w:rsidRDefault="00007DC3" w:rsidP="00007DC3">
      <w:pPr>
        <w:pStyle w:val="NoSpacing"/>
        <w:numPr>
          <w:ilvl w:val="0"/>
          <w:numId w:val="15"/>
        </w:numPr>
      </w:pPr>
      <w:r>
        <w:t>PTSD = Post-traumatic stress disorder</w:t>
      </w:r>
    </w:p>
    <w:p w14:paraId="6513857F" w14:textId="6AC91F67" w:rsidR="002B61A7" w:rsidRDefault="002B61A7" w:rsidP="002B61A7">
      <w:pPr>
        <w:pStyle w:val="NoSpacing"/>
      </w:pPr>
    </w:p>
    <w:p w14:paraId="40C69912" w14:textId="4E5F8335" w:rsidR="00007DC3" w:rsidRDefault="00007DC3" w:rsidP="002B61A7">
      <w:pPr>
        <w:pStyle w:val="NoSpacing"/>
      </w:pPr>
    </w:p>
    <w:p w14:paraId="413961CB" w14:textId="3192E8E6" w:rsidR="00007DC3" w:rsidRDefault="00007DC3" w:rsidP="002B61A7">
      <w:pPr>
        <w:pStyle w:val="NoSpacing"/>
      </w:pPr>
    </w:p>
    <w:p w14:paraId="6BFD9964" w14:textId="1FA2382A" w:rsidR="00007DC3" w:rsidRDefault="00007DC3" w:rsidP="002B61A7">
      <w:pPr>
        <w:pStyle w:val="NoSpacing"/>
      </w:pPr>
    </w:p>
    <w:p w14:paraId="2D516412" w14:textId="637117A7" w:rsidR="00007DC3" w:rsidRDefault="00007DC3" w:rsidP="002B61A7">
      <w:pPr>
        <w:pStyle w:val="NoSpacing"/>
      </w:pPr>
    </w:p>
    <w:p w14:paraId="04A55A75" w14:textId="6E8205B9" w:rsidR="00007DC3" w:rsidRDefault="00007DC3" w:rsidP="002B61A7">
      <w:pPr>
        <w:pStyle w:val="NoSpacing"/>
      </w:pPr>
    </w:p>
    <w:p w14:paraId="0D228372" w14:textId="1DC66444" w:rsidR="00007DC3" w:rsidRDefault="00007DC3" w:rsidP="002B61A7">
      <w:pPr>
        <w:pStyle w:val="NoSpacing"/>
      </w:pPr>
    </w:p>
    <w:p w14:paraId="5F01564C" w14:textId="14873C62" w:rsidR="00007DC3" w:rsidRDefault="00007DC3" w:rsidP="002B61A7">
      <w:pPr>
        <w:pStyle w:val="NoSpacing"/>
      </w:pPr>
    </w:p>
    <w:p w14:paraId="232426B0" w14:textId="30D4B6A6" w:rsidR="00007DC3" w:rsidRDefault="00007DC3" w:rsidP="002B61A7">
      <w:pPr>
        <w:pStyle w:val="NoSpacing"/>
      </w:pPr>
    </w:p>
    <w:p w14:paraId="6B6FBC31" w14:textId="7957D942" w:rsidR="00007DC3" w:rsidRDefault="00007DC3" w:rsidP="002B61A7">
      <w:pPr>
        <w:pStyle w:val="NoSpacing"/>
      </w:pPr>
    </w:p>
    <w:p w14:paraId="3A36AD57" w14:textId="720CBA96" w:rsidR="00007DC3" w:rsidRDefault="00007DC3" w:rsidP="002B61A7">
      <w:pPr>
        <w:pStyle w:val="NoSpacing"/>
      </w:pPr>
    </w:p>
    <w:p w14:paraId="6D5F05B9" w14:textId="716B8683" w:rsidR="00007DC3" w:rsidRDefault="00007DC3" w:rsidP="002B61A7">
      <w:pPr>
        <w:pStyle w:val="NoSpacing"/>
      </w:pPr>
    </w:p>
    <w:p w14:paraId="4514369E" w14:textId="7CB5D127" w:rsidR="00007DC3" w:rsidRDefault="00007DC3" w:rsidP="002B61A7">
      <w:pPr>
        <w:pStyle w:val="NoSpacing"/>
      </w:pPr>
    </w:p>
    <w:p w14:paraId="6625ACF1" w14:textId="6E1E1800" w:rsidR="00007DC3" w:rsidRDefault="00007DC3" w:rsidP="002B61A7">
      <w:pPr>
        <w:pStyle w:val="NoSpacing"/>
      </w:pPr>
    </w:p>
    <w:p w14:paraId="138B9EE1" w14:textId="12D1C263" w:rsidR="00007DC3" w:rsidRDefault="00007DC3" w:rsidP="002B61A7">
      <w:pPr>
        <w:pStyle w:val="NoSpacing"/>
      </w:pPr>
    </w:p>
    <w:p w14:paraId="141B132E" w14:textId="03D30AF2" w:rsidR="00007DC3" w:rsidRDefault="00007DC3" w:rsidP="002B61A7">
      <w:pPr>
        <w:pStyle w:val="NoSpacing"/>
      </w:pPr>
    </w:p>
    <w:p w14:paraId="525796D7" w14:textId="53FEF722" w:rsidR="00007DC3" w:rsidRDefault="00007DC3" w:rsidP="002B61A7">
      <w:pPr>
        <w:pStyle w:val="NoSpacing"/>
      </w:pPr>
    </w:p>
    <w:p w14:paraId="775BBC19" w14:textId="69286A29" w:rsidR="00007DC3" w:rsidRDefault="00007DC3" w:rsidP="002B61A7">
      <w:pPr>
        <w:pStyle w:val="NoSpacing"/>
      </w:pPr>
    </w:p>
    <w:p w14:paraId="4E7D9D22" w14:textId="4D943FA1" w:rsidR="00007DC3" w:rsidRDefault="00007DC3" w:rsidP="002B61A7">
      <w:pPr>
        <w:pStyle w:val="NoSpacing"/>
      </w:pPr>
    </w:p>
    <w:p w14:paraId="4B59F3F5" w14:textId="54F0CA21" w:rsidR="00007DC3" w:rsidRDefault="00007DC3" w:rsidP="002B61A7">
      <w:pPr>
        <w:pStyle w:val="NoSpacing"/>
      </w:pPr>
    </w:p>
    <w:p w14:paraId="348742CF" w14:textId="491FB1D5" w:rsidR="00007DC3" w:rsidRDefault="00007DC3" w:rsidP="002B61A7">
      <w:pPr>
        <w:pStyle w:val="NoSpacing"/>
      </w:pPr>
    </w:p>
    <w:p w14:paraId="5FF6252C" w14:textId="6A81833C" w:rsidR="00007DC3" w:rsidRDefault="00007DC3" w:rsidP="002B61A7">
      <w:pPr>
        <w:pStyle w:val="NoSpacing"/>
      </w:pPr>
    </w:p>
    <w:p w14:paraId="05948B90" w14:textId="1D7B5EE6" w:rsidR="00007DC3" w:rsidRDefault="00007DC3" w:rsidP="002B61A7">
      <w:pPr>
        <w:pStyle w:val="NoSpacing"/>
      </w:pPr>
    </w:p>
    <w:p w14:paraId="20F471C7" w14:textId="0D10775A" w:rsidR="00007DC3" w:rsidRDefault="00007DC3" w:rsidP="002B61A7">
      <w:pPr>
        <w:pStyle w:val="NoSpacing"/>
      </w:pPr>
    </w:p>
    <w:p w14:paraId="4BBF5E22" w14:textId="2843C904" w:rsidR="00007DC3" w:rsidRDefault="00007DC3" w:rsidP="002B61A7">
      <w:pPr>
        <w:pStyle w:val="NoSpacing"/>
      </w:pPr>
    </w:p>
    <w:p w14:paraId="4B835440" w14:textId="6E9EF921" w:rsidR="00007DC3" w:rsidRDefault="00007DC3" w:rsidP="002B61A7">
      <w:pPr>
        <w:pStyle w:val="NoSpacing"/>
      </w:pPr>
    </w:p>
    <w:p w14:paraId="63C86790" w14:textId="7D44E91E" w:rsidR="00007DC3" w:rsidRDefault="00007DC3" w:rsidP="002B61A7">
      <w:pPr>
        <w:pStyle w:val="NoSpacing"/>
      </w:pPr>
    </w:p>
    <w:p w14:paraId="57B01E2E" w14:textId="60A67EBF" w:rsidR="00007DC3" w:rsidRDefault="00007DC3" w:rsidP="002B61A7">
      <w:pPr>
        <w:pStyle w:val="NoSpacing"/>
      </w:pPr>
    </w:p>
    <w:p w14:paraId="6E594BD0" w14:textId="5E350926" w:rsidR="00007DC3" w:rsidRDefault="00007DC3" w:rsidP="002B61A7">
      <w:pPr>
        <w:pStyle w:val="NoSpacing"/>
      </w:pPr>
    </w:p>
    <w:p w14:paraId="33ACEDDE" w14:textId="5FA84958" w:rsidR="00007DC3" w:rsidRDefault="00007DC3" w:rsidP="002B61A7">
      <w:pPr>
        <w:pStyle w:val="NoSpacing"/>
      </w:pPr>
    </w:p>
    <w:p w14:paraId="5612AEA7" w14:textId="616B7C6D" w:rsidR="00007DC3" w:rsidRDefault="00007DC3" w:rsidP="002B61A7">
      <w:pPr>
        <w:pStyle w:val="NoSpacing"/>
      </w:pPr>
    </w:p>
    <w:p w14:paraId="73914194" w14:textId="2E39414A" w:rsidR="00007DC3" w:rsidRDefault="00007DC3" w:rsidP="002B61A7">
      <w:pPr>
        <w:pStyle w:val="NoSpacing"/>
      </w:pPr>
    </w:p>
    <w:p w14:paraId="658A7059" w14:textId="131F6D3B" w:rsidR="00007DC3" w:rsidRDefault="00007DC3" w:rsidP="002B61A7">
      <w:pPr>
        <w:pStyle w:val="NoSpacing"/>
      </w:pPr>
    </w:p>
    <w:p w14:paraId="37AE1D04" w14:textId="527A5C8F" w:rsidR="00007DC3" w:rsidRDefault="00007DC3" w:rsidP="002B61A7">
      <w:pPr>
        <w:pStyle w:val="NoSpacing"/>
      </w:pPr>
    </w:p>
    <w:p w14:paraId="3B3DB9C8" w14:textId="4A0D13B5" w:rsidR="00007DC3" w:rsidRDefault="00007DC3" w:rsidP="002B61A7">
      <w:pPr>
        <w:pStyle w:val="NoSpacing"/>
      </w:pPr>
    </w:p>
    <w:p w14:paraId="72B9EFBA" w14:textId="3A7900F8" w:rsidR="00007DC3" w:rsidRDefault="00007DC3" w:rsidP="002B61A7">
      <w:pPr>
        <w:pStyle w:val="NoSpacing"/>
      </w:pPr>
    </w:p>
    <w:p w14:paraId="4F26FC5D" w14:textId="11C73897" w:rsidR="00007DC3" w:rsidRDefault="00007DC3" w:rsidP="002B61A7">
      <w:pPr>
        <w:pStyle w:val="NoSpacing"/>
      </w:pPr>
    </w:p>
    <w:p w14:paraId="22D2AA9C" w14:textId="1A25389C" w:rsidR="00007DC3" w:rsidRDefault="00007DC3" w:rsidP="002B61A7">
      <w:pPr>
        <w:pStyle w:val="NoSpacing"/>
      </w:pPr>
    </w:p>
    <w:p w14:paraId="20F9731E" w14:textId="6F87E4BD" w:rsidR="00007DC3" w:rsidRDefault="00007DC3" w:rsidP="002B61A7">
      <w:pPr>
        <w:pStyle w:val="NoSpacing"/>
      </w:pPr>
    </w:p>
    <w:p w14:paraId="4B5F1807" w14:textId="6A84F4FE" w:rsidR="00007DC3" w:rsidRDefault="00007DC3" w:rsidP="002B61A7">
      <w:pPr>
        <w:pStyle w:val="NoSpacing"/>
      </w:pPr>
    </w:p>
    <w:p w14:paraId="09B7948F" w14:textId="04B0AF27" w:rsidR="00007DC3" w:rsidRDefault="00007DC3" w:rsidP="002B61A7">
      <w:pPr>
        <w:pStyle w:val="NoSpacing"/>
      </w:pPr>
    </w:p>
    <w:p w14:paraId="093C0B9E" w14:textId="6CE9216A" w:rsidR="00007DC3" w:rsidRDefault="00007DC3" w:rsidP="002B61A7">
      <w:pPr>
        <w:pStyle w:val="NoSpacing"/>
      </w:pPr>
    </w:p>
    <w:p w14:paraId="46B3CC87" w14:textId="676ED644" w:rsidR="00007DC3" w:rsidRDefault="00007DC3" w:rsidP="002B61A7">
      <w:pPr>
        <w:pStyle w:val="NoSpacing"/>
      </w:pPr>
    </w:p>
    <w:p w14:paraId="221EDD26" w14:textId="15BA0640" w:rsidR="00007DC3" w:rsidRDefault="00007DC3" w:rsidP="002B61A7">
      <w:pPr>
        <w:pStyle w:val="NoSpacing"/>
      </w:pPr>
    </w:p>
    <w:p w14:paraId="1C8E6F4A" w14:textId="1A7286E1" w:rsidR="00007DC3" w:rsidRDefault="00007DC3" w:rsidP="002B61A7">
      <w:pPr>
        <w:pStyle w:val="NoSpacing"/>
      </w:pPr>
    </w:p>
    <w:p w14:paraId="36AD1398" w14:textId="281B74EC" w:rsidR="00007DC3" w:rsidRDefault="00007DC3" w:rsidP="002B61A7">
      <w:pPr>
        <w:pStyle w:val="NoSpacing"/>
      </w:pPr>
    </w:p>
    <w:p w14:paraId="406138A8" w14:textId="22F058FE" w:rsidR="00007DC3" w:rsidRDefault="00007DC3" w:rsidP="002B61A7">
      <w:pPr>
        <w:pStyle w:val="NoSpacing"/>
      </w:pPr>
    </w:p>
    <w:p w14:paraId="7992DE10" w14:textId="77777777" w:rsidR="00007DC3" w:rsidRDefault="00007DC3" w:rsidP="002B61A7">
      <w:pPr>
        <w:pStyle w:val="NoSpacing"/>
      </w:pPr>
    </w:p>
    <w:p w14:paraId="38F54B8E" w14:textId="77777777" w:rsidR="002B61A7" w:rsidRDefault="002B61A7" w:rsidP="002B61A7">
      <w:pPr>
        <w:pStyle w:val="Heading2"/>
      </w:pPr>
      <w:r>
        <w:t>Table 3</w:t>
      </w:r>
    </w:p>
    <w:p w14:paraId="35604813" w14:textId="77777777" w:rsidR="002B61A7" w:rsidRDefault="002B61A7" w:rsidP="002B61A7">
      <w:pPr>
        <w:pStyle w:val="NoSpacing"/>
      </w:pPr>
    </w:p>
    <w:p w14:paraId="49B9D14D" w14:textId="77777777" w:rsidR="002B61A7" w:rsidRDefault="002B61A7" w:rsidP="002B61A7">
      <w:pPr>
        <w:pStyle w:val="NoSpacing"/>
      </w:pPr>
    </w:p>
    <w:tbl>
      <w:tblPr>
        <w:tblStyle w:val="TableGrid"/>
        <w:tblW w:w="9016" w:type="dxa"/>
        <w:jc w:val="center"/>
        <w:tblLayout w:type="fixed"/>
        <w:tblLook w:val="04A0" w:firstRow="1" w:lastRow="0" w:firstColumn="1" w:lastColumn="0" w:noHBand="0" w:noVBand="1"/>
      </w:tblPr>
      <w:tblGrid>
        <w:gridCol w:w="1471"/>
        <w:gridCol w:w="1327"/>
        <w:gridCol w:w="1297"/>
        <w:gridCol w:w="1429"/>
        <w:gridCol w:w="850"/>
        <w:gridCol w:w="1559"/>
        <w:gridCol w:w="1083"/>
      </w:tblGrid>
      <w:tr w:rsidR="002B61A7" w14:paraId="125973D5" w14:textId="77777777" w:rsidTr="0015446E">
        <w:trPr>
          <w:trHeight w:val="491"/>
          <w:jc w:val="center"/>
        </w:trPr>
        <w:tc>
          <w:tcPr>
            <w:tcW w:w="9016" w:type="dxa"/>
            <w:gridSpan w:val="7"/>
            <w:tcBorders>
              <w:bottom w:val="single" w:sz="4" w:space="0" w:color="auto"/>
            </w:tcBorders>
            <w:shd w:val="clear" w:color="auto" w:fill="8EAADB" w:themeFill="accent1" w:themeFillTint="99"/>
          </w:tcPr>
          <w:p w14:paraId="789F4CFD" w14:textId="77777777" w:rsidR="002B61A7" w:rsidRDefault="002B61A7" w:rsidP="0015446E">
            <w:pPr>
              <w:pStyle w:val="NoSpacing"/>
            </w:pPr>
            <w:r>
              <w:t xml:space="preserve">Table 3 – association of substance use disorder (independent variable) with quality of care measures (dependant variables). </w:t>
            </w:r>
          </w:p>
        </w:tc>
      </w:tr>
      <w:tr w:rsidR="002B61A7" w14:paraId="487BC3A0" w14:textId="77777777" w:rsidTr="0015446E">
        <w:trPr>
          <w:trHeight w:val="842"/>
          <w:jc w:val="center"/>
        </w:trPr>
        <w:tc>
          <w:tcPr>
            <w:tcW w:w="1471" w:type="dxa"/>
            <w:tcBorders>
              <w:right w:val="nil"/>
            </w:tcBorders>
            <w:shd w:val="clear" w:color="auto" w:fill="D9E2F3" w:themeFill="accent1" w:themeFillTint="33"/>
          </w:tcPr>
          <w:p w14:paraId="0CBD77D7" w14:textId="77777777" w:rsidR="002B61A7" w:rsidRDefault="002B61A7" w:rsidP="0015446E">
            <w:pPr>
              <w:pStyle w:val="NoSpacing"/>
              <w:jc w:val="center"/>
            </w:pPr>
            <w:r>
              <w:t>Primary outcome</w:t>
            </w:r>
          </w:p>
        </w:tc>
        <w:tc>
          <w:tcPr>
            <w:tcW w:w="1327" w:type="dxa"/>
            <w:tcBorders>
              <w:left w:val="nil"/>
              <w:bottom w:val="single" w:sz="4" w:space="0" w:color="auto"/>
              <w:right w:val="nil"/>
            </w:tcBorders>
            <w:shd w:val="clear" w:color="auto" w:fill="D9E2F3" w:themeFill="accent1" w:themeFillTint="33"/>
          </w:tcPr>
          <w:p w14:paraId="5BAB3531" w14:textId="77777777" w:rsidR="002B61A7" w:rsidRDefault="002B61A7" w:rsidP="0015446E">
            <w:pPr>
              <w:pStyle w:val="NoSpacing"/>
              <w:jc w:val="center"/>
            </w:pPr>
            <w:r>
              <w:t>Substance disorder</w:t>
            </w:r>
          </w:p>
          <w:p w14:paraId="52247A95" w14:textId="77777777" w:rsidR="002B61A7" w:rsidRDefault="002B61A7" w:rsidP="0015446E">
            <w:pPr>
              <w:pStyle w:val="NoSpacing"/>
              <w:jc w:val="center"/>
            </w:pPr>
            <w:r>
              <w:t>N / total</w:t>
            </w:r>
          </w:p>
          <w:p w14:paraId="5C7F818A" w14:textId="77777777" w:rsidR="002B61A7" w:rsidRDefault="002B61A7" w:rsidP="0015446E">
            <w:pPr>
              <w:pStyle w:val="NoSpacing"/>
              <w:jc w:val="center"/>
            </w:pPr>
            <w:r>
              <w:t>(%)</w:t>
            </w:r>
          </w:p>
        </w:tc>
        <w:tc>
          <w:tcPr>
            <w:tcW w:w="1297" w:type="dxa"/>
            <w:tcBorders>
              <w:left w:val="nil"/>
              <w:bottom w:val="single" w:sz="4" w:space="0" w:color="auto"/>
              <w:right w:val="nil"/>
            </w:tcBorders>
            <w:shd w:val="clear" w:color="auto" w:fill="D9E2F3" w:themeFill="accent1" w:themeFillTint="33"/>
          </w:tcPr>
          <w:p w14:paraId="22997C0D" w14:textId="77777777" w:rsidR="002B61A7" w:rsidRDefault="002B61A7" w:rsidP="0015446E">
            <w:pPr>
              <w:pStyle w:val="NoSpacing"/>
              <w:jc w:val="center"/>
            </w:pPr>
            <w:r>
              <w:t xml:space="preserve">No substance </w:t>
            </w:r>
            <w:proofErr w:type="gramStart"/>
            <w:r>
              <w:t>disorder</w:t>
            </w:r>
            <w:proofErr w:type="gramEnd"/>
          </w:p>
          <w:p w14:paraId="7538CE4B" w14:textId="77777777" w:rsidR="002B61A7" w:rsidRDefault="002B61A7" w:rsidP="0015446E">
            <w:pPr>
              <w:pStyle w:val="NoSpacing"/>
              <w:jc w:val="center"/>
            </w:pPr>
            <w:r>
              <w:t>N / total</w:t>
            </w:r>
          </w:p>
          <w:p w14:paraId="1F4F0FB4" w14:textId="77777777" w:rsidR="002B61A7" w:rsidRDefault="002B61A7" w:rsidP="0015446E">
            <w:pPr>
              <w:pStyle w:val="NoSpacing"/>
              <w:jc w:val="center"/>
            </w:pPr>
            <w:r>
              <w:t>(%)</w:t>
            </w:r>
          </w:p>
        </w:tc>
        <w:tc>
          <w:tcPr>
            <w:tcW w:w="1429" w:type="dxa"/>
            <w:tcBorders>
              <w:left w:val="nil"/>
              <w:bottom w:val="single" w:sz="4" w:space="0" w:color="auto"/>
              <w:right w:val="nil"/>
            </w:tcBorders>
            <w:shd w:val="clear" w:color="auto" w:fill="D9E2F3" w:themeFill="accent1" w:themeFillTint="33"/>
          </w:tcPr>
          <w:p w14:paraId="371A3AFE" w14:textId="77777777" w:rsidR="002B61A7" w:rsidRDefault="002B61A7" w:rsidP="0015446E">
            <w:pPr>
              <w:pStyle w:val="NoSpacing"/>
              <w:jc w:val="center"/>
            </w:pPr>
            <w:r>
              <w:t xml:space="preserve">OR </w:t>
            </w:r>
          </w:p>
          <w:p w14:paraId="0455EA82" w14:textId="77777777" w:rsidR="002B61A7" w:rsidRDefault="002B61A7" w:rsidP="0015446E">
            <w:pPr>
              <w:pStyle w:val="NoSpacing"/>
              <w:jc w:val="center"/>
            </w:pPr>
            <w:r>
              <w:t>95% CI</w:t>
            </w:r>
          </w:p>
          <w:p w14:paraId="6F123499" w14:textId="77777777" w:rsidR="002B61A7" w:rsidRPr="00C67B34" w:rsidRDefault="002B61A7" w:rsidP="0015446E">
            <w:pPr>
              <w:pStyle w:val="NoSpacing"/>
              <w:jc w:val="center"/>
            </w:pPr>
          </w:p>
        </w:tc>
        <w:tc>
          <w:tcPr>
            <w:tcW w:w="850" w:type="dxa"/>
            <w:tcBorders>
              <w:left w:val="nil"/>
              <w:bottom w:val="single" w:sz="4" w:space="0" w:color="auto"/>
              <w:right w:val="nil"/>
            </w:tcBorders>
            <w:shd w:val="clear" w:color="auto" w:fill="D9E2F3" w:themeFill="accent1" w:themeFillTint="33"/>
          </w:tcPr>
          <w:p w14:paraId="2878B457" w14:textId="77777777" w:rsidR="002B61A7" w:rsidRDefault="002B61A7" w:rsidP="0015446E">
            <w:pPr>
              <w:pStyle w:val="NoSpacing"/>
              <w:jc w:val="center"/>
            </w:pPr>
          </w:p>
          <w:p w14:paraId="39AB30AB" w14:textId="77777777" w:rsidR="002B61A7" w:rsidRDefault="002B61A7" w:rsidP="0015446E">
            <w:pPr>
              <w:pStyle w:val="NoSpacing"/>
              <w:jc w:val="center"/>
            </w:pPr>
            <w:r>
              <w:t>P</w:t>
            </w:r>
          </w:p>
        </w:tc>
        <w:tc>
          <w:tcPr>
            <w:tcW w:w="1559" w:type="dxa"/>
            <w:tcBorders>
              <w:left w:val="nil"/>
              <w:bottom w:val="single" w:sz="4" w:space="0" w:color="auto"/>
              <w:right w:val="nil"/>
            </w:tcBorders>
            <w:shd w:val="clear" w:color="auto" w:fill="D9E2F3" w:themeFill="accent1" w:themeFillTint="33"/>
          </w:tcPr>
          <w:p w14:paraId="7776D966" w14:textId="77777777" w:rsidR="002B61A7" w:rsidRDefault="002B61A7" w:rsidP="0015446E">
            <w:pPr>
              <w:pStyle w:val="NoSpacing"/>
              <w:jc w:val="center"/>
            </w:pPr>
            <w:proofErr w:type="spellStart"/>
            <w:r>
              <w:t>Adjusted</w:t>
            </w:r>
            <w:r>
              <w:rPr>
                <w:vertAlign w:val="superscript"/>
              </w:rPr>
              <w:t>a</w:t>
            </w:r>
            <w:proofErr w:type="spellEnd"/>
            <w:r>
              <w:t xml:space="preserve"> OR </w:t>
            </w:r>
          </w:p>
          <w:p w14:paraId="257F109F" w14:textId="77777777" w:rsidR="002B61A7" w:rsidRDefault="002B61A7" w:rsidP="0015446E">
            <w:pPr>
              <w:pStyle w:val="NoSpacing"/>
              <w:jc w:val="center"/>
            </w:pPr>
            <w:r>
              <w:t>95% CI</w:t>
            </w:r>
          </w:p>
          <w:p w14:paraId="16AD7343" w14:textId="77777777" w:rsidR="002B61A7" w:rsidRDefault="002B61A7" w:rsidP="0015446E">
            <w:pPr>
              <w:pStyle w:val="NoSpacing"/>
            </w:pPr>
          </w:p>
        </w:tc>
        <w:tc>
          <w:tcPr>
            <w:tcW w:w="1083" w:type="dxa"/>
            <w:tcBorders>
              <w:left w:val="nil"/>
              <w:bottom w:val="single" w:sz="4" w:space="0" w:color="auto"/>
            </w:tcBorders>
            <w:shd w:val="clear" w:color="auto" w:fill="D9E2F3" w:themeFill="accent1" w:themeFillTint="33"/>
          </w:tcPr>
          <w:p w14:paraId="172BA078" w14:textId="77777777" w:rsidR="002B61A7" w:rsidRDefault="002B61A7" w:rsidP="0015446E">
            <w:pPr>
              <w:pStyle w:val="NoSpacing"/>
              <w:jc w:val="center"/>
            </w:pPr>
          </w:p>
          <w:p w14:paraId="7FB7C7DF" w14:textId="77777777" w:rsidR="002B61A7" w:rsidRDefault="002B61A7" w:rsidP="0015446E">
            <w:pPr>
              <w:pStyle w:val="NoSpacing"/>
              <w:jc w:val="center"/>
            </w:pPr>
            <w:r>
              <w:t>P</w:t>
            </w:r>
          </w:p>
        </w:tc>
      </w:tr>
      <w:tr w:rsidR="002B61A7" w14:paraId="7312FB8A" w14:textId="77777777" w:rsidTr="0015446E">
        <w:trPr>
          <w:trHeight w:val="276"/>
          <w:jc w:val="center"/>
        </w:trPr>
        <w:tc>
          <w:tcPr>
            <w:tcW w:w="1471" w:type="dxa"/>
          </w:tcPr>
          <w:p w14:paraId="4F0CB6A7" w14:textId="77777777" w:rsidR="002B61A7" w:rsidRDefault="002B61A7" w:rsidP="0015446E">
            <w:pPr>
              <w:pStyle w:val="NoSpacing"/>
              <w:jc w:val="center"/>
            </w:pPr>
            <w:r>
              <w:lastRenderedPageBreak/>
              <w:t>Assessment included trauma?</w:t>
            </w:r>
          </w:p>
        </w:tc>
        <w:tc>
          <w:tcPr>
            <w:tcW w:w="1327" w:type="dxa"/>
            <w:tcBorders>
              <w:bottom w:val="single" w:sz="4" w:space="0" w:color="auto"/>
              <w:right w:val="nil"/>
            </w:tcBorders>
          </w:tcPr>
          <w:p w14:paraId="35C8033A" w14:textId="77777777" w:rsidR="002B61A7" w:rsidRDefault="002B61A7" w:rsidP="0015446E">
            <w:pPr>
              <w:pStyle w:val="NoSpacing"/>
              <w:jc w:val="center"/>
            </w:pPr>
            <w:r>
              <w:t>389/484</w:t>
            </w:r>
          </w:p>
          <w:p w14:paraId="5530AAC0" w14:textId="77777777" w:rsidR="002B61A7" w:rsidRDefault="002B61A7" w:rsidP="0015446E">
            <w:pPr>
              <w:pStyle w:val="NoSpacing"/>
              <w:jc w:val="center"/>
            </w:pPr>
            <w:r>
              <w:t>(80.4)</w:t>
            </w:r>
          </w:p>
        </w:tc>
        <w:tc>
          <w:tcPr>
            <w:tcW w:w="1297" w:type="dxa"/>
            <w:tcBorders>
              <w:left w:val="nil"/>
              <w:bottom w:val="single" w:sz="4" w:space="0" w:color="auto"/>
              <w:right w:val="nil"/>
            </w:tcBorders>
          </w:tcPr>
          <w:p w14:paraId="47136A0E" w14:textId="77777777" w:rsidR="002B61A7" w:rsidRDefault="002B61A7" w:rsidP="0015446E">
            <w:pPr>
              <w:pStyle w:val="NoSpacing"/>
              <w:jc w:val="center"/>
            </w:pPr>
            <w:r>
              <w:t>2226/2846</w:t>
            </w:r>
          </w:p>
          <w:p w14:paraId="4ED880EA" w14:textId="77777777" w:rsidR="002B61A7" w:rsidRDefault="002B61A7" w:rsidP="0015446E">
            <w:pPr>
              <w:pStyle w:val="NoSpacing"/>
              <w:jc w:val="center"/>
            </w:pPr>
            <w:r>
              <w:t>(78.2)</w:t>
            </w:r>
          </w:p>
        </w:tc>
        <w:tc>
          <w:tcPr>
            <w:tcW w:w="1429" w:type="dxa"/>
            <w:tcBorders>
              <w:left w:val="nil"/>
              <w:bottom w:val="single" w:sz="4" w:space="0" w:color="auto"/>
              <w:right w:val="nil"/>
            </w:tcBorders>
          </w:tcPr>
          <w:p w14:paraId="62D66513" w14:textId="77777777" w:rsidR="002B61A7" w:rsidRDefault="002B61A7" w:rsidP="0015446E">
            <w:pPr>
              <w:pStyle w:val="NoSpacing"/>
              <w:jc w:val="center"/>
            </w:pPr>
            <w:r>
              <w:t>1.14</w:t>
            </w:r>
          </w:p>
          <w:p w14:paraId="55F08276" w14:textId="77777777" w:rsidR="002B61A7" w:rsidRDefault="002B61A7" w:rsidP="0015446E">
            <w:pPr>
              <w:pStyle w:val="NoSpacing"/>
              <w:jc w:val="center"/>
            </w:pPr>
            <w:r>
              <w:t>(0.90 to 1.45)</w:t>
            </w:r>
          </w:p>
        </w:tc>
        <w:tc>
          <w:tcPr>
            <w:tcW w:w="850" w:type="dxa"/>
            <w:tcBorders>
              <w:left w:val="nil"/>
              <w:bottom w:val="single" w:sz="4" w:space="0" w:color="auto"/>
              <w:right w:val="nil"/>
            </w:tcBorders>
          </w:tcPr>
          <w:p w14:paraId="06C9CCAD" w14:textId="77777777" w:rsidR="002B61A7" w:rsidRDefault="002B61A7" w:rsidP="0015446E">
            <w:pPr>
              <w:pStyle w:val="NoSpacing"/>
              <w:jc w:val="center"/>
            </w:pPr>
            <w:r>
              <w:t>0.285</w:t>
            </w:r>
          </w:p>
        </w:tc>
        <w:tc>
          <w:tcPr>
            <w:tcW w:w="1559" w:type="dxa"/>
            <w:tcBorders>
              <w:left w:val="nil"/>
              <w:bottom w:val="single" w:sz="4" w:space="0" w:color="auto"/>
              <w:right w:val="nil"/>
            </w:tcBorders>
          </w:tcPr>
          <w:p w14:paraId="06BDBA3B" w14:textId="77777777" w:rsidR="002B61A7" w:rsidRDefault="002B61A7" w:rsidP="0015446E">
            <w:pPr>
              <w:pStyle w:val="NoSpacing"/>
              <w:jc w:val="center"/>
            </w:pPr>
            <w:r>
              <w:t>1.14</w:t>
            </w:r>
          </w:p>
          <w:p w14:paraId="379E1172" w14:textId="77777777" w:rsidR="002B61A7" w:rsidRDefault="002B61A7" w:rsidP="0015446E">
            <w:pPr>
              <w:pStyle w:val="NoSpacing"/>
              <w:jc w:val="center"/>
            </w:pPr>
            <w:r>
              <w:t>(0.86 to 1.52)</w:t>
            </w:r>
          </w:p>
        </w:tc>
        <w:tc>
          <w:tcPr>
            <w:tcW w:w="1083" w:type="dxa"/>
            <w:tcBorders>
              <w:left w:val="nil"/>
              <w:bottom w:val="single" w:sz="4" w:space="0" w:color="auto"/>
            </w:tcBorders>
          </w:tcPr>
          <w:p w14:paraId="46101C1A" w14:textId="77777777" w:rsidR="002B61A7" w:rsidRDefault="002B61A7" w:rsidP="0015446E">
            <w:pPr>
              <w:pStyle w:val="NoSpacing"/>
              <w:jc w:val="center"/>
            </w:pPr>
            <w:r>
              <w:t>0.362</w:t>
            </w:r>
          </w:p>
        </w:tc>
      </w:tr>
      <w:tr w:rsidR="002B61A7" w14:paraId="6B7FA433" w14:textId="77777777" w:rsidTr="0015446E">
        <w:trPr>
          <w:trHeight w:val="276"/>
          <w:jc w:val="center"/>
        </w:trPr>
        <w:tc>
          <w:tcPr>
            <w:tcW w:w="1471" w:type="dxa"/>
          </w:tcPr>
          <w:p w14:paraId="3A48E521" w14:textId="77777777" w:rsidR="002B61A7" w:rsidRDefault="002B61A7" w:rsidP="0015446E">
            <w:pPr>
              <w:pStyle w:val="NoSpacing"/>
              <w:jc w:val="center"/>
            </w:pPr>
            <w:r>
              <w:t>Assessment included past treatment?</w:t>
            </w:r>
          </w:p>
        </w:tc>
        <w:tc>
          <w:tcPr>
            <w:tcW w:w="1327" w:type="dxa"/>
            <w:tcBorders>
              <w:bottom w:val="single" w:sz="4" w:space="0" w:color="auto"/>
              <w:right w:val="nil"/>
            </w:tcBorders>
          </w:tcPr>
          <w:p w14:paraId="198AF08B" w14:textId="77777777" w:rsidR="002B61A7" w:rsidRDefault="002B61A7" w:rsidP="0015446E">
            <w:pPr>
              <w:pStyle w:val="NoSpacing"/>
              <w:jc w:val="center"/>
            </w:pPr>
            <w:r>
              <w:t>368/471</w:t>
            </w:r>
          </w:p>
          <w:p w14:paraId="023AB7E7" w14:textId="77777777" w:rsidR="002B61A7" w:rsidRDefault="002B61A7" w:rsidP="0015446E">
            <w:pPr>
              <w:pStyle w:val="NoSpacing"/>
              <w:jc w:val="center"/>
            </w:pPr>
            <w:r>
              <w:t>(78.1)</w:t>
            </w:r>
          </w:p>
        </w:tc>
        <w:tc>
          <w:tcPr>
            <w:tcW w:w="1297" w:type="dxa"/>
            <w:tcBorders>
              <w:left w:val="nil"/>
              <w:bottom w:val="single" w:sz="4" w:space="0" w:color="auto"/>
              <w:right w:val="nil"/>
            </w:tcBorders>
          </w:tcPr>
          <w:p w14:paraId="21ADBD43" w14:textId="77777777" w:rsidR="002B61A7" w:rsidRDefault="002B61A7" w:rsidP="0015446E">
            <w:pPr>
              <w:pStyle w:val="NoSpacing"/>
              <w:jc w:val="center"/>
            </w:pPr>
            <w:r>
              <w:t>2308/2816</w:t>
            </w:r>
          </w:p>
          <w:p w14:paraId="21426A7E" w14:textId="77777777" w:rsidR="002B61A7" w:rsidRDefault="002B61A7" w:rsidP="0015446E">
            <w:pPr>
              <w:pStyle w:val="NoSpacing"/>
              <w:jc w:val="center"/>
            </w:pPr>
            <w:r>
              <w:t>(82.0)</w:t>
            </w:r>
          </w:p>
        </w:tc>
        <w:tc>
          <w:tcPr>
            <w:tcW w:w="1429" w:type="dxa"/>
            <w:tcBorders>
              <w:left w:val="nil"/>
              <w:bottom w:val="single" w:sz="4" w:space="0" w:color="auto"/>
              <w:right w:val="nil"/>
            </w:tcBorders>
          </w:tcPr>
          <w:p w14:paraId="0BFC2244" w14:textId="77777777" w:rsidR="002B61A7" w:rsidRDefault="002B61A7" w:rsidP="0015446E">
            <w:pPr>
              <w:pStyle w:val="NoSpacing"/>
              <w:jc w:val="center"/>
            </w:pPr>
            <w:r>
              <w:t>0.79</w:t>
            </w:r>
          </w:p>
          <w:p w14:paraId="62BB50E9" w14:textId="77777777" w:rsidR="002B61A7" w:rsidRDefault="002B61A7" w:rsidP="0015446E">
            <w:pPr>
              <w:pStyle w:val="NoSpacing"/>
              <w:jc w:val="center"/>
            </w:pPr>
            <w:r>
              <w:t>(0.61 to 0.99)</w:t>
            </w:r>
          </w:p>
        </w:tc>
        <w:tc>
          <w:tcPr>
            <w:tcW w:w="850" w:type="dxa"/>
            <w:tcBorders>
              <w:left w:val="nil"/>
              <w:bottom w:val="single" w:sz="4" w:space="0" w:color="auto"/>
              <w:right w:val="nil"/>
            </w:tcBorders>
          </w:tcPr>
          <w:p w14:paraId="471BDC0D" w14:textId="77777777" w:rsidR="002B61A7" w:rsidRDefault="002B61A7" w:rsidP="0015446E">
            <w:pPr>
              <w:pStyle w:val="NoSpacing"/>
              <w:jc w:val="center"/>
            </w:pPr>
            <w:r>
              <w:t>0.048</w:t>
            </w:r>
          </w:p>
        </w:tc>
        <w:tc>
          <w:tcPr>
            <w:tcW w:w="1559" w:type="dxa"/>
            <w:tcBorders>
              <w:left w:val="nil"/>
              <w:bottom w:val="single" w:sz="4" w:space="0" w:color="auto"/>
              <w:right w:val="nil"/>
            </w:tcBorders>
          </w:tcPr>
          <w:p w14:paraId="12D5BDA9" w14:textId="77777777" w:rsidR="002B61A7" w:rsidRDefault="002B61A7" w:rsidP="0015446E">
            <w:pPr>
              <w:pStyle w:val="NoSpacing"/>
              <w:jc w:val="center"/>
            </w:pPr>
            <w:r>
              <w:t>0.92</w:t>
            </w:r>
          </w:p>
          <w:p w14:paraId="2CD9B531" w14:textId="77777777" w:rsidR="002B61A7" w:rsidRDefault="002B61A7" w:rsidP="0015446E">
            <w:pPr>
              <w:pStyle w:val="NoSpacing"/>
              <w:jc w:val="center"/>
            </w:pPr>
            <w:r>
              <w:t>(0.69 to 1.24)</w:t>
            </w:r>
          </w:p>
        </w:tc>
        <w:tc>
          <w:tcPr>
            <w:tcW w:w="1083" w:type="dxa"/>
            <w:tcBorders>
              <w:left w:val="nil"/>
              <w:bottom w:val="single" w:sz="4" w:space="0" w:color="auto"/>
            </w:tcBorders>
          </w:tcPr>
          <w:p w14:paraId="3708E681" w14:textId="77777777" w:rsidR="002B61A7" w:rsidRDefault="002B61A7" w:rsidP="0015446E">
            <w:pPr>
              <w:pStyle w:val="NoSpacing"/>
              <w:jc w:val="center"/>
            </w:pPr>
            <w:r>
              <w:t>0.158</w:t>
            </w:r>
          </w:p>
        </w:tc>
      </w:tr>
      <w:tr w:rsidR="002B61A7" w14:paraId="297DEDEB" w14:textId="77777777" w:rsidTr="0015446E">
        <w:trPr>
          <w:trHeight w:val="276"/>
          <w:jc w:val="center"/>
        </w:trPr>
        <w:tc>
          <w:tcPr>
            <w:tcW w:w="1471" w:type="dxa"/>
          </w:tcPr>
          <w:p w14:paraId="1ACB215B" w14:textId="13F3846B" w:rsidR="002B61A7" w:rsidRDefault="002B61A7" w:rsidP="0015446E">
            <w:pPr>
              <w:pStyle w:val="NoSpacing"/>
              <w:jc w:val="center"/>
            </w:pPr>
            <w:proofErr w:type="spellStart"/>
            <w:r>
              <w:t>BMI</w:t>
            </w:r>
            <w:r w:rsidR="00007DC3">
              <w:rPr>
                <w:vertAlign w:val="superscript"/>
              </w:rPr>
              <w:t>b</w:t>
            </w:r>
            <w:proofErr w:type="spellEnd"/>
            <w:r>
              <w:t xml:space="preserve"> recorded</w:t>
            </w:r>
          </w:p>
        </w:tc>
        <w:tc>
          <w:tcPr>
            <w:tcW w:w="1327" w:type="dxa"/>
            <w:tcBorders>
              <w:bottom w:val="single" w:sz="4" w:space="0" w:color="auto"/>
              <w:right w:val="nil"/>
            </w:tcBorders>
          </w:tcPr>
          <w:p w14:paraId="7DCB5807" w14:textId="77777777" w:rsidR="002B61A7" w:rsidRDefault="002B61A7" w:rsidP="0015446E">
            <w:pPr>
              <w:pStyle w:val="NoSpacing"/>
              <w:jc w:val="center"/>
            </w:pPr>
            <w:r>
              <w:t>396/543</w:t>
            </w:r>
          </w:p>
          <w:p w14:paraId="7CFCF8AE" w14:textId="77777777" w:rsidR="002B61A7" w:rsidRDefault="002B61A7" w:rsidP="0015446E">
            <w:pPr>
              <w:pStyle w:val="NoSpacing"/>
              <w:jc w:val="center"/>
            </w:pPr>
            <w:r>
              <w:t>(72.9)</w:t>
            </w:r>
          </w:p>
        </w:tc>
        <w:tc>
          <w:tcPr>
            <w:tcW w:w="1297" w:type="dxa"/>
            <w:tcBorders>
              <w:left w:val="nil"/>
              <w:bottom w:val="single" w:sz="4" w:space="0" w:color="auto"/>
              <w:right w:val="nil"/>
            </w:tcBorders>
          </w:tcPr>
          <w:p w14:paraId="0FDD1A08" w14:textId="77777777" w:rsidR="002B61A7" w:rsidRDefault="002B61A7" w:rsidP="0015446E">
            <w:pPr>
              <w:pStyle w:val="NoSpacing"/>
              <w:jc w:val="center"/>
            </w:pPr>
            <w:r>
              <w:t>2330/3252</w:t>
            </w:r>
          </w:p>
          <w:p w14:paraId="303C7142" w14:textId="77777777" w:rsidR="002B61A7" w:rsidRDefault="002B61A7" w:rsidP="0015446E">
            <w:pPr>
              <w:pStyle w:val="NoSpacing"/>
              <w:jc w:val="center"/>
            </w:pPr>
            <w:r>
              <w:t>(71.6)</w:t>
            </w:r>
          </w:p>
        </w:tc>
        <w:tc>
          <w:tcPr>
            <w:tcW w:w="1429" w:type="dxa"/>
            <w:tcBorders>
              <w:left w:val="nil"/>
              <w:bottom w:val="single" w:sz="4" w:space="0" w:color="auto"/>
              <w:right w:val="nil"/>
            </w:tcBorders>
          </w:tcPr>
          <w:p w14:paraId="19D1CE57" w14:textId="77777777" w:rsidR="002B61A7" w:rsidRDefault="002B61A7" w:rsidP="0015446E">
            <w:pPr>
              <w:pStyle w:val="NoSpacing"/>
              <w:jc w:val="center"/>
            </w:pPr>
            <w:r>
              <w:t>1.07</w:t>
            </w:r>
          </w:p>
          <w:p w14:paraId="20E59F86" w14:textId="77777777" w:rsidR="002B61A7" w:rsidRDefault="002B61A7" w:rsidP="0015446E">
            <w:pPr>
              <w:pStyle w:val="NoSpacing"/>
              <w:jc w:val="center"/>
            </w:pPr>
            <w:r>
              <w:t>(0.87 to 1.31)</w:t>
            </w:r>
          </w:p>
        </w:tc>
        <w:tc>
          <w:tcPr>
            <w:tcW w:w="850" w:type="dxa"/>
            <w:tcBorders>
              <w:left w:val="nil"/>
              <w:bottom w:val="single" w:sz="4" w:space="0" w:color="auto"/>
              <w:right w:val="nil"/>
            </w:tcBorders>
          </w:tcPr>
          <w:p w14:paraId="242588D6" w14:textId="77777777" w:rsidR="002B61A7" w:rsidRDefault="002B61A7" w:rsidP="0015446E">
            <w:pPr>
              <w:pStyle w:val="NoSpacing"/>
              <w:jc w:val="center"/>
            </w:pPr>
            <w:r>
              <w:t>0.539</w:t>
            </w:r>
          </w:p>
        </w:tc>
        <w:tc>
          <w:tcPr>
            <w:tcW w:w="1559" w:type="dxa"/>
            <w:tcBorders>
              <w:left w:val="nil"/>
              <w:bottom w:val="single" w:sz="4" w:space="0" w:color="auto"/>
              <w:right w:val="nil"/>
            </w:tcBorders>
          </w:tcPr>
          <w:p w14:paraId="4EFF3336" w14:textId="77777777" w:rsidR="002B61A7" w:rsidRDefault="002B61A7" w:rsidP="0015446E">
            <w:pPr>
              <w:pStyle w:val="NoSpacing"/>
              <w:jc w:val="center"/>
            </w:pPr>
            <w:r>
              <w:t>1.13</w:t>
            </w:r>
          </w:p>
          <w:p w14:paraId="2F5C84AC" w14:textId="77777777" w:rsidR="002B61A7" w:rsidRDefault="002B61A7" w:rsidP="0015446E">
            <w:pPr>
              <w:pStyle w:val="NoSpacing"/>
              <w:jc w:val="center"/>
            </w:pPr>
            <w:r>
              <w:t>(0.89 to 1.43)</w:t>
            </w:r>
          </w:p>
        </w:tc>
        <w:tc>
          <w:tcPr>
            <w:tcW w:w="1083" w:type="dxa"/>
            <w:tcBorders>
              <w:left w:val="nil"/>
              <w:bottom w:val="single" w:sz="4" w:space="0" w:color="auto"/>
            </w:tcBorders>
          </w:tcPr>
          <w:p w14:paraId="0B5A7D19" w14:textId="77777777" w:rsidR="002B61A7" w:rsidRDefault="002B61A7" w:rsidP="0015446E">
            <w:pPr>
              <w:pStyle w:val="NoSpacing"/>
              <w:jc w:val="center"/>
            </w:pPr>
            <w:r>
              <w:t>0.332</w:t>
            </w:r>
          </w:p>
        </w:tc>
      </w:tr>
      <w:tr w:rsidR="002B61A7" w14:paraId="010ED59F" w14:textId="77777777" w:rsidTr="0015446E">
        <w:trPr>
          <w:trHeight w:val="276"/>
          <w:jc w:val="center"/>
        </w:trPr>
        <w:tc>
          <w:tcPr>
            <w:tcW w:w="1471" w:type="dxa"/>
          </w:tcPr>
          <w:p w14:paraId="5F1D0EEF" w14:textId="77777777" w:rsidR="002B61A7" w:rsidRDefault="002B61A7" w:rsidP="0015446E">
            <w:pPr>
              <w:pStyle w:val="NoSpacing"/>
              <w:jc w:val="center"/>
            </w:pPr>
            <w:r>
              <w:t>Smoking status recorded</w:t>
            </w:r>
          </w:p>
        </w:tc>
        <w:tc>
          <w:tcPr>
            <w:tcW w:w="1327" w:type="dxa"/>
            <w:tcBorders>
              <w:bottom w:val="single" w:sz="4" w:space="0" w:color="auto"/>
              <w:right w:val="nil"/>
            </w:tcBorders>
          </w:tcPr>
          <w:p w14:paraId="78D2DA5C" w14:textId="77777777" w:rsidR="002B61A7" w:rsidRDefault="002B61A7" w:rsidP="0015446E">
            <w:pPr>
              <w:pStyle w:val="NoSpacing"/>
              <w:jc w:val="center"/>
            </w:pPr>
            <w:r>
              <w:t>470/543</w:t>
            </w:r>
          </w:p>
          <w:p w14:paraId="4C0FFF12" w14:textId="77777777" w:rsidR="002B61A7" w:rsidRDefault="002B61A7" w:rsidP="0015446E">
            <w:pPr>
              <w:pStyle w:val="NoSpacing"/>
              <w:jc w:val="center"/>
            </w:pPr>
            <w:r>
              <w:t>(86.6)</w:t>
            </w:r>
          </w:p>
        </w:tc>
        <w:tc>
          <w:tcPr>
            <w:tcW w:w="1297" w:type="dxa"/>
            <w:tcBorders>
              <w:left w:val="nil"/>
              <w:bottom w:val="single" w:sz="4" w:space="0" w:color="auto"/>
              <w:right w:val="nil"/>
            </w:tcBorders>
          </w:tcPr>
          <w:p w14:paraId="1CB934ED" w14:textId="77777777" w:rsidR="002B61A7" w:rsidRDefault="002B61A7" w:rsidP="0015446E">
            <w:pPr>
              <w:pStyle w:val="NoSpacing"/>
              <w:jc w:val="center"/>
            </w:pPr>
            <w:r>
              <w:t>2685/3252</w:t>
            </w:r>
          </w:p>
          <w:p w14:paraId="08302458" w14:textId="77777777" w:rsidR="002B61A7" w:rsidRDefault="002B61A7" w:rsidP="0015446E">
            <w:pPr>
              <w:pStyle w:val="NoSpacing"/>
              <w:jc w:val="center"/>
            </w:pPr>
            <w:r>
              <w:t>(82.6)</w:t>
            </w:r>
          </w:p>
        </w:tc>
        <w:tc>
          <w:tcPr>
            <w:tcW w:w="1429" w:type="dxa"/>
            <w:tcBorders>
              <w:left w:val="nil"/>
              <w:bottom w:val="single" w:sz="4" w:space="0" w:color="auto"/>
              <w:right w:val="nil"/>
            </w:tcBorders>
          </w:tcPr>
          <w:p w14:paraId="39EEF8F2" w14:textId="77777777" w:rsidR="002B61A7" w:rsidRDefault="002B61A7" w:rsidP="0015446E">
            <w:pPr>
              <w:pStyle w:val="NoSpacing"/>
              <w:jc w:val="center"/>
            </w:pPr>
            <w:r>
              <w:t>1.36</w:t>
            </w:r>
          </w:p>
          <w:p w14:paraId="1FD11F80" w14:textId="77777777" w:rsidR="002B61A7" w:rsidRDefault="002B61A7" w:rsidP="0015446E">
            <w:pPr>
              <w:pStyle w:val="NoSpacing"/>
              <w:jc w:val="center"/>
            </w:pPr>
            <w:r>
              <w:t>(1.05 to 1.77)</w:t>
            </w:r>
          </w:p>
        </w:tc>
        <w:tc>
          <w:tcPr>
            <w:tcW w:w="850" w:type="dxa"/>
            <w:tcBorders>
              <w:left w:val="nil"/>
              <w:bottom w:val="single" w:sz="4" w:space="0" w:color="auto"/>
              <w:right w:val="nil"/>
            </w:tcBorders>
          </w:tcPr>
          <w:p w14:paraId="34B24532" w14:textId="77777777" w:rsidR="002B61A7" w:rsidRDefault="002B61A7" w:rsidP="0015446E">
            <w:pPr>
              <w:pStyle w:val="NoSpacing"/>
              <w:jc w:val="center"/>
            </w:pPr>
            <w:r>
              <w:t>0.021</w:t>
            </w:r>
          </w:p>
        </w:tc>
        <w:tc>
          <w:tcPr>
            <w:tcW w:w="1559" w:type="dxa"/>
            <w:tcBorders>
              <w:left w:val="nil"/>
              <w:bottom w:val="single" w:sz="4" w:space="0" w:color="auto"/>
              <w:right w:val="nil"/>
            </w:tcBorders>
          </w:tcPr>
          <w:p w14:paraId="361564E2" w14:textId="77777777" w:rsidR="002B61A7" w:rsidRDefault="002B61A7" w:rsidP="0015446E">
            <w:pPr>
              <w:pStyle w:val="NoSpacing"/>
              <w:jc w:val="center"/>
            </w:pPr>
            <w:r>
              <w:t>1.44</w:t>
            </w:r>
          </w:p>
          <w:p w14:paraId="6DCC0425" w14:textId="77777777" w:rsidR="002B61A7" w:rsidRDefault="002B61A7" w:rsidP="0015446E">
            <w:pPr>
              <w:pStyle w:val="NoSpacing"/>
              <w:jc w:val="center"/>
            </w:pPr>
            <w:r>
              <w:t>(1.15 to 1.79)</w:t>
            </w:r>
          </w:p>
        </w:tc>
        <w:tc>
          <w:tcPr>
            <w:tcW w:w="1083" w:type="dxa"/>
            <w:tcBorders>
              <w:left w:val="nil"/>
              <w:bottom w:val="single" w:sz="4" w:space="0" w:color="auto"/>
            </w:tcBorders>
          </w:tcPr>
          <w:p w14:paraId="46C7FBAC" w14:textId="77777777" w:rsidR="002B61A7" w:rsidRDefault="002B61A7" w:rsidP="0015446E">
            <w:pPr>
              <w:pStyle w:val="NoSpacing"/>
              <w:jc w:val="center"/>
            </w:pPr>
            <w:r>
              <w:t>0.031</w:t>
            </w:r>
          </w:p>
        </w:tc>
      </w:tr>
      <w:tr w:rsidR="002B61A7" w14:paraId="51D5FAC5" w14:textId="77777777" w:rsidTr="0015446E">
        <w:trPr>
          <w:trHeight w:val="289"/>
          <w:jc w:val="center"/>
        </w:trPr>
        <w:tc>
          <w:tcPr>
            <w:tcW w:w="1471" w:type="dxa"/>
          </w:tcPr>
          <w:p w14:paraId="3125E9F6" w14:textId="77777777" w:rsidR="002B61A7" w:rsidRDefault="002B61A7" w:rsidP="0015446E">
            <w:pPr>
              <w:pStyle w:val="NoSpacing"/>
              <w:jc w:val="center"/>
            </w:pPr>
            <w:r>
              <w:t>Care plan completed</w:t>
            </w:r>
          </w:p>
        </w:tc>
        <w:tc>
          <w:tcPr>
            <w:tcW w:w="1327" w:type="dxa"/>
            <w:tcBorders>
              <w:bottom w:val="single" w:sz="4" w:space="0" w:color="auto"/>
              <w:right w:val="nil"/>
            </w:tcBorders>
          </w:tcPr>
          <w:p w14:paraId="168D5ADD" w14:textId="77777777" w:rsidR="002B61A7" w:rsidRDefault="002B61A7" w:rsidP="0015446E">
            <w:pPr>
              <w:pStyle w:val="NoSpacing"/>
              <w:jc w:val="center"/>
            </w:pPr>
            <w:r>
              <w:t>493/543</w:t>
            </w:r>
          </w:p>
          <w:p w14:paraId="47E37CC1" w14:textId="77777777" w:rsidR="002B61A7" w:rsidRDefault="002B61A7" w:rsidP="0015446E">
            <w:pPr>
              <w:pStyle w:val="NoSpacing"/>
              <w:jc w:val="center"/>
            </w:pPr>
            <w:r>
              <w:t>(90.8)</w:t>
            </w:r>
          </w:p>
        </w:tc>
        <w:tc>
          <w:tcPr>
            <w:tcW w:w="1297" w:type="dxa"/>
            <w:tcBorders>
              <w:left w:val="nil"/>
              <w:bottom w:val="single" w:sz="4" w:space="0" w:color="auto"/>
              <w:right w:val="nil"/>
            </w:tcBorders>
          </w:tcPr>
          <w:p w14:paraId="7D35DD9A" w14:textId="77777777" w:rsidR="002B61A7" w:rsidRDefault="002B61A7" w:rsidP="0015446E">
            <w:pPr>
              <w:pStyle w:val="NoSpacing"/>
              <w:jc w:val="center"/>
            </w:pPr>
            <w:r>
              <w:t>2952/3251</w:t>
            </w:r>
          </w:p>
          <w:p w14:paraId="16834B3E" w14:textId="77777777" w:rsidR="002B61A7" w:rsidRDefault="002B61A7" w:rsidP="0015446E">
            <w:pPr>
              <w:pStyle w:val="NoSpacing"/>
              <w:jc w:val="center"/>
            </w:pPr>
            <w:r>
              <w:t>(90.8)</w:t>
            </w:r>
          </w:p>
        </w:tc>
        <w:tc>
          <w:tcPr>
            <w:tcW w:w="1429" w:type="dxa"/>
            <w:tcBorders>
              <w:left w:val="nil"/>
              <w:bottom w:val="single" w:sz="4" w:space="0" w:color="auto"/>
              <w:right w:val="nil"/>
            </w:tcBorders>
          </w:tcPr>
          <w:p w14:paraId="45EA4B63" w14:textId="77777777" w:rsidR="002B61A7" w:rsidRDefault="002B61A7" w:rsidP="0015446E">
            <w:pPr>
              <w:pStyle w:val="NoSpacing"/>
              <w:jc w:val="center"/>
            </w:pPr>
            <w:r>
              <w:t>1.00</w:t>
            </w:r>
          </w:p>
          <w:p w14:paraId="485AE1D7" w14:textId="77777777" w:rsidR="002B61A7" w:rsidRDefault="002B61A7" w:rsidP="0015446E">
            <w:pPr>
              <w:pStyle w:val="NoSpacing"/>
              <w:jc w:val="center"/>
            </w:pPr>
            <w:r>
              <w:t>(0.73 to 1.37)</w:t>
            </w:r>
          </w:p>
        </w:tc>
        <w:tc>
          <w:tcPr>
            <w:tcW w:w="850" w:type="dxa"/>
            <w:tcBorders>
              <w:left w:val="nil"/>
              <w:bottom w:val="single" w:sz="4" w:space="0" w:color="auto"/>
              <w:right w:val="nil"/>
            </w:tcBorders>
          </w:tcPr>
          <w:p w14:paraId="6196DCE1" w14:textId="77777777" w:rsidR="002B61A7" w:rsidRDefault="002B61A7" w:rsidP="0015446E">
            <w:pPr>
              <w:pStyle w:val="NoSpacing"/>
              <w:jc w:val="center"/>
            </w:pPr>
            <w:r>
              <w:t>0.993</w:t>
            </w:r>
          </w:p>
        </w:tc>
        <w:tc>
          <w:tcPr>
            <w:tcW w:w="1559" w:type="dxa"/>
            <w:tcBorders>
              <w:left w:val="nil"/>
              <w:bottom w:val="single" w:sz="4" w:space="0" w:color="auto"/>
              <w:right w:val="nil"/>
            </w:tcBorders>
          </w:tcPr>
          <w:p w14:paraId="73A49387" w14:textId="77777777" w:rsidR="002B61A7" w:rsidRDefault="002B61A7" w:rsidP="0015446E">
            <w:pPr>
              <w:pStyle w:val="NoSpacing"/>
              <w:jc w:val="center"/>
            </w:pPr>
            <w:r>
              <w:t>1.29</w:t>
            </w:r>
          </w:p>
          <w:p w14:paraId="0BBCA28C" w14:textId="77777777" w:rsidR="002B61A7" w:rsidRDefault="002B61A7" w:rsidP="0015446E">
            <w:pPr>
              <w:pStyle w:val="NoSpacing"/>
              <w:jc w:val="center"/>
            </w:pPr>
            <w:r>
              <w:t>(0.91 to 1.67)</w:t>
            </w:r>
          </w:p>
        </w:tc>
        <w:tc>
          <w:tcPr>
            <w:tcW w:w="1083" w:type="dxa"/>
            <w:tcBorders>
              <w:left w:val="nil"/>
              <w:bottom w:val="single" w:sz="4" w:space="0" w:color="auto"/>
            </w:tcBorders>
          </w:tcPr>
          <w:p w14:paraId="5EB49C1D" w14:textId="77777777" w:rsidR="002B61A7" w:rsidRDefault="002B61A7" w:rsidP="0015446E">
            <w:pPr>
              <w:pStyle w:val="NoSpacing"/>
              <w:jc w:val="center"/>
            </w:pPr>
            <w:r>
              <w:t>0.133</w:t>
            </w:r>
          </w:p>
        </w:tc>
      </w:tr>
      <w:tr w:rsidR="002B61A7" w14:paraId="3C60F78B" w14:textId="77777777" w:rsidTr="0015446E">
        <w:trPr>
          <w:trHeight w:val="276"/>
          <w:jc w:val="center"/>
        </w:trPr>
        <w:tc>
          <w:tcPr>
            <w:tcW w:w="1471" w:type="dxa"/>
          </w:tcPr>
          <w:p w14:paraId="19024989" w14:textId="77777777" w:rsidR="002B61A7" w:rsidRDefault="002B61A7" w:rsidP="0015446E">
            <w:pPr>
              <w:pStyle w:val="NoSpacing"/>
              <w:jc w:val="center"/>
            </w:pPr>
            <w:r>
              <w:t>Care plan developed jointly</w:t>
            </w:r>
          </w:p>
        </w:tc>
        <w:tc>
          <w:tcPr>
            <w:tcW w:w="1327" w:type="dxa"/>
            <w:tcBorders>
              <w:bottom w:val="single" w:sz="4" w:space="0" w:color="auto"/>
              <w:right w:val="nil"/>
            </w:tcBorders>
          </w:tcPr>
          <w:p w14:paraId="07CBCAD0" w14:textId="77777777" w:rsidR="002B61A7" w:rsidRDefault="002B61A7" w:rsidP="0015446E">
            <w:pPr>
              <w:pStyle w:val="NoSpacing"/>
              <w:jc w:val="center"/>
            </w:pPr>
            <w:r>
              <w:t>389/493</w:t>
            </w:r>
          </w:p>
          <w:p w14:paraId="30305053" w14:textId="77777777" w:rsidR="002B61A7" w:rsidRDefault="002B61A7" w:rsidP="0015446E">
            <w:pPr>
              <w:pStyle w:val="NoSpacing"/>
              <w:jc w:val="center"/>
            </w:pPr>
            <w:r>
              <w:t>(78.9)</w:t>
            </w:r>
          </w:p>
        </w:tc>
        <w:tc>
          <w:tcPr>
            <w:tcW w:w="1297" w:type="dxa"/>
            <w:tcBorders>
              <w:left w:val="nil"/>
              <w:bottom w:val="single" w:sz="4" w:space="0" w:color="auto"/>
              <w:right w:val="nil"/>
            </w:tcBorders>
          </w:tcPr>
          <w:p w14:paraId="488653EC" w14:textId="77777777" w:rsidR="002B61A7" w:rsidRDefault="002B61A7" w:rsidP="0015446E">
            <w:pPr>
              <w:pStyle w:val="NoSpacing"/>
              <w:jc w:val="center"/>
            </w:pPr>
            <w:r>
              <w:t>2437/2952</w:t>
            </w:r>
          </w:p>
          <w:p w14:paraId="644E616B" w14:textId="77777777" w:rsidR="002B61A7" w:rsidRDefault="002B61A7" w:rsidP="0015446E">
            <w:pPr>
              <w:pStyle w:val="NoSpacing"/>
              <w:jc w:val="center"/>
            </w:pPr>
            <w:r>
              <w:t>(82.6)</w:t>
            </w:r>
          </w:p>
        </w:tc>
        <w:tc>
          <w:tcPr>
            <w:tcW w:w="1429" w:type="dxa"/>
            <w:tcBorders>
              <w:left w:val="nil"/>
              <w:bottom w:val="single" w:sz="4" w:space="0" w:color="auto"/>
              <w:right w:val="nil"/>
            </w:tcBorders>
          </w:tcPr>
          <w:p w14:paraId="2DFC3A29" w14:textId="77777777" w:rsidR="002B61A7" w:rsidRDefault="002B61A7" w:rsidP="0015446E">
            <w:pPr>
              <w:pStyle w:val="NoSpacing"/>
              <w:jc w:val="center"/>
            </w:pPr>
            <w:r>
              <w:t>0.79</w:t>
            </w:r>
          </w:p>
          <w:p w14:paraId="40500D23" w14:textId="77777777" w:rsidR="002B61A7" w:rsidRDefault="002B61A7" w:rsidP="0015446E">
            <w:pPr>
              <w:pStyle w:val="NoSpacing"/>
              <w:jc w:val="center"/>
            </w:pPr>
            <w:r>
              <w:t>(0.62 to 1.00)</w:t>
            </w:r>
          </w:p>
        </w:tc>
        <w:tc>
          <w:tcPr>
            <w:tcW w:w="850" w:type="dxa"/>
            <w:tcBorders>
              <w:left w:val="nil"/>
              <w:bottom w:val="single" w:sz="4" w:space="0" w:color="auto"/>
              <w:right w:val="nil"/>
            </w:tcBorders>
          </w:tcPr>
          <w:p w14:paraId="5A14D42D" w14:textId="77777777" w:rsidR="002B61A7" w:rsidRDefault="002B61A7" w:rsidP="0015446E">
            <w:pPr>
              <w:pStyle w:val="NoSpacing"/>
              <w:jc w:val="center"/>
            </w:pPr>
            <w:r>
              <w:t>0.051</w:t>
            </w:r>
          </w:p>
        </w:tc>
        <w:tc>
          <w:tcPr>
            <w:tcW w:w="1559" w:type="dxa"/>
            <w:tcBorders>
              <w:left w:val="nil"/>
              <w:bottom w:val="single" w:sz="4" w:space="0" w:color="auto"/>
              <w:right w:val="nil"/>
            </w:tcBorders>
          </w:tcPr>
          <w:p w14:paraId="6C1CA1BB" w14:textId="77777777" w:rsidR="002B61A7" w:rsidRDefault="002B61A7" w:rsidP="0015446E">
            <w:pPr>
              <w:pStyle w:val="NoSpacing"/>
              <w:jc w:val="center"/>
            </w:pPr>
            <w:r>
              <w:t>0.76</w:t>
            </w:r>
          </w:p>
          <w:p w14:paraId="2175658B" w14:textId="77777777" w:rsidR="002B61A7" w:rsidRDefault="002B61A7" w:rsidP="0015446E">
            <w:pPr>
              <w:pStyle w:val="NoSpacing"/>
              <w:jc w:val="center"/>
            </w:pPr>
            <w:r>
              <w:t>(0.55 to 0.93)</w:t>
            </w:r>
          </w:p>
        </w:tc>
        <w:tc>
          <w:tcPr>
            <w:tcW w:w="1083" w:type="dxa"/>
            <w:tcBorders>
              <w:left w:val="nil"/>
              <w:bottom w:val="single" w:sz="4" w:space="0" w:color="auto"/>
            </w:tcBorders>
          </w:tcPr>
          <w:p w14:paraId="2FC53A79" w14:textId="77777777" w:rsidR="002B61A7" w:rsidRDefault="002B61A7" w:rsidP="0015446E">
            <w:pPr>
              <w:pStyle w:val="NoSpacing"/>
              <w:jc w:val="center"/>
            </w:pPr>
            <w:r>
              <w:t>0.034</w:t>
            </w:r>
          </w:p>
        </w:tc>
      </w:tr>
      <w:tr w:rsidR="002B61A7" w14:paraId="7471DC9C" w14:textId="77777777" w:rsidTr="0015446E">
        <w:trPr>
          <w:trHeight w:val="276"/>
          <w:jc w:val="center"/>
        </w:trPr>
        <w:tc>
          <w:tcPr>
            <w:tcW w:w="1471" w:type="dxa"/>
          </w:tcPr>
          <w:p w14:paraId="6F056330" w14:textId="77777777" w:rsidR="002B61A7" w:rsidRDefault="002B61A7" w:rsidP="0015446E">
            <w:pPr>
              <w:pStyle w:val="NoSpacing"/>
              <w:jc w:val="center"/>
            </w:pPr>
            <w:r>
              <w:t>Patient received copy of care plan</w:t>
            </w:r>
          </w:p>
        </w:tc>
        <w:tc>
          <w:tcPr>
            <w:tcW w:w="1327" w:type="dxa"/>
            <w:tcBorders>
              <w:bottom w:val="single" w:sz="4" w:space="0" w:color="auto"/>
              <w:right w:val="nil"/>
            </w:tcBorders>
          </w:tcPr>
          <w:p w14:paraId="3CBB2485" w14:textId="77777777" w:rsidR="002B61A7" w:rsidRDefault="002B61A7" w:rsidP="0015446E">
            <w:pPr>
              <w:pStyle w:val="NoSpacing"/>
              <w:jc w:val="center"/>
            </w:pPr>
            <w:r>
              <w:t>277/493</w:t>
            </w:r>
          </w:p>
          <w:p w14:paraId="7274D45C" w14:textId="77777777" w:rsidR="002B61A7" w:rsidRDefault="002B61A7" w:rsidP="0015446E">
            <w:pPr>
              <w:pStyle w:val="NoSpacing"/>
              <w:jc w:val="center"/>
            </w:pPr>
            <w:r>
              <w:t>(56.2)</w:t>
            </w:r>
          </w:p>
        </w:tc>
        <w:tc>
          <w:tcPr>
            <w:tcW w:w="1297" w:type="dxa"/>
            <w:tcBorders>
              <w:left w:val="nil"/>
              <w:bottom w:val="single" w:sz="4" w:space="0" w:color="auto"/>
              <w:right w:val="nil"/>
            </w:tcBorders>
          </w:tcPr>
          <w:p w14:paraId="0703C9A8" w14:textId="77777777" w:rsidR="002B61A7" w:rsidRDefault="002B61A7" w:rsidP="0015446E">
            <w:pPr>
              <w:pStyle w:val="NoSpacing"/>
              <w:jc w:val="center"/>
            </w:pPr>
            <w:r>
              <w:t>1656/2952</w:t>
            </w:r>
          </w:p>
          <w:p w14:paraId="375BEBCD" w14:textId="77777777" w:rsidR="002B61A7" w:rsidRDefault="002B61A7" w:rsidP="0015446E">
            <w:pPr>
              <w:pStyle w:val="NoSpacing"/>
              <w:jc w:val="center"/>
            </w:pPr>
            <w:r>
              <w:t>(56.1)</w:t>
            </w:r>
          </w:p>
        </w:tc>
        <w:tc>
          <w:tcPr>
            <w:tcW w:w="1429" w:type="dxa"/>
            <w:tcBorders>
              <w:left w:val="nil"/>
              <w:bottom w:val="single" w:sz="4" w:space="0" w:color="auto"/>
              <w:right w:val="nil"/>
            </w:tcBorders>
          </w:tcPr>
          <w:p w14:paraId="5C71F309" w14:textId="77777777" w:rsidR="002B61A7" w:rsidRDefault="002B61A7" w:rsidP="0015446E">
            <w:pPr>
              <w:pStyle w:val="NoSpacing"/>
              <w:jc w:val="center"/>
            </w:pPr>
            <w:r>
              <w:t>1.00</w:t>
            </w:r>
          </w:p>
          <w:p w14:paraId="1A8578C3" w14:textId="77777777" w:rsidR="002B61A7" w:rsidRDefault="002B61A7" w:rsidP="0015446E">
            <w:pPr>
              <w:pStyle w:val="NoSpacing"/>
              <w:jc w:val="center"/>
            </w:pPr>
            <w:r>
              <w:t>(0.83 to 1.22)</w:t>
            </w:r>
          </w:p>
        </w:tc>
        <w:tc>
          <w:tcPr>
            <w:tcW w:w="850" w:type="dxa"/>
            <w:tcBorders>
              <w:left w:val="nil"/>
              <w:bottom w:val="single" w:sz="4" w:space="0" w:color="auto"/>
              <w:right w:val="nil"/>
            </w:tcBorders>
          </w:tcPr>
          <w:p w14:paraId="0D76982D" w14:textId="77777777" w:rsidR="002B61A7" w:rsidRDefault="002B61A7" w:rsidP="0015446E">
            <w:pPr>
              <w:pStyle w:val="NoSpacing"/>
              <w:jc w:val="center"/>
            </w:pPr>
            <w:r>
              <w:t>0.971</w:t>
            </w:r>
          </w:p>
        </w:tc>
        <w:tc>
          <w:tcPr>
            <w:tcW w:w="1559" w:type="dxa"/>
            <w:tcBorders>
              <w:left w:val="nil"/>
              <w:bottom w:val="single" w:sz="4" w:space="0" w:color="auto"/>
              <w:right w:val="nil"/>
            </w:tcBorders>
          </w:tcPr>
          <w:p w14:paraId="19B8A6D4" w14:textId="77777777" w:rsidR="002B61A7" w:rsidRDefault="002B61A7" w:rsidP="0015446E">
            <w:pPr>
              <w:pStyle w:val="NoSpacing"/>
              <w:jc w:val="center"/>
            </w:pPr>
            <w:r>
              <w:t>1.04</w:t>
            </w:r>
          </w:p>
          <w:p w14:paraId="5BE4DA7F" w14:textId="77777777" w:rsidR="002B61A7" w:rsidRDefault="002B61A7" w:rsidP="0015446E">
            <w:pPr>
              <w:pStyle w:val="NoSpacing"/>
              <w:jc w:val="center"/>
            </w:pPr>
            <w:r>
              <w:t>(0.83 to 1.30)</w:t>
            </w:r>
          </w:p>
        </w:tc>
        <w:tc>
          <w:tcPr>
            <w:tcW w:w="1083" w:type="dxa"/>
            <w:tcBorders>
              <w:left w:val="nil"/>
              <w:bottom w:val="single" w:sz="4" w:space="0" w:color="auto"/>
            </w:tcBorders>
          </w:tcPr>
          <w:p w14:paraId="759F1EEA" w14:textId="77777777" w:rsidR="002B61A7" w:rsidRDefault="002B61A7" w:rsidP="0015446E">
            <w:pPr>
              <w:pStyle w:val="NoSpacing"/>
              <w:jc w:val="center"/>
            </w:pPr>
            <w:r>
              <w:t>0.738</w:t>
            </w:r>
          </w:p>
        </w:tc>
      </w:tr>
      <w:tr w:rsidR="002B61A7" w14:paraId="53E89F61" w14:textId="77777777" w:rsidTr="0015446E">
        <w:trPr>
          <w:trHeight w:val="276"/>
          <w:jc w:val="center"/>
        </w:trPr>
        <w:tc>
          <w:tcPr>
            <w:tcW w:w="1471" w:type="dxa"/>
          </w:tcPr>
          <w:p w14:paraId="4F293233" w14:textId="77777777" w:rsidR="002B61A7" w:rsidRDefault="002B61A7" w:rsidP="0015446E">
            <w:pPr>
              <w:pStyle w:val="NoSpacing"/>
              <w:jc w:val="center"/>
            </w:pPr>
            <w:r>
              <w:t>Carer provided info re: support services available</w:t>
            </w:r>
          </w:p>
        </w:tc>
        <w:tc>
          <w:tcPr>
            <w:tcW w:w="1327" w:type="dxa"/>
            <w:tcBorders>
              <w:bottom w:val="single" w:sz="4" w:space="0" w:color="auto"/>
              <w:right w:val="nil"/>
            </w:tcBorders>
          </w:tcPr>
          <w:p w14:paraId="7A77AD29" w14:textId="77777777" w:rsidR="002B61A7" w:rsidRDefault="002B61A7" w:rsidP="0015446E">
            <w:pPr>
              <w:pStyle w:val="NoSpacing"/>
              <w:jc w:val="center"/>
            </w:pPr>
            <w:r>
              <w:t>155/279</w:t>
            </w:r>
          </w:p>
          <w:p w14:paraId="5C3AE78B" w14:textId="77777777" w:rsidR="002B61A7" w:rsidRDefault="002B61A7" w:rsidP="0015446E">
            <w:pPr>
              <w:pStyle w:val="NoSpacing"/>
              <w:jc w:val="center"/>
            </w:pPr>
            <w:r>
              <w:t>(55.6)</w:t>
            </w:r>
          </w:p>
        </w:tc>
        <w:tc>
          <w:tcPr>
            <w:tcW w:w="1297" w:type="dxa"/>
            <w:tcBorders>
              <w:left w:val="nil"/>
              <w:bottom w:val="single" w:sz="4" w:space="0" w:color="auto"/>
              <w:right w:val="nil"/>
            </w:tcBorders>
          </w:tcPr>
          <w:p w14:paraId="5AD19DD4" w14:textId="77777777" w:rsidR="002B61A7" w:rsidRDefault="002B61A7" w:rsidP="0015446E">
            <w:pPr>
              <w:pStyle w:val="NoSpacing"/>
              <w:jc w:val="center"/>
            </w:pPr>
            <w:r>
              <w:t>1303/2060</w:t>
            </w:r>
          </w:p>
          <w:p w14:paraId="36A0C228" w14:textId="77777777" w:rsidR="002B61A7" w:rsidRDefault="002B61A7" w:rsidP="0015446E">
            <w:pPr>
              <w:pStyle w:val="NoSpacing"/>
              <w:jc w:val="center"/>
            </w:pPr>
            <w:r>
              <w:t>(63.3)</w:t>
            </w:r>
          </w:p>
        </w:tc>
        <w:tc>
          <w:tcPr>
            <w:tcW w:w="1429" w:type="dxa"/>
            <w:tcBorders>
              <w:left w:val="nil"/>
              <w:bottom w:val="single" w:sz="4" w:space="0" w:color="auto"/>
              <w:right w:val="nil"/>
            </w:tcBorders>
          </w:tcPr>
          <w:p w14:paraId="504540D6" w14:textId="77777777" w:rsidR="002B61A7" w:rsidRDefault="002B61A7" w:rsidP="0015446E">
            <w:pPr>
              <w:pStyle w:val="NoSpacing"/>
              <w:jc w:val="center"/>
            </w:pPr>
            <w:r>
              <w:t>0.73</w:t>
            </w:r>
          </w:p>
          <w:p w14:paraId="0BD53673" w14:textId="77777777" w:rsidR="002B61A7" w:rsidRDefault="002B61A7" w:rsidP="0015446E">
            <w:pPr>
              <w:pStyle w:val="NoSpacing"/>
              <w:jc w:val="center"/>
            </w:pPr>
            <w:r>
              <w:t>(0.56 to 0.93)</w:t>
            </w:r>
          </w:p>
        </w:tc>
        <w:tc>
          <w:tcPr>
            <w:tcW w:w="850" w:type="dxa"/>
            <w:tcBorders>
              <w:left w:val="nil"/>
              <w:bottom w:val="single" w:sz="4" w:space="0" w:color="auto"/>
              <w:right w:val="nil"/>
            </w:tcBorders>
          </w:tcPr>
          <w:p w14:paraId="0D96920D" w14:textId="77777777" w:rsidR="002B61A7" w:rsidRDefault="002B61A7" w:rsidP="0015446E">
            <w:pPr>
              <w:pStyle w:val="NoSpacing"/>
              <w:jc w:val="center"/>
            </w:pPr>
            <w:r>
              <w:t>0.013</w:t>
            </w:r>
          </w:p>
        </w:tc>
        <w:tc>
          <w:tcPr>
            <w:tcW w:w="1559" w:type="dxa"/>
            <w:tcBorders>
              <w:left w:val="nil"/>
              <w:bottom w:val="single" w:sz="4" w:space="0" w:color="auto"/>
              <w:right w:val="nil"/>
            </w:tcBorders>
          </w:tcPr>
          <w:p w14:paraId="646DC002" w14:textId="77777777" w:rsidR="002B61A7" w:rsidRDefault="002B61A7" w:rsidP="0015446E">
            <w:pPr>
              <w:pStyle w:val="NoSpacing"/>
              <w:jc w:val="center"/>
            </w:pPr>
            <w:r>
              <w:t>0.79</w:t>
            </w:r>
          </w:p>
          <w:p w14:paraId="616BEAE9" w14:textId="77777777" w:rsidR="002B61A7" w:rsidRDefault="002B61A7" w:rsidP="0015446E">
            <w:pPr>
              <w:pStyle w:val="NoSpacing"/>
              <w:jc w:val="center"/>
            </w:pPr>
            <w:r>
              <w:t>(0.57 to 0.98)</w:t>
            </w:r>
          </w:p>
        </w:tc>
        <w:tc>
          <w:tcPr>
            <w:tcW w:w="1083" w:type="dxa"/>
            <w:tcBorders>
              <w:left w:val="nil"/>
              <w:bottom w:val="single" w:sz="4" w:space="0" w:color="auto"/>
            </w:tcBorders>
          </w:tcPr>
          <w:p w14:paraId="041FD2DA" w14:textId="77777777" w:rsidR="002B61A7" w:rsidRDefault="002B61A7" w:rsidP="0015446E">
            <w:pPr>
              <w:pStyle w:val="NoSpacing"/>
              <w:jc w:val="center"/>
            </w:pPr>
            <w:r>
              <w:t>0.047</w:t>
            </w:r>
          </w:p>
        </w:tc>
      </w:tr>
      <w:tr w:rsidR="002B61A7" w14:paraId="6DA811F1" w14:textId="77777777" w:rsidTr="0015446E">
        <w:trPr>
          <w:trHeight w:val="276"/>
          <w:jc w:val="center"/>
        </w:trPr>
        <w:tc>
          <w:tcPr>
            <w:tcW w:w="1471" w:type="dxa"/>
          </w:tcPr>
          <w:p w14:paraId="1E373032" w14:textId="77777777" w:rsidR="002B61A7" w:rsidRDefault="002B61A7" w:rsidP="0015446E">
            <w:pPr>
              <w:pStyle w:val="NoSpacing"/>
              <w:jc w:val="center"/>
            </w:pPr>
            <w:r>
              <w:t>Carer offered care needs assessment</w:t>
            </w:r>
          </w:p>
        </w:tc>
        <w:tc>
          <w:tcPr>
            <w:tcW w:w="1327" w:type="dxa"/>
            <w:tcBorders>
              <w:bottom w:val="single" w:sz="4" w:space="0" w:color="auto"/>
              <w:right w:val="nil"/>
            </w:tcBorders>
          </w:tcPr>
          <w:p w14:paraId="4640AD7A" w14:textId="77777777" w:rsidR="002B61A7" w:rsidRDefault="002B61A7" w:rsidP="0015446E">
            <w:pPr>
              <w:pStyle w:val="NoSpacing"/>
              <w:jc w:val="center"/>
            </w:pPr>
            <w:r>
              <w:t>71/279</w:t>
            </w:r>
          </w:p>
          <w:p w14:paraId="3A4C0DD1" w14:textId="77777777" w:rsidR="002B61A7" w:rsidRDefault="002B61A7" w:rsidP="0015446E">
            <w:pPr>
              <w:pStyle w:val="NoSpacing"/>
              <w:jc w:val="center"/>
            </w:pPr>
            <w:r>
              <w:t>(25.4)</w:t>
            </w:r>
          </w:p>
        </w:tc>
        <w:tc>
          <w:tcPr>
            <w:tcW w:w="1297" w:type="dxa"/>
            <w:tcBorders>
              <w:left w:val="nil"/>
              <w:bottom w:val="single" w:sz="4" w:space="0" w:color="auto"/>
              <w:right w:val="nil"/>
            </w:tcBorders>
          </w:tcPr>
          <w:p w14:paraId="12BAE55E" w14:textId="77777777" w:rsidR="002B61A7" w:rsidRDefault="002B61A7" w:rsidP="0015446E">
            <w:pPr>
              <w:pStyle w:val="NoSpacing"/>
              <w:jc w:val="center"/>
            </w:pPr>
            <w:r>
              <w:t>508/2060</w:t>
            </w:r>
          </w:p>
          <w:p w14:paraId="26FE03D8" w14:textId="77777777" w:rsidR="002B61A7" w:rsidRDefault="002B61A7" w:rsidP="0015446E">
            <w:pPr>
              <w:pStyle w:val="NoSpacing"/>
              <w:jc w:val="center"/>
            </w:pPr>
            <w:r>
              <w:t>(24.7)</w:t>
            </w:r>
          </w:p>
        </w:tc>
        <w:tc>
          <w:tcPr>
            <w:tcW w:w="1429" w:type="dxa"/>
            <w:tcBorders>
              <w:left w:val="nil"/>
              <w:bottom w:val="single" w:sz="4" w:space="0" w:color="auto"/>
              <w:right w:val="nil"/>
            </w:tcBorders>
          </w:tcPr>
          <w:p w14:paraId="79E62DE3" w14:textId="77777777" w:rsidR="002B61A7" w:rsidRDefault="002B61A7" w:rsidP="0015446E">
            <w:pPr>
              <w:pStyle w:val="NoSpacing"/>
              <w:jc w:val="center"/>
            </w:pPr>
            <w:r>
              <w:t>1.04</w:t>
            </w:r>
          </w:p>
          <w:p w14:paraId="0E7B550E" w14:textId="77777777" w:rsidR="002B61A7" w:rsidRDefault="002B61A7" w:rsidP="0015446E">
            <w:pPr>
              <w:pStyle w:val="NoSpacing"/>
              <w:jc w:val="center"/>
            </w:pPr>
            <w:r>
              <w:t>(0.78 to 1.39)</w:t>
            </w:r>
          </w:p>
        </w:tc>
        <w:tc>
          <w:tcPr>
            <w:tcW w:w="850" w:type="dxa"/>
            <w:tcBorders>
              <w:left w:val="nil"/>
              <w:bottom w:val="single" w:sz="4" w:space="0" w:color="auto"/>
              <w:right w:val="nil"/>
            </w:tcBorders>
          </w:tcPr>
          <w:p w14:paraId="2C7AA9AB" w14:textId="77777777" w:rsidR="002B61A7" w:rsidRDefault="002B61A7" w:rsidP="0015446E">
            <w:pPr>
              <w:pStyle w:val="NoSpacing"/>
              <w:jc w:val="center"/>
            </w:pPr>
            <w:r>
              <w:t>0.775</w:t>
            </w:r>
          </w:p>
        </w:tc>
        <w:tc>
          <w:tcPr>
            <w:tcW w:w="1559" w:type="dxa"/>
            <w:tcBorders>
              <w:left w:val="nil"/>
              <w:bottom w:val="single" w:sz="4" w:space="0" w:color="auto"/>
              <w:right w:val="nil"/>
            </w:tcBorders>
          </w:tcPr>
          <w:p w14:paraId="78CBC5B5" w14:textId="77777777" w:rsidR="002B61A7" w:rsidRDefault="002B61A7" w:rsidP="0015446E">
            <w:pPr>
              <w:pStyle w:val="NoSpacing"/>
              <w:jc w:val="center"/>
            </w:pPr>
            <w:r>
              <w:t>1.15</w:t>
            </w:r>
          </w:p>
          <w:p w14:paraId="3C6CA09F" w14:textId="77777777" w:rsidR="002B61A7" w:rsidRDefault="002B61A7" w:rsidP="0015446E">
            <w:pPr>
              <w:pStyle w:val="NoSpacing"/>
              <w:jc w:val="center"/>
            </w:pPr>
            <w:r>
              <w:t>(0.86 to 1.47)</w:t>
            </w:r>
          </w:p>
        </w:tc>
        <w:tc>
          <w:tcPr>
            <w:tcW w:w="1083" w:type="dxa"/>
            <w:tcBorders>
              <w:left w:val="nil"/>
              <w:bottom w:val="single" w:sz="4" w:space="0" w:color="auto"/>
            </w:tcBorders>
          </w:tcPr>
          <w:p w14:paraId="2E5AD4F2" w14:textId="77777777" w:rsidR="002B61A7" w:rsidRDefault="002B61A7" w:rsidP="0015446E">
            <w:pPr>
              <w:pStyle w:val="NoSpacing"/>
              <w:jc w:val="center"/>
            </w:pPr>
            <w:r>
              <w:t>0.288</w:t>
            </w:r>
          </w:p>
        </w:tc>
      </w:tr>
      <w:tr w:rsidR="002B61A7" w14:paraId="6987FEC3" w14:textId="77777777" w:rsidTr="0015446E">
        <w:trPr>
          <w:trHeight w:val="276"/>
          <w:jc w:val="center"/>
        </w:trPr>
        <w:tc>
          <w:tcPr>
            <w:tcW w:w="1471" w:type="dxa"/>
          </w:tcPr>
          <w:p w14:paraId="63C53612" w14:textId="77777777" w:rsidR="002B61A7" w:rsidRDefault="002B61A7" w:rsidP="0015446E">
            <w:pPr>
              <w:pStyle w:val="NoSpacing"/>
              <w:jc w:val="center"/>
            </w:pPr>
            <w:r>
              <w:t>Crisis plan in place at discharge</w:t>
            </w:r>
          </w:p>
        </w:tc>
        <w:tc>
          <w:tcPr>
            <w:tcW w:w="1327" w:type="dxa"/>
            <w:tcBorders>
              <w:bottom w:val="single" w:sz="4" w:space="0" w:color="auto"/>
              <w:right w:val="nil"/>
            </w:tcBorders>
          </w:tcPr>
          <w:p w14:paraId="1FB8438E" w14:textId="77777777" w:rsidR="002B61A7" w:rsidRDefault="002B61A7" w:rsidP="0015446E">
            <w:pPr>
              <w:pStyle w:val="NoSpacing"/>
              <w:jc w:val="center"/>
            </w:pPr>
            <w:r>
              <w:t>336/502</w:t>
            </w:r>
          </w:p>
          <w:p w14:paraId="7B047174" w14:textId="77777777" w:rsidR="002B61A7" w:rsidRDefault="002B61A7" w:rsidP="0015446E">
            <w:pPr>
              <w:pStyle w:val="NoSpacing"/>
              <w:jc w:val="center"/>
            </w:pPr>
            <w:r>
              <w:t>(66.9)</w:t>
            </w:r>
          </w:p>
        </w:tc>
        <w:tc>
          <w:tcPr>
            <w:tcW w:w="1297" w:type="dxa"/>
            <w:tcBorders>
              <w:left w:val="nil"/>
              <w:bottom w:val="single" w:sz="4" w:space="0" w:color="auto"/>
              <w:right w:val="nil"/>
            </w:tcBorders>
          </w:tcPr>
          <w:p w14:paraId="74816B4B" w14:textId="77777777" w:rsidR="002B61A7" w:rsidRDefault="002B61A7" w:rsidP="0015446E">
            <w:pPr>
              <w:pStyle w:val="NoSpacing"/>
              <w:jc w:val="center"/>
            </w:pPr>
            <w:r>
              <w:t>2091/2798</w:t>
            </w:r>
          </w:p>
          <w:p w14:paraId="23FE1BB3" w14:textId="77777777" w:rsidR="002B61A7" w:rsidRDefault="002B61A7" w:rsidP="0015446E">
            <w:pPr>
              <w:pStyle w:val="NoSpacing"/>
              <w:jc w:val="center"/>
            </w:pPr>
            <w:r>
              <w:t>(74.7)</w:t>
            </w:r>
          </w:p>
        </w:tc>
        <w:tc>
          <w:tcPr>
            <w:tcW w:w="1429" w:type="dxa"/>
            <w:tcBorders>
              <w:left w:val="nil"/>
              <w:bottom w:val="single" w:sz="4" w:space="0" w:color="auto"/>
              <w:right w:val="nil"/>
            </w:tcBorders>
          </w:tcPr>
          <w:p w14:paraId="66797AD1" w14:textId="77777777" w:rsidR="002B61A7" w:rsidRDefault="002B61A7" w:rsidP="0015446E">
            <w:pPr>
              <w:pStyle w:val="NoSpacing"/>
              <w:jc w:val="center"/>
            </w:pPr>
            <w:r>
              <w:t>0.83</w:t>
            </w:r>
          </w:p>
          <w:p w14:paraId="5D698721" w14:textId="77777777" w:rsidR="002B61A7" w:rsidRDefault="002B61A7" w:rsidP="0015446E">
            <w:pPr>
              <w:pStyle w:val="NoSpacing"/>
              <w:jc w:val="center"/>
            </w:pPr>
            <w:r>
              <w:t>(0.67 to 1.03)</w:t>
            </w:r>
          </w:p>
        </w:tc>
        <w:tc>
          <w:tcPr>
            <w:tcW w:w="850" w:type="dxa"/>
            <w:tcBorders>
              <w:left w:val="nil"/>
              <w:bottom w:val="single" w:sz="4" w:space="0" w:color="auto"/>
              <w:right w:val="nil"/>
            </w:tcBorders>
          </w:tcPr>
          <w:p w14:paraId="3471E9B6" w14:textId="77777777" w:rsidR="002B61A7" w:rsidRDefault="002B61A7" w:rsidP="0015446E">
            <w:pPr>
              <w:pStyle w:val="NoSpacing"/>
              <w:jc w:val="center"/>
            </w:pPr>
            <w:r>
              <w:t>0.058</w:t>
            </w:r>
          </w:p>
        </w:tc>
        <w:tc>
          <w:tcPr>
            <w:tcW w:w="1559" w:type="dxa"/>
            <w:tcBorders>
              <w:left w:val="nil"/>
              <w:bottom w:val="single" w:sz="4" w:space="0" w:color="auto"/>
              <w:right w:val="nil"/>
            </w:tcBorders>
          </w:tcPr>
          <w:p w14:paraId="111FB41A" w14:textId="77777777" w:rsidR="002B61A7" w:rsidRDefault="002B61A7" w:rsidP="0015446E">
            <w:pPr>
              <w:pStyle w:val="NoSpacing"/>
              <w:jc w:val="center"/>
            </w:pPr>
            <w:r>
              <w:t>0.85</w:t>
            </w:r>
          </w:p>
          <w:p w14:paraId="084CF9C7" w14:textId="77777777" w:rsidR="002B61A7" w:rsidRDefault="002B61A7" w:rsidP="0015446E">
            <w:pPr>
              <w:pStyle w:val="NoSpacing"/>
              <w:jc w:val="center"/>
            </w:pPr>
            <w:r>
              <w:t>(0.74 to 0.98)</w:t>
            </w:r>
          </w:p>
        </w:tc>
        <w:tc>
          <w:tcPr>
            <w:tcW w:w="1083" w:type="dxa"/>
            <w:tcBorders>
              <w:left w:val="nil"/>
              <w:bottom w:val="single" w:sz="4" w:space="0" w:color="auto"/>
            </w:tcBorders>
          </w:tcPr>
          <w:p w14:paraId="0C1700D7" w14:textId="77777777" w:rsidR="002B61A7" w:rsidRDefault="002B61A7" w:rsidP="0015446E">
            <w:pPr>
              <w:pStyle w:val="NoSpacing"/>
              <w:jc w:val="center"/>
            </w:pPr>
            <w:r>
              <w:t>0.044</w:t>
            </w:r>
          </w:p>
        </w:tc>
      </w:tr>
      <w:tr w:rsidR="002B61A7" w14:paraId="6EC12023" w14:textId="77777777" w:rsidTr="0015446E">
        <w:trPr>
          <w:trHeight w:val="276"/>
          <w:jc w:val="center"/>
        </w:trPr>
        <w:tc>
          <w:tcPr>
            <w:tcW w:w="1471" w:type="dxa"/>
            <w:shd w:val="clear" w:color="auto" w:fill="auto"/>
          </w:tcPr>
          <w:p w14:paraId="214563B2" w14:textId="77777777" w:rsidR="002B61A7" w:rsidRDefault="002B61A7" w:rsidP="0015446E">
            <w:pPr>
              <w:pStyle w:val="NoSpacing"/>
              <w:jc w:val="center"/>
            </w:pPr>
            <w:r>
              <w:t>Prescribed medication at discharge?</w:t>
            </w:r>
          </w:p>
        </w:tc>
        <w:tc>
          <w:tcPr>
            <w:tcW w:w="1327" w:type="dxa"/>
            <w:tcBorders>
              <w:bottom w:val="single" w:sz="4" w:space="0" w:color="auto"/>
              <w:right w:val="nil"/>
            </w:tcBorders>
            <w:shd w:val="clear" w:color="auto" w:fill="auto"/>
          </w:tcPr>
          <w:p w14:paraId="7E0E69DE" w14:textId="77777777" w:rsidR="002B61A7" w:rsidRDefault="002B61A7" w:rsidP="0015446E">
            <w:pPr>
              <w:pStyle w:val="NoSpacing"/>
              <w:jc w:val="center"/>
            </w:pPr>
            <w:r>
              <w:t>465/543</w:t>
            </w:r>
          </w:p>
          <w:p w14:paraId="0A00716C" w14:textId="77777777" w:rsidR="002B61A7" w:rsidRDefault="002B61A7" w:rsidP="0015446E">
            <w:pPr>
              <w:pStyle w:val="NoSpacing"/>
              <w:jc w:val="center"/>
            </w:pPr>
            <w:r>
              <w:t>(85.6)</w:t>
            </w:r>
          </w:p>
        </w:tc>
        <w:tc>
          <w:tcPr>
            <w:tcW w:w="1297" w:type="dxa"/>
            <w:tcBorders>
              <w:left w:val="nil"/>
              <w:bottom w:val="single" w:sz="4" w:space="0" w:color="auto"/>
              <w:right w:val="nil"/>
            </w:tcBorders>
            <w:shd w:val="clear" w:color="auto" w:fill="auto"/>
          </w:tcPr>
          <w:p w14:paraId="4E0BF4CE" w14:textId="77777777" w:rsidR="002B61A7" w:rsidRDefault="002B61A7" w:rsidP="0015446E">
            <w:pPr>
              <w:pStyle w:val="NoSpacing"/>
              <w:jc w:val="center"/>
            </w:pPr>
            <w:r>
              <w:t>2852/3252</w:t>
            </w:r>
          </w:p>
          <w:p w14:paraId="3BBB61FF" w14:textId="77777777" w:rsidR="002B61A7" w:rsidRDefault="002B61A7" w:rsidP="0015446E">
            <w:pPr>
              <w:pStyle w:val="NoSpacing"/>
              <w:jc w:val="center"/>
            </w:pPr>
            <w:r>
              <w:t>(87.7)</w:t>
            </w:r>
          </w:p>
        </w:tc>
        <w:tc>
          <w:tcPr>
            <w:tcW w:w="1429" w:type="dxa"/>
            <w:tcBorders>
              <w:left w:val="nil"/>
              <w:bottom w:val="single" w:sz="4" w:space="0" w:color="auto"/>
              <w:right w:val="nil"/>
            </w:tcBorders>
            <w:shd w:val="clear" w:color="auto" w:fill="auto"/>
          </w:tcPr>
          <w:p w14:paraId="1EAB4157" w14:textId="77777777" w:rsidR="002B61A7" w:rsidRDefault="002B61A7" w:rsidP="0015446E">
            <w:pPr>
              <w:pStyle w:val="NoSpacing"/>
              <w:jc w:val="center"/>
            </w:pPr>
            <w:r>
              <w:t>0.84</w:t>
            </w:r>
          </w:p>
          <w:p w14:paraId="2AF667F2" w14:textId="77777777" w:rsidR="002B61A7" w:rsidRDefault="002B61A7" w:rsidP="0015446E">
            <w:pPr>
              <w:pStyle w:val="NoSpacing"/>
              <w:jc w:val="center"/>
            </w:pPr>
            <w:r>
              <w:t>(0.64 to 1.09)</w:t>
            </w:r>
          </w:p>
        </w:tc>
        <w:tc>
          <w:tcPr>
            <w:tcW w:w="850" w:type="dxa"/>
            <w:tcBorders>
              <w:left w:val="nil"/>
              <w:bottom w:val="single" w:sz="4" w:space="0" w:color="auto"/>
              <w:right w:val="nil"/>
            </w:tcBorders>
          </w:tcPr>
          <w:p w14:paraId="49FE7160" w14:textId="77777777" w:rsidR="002B61A7" w:rsidRDefault="002B61A7" w:rsidP="0015446E">
            <w:pPr>
              <w:pStyle w:val="NoSpacing"/>
              <w:jc w:val="center"/>
            </w:pPr>
            <w:r>
              <w:t>0.180</w:t>
            </w:r>
          </w:p>
        </w:tc>
        <w:tc>
          <w:tcPr>
            <w:tcW w:w="1559" w:type="dxa"/>
            <w:tcBorders>
              <w:left w:val="nil"/>
              <w:bottom w:val="single" w:sz="4" w:space="0" w:color="auto"/>
              <w:right w:val="nil"/>
            </w:tcBorders>
            <w:shd w:val="clear" w:color="auto" w:fill="auto"/>
          </w:tcPr>
          <w:p w14:paraId="41504E23" w14:textId="77777777" w:rsidR="002B61A7" w:rsidRDefault="002B61A7" w:rsidP="0015446E">
            <w:pPr>
              <w:pStyle w:val="NoSpacing"/>
              <w:jc w:val="center"/>
            </w:pPr>
            <w:r>
              <w:t>0.94</w:t>
            </w:r>
          </w:p>
          <w:p w14:paraId="40D25B86" w14:textId="77777777" w:rsidR="002B61A7" w:rsidRDefault="002B61A7" w:rsidP="0015446E">
            <w:pPr>
              <w:pStyle w:val="NoSpacing"/>
              <w:jc w:val="center"/>
            </w:pPr>
            <w:r>
              <w:t>(0.71 to 1.20)</w:t>
            </w:r>
          </w:p>
        </w:tc>
        <w:tc>
          <w:tcPr>
            <w:tcW w:w="1083" w:type="dxa"/>
            <w:tcBorders>
              <w:left w:val="nil"/>
              <w:bottom w:val="single" w:sz="4" w:space="0" w:color="auto"/>
            </w:tcBorders>
          </w:tcPr>
          <w:p w14:paraId="610DF01B" w14:textId="77777777" w:rsidR="002B61A7" w:rsidRDefault="002B61A7" w:rsidP="0015446E">
            <w:pPr>
              <w:pStyle w:val="NoSpacing"/>
              <w:jc w:val="center"/>
            </w:pPr>
            <w:r>
              <w:t>0.516</w:t>
            </w:r>
          </w:p>
        </w:tc>
      </w:tr>
      <w:tr w:rsidR="002B61A7" w14:paraId="60ECCBFC" w14:textId="77777777" w:rsidTr="0015446E">
        <w:trPr>
          <w:trHeight w:val="276"/>
          <w:jc w:val="center"/>
        </w:trPr>
        <w:tc>
          <w:tcPr>
            <w:tcW w:w="1471" w:type="dxa"/>
          </w:tcPr>
          <w:p w14:paraId="01FAC0E0" w14:textId="77777777" w:rsidR="002B61A7" w:rsidRDefault="002B61A7" w:rsidP="0015446E">
            <w:pPr>
              <w:pStyle w:val="NoSpacing"/>
              <w:jc w:val="center"/>
            </w:pPr>
            <w:r>
              <w:t>Medication reviewed during admission?</w:t>
            </w:r>
          </w:p>
        </w:tc>
        <w:tc>
          <w:tcPr>
            <w:tcW w:w="1327" w:type="dxa"/>
            <w:tcBorders>
              <w:bottom w:val="single" w:sz="4" w:space="0" w:color="auto"/>
              <w:right w:val="nil"/>
            </w:tcBorders>
          </w:tcPr>
          <w:p w14:paraId="0BC6030E" w14:textId="77777777" w:rsidR="002B61A7" w:rsidRDefault="002B61A7" w:rsidP="0015446E">
            <w:pPr>
              <w:pStyle w:val="NoSpacing"/>
              <w:jc w:val="center"/>
            </w:pPr>
            <w:r>
              <w:t>390/464</w:t>
            </w:r>
          </w:p>
          <w:p w14:paraId="466FF3F9" w14:textId="77777777" w:rsidR="002B61A7" w:rsidRDefault="002B61A7" w:rsidP="0015446E">
            <w:pPr>
              <w:pStyle w:val="NoSpacing"/>
              <w:jc w:val="center"/>
            </w:pPr>
            <w:r>
              <w:t>(84.1)</w:t>
            </w:r>
          </w:p>
        </w:tc>
        <w:tc>
          <w:tcPr>
            <w:tcW w:w="1297" w:type="dxa"/>
            <w:tcBorders>
              <w:left w:val="nil"/>
              <w:bottom w:val="single" w:sz="4" w:space="0" w:color="auto"/>
              <w:right w:val="nil"/>
            </w:tcBorders>
          </w:tcPr>
          <w:p w14:paraId="4FEF77A8" w14:textId="77777777" w:rsidR="002B61A7" w:rsidRDefault="002B61A7" w:rsidP="0015446E">
            <w:pPr>
              <w:pStyle w:val="NoSpacing"/>
              <w:jc w:val="center"/>
            </w:pPr>
            <w:r>
              <w:t>2471/2821</w:t>
            </w:r>
          </w:p>
          <w:p w14:paraId="30CE3B47" w14:textId="77777777" w:rsidR="002B61A7" w:rsidRDefault="002B61A7" w:rsidP="0015446E">
            <w:pPr>
              <w:pStyle w:val="NoSpacing"/>
              <w:jc w:val="center"/>
            </w:pPr>
            <w:r>
              <w:t>(87.6)</w:t>
            </w:r>
          </w:p>
        </w:tc>
        <w:tc>
          <w:tcPr>
            <w:tcW w:w="1429" w:type="dxa"/>
            <w:tcBorders>
              <w:left w:val="nil"/>
              <w:bottom w:val="single" w:sz="4" w:space="0" w:color="auto"/>
              <w:right w:val="nil"/>
            </w:tcBorders>
          </w:tcPr>
          <w:p w14:paraId="72C4E510" w14:textId="77777777" w:rsidR="002B61A7" w:rsidRDefault="002B61A7" w:rsidP="0015446E">
            <w:pPr>
              <w:pStyle w:val="NoSpacing"/>
              <w:jc w:val="center"/>
            </w:pPr>
            <w:r>
              <w:t>0.75</w:t>
            </w:r>
          </w:p>
          <w:p w14:paraId="06948197" w14:textId="77777777" w:rsidR="002B61A7" w:rsidRDefault="002B61A7" w:rsidP="0015446E">
            <w:pPr>
              <w:pStyle w:val="NoSpacing"/>
              <w:jc w:val="center"/>
            </w:pPr>
            <w:r>
              <w:t>(0.57 to 0.98)</w:t>
            </w:r>
          </w:p>
        </w:tc>
        <w:tc>
          <w:tcPr>
            <w:tcW w:w="850" w:type="dxa"/>
            <w:tcBorders>
              <w:left w:val="nil"/>
              <w:bottom w:val="single" w:sz="4" w:space="0" w:color="auto"/>
              <w:right w:val="nil"/>
            </w:tcBorders>
          </w:tcPr>
          <w:p w14:paraId="0A3C2B31" w14:textId="77777777" w:rsidR="002B61A7" w:rsidRDefault="002B61A7" w:rsidP="0015446E">
            <w:pPr>
              <w:pStyle w:val="NoSpacing"/>
              <w:jc w:val="center"/>
            </w:pPr>
            <w:r>
              <w:t>0.035</w:t>
            </w:r>
          </w:p>
        </w:tc>
        <w:tc>
          <w:tcPr>
            <w:tcW w:w="1559" w:type="dxa"/>
            <w:tcBorders>
              <w:left w:val="nil"/>
              <w:bottom w:val="single" w:sz="4" w:space="0" w:color="auto"/>
              <w:right w:val="nil"/>
            </w:tcBorders>
          </w:tcPr>
          <w:p w14:paraId="4151A628" w14:textId="77777777" w:rsidR="002B61A7" w:rsidRDefault="002B61A7" w:rsidP="0015446E">
            <w:pPr>
              <w:pStyle w:val="NoSpacing"/>
              <w:jc w:val="center"/>
            </w:pPr>
            <w:r>
              <w:t>0.83</w:t>
            </w:r>
          </w:p>
          <w:p w14:paraId="74601E93" w14:textId="77777777" w:rsidR="002B61A7" w:rsidRDefault="002B61A7" w:rsidP="0015446E">
            <w:pPr>
              <w:pStyle w:val="NoSpacing"/>
              <w:jc w:val="center"/>
            </w:pPr>
            <w:r>
              <w:t>(0.69 to 0.94)</w:t>
            </w:r>
          </w:p>
        </w:tc>
        <w:tc>
          <w:tcPr>
            <w:tcW w:w="1083" w:type="dxa"/>
            <w:tcBorders>
              <w:left w:val="nil"/>
              <w:bottom w:val="single" w:sz="4" w:space="0" w:color="auto"/>
            </w:tcBorders>
          </w:tcPr>
          <w:p w14:paraId="2681E9A3" w14:textId="77777777" w:rsidR="002B61A7" w:rsidRDefault="002B61A7" w:rsidP="0015446E">
            <w:pPr>
              <w:pStyle w:val="NoSpacing"/>
              <w:jc w:val="center"/>
            </w:pPr>
            <w:r>
              <w:t>0.030</w:t>
            </w:r>
          </w:p>
        </w:tc>
      </w:tr>
      <w:tr w:rsidR="002B61A7" w14:paraId="0A05B753" w14:textId="77777777" w:rsidTr="0015446E">
        <w:trPr>
          <w:trHeight w:val="276"/>
          <w:jc w:val="center"/>
        </w:trPr>
        <w:tc>
          <w:tcPr>
            <w:tcW w:w="1471" w:type="dxa"/>
          </w:tcPr>
          <w:p w14:paraId="775A5E1B" w14:textId="77777777" w:rsidR="002B61A7" w:rsidRDefault="002B61A7" w:rsidP="0015446E">
            <w:pPr>
              <w:pStyle w:val="NoSpacing"/>
              <w:jc w:val="center"/>
            </w:pPr>
            <w:r>
              <w:t>Patient given info re: medication?</w:t>
            </w:r>
          </w:p>
        </w:tc>
        <w:tc>
          <w:tcPr>
            <w:tcW w:w="1327" w:type="dxa"/>
            <w:tcBorders>
              <w:bottom w:val="single" w:sz="4" w:space="0" w:color="auto"/>
              <w:right w:val="nil"/>
            </w:tcBorders>
          </w:tcPr>
          <w:p w14:paraId="60D930A9" w14:textId="77777777" w:rsidR="002B61A7" w:rsidRDefault="002B61A7" w:rsidP="0015446E">
            <w:pPr>
              <w:pStyle w:val="NoSpacing"/>
              <w:jc w:val="center"/>
            </w:pPr>
            <w:r>
              <w:t>336/465</w:t>
            </w:r>
          </w:p>
          <w:p w14:paraId="072CB12B" w14:textId="77777777" w:rsidR="002B61A7" w:rsidRDefault="002B61A7" w:rsidP="0015446E">
            <w:pPr>
              <w:pStyle w:val="NoSpacing"/>
              <w:jc w:val="center"/>
            </w:pPr>
            <w:r>
              <w:t>(72.3)</w:t>
            </w:r>
          </w:p>
        </w:tc>
        <w:tc>
          <w:tcPr>
            <w:tcW w:w="1297" w:type="dxa"/>
            <w:tcBorders>
              <w:left w:val="nil"/>
              <w:bottom w:val="single" w:sz="4" w:space="0" w:color="auto"/>
              <w:right w:val="nil"/>
            </w:tcBorders>
          </w:tcPr>
          <w:p w14:paraId="58957611" w14:textId="77777777" w:rsidR="002B61A7" w:rsidRDefault="002B61A7" w:rsidP="0015446E">
            <w:pPr>
              <w:pStyle w:val="NoSpacing"/>
              <w:jc w:val="center"/>
            </w:pPr>
            <w:r>
              <w:t>2080/2852</w:t>
            </w:r>
          </w:p>
          <w:p w14:paraId="78DF53E5" w14:textId="77777777" w:rsidR="002B61A7" w:rsidRDefault="002B61A7" w:rsidP="0015446E">
            <w:pPr>
              <w:pStyle w:val="NoSpacing"/>
              <w:jc w:val="center"/>
            </w:pPr>
            <w:r>
              <w:t>(72.9)</w:t>
            </w:r>
          </w:p>
        </w:tc>
        <w:tc>
          <w:tcPr>
            <w:tcW w:w="1429" w:type="dxa"/>
            <w:tcBorders>
              <w:left w:val="nil"/>
              <w:bottom w:val="single" w:sz="4" w:space="0" w:color="auto"/>
              <w:right w:val="nil"/>
            </w:tcBorders>
          </w:tcPr>
          <w:p w14:paraId="2AA283B6" w14:textId="77777777" w:rsidR="002B61A7" w:rsidRDefault="002B61A7" w:rsidP="0015446E">
            <w:pPr>
              <w:pStyle w:val="NoSpacing"/>
              <w:jc w:val="center"/>
            </w:pPr>
            <w:r>
              <w:t xml:space="preserve">0.97 </w:t>
            </w:r>
          </w:p>
          <w:p w14:paraId="37A398FC" w14:textId="77777777" w:rsidR="002B61A7" w:rsidRDefault="002B61A7" w:rsidP="0015446E">
            <w:pPr>
              <w:pStyle w:val="NoSpacing"/>
              <w:jc w:val="center"/>
            </w:pPr>
            <w:r>
              <w:t>(0.78 to 1.20)</w:t>
            </w:r>
          </w:p>
        </w:tc>
        <w:tc>
          <w:tcPr>
            <w:tcW w:w="850" w:type="dxa"/>
            <w:tcBorders>
              <w:left w:val="nil"/>
              <w:bottom w:val="single" w:sz="4" w:space="0" w:color="auto"/>
              <w:right w:val="nil"/>
            </w:tcBorders>
          </w:tcPr>
          <w:p w14:paraId="1A30DA69" w14:textId="77777777" w:rsidR="002B61A7" w:rsidRDefault="002B61A7" w:rsidP="0015446E">
            <w:pPr>
              <w:pStyle w:val="NoSpacing"/>
              <w:jc w:val="center"/>
            </w:pPr>
            <w:r>
              <w:t>0.762</w:t>
            </w:r>
          </w:p>
        </w:tc>
        <w:tc>
          <w:tcPr>
            <w:tcW w:w="1559" w:type="dxa"/>
            <w:tcBorders>
              <w:left w:val="nil"/>
              <w:bottom w:val="single" w:sz="4" w:space="0" w:color="auto"/>
              <w:right w:val="nil"/>
            </w:tcBorders>
          </w:tcPr>
          <w:p w14:paraId="5F379FF8" w14:textId="77777777" w:rsidR="002B61A7" w:rsidRDefault="002B61A7" w:rsidP="0015446E">
            <w:pPr>
              <w:pStyle w:val="NoSpacing"/>
              <w:jc w:val="center"/>
            </w:pPr>
            <w:r>
              <w:t>1.09</w:t>
            </w:r>
          </w:p>
          <w:p w14:paraId="7400E547" w14:textId="77777777" w:rsidR="002B61A7" w:rsidRDefault="002B61A7" w:rsidP="0015446E">
            <w:pPr>
              <w:pStyle w:val="NoSpacing"/>
              <w:jc w:val="center"/>
            </w:pPr>
            <w:r>
              <w:t>(0.85 to 1.42)</w:t>
            </w:r>
          </w:p>
        </w:tc>
        <w:tc>
          <w:tcPr>
            <w:tcW w:w="1083" w:type="dxa"/>
            <w:tcBorders>
              <w:left w:val="nil"/>
              <w:bottom w:val="single" w:sz="4" w:space="0" w:color="auto"/>
            </w:tcBorders>
          </w:tcPr>
          <w:p w14:paraId="6168BC1E" w14:textId="77777777" w:rsidR="002B61A7" w:rsidRDefault="002B61A7" w:rsidP="0015446E">
            <w:pPr>
              <w:pStyle w:val="NoSpacing"/>
              <w:jc w:val="center"/>
            </w:pPr>
            <w:r>
              <w:t>0.483</w:t>
            </w:r>
          </w:p>
        </w:tc>
      </w:tr>
      <w:tr w:rsidR="002B61A7" w14:paraId="243C63A8" w14:textId="77777777" w:rsidTr="0015446E">
        <w:trPr>
          <w:trHeight w:val="276"/>
          <w:jc w:val="center"/>
        </w:trPr>
        <w:tc>
          <w:tcPr>
            <w:tcW w:w="1471" w:type="dxa"/>
          </w:tcPr>
          <w:p w14:paraId="18569843" w14:textId="792EFE51" w:rsidR="002B61A7" w:rsidRDefault="002B61A7" w:rsidP="0015446E">
            <w:pPr>
              <w:pStyle w:val="NoSpacing"/>
              <w:jc w:val="center"/>
            </w:pPr>
            <w:proofErr w:type="spellStart"/>
            <w:r>
              <w:t>TTA</w:t>
            </w:r>
            <w:r w:rsidR="0009349C">
              <w:rPr>
                <w:vertAlign w:val="superscript"/>
              </w:rPr>
              <w:t>c</w:t>
            </w:r>
            <w:proofErr w:type="spellEnd"/>
            <w:r>
              <w:t xml:space="preserve"> medication provided at discharge?</w:t>
            </w:r>
          </w:p>
        </w:tc>
        <w:tc>
          <w:tcPr>
            <w:tcW w:w="1327" w:type="dxa"/>
            <w:tcBorders>
              <w:bottom w:val="single" w:sz="4" w:space="0" w:color="auto"/>
              <w:right w:val="nil"/>
            </w:tcBorders>
          </w:tcPr>
          <w:p w14:paraId="4D1C0327" w14:textId="77777777" w:rsidR="002B61A7" w:rsidRDefault="002B61A7" w:rsidP="0015446E">
            <w:pPr>
              <w:pStyle w:val="NoSpacing"/>
              <w:jc w:val="center"/>
            </w:pPr>
            <w:r>
              <w:t>377/457</w:t>
            </w:r>
          </w:p>
          <w:p w14:paraId="46B1CD94" w14:textId="77777777" w:rsidR="002B61A7" w:rsidRDefault="002B61A7" w:rsidP="0015446E">
            <w:pPr>
              <w:pStyle w:val="NoSpacing"/>
              <w:jc w:val="center"/>
            </w:pPr>
            <w:r>
              <w:t>(82.5)</w:t>
            </w:r>
          </w:p>
        </w:tc>
        <w:tc>
          <w:tcPr>
            <w:tcW w:w="1297" w:type="dxa"/>
            <w:tcBorders>
              <w:left w:val="nil"/>
              <w:bottom w:val="single" w:sz="4" w:space="0" w:color="auto"/>
              <w:right w:val="nil"/>
            </w:tcBorders>
          </w:tcPr>
          <w:p w14:paraId="2E287B83" w14:textId="77777777" w:rsidR="002B61A7" w:rsidRDefault="002B61A7" w:rsidP="0015446E">
            <w:pPr>
              <w:pStyle w:val="NoSpacing"/>
              <w:jc w:val="center"/>
            </w:pPr>
            <w:r>
              <w:t>2170/2554</w:t>
            </w:r>
          </w:p>
          <w:p w14:paraId="621714C6" w14:textId="77777777" w:rsidR="002B61A7" w:rsidRDefault="002B61A7" w:rsidP="0015446E">
            <w:pPr>
              <w:pStyle w:val="NoSpacing"/>
              <w:jc w:val="center"/>
            </w:pPr>
            <w:r>
              <w:t>(85.0)</w:t>
            </w:r>
          </w:p>
        </w:tc>
        <w:tc>
          <w:tcPr>
            <w:tcW w:w="1429" w:type="dxa"/>
            <w:tcBorders>
              <w:left w:val="nil"/>
              <w:bottom w:val="single" w:sz="4" w:space="0" w:color="auto"/>
              <w:right w:val="nil"/>
            </w:tcBorders>
          </w:tcPr>
          <w:p w14:paraId="2A84D502" w14:textId="77777777" w:rsidR="002B61A7" w:rsidRDefault="002B61A7" w:rsidP="0015446E">
            <w:pPr>
              <w:pStyle w:val="NoSpacing"/>
              <w:jc w:val="center"/>
            </w:pPr>
            <w:r>
              <w:t>0.83</w:t>
            </w:r>
          </w:p>
          <w:p w14:paraId="44EC88D7" w14:textId="77777777" w:rsidR="002B61A7" w:rsidRDefault="002B61A7" w:rsidP="0015446E">
            <w:pPr>
              <w:pStyle w:val="NoSpacing"/>
              <w:jc w:val="center"/>
            </w:pPr>
            <w:r>
              <w:t>(0.64 to 1.09)</w:t>
            </w:r>
          </w:p>
        </w:tc>
        <w:tc>
          <w:tcPr>
            <w:tcW w:w="850" w:type="dxa"/>
            <w:tcBorders>
              <w:left w:val="nil"/>
              <w:bottom w:val="single" w:sz="4" w:space="0" w:color="auto"/>
              <w:right w:val="nil"/>
            </w:tcBorders>
          </w:tcPr>
          <w:p w14:paraId="414A7526" w14:textId="77777777" w:rsidR="002B61A7" w:rsidRDefault="002B61A7" w:rsidP="0015446E">
            <w:pPr>
              <w:pStyle w:val="NoSpacing"/>
              <w:jc w:val="center"/>
            </w:pPr>
            <w:r>
              <w:t>0.178</w:t>
            </w:r>
          </w:p>
        </w:tc>
        <w:tc>
          <w:tcPr>
            <w:tcW w:w="1559" w:type="dxa"/>
            <w:tcBorders>
              <w:left w:val="nil"/>
              <w:bottom w:val="single" w:sz="4" w:space="0" w:color="auto"/>
              <w:right w:val="nil"/>
            </w:tcBorders>
          </w:tcPr>
          <w:p w14:paraId="607D12DC" w14:textId="77777777" w:rsidR="002B61A7" w:rsidRDefault="002B61A7" w:rsidP="0015446E">
            <w:pPr>
              <w:pStyle w:val="NoSpacing"/>
              <w:jc w:val="center"/>
            </w:pPr>
            <w:r>
              <w:t>0.96</w:t>
            </w:r>
          </w:p>
          <w:p w14:paraId="39497CE1" w14:textId="77777777" w:rsidR="002B61A7" w:rsidRDefault="002B61A7" w:rsidP="0015446E">
            <w:pPr>
              <w:pStyle w:val="NoSpacing"/>
              <w:jc w:val="center"/>
            </w:pPr>
            <w:r>
              <w:t>(0.76 to 1.22)</w:t>
            </w:r>
          </w:p>
        </w:tc>
        <w:tc>
          <w:tcPr>
            <w:tcW w:w="1083" w:type="dxa"/>
            <w:tcBorders>
              <w:left w:val="nil"/>
              <w:bottom w:val="single" w:sz="4" w:space="0" w:color="auto"/>
            </w:tcBorders>
          </w:tcPr>
          <w:p w14:paraId="5348A059" w14:textId="77777777" w:rsidR="002B61A7" w:rsidRDefault="002B61A7" w:rsidP="0015446E">
            <w:pPr>
              <w:pStyle w:val="NoSpacing"/>
              <w:jc w:val="center"/>
            </w:pPr>
            <w:r>
              <w:t>0.824</w:t>
            </w:r>
          </w:p>
        </w:tc>
      </w:tr>
      <w:tr w:rsidR="002B61A7" w14:paraId="2CC48748" w14:textId="77777777" w:rsidTr="0015446E">
        <w:trPr>
          <w:trHeight w:val="276"/>
          <w:jc w:val="center"/>
        </w:trPr>
        <w:tc>
          <w:tcPr>
            <w:tcW w:w="1471" w:type="dxa"/>
          </w:tcPr>
          <w:p w14:paraId="3BC7D808" w14:textId="77777777" w:rsidR="002B61A7" w:rsidRDefault="002B61A7" w:rsidP="0015446E">
            <w:pPr>
              <w:pStyle w:val="NoSpacing"/>
              <w:jc w:val="center"/>
            </w:pPr>
            <w:r>
              <w:t>Medication reviewed after discharge?</w:t>
            </w:r>
          </w:p>
        </w:tc>
        <w:tc>
          <w:tcPr>
            <w:tcW w:w="1327" w:type="dxa"/>
            <w:tcBorders>
              <w:bottom w:val="single" w:sz="4" w:space="0" w:color="auto"/>
              <w:right w:val="nil"/>
            </w:tcBorders>
          </w:tcPr>
          <w:p w14:paraId="7CB786FD" w14:textId="77777777" w:rsidR="002B61A7" w:rsidRDefault="002B61A7" w:rsidP="0015446E">
            <w:pPr>
              <w:pStyle w:val="NoSpacing"/>
              <w:jc w:val="center"/>
            </w:pPr>
            <w:r>
              <w:t>231/281</w:t>
            </w:r>
          </w:p>
          <w:p w14:paraId="27C2A12E" w14:textId="77777777" w:rsidR="002B61A7" w:rsidRDefault="002B61A7" w:rsidP="0015446E">
            <w:pPr>
              <w:pStyle w:val="NoSpacing"/>
              <w:jc w:val="center"/>
            </w:pPr>
            <w:r>
              <w:t>(82.2)</w:t>
            </w:r>
          </w:p>
        </w:tc>
        <w:tc>
          <w:tcPr>
            <w:tcW w:w="1297" w:type="dxa"/>
            <w:tcBorders>
              <w:left w:val="nil"/>
              <w:bottom w:val="single" w:sz="4" w:space="0" w:color="auto"/>
              <w:right w:val="nil"/>
            </w:tcBorders>
          </w:tcPr>
          <w:p w14:paraId="70AE328E" w14:textId="77777777" w:rsidR="002B61A7" w:rsidRDefault="002B61A7" w:rsidP="0015446E">
            <w:pPr>
              <w:pStyle w:val="NoSpacing"/>
              <w:jc w:val="center"/>
            </w:pPr>
            <w:r>
              <w:t>1457/1670</w:t>
            </w:r>
          </w:p>
          <w:p w14:paraId="65D67169" w14:textId="77777777" w:rsidR="002B61A7" w:rsidRDefault="002B61A7" w:rsidP="0015446E">
            <w:pPr>
              <w:pStyle w:val="NoSpacing"/>
              <w:jc w:val="center"/>
            </w:pPr>
            <w:r>
              <w:t>(87.2)</w:t>
            </w:r>
          </w:p>
        </w:tc>
        <w:tc>
          <w:tcPr>
            <w:tcW w:w="1429" w:type="dxa"/>
            <w:tcBorders>
              <w:left w:val="nil"/>
              <w:bottom w:val="single" w:sz="4" w:space="0" w:color="auto"/>
              <w:right w:val="nil"/>
            </w:tcBorders>
          </w:tcPr>
          <w:p w14:paraId="6EC9C4D9" w14:textId="77777777" w:rsidR="002B61A7" w:rsidRDefault="002B61A7" w:rsidP="0015446E">
            <w:pPr>
              <w:pStyle w:val="NoSpacing"/>
              <w:jc w:val="center"/>
            </w:pPr>
            <w:r>
              <w:t>0.67</w:t>
            </w:r>
          </w:p>
          <w:p w14:paraId="4D91B4C3" w14:textId="77777777" w:rsidR="002B61A7" w:rsidRDefault="002B61A7" w:rsidP="0015446E">
            <w:pPr>
              <w:pStyle w:val="NoSpacing"/>
              <w:jc w:val="center"/>
            </w:pPr>
            <w:r>
              <w:t>(0.48 to 0.95)</w:t>
            </w:r>
          </w:p>
        </w:tc>
        <w:tc>
          <w:tcPr>
            <w:tcW w:w="850" w:type="dxa"/>
            <w:tcBorders>
              <w:left w:val="nil"/>
              <w:bottom w:val="single" w:sz="4" w:space="0" w:color="auto"/>
              <w:right w:val="nil"/>
            </w:tcBorders>
          </w:tcPr>
          <w:p w14:paraId="69D08776" w14:textId="77777777" w:rsidR="002B61A7" w:rsidRDefault="002B61A7" w:rsidP="0015446E">
            <w:pPr>
              <w:pStyle w:val="NoSpacing"/>
              <w:jc w:val="center"/>
            </w:pPr>
            <w:r>
              <w:t>0.022</w:t>
            </w:r>
          </w:p>
        </w:tc>
        <w:tc>
          <w:tcPr>
            <w:tcW w:w="1559" w:type="dxa"/>
            <w:tcBorders>
              <w:left w:val="nil"/>
              <w:bottom w:val="single" w:sz="4" w:space="0" w:color="auto"/>
              <w:right w:val="nil"/>
            </w:tcBorders>
          </w:tcPr>
          <w:p w14:paraId="7FE9A5E9" w14:textId="77777777" w:rsidR="002B61A7" w:rsidRDefault="002B61A7" w:rsidP="0015446E">
            <w:pPr>
              <w:pStyle w:val="NoSpacing"/>
              <w:jc w:val="center"/>
            </w:pPr>
            <w:r>
              <w:t>0.58</w:t>
            </w:r>
          </w:p>
          <w:p w14:paraId="418ED900" w14:textId="77777777" w:rsidR="002B61A7" w:rsidRDefault="002B61A7" w:rsidP="0015446E">
            <w:pPr>
              <w:pStyle w:val="NoSpacing"/>
              <w:jc w:val="center"/>
            </w:pPr>
            <w:r>
              <w:t>(0.39 to 0.86)</w:t>
            </w:r>
          </w:p>
        </w:tc>
        <w:tc>
          <w:tcPr>
            <w:tcW w:w="1083" w:type="dxa"/>
            <w:tcBorders>
              <w:left w:val="nil"/>
              <w:bottom w:val="single" w:sz="4" w:space="0" w:color="auto"/>
            </w:tcBorders>
          </w:tcPr>
          <w:p w14:paraId="2027AA7F" w14:textId="77777777" w:rsidR="002B61A7" w:rsidRDefault="002B61A7" w:rsidP="0015446E">
            <w:pPr>
              <w:pStyle w:val="NoSpacing"/>
              <w:jc w:val="center"/>
            </w:pPr>
            <w:r>
              <w:t>0.007</w:t>
            </w:r>
          </w:p>
        </w:tc>
      </w:tr>
      <w:tr w:rsidR="002B61A7" w14:paraId="461A0C4C" w14:textId="77777777" w:rsidTr="0015446E">
        <w:trPr>
          <w:trHeight w:val="276"/>
          <w:jc w:val="center"/>
        </w:trPr>
        <w:tc>
          <w:tcPr>
            <w:tcW w:w="1471" w:type="dxa"/>
          </w:tcPr>
          <w:p w14:paraId="0A869107" w14:textId="77777777" w:rsidR="002B61A7" w:rsidRDefault="002B61A7" w:rsidP="0015446E">
            <w:pPr>
              <w:pStyle w:val="NoSpacing"/>
              <w:jc w:val="center"/>
            </w:pPr>
            <w:r>
              <w:t>Referred to psychology?</w:t>
            </w:r>
          </w:p>
        </w:tc>
        <w:tc>
          <w:tcPr>
            <w:tcW w:w="1327" w:type="dxa"/>
            <w:tcBorders>
              <w:bottom w:val="single" w:sz="4" w:space="0" w:color="auto"/>
              <w:right w:val="nil"/>
            </w:tcBorders>
          </w:tcPr>
          <w:p w14:paraId="67767209" w14:textId="77777777" w:rsidR="002B61A7" w:rsidRDefault="002B61A7" w:rsidP="0015446E">
            <w:pPr>
              <w:pStyle w:val="NoSpacing"/>
              <w:jc w:val="center"/>
            </w:pPr>
            <w:r>
              <w:t>164/543</w:t>
            </w:r>
          </w:p>
          <w:p w14:paraId="4601C1D3" w14:textId="77777777" w:rsidR="002B61A7" w:rsidRDefault="002B61A7" w:rsidP="0015446E">
            <w:pPr>
              <w:pStyle w:val="NoSpacing"/>
              <w:jc w:val="center"/>
            </w:pPr>
            <w:r>
              <w:t>(30.2)</w:t>
            </w:r>
          </w:p>
        </w:tc>
        <w:tc>
          <w:tcPr>
            <w:tcW w:w="1297" w:type="dxa"/>
            <w:tcBorders>
              <w:left w:val="nil"/>
              <w:bottom w:val="single" w:sz="4" w:space="0" w:color="auto"/>
              <w:right w:val="nil"/>
            </w:tcBorders>
          </w:tcPr>
          <w:p w14:paraId="4C758D79" w14:textId="77777777" w:rsidR="002B61A7" w:rsidRDefault="002B61A7" w:rsidP="0015446E">
            <w:pPr>
              <w:pStyle w:val="NoSpacing"/>
              <w:jc w:val="center"/>
            </w:pPr>
            <w:r>
              <w:t>1209/3251</w:t>
            </w:r>
          </w:p>
          <w:p w14:paraId="54C14248" w14:textId="77777777" w:rsidR="002B61A7" w:rsidRDefault="002B61A7" w:rsidP="0015446E">
            <w:pPr>
              <w:pStyle w:val="NoSpacing"/>
              <w:jc w:val="center"/>
            </w:pPr>
            <w:r>
              <w:t>(37.2)</w:t>
            </w:r>
          </w:p>
        </w:tc>
        <w:tc>
          <w:tcPr>
            <w:tcW w:w="1429" w:type="dxa"/>
            <w:tcBorders>
              <w:left w:val="nil"/>
              <w:bottom w:val="single" w:sz="4" w:space="0" w:color="auto"/>
              <w:right w:val="nil"/>
            </w:tcBorders>
          </w:tcPr>
          <w:p w14:paraId="1518B081" w14:textId="77777777" w:rsidR="002B61A7" w:rsidRDefault="002B61A7" w:rsidP="0015446E">
            <w:pPr>
              <w:pStyle w:val="NoSpacing"/>
              <w:jc w:val="center"/>
            </w:pPr>
            <w:r>
              <w:t xml:space="preserve">0.73 </w:t>
            </w:r>
          </w:p>
          <w:p w14:paraId="6F38115D" w14:textId="77777777" w:rsidR="002B61A7" w:rsidRDefault="002B61A7" w:rsidP="0015446E">
            <w:pPr>
              <w:pStyle w:val="NoSpacing"/>
              <w:jc w:val="center"/>
            </w:pPr>
            <w:r>
              <w:t>(0.60 to 0.89)</w:t>
            </w:r>
          </w:p>
        </w:tc>
        <w:tc>
          <w:tcPr>
            <w:tcW w:w="850" w:type="dxa"/>
            <w:tcBorders>
              <w:left w:val="nil"/>
              <w:bottom w:val="single" w:sz="4" w:space="0" w:color="auto"/>
              <w:right w:val="nil"/>
            </w:tcBorders>
          </w:tcPr>
          <w:p w14:paraId="54FF0815" w14:textId="77777777" w:rsidR="002B61A7" w:rsidRDefault="002B61A7" w:rsidP="0015446E">
            <w:pPr>
              <w:pStyle w:val="NoSpacing"/>
              <w:jc w:val="center"/>
            </w:pPr>
            <w:r>
              <w:t>0.002</w:t>
            </w:r>
          </w:p>
        </w:tc>
        <w:tc>
          <w:tcPr>
            <w:tcW w:w="1559" w:type="dxa"/>
            <w:tcBorders>
              <w:left w:val="nil"/>
              <w:bottom w:val="single" w:sz="4" w:space="0" w:color="auto"/>
              <w:right w:val="nil"/>
            </w:tcBorders>
          </w:tcPr>
          <w:p w14:paraId="56E5EBAA" w14:textId="77777777" w:rsidR="002B61A7" w:rsidRDefault="002B61A7" w:rsidP="0015446E">
            <w:pPr>
              <w:pStyle w:val="NoSpacing"/>
              <w:jc w:val="center"/>
            </w:pPr>
            <w:r>
              <w:t>0.69</w:t>
            </w:r>
          </w:p>
          <w:p w14:paraId="4D8EB106" w14:textId="77777777" w:rsidR="002B61A7" w:rsidRDefault="002B61A7" w:rsidP="0015446E">
            <w:pPr>
              <w:pStyle w:val="NoSpacing"/>
              <w:jc w:val="center"/>
            </w:pPr>
            <w:r>
              <w:t>(0.55 to 0.87)</w:t>
            </w:r>
          </w:p>
        </w:tc>
        <w:tc>
          <w:tcPr>
            <w:tcW w:w="1083" w:type="dxa"/>
            <w:tcBorders>
              <w:left w:val="nil"/>
              <w:bottom w:val="single" w:sz="4" w:space="0" w:color="auto"/>
            </w:tcBorders>
          </w:tcPr>
          <w:p w14:paraId="762A0BF7" w14:textId="77777777" w:rsidR="002B61A7" w:rsidRDefault="002B61A7" w:rsidP="0015446E">
            <w:pPr>
              <w:pStyle w:val="NoSpacing"/>
              <w:jc w:val="center"/>
            </w:pPr>
            <w:r>
              <w:t>0.002</w:t>
            </w:r>
          </w:p>
        </w:tc>
      </w:tr>
      <w:tr w:rsidR="002B61A7" w14:paraId="7593FEDF" w14:textId="77777777" w:rsidTr="0015446E">
        <w:trPr>
          <w:trHeight w:val="276"/>
          <w:jc w:val="center"/>
        </w:trPr>
        <w:tc>
          <w:tcPr>
            <w:tcW w:w="1471" w:type="dxa"/>
          </w:tcPr>
          <w:p w14:paraId="7056AC54" w14:textId="77777777" w:rsidR="002B61A7" w:rsidRDefault="002B61A7" w:rsidP="0015446E">
            <w:pPr>
              <w:pStyle w:val="NoSpacing"/>
              <w:jc w:val="center"/>
            </w:pPr>
            <w:r>
              <w:lastRenderedPageBreak/>
              <w:t>Commenced psychology?</w:t>
            </w:r>
          </w:p>
        </w:tc>
        <w:tc>
          <w:tcPr>
            <w:tcW w:w="1327" w:type="dxa"/>
            <w:tcBorders>
              <w:bottom w:val="single" w:sz="4" w:space="0" w:color="auto"/>
              <w:right w:val="nil"/>
            </w:tcBorders>
          </w:tcPr>
          <w:p w14:paraId="481E01DC" w14:textId="77777777" w:rsidR="002B61A7" w:rsidRDefault="002B61A7" w:rsidP="0015446E">
            <w:pPr>
              <w:pStyle w:val="NoSpacing"/>
              <w:jc w:val="center"/>
            </w:pPr>
            <w:r>
              <w:t>77/140</w:t>
            </w:r>
          </w:p>
          <w:p w14:paraId="423A2BC4" w14:textId="77777777" w:rsidR="002B61A7" w:rsidRDefault="002B61A7" w:rsidP="0015446E">
            <w:pPr>
              <w:pStyle w:val="NoSpacing"/>
              <w:jc w:val="center"/>
            </w:pPr>
            <w:r>
              <w:t>(55.0)</w:t>
            </w:r>
          </w:p>
        </w:tc>
        <w:tc>
          <w:tcPr>
            <w:tcW w:w="1297" w:type="dxa"/>
            <w:tcBorders>
              <w:left w:val="nil"/>
              <w:bottom w:val="single" w:sz="4" w:space="0" w:color="auto"/>
              <w:right w:val="nil"/>
            </w:tcBorders>
          </w:tcPr>
          <w:p w14:paraId="4CADC5AF" w14:textId="77777777" w:rsidR="002B61A7" w:rsidRDefault="002B61A7" w:rsidP="0015446E">
            <w:pPr>
              <w:pStyle w:val="NoSpacing"/>
              <w:jc w:val="center"/>
            </w:pPr>
            <w:r>
              <w:t>695/1061</w:t>
            </w:r>
          </w:p>
          <w:p w14:paraId="4185AF5A" w14:textId="77777777" w:rsidR="002B61A7" w:rsidRDefault="002B61A7" w:rsidP="0015446E">
            <w:pPr>
              <w:pStyle w:val="NoSpacing"/>
              <w:jc w:val="center"/>
            </w:pPr>
            <w:r>
              <w:t>(65.5)</w:t>
            </w:r>
          </w:p>
        </w:tc>
        <w:tc>
          <w:tcPr>
            <w:tcW w:w="1429" w:type="dxa"/>
            <w:tcBorders>
              <w:left w:val="nil"/>
              <w:bottom w:val="single" w:sz="4" w:space="0" w:color="auto"/>
              <w:right w:val="nil"/>
            </w:tcBorders>
          </w:tcPr>
          <w:p w14:paraId="40A4F54C" w14:textId="77777777" w:rsidR="002B61A7" w:rsidRDefault="002B61A7" w:rsidP="0015446E">
            <w:pPr>
              <w:pStyle w:val="NoSpacing"/>
              <w:jc w:val="center"/>
            </w:pPr>
            <w:r>
              <w:t>0.64</w:t>
            </w:r>
          </w:p>
          <w:p w14:paraId="13634A24" w14:textId="77777777" w:rsidR="002B61A7" w:rsidRDefault="002B61A7" w:rsidP="0015446E">
            <w:pPr>
              <w:pStyle w:val="NoSpacing"/>
              <w:jc w:val="center"/>
            </w:pPr>
            <w:r>
              <w:t>(0.45 to 0.92)</w:t>
            </w:r>
          </w:p>
        </w:tc>
        <w:tc>
          <w:tcPr>
            <w:tcW w:w="850" w:type="dxa"/>
            <w:tcBorders>
              <w:left w:val="nil"/>
              <w:bottom w:val="single" w:sz="4" w:space="0" w:color="auto"/>
              <w:right w:val="nil"/>
            </w:tcBorders>
          </w:tcPr>
          <w:p w14:paraId="631FFF46" w14:textId="77777777" w:rsidR="002B61A7" w:rsidRDefault="002B61A7" w:rsidP="0015446E">
            <w:pPr>
              <w:pStyle w:val="NoSpacing"/>
              <w:jc w:val="center"/>
            </w:pPr>
            <w:r>
              <w:t>0.015</w:t>
            </w:r>
          </w:p>
        </w:tc>
        <w:tc>
          <w:tcPr>
            <w:tcW w:w="1559" w:type="dxa"/>
            <w:tcBorders>
              <w:left w:val="nil"/>
              <w:bottom w:val="single" w:sz="4" w:space="0" w:color="auto"/>
              <w:right w:val="nil"/>
            </w:tcBorders>
          </w:tcPr>
          <w:p w14:paraId="5D91031C" w14:textId="77777777" w:rsidR="002B61A7" w:rsidRDefault="002B61A7" w:rsidP="0015446E">
            <w:pPr>
              <w:pStyle w:val="NoSpacing"/>
              <w:jc w:val="center"/>
            </w:pPr>
            <w:r>
              <w:t>0.97</w:t>
            </w:r>
          </w:p>
          <w:p w14:paraId="1F312B7B" w14:textId="77777777" w:rsidR="002B61A7" w:rsidRDefault="002B61A7" w:rsidP="0015446E">
            <w:pPr>
              <w:pStyle w:val="NoSpacing"/>
              <w:jc w:val="center"/>
            </w:pPr>
            <w:r>
              <w:t>(0.69 to 1.45)</w:t>
            </w:r>
          </w:p>
        </w:tc>
        <w:tc>
          <w:tcPr>
            <w:tcW w:w="1083" w:type="dxa"/>
            <w:tcBorders>
              <w:left w:val="nil"/>
              <w:bottom w:val="single" w:sz="4" w:space="0" w:color="auto"/>
            </w:tcBorders>
          </w:tcPr>
          <w:p w14:paraId="3C5DCD26" w14:textId="77777777" w:rsidR="002B61A7" w:rsidRDefault="002B61A7" w:rsidP="0015446E">
            <w:pPr>
              <w:pStyle w:val="NoSpacing"/>
              <w:jc w:val="center"/>
            </w:pPr>
            <w:r>
              <w:t>0.578</w:t>
            </w:r>
          </w:p>
        </w:tc>
      </w:tr>
      <w:tr w:rsidR="002B61A7" w14:paraId="54D6E820" w14:textId="77777777" w:rsidTr="0015446E">
        <w:trPr>
          <w:trHeight w:val="276"/>
          <w:jc w:val="center"/>
        </w:trPr>
        <w:tc>
          <w:tcPr>
            <w:tcW w:w="1471" w:type="dxa"/>
          </w:tcPr>
          <w:p w14:paraId="49A5A992" w14:textId="77777777" w:rsidR="002B61A7" w:rsidRDefault="002B61A7" w:rsidP="0015446E">
            <w:pPr>
              <w:pStyle w:val="NoSpacing"/>
              <w:jc w:val="center"/>
            </w:pPr>
            <w:r>
              <w:t>Outcome measure completed</w:t>
            </w:r>
          </w:p>
        </w:tc>
        <w:tc>
          <w:tcPr>
            <w:tcW w:w="1327" w:type="dxa"/>
            <w:tcBorders>
              <w:bottom w:val="single" w:sz="4" w:space="0" w:color="auto"/>
              <w:right w:val="nil"/>
            </w:tcBorders>
          </w:tcPr>
          <w:p w14:paraId="736729EA" w14:textId="77777777" w:rsidR="002B61A7" w:rsidRDefault="002B61A7" w:rsidP="0015446E">
            <w:pPr>
              <w:pStyle w:val="NoSpacing"/>
              <w:jc w:val="center"/>
            </w:pPr>
            <w:r>
              <w:t>324/543</w:t>
            </w:r>
          </w:p>
          <w:p w14:paraId="57BFFB14" w14:textId="77777777" w:rsidR="002B61A7" w:rsidRDefault="002B61A7" w:rsidP="0015446E">
            <w:pPr>
              <w:pStyle w:val="NoSpacing"/>
              <w:jc w:val="center"/>
            </w:pPr>
            <w:r>
              <w:t>(59.7)</w:t>
            </w:r>
          </w:p>
        </w:tc>
        <w:tc>
          <w:tcPr>
            <w:tcW w:w="1297" w:type="dxa"/>
            <w:tcBorders>
              <w:left w:val="nil"/>
              <w:bottom w:val="single" w:sz="4" w:space="0" w:color="auto"/>
              <w:right w:val="nil"/>
            </w:tcBorders>
          </w:tcPr>
          <w:p w14:paraId="7B101EE1" w14:textId="77777777" w:rsidR="002B61A7" w:rsidRDefault="002B61A7" w:rsidP="0015446E">
            <w:pPr>
              <w:pStyle w:val="NoSpacing"/>
              <w:jc w:val="center"/>
            </w:pPr>
            <w:r>
              <w:t>1990/3252</w:t>
            </w:r>
          </w:p>
          <w:p w14:paraId="347D9E2B" w14:textId="77777777" w:rsidR="002B61A7" w:rsidRDefault="002B61A7" w:rsidP="0015446E">
            <w:pPr>
              <w:pStyle w:val="NoSpacing"/>
              <w:jc w:val="center"/>
            </w:pPr>
            <w:r>
              <w:t>(61.2)</w:t>
            </w:r>
          </w:p>
        </w:tc>
        <w:tc>
          <w:tcPr>
            <w:tcW w:w="1429" w:type="dxa"/>
            <w:tcBorders>
              <w:left w:val="nil"/>
              <w:bottom w:val="single" w:sz="4" w:space="0" w:color="auto"/>
              <w:right w:val="nil"/>
            </w:tcBorders>
          </w:tcPr>
          <w:p w14:paraId="522997FC" w14:textId="77777777" w:rsidR="002B61A7" w:rsidRDefault="002B61A7" w:rsidP="0015446E">
            <w:pPr>
              <w:pStyle w:val="NoSpacing"/>
              <w:jc w:val="center"/>
            </w:pPr>
            <w:r>
              <w:t>0.94</w:t>
            </w:r>
          </w:p>
          <w:p w14:paraId="20B87983" w14:textId="77777777" w:rsidR="002B61A7" w:rsidRDefault="002B61A7" w:rsidP="0015446E">
            <w:pPr>
              <w:pStyle w:val="NoSpacing"/>
              <w:jc w:val="center"/>
            </w:pPr>
            <w:r>
              <w:t>(0.78 to 1.13)</w:t>
            </w:r>
          </w:p>
        </w:tc>
        <w:tc>
          <w:tcPr>
            <w:tcW w:w="850" w:type="dxa"/>
            <w:tcBorders>
              <w:left w:val="nil"/>
              <w:bottom w:val="single" w:sz="4" w:space="0" w:color="auto"/>
              <w:right w:val="nil"/>
            </w:tcBorders>
          </w:tcPr>
          <w:p w14:paraId="601A5DB2" w14:textId="77777777" w:rsidR="002B61A7" w:rsidRDefault="002B61A7" w:rsidP="0015446E">
            <w:pPr>
              <w:pStyle w:val="NoSpacing"/>
              <w:jc w:val="center"/>
            </w:pPr>
            <w:r>
              <w:t>0.500</w:t>
            </w:r>
          </w:p>
        </w:tc>
        <w:tc>
          <w:tcPr>
            <w:tcW w:w="1559" w:type="dxa"/>
            <w:tcBorders>
              <w:left w:val="nil"/>
              <w:bottom w:val="single" w:sz="4" w:space="0" w:color="auto"/>
              <w:right w:val="nil"/>
            </w:tcBorders>
          </w:tcPr>
          <w:p w14:paraId="6E895DF6" w14:textId="77777777" w:rsidR="002B61A7" w:rsidRDefault="002B61A7" w:rsidP="0015446E">
            <w:pPr>
              <w:pStyle w:val="NoSpacing"/>
              <w:jc w:val="center"/>
            </w:pPr>
            <w:r>
              <w:t>1.05</w:t>
            </w:r>
          </w:p>
          <w:p w14:paraId="26E6A094" w14:textId="77777777" w:rsidR="002B61A7" w:rsidRDefault="002B61A7" w:rsidP="0015446E">
            <w:pPr>
              <w:pStyle w:val="NoSpacing"/>
              <w:jc w:val="center"/>
            </w:pPr>
            <w:r>
              <w:t>(0.85 to 1.31)</w:t>
            </w:r>
          </w:p>
        </w:tc>
        <w:tc>
          <w:tcPr>
            <w:tcW w:w="1083" w:type="dxa"/>
            <w:tcBorders>
              <w:left w:val="nil"/>
              <w:bottom w:val="single" w:sz="4" w:space="0" w:color="auto"/>
            </w:tcBorders>
          </w:tcPr>
          <w:p w14:paraId="78AB0B21" w14:textId="77777777" w:rsidR="002B61A7" w:rsidRDefault="002B61A7" w:rsidP="0015446E">
            <w:pPr>
              <w:pStyle w:val="NoSpacing"/>
              <w:jc w:val="center"/>
            </w:pPr>
            <w:r>
              <w:t>0.645</w:t>
            </w:r>
          </w:p>
        </w:tc>
      </w:tr>
      <w:tr w:rsidR="002B61A7" w14:paraId="640F34CB" w14:textId="77777777" w:rsidTr="0015446E">
        <w:trPr>
          <w:trHeight w:val="276"/>
          <w:jc w:val="center"/>
        </w:trPr>
        <w:tc>
          <w:tcPr>
            <w:tcW w:w="1471" w:type="dxa"/>
          </w:tcPr>
          <w:p w14:paraId="5393E645" w14:textId="77777777" w:rsidR="002B61A7" w:rsidRDefault="002B61A7" w:rsidP="0015446E">
            <w:pPr>
              <w:pStyle w:val="NoSpacing"/>
              <w:jc w:val="center"/>
            </w:pPr>
            <w:r>
              <w:t>Readmission within audit period</w:t>
            </w:r>
          </w:p>
        </w:tc>
        <w:tc>
          <w:tcPr>
            <w:tcW w:w="1327" w:type="dxa"/>
            <w:tcBorders>
              <w:bottom w:val="single" w:sz="4" w:space="0" w:color="auto"/>
              <w:right w:val="nil"/>
            </w:tcBorders>
          </w:tcPr>
          <w:p w14:paraId="6BF5CC51" w14:textId="77777777" w:rsidR="002B61A7" w:rsidRDefault="002B61A7" w:rsidP="0015446E">
            <w:pPr>
              <w:pStyle w:val="NoSpacing"/>
              <w:jc w:val="center"/>
            </w:pPr>
            <w:r>
              <w:t>63/502</w:t>
            </w:r>
          </w:p>
          <w:p w14:paraId="4FAC24CE" w14:textId="77777777" w:rsidR="002B61A7" w:rsidRDefault="002B61A7" w:rsidP="0015446E">
            <w:pPr>
              <w:pStyle w:val="NoSpacing"/>
              <w:jc w:val="center"/>
            </w:pPr>
            <w:r>
              <w:t>(12.5)</w:t>
            </w:r>
          </w:p>
        </w:tc>
        <w:tc>
          <w:tcPr>
            <w:tcW w:w="1297" w:type="dxa"/>
            <w:tcBorders>
              <w:left w:val="nil"/>
              <w:bottom w:val="single" w:sz="4" w:space="0" w:color="auto"/>
              <w:right w:val="nil"/>
            </w:tcBorders>
          </w:tcPr>
          <w:p w14:paraId="1A0CC389" w14:textId="77777777" w:rsidR="002B61A7" w:rsidRDefault="002B61A7" w:rsidP="0015446E">
            <w:pPr>
              <w:pStyle w:val="NoSpacing"/>
              <w:jc w:val="center"/>
            </w:pPr>
            <w:r>
              <w:t>349/2799</w:t>
            </w:r>
          </w:p>
          <w:p w14:paraId="76B62A4B" w14:textId="77777777" w:rsidR="002B61A7" w:rsidRDefault="002B61A7" w:rsidP="0015446E">
            <w:pPr>
              <w:pStyle w:val="NoSpacing"/>
              <w:jc w:val="center"/>
            </w:pPr>
            <w:r>
              <w:t>(12.5)</w:t>
            </w:r>
          </w:p>
        </w:tc>
        <w:tc>
          <w:tcPr>
            <w:tcW w:w="1429" w:type="dxa"/>
            <w:tcBorders>
              <w:left w:val="nil"/>
              <w:bottom w:val="single" w:sz="4" w:space="0" w:color="auto"/>
              <w:right w:val="nil"/>
            </w:tcBorders>
          </w:tcPr>
          <w:p w14:paraId="4581830C" w14:textId="77777777" w:rsidR="002B61A7" w:rsidRDefault="002B61A7" w:rsidP="0015446E">
            <w:pPr>
              <w:pStyle w:val="NoSpacing"/>
              <w:jc w:val="center"/>
            </w:pPr>
            <w:r>
              <w:t>1.01</w:t>
            </w:r>
          </w:p>
          <w:p w14:paraId="148D2A52" w14:textId="77777777" w:rsidR="002B61A7" w:rsidRDefault="002B61A7" w:rsidP="0015446E">
            <w:pPr>
              <w:pStyle w:val="NoSpacing"/>
              <w:jc w:val="center"/>
            </w:pPr>
            <w:r>
              <w:t>(0.76 to 1.34)</w:t>
            </w:r>
          </w:p>
        </w:tc>
        <w:tc>
          <w:tcPr>
            <w:tcW w:w="850" w:type="dxa"/>
            <w:tcBorders>
              <w:left w:val="nil"/>
              <w:bottom w:val="single" w:sz="4" w:space="0" w:color="auto"/>
              <w:right w:val="nil"/>
            </w:tcBorders>
          </w:tcPr>
          <w:p w14:paraId="069D3FCB" w14:textId="77777777" w:rsidR="002B61A7" w:rsidRDefault="002B61A7" w:rsidP="0015446E">
            <w:pPr>
              <w:pStyle w:val="NoSpacing"/>
              <w:jc w:val="center"/>
            </w:pPr>
            <w:r>
              <w:t>0.960</w:t>
            </w:r>
          </w:p>
        </w:tc>
        <w:tc>
          <w:tcPr>
            <w:tcW w:w="1559" w:type="dxa"/>
            <w:tcBorders>
              <w:left w:val="nil"/>
              <w:bottom w:val="single" w:sz="4" w:space="0" w:color="auto"/>
              <w:right w:val="nil"/>
            </w:tcBorders>
          </w:tcPr>
          <w:p w14:paraId="59A50478" w14:textId="77777777" w:rsidR="002B61A7" w:rsidRDefault="002B61A7" w:rsidP="0015446E">
            <w:pPr>
              <w:pStyle w:val="NoSpacing"/>
              <w:jc w:val="center"/>
            </w:pPr>
            <w:r>
              <w:t>0.83</w:t>
            </w:r>
          </w:p>
          <w:p w14:paraId="2AA95280" w14:textId="77777777" w:rsidR="002B61A7" w:rsidRDefault="002B61A7" w:rsidP="0015446E">
            <w:pPr>
              <w:pStyle w:val="NoSpacing"/>
              <w:jc w:val="center"/>
            </w:pPr>
            <w:r>
              <w:t>(0.58 to 1.17)</w:t>
            </w:r>
          </w:p>
        </w:tc>
        <w:tc>
          <w:tcPr>
            <w:tcW w:w="1083" w:type="dxa"/>
            <w:tcBorders>
              <w:left w:val="nil"/>
              <w:bottom w:val="single" w:sz="4" w:space="0" w:color="auto"/>
            </w:tcBorders>
          </w:tcPr>
          <w:p w14:paraId="3CCEC959" w14:textId="77777777" w:rsidR="002B61A7" w:rsidRDefault="002B61A7" w:rsidP="0015446E">
            <w:pPr>
              <w:pStyle w:val="NoSpacing"/>
              <w:jc w:val="center"/>
            </w:pPr>
            <w:r>
              <w:t>0.286</w:t>
            </w:r>
          </w:p>
        </w:tc>
      </w:tr>
      <w:tr w:rsidR="002B61A7" w14:paraId="2ED08742" w14:textId="77777777" w:rsidTr="0015446E">
        <w:trPr>
          <w:trHeight w:val="276"/>
          <w:jc w:val="center"/>
        </w:trPr>
        <w:tc>
          <w:tcPr>
            <w:tcW w:w="1471" w:type="dxa"/>
          </w:tcPr>
          <w:p w14:paraId="36694B4E" w14:textId="77777777" w:rsidR="002B61A7" w:rsidRDefault="002B61A7" w:rsidP="0015446E">
            <w:pPr>
              <w:pStyle w:val="NoSpacing"/>
              <w:jc w:val="center"/>
            </w:pPr>
            <w:r>
              <w:t>Patient given notice of discharge</w:t>
            </w:r>
          </w:p>
        </w:tc>
        <w:tc>
          <w:tcPr>
            <w:tcW w:w="1327" w:type="dxa"/>
            <w:tcBorders>
              <w:bottom w:val="single" w:sz="4" w:space="0" w:color="auto"/>
              <w:right w:val="nil"/>
            </w:tcBorders>
          </w:tcPr>
          <w:p w14:paraId="007AB6F9" w14:textId="77777777" w:rsidR="002B61A7" w:rsidRDefault="002B61A7" w:rsidP="0015446E">
            <w:pPr>
              <w:pStyle w:val="NoSpacing"/>
              <w:jc w:val="center"/>
            </w:pPr>
            <w:r>
              <w:t>354/502</w:t>
            </w:r>
          </w:p>
          <w:p w14:paraId="7ECA1471" w14:textId="77777777" w:rsidR="002B61A7" w:rsidRDefault="002B61A7" w:rsidP="0015446E">
            <w:pPr>
              <w:pStyle w:val="NoSpacing"/>
              <w:jc w:val="center"/>
            </w:pPr>
            <w:r>
              <w:t>(70.5)</w:t>
            </w:r>
          </w:p>
        </w:tc>
        <w:tc>
          <w:tcPr>
            <w:tcW w:w="1297" w:type="dxa"/>
            <w:tcBorders>
              <w:left w:val="nil"/>
              <w:bottom w:val="single" w:sz="4" w:space="0" w:color="auto"/>
              <w:right w:val="nil"/>
            </w:tcBorders>
          </w:tcPr>
          <w:p w14:paraId="297F36C7" w14:textId="77777777" w:rsidR="002B61A7" w:rsidRDefault="002B61A7" w:rsidP="0015446E">
            <w:pPr>
              <w:pStyle w:val="NoSpacing"/>
              <w:jc w:val="center"/>
            </w:pPr>
            <w:r>
              <w:t>2192/2799</w:t>
            </w:r>
          </w:p>
          <w:p w14:paraId="10653BC0" w14:textId="77777777" w:rsidR="002B61A7" w:rsidRDefault="002B61A7" w:rsidP="0015446E">
            <w:pPr>
              <w:pStyle w:val="NoSpacing"/>
              <w:jc w:val="center"/>
            </w:pPr>
            <w:r>
              <w:t>(78.3)</w:t>
            </w:r>
          </w:p>
        </w:tc>
        <w:tc>
          <w:tcPr>
            <w:tcW w:w="1429" w:type="dxa"/>
            <w:tcBorders>
              <w:left w:val="nil"/>
              <w:bottom w:val="single" w:sz="4" w:space="0" w:color="auto"/>
              <w:right w:val="nil"/>
            </w:tcBorders>
          </w:tcPr>
          <w:p w14:paraId="16B1E4DB" w14:textId="77777777" w:rsidR="002B61A7" w:rsidRDefault="002B61A7" w:rsidP="0015446E">
            <w:pPr>
              <w:pStyle w:val="NoSpacing"/>
              <w:jc w:val="center"/>
            </w:pPr>
            <w:r>
              <w:t>0.66</w:t>
            </w:r>
          </w:p>
          <w:p w14:paraId="41A57090" w14:textId="77777777" w:rsidR="002B61A7" w:rsidRDefault="002B61A7" w:rsidP="0015446E">
            <w:pPr>
              <w:pStyle w:val="NoSpacing"/>
              <w:jc w:val="center"/>
            </w:pPr>
            <w:r>
              <w:t>(0.54 to 0.82)</w:t>
            </w:r>
          </w:p>
        </w:tc>
        <w:tc>
          <w:tcPr>
            <w:tcW w:w="850" w:type="dxa"/>
            <w:tcBorders>
              <w:left w:val="nil"/>
              <w:bottom w:val="single" w:sz="4" w:space="0" w:color="auto"/>
              <w:right w:val="nil"/>
            </w:tcBorders>
          </w:tcPr>
          <w:p w14:paraId="02DC1756" w14:textId="77777777" w:rsidR="002B61A7" w:rsidRDefault="002B61A7" w:rsidP="0015446E">
            <w:pPr>
              <w:pStyle w:val="NoSpacing"/>
              <w:jc w:val="center"/>
            </w:pPr>
            <w:r>
              <w:t>&lt;0.001</w:t>
            </w:r>
          </w:p>
        </w:tc>
        <w:tc>
          <w:tcPr>
            <w:tcW w:w="1559" w:type="dxa"/>
            <w:tcBorders>
              <w:left w:val="nil"/>
              <w:bottom w:val="single" w:sz="4" w:space="0" w:color="auto"/>
              <w:right w:val="nil"/>
            </w:tcBorders>
          </w:tcPr>
          <w:p w14:paraId="5077FB9C" w14:textId="77777777" w:rsidR="002B61A7" w:rsidRDefault="002B61A7" w:rsidP="0015446E">
            <w:pPr>
              <w:pStyle w:val="NoSpacing"/>
              <w:jc w:val="center"/>
            </w:pPr>
            <w:r>
              <w:t>0.72</w:t>
            </w:r>
          </w:p>
          <w:p w14:paraId="25FC6073" w14:textId="77777777" w:rsidR="002B61A7" w:rsidRDefault="002B61A7" w:rsidP="0015446E">
            <w:pPr>
              <w:pStyle w:val="NoSpacing"/>
              <w:jc w:val="center"/>
            </w:pPr>
            <w:r>
              <w:t>(0.54 to 0.96)</w:t>
            </w:r>
          </w:p>
        </w:tc>
        <w:tc>
          <w:tcPr>
            <w:tcW w:w="1083" w:type="dxa"/>
            <w:tcBorders>
              <w:left w:val="nil"/>
              <w:bottom w:val="single" w:sz="4" w:space="0" w:color="auto"/>
            </w:tcBorders>
          </w:tcPr>
          <w:p w14:paraId="5E0CDEE9" w14:textId="77777777" w:rsidR="002B61A7" w:rsidRDefault="002B61A7" w:rsidP="0015446E">
            <w:pPr>
              <w:pStyle w:val="NoSpacing"/>
              <w:jc w:val="center"/>
            </w:pPr>
            <w:r>
              <w:t>0.033</w:t>
            </w:r>
          </w:p>
        </w:tc>
      </w:tr>
      <w:tr w:rsidR="002B61A7" w14:paraId="03A9C45E" w14:textId="77777777" w:rsidTr="0015446E">
        <w:trPr>
          <w:trHeight w:val="276"/>
          <w:jc w:val="center"/>
        </w:trPr>
        <w:tc>
          <w:tcPr>
            <w:tcW w:w="1471" w:type="dxa"/>
          </w:tcPr>
          <w:p w14:paraId="10E1B710" w14:textId="77777777" w:rsidR="002B61A7" w:rsidRDefault="002B61A7" w:rsidP="0015446E">
            <w:pPr>
              <w:pStyle w:val="NoSpacing"/>
              <w:jc w:val="center"/>
            </w:pPr>
            <w:r>
              <w:t>Carer given notice of discharge</w:t>
            </w:r>
          </w:p>
        </w:tc>
        <w:tc>
          <w:tcPr>
            <w:tcW w:w="1327" w:type="dxa"/>
            <w:tcBorders>
              <w:bottom w:val="single" w:sz="4" w:space="0" w:color="auto"/>
              <w:right w:val="nil"/>
            </w:tcBorders>
          </w:tcPr>
          <w:p w14:paraId="3E388A40" w14:textId="77777777" w:rsidR="002B61A7" w:rsidRDefault="002B61A7" w:rsidP="0015446E">
            <w:pPr>
              <w:pStyle w:val="NoSpacing"/>
              <w:jc w:val="center"/>
            </w:pPr>
            <w:r>
              <w:t>147/251</w:t>
            </w:r>
          </w:p>
          <w:p w14:paraId="1A1C7DE3" w14:textId="77777777" w:rsidR="002B61A7" w:rsidRDefault="002B61A7" w:rsidP="0015446E">
            <w:pPr>
              <w:pStyle w:val="NoSpacing"/>
              <w:jc w:val="center"/>
            </w:pPr>
            <w:r>
              <w:t>(58.6)</w:t>
            </w:r>
          </w:p>
        </w:tc>
        <w:tc>
          <w:tcPr>
            <w:tcW w:w="1297" w:type="dxa"/>
            <w:tcBorders>
              <w:left w:val="nil"/>
              <w:bottom w:val="single" w:sz="4" w:space="0" w:color="auto"/>
              <w:right w:val="nil"/>
            </w:tcBorders>
          </w:tcPr>
          <w:p w14:paraId="52162FA0" w14:textId="77777777" w:rsidR="002B61A7" w:rsidRDefault="002B61A7" w:rsidP="0015446E">
            <w:pPr>
              <w:pStyle w:val="NoSpacing"/>
              <w:jc w:val="center"/>
            </w:pPr>
            <w:r>
              <w:t>1254/1760</w:t>
            </w:r>
          </w:p>
          <w:p w14:paraId="382DF5E0" w14:textId="77777777" w:rsidR="002B61A7" w:rsidRDefault="002B61A7" w:rsidP="0015446E">
            <w:pPr>
              <w:pStyle w:val="NoSpacing"/>
              <w:jc w:val="center"/>
            </w:pPr>
            <w:r>
              <w:t>(71.3)</w:t>
            </w:r>
          </w:p>
        </w:tc>
        <w:tc>
          <w:tcPr>
            <w:tcW w:w="1429" w:type="dxa"/>
            <w:tcBorders>
              <w:left w:val="nil"/>
              <w:bottom w:val="single" w:sz="4" w:space="0" w:color="auto"/>
              <w:right w:val="nil"/>
            </w:tcBorders>
          </w:tcPr>
          <w:p w14:paraId="563E69AA" w14:textId="77777777" w:rsidR="002B61A7" w:rsidRDefault="002B61A7" w:rsidP="0015446E">
            <w:pPr>
              <w:pStyle w:val="NoSpacing"/>
              <w:jc w:val="center"/>
            </w:pPr>
            <w:r>
              <w:t>0.57</w:t>
            </w:r>
          </w:p>
          <w:p w14:paraId="3368900D" w14:textId="77777777" w:rsidR="002B61A7" w:rsidRDefault="002B61A7" w:rsidP="0015446E">
            <w:pPr>
              <w:pStyle w:val="NoSpacing"/>
              <w:jc w:val="center"/>
            </w:pPr>
            <w:r>
              <w:t>(0.44 to 0.75)</w:t>
            </w:r>
          </w:p>
        </w:tc>
        <w:tc>
          <w:tcPr>
            <w:tcW w:w="850" w:type="dxa"/>
            <w:tcBorders>
              <w:left w:val="nil"/>
              <w:bottom w:val="single" w:sz="4" w:space="0" w:color="auto"/>
              <w:right w:val="nil"/>
            </w:tcBorders>
          </w:tcPr>
          <w:p w14:paraId="4D6B0EC6" w14:textId="77777777" w:rsidR="002B61A7" w:rsidRDefault="002B61A7" w:rsidP="0015446E">
            <w:pPr>
              <w:pStyle w:val="NoSpacing"/>
              <w:jc w:val="center"/>
            </w:pPr>
            <w:r>
              <w:t>&lt;0.001</w:t>
            </w:r>
          </w:p>
        </w:tc>
        <w:tc>
          <w:tcPr>
            <w:tcW w:w="1559" w:type="dxa"/>
            <w:tcBorders>
              <w:left w:val="nil"/>
              <w:bottom w:val="single" w:sz="4" w:space="0" w:color="auto"/>
              <w:right w:val="nil"/>
            </w:tcBorders>
          </w:tcPr>
          <w:p w14:paraId="1F22A9C8" w14:textId="77777777" w:rsidR="002B61A7" w:rsidRDefault="002B61A7" w:rsidP="0015446E">
            <w:pPr>
              <w:pStyle w:val="NoSpacing"/>
              <w:jc w:val="center"/>
            </w:pPr>
            <w:r>
              <w:t>0.63</w:t>
            </w:r>
          </w:p>
          <w:p w14:paraId="0FD82E0F" w14:textId="77777777" w:rsidR="002B61A7" w:rsidRDefault="002B61A7" w:rsidP="0015446E">
            <w:pPr>
              <w:pStyle w:val="NoSpacing"/>
              <w:jc w:val="center"/>
            </w:pPr>
            <w:r>
              <w:t>(0.41 to 0.85)</w:t>
            </w:r>
          </w:p>
        </w:tc>
        <w:tc>
          <w:tcPr>
            <w:tcW w:w="1083" w:type="dxa"/>
            <w:tcBorders>
              <w:left w:val="nil"/>
              <w:bottom w:val="single" w:sz="4" w:space="0" w:color="auto"/>
            </w:tcBorders>
          </w:tcPr>
          <w:p w14:paraId="736BA51A" w14:textId="77777777" w:rsidR="002B61A7" w:rsidRDefault="002B61A7" w:rsidP="0015446E">
            <w:pPr>
              <w:pStyle w:val="NoSpacing"/>
              <w:jc w:val="center"/>
            </w:pPr>
            <w:r>
              <w:t>0.007</w:t>
            </w:r>
          </w:p>
        </w:tc>
      </w:tr>
      <w:tr w:rsidR="002B61A7" w14:paraId="4FA697B2" w14:textId="77777777" w:rsidTr="0015446E">
        <w:trPr>
          <w:trHeight w:val="276"/>
          <w:jc w:val="center"/>
        </w:trPr>
        <w:tc>
          <w:tcPr>
            <w:tcW w:w="1471" w:type="dxa"/>
          </w:tcPr>
          <w:p w14:paraId="22DF0F9C" w14:textId="3CF6B3F1" w:rsidR="002B61A7" w:rsidRDefault="002B61A7" w:rsidP="0015446E">
            <w:pPr>
              <w:pStyle w:val="NoSpacing"/>
              <w:jc w:val="center"/>
            </w:pPr>
            <w:r>
              <w:t xml:space="preserve">Discharge letter sent to </w:t>
            </w:r>
            <w:proofErr w:type="spellStart"/>
            <w:r>
              <w:t>GP</w:t>
            </w:r>
            <w:r w:rsidR="0009349C">
              <w:rPr>
                <w:vertAlign w:val="superscript"/>
              </w:rPr>
              <w:t>d</w:t>
            </w:r>
            <w:proofErr w:type="spellEnd"/>
            <w:r>
              <w:t xml:space="preserve"> within 48 hours</w:t>
            </w:r>
          </w:p>
        </w:tc>
        <w:tc>
          <w:tcPr>
            <w:tcW w:w="1327" w:type="dxa"/>
            <w:tcBorders>
              <w:bottom w:val="single" w:sz="4" w:space="0" w:color="auto"/>
              <w:right w:val="nil"/>
            </w:tcBorders>
          </w:tcPr>
          <w:p w14:paraId="626695C2" w14:textId="77777777" w:rsidR="002B61A7" w:rsidRDefault="002B61A7" w:rsidP="0015446E">
            <w:pPr>
              <w:pStyle w:val="NoSpacing"/>
              <w:jc w:val="center"/>
            </w:pPr>
            <w:r>
              <w:t>222/429</w:t>
            </w:r>
          </w:p>
          <w:p w14:paraId="148C1543" w14:textId="77777777" w:rsidR="002B61A7" w:rsidRDefault="002B61A7" w:rsidP="0015446E">
            <w:pPr>
              <w:pStyle w:val="NoSpacing"/>
              <w:jc w:val="center"/>
            </w:pPr>
            <w:r>
              <w:t>(51.7)</w:t>
            </w:r>
          </w:p>
        </w:tc>
        <w:tc>
          <w:tcPr>
            <w:tcW w:w="1297" w:type="dxa"/>
            <w:tcBorders>
              <w:left w:val="nil"/>
              <w:bottom w:val="single" w:sz="4" w:space="0" w:color="auto"/>
              <w:right w:val="nil"/>
            </w:tcBorders>
          </w:tcPr>
          <w:p w14:paraId="5D186063" w14:textId="77777777" w:rsidR="002B61A7" w:rsidRDefault="002B61A7" w:rsidP="0015446E">
            <w:pPr>
              <w:pStyle w:val="NoSpacing"/>
              <w:jc w:val="center"/>
            </w:pPr>
            <w:r>
              <w:t>1261/2404</w:t>
            </w:r>
          </w:p>
          <w:p w14:paraId="0B36A6E3" w14:textId="77777777" w:rsidR="002B61A7" w:rsidRDefault="002B61A7" w:rsidP="0015446E">
            <w:pPr>
              <w:pStyle w:val="NoSpacing"/>
              <w:jc w:val="center"/>
            </w:pPr>
            <w:r>
              <w:t>(52.5)</w:t>
            </w:r>
          </w:p>
        </w:tc>
        <w:tc>
          <w:tcPr>
            <w:tcW w:w="1429" w:type="dxa"/>
            <w:tcBorders>
              <w:left w:val="nil"/>
              <w:bottom w:val="single" w:sz="4" w:space="0" w:color="auto"/>
              <w:right w:val="nil"/>
            </w:tcBorders>
          </w:tcPr>
          <w:p w14:paraId="4AACFBAD" w14:textId="77777777" w:rsidR="002B61A7" w:rsidRDefault="002B61A7" w:rsidP="0015446E">
            <w:pPr>
              <w:pStyle w:val="NoSpacing"/>
              <w:jc w:val="center"/>
            </w:pPr>
            <w:r>
              <w:t>0.97</w:t>
            </w:r>
          </w:p>
          <w:p w14:paraId="693FF1F0" w14:textId="77777777" w:rsidR="002B61A7" w:rsidRDefault="002B61A7" w:rsidP="0015446E">
            <w:pPr>
              <w:pStyle w:val="NoSpacing"/>
              <w:jc w:val="center"/>
            </w:pPr>
            <w:r>
              <w:t>(0.79 to 1.19)</w:t>
            </w:r>
          </w:p>
        </w:tc>
        <w:tc>
          <w:tcPr>
            <w:tcW w:w="850" w:type="dxa"/>
            <w:tcBorders>
              <w:left w:val="nil"/>
              <w:bottom w:val="single" w:sz="4" w:space="0" w:color="auto"/>
              <w:right w:val="nil"/>
            </w:tcBorders>
          </w:tcPr>
          <w:p w14:paraId="55317913" w14:textId="77777777" w:rsidR="002B61A7" w:rsidRDefault="002B61A7" w:rsidP="0015446E">
            <w:pPr>
              <w:pStyle w:val="NoSpacing"/>
              <w:jc w:val="center"/>
            </w:pPr>
            <w:r>
              <w:t>0.787</w:t>
            </w:r>
          </w:p>
        </w:tc>
        <w:tc>
          <w:tcPr>
            <w:tcW w:w="1559" w:type="dxa"/>
            <w:tcBorders>
              <w:left w:val="nil"/>
              <w:bottom w:val="single" w:sz="4" w:space="0" w:color="auto"/>
              <w:right w:val="nil"/>
            </w:tcBorders>
          </w:tcPr>
          <w:p w14:paraId="65FEB587" w14:textId="77777777" w:rsidR="002B61A7" w:rsidRDefault="002B61A7" w:rsidP="0015446E">
            <w:pPr>
              <w:pStyle w:val="NoSpacing"/>
              <w:jc w:val="center"/>
            </w:pPr>
            <w:r>
              <w:t>1.10</w:t>
            </w:r>
          </w:p>
          <w:p w14:paraId="7786DDE5" w14:textId="77777777" w:rsidR="002B61A7" w:rsidRDefault="002B61A7" w:rsidP="0015446E">
            <w:pPr>
              <w:pStyle w:val="NoSpacing"/>
              <w:jc w:val="center"/>
            </w:pPr>
            <w:r>
              <w:t>(0.87 to 1.40)</w:t>
            </w:r>
          </w:p>
        </w:tc>
        <w:tc>
          <w:tcPr>
            <w:tcW w:w="1083" w:type="dxa"/>
            <w:tcBorders>
              <w:left w:val="nil"/>
              <w:bottom w:val="single" w:sz="4" w:space="0" w:color="auto"/>
            </w:tcBorders>
          </w:tcPr>
          <w:p w14:paraId="0BFBA2F0" w14:textId="77777777" w:rsidR="002B61A7" w:rsidRDefault="002B61A7" w:rsidP="0015446E">
            <w:pPr>
              <w:pStyle w:val="NoSpacing"/>
              <w:jc w:val="center"/>
            </w:pPr>
            <w:r>
              <w:t>0.428</w:t>
            </w:r>
          </w:p>
        </w:tc>
      </w:tr>
      <w:tr w:rsidR="002B61A7" w14:paraId="4ACC4A9F" w14:textId="77777777" w:rsidTr="0015446E">
        <w:trPr>
          <w:trHeight w:val="276"/>
          <w:jc w:val="center"/>
        </w:trPr>
        <w:tc>
          <w:tcPr>
            <w:tcW w:w="1471" w:type="dxa"/>
          </w:tcPr>
          <w:p w14:paraId="45165E95" w14:textId="77777777" w:rsidR="002B61A7" w:rsidRDefault="002B61A7" w:rsidP="0015446E">
            <w:pPr>
              <w:pStyle w:val="NoSpacing"/>
              <w:jc w:val="center"/>
            </w:pPr>
            <w:r>
              <w:t>Copy of care plan sent to accepting service</w:t>
            </w:r>
          </w:p>
        </w:tc>
        <w:tc>
          <w:tcPr>
            <w:tcW w:w="1327" w:type="dxa"/>
            <w:tcBorders>
              <w:bottom w:val="single" w:sz="4" w:space="0" w:color="auto"/>
              <w:right w:val="nil"/>
            </w:tcBorders>
          </w:tcPr>
          <w:p w14:paraId="06374895" w14:textId="77777777" w:rsidR="002B61A7" w:rsidRDefault="002B61A7" w:rsidP="0015446E">
            <w:pPr>
              <w:pStyle w:val="NoSpacing"/>
              <w:jc w:val="center"/>
            </w:pPr>
            <w:r>
              <w:t>245/320</w:t>
            </w:r>
          </w:p>
          <w:p w14:paraId="11E8366D" w14:textId="77777777" w:rsidR="002B61A7" w:rsidRDefault="002B61A7" w:rsidP="0015446E">
            <w:pPr>
              <w:pStyle w:val="NoSpacing"/>
              <w:jc w:val="center"/>
            </w:pPr>
            <w:r>
              <w:t>(76.6)</w:t>
            </w:r>
          </w:p>
        </w:tc>
        <w:tc>
          <w:tcPr>
            <w:tcW w:w="1297" w:type="dxa"/>
            <w:tcBorders>
              <w:left w:val="nil"/>
              <w:bottom w:val="single" w:sz="4" w:space="0" w:color="auto"/>
              <w:right w:val="nil"/>
            </w:tcBorders>
          </w:tcPr>
          <w:p w14:paraId="147CB337" w14:textId="77777777" w:rsidR="002B61A7" w:rsidRDefault="002B61A7" w:rsidP="0015446E">
            <w:pPr>
              <w:pStyle w:val="NoSpacing"/>
              <w:jc w:val="center"/>
            </w:pPr>
            <w:r>
              <w:t>1281/1710</w:t>
            </w:r>
          </w:p>
          <w:p w14:paraId="0EF400A0" w14:textId="77777777" w:rsidR="002B61A7" w:rsidRDefault="002B61A7" w:rsidP="0015446E">
            <w:pPr>
              <w:pStyle w:val="NoSpacing"/>
              <w:jc w:val="center"/>
            </w:pPr>
            <w:r>
              <w:t>(74.9)</w:t>
            </w:r>
          </w:p>
        </w:tc>
        <w:tc>
          <w:tcPr>
            <w:tcW w:w="1429" w:type="dxa"/>
            <w:tcBorders>
              <w:left w:val="nil"/>
              <w:bottom w:val="single" w:sz="4" w:space="0" w:color="auto"/>
              <w:right w:val="nil"/>
            </w:tcBorders>
          </w:tcPr>
          <w:p w14:paraId="41C8C414" w14:textId="77777777" w:rsidR="002B61A7" w:rsidRDefault="002B61A7" w:rsidP="0015446E">
            <w:pPr>
              <w:pStyle w:val="NoSpacing"/>
              <w:jc w:val="center"/>
            </w:pPr>
            <w:r>
              <w:t>1.09</w:t>
            </w:r>
          </w:p>
          <w:p w14:paraId="4E1717D2" w14:textId="77777777" w:rsidR="002B61A7" w:rsidRDefault="002B61A7" w:rsidP="0015446E">
            <w:pPr>
              <w:pStyle w:val="NoSpacing"/>
              <w:jc w:val="center"/>
            </w:pPr>
            <w:r>
              <w:t>(0.83 to 1.45)</w:t>
            </w:r>
          </w:p>
        </w:tc>
        <w:tc>
          <w:tcPr>
            <w:tcW w:w="850" w:type="dxa"/>
            <w:tcBorders>
              <w:left w:val="nil"/>
              <w:bottom w:val="single" w:sz="4" w:space="0" w:color="auto"/>
              <w:right w:val="nil"/>
            </w:tcBorders>
          </w:tcPr>
          <w:p w14:paraId="66F9A3FC" w14:textId="77777777" w:rsidR="002B61A7" w:rsidRDefault="002B61A7" w:rsidP="0015446E">
            <w:pPr>
              <w:pStyle w:val="NoSpacing"/>
              <w:jc w:val="center"/>
            </w:pPr>
            <w:r>
              <w:t>0.531</w:t>
            </w:r>
          </w:p>
        </w:tc>
        <w:tc>
          <w:tcPr>
            <w:tcW w:w="1559" w:type="dxa"/>
            <w:tcBorders>
              <w:left w:val="nil"/>
              <w:bottom w:val="single" w:sz="4" w:space="0" w:color="auto"/>
              <w:right w:val="nil"/>
            </w:tcBorders>
          </w:tcPr>
          <w:p w14:paraId="1214EC71" w14:textId="77777777" w:rsidR="002B61A7" w:rsidRDefault="002B61A7" w:rsidP="0015446E">
            <w:pPr>
              <w:pStyle w:val="NoSpacing"/>
              <w:jc w:val="center"/>
            </w:pPr>
            <w:r>
              <w:t>1.29</w:t>
            </w:r>
          </w:p>
          <w:p w14:paraId="47BF621F" w14:textId="77777777" w:rsidR="002B61A7" w:rsidRDefault="002B61A7" w:rsidP="0015446E">
            <w:pPr>
              <w:pStyle w:val="NoSpacing"/>
              <w:jc w:val="center"/>
            </w:pPr>
            <w:r>
              <w:t>(0.96 to 1.56)</w:t>
            </w:r>
          </w:p>
        </w:tc>
        <w:tc>
          <w:tcPr>
            <w:tcW w:w="1083" w:type="dxa"/>
            <w:tcBorders>
              <w:left w:val="nil"/>
              <w:bottom w:val="single" w:sz="4" w:space="0" w:color="auto"/>
            </w:tcBorders>
          </w:tcPr>
          <w:p w14:paraId="14242C83" w14:textId="77777777" w:rsidR="002B61A7" w:rsidRDefault="002B61A7" w:rsidP="0015446E">
            <w:pPr>
              <w:pStyle w:val="NoSpacing"/>
              <w:jc w:val="center"/>
            </w:pPr>
            <w:r>
              <w:t>0.081</w:t>
            </w:r>
          </w:p>
        </w:tc>
      </w:tr>
      <w:tr w:rsidR="002B61A7" w14:paraId="640C0C16" w14:textId="77777777" w:rsidTr="0015446E">
        <w:trPr>
          <w:trHeight w:val="276"/>
          <w:jc w:val="center"/>
        </w:trPr>
        <w:tc>
          <w:tcPr>
            <w:tcW w:w="1471" w:type="dxa"/>
          </w:tcPr>
          <w:p w14:paraId="1A5795F9" w14:textId="77777777" w:rsidR="002B61A7" w:rsidRDefault="002B61A7" w:rsidP="0015446E">
            <w:pPr>
              <w:pStyle w:val="NoSpacing"/>
              <w:jc w:val="center"/>
            </w:pPr>
            <w:r>
              <w:t>Follow-up within 48 hours of discharge</w:t>
            </w:r>
          </w:p>
        </w:tc>
        <w:tc>
          <w:tcPr>
            <w:tcW w:w="1327" w:type="dxa"/>
            <w:tcBorders>
              <w:right w:val="nil"/>
            </w:tcBorders>
          </w:tcPr>
          <w:p w14:paraId="2D212DA0" w14:textId="77777777" w:rsidR="002B61A7" w:rsidRDefault="002B61A7" w:rsidP="0015446E">
            <w:pPr>
              <w:pStyle w:val="NoSpacing"/>
              <w:jc w:val="center"/>
            </w:pPr>
            <w:r>
              <w:t>242/438</w:t>
            </w:r>
          </w:p>
          <w:p w14:paraId="6CE0277E" w14:textId="77777777" w:rsidR="002B61A7" w:rsidRDefault="002B61A7" w:rsidP="0015446E">
            <w:pPr>
              <w:pStyle w:val="NoSpacing"/>
              <w:jc w:val="center"/>
            </w:pPr>
            <w:r>
              <w:t>(55.3)</w:t>
            </w:r>
          </w:p>
        </w:tc>
        <w:tc>
          <w:tcPr>
            <w:tcW w:w="1297" w:type="dxa"/>
            <w:tcBorders>
              <w:left w:val="nil"/>
              <w:right w:val="nil"/>
            </w:tcBorders>
          </w:tcPr>
          <w:p w14:paraId="6E57FAD7" w14:textId="77777777" w:rsidR="002B61A7" w:rsidRDefault="002B61A7" w:rsidP="0015446E">
            <w:pPr>
              <w:pStyle w:val="NoSpacing"/>
              <w:jc w:val="center"/>
            </w:pPr>
            <w:r>
              <w:t>1310/2388</w:t>
            </w:r>
          </w:p>
          <w:p w14:paraId="403F03DD" w14:textId="77777777" w:rsidR="002B61A7" w:rsidRDefault="002B61A7" w:rsidP="0015446E">
            <w:pPr>
              <w:pStyle w:val="NoSpacing"/>
              <w:jc w:val="center"/>
            </w:pPr>
            <w:r>
              <w:t>(54.9)</w:t>
            </w:r>
          </w:p>
        </w:tc>
        <w:tc>
          <w:tcPr>
            <w:tcW w:w="1429" w:type="dxa"/>
            <w:tcBorders>
              <w:left w:val="nil"/>
              <w:right w:val="nil"/>
            </w:tcBorders>
          </w:tcPr>
          <w:p w14:paraId="4C841591" w14:textId="77777777" w:rsidR="002B61A7" w:rsidRDefault="002B61A7" w:rsidP="0015446E">
            <w:pPr>
              <w:pStyle w:val="NoSpacing"/>
              <w:jc w:val="center"/>
            </w:pPr>
            <w:r>
              <w:t>1.02</w:t>
            </w:r>
          </w:p>
          <w:p w14:paraId="023C452E" w14:textId="77777777" w:rsidR="002B61A7" w:rsidRDefault="002B61A7" w:rsidP="0015446E">
            <w:pPr>
              <w:pStyle w:val="NoSpacing"/>
              <w:jc w:val="center"/>
            </w:pPr>
            <w:r>
              <w:t>(0/83 to 1.25)</w:t>
            </w:r>
          </w:p>
        </w:tc>
        <w:tc>
          <w:tcPr>
            <w:tcW w:w="850" w:type="dxa"/>
            <w:tcBorders>
              <w:left w:val="nil"/>
              <w:right w:val="nil"/>
            </w:tcBorders>
          </w:tcPr>
          <w:p w14:paraId="5D369F98" w14:textId="77777777" w:rsidR="002B61A7" w:rsidRDefault="002B61A7" w:rsidP="0015446E">
            <w:pPr>
              <w:pStyle w:val="NoSpacing"/>
              <w:jc w:val="center"/>
            </w:pPr>
            <w:r>
              <w:t>0.879</w:t>
            </w:r>
          </w:p>
        </w:tc>
        <w:tc>
          <w:tcPr>
            <w:tcW w:w="1559" w:type="dxa"/>
            <w:tcBorders>
              <w:left w:val="nil"/>
              <w:right w:val="nil"/>
            </w:tcBorders>
          </w:tcPr>
          <w:p w14:paraId="139578AB" w14:textId="77777777" w:rsidR="002B61A7" w:rsidRDefault="002B61A7" w:rsidP="0015446E">
            <w:pPr>
              <w:pStyle w:val="NoSpacing"/>
              <w:jc w:val="center"/>
            </w:pPr>
            <w:r>
              <w:t>1.00</w:t>
            </w:r>
          </w:p>
          <w:p w14:paraId="6842F88F" w14:textId="77777777" w:rsidR="002B61A7" w:rsidRDefault="002B61A7" w:rsidP="0015446E">
            <w:pPr>
              <w:pStyle w:val="NoSpacing"/>
              <w:jc w:val="center"/>
            </w:pPr>
            <w:r>
              <w:t>(0.79 to 1.27)</w:t>
            </w:r>
          </w:p>
        </w:tc>
        <w:tc>
          <w:tcPr>
            <w:tcW w:w="1083" w:type="dxa"/>
            <w:tcBorders>
              <w:left w:val="nil"/>
            </w:tcBorders>
          </w:tcPr>
          <w:p w14:paraId="6C4667E1" w14:textId="77777777" w:rsidR="002B61A7" w:rsidRDefault="002B61A7" w:rsidP="0015446E">
            <w:pPr>
              <w:pStyle w:val="NoSpacing"/>
              <w:jc w:val="center"/>
            </w:pPr>
            <w:r>
              <w:t>0.996</w:t>
            </w:r>
          </w:p>
        </w:tc>
      </w:tr>
    </w:tbl>
    <w:p w14:paraId="5581B2EB" w14:textId="77777777" w:rsidR="00007DC3" w:rsidRDefault="00007DC3" w:rsidP="00007DC3">
      <w:pPr>
        <w:pStyle w:val="NoSpacing"/>
      </w:pPr>
    </w:p>
    <w:p w14:paraId="3E188030" w14:textId="763EA51F" w:rsidR="002B61A7" w:rsidRDefault="002B61A7" w:rsidP="00007DC3">
      <w:pPr>
        <w:pStyle w:val="NoSpacing"/>
        <w:numPr>
          <w:ilvl w:val="0"/>
          <w:numId w:val="19"/>
        </w:numPr>
      </w:pPr>
      <w:r>
        <w:t xml:space="preserve">Adjusted for NHS trust, age, gender, ethnicity, employment, accommodation, detention status, length of admission and primary/ secondary diagnosis. </w:t>
      </w:r>
    </w:p>
    <w:p w14:paraId="58187B28" w14:textId="269527F5" w:rsidR="00007DC3" w:rsidRDefault="00007DC3" w:rsidP="00007DC3">
      <w:pPr>
        <w:pStyle w:val="NoSpacing"/>
        <w:numPr>
          <w:ilvl w:val="0"/>
          <w:numId w:val="19"/>
        </w:numPr>
      </w:pPr>
      <w:r>
        <w:t>BMI = Body Mass Index</w:t>
      </w:r>
    </w:p>
    <w:p w14:paraId="432A9DE9" w14:textId="4673EABD" w:rsidR="0009349C" w:rsidRDefault="0009349C" w:rsidP="00007DC3">
      <w:pPr>
        <w:pStyle w:val="NoSpacing"/>
        <w:numPr>
          <w:ilvl w:val="0"/>
          <w:numId w:val="19"/>
        </w:numPr>
      </w:pPr>
      <w:r>
        <w:t>TTA = ‘To Take Away’</w:t>
      </w:r>
    </w:p>
    <w:p w14:paraId="68013B76" w14:textId="6FB7EF55" w:rsidR="0009349C" w:rsidRDefault="0009349C" w:rsidP="00007DC3">
      <w:pPr>
        <w:pStyle w:val="NoSpacing"/>
        <w:numPr>
          <w:ilvl w:val="0"/>
          <w:numId w:val="19"/>
        </w:numPr>
      </w:pPr>
      <w:r>
        <w:t>GP = General Practitioner (</w:t>
      </w:r>
      <w:proofErr w:type="spellStart"/>
      <w:r>
        <w:t>ie</w:t>
      </w:r>
      <w:proofErr w:type="spellEnd"/>
      <w:r>
        <w:t xml:space="preserve"> primary care physician)</w:t>
      </w:r>
    </w:p>
    <w:p w14:paraId="4CFA783F" w14:textId="77777777" w:rsidR="002B61A7" w:rsidRDefault="002B61A7" w:rsidP="002B61A7">
      <w:pPr>
        <w:pStyle w:val="NoSpacing"/>
      </w:pPr>
    </w:p>
    <w:p w14:paraId="3FE3D550" w14:textId="77777777" w:rsidR="002B61A7" w:rsidRDefault="002B61A7" w:rsidP="002B61A7">
      <w:pPr>
        <w:pStyle w:val="NoSpacing"/>
      </w:pPr>
    </w:p>
    <w:p w14:paraId="227B4265" w14:textId="77777777" w:rsidR="002B61A7" w:rsidRDefault="002B61A7" w:rsidP="002B61A7">
      <w:pPr>
        <w:pStyle w:val="NoSpacing"/>
      </w:pPr>
    </w:p>
    <w:p w14:paraId="6DAED87B" w14:textId="77777777" w:rsidR="002B61A7" w:rsidRDefault="002B61A7" w:rsidP="002B61A7">
      <w:pPr>
        <w:pStyle w:val="NoSpacing"/>
      </w:pPr>
    </w:p>
    <w:p w14:paraId="67B3E4F0" w14:textId="77777777" w:rsidR="002B61A7" w:rsidRDefault="002B61A7" w:rsidP="002B61A7">
      <w:pPr>
        <w:pStyle w:val="NoSpacing"/>
      </w:pPr>
    </w:p>
    <w:p w14:paraId="7B62A792" w14:textId="77777777" w:rsidR="002B61A7" w:rsidRDefault="002B61A7" w:rsidP="002B61A7">
      <w:pPr>
        <w:pStyle w:val="NoSpacing"/>
      </w:pPr>
    </w:p>
    <w:p w14:paraId="12C38AD2" w14:textId="77777777" w:rsidR="002B61A7" w:rsidRDefault="002B61A7" w:rsidP="002B61A7">
      <w:pPr>
        <w:pStyle w:val="NoSpacing"/>
      </w:pPr>
    </w:p>
    <w:p w14:paraId="72B15AA6" w14:textId="77777777" w:rsidR="002B61A7" w:rsidRDefault="002B61A7" w:rsidP="002B61A7">
      <w:pPr>
        <w:pStyle w:val="NoSpacing"/>
      </w:pPr>
    </w:p>
    <w:p w14:paraId="39FF751C" w14:textId="77777777" w:rsidR="002B61A7" w:rsidRDefault="002B61A7" w:rsidP="002B61A7">
      <w:pPr>
        <w:pStyle w:val="NoSpacing"/>
      </w:pPr>
    </w:p>
    <w:p w14:paraId="183C830C" w14:textId="77777777" w:rsidR="002B61A7" w:rsidRDefault="002B61A7" w:rsidP="002B61A7">
      <w:pPr>
        <w:pStyle w:val="Heading2"/>
      </w:pPr>
      <w:r>
        <w:t>Table 4</w:t>
      </w:r>
    </w:p>
    <w:p w14:paraId="647C2EF6" w14:textId="77777777" w:rsidR="002B61A7" w:rsidRDefault="002B61A7" w:rsidP="002B61A7">
      <w:pPr>
        <w:pStyle w:val="NoSpacing"/>
      </w:pPr>
    </w:p>
    <w:tbl>
      <w:tblPr>
        <w:tblStyle w:val="TableGrid"/>
        <w:tblW w:w="9016" w:type="dxa"/>
        <w:jc w:val="center"/>
        <w:tblLayout w:type="fixed"/>
        <w:tblLook w:val="04A0" w:firstRow="1" w:lastRow="0" w:firstColumn="1" w:lastColumn="0" w:noHBand="0" w:noVBand="1"/>
      </w:tblPr>
      <w:tblGrid>
        <w:gridCol w:w="1471"/>
        <w:gridCol w:w="1327"/>
        <w:gridCol w:w="1297"/>
        <w:gridCol w:w="1429"/>
        <w:gridCol w:w="850"/>
        <w:gridCol w:w="1559"/>
        <w:gridCol w:w="1083"/>
      </w:tblGrid>
      <w:tr w:rsidR="002B61A7" w14:paraId="4459A9B1" w14:textId="77777777" w:rsidTr="0015446E">
        <w:trPr>
          <w:trHeight w:val="491"/>
          <w:jc w:val="center"/>
        </w:trPr>
        <w:tc>
          <w:tcPr>
            <w:tcW w:w="9016" w:type="dxa"/>
            <w:gridSpan w:val="7"/>
            <w:tcBorders>
              <w:bottom w:val="single" w:sz="4" w:space="0" w:color="auto"/>
            </w:tcBorders>
            <w:shd w:val="clear" w:color="auto" w:fill="8EAADB" w:themeFill="accent1" w:themeFillTint="99"/>
          </w:tcPr>
          <w:p w14:paraId="0B2277C6" w14:textId="77777777" w:rsidR="002B61A7" w:rsidRDefault="002B61A7" w:rsidP="0015446E">
            <w:pPr>
              <w:pStyle w:val="NoSpacing"/>
            </w:pPr>
            <w:r>
              <w:t xml:space="preserve">Table 4 – association of substance use disorder (independent variable) with medication prescribed (dependant variables). </w:t>
            </w:r>
          </w:p>
        </w:tc>
      </w:tr>
      <w:tr w:rsidR="002B61A7" w14:paraId="1FA03BC1" w14:textId="77777777" w:rsidTr="0015446E">
        <w:trPr>
          <w:trHeight w:val="842"/>
          <w:jc w:val="center"/>
        </w:trPr>
        <w:tc>
          <w:tcPr>
            <w:tcW w:w="1471" w:type="dxa"/>
            <w:tcBorders>
              <w:right w:val="nil"/>
            </w:tcBorders>
            <w:shd w:val="clear" w:color="auto" w:fill="D9E2F3" w:themeFill="accent1" w:themeFillTint="33"/>
          </w:tcPr>
          <w:p w14:paraId="3ECFBF12" w14:textId="77777777" w:rsidR="002B61A7" w:rsidRDefault="002B61A7" w:rsidP="0015446E">
            <w:pPr>
              <w:pStyle w:val="NoSpacing"/>
              <w:jc w:val="center"/>
            </w:pPr>
            <w:r>
              <w:t>Medication</w:t>
            </w:r>
          </w:p>
        </w:tc>
        <w:tc>
          <w:tcPr>
            <w:tcW w:w="1327" w:type="dxa"/>
            <w:tcBorders>
              <w:left w:val="nil"/>
              <w:bottom w:val="single" w:sz="4" w:space="0" w:color="auto"/>
              <w:right w:val="nil"/>
            </w:tcBorders>
            <w:shd w:val="clear" w:color="auto" w:fill="D9E2F3" w:themeFill="accent1" w:themeFillTint="33"/>
          </w:tcPr>
          <w:p w14:paraId="42E1F23A" w14:textId="77777777" w:rsidR="002B61A7" w:rsidRDefault="002B61A7" w:rsidP="0015446E">
            <w:pPr>
              <w:pStyle w:val="NoSpacing"/>
              <w:jc w:val="center"/>
            </w:pPr>
            <w:r>
              <w:t>Substance disorder</w:t>
            </w:r>
          </w:p>
          <w:p w14:paraId="711668FE" w14:textId="77777777" w:rsidR="002B61A7" w:rsidRDefault="002B61A7" w:rsidP="0015446E">
            <w:pPr>
              <w:pStyle w:val="NoSpacing"/>
              <w:jc w:val="center"/>
            </w:pPr>
            <w:r>
              <w:t>N / total</w:t>
            </w:r>
          </w:p>
          <w:p w14:paraId="03C6D4E2" w14:textId="77777777" w:rsidR="002B61A7" w:rsidRDefault="002B61A7" w:rsidP="0015446E">
            <w:pPr>
              <w:pStyle w:val="NoSpacing"/>
              <w:jc w:val="center"/>
            </w:pPr>
            <w:r>
              <w:t>(%)</w:t>
            </w:r>
          </w:p>
        </w:tc>
        <w:tc>
          <w:tcPr>
            <w:tcW w:w="1297" w:type="dxa"/>
            <w:tcBorders>
              <w:left w:val="nil"/>
              <w:bottom w:val="single" w:sz="4" w:space="0" w:color="auto"/>
              <w:right w:val="nil"/>
            </w:tcBorders>
            <w:shd w:val="clear" w:color="auto" w:fill="D9E2F3" w:themeFill="accent1" w:themeFillTint="33"/>
          </w:tcPr>
          <w:p w14:paraId="7DE19845" w14:textId="77777777" w:rsidR="002B61A7" w:rsidRDefault="002B61A7" w:rsidP="0015446E">
            <w:pPr>
              <w:pStyle w:val="NoSpacing"/>
              <w:jc w:val="center"/>
            </w:pPr>
            <w:r>
              <w:t xml:space="preserve">No substance </w:t>
            </w:r>
            <w:proofErr w:type="gramStart"/>
            <w:r>
              <w:t>disorder</w:t>
            </w:r>
            <w:proofErr w:type="gramEnd"/>
          </w:p>
          <w:p w14:paraId="529B9BC8" w14:textId="77777777" w:rsidR="002B61A7" w:rsidRDefault="002B61A7" w:rsidP="0015446E">
            <w:pPr>
              <w:pStyle w:val="NoSpacing"/>
              <w:jc w:val="center"/>
            </w:pPr>
            <w:r>
              <w:t>N / total</w:t>
            </w:r>
          </w:p>
          <w:p w14:paraId="36B4264B" w14:textId="77777777" w:rsidR="002B61A7" w:rsidRDefault="002B61A7" w:rsidP="0015446E">
            <w:pPr>
              <w:pStyle w:val="NoSpacing"/>
              <w:jc w:val="center"/>
            </w:pPr>
            <w:r>
              <w:t>(%)</w:t>
            </w:r>
          </w:p>
        </w:tc>
        <w:tc>
          <w:tcPr>
            <w:tcW w:w="1429" w:type="dxa"/>
            <w:tcBorders>
              <w:left w:val="nil"/>
              <w:bottom w:val="single" w:sz="4" w:space="0" w:color="auto"/>
              <w:right w:val="nil"/>
            </w:tcBorders>
            <w:shd w:val="clear" w:color="auto" w:fill="D9E2F3" w:themeFill="accent1" w:themeFillTint="33"/>
          </w:tcPr>
          <w:p w14:paraId="382DCE88" w14:textId="77777777" w:rsidR="002B61A7" w:rsidRDefault="002B61A7" w:rsidP="0015446E">
            <w:pPr>
              <w:pStyle w:val="NoSpacing"/>
              <w:jc w:val="center"/>
            </w:pPr>
            <w:r>
              <w:t xml:space="preserve">OR </w:t>
            </w:r>
          </w:p>
          <w:p w14:paraId="50591597" w14:textId="77777777" w:rsidR="002B61A7" w:rsidRDefault="002B61A7" w:rsidP="0015446E">
            <w:pPr>
              <w:pStyle w:val="NoSpacing"/>
              <w:jc w:val="center"/>
            </w:pPr>
            <w:r>
              <w:t>95% CI</w:t>
            </w:r>
          </w:p>
          <w:p w14:paraId="049E2810" w14:textId="77777777" w:rsidR="002B61A7" w:rsidRPr="00C67B34" w:rsidRDefault="002B61A7" w:rsidP="0015446E">
            <w:pPr>
              <w:pStyle w:val="NoSpacing"/>
              <w:jc w:val="center"/>
            </w:pPr>
          </w:p>
        </w:tc>
        <w:tc>
          <w:tcPr>
            <w:tcW w:w="850" w:type="dxa"/>
            <w:tcBorders>
              <w:left w:val="nil"/>
              <w:bottom w:val="single" w:sz="4" w:space="0" w:color="auto"/>
              <w:right w:val="nil"/>
            </w:tcBorders>
            <w:shd w:val="clear" w:color="auto" w:fill="D9E2F3" w:themeFill="accent1" w:themeFillTint="33"/>
          </w:tcPr>
          <w:p w14:paraId="427397FF" w14:textId="77777777" w:rsidR="002B61A7" w:rsidRDefault="002B61A7" w:rsidP="0015446E">
            <w:pPr>
              <w:pStyle w:val="NoSpacing"/>
              <w:jc w:val="center"/>
            </w:pPr>
          </w:p>
          <w:p w14:paraId="679AF597" w14:textId="77777777" w:rsidR="002B61A7" w:rsidRDefault="002B61A7" w:rsidP="0015446E">
            <w:pPr>
              <w:pStyle w:val="NoSpacing"/>
              <w:jc w:val="center"/>
            </w:pPr>
            <w:r>
              <w:t>P</w:t>
            </w:r>
          </w:p>
        </w:tc>
        <w:tc>
          <w:tcPr>
            <w:tcW w:w="1559" w:type="dxa"/>
            <w:tcBorders>
              <w:left w:val="nil"/>
              <w:bottom w:val="single" w:sz="4" w:space="0" w:color="auto"/>
              <w:right w:val="nil"/>
            </w:tcBorders>
            <w:shd w:val="clear" w:color="auto" w:fill="D9E2F3" w:themeFill="accent1" w:themeFillTint="33"/>
          </w:tcPr>
          <w:p w14:paraId="3ECC8789" w14:textId="77777777" w:rsidR="002B61A7" w:rsidRDefault="002B61A7" w:rsidP="0015446E">
            <w:pPr>
              <w:pStyle w:val="NoSpacing"/>
              <w:jc w:val="center"/>
            </w:pPr>
            <w:proofErr w:type="spellStart"/>
            <w:r>
              <w:t>Adjusted</w:t>
            </w:r>
            <w:r>
              <w:rPr>
                <w:vertAlign w:val="superscript"/>
              </w:rPr>
              <w:t>a</w:t>
            </w:r>
            <w:proofErr w:type="spellEnd"/>
            <w:r>
              <w:t xml:space="preserve"> OR </w:t>
            </w:r>
          </w:p>
          <w:p w14:paraId="477858E7" w14:textId="77777777" w:rsidR="002B61A7" w:rsidRDefault="002B61A7" w:rsidP="0015446E">
            <w:pPr>
              <w:pStyle w:val="NoSpacing"/>
              <w:jc w:val="center"/>
            </w:pPr>
            <w:r>
              <w:t>95% CI</w:t>
            </w:r>
          </w:p>
          <w:p w14:paraId="6EF7705B" w14:textId="77777777" w:rsidR="002B61A7" w:rsidRDefault="002B61A7" w:rsidP="0015446E">
            <w:pPr>
              <w:pStyle w:val="NoSpacing"/>
            </w:pPr>
          </w:p>
        </w:tc>
        <w:tc>
          <w:tcPr>
            <w:tcW w:w="1083" w:type="dxa"/>
            <w:tcBorders>
              <w:left w:val="nil"/>
              <w:bottom w:val="single" w:sz="4" w:space="0" w:color="auto"/>
            </w:tcBorders>
            <w:shd w:val="clear" w:color="auto" w:fill="D9E2F3" w:themeFill="accent1" w:themeFillTint="33"/>
          </w:tcPr>
          <w:p w14:paraId="259E361E" w14:textId="77777777" w:rsidR="002B61A7" w:rsidRDefault="002B61A7" w:rsidP="0015446E">
            <w:pPr>
              <w:pStyle w:val="NoSpacing"/>
              <w:jc w:val="center"/>
            </w:pPr>
          </w:p>
          <w:p w14:paraId="418ED578" w14:textId="77777777" w:rsidR="002B61A7" w:rsidRDefault="002B61A7" w:rsidP="0015446E">
            <w:pPr>
              <w:pStyle w:val="NoSpacing"/>
              <w:jc w:val="center"/>
            </w:pPr>
            <w:r>
              <w:t>P</w:t>
            </w:r>
          </w:p>
        </w:tc>
      </w:tr>
      <w:tr w:rsidR="002B61A7" w14:paraId="3258614C" w14:textId="77777777" w:rsidTr="0015446E">
        <w:trPr>
          <w:trHeight w:val="276"/>
          <w:jc w:val="center"/>
        </w:trPr>
        <w:tc>
          <w:tcPr>
            <w:tcW w:w="1471" w:type="dxa"/>
          </w:tcPr>
          <w:p w14:paraId="612128D0" w14:textId="77777777" w:rsidR="002B61A7" w:rsidRDefault="002B61A7" w:rsidP="0015446E">
            <w:pPr>
              <w:pStyle w:val="NoSpacing"/>
              <w:jc w:val="center"/>
            </w:pPr>
            <w:r>
              <w:lastRenderedPageBreak/>
              <w:t>Antidepressant</w:t>
            </w:r>
          </w:p>
        </w:tc>
        <w:tc>
          <w:tcPr>
            <w:tcW w:w="1327" w:type="dxa"/>
            <w:tcBorders>
              <w:bottom w:val="single" w:sz="4" w:space="0" w:color="auto"/>
              <w:right w:val="nil"/>
            </w:tcBorders>
          </w:tcPr>
          <w:p w14:paraId="50279B43" w14:textId="77777777" w:rsidR="002B61A7" w:rsidRDefault="002B61A7" w:rsidP="0015446E">
            <w:pPr>
              <w:pStyle w:val="NoSpacing"/>
              <w:jc w:val="center"/>
            </w:pPr>
            <w:r>
              <w:t>405/543</w:t>
            </w:r>
          </w:p>
          <w:p w14:paraId="1A7C422B" w14:textId="77777777" w:rsidR="002B61A7" w:rsidRDefault="002B61A7" w:rsidP="0015446E">
            <w:pPr>
              <w:pStyle w:val="NoSpacing"/>
              <w:jc w:val="center"/>
            </w:pPr>
            <w:r>
              <w:t>(74.6)</w:t>
            </w:r>
          </w:p>
        </w:tc>
        <w:tc>
          <w:tcPr>
            <w:tcW w:w="1297" w:type="dxa"/>
            <w:tcBorders>
              <w:left w:val="nil"/>
              <w:bottom w:val="single" w:sz="4" w:space="0" w:color="auto"/>
              <w:right w:val="nil"/>
            </w:tcBorders>
          </w:tcPr>
          <w:p w14:paraId="2C032385" w14:textId="77777777" w:rsidR="002B61A7" w:rsidRDefault="002B61A7" w:rsidP="0015446E">
            <w:pPr>
              <w:pStyle w:val="NoSpacing"/>
              <w:jc w:val="center"/>
            </w:pPr>
            <w:r>
              <w:t>2559/3252</w:t>
            </w:r>
          </w:p>
          <w:p w14:paraId="0F766C20" w14:textId="77777777" w:rsidR="002B61A7" w:rsidRDefault="002B61A7" w:rsidP="0015446E">
            <w:pPr>
              <w:pStyle w:val="NoSpacing"/>
              <w:jc w:val="center"/>
            </w:pPr>
            <w:r>
              <w:t>(78.7)</w:t>
            </w:r>
          </w:p>
        </w:tc>
        <w:tc>
          <w:tcPr>
            <w:tcW w:w="1429" w:type="dxa"/>
            <w:tcBorders>
              <w:left w:val="nil"/>
              <w:bottom w:val="single" w:sz="4" w:space="0" w:color="auto"/>
              <w:right w:val="nil"/>
            </w:tcBorders>
          </w:tcPr>
          <w:p w14:paraId="4D1ED40D" w14:textId="77777777" w:rsidR="002B61A7" w:rsidRDefault="002B61A7" w:rsidP="0015446E">
            <w:pPr>
              <w:pStyle w:val="NoSpacing"/>
              <w:jc w:val="center"/>
            </w:pPr>
            <w:r>
              <w:t>0.80</w:t>
            </w:r>
          </w:p>
          <w:p w14:paraId="32B9DB0E" w14:textId="77777777" w:rsidR="002B61A7" w:rsidRDefault="002B61A7" w:rsidP="0015446E">
            <w:pPr>
              <w:pStyle w:val="NoSpacing"/>
              <w:jc w:val="center"/>
            </w:pPr>
            <w:r>
              <w:t>(0.64 to 0.98)</w:t>
            </w:r>
          </w:p>
        </w:tc>
        <w:tc>
          <w:tcPr>
            <w:tcW w:w="850" w:type="dxa"/>
            <w:tcBorders>
              <w:left w:val="nil"/>
              <w:bottom w:val="single" w:sz="4" w:space="0" w:color="auto"/>
              <w:right w:val="nil"/>
            </w:tcBorders>
          </w:tcPr>
          <w:p w14:paraId="1F1563E2" w14:textId="77777777" w:rsidR="002B61A7" w:rsidRDefault="002B61A7" w:rsidP="0015446E">
            <w:pPr>
              <w:pStyle w:val="NoSpacing"/>
              <w:jc w:val="center"/>
            </w:pPr>
            <w:r>
              <w:t>0.032</w:t>
            </w:r>
          </w:p>
        </w:tc>
        <w:tc>
          <w:tcPr>
            <w:tcW w:w="1559" w:type="dxa"/>
            <w:tcBorders>
              <w:left w:val="nil"/>
              <w:bottom w:val="single" w:sz="4" w:space="0" w:color="auto"/>
              <w:right w:val="nil"/>
            </w:tcBorders>
          </w:tcPr>
          <w:p w14:paraId="12A586A2" w14:textId="77777777" w:rsidR="002B61A7" w:rsidRDefault="002B61A7" w:rsidP="0015446E">
            <w:pPr>
              <w:pStyle w:val="NoSpacing"/>
              <w:jc w:val="center"/>
            </w:pPr>
            <w:r>
              <w:t>1.02</w:t>
            </w:r>
          </w:p>
          <w:p w14:paraId="732AAACC" w14:textId="77777777" w:rsidR="002B61A7" w:rsidRDefault="002B61A7" w:rsidP="0015446E">
            <w:pPr>
              <w:pStyle w:val="NoSpacing"/>
              <w:jc w:val="center"/>
            </w:pPr>
            <w:r>
              <w:t>(0.79 to 1.31)</w:t>
            </w:r>
          </w:p>
        </w:tc>
        <w:tc>
          <w:tcPr>
            <w:tcW w:w="1083" w:type="dxa"/>
            <w:tcBorders>
              <w:left w:val="nil"/>
              <w:bottom w:val="single" w:sz="4" w:space="0" w:color="auto"/>
            </w:tcBorders>
          </w:tcPr>
          <w:p w14:paraId="46E74BEB" w14:textId="77777777" w:rsidR="002B61A7" w:rsidRDefault="002B61A7" w:rsidP="0015446E">
            <w:pPr>
              <w:pStyle w:val="NoSpacing"/>
              <w:jc w:val="center"/>
            </w:pPr>
            <w:r>
              <w:t>0.902</w:t>
            </w:r>
          </w:p>
        </w:tc>
      </w:tr>
      <w:tr w:rsidR="002B61A7" w14:paraId="6911B435" w14:textId="77777777" w:rsidTr="0015446E">
        <w:trPr>
          <w:trHeight w:val="276"/>
          <w:jc w:val="center"/>
        </w:trPr>
        <w:tc>
          <w:tcPr>
            <w:tcW w:w="1471" w:type="dxa"/>
          </w:tcPr>
          <w:p w14:paraId="03995BCF" w14:textId="77777777" w:rsidR="002B61A7" w:rsidRDefault="002B61A7" w:rsidP="0015446E">
            <w:pPr>
              <w:pStyle w:val="NoSpacing"/>
              <w:jc w:val="center"/>
            </w:pPr>
            <w:r>
              <w:t>Anxiolytic</w:t>
            </w:r>
          </w:p>
        </w:tc>
        <w:tc>
          <w:tcPr>
            <w:tcW w:w="1327" w:type="dxa"/>
            <w:tcBorders>
              <w:bottom w:val="single" w:sz="4" w:space="0" w:color="auto"/>
              <w:right w:val="nil"/>
            </w:tcBorders>
          </w:tcPr>
          <w:p w14:paraId="2D63B458" w14:textId="77777777" w:rsidR="002B61A7" w:rsidRDefault="002B61A7" w:rsidP="0015446E">
            <w:pPr>
              <w:pStyle w:val="NoSpacing"/>
              <w:jc w:val="center"/>
            </w:pPr>
            <w:r>
              <w:t>138/543</w:t>
            </w:r>
          </w:p>
          <w:p w14:paraId="650A6AE2" w14:textId="77777777" w:rsidR="002B61A7" w:rsidRDefault="002B61A7" w:rsidP="0015446E">
            <w:pPr>
              <w:pStyle w:val="NoSpacing"/>
              <w:jc w:val="center"/>
            </w:pPr>
            <w:r>
              <w:t>(25.4)</w:t>
            </w:r>
          </w:p>
        </w:tc>
        <w:tc>
          <w:tcPr>
            <w:tcW w:w="1297" w:type="dxa"/>
            <w:tcBorders>
              <w:left w:val="nil"/>
              <w:bottom w:val="single" w:sz="4" w:space="0" w:color="auto"/>
              <w:right w:val="nil"/>
            </w:tcBorders>
          </w:tcPr>
          <w:p w14:paraId="5BB354EA" w14:textId="77777777" w:rsidR="002B61A7" w:rsidRDefault="002B61A7" w:rsidP="0015446E">
            <w:pPr>
              <w:pStyle w:val="NoSpacing"/>
              <w:jc w:val="center"/>
            </w:pPr>
            <w:r>
              <w:t>961/3252</w:t>
            </w:r>
          </w:p>
          <w:p w14:paraId="09CD75AB" w14:textId="77777777" w:rsidR="002B61A7" w:rsidRDefault="002B61A7" w:rsidP="0015446E">
            <w:pPr>
              <w:pStyle w:val="NoSpacing"/>
              <w:jc w:val="center"/>
            </w:pPr>
            <w:r>
              <w:t>(29.6)</w:t>
            </w:r>
          </w:p>
        </w:tc>
        <w:tc>
          <w:tcPr>
            <w:tcW w:w="1429" w:type="dxa"/>
            <w:tcBorders>
              <w:left w:val="nil"/>
              <w:bottom w:val="single" w:sz="4" w:space="0" w:color="auto"/>
              <w:right w:val="nil"/>
            </w:tcBorders>
          </w:tcPr>
          <w:p w14:paraId="2A27E0BD" w14:textId="77777777" w:rsidR="002B61A7" w:rsidRDefault="002B61A7" w:rsidP="0015446E">
            <w:pPr>
              <w:pStyle w:val="NoSpacing"/>
              <w:jc w:val="center"/>
            </w:pPr>
            <w:r>
              <w:t>0.81</w:t>
            </w:r>
          </w:p>
          <w:p w14:paraId="56E56E4D" w14:textId="77777777" w:rsidR="002B61A7" w:rsidRDefault="002B61A7" w:rsidP="0015446E">
            <w:pPr>
              <w:pStyle w:val="NoSpacing"/>
              <w:jc w:val="center"/>
            </w:pPr>
            <w:r>
              <w:t>(0.66 to 0.99)</w:t>
            </w:r>
          </w:p>
        </w:tc>
        <w:tc>
          <w:tcPr>
            <w:tcW w:w="850" w:type="dxa"/>
            <w:tcBorders>
              <w:left w:val="nil"/>
              <w:bottom w:val="single" w:sz="4" w:space="0" w:color="auto"/>
              <w:right w:val="nil"/>
            </w:tcBorders>
          </w:tcPr>
          <w:p w14:paraId="3AC5704A" w14:textId="77777777" w:rsidR="002B61A7" w:rsidRDefault="002B61A7" w:rsidP="0015446E">
            <w:pPr>
              <w:pStyle w:val="NoSpacing"/>
              <w:jc w:val="center"/>
            </w:pPr>
            <w:r>
              <w:t>0.049</w:t>
            </w:r>
          </w:p>
        </w:tc>
        <w:tc>
          <w:tcPr>
            <w:tcW w:w="1559" w:type="dxa"/>
            <w:tcBorders>
              <w:left w:val="nil"/>
              <w:bottom w:val="single" w:sz="4" w:space="0" w:color="auto"/>
              <w:right w:val="nil"/>
            </w:tcBorders>
          </w:tcPr>
          <w:p w14:paraId="4371AB70" w14:textId="77777777" w:rsidR="002B61A7" w:rsidRDefault="002B61A7" w:rsidP="0015446E">
            <w:pPr>
              <w:pStyle w:val="NoSpacing"/>
              <w:jc w:val="center"/>
            </w:pPr>
            <w:r>
              <w:t>0.92</w:t>
            </w:r>
          </w:p>
          <w:p w14:paraId="7ACAB862" w14:textId="77777777" w:rsidR="002B61A7" w:rsidRDefault="002B61A7" w:rsidP="0015446E">
            <w:pPr>
              <w:pStyle w:val="NoSpacing"/>
              <w:jc w:val="center"/>
            </w:pPr>
            <w:r>
              <w:t>(0.72 to 1.17)</w:t>
            </w:r>
          </w:p>
        </w:tc>
        <w:tc>
          <w:tcPr>
            <w:tcW w:w="1083" w:type="dxa"/>
            <w:tcBorders>
              <w:left w:val="nil"/>
              <w:bottom w:val="single" w:sz="4" w:space="0" w:color="auto"/>
            </w:tcBorders>
          </w:tcPr>
          <w:p w14:paraId="4E10797E" w14:textId="77777777" w:rsidR="002B61A7" w:rsidRDefault="002B61A7" w:rsidP="0015446E">
            <w:pPr>
              <w:pStyle w:val="NoSpacing"/>
              <w:jc w:val="center"/>
            </w:pPr>
            <w:r>
              <w:t>0.480</w:t>
            </w:r>
          </w:p>
        </w:tc>
      </w:tr>
      <w:tr w:rsidR="002B61A7" w14:paraId="62BC3F31" w14:textId="77777777" w:rsidTr="0015446E">
        <w:trPr>
          <w:trHeight w:val="276"/>
          <w:jc w:val="center"/>
        </w:trPr>
        <w:tc>
          <w:tcPr>
            <w:tcW w:w="1471" w:type="dxa"/>
          </w:tcPr>
          <w:p w14:paraId="673B427F" w14:textId="77777777" w:rsidR="002B61A7" w:rsidRDefault="002B61A7" w:rsidP="0015446E">
            <w:pPr>
              <w:pStyle w:val="NoSpacing"/>
              <w:jc w:val="center"/>
            </w:pPr>
            <w:r>
              <w:t>Benzodiazepine</w:t>
            </w:r>
          </w:p>
        </w:tc>
        <w:tc>
          <w:tcPr>
            <w:tcW w:w="1327" w:type="dxa"/>
            <w:tcBorders>
              <w:bottom w:val="single" w:sz="4" w:space="0" w:color="auto"/>
              <w:right w:val="nil"/>
            </w:tcBorders>
          </w:tcPr>
          <w:p w14:paraId="6772FBE5" w14:textId="77777777" w:rsidR="002B61A7" w:rsidRDefault="002B61A7" w:rsidP="0015446E">
            <w:pPr>
              <w:pStyle w:val="NoSpacing"/>
              <w:jc w:val="center"/>
            </w:pPr>
            <w:r>
              <w:t>57/543</w:t>
            </w:r>
          </w:p>
          <w:p w14:paraId="41366066" w14:textId="77777777" w:rsidR="002B61A7" w:rsidRDefault="002B61A7" w:rsidP="0015446E">
            <w:pPr>
              <w:pStyle w:val="NoSpacing"/>
              <w:jc w:val="center"/>
            </w:pPr>
            <w:r>
              <w:t>(10.5)</w:t>
            </w:r>
          </w:p>
        </w:tc>
        <w:tc>
          <w:tcPr>
            <w:tcW w:w="1297" w:type="dxa"/>
            <w:tcBorders>
              <w:left w:val="nil"/>
              <w:bottom w:val="single" w:sz="4" w:space="0" w:color="auto"/>
              <w:right w:val="nil"/>
            </w:tcBorders>
          </w:tcPr>
          <w:p w14:paraId="5E1D0B95" w14:textId="77777777" w:rsidR="002B61A7" w:rsidRDefault="002B61A7" w:rsidP="0015446E">
            <w:pPr>
              <w:pStyle w:val="NoSpacing"/>
              <w:jc w:val="center"/>
            </w:pPr>
            <w:r>
              <w:t>442/3252</w:t>
            </w:r>
          </w:p>
          <w:p w14:paraId="1B524DDD" w14:textId="77777777" w:rsidR="002B61A7" w:rsidRDefault="002B61A7" w:rsidP="0015446E">
            <w:pPr>
              <w:pStyle w:val="NoSpacing"/>
              <w:jc w:val="center"/>
            </w:pPr>
            <w:r>
              <w:t>(13.6)</w:t>
            </w:r>
          </w:p>
        </w:tc>
        <w:tc>
          <w:tcPr>
            <w:tcW w:w="1429" w:type="dxa"/>
            <w:tcBorders>
              <w:left w:val="nil"/>
              <w:bottom w:val="single" w:sz="4" w:space="0" w:color="auto"/>
              <w:right w:val="nil"/>
            </w:tcBorders>
          </w:tcPr>
          <w:p w14:paraId="3F81DEFE" w14:textId="77777777" w:rsidR="002B61A7" w:rsidRDefault="002B61A7" w:rsidP="0015446E">
            <w:pPr>
              <w:pStyle w:val="NoSpacing"/>
              <w:jc w:val="center"/>
            </w:pPr>
            <w:r>
              <w:t>0.75</w:t>
            </w:r>
          </w:p>
          <w:p w14:paraId="74548997" w14:textId="77777777" w:rsidR="002B61A7" w:rsidRDefault="002B61A7" w:rsidP="0015446E">
            <w:pPr>
              <w:pStyle w:val="NoSpacing"/>
              <w:jc w:val="center"/>
            </w:pPr>
            <w:r>
              <w:t>(0.56 to 0.99)</w:t>
            </w:r>
          </w:p>
        </w:tc>
        <w:tc>
          <w:tcPr>
            <w:tcW w:w="850" w:type="dxa"/>
            <w:tcBorders>
              <w:left w:val="nil"/>
              <w:bottom w:val="single" w:sz="4" w:space="0" w:color="auto"/>
              <w:right w:val="nil"/>
            </w:tcBorders>
          </w:tcPr>
          <w:p w14:paraId="6A2F6575" w14:textId="77777777" w:rsidR="002B61A7" w:rsidRDefault="002B61A7" w:rsidP="0015446E">
            <w:pPr>
              <w:pStyle w:val="NoSpacing"/>
              <w:jc w:val="center"/>
            </w:pPr>
            <w:r>
              <w:t>0.048</w:t>
            </w:r>
          </w:p>
        </w:tc>
        <w:tc>
          <w:tcPr>
            <w:tcW w:w="1559" w:type="dxa"/>
            <w:tcBorders>
              <w:left w:val="nil"/>
              <w:bottom w:val="single" w:sz="4" w:space="0" w:color="auto"/>
              <w:right w:val="nil"/>
            </w:tcBorders>
          </w:tcPr>
          <w:p w14:paraId="3754203B" w14:textId="77777777" w:rsidR="002B61A7" w:rsidRDefault="002B61A7" w:rsidP="0015446E">
            <w:pPr>
              <w:pStyle w:val="NoSpacing"/>
              <w:jc w:val="center"/>
            </w:pPr>
            <w:r>
              <w:t>0.83</w:t>
            </w:r>
          </w:p>
          <w:p w14:paraId="31655266" w14:textId="77777777" w:rsidR="002B61A7" w:rsidRDefault="002B61A7" w:rsidP="0015446E">
            <w:pPr>
              <w:pStyle w:val="NoSpacing"/>
              <w:jc w:val="center"/>
            </w:pPr>
            <w:r>
              <w:t>(0.59 to 1.17)</w:t>
            </w:r>
          </w:p>
        </w:tc>
        <w:tc>
          <w:tcPr>
            <w:tcW w:w="1083" w:type="dxa"/>
            <w:tcBorders>
              <w:left w:val="nil"/>
              <w:bottom w:val="single" w:sz="4" w:space="0" w:color="auto"/>
            </w:tcBorders>
          </w:tcPr>
          <w:p w14:paraId="1716DA2A" w14:textId="77777777" w:rsidR="002B61A7" w:rsidRDefault="002B61A7" w:rsidP="0015446E">
            <w:pPr>
              <w:pStyle w:val="NoSpacing"/>
              <w:jc w:val="center"/>
            </w:pPr>
            <w:r>
              <w:t>0.284</w:t>
            </w:r>
          </w:p>
        </w:tc>
      </w:tr>
      <w:tr w:rsidR="002B61A7" w14:paraId="077F46CC" w14:textId="77777777" w:rsidTr="0015446E">
        <w:trPr>
          <w:trHeight w:val="276"/>
          <w:jc w:val="center"/>
        </w:trPr>
        <w:tc>
          <w:tcPr>
            <w:tcW w:w="1471" w:type="dxa"/>
          </w:tcPr>
          <w:p w14:paraId="6AD13502" w14:textId="77777777" w:rsidR="002B61A7" w:rsidRDefault="002B61A7" w:rsidP="0015446E">
            <w:pPr>
              <w:pStyle w:val="NoSpacing"/>
              <w:jc w:val="center"/>
            </w:pPr>
            <w:r>
              <w:t>Antipsychotic</w:t>
            </w:r>
          </w:p>
        </w:tc>
        <w:tc>
          <w:tcPr>
            <w:tcW w:w="1327" w:type="dxa"/>
            <w:tcBorders>
              <w:bottom w:val="single" w:sz="4" w:space="0" w:color="auto"/>
              <w:right w:val="nil"/>
            </w:tcBorders>
          </w:tcPr>
          <w:p w14:paraId="76EB7161" w14:textId="77777777" w:rsidR="002B61A7" w:rsidRDefault="002B61A7" w:rsidP="0015446E">
            <w:pPr>
              <w:pStyle w:val="NoSpacing"/>
              <w:jc w:val="center"/>
            </w:pPr>
            <w:r>
              <w:t>160/543</w:t>
            </w:r>
          </w:p>
          <w:p w14:paraId="4169868E" w14:textId="77777777" w:rsidR="002B61A7" w:rsidRDefault="002B61A7" w:rsidP="0015446E">
            <w:pPr>
              <w:pStyle w:val="NoSpacing"/>
              <w:jc w:val="center"/>
            </w:pPr>
            <w:r>
              <w:t>(29.5)</w:t>
            </w:r>
          </w:p>
        </w:tc>
        <w:tc>
          <w:tcPr>
            <w:tcW w:w="1297" w:type="dxa"/>
            <w:tcBorders>
              <w:left w:val="nil"/>
              <w:bottom w:val="single" w:sz="4" w:space="0" w:color="auto"/>
              <w:right w:val="nil"/>
            </w:tcBorders>
          </w:tcPr>
          <w:p w14:paraId="085BDA38" w14:textId="77777777" w:rsidR="002B61A7" w:rsidRDefault="002B61A7" w:rsidP="0015446E">
            <w:pPr>
              <w:pStyle w:val="NoSpacing"/>
              <w:jc w:val="center"/>
            </w:pPr>
            <w:r>
              <w:t>1101/3252</w:t>
            </w:r>
          </w:p>
          <w:p w14:paraId="46CF47A5" w14:textId="77777777" w:rsidR="002B61A7" w:rsidRDefault="002B61A7" w:rsidP="0015446E">
            <w:pPr>
              <w:pStyle w:val="NoSpacing"/>
              <w:jc w:val="center"/>
            </w:pPr>
            <w:r>
              <w:t>(33.9)</w:t>
            </w:r>
          </w:p>
        </w:tc>
        <w:tc>
          <w:tcPr>
            <w:tcW w:w="1429" w:type="dxa"/>
            <w:tcBorders>
              <w:left w:val="nil"/>
              <w:bottom w:val="single" w:sz="4" w:space="0" w:color="auto"/>
              <w:right w:val="nil"/>
            </w:tcBorders>
          </w:tcPr>
          <w:p w14:paraId="18FC72B7" w14:textId="77777777" w:rsidR="002B61A7" w:rsidRDefault="002B61A7" w:rsidP="0015446E">
            <w:pPr>
              <w:pStyle w:val="NoSpacing"/>
              <w:jc w:val="center"/>
            </w:pPr>
            <w:r>
              <w:t>0.82</w:t>
            </w:r>
          </w:p>
          <w:p w14:paraId="27C98DEE" w14:textId="77777777" w:rsidR="002B61A7" w:rsidRDefault="002B61A7" w:rsidP="0015446E">
            <w:pPr>
              <w:pStyle w:val="NoSpacing"/>
              <w:jc w:val="center"/>
            </w:pPr>
            <w:r>
              <w:t>(0.67 to 0.99)</w:t>
            </w:r>
          </w:p>
        </w:tc>
        <w:tc>
          <w:tcPr>
            <w:tcW w:w="850" w:type="dxa"/>
            <w:tcBorders>
              <w:left w:val="nil"/>
              <w:bottom w:val="single" w:sz="4" w:space="0" w:color="auto"/>
              <w:right w:val="nil"/>
            </w:tcBorders>
          </w:tcPr>
          <w:p w14:paraId="7A56A6D1" w14:textId="77777777" w:rsidR="002B61A7" w:rsidRDefault="002B61A7" w:rsidP="0015446E">
            <w:pPr>
              <w:pStyle w:val="NoSpacing"/>
              <w:jc w:val="center"/>
            </w:pPr>
            <w:r>
              <w:t>0.044</w:t>
            </w:r>
          </w:p>
        </w:tc>
        <w:tc>
          <w:tcPr>
            <w:tcW w:w="1559" w:type="dxa"/>
            <w:tcBorders>
              <w:left w:val="nil"/>
              <w:bottom w:val="single" w:sz="4" w:space="0" w:color="auto"/>
              <w:right w:val="nil"/>
            </w:tcBorders>
          </w:tcPr>
          <w:p w14:paraId="694AAB71" w14:textId="77777777" w:rsidR="002B61A7" w:rsidRDefault="002B61A7" w:rsidP="0015446E">
            <w:pPr>
              <w:pStyle w:val="NoSpacing"/>
              <w:jc w:val="center"/>
            </w:pPr>
            <w:r>
              <w:t>0.87</w:t>
            </w:r>
          </w:p>
          <w:p w14:paraId="709FF047" w14:textId="77777777" w:rsidR="002B61A7" w:rsidRDefault="002B61A7" w:rsidP="0015446E">
            <w:pPr>
              <w:pStyle w:val="NoSpacing"/>
              <w:jc w:val="center"/>
            </w:pPr>
            <w:r>
              <w:t>(0.69 to 1.10)</w:t>
            </w:r>
          </w:p>
        </w:tc>
        <w:tc>
          <w:tcPr>
            <w:tcW w:w="1083" w:type="dxa"/>
            <w:tcBorders>
              <w:left w:val="nil"/>
              <w:bottom w:val="single" w:sz="4" w:space="0" w:color="auto"/>
            </w:tcBorders>
          </w:tcPr>
          <w:p w14:paraId="42D1D904" w14:textId="77777777" w:rsidR="002B61A7" w:rsidRDefault="002B61A7" w:rsidP="0015446E">
            <w:pPr>
              <w:pStyle w:val="NoSpacing"/>
              <w:jc w:val="center"/>
            </w:pPr>
            <w:r>
              <w:t>0.238</w:t>
            </w:r>
          </w:p>
        </w:tc>
      </w:tr>
      <w:tr w:rsidR="002B61A7" w14:paraId="62B26218" w14:textId="77777777" w:rsidTr="0015446E">
        <w:trPr>
          <w:trHeight w:val="289"/>
          <w:jc w:val="center"/>
        </w:trPr>
        <w:tc>
          <w:tcPr>
            <w:tcW w:w="1471" w:type="dxa"/>
          </w:tcPr>
          <w:p w14:paraId="38CBB981" w14:textId="77777777" w:rsidR="002B61A7" w:rsidRDefault="002B61A7" w:rsidP="0015446E">
            <w:pPr>
              <w:pStyle w:val="NoSpacing"/>
              <w:jc w:val="center"/>
            </w:pPr>
            <w:r>
              <w:t>Mood Stabiliser</w:t>
            </w:r>
          </w:p>
        </w:tc>
        <w:tc>
          <w:tcPr>
            <w:tcW w:w="1327" w:type="dxa"/>
            <w:tcBorders>
              <w:right w:val="nil"/>
            </w:tcBorders>
          </w:tcPr>
          <w:p w14:paraId="7A9868F2" w14:textId="77777777" w:rsidR="002B61A7" w:rsidRDefault="002B61A7" w:rsidP="0015446E">
            <w:pPr>
              <w:pStyle w:val="NoSpacing"/>
              <w:jc w:val="center"/>
            </w:pPr>
            <w:r>
              <w:t>17/543</w:t>
            </w:r>
          </w:p>
          <w:p w14:paraId="43FEF902" w14:textId="77777777" w:rsidR="002B61A7" w:rsidRDefault="002B61A7" w:rsidP="0015446E">
            <w:pPr>
              <w:pStyle w:val="NoSpacing"/>
              <w:jc w:val="center"/>
            </w:pPr>
            <w:r>
              <w:t>(3.1)</w:t>
            </w:r>
          </w:p>
        </w:tc>
        <w:tc>
          <w:tcPr>
            <w:tcW w:w="1297" w:type="dxa"/>
            <w:tcBorders>
              <w:left w:val="nil"/>
              <w:right w:val="nil"/>
            </w:tcBorders>
          </w:tcPr>
          <w:p w14:paraId="27A3AD8D" w14:textId="77777777" w:rsidR="002B61A7" w:rsidRDefault="002B61A7" w:rsidP="0015446E">
            <w:pPr>
              <w:pStyle w:val="NoSpacing"/>
              <w:jc w:val="center"/>
            </w:pPr>
            <w:r>
              <w:t>225/3252</w:t>
            </w:r>
          </w:p>
          <w:p w14:paraId="4D45BC4F" w14:textId="77777777" w:rsidR="002B61A7" w:rsidRDefault="002B61A7" w:rsidP="0015446E">
            <w:pPr>
              <w:pStyle w:val="NoSpacing"/>
              <w:jc w:val="center"/>
            </w:pPr>
            <w:r>
              <w:t>(6.9)</w:t>
            </w:r>
          </w:p>
        </w:tc>
        <w:tc>
          <w:tcPr>
            <w:tcW w:w="1429" w:type="dxa"/>
            <w:tcBorders>
              <w:left w:val="nil"/>
              <w:right w:val="nil"/>
            </w:tcBorders>
          </w:tcPr>
          <w:p w14:paraId="0756047C" w14:textId="77777777" w:rsidR="002B61A7" w:rsidRDefault="002B61A7" w:rsidP="0015446E">
            <w:pPr>
              <w:pStyle w:val="NoSpacing"/>
              <w:jc w:val="center"/>
            </w:pPr>
            <w:r>
              <w:t>0.44</w:t>
            </w:r>
          </w:p>
          <w:p w14:paraId="09F6BE1A" w14:textId="77777777" w:rsidR="002B61A7" w:rsidRDefault="002B61A7" w:rsidP="0015446E">
            <w:pPr>
              <w:pStyle w:val="NoSpacing"/>
              <w:jc w:val="center"/>
            </w:pPr>
            <w:r>
              <w:t>(0.26 to 0.72)</w:t>
            </w:r>
          </w:p>
        </w:tc>
        <w:tc>
          <w:tcPr>
            <w:tcW w:w="850" w:type="dxa"/>
            <w:tcBorders>
              <w:left w:val="nil"/>
              <w:right w:val="nil"/>
            </w:tcBorders>
          </w:tcPr>
          <w:p w14:paraId="59E78FA2" w14:textId="77777777" w:rsidR="002B61A7" w:rsidRDefault="002B61A7" w:rsidP="0015446E">
            <w:pPr>
              <w:pStyle w:val="NoSpacing"/>
              <w:jc w:val="center"/>
            </w:pPr>
            <w:r>
              <w:t>0.001</w:t>
            </w:r>
          </w:p>
        </w:tc>
        <w:tc>
          <w:tcPr>
            <w:tcW w:w="1559" w:type="dxa"/>
            <w:tcBorders>
              <w:left w:val="nil"/>
              <w:right w:val="nil"/>
            </w:tcBorders>
          </w:tcPr>
          <w:p w14:paraId="237E2FCA" w14:textId="77777777" w:rsidR="002B61A7" w:rsidRDefault="002B61A7" w:rsidP="0015446E">
            <w:pPr>
              <w:pStyle w:val="NoSpacing"/>
              <w:jc w:val="center"/>
            </w:pPr>
            <w:r>
              <w:t>0.47</w:t>
            </w:r>
          </w:p>
          <w:p w14:paraId="3AFC2E7A" w14:textId="77777777" w:rsidR="002B61A7" w:rsidRDefault="002B61A7" w:rsidP="0015446E">
            <w:pPr>
              <w:pStyle w:val="NoSpacing"/>
              <w:jc w:val="center"/>
            </w:pPr>
            <w:r>
              <w:t>(0.26 to 0.86)</w:t>
            </w:r>
          </w:p>
        </w:tc>
        <w:tc>
          <w:tcPr>
            <w:tcW w:w="1083" w:type="dxa"/>
            <w:tcBorders>
              <w:left w:val="nil"/>
            </w:tcBorders>
          </w:tcPr>
          <w:p w14:paraId="778FCCD8" w14:textId="77777777" w:rsidR="002B61A7" w:rsidRDefault="002B61A7" w:rsidP="0015446E">
            <w:pPr>
              <w:pStyle w:val="NoSpacing"/>
              <w:jc w:val="center"/>
            </w:pPr>
            <w:r>
              <w:t>0.015</w:t>
            </w:r>
          </w:p>
        </w:tc>
      </w:tr>
    </w:tbl>
    <w:p w14:paraId="706A14A6" w14:textId="77777777" w:rsidR="002B61A7" w:rsidRDefault="002B61A7" w:rsidP="002B61A7">
      <w:pPr>
        <w:pStyle w:val="NoSpacing"/>
      </w:pPr>
    </w:p>
    <w:p w14:paraId="30A70DA8" w14:textId="77777777" w:rsidR="002B61A7" w:rsidRDefault="002B61A7" w:rsidP="002B61A7"/>
    <w:p w14:paraId="13C3A87F" w14:textId="77777777" w:rsidR="002B61A7" w:rsidRDefault="002B61A7" w:rsidP="002B61A7">
      <w:pPr>
        <w:pStyle w:val="ListParagraph"/>
        <w:numPr>
          <w:ilvl w:val="0"/>
          <w:numId w:val="13"/>
        </w:numPr>
        <w:jc w:val="left"/>
      </w:pPr>
      <w:r>
        <w:t xml:space="preserve">Adjusted for NHS trust, age, gender, ethnicity, employment status, primary/ secondary diagnosis. </w:t>
      </w:r>
    </w:p>
    <w:p w14:paraId="5423C808" w14:textId="77777777" w:rsidR="002B61A7" w:rsidRDefault="002B61A7" w:rsidP="002B61A7">
      <w:pPr>
        <w:pStyle w:val="NoSpacing"/>
      </w:pPr>
    </w:p>
    <w:p w14:paraId="7BBDC813" w14:textId="77777777" w:rsidR="002B61A7" w:rsidRDefault="002B61A7" w:rsidP="002B61A7">
      <w:pPr>
        <w:pStyle w:val="NoSpacing"/>
      </w:pPr>
    </w:p>
    <w:p w14:paraId="3AB173B1" w14:textId="77777777" w:rsidR="002B61A7" w:rsidRDefault="002B61A7" w:rsidP="002B61A7"/>
    <w:p w14:paraId="44B031A1" w14:textId="77777777" w:rsidR="002B61A7" w:rsidRDefault="002B61A7" w:rsidP="002B61A7"/>
    <w:p w14:paraId="366CCFA5" w14:textId="77777777" w:rsidR="002B61A7" w:rsidRDefault="002B61A7" w:rsidP="002B61A7"/>
    <w:p w14:paraId="0766C4D6" w14:textId="77777777" w:rsidR="002B61A7" w:rsidRDefault="002B61A7" w:rsidP="002B61A7"/>
    <w:p w14:paraId="0C99FBB2" w14:textId="77777777" w:rsidR="002B61A7" w:rsidRDefault="002B61A7" w:rsidP="002B61A7"/>
    <w:p w14:paraId="0A5986C0" w14:textId="77777777" w:rsidR="002B61A7" w:rsidRDefault="002B61A7" w:rsidP="002B61A7"/>
    <w:p w14:paraId="2793383C" w14:textId="77777777" w:rsidR="002B61A7" w:rsidRDefault="002B61A7" w:rsidP="002B61A7"/>
    <w:p w14:paraId="55E13062" w14:textId="77777777" w:rsidR="002B61A7" w:rsidRDefault="002B61A7" w:rsidP="002B61A7"/>
    <w:p w14:paraId="3B0A1098" w14:textId="77777777" w:rsidR="002B61A7" w:rsidRDefault="002B61A7" w:rsidP="002B61A7"/>
    <w:p w14:paraId="0C2B6DC4" w14:textId="77777777" w:rsidR="002B61A7" w:rsidRDefault="002B61A7" w:rsidP="002B61A7"/>
    <w:p w14:paraId="791EA3CF" w14:textId="77777777" w:rsidR="002B61A7" w:rsidRDefault="002B61A7" w:rsidP="002B61A7"/>
    <w:p w14:paraId="37D70C43" w14:textId="583E405D" w:rsidR="002B61A7" w:rsidRDefault="002B61A7"/>
    <w:p w14:paraId="67382379" w14:textId="2C6B5CA3" w:rsidR="00073F3A" w:rsidRDefault="00073F3A"/>
    <w:p w14:paraId="2DCDA591" w14:textId="2DE5F5CF" w:rsidR="00073F3A" w:rsidRDefault="00073F3A"/>
    <w:p w14:paraId="596EAF8F" w14:textId="5FD5CC9E" w:rsidR="00073F3A" w:rsidRDefault="00073F3A"/>
    <w:p w14:paraId="4042379B" w14:textId="77777777" w:rsidR="00073F3A" w:rsidRDefault="00073F3A" w:rsidP="00073F3A">
      <w:pPr>
        <w:pStyle w:val="Heading2"/>
      </w:pPr>
      <w:r>
        <w:rPr>
          <w:rStyle w:val="Heading2Char"/>
        </w:rPr>
        <w:t>Figure 1</w:t>
      </w:r>
    </w:p>
    <w:p w14:paraId="475C1D75" w14:textId="77777777" w:rsidR="00073F3A" w:rsidRDefault="00073F3A" w:rsidP="00073F3A"/>
    <w:p w14:paraId="33E2FDC7" w14:textId="77777777" w:rsidR="00073F3A" w:rsidRDefault="00073F3A" w:rsidP="00073F3A">
      <w:r>
        <w:t>Forest plot of association of co-existing SUD with quality of care measures.</w:t>
      </w:r>
    </w:p>
    <w:p w14:paraId="262E80D4" w14:textId="77777777" w:rsidR="00073F3A" w:rsidRDefault="00073F3A" w:rsidP="00073F3A">
      <w:pPr>
        <w:pStyle w:val="NoSpacing"/>
      </w:pPr>
    </w:p>
    <w:p w14:paraId="61110E12" w14:textId="77777777" w:rsidR="00073F3A" w:rsidRDefault="00073F3A" w:rsidP="00073F3A">
      <w:pPr>
        <w:pStyle w:val="NoSpacing"/>
      </w:pPr>
      <w:r>
        <w:rPr>
          <w:noProof/>
          <w:lang w:eastAsia="en-GB"/>
        </w:rPr>
        <w:lastRenderedPageBreak/>
        <w:drawing>
          <wp:inline distT="0" distB="0" distL="0" distR="0" wp14:anchorId="5CFE31A4" wp14:editId="1EC35A7D">
            <wp:extent cx="6202680" cy="4859217"/>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630" t="14769" r="15770" b="1974"/>
                    <a:stretch/>
                  </pic:blipFill>
                  <pic:spPr bwMode="auto">
                    <a:xfrm>
                      <a:off x="0" y="0"/>
                      <a:ext cx="6237561" cy="4886543"/>
                    </a:xfrm>
                    <a:prstGeom prst="rect">
                      <a:avLst/>
                    </a:prstGeom>
                    <a:noFill/>
                    <a:ln>
                      <a:noFill/>
                    </a:ln>
                    <a:extLst>
                      <a:ext uri="{53640926-AAD7-44D8-BBD7-CCE9431645EC}">
                        <a14:shadowObscured xmlns:a14="http://schemas.microsoft.com/office/drawing/2010/main"/>
                      </a:ext>
                    </a:extLst>
                  </pic:spPr>
                </pic:pic>
              </a:graphicData>
            </a:graphic>
          </wp:inline>
        </w:drawing>
      </w:r>
    </w:p>
    <w:p w14:paraId="6655A633" w14:textId="77777777" w:rsidR="00073F3A" w:rsidRDefault="00073F3A" w:rsidP="00073F3A">
      <w:pPr>
        <w:pStyle w:val="NoSpacing"/>
      </w:pPr>
    </w:p>
    <w:p w14:paraId="7ED5CE50" w14:textId="77777777" w:rsidR="00073F3A" w:rsidRDefault="00073F3A" w:rsidP="00073F3A">
      <w:pPr>
        <w:pStyle w:val="NoSpacing"/>
      </w:pPr>
    </w:p>
    <w:p w14:paraId="6B58C075" w14:textId="77777777" w:rsidR="00073F3A" w:rsidRDefault="00073F3A" w:rsidP="00073F3A">
      <w:pPr>
        <w:pStyle w:val="NoSpacing"/>
      </w:pPr>
    </w:p>
    <w:p w14:paraId="46DC29D6" w14:textId="77777777" w:rsidR="00073F3A" w:rsidRDefault="00073F3A" w:rsidP="00073F3A">
      <w:pPr>
        <w:pStyle w:val="NoSpacing"/>
      </w:pPr>
    </w:p>
    <w:p w14:paraId="073DCEC9" w14:textId="77777777" w:rsidR="00073F3A" w:rsidRDefault="00073F3A" w:rsidP="00073F3A">
      <w:pPr>
        <w:pStyle w:val="NoSpacing"/>
      </w:pPr>
    </w:p>
    <w:p w14:paraId="6932B8E7" w14:textId="77777777" w:rsidR="00073F3A" w:rsidRDefault="00073F3A" w:rsidP="00073F3A">
      <w:pPr>
        <w:pStyle w:val="NoSpacing"/>
      </w:pPr>
    </w:p>
    <w:p w14:paraId="59EC657C" w14:textId="77777777" w:rsidR="00073F3A" w:rsidRDefault="00073F3A" w:rsidP="00073F3A"/>
    <w:p w14:paraId="2817B419" w14:textId="77777777" w:rsidR="00073F3A" w:rsidRDefault="00073F3A"/>
    <w:sectPr w:rsidR="00073F3A" w:rsidSect="003C690A">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8338E" w14:textId="77777777" w:rsidR="003F3018" w:rsidRDefault="003F3018" w:rsidP="007728CD">
      <w:pPr>
        <w:spacing w:after="0" w:line="240" w:lineRule="auto"/>
      </w:pPr>
      <w:r>
        <w:separator/>
      </w:r>
    </w:p>
  </w:endnote>
  <w:endnote w:type="continuationSeparator" w:id="0">
    <w:p w14:paraId="557723D5" w14:textId="77777777" w:rsidR="003F3018" w:rsidRDefault="003F3018" w:rsidP="00772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6440A" w14:textId="77777777" w:rsidR="003F3018" w:rsidRDefault="003F3018" w:rsidP="007728CD">
      <w:pPr>
        <w:spacing w:after="0" w:line="240" w:lineRule="auto"/>
      </w:pPr>
      <w:r>
        <w:separator/>
      </w:r>
    </w:p>
  </w:footnote>
  <w:footnote w:type="continuationSeparator" w:id="0">
    <w:p w14:paraId="10EFFA66" w14:textId="77777777" w:rsidR="003F3018" w:rsidRDefault="003F3018" w:rsidP="007728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A12C5"/>
    <w:multiLevelType w:val="hybridMultilevel"/>
    <w:tmpl w:val="91CE2B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F035FE"/>
    <w:multiLevelType w:val="hybridMultilevel"/>
    <w:tmpl w:val="117077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7917CF"/>
    <w:multiLevelType w:val="hybridMultilevel"/>
    <w:tmpl w:val="4F6E960C"/>
    <w:lvl w:ilvl="0" w:tplc="3E36264A">
      <w:start w:val="57"/>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A30F2"/>
    <w:multiLevelType w:val="hybridMultilevel"/>
    <w:tmpl w:val="117077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1A028B"/>
    <w:multiLevelType w:val="hybridMultilevel"/>
    <w:tmpl w:val="E5E6620A"/>
    <w:lvl w:ilvl="0" w:tplc="318E65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403AF"/>
    <w:multiLevelType w:val="hybridMultilevel"/>
    <w:tmpl w:val="91CE2B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084328"/>
    <w:multiLevelType w:val="hybridMultilevel"/>
    <w:tmpl w:val="43EAF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B566DA"/>
    <w:multiLevelType w:val="hybridMultilevel"/>
    <w:tmpl w:val="91CE2B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4E3FE7"/>
    <w:multiLevelType w:val="hybridMultilevel"/>
    <w:tmpl w:val="91CE2B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B050EB"/>
    <w:multiLevelType w:val="hybridMultilevel"/>
    <w:tmpl w:val="91CE2B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2F6963"/>
    <w:multiLevelType w:val="hybridMultilevel"/>
    <w:tmpl w:val="91CE2B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665AAA"/>
    <w:multiLevelType w:val="hybridMultilevel"/>
    <w:tmpl w:val="283E3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BD051F"/>
    <w:multiLevelType w:val="hybridMultilevel"/>
    <w:tmpl w:val="ECE24000"/>
    <w:lvl w:ilvl="0" w:tplc="7DC0A3B6">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A31743"/>
    <w:multiLevelType w:val="hybridMultilevel"/>
    <w:tmpl w:val="91CE2B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797EC4"/>
    <w:multiLevelType w:val="hybridMultilevel"/>
    <w:tmpl w:val="117077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00163C"/>
    <w:multiLevelType w:val="hybridMultilevel"/>
    <w:tmpl w:val="5D806C94"/>
    <w:lvl w:ilvl="0" w:tplc="7AF0B45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8D64FE"/>
    <w:multiLevelType w:val="hybridMultilevel"/>
    <w:tmpl w:val="91CE2B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CD1C97"/>
    <w:multiLevelType w:val="hybridMultilevel"/>
    <w:tmpl w:val="9C586C24"/>
    <w:lvl w:ilvl="0" w:tplc="07C42960">
      <w:numFmt w:val="bullet"/>
      <w:lvlText w:val=""/>
      <w:lvlJc w:val="left"/>
      <w:pPr>
        <w:ind w:left="456" w:hanging="360"/>
      </w:pPr>
      <w:rPr>
        <w:rFonts w:ascii="Symbol" w:eastAsiaTheme="minorHAnsi" w:hAnsi="Symbol" w:cstheme="minorBidi" w:hint="default"/>
      </w:rPr>
    </w:lvl>
    <w:lvl w:ilvl="1" w:tplc="08090003" w:tentative="1">
      <w:start w:val="1"/>
      <w:numFmt w:val="bullet"/>
      <w:lvlText w:val="o"/>
      <w:lvlJc w:val="left"/>
      <w:pPr>
        <w:ind w:left="1176" w:hanging="360"/>
      </w:pPr>
      <w:rPr>
        <w:rFonts w:ascii="Courier New" w:hAnsi="Courier New" w:cs="Courier New" w:hint="default"/>
      </w:rPr>
    </w:lvl>
    <w:lvl w:ilvl="2" w:tplc="08090005" w:tentative="1">
      <w:start w:val="1"/>
      <w:numFmt w:val="bullet"/>
      <w:lvlText w:val=""/>
      <w:lvlJc w:val="left"/>
      <w:pPr>
        <w:ind w:left="1896" w:hanging="360"/>
      </w:pPr>
      <w:rPr>
        <w:rFonts w:ascii="Wingdings" w:hAnsi="Wingdings" w:hint="default"/>
      </w:rPr>
    </w:lvl>
    <w:lvl w:ilvl="3" w:tplc="08090001" w:tentative="1">
      <w:start w:val="1"/>
      <w:numFmt w:val="bullet"/>
      <w:lvlText w:val=""/>
      <w:lvlJc w:val="left"/>
      <w:pPr>
        <w:ind w:left="2616" w:hanging="360"/>
      </w:pPr>
      <w:rPr>
        <w:rFonts w:ascii="Symbol" w:hAnsi="Symbol" w:hint="default"/>
      </w:rPr>
    </w:lvl>
    <w:lvl w:ilvl="4" w:tplc="08090003" w:tentative="1">
      <w:start w:val="1"/>
      <w:numFmt w:val="bullet"/>
      <w:lvlText w:val="o"/>
      <w:lvlJc w:val="left"/>
      <w:pPr>
        <w:ind w:left="3336" w:hanging="360"/>
      </w:pPr>
      <w:rPr>
        <w:rFonts w:ascii="Courier New" w:hAnsi="Courier New" w:cs="Courier New" w:hint="default"/>
      </w:rPr>
    </w:lvl>
    <w:lvl w:ilvl="5" w:tplc="08090005" w:tentative="1">
      <w:start w:val="1"/>
      <w:numFmt w:val="bullet"/>
      <w:lvlText w:val=""/>
      <w:lvlJc w:val="left"/>
      <w:pPr>
        <w:ind w:left="4056" w:hanging="360"/>
      </w:pPr>
      <w:rPr>
        <w:rFonts w:ascii="Wingdings" w:hAnsi="Wingdings" w:hint="default"/>
      </w:rPr>
    </w:lvl>
    <w:lvl w:ilvl="6" w:tplc="08090001" w:tentative="1">
      <w:start w:val="1"/>
      <w:numFmt w:val="bullet"/>
      <w:lvlText w:val=""/>
      <w:lvlJc w:val="left"/>
      <w:pPr>
        <w:ind w:left="4776" w:hanging="360"/>
      </w:pPr>
      <w:rPr>
        <w:rFonts w:ascii="Symbol" w:hAnsi="Symbol" w:hint="default"/>
      </w:rPr>
    </w:lvl>
    <w:lvl w:ilvl="7" w:tplc="08090003" w:tentative="1">
      <w:start w:val="1"/>
      <w:numFmt w:val="bullet"/>
      <w:lvlText w:val="o"/>
      <w:lvlJc w:val="left"/>
      <w:pPr>
        <w:ind w:left="5496" w:hanging="360"/>
      </w:pPr>
      <w:rPr>
        <w:rFonts w:ascii="Courier New" w:hAnsi="Courier New" w:cs="Courier New" w:hint="default"/>
      </w:rPr>
    </w:lvl>
    <w:lvl w:ilvl="8" w:tplc="08090005" w:tentative="1">
      <w:start w:val="1"/>
      <w:numFmt w:val="bullet"/>
      <w:lvlText w:val=""/>
      <w:lvlJc w:val="left"/>
      <w:pPr>
        <w:ind w:left="6216" w:hanging="360"/>
      </w:pPr>
      <w:rPr>
        <w:rFonts w:ascii="Wingdings" w:hAnsi="Wingdings" w:hint="default"/>
      </w:rPr>
    </w:lvl>
  </w:abstractNum>
  <w:abstractNum w:abstractNumId="18" w15:restartNumberingAfterBreak="0">
    <w:nsid w:val="74FD53D7"/>
    <w:multiLevelType w:val="hybridMultilevel"/>
    <w:tmpl w:val="241824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FB2333"/>
    <w:multiLevelType w:val="hybridMultilevel"/>
    <w:tmpl w:val="6F627208"/>
    <w:lvl w:ilvl="0" w:tplc="D70C6F4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6"/>
  </w:num>
  <w:num w:numId="4">
    <w:abstractNumId w:val="0"/>
  </w:num>
  <w:num w:numId="5">
    <w:abstractNumId w:val="5"/>
  </w:num>
  <w:num w:numId="6">
    <w:abstractNumId w:val="13"/>
  </w:num>
  <w:num w:numId="7">
    <w:abstractNumId w:val="9"/>
  </w:num>
  <w:num w:numId="8">
    <w:abstractNumId w:val="19"/>
  </w:num>
  <w:num w:numId="9">
    <w:abstractNumId w:val="4"/>
  </w:num>
  <w:num w:numId="10">
    <w:abstractNumId w:val="17"/>
  </w:num>
  <w:num w:numId="11">
    <w:abstractNumId w:val="15"/>
  </w:num>
  <w:num w:numId="12">
    <w:abstractNumId w:val="10"/>
  </w:num>
  <w:num w:numId="13">
    <w:abstractNumId w:val="8"/>
  </w:num>
  <w:num w:numId="14">
    <w:abstractNumId w:val="1"/>
  </w:num>
  <w:num w:numId="15">
    <w:abstractNumId w:val="14"/>
  </w:num>
  <w:num w:numId="16">
    <w:abstractNumId w:val="6"/>
  </w:num>
  <w:num w:numId="17">
    <w:abstractNumId w:val="12"/>
  </w:num>
  <w:num w:numId="18">
    <w:abstractNumId w:val="3"/>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68"/>
    <w:rsid w:val="0000290B"/>
    <w:rsid w:val="00005A43"/>
    <w:rsid w:val="00007DC3"/>
    <w:rsid w:val="00012110"/>
    <w:rsid w:val="000154E7"/>
    <w:rsid w:val="00017073"/>
    <w:rsid w:val="00023524"/>
    <w:rsid w:val="000260D5"/>
    <w:rsid w:val="00031404"/>
    <w:rsid w:val="00031BD6"/>
    <w:rsid w:val="00033559"/>
    <w:rsid w:val="00037A40"/>
    <w:rsid w:val="00037B0C"/>
    <w:rsid w:val="0004389A"/>
    <w:rsid w:val="000462A4"/>
    <w:rsid w:val="00052A9C"/>
    <w:rsid w:val="00054B61"/>
    <w:rsid w:val="00056FEE"/>
    <w:rsid w:val="000573FE"/>
    <w:rsid w:val="00060A7B"/>
    <w:rsid w:val="00061D5D"/>
    <w:rsid w:val="00067D7B"/>
    <w:rsid w:val="00070619"/>
    <w:rsid w:val="0007213C"/>
    <w:rsid w:val="00073F3A"/>
    <w:rsid w:val="0008745F"/>
    <w:rsid w:val="0009232C"/>
    <w:rsid w:val="0009349C"/>
    <w:rsid w:val="00095EC0"/>
    <w:rsid w:val="000972C8"/>
    <w:rsid w:val="0009759D"/>
    <w:rsid w:val="000A154F"/>
    <w:rsid w:val="000A2151"/>
    <w:rsid w:val="000A396F"/>
    <w:rsid w:val="000A3A2F"/>
    <w:rsid w:val="000A51E4"/>
    <w:rsid w:val="000B27AC"/>
    <w:rsid w:val="000B4537"/>
    <w:rsid w:val="000B6F59"/>
    <w:rsid w:val="000B7487"/>
    <w:rsid w:val="000C222B"/>
    <w:rsid w:val="000C270C"/>
    <w:rsid w:val="000C56F3"/>
    <w:rsid w:val="000C5F35"/>
    <w:rsid w:val="000C71E4"/>
    <w:rsid w:val="000D0D37"/>
    <w:rsid w:val="000E0D79"/>
    <w:rsid w:val="000E3E2E"/>
    <w:rsid w:val="000F7207"/>
    <w:rsid w:val="000F76D9"/>
    <w:rsid w:val="00103906"/>
    <w:rsid w:val="00107478"/>
    <w:rsid w:val="00110094"/>
    <w:rsid w:val="0011188B"/>
    <w:rsid w:val="00112852"/>
    <w:rsid w:val="001134B0"/>
    <w:rsid w:val="0012339F"/>
    <w:rsid w:val="001243A5"/>
    <w:rsid w:val="00124AF6"/>
    <w:rsid w:val="00125DE1"/>
    <w:rsid w:val="00126B10"/>
    <w:rsid w:val="00127DE9"/>
    <w:rsid w:val="00130648"/>
    <w:rsid w:val="0013257A"/>
    <w:rsid w:val="00132BCE"/>
    <w:rsid w:val="00137AA8"/>
    <w:rsid w:val="00145580"/>
    <w:rsid w:val="001471DE"/>
    <w:rsid w:val="0015124D"/>
    <w:rsid w:val="0015446E"/>
    <w:rsid w:val="001552EB"/>
    <w:rsid w:val="001575F8"/>
    <w:rsid w:val="00164B72"/>
    <w:rsid w:val="00164BE5"/>
    <w:rsid w:val="00172940"/>
    <w:rsid w:val="00177D38"/>
    <w:rsid w:val="00180B47"/>
    <w:rsid w:val="00181B27"/>
    <w:rsid w:val="00185633"/>
    <w:rsid w:val="00187355"/>
    <w:rsid w:val="00190EE6"/>
    <w:rsid w:val="0019264B"/>
    <w:rsid w:val="00196531"/>
    <w:rsid w:val="00196B1E"/>
    <w:rsid w:val="001A2734"/>
    <w:rsid w:val="001A39C3"/>
    <w:rsid w:val="001B07B9"/>
    <w:rsid w:val="001B1222"/>
    <w:rsid w:val="001B1C1C"/>
    <w:rsid w:val="001B2D5B"/>
    <w:rsid w:val="001C1E20"/>
    <w:rsid w:val="001C7E5D"/>
    <w:rsid w:val="001D0251"/>
    <w:rsid w:val="001D1868"/>
    <w:rsid w:val="001D1D45"/>
    <w:rsid w:val="001D48D2"/>
    <w:rsid w:val="001D5AD3"/>
    <w:rsid w:val="001D62AF"/>
    <w:rsid w:val="001D63AC"/>
    <w:rsid w:val="001E3611"/>
    <w:rsid w:val="001F1947"/>
    <w:rsid w:val="001F63AE"/>
    <w:rsid w:val="001F7009"/>
    <w:rsid w:val="001F724F"/>
    <w:rsid w:val="00206804"/>
    <w:rsid w:val="00206B0F"/>
    <w:rsid w:val="00210599"/>
    <w:rsid w:val="00210944"/>
    <w:rsid w:val="00213542"/>
    <w:rsid w:val="00216003"/>
    <w:rsid w:val="00217E0A"/>
    <w:rsid w:val="00217FE8"/>
    <w:rsid w:val="00223278"/>
    <w:rsid w:val="002248D7"/>
    <w:rsid w:val="00226774"/>
    <w:rsid w:val="00230EB8"/>
    <w:rsid w:val="002336BF"/>
    <w:rsid w:val="002346CD"/>
    <w:rsid w:val="0023655A"/>
    <w:rsid w:val="00242575"/>
    <w:rsid w:val="00247047"/>
    <w:rsid w:val="00251FBB"/>
    <w:rsid w:val="00257AAA"/>
    <w:rsid w:val="00261FEB"/>
    <w:rsid w:val="00265D8B"/>
    <w:rsid w:val="0026653E"/>
    <w:rsid w:val="00272DF0"/>
    <w:rsid w:val="00276A8C"/>
    <w:rsid w:val="00281D6E"/>
    <w:rsid w:val="00284C42"/>
    <w:rsid w:val="00285265"/>
    <w:rsid w:val="00294DB2"/>
    <w:rsid w:val="00296C2B"/>
    <w:rsid w:val="0029782B"/>
    <w:rsid w:val="002B61A7"/>
    <w:rsid w:val="002B7D7A"/>
    <w:rsid w:val="002C499B"/>
    <w:rsid w:val="002C5811"/>
    <w:rsid w:val="002C5903"/>
    <w:rsid w:val="002D09A5"/>
    <w:rsid w:val="002D3BF2"/>
    <w:rsid w:val="002D6CF1"/>
    <w:rsid w:val="002D6F02"/>
    <w:rsid w:val="002D79BF"/>
    <w:rsid w:val="002E4C7A"/>
    <w:rsid w:val="002E6DD3"/>
    <w:rsid w:val="002E7788"/>
    <w:rsid w:val="002F0CE2"/>
    <w:rsid w:val="002F7C72"/>
    <w:rsid w:val="003034CF"/>
    <w:rsid w:val="003100E1"/>
    <w:rsid w:val="003127E1"/>
    <w:rsid w:val="00313DD5"/>
    <w:rsid w:val="00317140"/>
    <w:rsid w:val="00320909"/>
    <w:rsid w:val="00320EDF"/>
    <w:rsid w:val="00322243"/>
    <w:rsid w:val="00323CE4"/>
    <w:rsid w:val="00324B4A"/>
    <w:rsid w:val="003279B2"/>
    <w:rsid w:val="00332AC7"/>
    <w:rsid w:val="00334F07"/>
    <w:rsid w:val="00341072"/>
    <w:rsid w:val="00345C29"/>
    <w:rsid w:val="00355964"/>
    <w:rsid w:val="003639DA"/>
    <w:rsid w:val="00365CB2"/>
    <w:rsid w:val="00370797"/>
    <w:rsid w:val="003730B1"/>
    <w:rsid w:val="00375127"/>
    <w:rsid w:val="00376399"/>
    <w:rsid w:val="00384686"/>
    <w:rsid w:val="003855DA"/>
    <w:rsid w:val="00386993"/>
    <w:rsid w:val="003870EF"/>
    <w:rsid w:val="003874A0"/>
    <w:rsid w:val="00391B62"/>
    <w:rsid w:val="00392029"/>
    <w:rsid w:val="0039377E"/>
    <w:rsid w:val="00393FB0"/>
    <w:rsid w:val="00395FC5"/>
    <w:rsid w:val="003A1279"/>
    <w:rsid w:val="003A1635"/>
    <w:rsid w:val="003A37E6"/>
    <w:rsid w:val="003A523F"/>
    <w:rsid w:val="003A71D6"/>
    <w:rsid w:val="003B077B"/>
    <w:rsid w:val="003B1383"/>
    <w:rsid w:val="003B2A1B"/>
    <w:rsid w:val="003B3FCD"/>
    <w:rsid w:val="003B5EB3"/>
    <w:rsid w:val="003C3EE0"/>
    <w:rsid w:val="003C690A"/>
    <w:rsid w:val="003D5C86"/>
    <w:rsid w:val="003D5FAB"/>
    <w:rsid w:val="003D749E"/>
    <w:rsid w:val="003E26A0"/>
    <w:rsid w:val="003F02CC"/>
    <w:rsid w:val="003F3018"/>
    <w:rsid w:val="003F3DA4"/>
    <w:rsid w:val="003F4910"/>
    <w:rsid w:val="003F5D67"/>
    <w:rsid w:val="00400EEF"/>
    <w:rsid w:val="00401C17"/>
    <w:rsid w:val="004059E7"/>
    <w:rsid w:val="00406144"/>
    <w:rsid w:val="00410B48"/>
    <w:rsid w:val="00412988"/>
    <w:rsid w:val="004168EB"/>
    <w:rsid w:val="00420478"/>
    <w:rsid w:val="00424081"/>
    <w:rsid w:val="004261EA"/>
    <w:rsid w:val="00426752"/>
    <w:rsid w:val="00426F0A"/>
    <w:rsid w:val="00431287"/>
    <w:rsid w:val="0043561D"/>
    <w:rsid w:val="0043595D"/>
    <w:rsid w:val="00442F41"/>
    <w:rsid w:val="004468FD"/>
    <w:rsid w:val="004612F3"/>
    <w:rsid w:val="00464E42"/>
    <w:rsid w:val="004658B2"/>
    <w:rsid w:val="00465F68"/>
    <w:rsid w:val="00466244"/>
    <w:rsid w:val="00471426"/>
    <w:rsid w:val="00471B57"/>
    <w:rsid w:val="004769C4"/>
    <w:rsid w:val="00477141"/>
    <w:rsid w:val="00482E3C"/>
    <w:rsid w:val="0049609E"/>
    <w:rsid w:val="004A43E8"/>
    <w:rsid w:val="004A4AB9"/>
    <w:rsid w:val="004A6FF3"/>
    <w:rsid w:val="004B28DF"/>
    <w:rsid w:val="004B3216"/>
    <w:rsid w:val="004B498A"/>
    <w:rsid w:val="004D28A1"/>
    <w:rsid w:val="004D4E74"/>
    <w:rsid w:val="004D4EF7"/>
    <w:rsid w:val="004D552C"/>
    <w:rsid w:val="004F0BBC"/>
    <w:rsid w:val="004F4720"/>
    <w:rsid w:val="004F4DCA"/>
    <w:rsid w:val="004F6688"/>
    <w:rsid w:val="00505EC7"/>
    <w:rsid w:val="00511DCD"/>
    <w:rsid w:val="00514C5C"/>
    <w:rsid w:val="00527BB8"/>
    <w:rsid w:val="005300E5"/>
    <w:rsid w:val="00532363"/>
    <w:rsid w:val="0053292B"/>
    <w:rsid w:val="0053525A"/>
    <w:rsid w:val="0053567D"/>
    <w:rsid w:val="0053732E"/>
    <w:rsid w:val="0054533A"/>
    <w:rsid w:val="00545932"/>
    <w:rsid w:val="00555E82"/>
    <w:rsid w:val="00562F13"/>
    <w:rsid w:val="00570B9A"/>
    <w:rsid w:val="00576BA2"/>
    <w:rsid w:val="00584A4A"/>
    <w:rsid w:val="00584B74"/>
    <w:rsid w:val="005859BC"/>
    <w:rsid w:val="005875F0"/>
    <w:rsid w:val="00587A03"/>
    <w:rsid w:val="00592921"/>
    <w:rsid w:val="00592AAE"/>
    <w:rsid w:val="00593497"/>
    <w:rsid w:val="005937AF"/>
    <w:rsid w:val="005945A0"/>
    <w:rsid w:val="005968E1"/>
    <w:rsid w:val="00597F22"/>
    <w:rsid w:val="005A1123"/>
    <w:rsid w:val="005A1834"/>
    <w:rsid w:val="005B61CB"/>
    <w:rsid w:val="005C2517"/>
    <w:rsid w:val="005C43A3"/>
    <w:rsid w:val="005C465C"/>
    <w:rsid w:val="005D7574"/>
    <w:rsid w:val="005E0BFF"/>
    <w:rsid w:val="005E414F"/>
    <w:rsid w:val="005F1B92"/>
    <w:rsid w:val="005F349B"/>
    <w:rsid w:val="00600069"/>
    <w:rsid w:val="00604E22"/>
    <w:rsid w:val="006073A4"/>
    <w:rsid w:val="00614EB3"/>
    <w:rsid w:val="00617D19"/>
    <w:rsid w:val="00624A16"/>
    <w:rsid w:val="00627EFE"/>
    <w:rsid w:val="00634D04"/>
    <w:rsid w:val="00635A68"/>
    <w:rsid w:val="00637975"/>
    <w:rsid w:val="00637E9F"/>
    <w:rsid w:val="00644668"/>
    <w:rsid w:val="006457EB"/>
    <w:rsid w:val="00646701"/>
    <w:rsid w:val="00647636"/>
    <w:rsid w:val="00650298"/>
    <w:rsid w:val="0065185D"/>
    <w:rsid w:val="006547C6"/>
    <w:rsid w:val="0065531B"/>
    <w:rsid w:val="00655D33"/>
    <w:rsid w:val="00657B1F"/>
    <w:rsid w:val="006637B8"/>
    <w:rsid w:val="00666701"/>
    <w:rsid w:val="00674479"/>
    <w:rsid w:val="00676DFA"/>
    <w:rsid w:val="0068058C"/>
    <w:rsid w:val="00682998"/>
    <w:rsid w:val="00683000"/>
    <w:rsid w:val="00685C19"/>
    <w:rsid w:val="00686DA2"/>
    <w:rsid w:val="006954A0"/>
    <w:rsid w:val="006962C9"/>
    <w:rsid w:val="006A5BB1"/>
    <w:rsid w:val="006B09F5"/>
    <w:rsid w:val="006C4040"/>
    <w:rsid w:val="006D0E14"/>
    <w:rsid w:val="006D1403"/>
    <w:rsid w:val="006D3975"/>
    <w:rsid w:val="006F681B"/>
    <w:rsid w:val="0070234C"/>
    <w:rsid w:val="00707FEF"/>
    <w:rsid w:val="007115B8"/>
    <w:rsid w:val="007120D8"/>
    <w:rsid w:val="00714A2D"/>
    <w:rsid w:val="007239EF"/>
    <w:rsid w:val="00727E69"/>
    <w:rsid w:val="00732959"/>
    <w:rsid w:val="00733A3B"/>
    <w:rsid w:val="007340BA"/>
    <w:rsid w:val="0073478A"/>
    <w:rsid w:val="007376E3"/>
    <w:rsid w:val="00740C97"/>
    <w:rsid w:val="00741967"/>
    <w:rsid w:val="00745736"/>
    <w:rsid w:val="00745A37"/>
    <w:rsid w:val="00746902"/>
    <w:rsid w:val="00757430"/>
    <w:rsid w:val="0076074C"/>
    <w:rsid w:val="007645D9"/>
    <w:rsid w:val="007728CD"/>
    <w:rsid w:val="00772B5E"/>
    <w:rsid w:val="0077393E"/>
    <w:rsid w:val="007755B6"/>
    <w:rsid w:val="007814CB"/>
    <w:rsid w:val="00787BA3"/>
    <w:rsid w:val="00793F2D"/>
    <w:rsid w:val="007A7828"/>
    <w:rsid w:val="007B07A4"/>
    <w:rsid w:val="007B4AAC"/>
    <w:rsid w:val="007C0909"/>
    <w:rsid w:val="007C175F"/>
    <w:rsid w:val="007C1773"/>
    <w:rsid w:val="007C2708"/>
    <w:rsid w:val="007C31EF"/>
    <w:rsid w:val="007C3329"/>
    <w:rsid w:val="007D1AD1"/>
    <w:rsid w:val="007D3A4C"/>
    <w:rsid w:val="007E0F42"/>
    <w:rsid w:val="007E20C2"/>
    <w:rsid w:val="007E347D"/>
    <w:rsid w:val="007F0180"/>
    <w:rsid w:val="007F2EA0"/>
    <w:rsid w:val="007F4947"/>
    <w:rsid w:val="00801E47"/>
    <w:rsid w:val="00801E4E"/>
    <w:rsid w:val="00802EE7"/>
    <w:rsid w:val="008042FB"/>
    <w:rsid w:val="0080761F"/>
    <w:rsid w:val="008110C3"/>
    <w:rsid w:val="00812664"/>
    <w:rsid w:val="00817C82"/>
    <w:rsid w:val="00822886"/>
    <w:rsid w:val="00822B26"/>
    <w:rsid w:val="00823D45"/>
    <w:rsid w:val="00824126"/>
    <w:rsid w:val="008257F0"/>
    <w:rsid w:val="0082749F"/>
    <w:rsid w:val="008301F9"/>
    <w:rsid w:val="0083079E"/>
    <w:rsid w:val="00835969"/>
    <w:rsid w:val="00840800"/>
    <w:rsid w:val="00844724"/>
    <w:rsid w:val="00847D35"/>
    <w:rsid w:val="00855751"/>
    <w:rsid w:val="00856DB3"/>
    <w:rsid w:val="00862B6D"/>
    <w:rsid w:val="0086580A"/>
    <w:rsid w:val="008671DD"/>
    <w:rsid w:val="008725A3"/>
    <w:rsid w:val="008754F7"/>
    <w:rsid w:val="00876468"/>
    <w:rsid w:val="00876538"/>
    <w:rsid w:val="0087679D"/>
    <w:rsid w:val="00877A5D"/>
    <w:rsid w:val="008805CC"/>
    <w:rsid w:val="0088090F"/>
    <w:rsid w:val="0088170F"/>
    <w:rsid w:val="008834B6"/>
    <w:rsid w:val="00887051"/>
    <w:rsid w:val="008914EF"/>
    <w:rsid w:val="00891E47"/>
    <w:rsid w:val="0089422C"/>
    <w:rsid w:val="008A3C85"/>
    <w:rsid w:val="008A4679"/>
    <w:rsid w:val="008A57A3"/>
    <w:rsid w:val="008A6B52"/>
    <w:rsid w:val="008B2ED3"/>
    <w:rsid w:val="008B33D8"/>
    <w:rsid w:val="008B3E9A"/>
    <w:rsid w:val="008B7238"/>
    <w:rsid w:val="008C1F36"/>
    <w:rsid w:val="008C3B8C"/>
    <w:rsid w:val="008C7A4D"/>
    <w:rsid w:val="008D0C91"/>
    <w:rsid w:val="008D3A05"/>
    <w:rsid w:val="008D432C"/>
    <w:rsid w:val="008E1695"/>
    <w:rsid w:val="008E183C"/>
    <w:rsid w:val="008E2145"/>
    <w:rsid w:val="008F2EF4"/>
    <w:rsid w:val="008F3138"/>
    <w:rsid w:val="008F33E1"/>
    <w:rsid w:val="008F3D05"/>
    <w:rsid w:val="008F569F"/>
    <w:rsid w:val="008F638F"/>
    <w:rsid w:val="008F756B"/>
    <w:rsid w:val="00901616"/>
    <w:rsid w:val="00905960"/>
    <w:rsid w:val="0090760D"/>
    <w:rsid w:val="009105FC"/>
    <w:rsid w:val="00912E8C"/>
    <w:rsid w:val="00912ED9"/>
    <w:rsid w:val="009149C3"/>
    <w:rsid w:val="0091533F"/>
    <w:rsid w:val="0092008D"/>
    <w:rsid w:val="00922CAC"/>
    <w:rsid w:val="00924A53"/>
    <w:rsid w:val="009309F5"/>
    <w:rsid w:val="00933AF9"/>
    <w:rsid w:val="00934634"/>
    <w:rsid w:val="00940301"/>
    <w:rsid w:val="00941206"/>
    <w:rsid w:val="009417D8"/>
    <w:rsid w:val="00945CA5"/>
    <w:rsid w:val="00946BEE"/>
    <w:rsid w:val="00951DFF"/>
    <w:rsid w:val="009533CC"/>
    <w:rsid w:val="009601A8"/>
    <w:rsid w:val="00961484"/>
    <w:rsid w:val="00963D38"/>
    <w:rsid w:val="00966171"/>
    <w:rsid w:val="0097048C"/>
    <w:rsid w:val="00974866"/>
    <w:rsid w:val="00977451"/>
    <w:rsid w:val="00982922"/>
    <w:rsid w:val="009845CE"/>
    <w:rsid w:val="00984A2A"/>
    <w:rsid w:val="0098539F"/>
    <w:rsid w:val="009A17A7"/>
    <w:rsid w:val="009A6E13"/>
    <w:rsid w:val="009B08C8"/>
    <w:rsid w:val="009B247B"/>
    <w:rsid w:val="009B5449"/>
    <w:rsid w:val="009C4E7E"/>
    <w:rsid w:val="009D7F51"/>
    <w:rsid w:val="009E0A65"/>
    <w:rsid w:val="009E2F48"/>
    <w:rsid w:val="009E3302"/>
    <w:rsid w:val="009E6827"/>
    <w:rsid w:val="009F29D1"/>
    <w:rsid w:val="009F5E30"/>
    <w:rsid w:val="00A15B8B"/>
    <w:rsid w:val="00A23444"/>
    <w:rsid w:val="00A264AE"/>
    <w:rsid w:val="00A2688B"/>
    <w:rsid w:val="00A27497"/>
    <w:rsid w:val="00A35018"/>
    <w:rsid w:val="00A37DA6"/>
    <w:rsid w:val="00A40BCB"/>
    <w:rsid w:val="00A42C96"/>
    <w:rsid w:val="00A43AF9"/>
    <w:rsid w:val="00A464A0"/>
    <w:rsid w:val="00A516C8"/>
    <w:rsid w:val="00A5462A"/>
    <w:rsid w:val="00A5717F"/>
    <w:rsid w:val="00A57534"/>
    <w:rsid w:val="00A606C3"/>
    <w:rsid w:val="00A725E5"/>
    <w:rsid w:val="00A73377"/>
    <w:rsid w:val="00A74979"/>
    <w:rsid w:val="00A81172"/>
    <w:rsid w:val="00A82B39"/>
    <w:rsid w:val="00A9626D"/>
    <w:rsid w:val="00AA4426"/>
    <w:rsid w:val="00AA62E3"/>
    <w:rsid w:val="00AB1B02"/>
    <w:rsid w:val="00AB5FF7"/>
    <w:rsid w:val="00AC0D2D"/>
    <w:rsid w:val="00AC1B78"/>
    <w:rsid w:val="00AC1EDF"/>
    <w:rsid w:val="00AC512C"/>
    <w:rsid w:val="00AD02BF"/>
    <w:rsid w:val="00AD0BD3"/>
    <w:rsid w:val="00AD3351"/>
    <w:rsid w:val="00AD38A5"/>
    <w:rsid w:val="00AD4A52"/>
    <w:rsid w:val="00AD5B7E"/>
    <w:rsid w:val="00AD6830"/>
    <w:rsid w:val="00AD6B35"/>
    <w:rsid w:val="00AE25AC"/>
    <w:rsid w:val="00AE73F3"/>
    <w:rsid w:val="00AE7905"/>
    <w:rsid w:val="00AF0179"/>
    <w:rsid w:val="00AF0DEF"/>
    <w:rsid w:val="00AF14C0"/>
    <w:rsid w:val="00AF3DA9"/>
    <w:rsid w:val="00AF4BE7"/>
    <w:rsid w:val="00B015AE"/>
    <w:rsid w:val="00B02045"/>
    <w:rsid w:val="00B10E21"/>
    <w:rsid w:val="00B1124A"/>
    <w:rsid w:val="00B1741F"/>
    <w:rsid w:val="00B21272"/>
    <w:rsid w:val="00B2241A"/>
    <w:rsid w:val="00B22C64"/>
    <w:rsid w:val="00B24DBA"/>
    <w:rsid w:val="00B30697"/>
    <w:rsid w:val="00B31FDA"/>
    <w:rsid w:val="00B32800"/>
    <w:rsid w:val="00B43BA9"/>
    <w:rsid w:val="00B44F1B"/>
    <w:rsid w:val="00B51141"/>
    <w:rsid w:val="00B524CD"/>
    <w:rsid w:val="00B607E9"/>
    <w:rsid w:val="00B61617"/>
    <w:rsid w:val="00B644B8"/>
    <w:rsid w:val="00B65D60"/>
    <w:rsid w:val="00B70767"/>
    <w:rsid w:val="00B7085D"/>
    <w:rsid w:val="00B75F34"/>
    <w:rsid w:val="00B764E5"/>
    <w:rsid w:val="00B82094"/>
    <w:rsid w:val="00B9022D"/>
    <w:rsid w:val="00B96161"/>
    <w:rsid w:val="00B961EF"/>
    <w:rsid w:val="00B97BB8"/>
    <w:rsid w:val="00BA1450"/>
    <w:rsid w:val="00BA5092"/>
    <w:rsid w:val="00BA6C09"/>
    <w:rsid w:val="00BB1330"/>
    <w:rsid w:val="00BB3400"/>
    <w:rsid w:val="00BB55E9"/>
    <w:rsid w:val="00BB56A2"/>
    <w:rsid w:val="00BC3D94"/>
    <w:rsid w:val="00BC7BBD"/>
    <w:rsid w:val="00BD2FC0"/>
    <w:rsid w:val="00BD51A4"/>
    <w:rsid w:val="00BE37AC"/>
    <w:rsid w:val="00BE4378"/>
    <w:rsid w:val="00BE501F"/>
    <w:rsid w:val="00BF0EAC"/>
    <w:rsid w:val="00BF3D32"/>
    <w:rsid w:val="00BF6BEC"/>
    <w:rsid w:val="00C00229"/>
    <w:rsid w:val="00C00F32"/>
    <w:rsid w:val="00C04D55"/>
    <w:rsid w:val="00C05D06"/>
    <w:rsid w:val="00C107C5"/>
    <w:rsid w:val="00C10B5A"/>
    <w:rsid w:val="00C121AD"/>
    <w:rsid w:val="00C13EC0"/>
    <w:rsid w:val="00C2127F"/>
    <w:rsid w:val="00C25AF9"/>
    <w:rsid w:val="00C31BA8"/>
    <w:rsid w:val="00C345C5"/>
    <w:rsid w:val="00C37315"/>
    <w:rsid w:val="00C37EFD"/>
    <w:rsid w:val="00C432CD"/>
    <w:rsid w:val="00C444D8"/>
    <w:rsid w:val="00C4545E"/>
    <w:rsid w:val="00C45A1A"/>
    <w:rsid w:val="00C504FB"/>
    <w:rsid w:val="00C53B57"/>
    <w:rsid w:val="00C5440D"/>
    <w:rsid w:val="00C55336"/>
    <w:rsid w:val="00C65B25"/>
    <w:rsid w:val="00C665C0"/>
    <w:rsid w:val="00C71615"/>
    <w:rsid w:val="00C72B68"/>
    <w:rsid w:val="00C72EA9"/>
    <w:rsid w:val="00C73E50"/>
    <w:rsid w:val="00C8046A"/>
    <w:rsid w:val="00C85181"/>
    <w:rsid w:val="00C94675"/>
    <w:rsid w:val="00CA3ED6"/>
    <w:rsid w:val="00CA51F6"/>
    <w:rsid w:val="00CA52B0"/>
    <w:rsid w:val="00CB290A"/>
    <w:rsid w:val="00CB7DA3"/>
    <w:rsid w:val="00CC06E1"/>
    <w:rsid w:val="00CC0BD3"/>
    <w:rsid w:val="00CC2583"/>
    <w:rsid w:val="00CC2E17"/>
    <w:rsid w:val="00CC5146"/>
    <w:rsid w:val="00CD0990"/>
    <w:rsid w:val="00CD1745"/>
    <w:rsid w:val="00CD1B75"/>
    <w:rsid w:val="00CD5586"/>
    <w:rsid w:val="00CD56E8"/>
    <w:rsid w:val="00CE0547"/>
    <w:rsid w:val="00CF14A9"/>
    <w:rsid w:val="00CF2B67"/>
    <w:rsid w:val="00CF3CA4"/>
    <w:rsid w:val="00CF442F"/>
    <w:rsid w:val="00D00226"/>
    <w:rsid w:val="00D024B4"/>
    <w:rsid w:val="00D04EAA"/>
    <w:rsid w:val="00D07744"/>
    <w:rsid w:val="00D1095D"/>
    <w:rsid w:val="00D1296C"/>
    <w:rsid w:val="00D22BE9"/>
    <w:rsid w:val="00D263E2"/>
    <w:rsid w:val="00D32724"/>
    <w:rsid w:val="00D35663"/>
    <w:rsid w:val="00D362A6"/>
    <w:rsid w:val="00D37567"/>
    <w:rsid w:val="00D470FD"/>
    <w:rsid w:val="00D55B0F"/>
    <w:rsid w:val="00D57FC4"/>
    <w:rsid w:val="00D6672F"/>
    <w:rsid w:val="00D66ED7"/>
    <w:rsid w:val="00D7059C"/>
    <w:rsid w:val="00D75094"/>
    <w:rsid w:val="00D77EC8"/>
    <w:rsid w:val="00D90391"/>
    <w:rsid w:val="00D963C2"/>
    <w:rsid w:val="00DA251D"/>
    <w:rsid w:val="00DA2708"/>
    <w:rsid w:val="00DA2B0A"/>
    <w:rsid w:val="00DA40D3"/>
    <w:rsid w:val="00DA53AB"/>
    <w:rsid w:val="00DB31A1"/>
    <w:rsid w:val="00DB3BD5"/>
    <w:rsid w:val="00DB4B5C"/>
    <w:rsid w:val="00DB4CA1"/>
    <w:rsid w:val="00DB4F3E"/>
    <w:rsid w:val="00DC2B58"/>
    <w:rsid w:val="00DC4BB4"/>
    <w:rsid w:val="00DC77EA"/>
    <w:rsid w:val="00DD21E4"/>
    <w:rsid w:val="00DD7928"/>
    <w:rsid w:val="00DE2679"/>
    <w:rsid w:val="00DE77B6"/>
    <w:rsid w:val="00DF296B"/>
    <w:rsid w:val="00DF51A2"/>
    <w:rsid w:val="00DF7912"/>
    <w:rsid w:val="00E044AA"/>
    <w:rsid w:val="00E05DF3"/>
    <w:rsid w:val="00E1775E"/>
    <w:rsid w:val="00E2382F"/>
    <w:rsid w:val="00E256A1"/>
    <w:rsid w:val="00E311B0"/>
    <w:rsid w:val="00E3311A"/>
    <w:rsid w:val="00E346E5"/>
    <w:rsid w:val="00E36245"/>
    <w:rsid w:val="00E379F0"/>
    <w:rsid w:val="00E43129"/>
    <w:rsid w:val="00E4344C"/>
    <w:rsid w:val="00E43E09"/>
    <w:rsid w:val="00E57192"/>
    <w:rsid w:val="00E57440"/>
    <w:rsid w:val="00E621DE"/>
    <w:rsid w:val="00E66F63"/>
    <w:rsid w:val="00E70D3B"/>
    <w:rsid w:val="00E7283D"/>
    <w:rsid w:val="00E8153C"/>
    <w:rsid w:val="00E821C5"/>
    <w:rsid w:val="00E93B05"/>
    <w:rsid w:val="00EA1303"/>
    <w:rsid w:val="00EA1949"/>
    <w:rsid w:val="00EA2A80"/>
    <w:rsid w:val="00EA3993"/>
    <w:rsid w:val="00EA3EE8"/>
    <w:rsid w:val="00EA74C4"/>
    <w:rsid w:val="00EB0668"/>
    <w:rsid w:val="00EB2DC2"/>
    <w:rsid w:val="00EB51E6"/>
    <w:rsid w:val="00EC11A2"/>
    <w:rsid w:val="00EC1FAB"/>
    <w:rsid w:val="00EC324A"/>
    <w:rsid w:val="00EC76FC"/>
    <w:rsid w:val="00ED295F"/>
    <w:rsid w:val="00ED6A0A"/>
    <w:rsid w:val="00EE13FB"/>
    <w:rsid w:val="00EE35A0"/>
    <w:rsid w:val="00EE3B2E"/>
    <w:rsid w:val="00EE5F48"/>
    <w:rsid w:val="00EE68B1"/>
    <w:rsid w:val="00EE6B93"/>
    <w:rsid w:val="00EE73CC"/>
    <w:rsid w:val="00EF04DE"/>
    <w:rsid w:val="00EF2271"/>
    <w:rsid w:val="00EF3D83"/>
    <w:rsid w:val="00EF7EB3"/>
    <w:rsid w:val="00F02D32"/>
    <w:rsid w:val="00F02EA7"/>
    <w:rsid w:val="00F03B78"/>
    <w:rsid w:val="00F04782"/>
    <w:rsid w:val="00F04A0B"/>
    <w:rsid w:val="00F056EF"/>
    <w:rsid w:val="00F07976"/>
    <w:rsid w:val="00F124F9"/>
    <w:rsid w:val="00F12EB4"/>
    <w:rsid w:val="00F13952"/>
    <w:rsid w:val="00F23E0E"/>
    <w:rsid w:val="00F278EB"/>
    <w:rsid w:val="00F27D89"/>
    <w:rsid w:val="00F358EF"/>
    <w:rsid w:val="00F36300"/>
    <w:rsid w:val="00F3727A"/>
    <w:rsid w:val="00F4274A"/>
    <w:rsid w:val="00F449BE"/>
    <w:rsid w:val="00F5396A"/>
    <w:rsid w:val="00F56C56"/>
    <w:rsid w:val="00F5779D"/>
    <w:rsid w:val="00F62256"/>
    <w:rsid w:val="00F6346E"/>
    <w:rsid w:val="00F65025"/>
    <w:rsid w:val="00F73D1F"/>
    <w:rsid w:val="00F741BC"/>
    <w:rsid w:val="00F7501C"/>
    <w:rsid w:val="00F76D77"/>
    <w:rsid w:val="00F77FD6"/>
    <w:rsid w:val="00F805FB"/>
    <w:rsid w:val="00F857CF"/>
    <w:rsid w:val="00F949B9"/>
    <w:rsid w:val="00F949E4"/>
    <w:rsid w:val="00F950CD"/>
    <w:rsid w:val="00F95838"/>
    <w:rsid w:val="00FA0179"/>
    <w:rsid w:val="00FA0286"/>
    <w:rsid w:val="00FA04C9"/>
    <w:rsid w:val="00FA0779"/>
    <w:rsid w:val="00FA11A3"/>
    <w:rsid w:val="00FA3B68"/>
    <w:rsid w:val="00FA4434"/>
    <w:rsid w:val="00FA6EC4"/>
    <w:rsid w:val="00FB3996"/>
    <w:rsid w:val="00FB40AA"/>
    <w:rsid w:val="00FC0866"/>
    <w:rsid w:val="00FC0B38"/>
    <w:rsid w:val="00FC7B82"/>
    <w:rsid w:val="00FD055A"/>
    <w:rsid w:val="00FD175D"/>
    <w:rsid w:val="00FD4CB6"/>
    <w:rsid w:val="00FD50F6"/>
    <w:rsid w:val="00FE04B1"/>
    <w:rsid w:val="00FE06E1"/>
    <w:rsid w:val="00FE3714"/>
    <w:rsid w:val="00FF48EE"/>
    <w:rsid w:val="00FF5A55"/>
    <w:rsid w:val="00FF7598"/>
    <w:rsid w:val="00FF7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166754"/>
  <w15:docId w15:val="{78785EF2-2547-4635-8238-71A3A393D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33"/>
  </w:style>
  <w:style w:type="paragraph" w:styleId="Heading1">
    <w:name w:val="heading 1"/>
    <w:basedOn w:val="Normal"/>
    <w:next w:val="Normal"/>
    <w:link w:val="Heading1Char"/>
    <w:uiPriority w:val="9"/>
    <w:qFormat/>
    <w:rsid w:val="00AD6B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6B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D6B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D6B3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633"/>
    <w:pPr>
      <w:ind w:left="720"/>
      <w:contextualSpacing/>
      <w:jc w:val="both"/>
    </w:pPr>
    <w:rPr>
      <w:rFonts w:ascii="Verdana" w:hAnsi="Verdana" w:cs="Times New Roman (Body CS)"/>
      <w:sz w:val="18"/>
    </w:rPr>
  </w:style>
  <w:style w:type="character" w:styleId="Hyperlink">
    <w:name w:val="Hyperlink"/>
    <w:basedOn w:val="DefaultParagraphFont"/>
    <w:uiPriority w:val="99"/>
    <w:unhideWhenUsed/>
    <w:rsid w:val="00185633"/>
    <w:rPr>
      <w:color w:val="0000FF"/>
      <w:u w:val="single"/>
    </w:rPr>
  </w:style>
  <w:style w:type="character" w:customStyle="1" w:styleId="Heading1Char">
    <w:name w:val="Heading 1 Char"/>
    <w:basedOn w:val="DefaultParagraphFont"/>
    <w:link w:val="Heading1"/>
    <w:uiPriority w:val="9"/>
    <w:rsid w:val="00AD6B3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D6B3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D6B3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D6B35"/>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AD6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D6B35"/>
    <w:pPr>
      <w:spacing w:after="0" w:line="240" w:lineRule="auto"/>
    </w:pPr>
  </w:style>
  <w:style w:type="paragraph" w:styleId="BalloonText">
    <w:name w:val="Balloon Text"/>
    <w:basedOn w:val="Normal"/>
    <w:link w:val="BalloonTextChar"/>
    <w:uiPriority w:val="99"/>
    <w:semiHidden/>
    <w:unhideWhenUsed/>
    <w:rsid w:val="00AD6B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B35"/>
    <w:rPr>
      <w:rFonts w:ascii="Tahoma" w:hAnsi="Tahoma" w:cs="Tahoma"/>
      <w:sz w:val="16"/>
      <w:szCs w:val="16"/>
    </w:rPr>
  </w:style>
  <w:style w:type="paragraph" w:styleId="Header">
    <w:name w:val="header"/>
    <w:basedOn w:val="Normal"/>
    <w:link w:val="HeaderChar"/>
    <w:uiPriority w:val="99"/>
    <w:unhideWhenUsed/>
    <w:rsid w:val="00AD6B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B35"/>
  </w:style>
  <w:style w:type="paragraph" w:styleId="Footer">
    <w:name w:val="footer"/>
    <w:basedOn w:val="Normal"/>
    <w:link w:val="FooterChar"/>
    <w:uiPriority w:val="99"/>
    <w:unhideWhenUsed/>
    <w:rsid w:val="00AD6B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B35"/>
  </w:style>
  <w:style w:type="table" w:customStyle="1" w:styleId="TableGrid1">
    <w:name w:val="Table Grid1"/>
    <w:basedOn w:val="TableNormal"/>
    <w:next w:val="TableGrid"/>
    <w:uiPriority w:val="39"/>
    <w:rsid w:val="00AD6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D6B35"/>
    <w:pPr>
      <w:outlineLvl w:val="9"/>
    </w:pPr>
    <w:rPr>
      <w:lang w:val="en-US"/>
    </w:rPr>
  </w:style>
  <w:style w:type="paragraph" w:styleId="TOC1">
    <w:name w:val="toc 1"/>
    <w:basedOn w:val="Normal"/>
    <w:next w:val="Normal"/>
    <w:autoRedefine/>
    <w:uiPriority w:val="39"/>
    <w:unhideWhenUsed/>
    <w:rsid w:val="00AD6B35"/>
    <w:pPr>
      <w:spacing w:after="100"/>
    </w:pPr>
  </w:style>
  <w:style w:type="paragraph" w:styleId="TOC2">
    <w:name w:val="toc 2"/>
    <w:basedOn w:val="Normal"/>
    <w:next w:val="Normal"/>
    <w:autoRedefine/>
    <w:uiPriority w:val="39"/>
    <w:unhideWhenUsed/>
    <w:rsid w:val="00AD6B35"/>
    <w:pPr>
      <w:spacing w:after="100"/>
      <w:ind w:left="220"/>
    </w:pPr>
  </w:style>
  <w:style w:type="character" w:styleId="CommentReference">
    <w:name w:val="annotation reference"/>
    <w:basedOn w:val="DefaultParagraphFont"/>
    <w:uiPriority w:val="99"/>
    <w:semiHidden/>
    <w:unhideWhenUsed/>
    <w:rsid w:val="00AD6B35"/>
    <w:rPr>
      <w:sz w:val="16"/>
      <w:szCs w:val="16"/>
    </w:rPr>
  </w:style>
  <w:style w:type="paragraph" w:styleId="CommentText">
    <w:name w:val="annotation text"/>
    <w:basedOn w:val="Normal"/>
    <w:link w:val="CommentTextChar"/>
    <w:uiPriority w:val="99"/>
    <w:semiHidden/>
    <w:unhideWhenUsed/>
    <w:rsid w:val="00AD6B35"/>
    <w:pPr>
      <w:spacing w:line="240" w:lineRule="auto"/>
    </w:pPr>
    <w:rPr>
      <w:sz w:val="20"/>
      <w:szCs w:val="20"/>
    </w:rPr>
  </w:style>
  <w:style w:type="character" w:customStyle="1" w:styleId="CommentTextChar">
    <w:name w:val="Comment Text Char"/>
    <w:basedOn w:val="DefaultParagraphFont"/>
    <w:link w:val="CommentText"/>
    <w:uiPriority w:val="99"/>
    <w:semiHidden/>
    <w:rsid w:val="00AD6B35"/>
    <w:rPr>
      <w:sz w:val="20"/>
      <w:szCs w:val="20"/>
    </w:rPr>
  </w:style>
  <w:style w:type="paragraph" w:styleId="CommentSubject">
    <w:name w:val="annotation subject"/>
    <w:basedOn w:val="CommentText"/>
    <w:next w:val="CommentText"/>
    <w:link w:val="CommentSubjectChar"/>
    <w:uiPriority w:val="99"/>
    <w:semiHidden/>
    <w:unhideWhenUsed/>
    <w:rsid w:val="00AD6B35"/>
    <w:rPr>
      <w:b/>
      <w:bCs/>
    </w:rPr>
  </w:style>
  <w:style w:type="character" w:customStyle="1" w:styleId="CommentSubjectChar">
    <w:name w:val="Comment Subject Char"/>
    <w:basedOn w:val="CommentTextChar"/>
    <w:link w:val="CommentSubject"/>
    <w:uiPriority w:val="99"/>
    <w:semiHidden/>
    <w:rsid w:val="00AD6B35"/>
    <w:rPr>
      <w:b/>
      <w:bCs/>
      <w:sz w:val="20"/>
      <w:szCs w:val="20"/>
    </w:rPr>
  </w:style>
  <w:style w:type="character" w:customStyle="1" w:styleId="UnresolvedMention1">
    <w:name w:val="Unresolved Mention1"/>
    <w:basedOn w:val="DefaultParagraphFont"/>
    <w:uiPriority w:val="99"/>
    <w:semiHidden/>
    <w:unhideWhenUsed/>
    <w:rsid w:val="00772B5E"/>
    <w:rPr>
      <w:color w:val="605E5C"/>
      <w:shd w:val="clear" w:color="auto" w:fill="E1DFDD"/>
    </w:rPr>
  </w:style>
  <w:style w:type="paragraph" w:styleId="FootnoteText">
    <w:name w:val="footnote text"/>
    <w:basedOn w:val="Normal"/>
    <w:link w:val="FootnoteTextChar"/>
    <w:uiPriority w:val="99"/>
    <w:semiHidden/>
    <w:unhideWhenUsed/>
    <w:rsid w:val="007728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28CD"/>
    <w:rPr>
      <w:sz w:val="20"/>
      <w:szCs w:val="20"/>
    </w:rPr>
  </w:style>
  <w:style w:type="character" w:styleId="FootnoteReference">
    <w:name w:val="footnote reference"/>
    <w:basedOn w:val="DefaultParagraphFont"/>
    <w:uiPriority w:val="99"/>
    <w:semiHidden/>
    <w:unhideWhenUsed/>
    <w:rsid w:val="007728CD"/>
    <w:rPr>
      <w:vertAlign w:val="superscript"/>
    </w:rPr>
  </w:style>
  <w:style w:type="character" w:styleId="LineNumber">
    <w:name w:val="line number"/>
    <w:basedOn w:val="DefaultParagraphFont"/>
    <w:uiPriority w:val="99"/>
    <w:semiHidden/>
    <w:unhideWhenUsed/>
    <w:rsid w:val="003C6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385307">
      <w:bodyDiv w:val="1"/>
      <w:marLeft w:val="0"/>
      <w:marRight w:val="0"/>
      <w:marTop w:val="0"/>
      <w:marBottom w:val="0"/>
      <w:divBdr>
        <w:top w:val="none" w:sz="0" w:space="0" w:color="auto"/>
        <w:left w:val="none" w:sz="0" w:space="0" w:color="auto"/>
        <w:bottom w:val="none" w:sz="0" w:space="0" w:color="auto"/>
        <w:right w:val="none" w:sz="0" w:space="0" w:color="auto"/>
      </w:divBdr>
    </w:div>
    <w:div w:id="1004238991">
      <w:bodyDiv w:val="1"/>
      <w:marLeft w:val="0"/>
      <w:marRight w:val="0"/>
      <w:marTop w:val="0"/>
      <w:marBottom w:val="0"/>
      <w:divBdr>
        <w:top w:val="none" w:sz="0" w:space="0" w:color="auto"/>
        <w:left w:val="none" w:sz="0" w:space="0" w:color="auto"/>
        <w:bottom w:val="none" w:sz="0" w:space="0" w:color="auto"/>
        <w:right w:val="none" w:sz="0" w:space="0" w:color="auto"/>
      </w:divBdr>
    </w:div>
    <w:div w:id="1024400891">
      <w:bodyDiv w:val="1"/>
      <w:marLeft w:val="0"/>
      <w:marRight w:val="0"/>
      <w:marTop w:val="0"/>
      <w:marBottom w:val="0"/>
      <w:divBdr>
        <w:top w:val="none" w:sz="0" w:space="0" w:color="auto"/>
        <w:left w:val="none" w:sz="0" w:space="0" w:color="auto"/>
        <w:bottom w:val="none" w:sz="0" w:space="0" w:color="auto"/>
        <w:right w:val="none" w:sz="0" w:space="0" w:color="auto"/>
      </w:divBdr>
    </w:div>
    <w:div w:id="1221674047">
      <w:bodyDiv w:val="1"/>
      <w:marLeft w:val="0"/>
      <w:marRight w:val="0"/>
      <w:marTop w:val="0"/>
      <w:marBottom w:val="0"/>
      <w:divBdr>
        <w:top w:val="none" w:sz="0" w:space="0" w:color="auto"/>
        <w:left w:val="none" w:sz="0" w:space="0" w:color="auto"/>
        <w:bottom w:val="none" w:sz="0" w:space="0" w:color="auto"/>
        <w:right w:val="none" w:sz="0" w:space="0" w:color="auto"/>
      </w:divBdr>
    </w:div>
    <w:div w:id="190926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3E00A-98F1-4244-A61F-CA1D450F1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35629</Words>
  <Characters>203088</Characters>
  <Application>Microsoft Office Word</Application>
  <DocSecurity>4</DocSecurity>
  <Lines>1692</Lines>
  <Paragraphs>476</Paragraphs>
  <ScaleCrop>false</ScaleCrop>
  <HeadingPairs>
    <vt:vector size="2" baseType="variant">
      <vt:variant>
        <vt:lpstr>Title</vt:lpstr>
      </vt:variant>
      <vt:variant>
        <vt:i4>1</vt:i4>
      </vt:variant>
    </vt:vector>
  </HeadingPairs>
  <TitlesOfParts>
    <vt:vector size="1" baseType="lpstr">
      <vt:lpstr/>
    </vt:vector>
  </TitlesOfParts>
  <Company>NHS CNWL</Company>
  <LinksUpToDate>false</LinksUpToDate>
  <CharactersWithSpaces>238241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Williams</dc:creator>
  <cp:lastModifiedBy>Mary Houston</cp:lastModifiedBy>
  <cp:revision>2</cp:revision>
  <dcterms:created xsi:type="dcterms:W3CDTF">2020-10-19T11:15:00Z</dcterms:created>
  <dcterms:modified xsi:type="dcterms:W3CDTF">2020-10-19T11:15:00Z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http://csl.mendeley.com/styles/553982541/nature-2</vt:lpwstr>
  </property>
  <property fmtid="{D5CDD505-2E9C-101B-9397-08002B2CF9AE}" pid="19" name="Mendeley Recent Style Name 8_1">
    <vt:lpwstr>Nature - Ryan Williams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3578a1a1-52aa-330d-87e8-911fd6d641d3</vt:lpwstr>
  </property>
  <property fmtid="{D5CDD505-2E9C-101B-9397-08002B2CF9AE}" pid="24" name="Mendeley Citation Style_1">
    <vt:lpwstr>http://www.zotero.org/styles/apa</vt:lpwstr>
  </property>
</Properties>
</file>